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33A7" w14:textId="77777777" w:rsidR="00E4332F" w:rsidRDefault="009914E9">
      <w:pPr>
        <w:rPr>
          <w:b/>
          <w:bCs/>
          <w:sz w:val="28"/>
          <w:szCs w:val="28"/>
        </w:rPr>
      </w:pPr>
      <w:r>
        <w:rPr>
          <w:b/>
          <w:bCs/>
          <w:sz w:val="28"/>
          <w:szCs w:val="28"/>
        </w:rPr>
        <w:t>Abstract</w:t>
      </w:r>
    </w:p>
    <w:p w14:paraId="43BC78E4" w14:textId="58BE3055" w:rsidR="009914E9" w:rsidRDefault="009914E9">
      <w:pPr>
        <w:rPr>
          <w:bCs/>
          <w:sz w:val="28"/>
          <w:szCs w:val="28"/>
        </w:rPr>
      </w:pPr>
      <w:r>
        <w:rPr>
          <w:bCs/>
          <w:sz w:val="28"/>
          <w:szCs w:val="28"/>
        </w:rPr>
        <w:t>The wellbeing of the psychological workforce is an area of concern.</w:t>
      </w:r>
      <w:r w:rsidR="00105E47">
        <w:rPr>
          <w:bCs/>
          <w:sz w:val="28"/>
          <w:szCs w:val="28"/>
        </w:rPr>
        <w:t xml:space="preserve"> However, it has been sparsely studied in a</w:t>
      </w:r>
      <w:r w:rsidR="009C4829">
        <w:rPr>
          <w:bCs/>
          <w:sz w:val="28"/>
          <w:szCs w:val="28"/>
        </w:rPr>
        <w:t>n</w:t>
      </w:r>
      <w:r w:rsidR="007703FB">
        <w:rPr>
          <w:bCs/>
          <w:sz w:val="28"/>
          <w:szCs w:val="28"/>
        </w:rPr>
        <w:t xml:space="preserve"> holistic manner encompassing</w:t>
      </w:r>
      <w:r w:rsidR="00105E47">
        <w:rPr>
          <w:bCs/>
          <w:sz w:val="28"/>
          <w:szCs w:val="28"/>
        </w:rPr>
        <w:t xml:space="preserve"> workplace wellbeing as well as burnout. Thi</w:t>
      </w:r>
      <w:r w:rsidR="00F54A04">
        <w:rPr>
          <w:bCs/>
          <w:sz w:val="28"/>
          <w:szCs w:val="28"/>
        </w:rPr>
        <w:t>s study reports a survey of 1,6</w:t>
      </w:r>
      <w:r w:rsidR="00105E47">
        <w:rPr>
          <w:bCs/>
          <w:sz w:val="28"/>
          <w:szCs w:val="28"/>
        </w:rPr>
        <w:t>78 psychological practitioners accessed through professional networks.</w:t>
      </w:r>
    </w:p>
    <w:p w14:paraId="307699F9" w14:textId="5D1DB00D" w:rsidR="005E5ED8" w:rsidRDefault="00F54A04" w:rsidP="00762E7A">
      <w:pPr>
        <w:spacing w:after="0"/>
        <w:rPr>
          <w:sz w:val="28"/>
          <w:szCs w:val="28"/>
        </w:rPr>
      </w:pPr>
      <w:r>
        <w:rPr>
          <w:bCs/>
          <w:sz w:val="28"/>
          <w:szCs w:val="28"/>
        </w:rPr>
        <w:t xml:space="preserve">The </w:t>
      </w:r>
      <w:r w:rsidR="009F51DC">
        <w:rPr>
          <w:bCs/>
          <w:sz w:val="28"/>
          <w:szCs w:val="28"/>
        </w:rPr>
        <w:t>sh</w:t>
      </w:r>
      <w:r w:rsidR="004A64FB">
        <w:rPr>
          <w:bCs/>
          <w:sz w:val="28"/>
          <w:szCs w:val="28"/>
        </w:rPr>
        <w:t>ort</w:t>
      </w:r>
      <w:r>
        <w:rPr>
          <w:bCs/>
          <w:sz w:val="28"/>
          <w:szCs w:val="28"/>
        </w:rPr>
        <w:t xml:space="preserve"> Warwick Edinburgh Mental Wellbeing Scale (SWEMWBS)</w:t>
      </w:r>
      <w:r w:rsidR="002F044A">
        <w:rPr>
          <w:sz w:val="28"/>
          <w:szCs w:val="28"/>
        </w:rPr>
        <w:t xml:space="preserve"> </w:t>
      </w:r>
      <w:r w:rsidR="009F51DC">
        <w:rPr>
          <w:sz w:val="28"/>
          <w:szCs w:val="28"/>
        </w:rPr>
        <w:t xml:space="preserve">and the Psychological Practitioner Workplace Wellbeing Measure (PPWWM) were administered with a demographic questionnaire. The mean for the SWEMWBS </w:t>
      </w:r>
      <w:r w:rsidR="002F044A">
        <w:rPr>
          <w:sz w:val="28"/>
          <w:szCs w:val="28"/>
        </w:rPr>
        <w:t>w</w:t>
      </w:r>
      <w:r>
        <w:rPr>
          <w:sz w:val="28"/>
          <w:szCs w:val="28"/>
        </w:rPr>
        <w:t>as</w:t>
      </w:r>
      <w:r w:rsidR="002F044A">
        <w:rPr>
          <w:sz w:val="28"/>
          <w:szCs w:val="28"/>
        </w:rPr>
        <w:t xml:space="preserve"> below th</w:t>
      </w:r>
      <w:r>
        <w:rPr>
          <w:sz w:val="28"/>
          <w:szCs w:val="28"/>
        </w:rPr>
        <w:t>at</w:t>
      </w:r>
      <w:r w:rsidR="002F044A">
        <w:rPr>
          <w:sz w:val="28"/>
          <w:szCs w:val="28"/>
        </w:rPr>
        <w:t xml:space="preserve"> of a national population survey</w:t>
      </w:r>
      <w:r w:rsidR="009F51DC">
        <w:rPr>
          <w:sz w:val="28"/>
          <w:szCs w:val="28"/>
        </w:rPr>
        <w:t>.</w:t>
      </w:r>
      <w:r w:rsidR="002F044A">
        <w:rPr>
          <w:sz w:val="28"/>
          <w:szCs w:val="28"/>
        </w:rPr>
        <w:t xml:space="preserve"> </w:t>
      </w:r>
      <w:r w:rsidR="00762E7A">
        <w:rPr>
          <w:sz w:val="28"/>
          <w:szCs w:val="28"/>
        </w:rPr>
        <w:t>The inter-correlation of these tests was .61. Subgroup analyses showed significant differences: a</w:t>
      </w:r>
      <w:r w:rsidR="00762E7A" w:rsidRPr="00BC5F3A">
        <w:rPr>
          <w:sz w:val="28"/>
          <w:szCs w:val="28"/>
        </w:rPr>
        <w:t xml:space="preserve">ssistant psychologists, counsellors and psychological wellbeing practitioners </w:t>
      </w:r>
      <w:r w:rsidR="009F51DC">
        <w:rPr>
          <w:sz w:val="28"/>
          <w:szCs w:val="28"/>
        </w:rPr>
        <w:t>demonstrated better than average workplace wellbeing.</w:t>
      </w:r>
      <w:r w:rsidR="00762E7A">
        <w:rPr>
          <w:sz w:val="28"/>
          <w:szCs w:val="28"/>
        </w:rPr>
        <w:t xml:space="preserve"> </w:t>
      </w:r>
      <w:r w:rsidR="005E5ED8">
        <w:rPr>
          <w:sz w:val="28"/>
          <w:szCs w:val="28"/>
        </w:rPr>
        <w:t xml:space="preserve">But for general wellbeing (SWEMWBS) trainee clinical psychologists and assistant psychologists showed lower than average wellbeing while psychological wellbeing practitioners </w:t>
      </w:r>
      <w:r w:rsidR="007703FB">
        <w:rPr>
          <w:sz w:val="28"/>
          <w:szCs w:val="28"/>
        </w:rPr>
        <w:t>were higher than average</w:t>
      </w:r>
      <w:r w:rsidR="005E5ED8">
        <w:rPr>
          <w:sz w:val="28"/>
          <w:szCs w:val="28"/>
        </w:rPr>
        <w:t>.</w:t>
      </w:r>
    </w:p>
    <w:p w14:paraId="50FDA273" w14:textId="77777777" w:rsidR="005E5ED8" w:rsidRDefault="005E5ED8" w:rsidP="00762E7A">
      <w:pPr>
        <w:spacing w:after="0"/>
        <w:rPr>
          <w:sz w:val="28"/>
          <w:szCs w:val="28"/>
        </w:rPr>
      </w:pPr>
    </w:p>
    <w:p w14:paraId="2D4DEA13" w14:textId="5B3B7A7C" w:rsidR="007703FB" w:rsidRDefault="00762E7A" w:rsidP="00B754F6">
      <w:pPr>
        <w:spacing w:after="0"/>
        <w:rPr>
          <w:sz w:val="28"/>
          <w:szCs w:val="28"/>
        </w:rPr>
      </w:pPr>
      <w:r>
        <w:rPr>
          <w:sz w:val="28"/>
          <w:szCs w:val="28"/>
        </w:rPr>
        <w:t xml:space="preserve">Other factors </w:t>
      </w:r>
      <w:r w:rsidR="00F54A04">
        <w:rPr>
          <w:sz w:val="28"/>
          <w:szCs w:val="28"/>
        </w:rPr>
        <w:t xml:space="preserve">associated with </w:t>
      </w:r>
      <w:r>
        <w:rPr>
          <w:sz w:val="28"/>
          <w:szCs w:val="28"/>
        </w:rPr>
        <w:t>wellbeing were: contract type</w:t>
      </w:r>
      <w:r w:rsidR="004A64FB">
        <w:rPr>
          <w:sz w:val="28"/>
          <w:szCs w:val="28"/>
        </w:rPr>
        <w:t xml:space="preserve"> –</w:t>
      </w:r>
      <w:r w:rsidR="007D0598">
        <w:rPr>
          <w:sz w:val="28"/>
          <w:szCs w:val="28"/>
        </w:rPr>
        <w:t>both measures</w:t>
      </w:r>
      <w:r>
        <w:rPr>
          <w:sz w:val="28"/>
          <w:szCs w:val="28"/>
        </w:rPr>
        <w:t xml:space="preserve"> (</w:t>
      </w:r>
      <w:r w:rsidR="00B754F6">
        <w:rPr>
          <w:sz w:val="28"/>
          <w:szCs w:val="28"/>
        </w:rPr>
        <w:t xml:space="preserve">higher workplace </w:t>
      </w:r>
      <w:r>
        <w:rPr>
          <w:sz w:val="28"/>
          <w:szCs w:val="28"/>
        </w:rPr>
        <w:t xml:space="preserve">wellbeing in those with </w:t>
      </w:r>
      <w:r w:rsidR="00B754F6">
        <w:rPr>
          <w:sz w:val="28"/>
          <w:szCs w:val="28"/>
        </w:rPr>
        <w:t xml:space="preserve">temporary </w:t>
      </w:r>
      <w:r>
        <w:rPr>
          <w:sz w:val="28"/>
          <w:szCs w:val="28"/>
        </w:rPr>
        <w:t>contract</w:t>
      </w:r>
      <w:r w:rsidR="006305AE">
        <w:rPr>
          <w:sz w:val="28"/>
          <w:szCs w:val="28"/>
        </w:rPr>
        <w:t>s</w:t>
      </w:r>
      <w:r w:rsidR="00B754F6">
        <w:rPr>
          <w:sz w:val="28"/>
          <w:szCs w:val="28"/>
        </w:rPr>
        <w:t xml:space="preserve"> and the self-employed</w:t>
      </w:r>
      <w:r>
        <w:rPr>
          <w:sz w:val="28"/>
          <w:szCs w:val="28"/>
        </w:rPr>
        <w:t xml:space="preserve">); </w:t>
      </w:r>
      <w:r w:rsidR="007D0598">
        <w:rPr>
          <w:sz w:val="28"/>
          <w:szCs w:val="28"/>
        </w:rPr>
        <w:t>employment sector –for PPWWM only</w:t>
      </w:r>
      <w:r w:rsidR="006305AE">
        <w:rPr>
          <w:sz w:val="28"/>
          <w:szCs w:val="28"/>
        </w:rPr>
        <w:t xml:space="preserve"> </w:t>
      </w:r>
      <w:r w:rsidR="00B754F6">
        <w:rPr>
          <w:sz w:val="28"/>
          <w:szCs w:val="28"/>
        </w:rPr>
        <w:t xml:space="preserve">(private organisation/independent workers and </w:t>
      </w:r>
      <w:r w:rsidR="007D0598">
        <w:rPr>
          <w:sz w:val="28"/>
          <w:szCs w:val="28"/>
        </w:rPr>
        <w:t>third sector</w:t>
      </w:r>
      <w:r w:rsidR="00B754F6">
        <w:rPr>
          <w:sz w:val="28"/>
          <w:szCs w:val="28"/>
        </w:rPr>
        <w:t>/charitable organisation workers scored above the PPWWM mean</w:t>
      </w:r>
      <w:r w:rsidR="006305AE">
        <w:rPr>
          <w:sz w:val="28"/>
          <w:szCs w:val="28"/>
        </w:rPr>
        <w:t>)</w:t>
      </w:r>
      <w:r>
        <w:rPr>
          <w:sz w:val="28"/>
          <w:szCs w:val="28"/>
        </w:rPr>
        <w:t>; ethnicity</w:t>
      </w:r>
      <w:r w:rsidR="007D0598">
        <w:rPr>
          <w:sz w:val="28"/>
          <w:szCs w:val="28"/>
        </w:rPr>
        <w:t xml:space="preserve"> – for both measures</w:t>
      </w:r>
      <w:r>
        <w:rPr>
          <w:sz w:val="28"/>
          <w:szCs w:val="28"/>
        </w:rPr>
        <w:t xml:space="preserve"> (</w:t>
      </w:r>
      <w:r w:rsidR="00B754F6">
        <w:rPr>
          <w:sz w:val="28"/>
          <w:szCs w:val="28"/>
        </w:rPr>
        <w:t xml:space="preserve">Asian groups </w:t>
      </w:r>
      <w:r w:rsidR="00AF3766">
        <w:rPr>
          <w:sz w:val="28"/>
          <w:szCs w:val="28"/>
        </w:rPr>
        <w:t xml:space="preserve">except Chinese </w:t>
      </w:r>
      <w:r w:rsidR="00B754F6">
        <w:rPr>
          <w:sz w:val="28"/>
          <w:szCs w:val="28"/>
        </w:rPr>
        <w:t>had higher wellbeing than average for the PPWWM and SWEMWBS)</w:t>
      </w:r>
      <w:r w:rsidR="006305AE">
        <w:rPr>
          <w:sz w:val="28"/>
          <w:szCs w:val="28"/>
        </w:rPr>
        <w:t xml:space="preserve">; disability was </w:t>
      </w:r>
      <w:r w:rsidR="00B754F6">
        <w:rPr>
          <w:sz w:val="28"/>
          <w:szCs w:val="28"/>
        </w:rPr>
        <w:t xml:space="preserve">strongly </w:t>
      </w:r>
      <w:r w:rsidR="006305AE">
        <w:rPr>
          <w:sz w:val="28"/>
          <w:szCs w:val="28"/>
        </w:rPr>
        <w:t>associated with lower wellbeing</w:t>
      </w:r>
      <w:r w:rsidR="007D0598">
        <w:rPr>
          <w:sz w:val="28"/>
          <w:szCs w:val="28"/>
        </w:rPr>
        <w:t xml:space="preserve"> on both measures</w:t>
      </w:r>
      <w:r w:rsidR="004A64FB">
        <w:rPr>
          <w:sz w:val="28"/>
          <w:szCs w:val="28"/>
        </w:rPr>
        <w:t>. H</w:t>
      </w:r>
      <w:r w:rsidR="006305AE">
        <w:rPr>
          <w:sz w:val="28"/>
          <w:szCs w:val="28"/>
        </w:rPr>
        <w:t xml:space="preserve">arassment, feeling depressed or a failure and wanting to leave the NHS were associated with lower wellbeing.  Greater age, pay and years of service were </w:t>
      </w:r>
      <w:r w:rsidR="006305AE" w:rsidRPr="006305AE">
        <w:rPr>
          <w:i/>
          <w:sz w:val="28"/>
          <w:szCs w:val="28"/>
        </w:rPr>
        <w:t>negatively</w:t>
      </w:r>
      <w:r w:rsidR="006305AE">
        <w:rPr>
          <w:sz w:val="28"/>
          <w:szCs w:val="28"/>
        </w:rPr>
        <w:t xml:space="preserve"> correlated with wellbeing. </w:t>
      </w:r>
    </w:p>
    <w:p w14:paraId="21199BA5" w14:textId="77777777" w:rsidR="007703FB" w:rsidRDefault="007703FB" w:rsidP="00344E93">
      <w:pPr>
        <w:spacing w:after="0"/>
        <w:rPr>
          <w:sz w:val="28"/>
          <w:szCs w:val="28"/>
        </w:rPr>
      </w:pPr>
    </w:p>
    <w:p w14:paraId="6E74BA04" w14:textId="610BA851" w:rsidR="00762E7A" w:rsidRPr="00BC5F3A" w:rsidRDefault="006305AE" w:rsidP="00B754F6">
      <w:pPr>
        <w:spacing w:after="0"/>
        <w:rPr>
          <w:sz w:val="28"/>
          <w:szCs w:val="28"/>
        </w:rPr>
      </w:pPr>
      <w:r>
        <w:rPr>
          <w:sz w:val="28"/>
          <w:szCs w:val="28"/>
        </w:rPr>
        <w:t>A five-factor structure was obtained with this sample.</w:t>
      </w:r>
    </w:p>
    <w:p w14:paraId="0F112AAF" w14:textId="77777777" w:rsidR="00105E47" w:rsidRDefault="00105E47">
      <w:pPr>
        <w:rPr>
          <w:bCs/>
          <w:sz w:val="28"/>
          <w:szCs w:val="28"/>
        </w:rPr>
      </w:pPr>
    </w:p>
    <w:p w14:paraId="209F3F89" w14:textId="77777777" w:rsidR="009C4829" w:rsidRPr="009914E9" w:rsidRDefault="009C4829">
      <w:pPr>
        <w:rPr>
          <w:bCs/>
          <w:sz w:val="28"/>
          <w:szCs w:val="28"/>
        </w:rPr>
      </w:pPr>
      <w:r>
        <w:rPr>
          <w:bCs/>
          <w:sz w:val="28"/>
          <w:szCs w:val="28"/>
        </w:rPr>
        <w:t xml:space="preserve">The results confirmed psychological practitioners as an at-risk group and identified a number of factors associated with workplace wellbeing. </w:t>
      </w:r>
    </w:p>
    <w:p w14:paraId="18553AF2" w14:textId="60B325E1" w:rsidR="009914E9" w:rsidRDefault="005110A7">
      <w:pPr>
        <w:rPr>
          <w:b/>
          <w:bCs/>
          <w:sz w:val="28"/>
          <w:szCs w:val="28"/>
        </w:rPr>
      </w:pPr>
      <w:r>
        <w:rPr>
          <w:b/>
          <w:bCs/>
          <w:sz w:val="28"/>
          <w:szCs w:val="28"/>
        </w:rPr>
        <w:t>Practitioner Points</w:t>
      </w:r>
    </w:p>
    <w:p w14:paraId="53C123D8" w14:textId="7C3FD897" w:rsidR="005110A7" w:rsidRDefault="005110A7" w:rsidP="005110A7">
      <w:pPr>
        <w:pStyle w:val="ListParagraph"/>
        <w:numPr>
          <w:ilvl w:val="0"/>
          <w:numId w:val="4"/>
        </w:numPr>
        <w:rPr>
          <w:bCs/>
          <w:sz w:val="28"/>
          <w:szCs w:val="28"/>
        </w:rPr>
      </w:pPr>
      <w:r>
        <w:rPr>
          <w:bCs/>
          <w:sz w:val="28"/>
          <w:szCs w:val="28"/>
        </w:rPr>
        <w:t>Workplace wellbeing is related to, but distinct from, general wellbeing and should be measure by a specialist instrument.</w:t>
      </w:r>
    </w:p>
    <w:p w14:paraId="6AC0450E" w14:textId="6CEF6C39" w:rsidR="005110A7" w:rsidRDefault="005110A7" w:rsidP="005110A7">
      <w:pPr>
        <w:pStyle w:val="ListParagraph"/>
        <w:numPr>
          <w:ilvl w:val="0"/>
          <w:numId w:val="4"/>
        </w:numPr>
        <w:rPr>
          <w:bCs/>
          <w:sz w:val="28"/>
          <w:szCs w:val="28"/>
        </w:rPr>
      </w:pPr>
      <w:r>
        <w:rPr>
          <w:bCs/>
          <w:sz w:val="28"/>
          <w:szCs w:val="28"/>
        </w:rPr>
        <w:t>The general wellbeing of psychological practitioners is below the national average and</w:t>
      </w:r>
      <w:r w:rsidR="006602C7">
        <w:rPr>
          <w:bCs/>
          <w:sz w:val="28"/>
          <w:szCs w:val="28"/>
        </w:rPr>
        <w:t xml:space="preserve"> this</w:t>
      </w:r>
      <w:r>
        <w:rPr>
          <w:bCs/>
          <w:sz w:val="28"/>
          <w:szCs w:val="28"/>
        </w:rPr>
        <w:t xml:space="preserve"> requires consideration by policymakers and workforce planners.</w:t>
      </w:r>
    </w:p>
    <w:p w14:paraId="6198270E" w14:textId="49F33F19" w:rsidR="006602C7" w:rsidRDefault="006602C7" w:rsidP="005110A7">
      <w:pPr>
        <w:pStyle w:val="ListParagraph"/>
        <w:numPr>
          <w:ilvl w:val="0"/>
          <w:numId w:val="4"/>
        </w:numPr>
        <w:rPr>
          <w:bCs/>
          <w:sz w:val="28"/>
          <w:szCs w:val="28"/>
        </w:rPr>
      </w:pPr>
      <w:r>
        <w:rPr>
          <w:bCs/>
          <w:sz w:val="28"/>
          <w:szCs w:val="28"/>
        </w:rPr>
        <w:t>The association of gender and sexual orientation with wellbeing do not appear to be strong, but disability has a strong generalised association requiring further research and action.</w:t>
      </w:r>
    </w:p>
    <w:p w14:paraId="3F095FDA" w14:textId="062F3442" w:rsidR="005110A7" w:rsidRPr="005110A7" w:rsidRDefault="006602C7" w:rsidP="005110A7">
      <w:pPr>
        <w:pStyle w:val="ListParagraph"/>
        <w:numPr>
          <w:ilvl w:val="0"/>
          <w:numId w:val="4"/>
        </w:numPr>
        <w:rPr>
          <w:bCs/>
          <w:sz w:val="28"/>
          <w:szCs w:val="28"/>
        </w:rPr>
      </w:pPr>
      <w:r>
        <w:rPr>
          <w:bCs/>
          <w:sz w:val="28"/>
          <w:szCs w:val="28"/>
        </w:rPr>
        <w:lastRenderedPageBreak/>
        <w:t>The associations between ethnicity</w:t>
      </w:r>
      <w:r w:rsidR="005110A7">
        <w:rPr>
          <w:bCs/>
          <w:sz w:val="28"/>
          <w:szCs w:val="28"/>
        </w:rPr>
        <w:t xml:space="preserve"> and temporary contracts </w:t>
      </w:r>
      <w:r>
        <w:rPr>
          <w:bCs/>
          <w:sz w:val="28"/>
          <w:szCs w:val="28"/>
        </w:rPr>
        <w:t>and wellbeing are complex and require further study.</w:t>
      </w:r>
    </w:p>
    <w:p w14:paraId="29D27E88" w14:textId="0B4D0286" w:rsidR="005110A7" w:rsidRDefault="005110A7">
      <w:pPr>
        <w:rPr>
          <w:b/>
          <w:bCs/>
          <w:sz w:val="28"/>
          <w:szCs w:val="28"/>
        </w:rPr>
      </w:pPr>
    </w:p>
    <w:p w14:paraId="24667D5D" w14:textId="0AE4127C" w:rsidR="005110A7" w:rsidRDefault="005110A7">
      <w:pPr>
        <w:rPr>
          <w:b/>
          <w:bCs/>
          <w:sz w:val="28"/>
          <w:szCs w:val="28"/>
        </w:rPr>
      </w:pPr>
    </w:p>
    <w:p w14:paraId="6AA5CD46" w14:textId="77777777" w:rsidR="005110A7" w:rsidRDefault="005110A7">
      <w:pPr>
        <w:rPr>
          <w:b/>
          <w:bCs/>
          <w:sz w:val="28"/>
          <w:szCs w:val="28"/>
        </w:rPr>
      </w:pPr>
    </w:p>
    <w:p w14:paraId="18C31708" w14:textId="77777777" w:rsidR="00B02245" w:rsidRDefault="00646EBC">
      <w:pPr>
        <w:rPr>
          <w:b/>
          <w:bCs/>
          <w:sz w:val="28"/>
          <w:szCs w:val="28"/>
        </w:rPr>
      </w:pPr>
      <w:r w:rsidRPr="00A10EB2">
        <w:rPr>
          <w:b/>
          <w:bCs/>
          <w:sz w:val="28"/>
          <w:szCs w:val="28"/>
        </w:rPr>
        <w:t>Introduction</w:t>
      </w:r>
    </w:p>
    <w:p w14:paraId="0F573B77" w14:textId="17450BC9" w:rsidR="00875F73" w:rsidRDefault="00D75EE5" w:rsidP="00A10EB2">
      <w:pPr>
        <w:spacing w:after="0" w:line="240" w:lineRule="auto"/>
        <w:rPr>
          <w:bCs/>
          <w:color w:val="FF0000"/>
        </w:rPr>
      </w:pPr>
      <w:r w:rsidRPr="00FE7315">
        <w:rPr>
          <w:sz w:val="28"/>
          <w:szCs w:val="28"/>
        </w:rPr>
        <w:t xml:space="preserve">The </w:t>
      </w:r>
      <w:r w:rsidR="00503BCD" w:rsidRPr="00FE7315">
        <w:rPr>
          <w:sz w:val="28"/>
          <w:szCs w:val="28"/>
        </w:rPr>
        <w:t xml:space="preserve">mental </w:t>
      </w:r>
      <w:r w:rsidRPr="00FE7315">
        <w:rPr>
          <w:sz w:val="28"/>
          <w:szCs w:val="28"/>
        </w:rPr>
        <w:t>health</w:t>
      </w:r>
      <w:r w:rsidR="00287296" w:rsidRPr="00FE7315">
        <w:rPr>
          <w:sz w:val="28"/>
          <w:szCs w:val="28"/>
        </w:rPr>
        <w:t xml:space="preserve"> of</w:t>
      </w:r>
      <w:r w:rsidR="009914E9" w:rsidRPr="00FE7315">
        <w:rPr>
          <w:sz w:val="28"/>
          <w:szCs w:val="28"/>
        </w:rPr>
        <w:t xml:space="preserve"> </w:t>
      </w:r>
      <w:r w:rsidRPr="00FE7315">
        <w:rPr>
          <w:sz w:val="28"/>
          <w:szCs w:val="28"/>
        </w:rPr>
        <w:t>psychologi</w:t>
      </w:r>
      <w:r w:rsidR="009914E9" w:rsidRPr="00FE7315">
        <w:rPr>
          <w:sz w:val="28"/>
          <w:szCs w:val="28"/>
        </w:rPr>
        <w:t xml:space="preserve">cal practitioners </w:t>
      </w:r>
      <w:r w:rsidRPr="00FE7315">
        <w:rPr>
          <w:sz w:val="28"/>
          <w:szCs w:val="28"/>
        </w:rPr>
        <w:t>ha</w:t>
      </w:r>
      <w:r w:rsidR="003D34EB" w:rsidRPr="00FE7315">
        <w:rPr>
          <w:sz w:val="28"/>
          <w:szCs w:val="28"/>
        </w:rPr>
        <w:t>s</w:t>
      </w:r>
      <w:r w:rsidRPr="00FE7315">
        <w:rPr>
          <w:sz w:val="28"/>
          <w:szCs w:val="28"/>
        </w:rPr>
        <w:t xml:space="preserve"> become </w:t>
      </w:r>
      <w:r w:rsidR="00ED5BDC" w:rsidRPr="00FE7315">
        <w:rPr>
          <w:sz w:val="28"/>
          <w:szCs w:val="28"/>
        </w:rPr>
        <w:t>a</w:t>
      </w:r>
      <w:r w:rsidRPr="00FE7315">
        <w:rPr>
          <w:sz w:val="28"/>
          <w:szCs w:val="28"/>
        </w:rPr>
        <w:t xml:space="preserve"> focus of attention in recent years</w:t>
      </w:r>
      <w:r w:rsidR="00ED5BDC" w:rsidRPr="00FE7315">
        <w:rPr>
          <w:sz w:val="28"/>
          <w:szCs w:val="28"/>
        </w:rPr>
        <w:t xml:space="preserve"> </w:t>
      </w:r>
      <w:r w:rsidRPr="00FE7315">
        <w:rPr>
          <w:sz w:val="28"/>
          <w:szCs w:val="28"/>
        </w:rPr>
        <w:t>(Dattilio, 2015)</w:t>
      </w:r>
      <w:r w:rsidR="006201E7" w:rsidRPr="00FE7315">
        <w:rPr>
          <w:sz w:val="28"/>
          <w:szCs w:val="28"/>
        </w:rPr>
        <w:t>.</w:t>
      </w:r>
      <w:r w:rsidR="006201E7">
        <w:rPr>
          <w:sz w:val="28"/>
          <w:szCs w:val="28"/>
        </w:rPr>
        <w:t xml:space="preserve"> </w:t>
      </w:r>
      <w:r w:rsidR="00ED5BDC">
        <w:rPr>
          <w:sz w:val="28"/>
          <w:szCs w:val="28"/>
        </w:rPr>
        <w:t xml:space="preserve"> </w:t>
      </w:r>
      <w:r w:rsidR="00287296">
        <w:rPr>
          <w:sz w:val="28"/>
          <w:szCs w:val="28"/>
        </w:rPr>
        <w:t>Workplace wellbeing i</w:t>
      </w:r>
      <w:r w:rsidR="00ED5BDC">
        <w:rPr>
          <w:sz w:val="28"/>
          <w:szCs w:val="28"/>
        </w:rPr>
        <w:t xml:space="preserve">s a vital consideration if health services are to retain staff and deliver an effective </w:t>
      </w:r>
      <w:r w:rsidR="006201E7">
        <w:rPr>
          <w:sz w:val="28"/>
          <w:szCs w:val="28"/>
        </w:rPr>
        <w:t xml:space="preserve">and safe </w:t>
      </w:r>
      <w:r w:rsidR="00ED5BDC">
        <w:rPr>
          <w:sz w:val="28"/>
          <w:szCs w:val="28"/>
        </w:rPr>
        <w:t>service (</w:t>
      </w:r>
      <w:r w:rsidR="002E58D6">
        <w:rPr>
          <w:sz w:val="28"/>
          <w:szCs w:val="28"/>
        </w:rPr>
        <w:t xml:space="preserve">Health Education England, </w:t>
      </w:r>
      <w:r w:rsidR="00ED5BDC">
        <w:rPr>
          <w:sz w:val="28"/>
          <w:szCs w:val="28"/>
        </w:rPr>
        <w:t>2019</w:t>
      </w:r>
      <w:r w:rsidR="006201E7">
        <w:rPr>
          <w:sz w:val="28"/>
          <w:szCs w:val="28"/>
        </w:rPr>
        <w:t>; Hall et al</w:t>
      </w:r>
      <w:r w:rsidR="006201E7" w:rsidRPr="006004E4">
        <w:rPr>
          <w:sz w:val="28"/>
          <w:szCs w:val="28"/>
        </w:rPr>
        <w:t>., 2016</w:t>
      </w:r>
      <w:r w:rsidR="00ED5BDC" w:rsidRPr="006004E4">
        <w:rPr>
          <w:sz w:val="28"/>
          <w:szCs w:val="28"/>
        </w:rPr>
        <w:t>)</w:t>
      </w:r>
      <w:r w:rsidR="009272A6" w:rsidRPr="006004E4">
        <w:rPr>
          <w:sz w:val="28"/>
          <w:szCs w:val="28"/>
        </w:rPr>
        <w:t>.</w:t>
      </w:r>
      <w:r w:rsidR="00356D63" w:rsidRPr="00344E93">
        <w:rPr>
          <w:color w:val="FF0000"/>
        </w:rPr>
        <w:t xml:space="preserve"> </w:t>
      </w:r>
    </w:p>
    <w:p w14:paraId="2091087E" w14:textId="77777777" w:rsidR="00777069" w:rsidRDefault="00777069" w:rsidP="00A10EB2">
      <w:pPr>
        <w:spacing w:after="0" w:line="240" w:lineRule="auto"/>
        <w:rPr>
          <w:color w:val="000000"/>
          <w:shd w:val="clear" w:color="auto" w:fill="FFFFFF"/>
        </w:rPr>
      </w:pPr>
    </w:p>
    <w:p w14:paraId="76FF8F74" w14:textId="48DD896F" w:rsidR="00A10EB2" w:rsidRPr="00344E93" w:rsidRDefault="00A10EB2" w:rsidP="00A10EB2">
      <w:pPr>
        <w:spacing w:after="0" w:line="240" w:lineRule="auto"/>
        <w:rPr>
          <w:b/>
          <w:sz w:val="28"/>
        </w:rPr>
      </w:pPr>
      <w:r w:rsidRPr="00A10EB2">
        <w:rPr>
          <w:rFonts w:cstheme="minorHAnsi"/>
          <w:bCs/>
          <w:sz w:val="28"/>
          <w:szCs w:val="28"/>
        </w:rPr>
        <w:t>Research in healthcare professional populations has focused particularly on the assessment of burnout. Burnout can be thought of as a specific form of chronic workplace psychological stress (</w:t>
      </w:r>
      <w:r w:rsidRPr="00A10EB2">
        <w:rPr>
          <w:rFonts w:cstheme="minorHAnsi"/>
          <w:sz w:val="28"/>
          <w:szCs w:val="28"/>
          <w:lang w:val="en-US"/>
        </w:rPr>
        <w:t>Ruotsalainen, Verbeek, Mariné &amp; Serra</w:t>
      </w:r>
      <w:r w:rsidRPr="00A10EB2">
        <w:rPr>
          <w:rFonts w:cstheme="minorHAnsi"/>
          <w:bCs/>
          <w:sz w:val="28"/>
          <w:szCs w:val="28"/>
        </w:rPr>
        <w:t>, 2015; World Health Organization, 2018).</w:t>
      </w:r>
      <w:r w:rsidRPr="00A10EB2">
        <w:rPr>
          <w:rFonts w:cstheme="minorHAnsi"/>
          <w:b/>
          <w:bCs/>
          <w:sz w:val="28"/>
          <w:szCs w:val="28"/>
        </w:rPr>
        <w:t xml:space="preserve"> </w:t>
      </w:r>
      <w:r w:rsidR="0048556B" w:rsidRPr="0048556B">
        <w:rPr>
          <w:rFonts w:cstheme="minorHAnsi"/>
          <w:bCs/>
          <w:sz w:val="28"/>
          <w:szCs w:val="28"/>
        </w:rPr>
        <w:t xml:space="preserve">Although burnout is correlated with anxiety, depression and fatigue, burnout is thought to </w:t>
      </w:r>
      <w:r w:rsidR="003441AB">
        <w:rPr>
          <w:rFonts w:cstheme="minorHAnsi"/>
          <w:bCs/>
          <w:sz w:val="28"/>
          <w:szCs w:val="28"/>
        </w:rPr>
        <w:t>be distinct from mental health</w:t>
      </w:r>
      <w:r w:rsidR="0048556B" w:rsidRPr="0048556B">
        <w:rPr>
          <w:rFonts w:cstheme="minorHAnsi"/>
          <w:bCs/>
          <w:sz w:val="28"/>
          <w:szCs w:val="28"/>
        </w:rPr>
        <w:t>, from general stress and from other work phenomena such as job dissatisfaction (Maslach, Schaufeli &amp; Leiter, 2001).</w:t>
      </w:r>
      <w:r w:rsidR="0048556B" w:rsidRPr="00344E93">
        <w:rPr>
          <w:sz w:val="28"/>
        </w:rPr>
        <w:t xml:space="preserve"> </w:t>
      </w:r>
      <w:r w:rsidRPr="00A10EB2">
        <w:rPr>
          <w:rFonts w:cstheme="minorHAnsi"/>
          <w:sz w:val="28"/>
          <w:szCs w:val="28"/>
        </w:rPr>
        <w:t>In healthcare profe</w:t>
      </w:r>
      <w:r w:rsidR="007D0598">
        <w:rPr>
          <w:rFonts w:cstheme="minorHAnsi"/>
          <w:sz w:val="28"/>
          <w:szCs w:val="28"/>
        </w:rPr>
        <w:t>ssional populations, burnout has been</w:t>
      </w:r>
      <w:r w:rsidRPr="00A10EB2">
        <w:rPr>
          <w:rFonts w:cstheme="minorHAnsi"/>
          <w:sz w:val="28"/>
          <w:szCs w:val="28"/>
        </w:rPr>
        <w:t xml:space="preserve"> defined by Maslach and colleagues</w:t>
      </w:r>
      <w:r w:rsidR="002C1806">
        <w:rPr>
          <w:rFonts w:cstheme="minorHAnsi"/>
          <w:sz w:val="28"/>
          <w:szCs w:val="28"/>
        </w:rPr>
        <w:t xml:space="preserve"> and </w:t>
      </w:r>
      <w:r w:rsidR="007D0598">
        <w:rPr>
          <w:rFonts w:cstheme="minorHAnsi"/>
          <w:sz w:val="28"/>
          <w:szCs w:val="28"/>
        </w:rPr>
        <w:t xml:space="preserve">is often </w:t>
      </w:r>
      <w:r w:rsidR="002C1806">
        <w:rPr>
          <w:rFonts w:cstheme="minorHAnsi"/>
          <w:sz w:val="28"/>
          <w:szCs w:val="28"/>
        </w:rPr>
        <w:t xml:space="preserve">measured by the Maslach Burnout Inventory (Maslach, Jackson, &amp; Leiter, </w:t>
      </w:r>
      <w:r w:rsidR="002C1806" w:rsidRPr="002C1806">
        <w:rPr>
          <w:rFonts w:cstheme="minorHAnsi"/>
          <w:sz w:val="28"/>
          <w:szCs w:val="28"/>
        </w:rPr>
        <w:t>1996)</w:t>
      </w:r>
      <w:r w:rsidR="007D0598">
        <w:rPr>
          <w:rFonts w:cstheme="minorHAnsi"/>
          <w:sz w:val="28"/>
          <w:szCs w:val="28"/>
        </w:rPr>
        <w:t xml:space="preserve">. It </w:t>
      </w:r>
      <w:r w:rsidRPr="00A10EB2">
        <w:rPr>
          <w:rFonts w:cstheme="minorHAnsi"/>
          <w:sz w:val="28"/>
          <w:szCs w:val="28"/>
        </w:rPr>
        <w:t>is characterised by three simultaneously existing dimensions</w:t>
      </w:r>
      <w:r w:rsidR="002C1806">
        <w:rPr>
          <w:rFonts w:cstheme="minorHAnsi"/>
          <w:sz w:val="28"/>
          <w:szCs w:val="28"/>
        </w:rPr>
        <w:t>:</w:t>
      </w:r>
      <w:r w:rsidRPr="00A10EB2">
        <w:rPr>
          <w:rFonts w:cstheme="minorHAnsi"/>
          <w:sz w:val="28"/>
          <w:szCs w:val="28"/>
        </w:rPr>
        <w:t xml:space="preserve"> (1) </w:t>
      </w:r>
      <w:r w:rsidRPr="00A10EB2">
        <w:rPr>
          <w:rFonts w:cstheme="minorHAnsi"/>
          <w:i/>
          <w:sz w:val="28"/>
          <w:szCs w:val="28"/>
        </w:rPr>
        <w:t>emotional exhaustion</w:t>
      </w:r>
      <w:r w:rsidRPr="00A10EB2">
        <w:rPr>
          <w:rFonts w:cstheme="minorHAnsi"/>
          <w:sz w:val="28"/>
          <w:szCs w:val="28"/>
        </w:rPr>
        <w:t xml:space="preserve">, the depletion of emotional reserves, energy loss and feeling less able to experience emotion related to work; (2) </w:t>
      </w:r>
      <w:r w:rsidRPr="00A10EB2">
        <w:rPr>
          <w:rFonts w:cstheme="minorHAnsi"/>
          <w:i/>
          <w:sz w:val="28"/>
          <w:szCs w:val="28"/>
        </w:rPr>
        <w:t>depersonalisation</w:t>
      </w:r>
      <w:r w:rsidRPr="00A10EB2">
        <w:rPr>
          <w:rFonts w:cstheme="minorHAnsi"/>
          <w:sz w:val="28"/>
          <w:szCs w:val="28"/>
        </w:rPr>
        <w:t>, the distancing from patients and negative or cynical attitudes and feelings towards patients</w:t>
      </w:r>
      <w:r w:rsidR="002C1806">
        <w:rPr>
          <w:rFonts w:cstheme="minorHAnsi"/>
          <w:sz w:val="28"/>
          <w:szCs w:val="28"/>
        </w:rPr>
        <w:t xml:space="preserve">; </w:t>
      </w:r>
      <w:r w:rsidRPr="00A10EB2">
        <w:rPr>
          <w:rFonts w:cstheme="minorHAnsi"/>
          <w:sz w:val="28"/>
          <w:szCs w:val="28"/>
        </w:rPr>
        <w:t xml:space="preserve"> (3) </w:t>
      </w:r>
      <w:r w:rsidRPr="00A10EB2">
        <w:rPr>
          <w:rFonts w:cstheme="minorHAnsi"/>
          <w:i/>
          <w:sz w:val="28"/>
          <w:szCs w:val="28"/>
        </w:rPr>
        <w:t>lack of personal accomplishment</w:t>
      </w:r>
      <w:r w:rsidRPr="00A10EB2">
        <w:rPr>
          <w:rFonts w:cstheme="minorHAnsi"/>
          <w:sz w:val="28"/>
          <w:szCs w:val="28"/>
        </w:rPr>
        <w:t xml:space="preserve">,  negative self-evaluation, particularly in relation to patient work, feelings of dissatisfaction with work accomplishments and achievements (Maslach et al., 1996; Maslach &amp; Jackson, 1981). The Copenhagen Burnout Inventory (CBI), a further measure of burnout, has also been used in healthcare populations (Di Benedetto &amp; Swadling, 2014; </w:t>
      </w:r>
      <w:r w:rsidR="002C1806" w:rsidRPr="002C1806">
        <w:rPr>
          <w:rFonts w:cstheme="minorHAnsi"/>
          <w:sz w:val="28"/>
          <w:szCs w:val="28"/>
        </w:rPr>
        <w:t>D'Souza</w:t>
      </w:r>
      <w:r w:rsidR="003441AB">
        <w:rPr>
          <w:rFonts w:cstheme="minorHAnsi"/>
          <w:sz w:val="28"/>
          <w:szCs w:val="28"/>
        </w:rPr>
        <w:t xml:space="preserve">, Egan </w:t>
      </w:r>
      <w:r w:rsidR="002C1806">
        <w:rPr>
          <w:rFonts w:cstheme="minorHAnsi"/>
          <w:sz w:val="28"/>
          <w:szCs w:val="28"/>
        </w:rPr>
        <w:t xml:space="preserve">&amp; Rees, </w:t>
      </w:r>
      <w:r w:rsidR="002C1806" w:rsidRPr="002C1806">
        <w:rPr>
          <w:rFonts w:cstheme="minorHAnsi"/>
          <w:sz w:val="28"/>
          <w:szCs w:val="28"/>
        </w:rPr>
        <w:t>2011)</w:t>
      </w:r>
      <w:r w:rsidR="003441AB">
        <w:rPr>
          <w:rFonts w:cstheme="minorHAnsi"/>
          <w:sz w:val="28"/>
          <w:szCs w:val="28"/>
        </w:rPr>
        <w:t xml:space="preserve">. It </w:t>
      </w:r>
      <w:r w:rsidRPr="00A10EB2">
        <w:rPr>
          <w:rFonts w:cstheme="minorHAnsi"/>
          <w:sz w:val="28"/>
          <w:szCs w:val="28"/>
        </w:rPr>
        <w:t xml:space="preserve">was designed to have utility across different professional domains beyond healthcare (Kristensen, Borritz, Villadsen &amp; Christensen, 2005). The authors propose fatigue and exhaustion are at the core of burnout, with an additional key feature being “the </w:t>
      </w:r>
      <w:r w:rsidRPr="00A10EB2">
        <w:rPr>
          <w:rFonts w:cstheme="minorHAnsi"/>
          <w:i/>
          <w:sz w:val="28"/>
          <w:szCs w:val="28"/>
        </w:rPr>
        <w:t>attribution</w:t>
      </w:r>
      <w:r w:rsidRPr="00A10EB2">
        <w:rPr>
          <w:rFonts w:cstheme="minorHAnsi"/>
          <w:sz w:val="28"/>
          <w:szCs w:val="28"/>
        </w:rPr>
        <w:t xml:space="preserve"> of fatigue and exhaustion to specific </w:t>
      </w:r>
      <w:r w:rsidRPr="00A10EB2">
        <w:rPr>
          <w:rFonts w:cstheme="minorHAnsi"/>
          <w:i/>
          <w:sz w:val="28"/>
          <w:szCs w:val="28"/>
        </w:rPr>
        <w:t>domains</w:t>
      </w:r>
      <w:r w:rsidRPr="00A10EB2">
        <w:rPr>
          <w:rFonts w:cstheme="minorHAnsi"/>
          <w:sz w:val="28"/>
          <w:szCs w:val="28"/>
        </w:rPr>
        <w:t xml:space="preserve"> or spheres in the person’s life” (Kristensen et al., 2005, p. 197).</w:t>
      </w:r>
    </w:p>
    <w:p w14:paraId="452F527F" w14:textId="77777777" w:rsidR="00667B65" w:rsidRPr="00344E93" w:rsidRDefault="00667B65" w:rsidP="00AB6B5F">
      <w:pPr>
        <w:spacing w:after="0" w:line="240" w:lineRule="auto"/>
        <w:rPr>
          <w:color w:val="FF0000"/>
        </w:rPr>
      </w:pPr>
    </w:p>
    <w:p w14:paraId="437CA7A1" w14:textId="491CBDB0" w:rsidR="007C14B8" w:rsidRDefault="00A617EA" w:rsidP="00344E93">
      <w:pPr>
        <w:rPr>
          <w:sz w:val="28"/>
          <w:szCs w:val="28"/>
        </w:rPr>
      </w:pPr>
      <w:r w:rsidRPr="006004E4">
        <w:rPr>
          <w:sz w:val="28"/>
          <w:szCs w:val="28"/>
        </w:rPr>
        <w:t>Table 1 shows</w:t>
      </w:r>
      <w:r>
        <w:rPr>
          <w:sz w:val="28"/>
          <w:szCs w:val="28"/>
        </w:rPr>
        <w:t xml:space="preserve"> the results of studies of burnout in psychological practitioners. The majority found evidence for higher than average burnout levels in psychological practitioners.  This is concerning for the profession, but not all these studies used the established thresholds for burnout to identify ‘average’ levels (Maslach et al., 2017</w:t>
      </w:r>
      <w:r w:rsidRPr="00356DC7">
        <w:rPr>
          <w:sz w:val="28"/>
          <w:szCs w:val="28"/>
        </w:rPr>
        <w:t>).</w:t>
      </w:r>
      <w:r w:rsidR="00875F73">
        <w:rPr>
          <w:sz w:val="28"/>
          <w:szCs w:val="28"/>
        </w:rPr>
        <w:t xml:space="preserve"> </w:t>
      </w:r>
      <w:r w:rsidR="003441AB">
        <w:rPr>
          <w:sz w:val="28"/>
          <w:szCs w:val="28"/>
        </w:rPr>
        <w:t>C</w:t>
      </w:r>
      <w:r w:rsidR="00287296" w:rsidRPr="00356DC7">
        <w:rPr>
          <w:sz w:val="28"/>
          <w:szCs w:val="28"/>
        </w:rPr>
        <w:t>oncerning</w:t>
      </w:r>
      <w:r w:rsidR="00374A7D" w:rsidRPr="00356DC7">
        <w:rPr>
          <w:sz w:val="28"/>
          <w:szCs w:val="28"/>
        </w:rPr>
        <w:t xml:space="preserve"> results </w:t>
      </w:r>
      <w:r w:rsidR="003441AB">
        <w:rPr>
          <w:sz w:val="28"/>
          <w:szCs w:val="28"/>
        </w:rPr>
        <w:t xml:space="preserve">for the UK </w:t>
      </w:r>
      <w:r w:rsidR="00374A7D" w:rsidRPr="00356DC7">
        <w:rPr>
          <w:sz w:val="28"/>
          <w:szCs w:val="28"/>
        </w:rPr>
        <w:t xml:space="preserve">were reported by </w:t>
      </w:r>
      <w:bookmarkStart w:id="0" w:name="_Hlk24109457"/>
      <w:r w:rsidR="00771EF8" w:rsidRPr="00356DC7">
        <w:rPr>
          <w:sz w:val="28"/>
          <w:szCs w:val="28"/>
        </w:rPr>
        <w:t>Hacker-Hughes, R</w:t>
      </w:r>
      <w:r w:rsidR="00F75AF2" w:rsidRPr="00356DC7">
        <w:rPr>
          <w:sz w:val="28"/>
          <w:szCs w:val="28"/>
        </w:rPr>
        <w:t>a</w:t>
      </w:r>
      <w:r w:rsidR="00771EF8" w:rsidRPr="00356DC7">
        <w:rPr>
          <w:sz w:val="28"/>
          <w:szCs w:val="28"/>
        </w:rPr>
        <w:t>o</w:t>
      </w:r>
      <w:r w:rsidR="00F75AF2" w:rsidRPr="00356DC7">
        <w:rPr>
          <w:sz w:val="28"/>
          <w:szCs w:val="28"/>
        </w:rPr>
        <w:t>, Dosanjh, Cohen-Tov</w:t>
      </w:r>
      <w:r w:rsidR="00771EF8" w:rsidRPr="00356DC7">
        <w:rPr>
          <w:rFonts w:cstheme="minorHAnsi"/>
          <w:sz w:val="28"/>
          <w:szCs w:val="28"/>
        </w:rPr>
        <w:t>é</w:t>
      </w:r>
      <w:r w:rsidR="00F75AF2" w:rsidRPr="00356DC7">
        <w:rPr>
          <w:sz w:val="28"/>
          <w:szCs w:val="28"/>
        </w:rPr>
        <w:t>e, Clarke &amp; Bhutani (2016)</w:t>
      </w:r>
      <w:bookmarkEnd w:id="0"/>
      <w:r w:rsidR="00287296" w:rsidRPr="00356DC7">
        <w:rPr>
          <w:sz w:val="28"/>
          <w:szCs w:val="28"/>
        </w:rPr>
        <w:t xml:space="preserve">. These studies demonstrated </w:t>
      </w:r>
      <w:r w:rsidR="00F75AF2" w:rsidRPr="00356DC7">
        <w:rPr>
          <w:sz w:val="28"/>
          <w:szCs w:val="28"/>
        </w:rPr>
        <w:t>increasingly poor wellbeing amongst psychological practitioners a</w:t>
      </w:r>
      <w:r w:rsidR="003441AB">
        <w:rPr>
          <w:sz w:val="28"/>
          <w:szCs w:val="28"/>
        </w:rPr>
        <w:t>cross successive annual surveys until</w:t>
      </w:r>
      <w:r w:rsidR="00F75AF2" w:rsidRPr="00356DC7">
        <w:rPr>
          <w:sz w:val="28"/>
          <w:szCs w:val="28"/>
        </w:rPr>
        <w:t xml:space="preserve"> </w:t>
      </w:r>
      <w:r w:rsidR="00374A7D" w:rsidRPr="00356DC7">
        <w:rPr>
          <w:sz w:val="28"/>
          <w:szCs w:val="28"/>
        </w:rPr>
        <w:t xml:space="preserve">48% felt depressed, </w:t>
      </w:r>
      <w:r w:rsidR="00F75AF2" w:rsidRPr="00356DC7">
        <w:rPr>
          <w:sz w:val="28"/>
          <w:szCs w:val="28"/>
        </w:rPr>
        <w:t xml:space="preserve">almost 50% </w:t>
      </w:r>
      <w:r w:rsidR="00374A7D" w:rsidRPr="00356DC7">
        <w:rPr>
          <w:sz w:val="28"/>
          <w:szCs w:val="28"/>
        </w:rPr>
        <w:t xml:space="preserve">felt like </w:t>
      </w:r>
      <w:r w:rsidR="00374A7D" w:rsidRPr="00356DC7">
        <w:rPr>
          <w:sz w:val="28"/>
          <w:szCs w:val="28"/>
        </w:rPr>
        <w:lastRenderedPageBreak/>
        <w:t>a failure and 92% found their job stressful at least some</w:t>
      </w:r>
      <w:r w:rsidR="00374A7D" w:rsidRPr="00344E93">
        <w:rPr>
          <w:sz w:val="28"/>
        </w:rPr>
        <w:t xml:space="preserve"> of the </w:t>
      </w:r>
      <w:r w:rsidR="00374A7D" w:rsidRPr="00356DC7">
        <w:rPr>
          <w:sz w:val="28"/>
          <w:szCs w:val="28"/>
        </w:rPr>
        <w:t>time.</w:t>
      </w:r>
      <w:r w:rsidR="00631326">
        <w:rPr>
          <w:sz w:val="28"/>
          <w:szCs w:val="28"/>
        </w:rPr>
        <w:t xml:space="preserve"> Of additional concern is the lack of priority given to self-care in </w:t>
      </w:r>
      <w:r w:rsidR="008326EE">
        <w:rPr>
          <w:sz w:val="28"/>
          <w:szCs w:val="28"/>
        </w:rPr>
        <w:t xml:space="preserve">psychologists and </w:t>
      </w:r>
      <w:r w:rsidR="00631326">
        <w:rPr>
          <w:sz w:val="28"/>
          <w:szCs w:val="28"/>
        </w:rPr>
        <w:t xml:space="preserve">mental health </w:t>
      </w:r>
      <w:r w:rsidR="008326EE">
        <w:rPr>
          <w:sz w:val="28"/>
          <w:szCs w:val="28"/>
        </w:rPr>
        <w:t xml:space="preserve">professionals. It has been proposed that despite the </w:t>
      </w:r>
      <w:r w:rsidR="00641273">
        <w:rPr>
          <w:sz w:val="28"/>
          <w:szCs w:val="28"/>
        </w:rPr>
        <w:t xml:space="preserve">potential increased personal challenges associated with being a mental health professional, </w:t>
      </w:r>
      <w:r w:rsidR="008326EE">
        <w:rPr>
          <w:sz w:val="28"/>
          <w:szCs w:val="28"/>
        </w:rPr>
        <w:t>the</w:t>
      </w:r>
      <w:r w:rsidR="00641273">
        <w:rPr>
          <w:sz w:val="28"/>
          <w:szCs w:val="28"/>
        </w:rPr>
        <w:t xml:space="preserve">y are prone to avoiding treatment or support (Dattilio, 2015). </w:t>
      </w:r>
    </w:p>
    <w:p w14:paraId="2037AEFF" w14:textId="77777777" w:rsidR="00B00D94" w:rsidRDefault="00B00D94" w:rsidP="00B00D94">
      <w:pPr>
        <w:jc w:val="center"/>
        <w:rPr>
          <w:i/>
          <w:iCs/>
          <w:sz w:val="28"/>
          <w:szCs w:val="28"/>
        </w:rPr>
      </w:pPr>
      <w:r w:rsidRPr="00805DE4">
        <w:rPr>
          <w:i/>
          <w:iCs/>
          <w:sz w:val="28"/>
          <w:szCs w:val="28"/>
        </w:rPr>
        <w:t>Table 1 about here</w:t>
      </w:r>
    </w:p>
    <w:p w14:paraId="13412882" w14:textId="421D509C" w:rsidR="00BF4664" w:rsidRPr="00A505D6" w:rsidRDefault="00641273" w:rsidP="00BF4664">
      <w:pPr>
        <w:rPr>
          <w:rFonts w:cstheme="minorHAnsi"/>
          <w:color w:val="000000"/>
          <w:sz w:val="28"/>
          <w:shd w:val="clear" w:color="auto" w:fill="FFFFFF"/>
        </w:rPr>
      </w:pPr>
      <w:r>
        <w:rPr>
          <w:rFonts w:cstheme="minorHAnsi"/>
          <w:color w:val="000000"/>
          <w:sz w:val="28"/>
          <w:shd w:val="clear" w:color="auto" w:fill="FFFFFF"/>
        </w:rPr>
        <w:t>T</w:t>
      </w:r>
      <w:r w:rsidRPr="00BF4664">
        <w:rPr>
          <w:rFonts w:cstheme="minorHAnsi"/>
          <w:color w:val="000000"/>
          <w:sz w:val="28"/>
          <w:shd w:val="clear" w:color="auto" w:fill="FFFFFF"/>
        </w:rPr>
        <w:t xml:space="preserve">here is a </w:t>
      </w:r>
      <w:r w:rsidR="003441AB">
        <w:rPr>
          <w:rFonts w:cstheme="minorHAnsi"/>
          <w:color w:val="000000"/>
          <w:sz w:val="28"/>
          <w:shd w:val="clear" w:color="auto" w:fill="FFFFFF"/>
        </w:rPr>
        <w:t>little</w:t>
      </w:r>
      <w:r w:rsidRPr="00BF4664">
        <w:rPr>
          <w:rFonts w:cstheme="minorHAnsi"/>
          <w:color w:val="000000"/>
          <w:sz w:val="28"/>
          <w:shd w:val="clear" w:color="auto" w:fill="FFFFFF"/>
        </w:rPr>
        <w:t xml:space="preserve"> research comparing the rates of burnout across professions</w:t>
      </w:r>
      <w:r w:rsidR="00FD7E84">
        <w:rPr>
          <w:rFonts w:cstheme="minorHAnsi"/>
          <w:color w:val="000000"/>
          <w:sz w:val="28"/>
          <w:shd w:val="clear" w:color="auto" w:fill="FFFFFF"/>
        </w:rPr>
        <w:t xml:space="preserve"> to allow comparison of </w:t>
      </w:r>
      <w:r>
        <w:rPr>
          <w:rFonts w:cstheme="minorHAnsi"/>
          <w:color w:val="000000"/>
          <w:sz w:val="28"/>
          <w:shd w:val="clear" w:color="auto" w:fill="FFFFFF"/>
        </w:rPr>
        <w:t>the wellbeing of psychological practitioners</w:t>
      </w:r>
      <w:r w:rsidR="00FD7E84">
        <w:rPr>
          <w:rFonts w:cstheme="minorHAnsi"/>
          <w:color w:val="000000"/>
          <w:sz w:val="28"/>
          <w:shd w:val="clear" w:color="auto" w:fill="FFFFFF"/>
        </w:rPr>
        <w:t xml:space="preserve"> with </w:t>
      </w:r>
      <w:r w:rsidR="00BF4664" w:rsidRPr="00BF4664">
        <w:rPr>
          <w:rFonts w:cstheme="minorHAnsi"/>
          <w:color w:val="000000"/>
          <w:sz w:val="28"/>
          <w:shd w:val="clear" w:color="auto" w:fill="FFFFFF"/>
        </w:rPr>
        <w:t>the wider mental health work</w:t>
      </w:r>
      <w:r>
        <w:rPr>
          <w:rFonts w:cstheme="minorHAnsi"/>
          <w:color w:val="000000"/>
          <w:sz w:val="28"/>
          <w:shd w:val="clear" w:color="auto" w:fill="FFFFFF"/>
        </w:rPr>
        <w:t>force</w:t>
      </w:r>
      <w:r w:rsidR="00BF4664" w:rsidRPr="00BF4664">
        <w:rPr>
          <w:rFonts w:cstheme="minorHAnsi"/>
          <w:color w:val="000000"/>
          <w:sz w:val="28"/>
          <w:shd w:val="clear" w:color="auto" w:fill="FFFFFF"/>
        </w:rPr>
        <w:t xml:space="preserve">. </w:t>
      </w:r>
      <w:r w:rsidR="00BF4664" w:rsidRPr="00BF4664">
        <w:rPr>
          <w:rFonts w:cstheme="minorHAnsi"/>
          <w:color w:val="111111"/>
          <w:sz w:val="28"/>
          <w:shd w:val="clear" w:color="auto" w:fill="FFFFFF"/>
        </w:rPr>
        <w:t>Most studies appear to ei</w:t>
      </w:r>
      <w:r w:rsidR="00BF4664" w:rsidRPr="00BF4664">
        <w:rPr>
          <w:rFonts w:cstheme="minorHAnsi"/>
          <w:color w:val="000000"/>
          <w:sz w:val="28"/>
          <w:shd w:val="clear" w:color="auto" w:fill="FFFFFF"/>
        </w:rPr>
        <w:t>ther focus on levels of burnout in single professional groups</w:t>
      </w:r>
      <w:r w:rsidR="00BF4664">
        <w:rPr>
          <w:rFonts w:cstheme="minorHAnsi"/>
          <w:color w:val="000000"/>
          <w:sz w:val="28"/>
          <w:shd w:val="clear" w:color="auto" w:fill="FFFFFF"/>
        </w:rPr>
        <w:t>,</w:t>
      </w:r>
      <w:r w:rsidR="00BF4664" w:rsidRPr="00BF4664">
        <w:rPr>
          <w:rFonts w:cstheme="minorHAnsi"/>
          <w:color w:val="000000"/>
          <w:sz w:val="28"/>
          <w:shd w:val="clear" w:color="auto" w:fill="FFFFFF"/>
        </w:rPr>
        <w:t xml:space="preserve"> or levels of burnout are assessed within a single service type. However, </w:t>
      </w:r>
      <w:r w:rsidR="00914062" w:rsidRPr="00BF4664">
        <w:rPr>
          <w:sz w:val="28"/>
        </w:rPr>
        <w:t xml:space="preserve">Johnson et al. (2012) </w:t>
      </w:r>
      <w:r w:rsidR="00914062">
        <w:rPr>
          <w:rFonts w:cstheme="minorHAnsi"/>
          <w:color w:val="000000"/>
          <w:sz w:val="28"/>
          <w:shd w:val="clear" w:color="auto" w:fill="FFFFFF"/>
        </w:rPr>
        <w:t>conducted</w:t>
      </w:r>
      <w:r w:rsidR="00BF4664" w:rsidRPr="00BF4664">
        <w:rPr>
          <w:sz w:val="28"/>
        </w:rPr>
        <w:t xml:space="preserve"> a large sample of mental health professionals in England (n= 2</w:t>
      </w:r>
      <w:r w:rsidR="003441AB">
        <w:rPr>
          <w:sz w:val="28"/>
        </w:rPr>
        <w:t>,</w:t>
      </w:r>
      <w:r w:rsidR="00BF4664" w:rsidRPr="00BF4664">
        <w:rPr>
          <w:sz w:val="28"/>
        </w:rPr>
        <w:t>258)</w:t>
      </w:r>
      <w:r w:rsidR="00914062">
        <w:rPr>
          <w:sz w:val="28"/>
        </w:rPr>
        <w:t xml:space="preserve"> including social workers, occupational therapists, nurses, clinical psychologists, nursing assistants, psychiatrists, and service managers. They</w:t>
      </w:r>
      <w:r w:rsidR="00BF4664" w:rsidRPr="00BF4664">
        <w:rPr>
          <w:sz w:val="28"/>
        </w:rPr>
        <w:t xml:space="preserve"> repo</w:t>
      </w:r>
      <w:r w:rsidR="00A86BB6">
        <w:rPr>
          <w:sz w:val="28"/>
        </w:rPr>
        <w:t xml:space="preserve">rted </w:t>
      </w:r>
      <w:r w:rsidR="00914062">
        <w:rPr>
          <w:sz w:val="28"/>
        </w:rPr>
        <w:t>significant differences across the professional groups with the mean for social workers, nurses and occupational therapists reaching the threshold for high burnout while the other professions were below the threshold.</w:t>
      </w:r>
      <w:r w:rsidR="00BF4664" w:rsidRPr="00BF4664">
        <w:rPr>
          <w:sz w:val="28"/>
        </w:rPr>
        <w:t xml:space="preserve"> </w:t>
      </w:r>
      <w:r w:rsidR="00BF4664" w:rsidRPr="00BF4664">
        <w:rPr>
          <w:rFonts w:cstheme="minorHAnsi"/>
          <w:color w:val="000000"/>
          <w:sz w:val="28"/>
          <w:shd w:val="clear" w:color="auto" w:fill="FFFFFF"/>
        </w:rPr>
        <w:t>In contrast</w:t>
      </w:r>
      <w:r w:rsidR="000C36FA">
        <w:rPr>
          <w:rFonts w:cstheme="minorHAnsi"/>
          <w:color w:val="000000"/>
          <w:sz w:val="28"/>
          <w:shd w:val="clear" w:color="auto" w:fill="FFFFFF"/>
        </w:rPr>
        <w:t>,</w:t>
      </w:r>
      <w:r w:rsidR="00BF4664" w:rsidRPr="00BF4664">
        <w:rPr>
          <w:rFonts w:cstheme="minorHAnsi"/>
          <w:color w:val="000000"/>
          <w:sz w:val="28"/>
          <w:shd w:val="clear" w:color="auto" w:fill="FFFFFF"/>
        </w:rPr>
        <w:t xml:space="preserve"> in Israel, </w:t>
      </w:r>
      <w:r w:rsidR="00BF4664" w:rsidRPr="00BF4664">
        <w:rPr>
          <w:rFonts w:cstheme="minorHAnsi"/>
          <w:color w:val="111111"/>
          <w:sz w:val="28"/>
          <w:shd w:val="clear" w:color="auto" w:fill="FFFFFF"/>
        </w:rPr>
        <w:t>no differences in stress or burnout were</w:t>
      </w:r>
      <w:r w:rsidR="00914062">
        <w:rPr>
          <w:rFonts w:cstheme="minorHAnsi"/>
          <w:color w:val="111111"/>
          <w:sz w:val="28"/>
          <w:shd w:val="clear" w:color="auto" w:fill="FFFFFF"/>
        </w:rPr>
        <w:t xml:space="preserve"> observed between </w:t>
      </w:r>
      <w:r w:rsidR="002005A0">
        <w:rPr>
          <w:rFonts w:cstheme="minorHAnsi"/>
          <w:color w:val="111111"/>
          <w:sz w:val="28"/>
          <w:shd w:val="clear" w:color="auto" w:fill="FFFFFF"/>
        </w:rPr>
        <w:t xml:space="preserve">249 female </w:t>
      </w:r>
      <w:r w:rsidR="00914062">
        <w:rPr>
          <w:rFonts w:cstheme="minorHAnsi"/>
          <w:color w:val="111111"/>
          <w:sz w:val="28"/>
          <w:shd w:val="clear" w:color="auto" w:fill="FFFFFF"/>
        </w:rPr>
        <w:t>psychologists, nurses and social workers</w:t>
      </w:r>
      <w:r w:rsidR="00BF4664" w:rsidRPr="00BF4664">
        <w:rPr>
          <w:rFonts w:cstheme="minorHAnsi"/>
          <w:color w:val="111111"/>
          <w:sz w:val="28"/>
          <w:shd w:val="clear" w:color="auto" w:fill="FFFFFF"/>
        </w:rPr>
        <w:t xml:space="preserve">, except for the depersonalization outcome of burnout, which was significantly lower among psychologists than among nurses or social workers (Ben-Zur &amp; Michael, 2007). </w:t>
      </w:r>
      <w:r w:rsidR="003441AB">
        <w:rPr>
          <w:rFonts w:cstheme="minorHAnsi"/>
          <w:color w:val="111111"/>
          <w:sz w:val="28"/>
          <w:shd w:val="clear" w:color="auto" w:fill="FFFFFF"/>
        </w:rPr>
        <w:t>However, this</w:t>
      </w:r>
      <w:r w:rsidR="00FD7E84">
        <w:rPr>
          <w:rFonts w:cstheme="minorHAnsi"/>
          <w:color w:val="111111"/>
          <w:sz w:val="28"/>
          <w:shd w:val="clear" w:color="auto" w:fill="FFFFFF"/>
        </w:rPr>
        <w:t xml:space="preserve"> sample size was small for detecting </w:t>
      </w:r>
      <w:r w:rsidR="00F4630B">
        <w:rPr>
          <w:rFonts w:cstheme="minorHAnsi"/>
          <w:color w:val="111111"/>
          <w:sz w:val="28"/>
          <w:shd w:val="clear" w:color="auto" w:fill="FFFFFF"/>
        </w:rPr>
        <w:t>statistically significant</w:t>
      </w:r>
      <w:r w:rsidR="002005A0">
        <w:rPr>
          <w:rFonts w:cstheme="minorHAnsi"/>
          <w:color w:val="111111"/>
          <w:sz w:val="28"/>
          <w:shd w:val="clear" w:color="auto" w:fill="FFFFFF"/>
        </w:rPr>
        <w:t xml:space="preserve"> subgroup </w:t>
      </w:r>
      <w:r w:rsidR="00FD7E84">
        <w:rPr>
          <w:rFonts w:cstheme="minorHAnsi"/>
          <w:color w:val="111111"/>
          <w:sz w:val="28"/>
          <w:shd w:val="clear" w:color="auto" w:fill="FFFFFF"/>
        </w:rPr>
        <w:t>differences.</w:t>
      </w:r>
    </w:p>
    <w:p w14:paraId="45BBBBB9" w14:textId="77777777" w:rsidR="00B866C1" w:rsidRPr="00D75EE5" w:rsidRDefault="00EA1361">
      <w:pPr>
        <w:rPr>
          <w:sz w:val="28"/>
          <w:szCs w:val="28"/>
        </w:rPr>
      </w:pPr>
      <w:r>
        <w:rPr>
          <w:sz w:val="28"/>
          <w:szCs w:val="28"/>
        </w:rPr>
        <w:t xml:space="preserve">Two issues </w:t>
      </w:r>
      <w:r w:rsidR="00374A7D">
        <w:rPr>
          <w:sz w:val="28"/>
          <w:szCs w:val="28"/>
        </w:rPr>
        <w:t xml:space="preserve">with </w:t>
      </w:r>
      <w:r w:rsidR="003D34EB">
        <w:rPr>
          <w:sz w:val="28"/>
          <w:szCs w:val="28"/>
        </w:rPr>
        <w:t xml:space="preserve">workplace wellbeing </w:t>
      </w:r>
      <w:r>
        <w:rPr>
          <w:sz w:val="28"/>
          <w:szCs w:val="28"/>
        </w:rPr>
        <w:t xml:space="preserve">research to date are the lack of a validated measure specific to psychological practitioners and </w:t>
      </w:r>
      <w:r w:rsidR="00374A7D">
        <w:rPr>
          <w:sz w:val="28"/>
          <w:szCs w:val="28"/>
        </w:rPr>
        <w:t>the focus on burnout and the negative facets of work experience</w:t>
      </w:r>
      <w:r w:rsidR="00287296">
        <w:rPr>
          <w:sz w:val="28"/>
          <w:szCs w:val="28"/>
        </w:rPr>
        <w:t xml:space="preserve"> rather than wellbeing</w:t>
      </w:r>
      <w:r w:rsidR="00374A7D">
        <w:rPr>
          <w:sz w:val="28"/>
          <w:szCs w:val="28"/>
        </w:rPr>
        <w:t>. Maben et al., (2012) made a convincing case for considering both positive and negative aspect</w:t>
      </w:r>
      <w:r w:rsidR="00500904">
        <w:rPr>
          <w:sz w:val="28"/>
          <w:szCs w:val="28"/>
        </w:rPr>
        <w:t>s</w:t>
      </w:r>
      <w:r w:rsidR="00374A7D">
        <w:rPr>
          <w:sz w:val="28"/>
          <w:szCs w:val="28"/>
        </w:rPr>
        <w:t xml:space="preserve"> of workplace experience to reach an overall appraisal of employee wellbeing. This approach is echoed b</w:t>
      </w:r>
      <w:r w:rsidR="00B866C1">
        <w:rPr>
          <w:sz w:val="28"/>
          <w:szCs w:val="28"/>
        </w:rPr>
        <w:t xml:space="preserve">y </w:t>
      </w:r>
      <w:r w:rsidR="00374A7D">
        <w:rPr>
          <w:sz w:val="28"/>
          <w:szCs w:val="28"/>
        </w:rPr>
        <w:t xml:space="preserve">models of workplace wellbeing that identify resources as positive aspects and demands or threats to resources as negative </w:t>
      </w:r>
      <w:r w:rsidR="00B866C1">
        <w:rPr>
          <w:sz w:val="28"/>
          <w:szCs w:val="28"/>
        </w:rPr>
        <w:t>aspects (Bakker &amp; Demerouti, 2007; Hobfoll &amp; Shiron, 2001).</w:t>
      </w:r>
      <w:r>
        <w:rPr>
          <w:sz w:val="28"/>
          <w:szCs w:val="28"/>
        </w:rPr>
        <w:t xml:space="preserve">  </w:t>
      </w:r>
      <w:r w:rsidR="00B866C1">
        <w:rPr>
          <w:sz w:val="28"/>
          <w:szCs w:val="28"/>
        </w:rPr>
        <w:t>Summers et al. (</w:t>
      </w:r>
      <w:r w:rsidR="00105E47">
        <w:rPr>
          <w:sz w:val="28"/>
          <w:szCs w:val="28"/>
        </w:rPr>
        <w:t>2020</w:t>
      </w:r>
      <w:r w:rsidR="00B866C1">
        <w:rPr>
          <w:sz w:val="28"/>
          <w:szCs w:val="28"/>
        </w:rPr>
        <w:t xml:space="preserve">) addressed the dual problems of the lack of a validated measure of workplace wellbeing </w:t>
      </w:r>
      <w:r w:rsidR="003D34EB">
        <w:rPr>
          <w:sz w:val="28"/>
          <w:szCs w:val="28"/>
        </w:rPr>
        <w:t>f</w:t>
      </w:r>
      <w:r w:rsidR="00B866C1">
        <w:rPr>
          <w:sz w:val="28"/>
          <w:szCs w:val="28"/>
        </w:rPr>
        <w:t xml:space="preserve">or psychological practitioners and the need to consider both </w:t>
      </w:r>
      <w:r w:rsidR="003D34EB">
        <w:rPr>
          <w:sz w:val="28"/>
          <w:szCs w:val="28"/>
        </w:rPr>
        <w:t xml:space="preserve">the positive and negative facets of wellbeing. This research </w:t>
      </w:r>
      <w:r w:rsidR="00B866C1">
        <w:rPr>
          <w:sz w:val="28"/>
          <w:szCs w:val="28"/>
        </w:rPr>
        <w:t>develop</w:t>
      </w:r>
      <w:r w:rsidR="003D34EB">
        <w:rPr>
          <w:sz w:val="28"/>
          <w:szCs w:val="28"/>
        </w:rPr>
        <w:t>ed</w:t>
      </w:r>
      <w:r w:rsidR="00B866C1">
        <w:rPr>
          <w:sz w:val="28"/>
          <w:szCs w:val="28"/>
        </w:rPr>
        <w:t xml:space="preserve"> the Psychological Practitioner Workplace Wellbeing Measure (PPWWM)</w:t>
      </w:r>
      <w:r w:rsidR="003D34EB">
        <w:rPr>
          <w:sz w:val="28"/>
          <w:szCs w:val="28"/>
        </w:rPr>
        <w:t xml:space="preserve">, a </w:t>
      </w:r>
      <w:r w:rsidR="00D84F57">
        <w:rPr>
          <w:sz w:val="28"/>
          <w:szCs w:val="28"/>
        </w:rPr>
        <w:t xml:space="preserve">brief </w:t>
      </w:r>
      <w:r w:rsidR="00B866C1">
        <w:rPr>
          <w:sz w:val="28"/>
          <w:szCs w:val="28"/>
        </w:rPr>
        <w:t xml:space="preserve">26-item measure based on </w:t>
      </w:r>
      <w:r w:rsidR="003D34EB">
        <w:rPr>
          <w:sz w:val="28"/>
          <w:szCs w:val="28"/>
        </w:rPr>
        <w:t xml:space="preserve">items derived from </w:t>
      </w:r>
      <w:r w:rsidR="00B866C1">
        <w:rPr>
          <w:sz w:val="28"/>
          <w:szCs w:val="28"/>
        </w:rPr>
        <w:t>a qualitative study of practitioners</w:t>
      </w:r>
      <w:r w:rsidR="00D84F57">
        <w:rPr>
          <w:sz w:val="28"/>
          <w:szCs w:val="28"/>
        </w:rPr>
        <w:t xml:space="preserve">. </w:t>
      </w:r>
    </w:p>
    <w:p w14:paraId="4E1D8066" w14:textId="77777777" w:rsidR="00D75EE5" w:rsidRDefault="004150E1">
      <w:pPr>
        <w:rPr>
          <w:sz w:val="28"/>
          <w:szCs w:val="28"/>
        </w:rPr>
      </w:pPr>
      <w:r w:rsidRPr="00C80F53">
        <w:rPr>
          <w:sz w:val="28"/>
          <w:szCs w:val="28"/>
        </w:rPr>
        <w:t>Th</w:t>
      </w:r>
      <w:r w:rsidR="003D34EB" w:rsidRPr="00C80F53">
        <w:rPr>
          <w:sz w:val="28"/>
          <w:szCs w:val="28"/>
        </w:rPr>
        <w:t>e present</w:t>
      </w:r>
      <w:r w:rsidRPr="00C80F53">
        <w:rPr>
          <w:sz w:val="28"/>
          <w:szCs w:val="28"/>
        </w:rPr>
        <w:t xml:space="preserve"> study </w:t>
      </w:r>
      <w:r w:rsidR="00503BCD">
        <w:rPr>
          <w:sz w:val="28"/>
          <w:szCs w:val="28"/>
        </w:rPr>
        <w:t xml:space="preserve">used </w:t>
      </w:r>
      <w:r w:rsidR="00503BCD" w:rsidRPr="00C80F53">
        <w:rPr>
          <w:sz w:val="28"/>
          <w:szCs w:val="28"/>
        </w:rPr>
        <w:t>existing</w:t>
      </w:r>
      <w:r w:rsidR="00605C08">
        <w:rPr>
          <w:sz w:val="28"/>
          <w:szCs w:val="28"/>
        </w:rPr>
        <w:t xml:space="preserve"> </w:t>
      </w:r>
      <w:r w:rsidR="00287296">
        <w:rPr>
          <w:sz w:val="28"/>
          <w:szCs w:val="28"/>
        </w:rPr>
        <w:t xml:space="preserve">data collected for the </w:t>
      </w:r>
      <w:r w:rsidR="007C5EB3" w:rsidRPr="00C80F53">
        <w:rPr>
          <w:sz w:val="28"/>
          <w:szCs w:val="28"/>
        </w:rPr>
        <w:t>annual</w:t>
      </w:r>
      <w:r w:rsidR="00067F38" w:rsidRPr="00C80F53">
        <w:rPr>
          <w:sz w:val="28"/>
          <w:szCs w:val="28"/>
        </w:rPr>
        <w:t xml:space="preserve"> national survey </w:t>
      </w:r>
      <w:r w:rsidR="000F5B6D" w:rsidRPr="00C80F53">
        <w:rPr>
          <w:sz w:val="28"/>
          <w:szCs w:val="28"/>
        </w:rPr>
        <w:t>delivered by T</w:t>
      </w:r>
      <w:r w:rsidR="00067F38" w:rsidRPr="00C80F53">
        <w:rPr>
          <w:sz w:val="28"/>
          <w:szCs w:val="28"/>
        </w:rPr>
        <w:t>he New Savoy Partnership</w:t>
      </w:r>
      <w:r w:rsidR="000F5B6D" w:rsidRPr="00C80F53">
        <w:rPr>
          <w:sz w:val="28"/>
          <w:szCs w:val="28"/>
        </w:rPr>
        <w:t xml:space="preserve"> and Leadership and Management Faculty of the </w:t>
      </w:r>
      <w:r w:rsidR="00067F38" w:rsidRPr="00C80F53">
        <w:rPr>
          <w:sz w:val="28"/>
          <w:szCs w:val="28"/>
        </w:rPr>
        <w:t>British Psychological Society</w:t>
      </w:r>
      <w:r w:rsidR="000F5B6D" w:rsidRPr="00C80F53">
        <w:rPr>
          <w:sz w:val="28"/>
          <w:szCs w:val="28"/>
        </w:rPr>
        <w:t>, Division of Clinical Psychology</w:t>
      </w:r>
      <w:r w:rsidR="00067F38" w:rsidRPr="00C80F53">
        <w:rPr>
          <w:sz w:val="28"/>
          <w:szCs w:val="28"/>
        </w:rPr>
        <w:t xml:space="preserve">. </w:t>
      </w:r>
      <w:r w:rsidR="00287296">
        <w:rPr>
          <w:sz w:val="28"/>
          <w:szCs w:val="28"/>
        </w:rPr>
        <w:t>This</w:t>
      </w:r>
      <w:r w:rsidR="00067F38" w:rsidRPr="000F5B6D">
        <w:rPr>
          <w:sz w:val="28"/>
          <w:szCs w:val="28"/>
        </w:rPr>
        <w:t xml:space="preserve"> survey was predicated by concerns for the wellbeing of the psychological workforce and was designed to inform policy and guidelines. </w:t>
      </w:r>
      <w:r w:rsidR="00287296">
        <w:rPr>
          <w:sz w:val="28"/>
          <w:szCs w:val="28"/>
        </w:rPr>
        <w:t>It</w:t>
      </w:r>
      <w:r w:rsidR="00067F38" w:rsidRPr="000F5B6D">
        <w:rPr>
          <w:sz w:val="28"/>
          <w:szCs w:val="28"/>
        </w:rPr>
        <w:t xml:space="preserve"> was sent to </w:t>
      </w:r>
      <w:r w:rsidR="009458BE" w:rsidRPr="000F5B6D">
        <w:rPr>
          <w:sz w:val="28"/>
          <w:szCs w:val="28"/>
        </w:rPr>
        <w:t>psychological practitioners from a range of psychological sub-professions</w:t>
      </w:r>
      <w:r w:rsidR="00287296">
        <w:rPr>
          <w:sz w:val="28"/>
          <w:szCs w:val="28"/>
        </w:rPr>
        <w:t xml:space="preserve"> with a focus on those d</w:t>
      </w:r>
      <w:r w:rsidR="009458BE">
        <w:rPr>
          <w:sz w:val="28"/>
          <w:szCs w:val="28"/>
        </w:rPr>
        <w:t>elivering talking-based therapies</w:t>
      </w:r>
      <w:r w:rsidR="00287296">
        <w:rPr>
          <w:sz w:val="28"/>
          <w:szCs w:val="28"/>
        </w:rPr>
        <w:t xml:space="preserve">. </w:t>
      </w:r>
      <w:r w:rsidR="00AC5193">
        <w:rPr>
          <w:sz w:val="28"/>
          <w:szCs w:val="28"/>
        </w:rPr>
        <w:t xml:space="preserve">The </w:t>
      </w:r>
      <w:r w:rsidR="00AC5193">
        <w:rPr>
          <w:sz w:val="28"/>
          <w:szCs w:val="28"/>
        </w:rPr>
        <w:lastRenderedPageBreak/>
        <w:t xml:space="preserve">survey used </w:t>
      </w:r>
      <w:r w:rsidR="009458BE">
        <w:rPr>
          <w:sz w:val="28"/>
          <w:szCs w:val="28"/>
        </w:rPr>
        <w:t xml:space="preserve">the PPWWM, a </w:t>
      </w:r>
      <w:r w:rsidR="00475E1C">
        <w:rPr>
          <w:sz w:val="28"/>
          <w:szCs w:val="28"/>
        </w:rPr>
        <w:t xml:space="preserve">generic </w:t>
      </w:r>
      <w:r w:rsidR="009458BE">
        <w:rPr>
          <w:sz w:val="28"/>
          <w:szCs w:val="28"/>
        </w:rPr>
        <w:t>wellbeing measure (The Short F</w:t>
      </w:r>
      <w:r w:rsidR="00AC5193">
        <w:rPr>
          <w:sz w:val="28"/>
          <w:szCs w:val="28"/>
        </w:rPr>
        <w:t>or</w:t>
      </w:r>
      <w:r w:rsidR="009458BE">
        <w:rPr>
          <w:sz w:val="28"/>
          <w:szCs w:val="28"/>
        </w:rPr>
        <w:t>m Warwick-Edinburgh Mental Wellbeing Scale – SWEMWBS</w:t>
      </w:r>
      <w:r w:rsidR="00AC5193">
        <w:rPr>
          <w:sz w:val="28"/>
          <w:szCs w:val="28"/>
        </w:rPr>
        <w:t>—Stewart-Brown et al., 2009</w:t>
      </w:r>
      <w:r w:rsidR="009458BE">
        <w:rPr>
          <w:sz w:val="28"/>
          <w:szCs w:val="28"/>
        </w:rPr>
        <w:t xml:space="preserve">) and some specific questions from the </w:t>
      </w:r>
      <w:r w:rsidR="003D34EB">
        <w:rPr>
          <w:sz w:val="28"/>
          <w:szCs w:val="28"/>
        </w:rPr>
        <w:t>National Health Service (UK) staff survey (NHS staff survey coordination centre, 2018)</w:t>
      </w:r>
      <w:r w:rsidR="00067F38">
        <w:rPr>
          <w:sz w:val="28"/>
          <w:szCs w:val="28"/>
        </w:rPr>
        <w:t>.</w:t>
      </w:r>
      <w:r w:rsidR="009458BE">
        <w:rPr>
          <w:sz w:val="28"/>
          <w:szCs w:val="28"/>
        </w:rPr>
        <w:t xml:space="preserve">  </w:t>
      </w:r>
    </w:p>
    <w:p w14:paraId="4F58D947" w14:textId="25996087" w:rsidR="00635E4F" w:rsidRDefault="009A4D9A">
      <w:pPr>
        <w:rPr>
          <w:sz w:val="28"/>
          <w:szCs w:val="28"/>
        </w:rPr>
      </w:pPr>
      <w:r>
        <w:rPr>
          <w:sz w:val="28"/>
          <w:szCs w:val="28"/>
        </w:rPr>
        <w:t>Specific research questions included</w:t>
      </w:r>
      <w:r w:rsidR="001343F8">
        <w:rPr>
          <w:sz w:val="28"/>
          <w:szCs w:val="28"/>
        </w:rPr>
        <w:t>:</w:t>
      </w:r>
      <w:r>
        <w:rPr>
          <w:sz w:val="28"/>
          <w:szCs w:val="28"/>
        </w:rPr>
        <w:t xml:space="preserve"> the </w:t>
      </w:r>
      <w:r w:rsidR="003D34EB">
        <w:rPr>
          <w:sz w:val="28"/>
          <w:szCs w:val="28"/>
        </w:rPr>
        <w:t xml:space="preserve">determination of averages for </w:t>
      </w:r>
      <w:r>
        <w:rPr>
          <w:sz w:val="28"/>
          <w:szCs w:val="28"/>
        </w:rPr>
        <w:t>workplace wellbeing of psychological practitioner</w:t>
      </w:r>
      <w:r w:rsidR="003D34EB">
        <w:rPr>
          <w:sz w:val="28"/>
          <w:szCs w:val="28"/>
        </w:rPr>
        <w:t xml:space="preserve"> </w:t>
      </w:r>
      <w:r w:rsidR="00EA1361">
        <w:rPr>
          <w:sz w:val="28"/>
          <w:szCs w:val="28"/>
        </w:rPr>
        <w:t>sub-</w:t>
      </w:r>
      <w:r w:rsidR="003D34EB">
        <w:rPr>
          <w:sz w:val="28"/>
          <w:szCs w:val="28"/>
        </w:rPr>
        <w:t>groups</w:t>
      </w:r>
      <w:r>
        <w:rPr>
          <w:sz w:val="28"/>
          <w:szCs w:val="28"/>
        </w:rPr>
        <w:t xml:space="preserve"> in the UK; the exploration of subgroup differences</w:t>
      </w:r>
      <w:r w:rsidR="00356DC7">
        <w:rPr>
          <w:sz w:val="28"/>
          <w:szCs w:val="28"/>
        </w:rPr>
        <w:t xml:space="preserve"> </w:t>
      </w:r>
      <w:r w:rsidR="00475E1C">
        <w:rPr>
          <w:sz w:val="28"/>
          <w:szCs w:val="28"/>
        </w:rPr>
        <w:t xml:space="preserve">(including profession, </w:t>
      </w:r>
      <w:r w:rsidR="00356DC7" w:rsidRPr="00FE7315">
        <w:rPr>
          <w:sz w:val="28"/>
          <w:szCs w:val="28"/>
        </w:rPr>
        <w:t>gender</w:t>
      </w:r>
      <w:r w:rsidR="00475E1C">
        <w:rPr>
          <w:sz w:val="28"/>
          <w:szCs w:val="28"/>
        </w:rPr>
        <w:t xml:space="preserve"> and disability</w:t>
      </w:r>
      <w:r w:rsidR="00356DC7" w:rsidRPr="00FE7315">
        <w:rPr>
          <w:sz w:val="28"/>
          <w:szCs w:val="28"/>
        </w:rPr>
        <w:t>)</w:t>
      </w:r>
      <w:r w:rsidR="003D34EB" w:rsidRPr="00FE7315">
        <w:rPr>
          <w:sz w:val="28"/>
          <w:szCs w:val="28"/>
        </w:rPr>
        <w:t>;</w:t>
      </w:r>
      <w:r w:rsidR="003D34EB">
        <w:rPr>
          <w:sz w:val="28"/>
          <w:szCs w:val="28"/>
        </w:rPr>
        <w:t xml:space="preserve"> </w:t>
      </w:r>
      <w:r w:rsidR="001343F8">
        <w:rPr>
          <w:sz w:val="28"/>
          <w:szCs w:val="28"/>
        </w:rPr>
        <w:t xml:space="preserve">association of wellbeing </w:t>
      </w:r>
      <w:r w:rsidR="003D34EB">
        <w:rPr>
          <w:sz w:val="28"/>
          <w:szCs w:val="28"/>
        </w:rPr>
        <w:t xml:space="preserve">with demographic </w:t>
      </w:r>
      <w:r w:rsidR="001343F8">
        <w:rPr>
          <w:sz w:val="28"/>
          <w:szCs w:val="28"/>
        </w:rPr>
        <w:t xml:space="preserve">variables; the correlation </w:t>
      </w:r>
      <w:r w:rsidR="00EA1361">
        <w:rPr>
          <w:sz w:val="28"/>
          <w:szCs w:val="28"/>
        </w:rPr>
        <w:t>of the PPWWM with the SWEMWBS and its</w:t>
      </w:r>
      <w:r w:rsidR="001343F8">
        <w:rPr>
          <w:sz w:val="28"/>
          <w:szCs w:val="28"/>
        </w:rPr>
        <w:t xml:space="preserve"> association with specific questions from the NHS staff survey</w:t>
      </w:r>
      <w:r w:rsidR="00FE7315">
        <w:rPr>
          <w:sz w:val="28"/>
          <w:szCs w:val="28"/>
        </w:rPr>
        <w:t xml:space="preserve"> relating to harassment and bullying</w:t>
      </w:r>
      <w:r w:rsidR="001343F8">
        <w:rPr>
          <w:sz w:val="28"/>
          <w:szCs w:val="28"/>
        </w:rPr>
        <w:t>.</w:t>
      </w:r>
      <w:r>
        <w:rPr>
          <w:sz w:val="28"/>
          <w:szCs w:val="28"/>
        </w:rPr>
        <w:t xml:space="preserve"> </w:t>
      </w:r>
      <w:r w:rsidR="00635E4F">
        <w:rPr>
          <w:sz w:val="28"/>
          <w:szCs w:val="28"/>
        </w:rPr>
        <w:t>Since gender differences in the workforce are currently an area of interest and concern (Office for National Statistics, 2019) key results were reported separately for males and females.</w:t>
      </w:r>
    </w:p>
    <w:p w14:paraId="5CD39AE0" w14:textId="4DEE7059" w:rsidR="009A4D9A" w:rsidRPr="004150E1" w:rsidRDefault="009A4D9A">
      <w:pPr>
        <w:rPr>
          <w:sz w:val="28"/>
          <w:szCs w:val="28"/>
        </w:rPr>
      </w:pPr>
      <w:r>
        <w:rPr>
          <w:sz w:val="28"/>
          <w:szCs w:val="28"/>
        </w:rPr>
        <w:t>Additionally</w:t>
      </w:r>
      <w:r w:rsidR="004B6FB1">
        <w:rPr>
          <w:sz w:val="28"/>
          <w:szCs w:val="28"/>
        </w:rPr>
        <w:t>,</w:t>
      </w:r>
      <w:r>
        <w:rPr>
          <w:sz w:val="28"/>
          <w:szCs w:val="28"/>
        </w:rPr>
        <w:t xml:space="preserve"> the study was designed to augment existing </w:t>
      </w:r>
      <w:r w:rsidR="00475E1C">
        <w:rPr>
          <w:sz w:val="28"/>
          <w:szCs w:val="28"/>
        </w:rPr>
        <w:t xml:space="preserve">psychometric </w:t>
      </w:r>
      <w:r>
        <w:rPr>
          <w:sz w:val="28"/>
          <w:szCs w:val="28"/>
        </w:rPr>
        <w:t>data for the distribution and norms of the PPWWM and its factor structure.</w:t>
      </w:r>
    </w:p>
    <w:p w14:paraId="3CE96AB4" w14:textId="77777777" w:rsidR="00EA1361" w:rsidRDefault="009A4D9A">
      <w:pPr>
        <w:rPr>
          <w:sz w:val="28"/>
          <w:szCs w:val="28"/>
        </w:rPr>
      </w:pPr>
      <w:r>
        <w:rPr>
          <w:sz w:val="28"/>
          <w:szCs w:val="28"/>
        </w:rPr>
        <w:t xml:space="preserve"> </w:t>
      </w:r>
    </w:p>
    <w:p w14:paraId="61AF415F" w14:textId="77777777" w:rsidR="00646EBC" w:rsidRDefault="00646EBC">
      <w:pPr>
        <w:rPr>
          <w:b/>
          <w:bCs/>
          <w:sz w:val="28"/>
          <w:szCs w:val="28"/>
        </w:rPr>
      </w:pPr>
      <w:r>
        <w:rPr>
          <w:b/>
          <w:bCs/>
          <w:sz w:val="28"/>
          <w:szCs w:val="28"/>
        </w:rPr>
        <w:t>Method</w:t>
      </w:r>
    </w:p>
    <w:p w14:paraId="1B6BCC61" w14:textId="77777777" w:rsidR="003F2889" w:rsidRPr="00FD13A8" w:rsidRDefault="003F2889" w:rsidP="003F2889">
      <w:pPr>
        <w:shd w:val="clear" w:color="auto" w:fill="FFFFFF"/>
        <w:spacing w:before="100" w:beforeAutospacing="1" w:after="100" w:afterAutospacing="1" w:line="240" w:lineRule="auto"/>
        <w:ind w:firstLine="720"/>
        <w:rPr>
          <w:rFonts w:eastAsia="Times New Roman" w:cstheme="minorHAnsi"/>
          <w:b/>
          <w:sz w:val="28"/>
          <w:szCs w:val="24"/>
        </w:rPr>
      </w:pPr>
      <w:r w:rsidRPr="00FD13A8">
        <w:rPr>
          <w:rFonts w:eastAsia="Times New Roman" w:cstheme="minorHAnsi"/>
          <w:b/>
          <w:sz w:val="28"/>
          <w:szCs w:val="24"/>
        </w:rPr>
        <w:t>Consent and Data Management</w:t>
      </w:r>
    </w:p>
    <w:p w14:paraId="118C6A2D" w14:textId="7B6B6240" w:rsidR="003F2889" w:rsidRPr="00FD13A8" w:rsidRDefault="00287296" w:rsidP="003F2889">
      <w:pPr>
        <w:shd w:val="clear" w:color="auto" w:fill="FFFFFF"/>
        <w:spacing w:before="100" w:beforeAutospacing="1" w:after="100" w:afterAutospacing="1" w:line="240" w:lineRule="auto"/>
        <w:rPr>
          <w:rFonts w:eastAsia="Times New Roman" w:cstheme="minorHAnsi"/>
          <w:sz w:val="28"/>
          <w:szCs w:val="24"/>
        </w:rPr>
      </w:pPr>
      <w:r>
        <w:rPr>
          <w:rFonts w:eastAsia="Times New Roman" w:cstheme="minorHAnsi"/>
          <w:sz w:val="28"/>
          <w:szCs w:val="24"/>
        </w:rPr>
        <w:t>The study was</w:t>
      </w:r>
      <w:r w:rsidR="0073489D">
        <w:rPr>
          <w:rFonts w:eastAsia="Times New Roman" w:cstheme="minorHAnsi"/>
          <w:sz w:val="28"/>
          <w:szCs w:val="24"/>
        </w:rPr>
        <w:t xml:space="preserve"> based on </w:t>
      </w:r>
      <w:r w:rsidR="00694817">
        <w:rPr>
          <w:rFonts w:eastAsia="Times New Roman" w:cstheme="minorHAnsi"/>
          <w:sz w:val="28"/>
          <w:szCs w:val="24"/>
        </w:rPr>
        <w:t xml:space="preserve">a secondary analysis of an anonymised data base produced by a Division of Clinical Psychology/New Savoy Partnership </w:t>
      </w:r>
      <w:r w:rsidR="0073489D">
        <w:rPr>
          <w:rFonts w:eastAsia="Times New Roman" w:cstheme="minorHAnsi"/>
          <w:sz w:val="28"/>
          <w:szCs w:val="24"/>
        </w:rPr>
        <w:t xml:space="preserve">survey of the </w:t>
      </w:r>
      <w:r w:rsidR="00694817">
        <w:rPr>
          <w:rFonts w:eastAsia="Times New Roman" w:cstheme="minorHAnsi"/>
          <w:sz w:val="28"/>
          <w:szCs w:val="24"/>
        </w:rPr>
        <w:t xml:space="preserve">UK psychology </w:t>
      </w:r>
      <w:r w:rsidR="0073489D">
        <w:rPr>
          <w:rFonts w:eastAsia="Times New Roman" w:cstheme="minorHAnsi"/>
          <w:sz w:val="28"/>
          <w:szCs w:val="24"/>
        </w:rPr>
        <w:t>profession.</w:t>
      </w:r>
      <w:r w:rsidR="00694817">
        <w:rPr>
          <w:rFonts w:eastAsia="Times New Roman" w:cstheme="minorHAnsi"/>
          <w:sz w:val="28"/>
          <w:szCs w:val="24"/>
        </w:rPr>
        <w:t xml:space="preserve"> In common with earlier annual surveys conducted by the</w:t>
      </w:r>
      <w:r w:rsidR="00694817" w:rsidRPr="00694817">
        <w:t xml:space="preserve"> </w:t>
      </w:r>
      <w:r w:rsidR="00694817" w:rsidRPr="00694817">
        <w:rPr>
          <w:rFonts w:eastAsia="Times New Roman" w:cstheme="minorHAnsi"/>
          <w:sz w:val="28"/>
          <w:szCs w:val="24"/>
        </w:rPr>
        <w:t>Division of Clinical Psychology/New Savoy Partnership</w:t>
      </w:r>
      <w:r w:rsidR="00694817">
        <w:rPr>
          <w:rFonts w:eastAsia="Times New Roman" w:cstheme="minorHAnsi"/>
          <w:sz w:val="28"/>
          <w:szCs w:val="24"/>
        </w:rPr>
        <w:t>, the purpose of the original survey was to assess the state of the profession and was not construed as a research study requiring research ethical approval.  The</w:t>
      </w:r>
      <w:r w:rsidR="00B57E89">
        <w:rPr>
          <w:rFonts w:eastAsia="Times New Roman" w:cstheme="minorHAnsi"/>
          <w:sz w:val="28"/>
          <w:szCs w:val="24"/>
        </w:rPr>
        <w:t xml:space="preserve"> survey was</w:t>
      </w:r>
      <w:r w:rsidR="00694817">
        <w:rPr>
          <w:rFonts w:eastAsia="Times New Roman" w:cstheme="minorHAnsi"/>
          <w:sz w:val="28"/>
          <w:szCs w:val="24"/>
        </w:rPr>
        <w:t xml:space="preserve"> conducted under the terms of the European General Data Protection Regulations (2016</w:t>
      </w:r>
      <w:r w:rsidR="00B57E89">
        <w:rPr>
          <w:rFonts w:eastAsia="Times New Roman" w:cstheme="minorHAnsi"/>
          <w:sz w:val="28"/>
          <w:szCs w:val="24"/>
        </w:rPr>
        <w:t>/679</w:t>
      </w:r>
      <w:r w:rsidR="00694817">
        <w:rPr>
          <w:rFonts w:eastAsia="Times New Roman" w:cstheme="minorHAnsi"/>
          <w:sz w:val="28"/>
          <w:szCs w:val="24"/>
        </w:rPr>
        <w:t xml:space="preserve">). It was anonymous from the point of data collection and no identifiable information was collected (e.g . location, IP address, etc.). </w:t>
      </w:r>
      <w:r w:rsidR="00B57E89" w:rsidRPr="00FD13A8">
        <w:rPr>
          <w:rFonts w:eastAsia="Times New Roman" w:cstheme="minorHAnsi"/>
          <w:sz w:val="28"/>
          <w:szCs w:val="24"/>
        </w:rPr>
        <w:t>Participation was voluntary and consent</w:t>
      </w:r>
      <w:r w:rsidR="00B57E89">
        <w:rPr>
          <w:rFonts w:eastAsia="Times New Roman" w:cstheme="minorHAnsi"/>
          <w:sz w:val="28"/>
          <w:szCs w:val="24"/>
        </w:rPr>
        <w:t>s for use of the data were</w:t>
      </w:r>
      <w:r w:rsidR="00B57E89" w:rsidRPr="00FD13A8">
        <w:rPr>
          <w:rFonts w:eastAsia="Times New Roman" w:cstheme="minorHAnsi"/>
          <w:sz w:val="28"/>
          <w:szCs w:val="24"/>
        </w:rPr>
        <w:t xml:space="preserve"> given within the survey.</w:t>
      </w:r>
      <w:r w:rsidR="00B57E89">
        <w:rPr>
          <w:rFonts w:eastAsia="Times New Roman" w:cstheme="minorHAnsi"/>
          <w:sz w:val="28"/>
          <w:szCs w:val="24"/>
        </w:rPr>
        <w:t xml:space="preserve"> Participants</w:t>
      </w:r>
      <w:r w:rsidR="00694817">
        <w:rPr>
          <w:rFonts w:eastAsia="Times New Roman" w:cstheme="minorHAnsi"/>
          <w:sz w:val="28"/>
          <w:szCs w:val="24"/>
        </w:rPr>
        <w:t xml:space="preserve"> agreed for their data to be used </w:t>
      </w:r>
      <w:r w:rsidR="00B57E89" w:rsidRPr="00B57E89">
        <w:rPr>
          <w:rFonts w:eastAsia="Times New Roman" w:cstheme="minorHAnsi"/>
          <w:i/>
          <w:sz w:val="28"/>
          <w:szCs w:val="24"/>
        </w:rPr>
        <w:t>“</w:t>
      </w:r>
      <w:r w:rsidR="00B57E89">
        <w:rPr>
          <w:rFonts w:eastAsia="Times New Roman" w:cstheme="minorHAnsi"/>
          <w:i/>
          <w:sz w:val="28"/>
          <w:szCs w:val="24"/>
        </w:rPr>
        <w:t>in future reports or</w:t>
      </w:r>
      <w:r w:rsidR="00B57E89" w:rsidRPr="00B57E89">
        <w:rPr>
          <w:rFonts w:eastAsia="Times New Roman" w:cstheme="minorHAnsi"/>
          <w:i/>
          <w:sz w:val="28"/>
          <w:szCs w:val="24"/>
        </w:rPr>
        <w:t xml:space="preserve"> publication</w:t>
      </w:r>
      <w:r w:rsidR="00B57E89">
        <w:rPr>
          <w:rFonts w:eastAsia="Times New Roman" w:cstheme="minorHAnsi"/>
          <w:i/>
          <w:sz w:val="28"/>
          <w:szCs w:val="24"/>
        </w:rPr>
        <w:t>s</w:t>
      </w:r>
      <w:r w:rsidR="00B57E89" w:rsidRPr="00B57E89">
        <w:rPr>
          <w:rFonts w:eastAsia="Times New Roman" w:cstheme="minorHAnsi"/>
          <w:i/>
          <w:sz w:val="28"/>
          <w:szCs w:val="24"/>
        </w:rPr>
        <w:t>.”</w:t>
      </w:r>
      <w:r w:rsidR="00B57E89">
        <w:rPr>
          <w:rFonts w:eastAsia="Times New Roman" w:cstheme="minorHAnsi"/>
          <w:i/>
          <w:sz w:val="28"/>
          <w:szCs w:val="24"/>
        </w:rPr>
        <w:t xml:space="preserve"> </w:t>
      </w:r>
      <w:r w:rsidR="003F2889" w:rsidRPr="00FD13A8">
        <w:rPr>
          <w:rFonts w:eastAsia="Times New Roman" w:cstheme="minorHAnsi"/>
          <w:sz w:val="28"/>
          <w:szCs w:val="24"/>
        </w:rPr>
        <w:t xml:space="preserve"> </w:t>
      </w:r>
    </w:p>
    <w:p w14:paraId="52D1F805" w14:textId="77777777" w:rsidR="003F2889" w:rsidRPr="00FD13A8" w:rsidRDefault="003F2889" w:rsidP="003F2889">
      <w:pPr>
        <w:shd w:val="clear" w:color="auto" w:fill="FFFFFF"/>
        <w:spacing w:before="100" w:beforeAutospacing="1" w:after="100" w:afterAutospacing="1" w:line="240" w:lineRule="auto"/>
        <w:ind w:firstLine="720"/>
        <w:rPr>
          <w:rFonts w:eastAsia="Times New Roman" w:cstheme="minorHAnsi"/>
          <w:b/>
          <w:sz w:val="28"/>
          <w:szCs w:val="24"/>
        </w:rPr>
      </w:pPr>
      <w:r w:rsidRPr="00FD13A8">
        <w:rPr>
          <w:rFonts w:eastAsia="Times New Roman" w:cstheme="minorHAnsi"/>
          <w:b/>
          <w:sz w:val="28"/>
          <w:szCs w:val="24"/>
        </w:rPr>
        <w:t>Procedure</w:t>
      </w:r>
    </w:p>
    <w:p w14:paraId="5C24B015" w14:textId="4E88415A" w:rsidR="003F2889" w:rsidRDefault="00993B04" w:rsidP="003F2889">
      <w:pPr>
        <w:shd w:val="clear" w:color="auto" w:fill="FFFFFF"/>
        <w:spacing w:before="100" w:beforeAutospacing="1" w:after="100" w:afterAutospacing="1" w:line="240" w:lineRule="auto"/>
        <w:rPr>
          <w:rFonts w:cstheme="minorHAnsi"/>
          <w:sz w:val="28"/>
          <w:szCs w:val="24"/>
        </w:rPr>
      </w:pPr>
      <w:r w:rsidRPr="00993B04">
        <w:rPr>
          <w:rFonts w:cstheme="minorHAnsi"/>
          <w:sz w:val="28"/>
          <w:szCs w:val="24"/>
        </w:rPr>
        <w:t xml:space="preserve">The first author was involved in the collection of data. </w:t>
      </w:r>
      <w:r w:rsidR="0066796B">
        <w:rPr>
          <w:rFonts w:cstheme="minorHAnsi"/>
          <w:sz w:val="28"/>
          <w:szCs w:val="24"/>
        </w:rPr>
        <w:t xml:space="preserve">A </w:t>
      </w:r>
      <w:r w:rsidR="0066796B" w:rsidRPr="00FD13A8">
        <w:rPr>
          <w:rFonts w:cstheme="minorHAnsi"/>
          <w:sz w:val="28"/>
          <w:szCs w:val="24"/>
        </w:rPr>
        <w:t xml:space="preserve">web-based Qualtrics® survey was created </w:t>
      </w:r>
      <w:r w:rsidR="00315B2A">
        <w:rPr>
          <w:rFonts w:cstheme="minorHAnsi"/>
          <w:sz w:val="28"/>
          <w:szCs w:val="24"/>
        </w:rPr>
        <w:t xml:space="preserve">and participants </w:t>
      </w:r>
      <w:r w:rsidR="003F2889" w:rsidRPr="00FD13A8">
        <w:rPr>
          <w:rFonts w:cstheme="minorHAnsi"/>
          <w:sz w:val="28"/>
          <w:szCs w:val="24"/>
        </w:rPr>
        <w:t xml:space="preserve">were </w:t>
      </w:r>
      <w:r w:rsidR="00BF1D96">
        <w:rPr>
          <w:rFonts w:cstheme="minorHAnsi"/>
          <w:sz w:val="28"/>
          <w:szCs w:val="24"/>
        </w:rPr>
        <w:t xml:space="preserve">sent </w:t>
      </w:r>
      <w:r w:rsidR="00315B2A">
        <w:rPr>
          <w:rFonts w:cstheme="minorHAnsi"/>
          <w:sz w:val="28"/>
          <w:szCs w:val="24"/>
        </w:rPr>
        <w:t xml:space="preserve">a web-based link for completion. </w:t>
      </w:r>
      <w:r w:rsidR="00315B2A" w:rsidRPr="00315B2A">
        <w:rPr>
          <w:rFonts w:cstheme="minorHAnsi"/>
          <w:sz w:val="28"/>
          <w:szCs w:val="24"/>
        </w:rPr>
        <w:t xml:space="preserve">The questionnaire is available as supplementary material to this paper. </w:t>
      </w:r>
      <w:r w:rsidR="00315B2A">
        <w:rPr>
          <w:rFonts w:cstheme="minorHAnsi"/>
          <w:sz w:val="28"/>
          <w:szCs w:val="24"/>
        </w:rPr>
        <w:t xml:space="preserve">The survey was disseminated via </w:t>
      </w:r>
      <w:r w:rsidR="003F2889" w:rsidRPr="00FD13A8">
        <w:rPr>
          <w:rFonts w:eastAsia="Times New Roman" w:cstheme="minorHAnsi"/>
          <w:sz w:val="28"/>
          <w:szCs w:val="24"/>
        </w:rPr>
        <w:t>psychological practitioner mailing lists, professional organisations and networks</w:t>
      </w:r>
      <w:r w:rsidR="003F2889" w:rsidRPr="00FD13A8">
        <w:rPr>
          <w:rFonts w:cstheme="minorHAnsi"/>
          <w:sz w:val="28"/>
          <w:szCs w:val="24"/>
        </w:rPr>
        <w:t xml:space="preserve"> and a closed social media group for clinical psychologists. </w:t>
      </w:r>
      <w:r w:rsidR="00DF0D1E">
        <w:rPr>
          <w:rFonts w:cstheme="minorHAnsi"/>
          <w:sz w:val="28"/>
          <w:szCs w:val="24"/>
        </w:rPr>
        <w:t xml:space="preserve">Members of the professional groups </w:t>
      </w:r>
      <w:r w:rsidR="00DF0D1E" w:rsidRPr="00FD13A8">
        <w:rPr>
          <w:rFonts w:cstheme="minorHAnsi"/>
          <w:sz w:val="28"/>
          <w:szCs w:val="24"/>
        </w:rPr>
        <w:t xml:space="preserve">were </w:t>
      </w:r>
      <w:r w:rsidR="00DF0D1E">
        <w:rPr>
          <w:rFonts w:cstheme="minorHAnsi"/>
          <w:sz w:val="28"/>
          <w:szCs w:val="24"/>
        </w:rPr>
        <w:t xml:space="preserve">emailed a web-based link to the survey. </w:t>
      </w:r>
      <w:r w:rsidR="003F2889" w:rsidRPr="00FD13A8">
        <w:rPr>
          <w:rFonts w:cstheme="minorHAnsi"/>
          <w:sz w:val="28"/>
          <w:szCs w:val="24"/>
        </w:rPr>
        <w:t xml:space="preserve">Individuals were encouraged to share the invitation for participation </w:t>
      </w:r>
      <w:r w:rsidR="00DF0D1E">
        <w:rPr>
          <w:rFonts w:cstheme="minorHAnsi"/>
          <w:sz w:val="28"/>
          <w:szCs w:val="24"/>
        </w:rPr>
        <w:t>with</w:t>
      </w:r>
      <w:r w:rsidR="003F2889" w:rsidRPr="00FD13A8">
        <w:rPr>
          <w:rFonts w:cstheme="minorHAnsi"/>
          <w:sz w:val="28"/>
          <w:szCs w:val="24"/>
        </w:rPr>
        <w:t xml:space="preserve"> their </w:t>
      </w:r>
      <w:r w:rsidR="00DF0D1E">
        <w:rPr>
          <w:rFonts w:cstheme="minorHAnsi"/>
          <w:sz w:val="28"/>
          <w:szCs w:val="24"/>
        </w:rPr>
        <w:t xml:space="preserve">colleagues and </w:t>
      </w:r>
      <w:r w:rsidR="003F2889" w:rsidRPr="00FD13A8">
        <w:rPr>
          <w:rFonts w:cstheme="minorHAnsi"/>
          <w:sz w:val="28"/>
          <w:szCs w:val="24"/>
        </w:rPr>
        <w:t>professional groups (a ‘snowball’ sample). R</w:t>
      </w:r>
      <w:r w:rsidR="00BF1D96">
        <w:rPr>
          <w:rFonts w:eastAsia="Times New Roman" w:cstheme="minorHAnsi"/>
          <w:sz w:val="28"/>
          <w:szCs w:val="24"/>
        </w:rPr>
        <w:t>esponse rate</w:t>
      </w:r>
      <w:r w:rsidR="003F2889" w:rsidRPr="00FD13A8">
        <w:rPr>
          <w:rFonts w:eastAsia="Times New Roman" w:cstheme="minorHAnsi"/>
          <w:sz w:val="28"/>
          <w:szCs w:val="24"/>
        </w:rPr>
        <w:t xml:space="preserve"> </w:t>
      </w:r>
      <w:r w:rsidR="0073489D">
        <w:rPr>
          <w:rFonts w:eastAsia="Times New Roman" w:cstheme="minorHAnsi"/>
          <w:sz w:val="28"/>
          <w:szCs w:val="24"/>
        </w:rPr>
        <w:t xml:space="preserve">cannot </w:t>
      </w:r>
      <w:r w:rsidR="003F2889" w:rsidRPr="00FD13A8">
        <w:rPr>
          <w:rFonts w:eastAsia="Times New Roman" w:cstheme="minorHAnsi"/>
          <w:sz w:val="28"/>
          <w:szCs w:val="24"/>
        </w:rPr>
        <w:t>be determined in such samples.</w:t>
      </w:r>
      <w:r w:rsidR="003F2889" w:rsidRPr="00FD13A8">
        <w:rPr>
          <w:rFonts w:cstheme="minorHAnsi"/>
          <w:sz w:val="28"/>
          <w:szCs w:val="24"/>
        </w:rPr>
        <w:t xml:space="preserve"> The inclusion criterion was </w:t>
      </w:r>
      <w:r w:rsidR="003F2889" w:rsidRPr="00FD13A8">
        <w:rPr>
          <w:rFonts w:cstheme="minorHAnsi"/>
          <w:sz w:val="28"/>
          <w:szCs w:val="24"/>
        </w:rPr>
        <w:lastRenderedPageBreak/>
        <w:t xml:space="preserve">those currently employed in a UK health/social care organisation as a psychological practitioner. </w:t>
      </w:r>
    </w:p>
    <w:p w14:paraId="0683EE6C" w14:textId="77777777" w:rsidR="003F2889" w:rsidRPr="00FD13A8" w:rsidRDefault="003F2889" w:rsidP="003F2889">
      <w:pPr>
        <w:spacing w:line="240" w:lineRule="auto"/>
        <w:ind w:firstLine="720"/>
        <w:rPr>
          <w:rFonts w:cstheme="minorHAnsi"/>
          <w:b/>
          <w:sz w:val="28"/>
          <w:szCs w:val="24"/>
        </w:rPr>
      </w:pPr>
      <w:r w:rsidRPr="00FD13A8">
        <w:rPr>
          <w:rFonts w:cstheme="minorHAnsi"/>
          <w:b/>
          <w:sz w:val="28"/>
          <w:szCs w:val="24"/>
        </w:rPr>
        <w:t>Measures</w:t>
      </w:r>
    </w:p>
    <w:p w14:paraId="0E5E6214" w14:textId="349824D8" w:rsidR="003F2889" w:rsidRPr="00FD13A8" w:rsidRDefault="0066796B" w:rsidP="003F2889">
      <w:pPr>
        <w:shd w:val="clear" w:color="auto" w:fill="FFFFFF"/>
        <w:spacing w:before="100" w:beforeAutospacing="1" w:after="100" w:afterAutospacing="1" w:line="240" w:lineRule="auto"/>
        <w:rPr>
          <w:rFonts w:eastAsia="Times New Roman" w:cstheme="minorHAnsi"/>
          <w:sz w:val="28"/>
          <w:szCs w:val="24"/>
        </w:rPr>
      </w:pPr>
      <w:r>
        <w:rPr>
          <w:rFonts w:cstheme="minorHAnsi"/>
          <w:sz w:val="28"/>
          <w:szCs w:val="24"/>
        </w:rPr>
        <w:t>The</w:t>
      </w:r>
      <w:r w:rsidR="003F2889" w:rsidRPr="00FD13A8">
        <w:rPr>
          <w:rFonts w:cstheme="minorHAnsi"/>
          <w:sz w:val="28"/>
          <w:szCs w:val="24"/>
        </w:rPr>
        <w:t xml:space="preserve"> Qualtri</w:t>
      </w:r>
      <w:r>
        <w:rPr>
          <w:rFonts w:cstheme="minorHAnsi"/>
          <w:sz w:val="28"/>
          <w:szCs w:val="24"/>
        </w:rPr>
        <w:t>cs® survey included</w:t>
      </w:r>
      <w:r w:rsidR="003F2889" w:rsidRPr="00FD13A8">
        <w:rPr>
          <w:rFonts w:cstheme="minorHAnsi"/>
          <w:sz w:val="28"/>
          <w:szCs w:val="24"/>
        </w:rPr>
        <w:t xml:space="preserve"> </w:t>
      </w:r>
      <w:r w:rsidR="003F2889" w:rsidRPr="00FD13A8">
        <w:rPr>
          <w:rFonts w:eastAsia="Times New Roman" w:cstheme="minorHAnsi"/>
          <w:sz w:val="28"/>
          <w:szCs w:val="24"/>
        </w:rPr>
        <w:t>a demographic survey,</w:t>
      </w:r>
      <w:r w:rsidR="003F2889" w:rsidRPr="00FD13A8">
        <w:rPr>
          <w:rFonts w:cstheme="minorHAnsi"/>
          <w:sz w:val="28"/>
          <w:szCs w:val="24"/>
        </w:rPr>
        <w:t xml:space="preserve"> the PPWWM (Summers, et al</w:t>
      </w:r>
      <w:r w:rsidR="003F2889">
        <w:rPr>
          <w:rFonts w:cstheme="minorHAnsi"/>
          <w:sz w:val="28"/>
          <w:szCs w:val="24"/>
        </w:rPr>
        <w:t>.</w:t>
      </w:r>
      <w:r w:rsidR="003F2889" w:rsidRPr="00FD13A8">
        <w:rPr>
          <w:rFonts w:cstheme="minorHAnsi"/>
          <w:sz w:val="28"/>
          <w:szCs w:val="24"/>
        </w:rPr>
        <w:t xml:space="preserve">, </w:t>
      </w:r>
      <w:r w:rsidR="00105E47">
        <w:rPr>
          <w:rFonts w:cstheme="minorHAnsi"/>
          <w:sz w:val="28"/>
          <w:szCs w:val="24"/>
        </w:rPr>
        <w:t>2020</w:t>
      </w:r>
      <w:r w:rsidR="003F2889" w:rsidRPr="00FD13A8">
        <w:rPr>
          <w:rFonts w:cstheme="minorHAnsi"/>
          <w:sz w:val="28"/>
          <w:szCs w:val="24"/>
        </w:rPr>
        <w:t xml:space="preserve">), </w:t>
      </w:r>
      <w:r w:rsidR="003F2889" w:rsidRPr="00FD13A8">
        <w:rPr>
          <w:rFonts w:eastAsia="Times New Roman" w:cstheme="minorHAnsi"/>
          <w:sz w:val="28"/>
          <w:szCs w:val="24"/>
        </w:rPr>
        <w:t>The Short Warwick-Edinburgh Mental Well-being Scale (Stewart-Brown et al., 2</w:t>
      </w:r>
      <w:r w:rsidR="00BE169E">
        <w:rPr>
          <w:rFonts w:eastAsia="Times New Roman" w:cstheme="minorHAnsi"/>
          <w:sz w:val="28"/>
          <w:szCs w:val="24"/>
        </w:rPr>
        <w:t xml:space="preserve">009) and a number of </w:t>
      </w:r>
      <w:r w:rsidR="003F2889" w:rsidRPr="00FD13A8">
        <w:rPr>
          <w:rFonts w:eastAsia="Times New Roman" w:cstheme="minorHAnsi"/>
          <w:sz w:val="28"/>
          <w:szCs w:val="24"/>
        </w:rPr>
        <w:t xml:space="preserve">items </w:t>
      </w:r>
      <w:r w:rsidR="00BE169E">
        <w:rPr>
          <w:rFonts w:eastAsia="Times New Roman" w:cstheme="minorHAnsi"/>
          <w:sz w:val="28"/>
          <w:szCs w:val="24"/>
        </w:rPr>
        <w:t xml:space="preserve">taken from the NHS staff survey </w:t>
      </w:r>
      <w:r>
        <w:rPr>
          <w:rFonts w:eastAsia="Times New Roman" w:cstheme="minorHAnsi"/>
          <w:sz w:val="28"/>
          <w:szCs w:val="24"/>
        </w:rPr>
        <w:t xml:space="preserve">relating to harassment and bullying </w:t>
      </w:r>
      <w:r w:rsidR="00BE169E" w:rsidRPr="00BE169E">
        <w:rPr>
          <w:rFonts w:eastAsia="Times New Roman" w:cstheme="minorHAnsi"/>
          <w:sz w:val="28"/>
          <w:szCs w:val="24"/>
        </w:rPr>
        <w:t>(NHS staff survey coordination centre, 2018)</w:t>
      </w:r>
      <w:r w:rsidR="003F2889" w:rsidRPr="00FD13A8">
        <w:rPr>
          <w:rFonts w:eastAsia="Times New Roman" w:cstheme="minorHAnsi"/>
          <w:sz w:val="28"/>
          <w:szCs w:val="24"/>
        </w:rPr>
        <w:t xml:space="preserve">. </w:t>
      </w:r>
      <w:r w:rsidR="00BF1D96">
        <w:rPr>
          <w:rFonts w:eastAsia="Times New Roman" w:cstheme="minorHAnsi"/>
          <w:sz w:val="28"/>
          <w:szCs w:val="24"/>
        </w:rPr>
        <w:t xml:space="preserve"> </w:t>
      </w:r>
      <w:r w:rsidR="003F2889" w:rsidRPr="00FD13A8">
        <w:rPr>
          <w:rFonts w:eastAsia="Times New Roman" w:cstheme="minorHAnsi"/>
          <w:sz w:val="28"/>
          <w:szCs w:val="24"/>
        </w:rPr>
        <w:t>The questionnaire require</w:t>
      </w:r>
      <w:r w:rsidR="00BF1D96">
        <w:rPr>
          <w:rFonts w:eastAsia="Times New Roman" w:cstheme="minorHAnsi"/>
          <w:sz w:val="28"/>
          <w:szCs w:val="24"/>
        </w:rPr>
        <w:t>d</w:t>
      </w:r>
      <w:r w:rsidR="003F2889" w:rsidRPr="00FD13A8">
        <w:rPr>
          <w:rFonts w:eastAsia="Times New Roman" w:cstheme="minorHAnsi"/>
          <w:sz w:val="28"/>
          <w:szCs w:val="24"/>
        </w:rPr>
        <w:t xml:space="preserve"> a response t</w:t>
      </w:r>
      <w:r w:rsidR="00605C08">
        <w:rPr>
          <w:rFonts w:eastAsia="Times New Roman" w:cstheme="minorHAnsi"/>
          <w:sz w:val="28"/>
          <w:szCs w:val="24"/>
        </w:rPr>
        <w:t xml:space="preserve">o all questions therefore </w:t>
      </w:r>
      <w:r w:rsidR="00DF0D1E">
        <w:rPr>
          <w:rFonts w:eastAsia="Times New Roman" w:cstheme="minorHAnsi"/>
          <w:sz w:val="28"/>
          <w:szCs w:val="24"/>
        </w:rPr>
        <w:t>questionnaires did not have missing item</w:t>
      </w:r>
      <w:r w:rsidR="00305D7E">
        <w:rPr>
          <w:rFonts w:eastAsia="Times New Roman" w:cstheme="minorHAnsi"/>
          <w:sz w:val="28"/>
          <w:szCs w:val="24"/>
        </w:rPr>
        <w:t>s and incomplete questionnaires were screened out.</w:t>
      </w:r>
      <w:r w:rsidR="003F2889" w:rsidRPr="00FD13A8">
        <w:rPr>
          <w:rFonts w:eastAsia="Times New Roman" w:cstheme="minorHAnsi"/>
          <w:sz w:val="28"/>
          <w:szCs w:val="24"/>
        </w:rPr>
        <w:t xml:space="preserve"> </w:t>
      </w:r>
    </w:p>
    <w:p w14:paraId="55E55F9F" w14:textId="77777777" w:rsidR="003F2889" w:rsidRPr="00FD13A8" w:rsidRDefault="003F2889" w:rsidP="003F2889">
      <w:pPr>
        <w:shd w:val="clear" w:color="auto" w:fill="FFFFFF"/>
        <w:spacing w:before="100" w:beforeAutospacing="1" w:after="100" w:afterAutospacing="1" w:line="240" w:lineRule="auto"/>
        <w:rPr>
          <w:rFonts w:eastAsia="Times New Roman" w:cstheme="minorHAnsi"/>
          <w:b/>
          <w:i/>
          <w:sz w:val="28"/>
          <w:szCs w:val="24"/>
        </w:rPr>
      </w:pPr>
      <w:r w:rsidRPr="00FD13A8">
        <w:rPr>
          <w:rFonts w:eastAsia="Times New Roman" w:cstheme="minorHAnsi"/>
          <w:b/>
          <w:i/>
          <w:sz w:val="28"/>
          <w:szCs w:val="24"/>
        </w:rPr>
        <w:tab/>
        <w:t>Demographic Survey</w:t>
      </w:r>
    </w:p>
    <w:p w14:paraId="5B92461B" w14:textId="77777777" w:rsidR="003F2889" w:rsidRDefault="003F2889" w:rsidP="003F2889">
      <w:pPr>
        <w:shd w:val="clear" w:color="auto" w:fill="FFFFFF"/>
        <w:spacing w:before="100" w:beforeAutospacing="1" w:after="100" w:afterAutospacing="1" w:line="240" w:lineRule="auto"/>
        <w:rPr>
          <w:rFonts w:eastAsia="Times New Roman" w:cstheme="minorHAnsi"/>
          <w:sz w:val="28"/>
          <w:szCs w:val="24"/>
        </w:rPr>
      </w:pPr>
      <w:r w:rsidRPr="00FD13A8">
        <w:rPr>
          <w:rFonts w:eastAsia="Times New Roman" w:cstheme="minorHAnsi"/>
          <w:sz w:val="28"/>
          <w:szCs w:val="24"/>
        </w:rPr>
        <w:t xml:space="preserve">The demographic questionnaire collected the following information: profession, type of contract, years since professional qualification, years worked since qualification, years in current post, contracted hours, additional paid and unpaid hours, type of organisation, pay scale, gender, </w:t>
      </w:r>
      <w:r w:rsidR="007F4F03">
        <w:rPr>
          <w:rFonts w:eastAsia="Times New Roman" w:cstheme="minorHAnsi"/>
          <w:sz w:val="28"/>
          <w:szCs w:val="24"/>
        </w:rPr>
        <w:t xml:space="preserve">sexual </w:t>
      </w:r>
      <w:r w:rsidRPr="00FD13A8">
        <w:rPr>
          <w:rFonts w:eastAsia="Times New Roman" w:cstheme="minorHAnsi"/>
          <w:sz w:val="28"/>
          <w:szCs w:val="24"/>
        </w:rPr>
        <w:t xml:space="preserve">orientation, ethnicity, illness/disability and age. </w:t>
      </w:r>
      <w:r w:rsidR="00647D7B">
        <w:rPr>
          <w:rFonts w:eastAsia="Times New Roman" w:cstheme="minorHAnsi"/>
          <w:sz w:val="28"/>
          <w:szCs w:val="24"/>
        </w:rPr>
        <w:t xml:space="preserve">The illness/disability question asked </w:t>
      </w:r>
      <w:r w:rsidR="00647D7B" w:rsidRPr="00647D7B">
        <w:rPr>
          <w:rFonts w:eastAsia="Times New Roman" w:cstheme="minorHAnsi"/>
          <w:i/>
          <w:sz w:val="28"/>
          <w:szCs w:val="24"/>
        </w:rPr>
        <w:t>‘Do you have a long-standing illness or disability?</w:t>
      </w:r>
      <w:r w:rsidR="00647D7B">
        <w:rPr>
          <w:rFonts w:eastAsia="Times New Roman" w:cstheme="minorHAnsi"/>
          <w:sz w:val="28"/>
          <w:szCs w:val="24"/>
        </w:rPr>
        <w:t>’</w:t>
      </w:r>
    </w:p>
    <w:p w14:paraId="15985081" w14:textId="77777777" w:rsidR="00DF5F74" w:rsidRPr="00DF5F74" w:rsidRDefault="00DF5F74" w:rsidP="00DF5F74">
      <w:pPr>
        <w:shd w:val="clear" w:color="auto" w:fill="FFFFFF"/>
        <w:spacing w:before="100" w:beforeAutospacing="1" w:after="100" w:afterAutospacing="1" w:line="240" w:lineRule="auto"/>
        <w:ind w:left="720"/>
        <w:rPr>
          <w:rFonts w:eastAsia="Times New Roman" w:cstheme="minorHAnsi"/>
          <w:b/>
          <w:i/>
          <w:sz w:val="28"/>
          <w:szCs w:val="24"/>
        </w:rPr>
      </w:pPr>
      <w:r w:rsidRPr="00DF5F74">
        <w:rPr>
          <w:rFonts w:eastAsia="Times New Roman" w:cstheme="minorHAnsi"/>
          <w:b/>
          <w:i/>
          <w:sz w:val="28"/>
          <w:szCs w:val="24"/>
        </w:rPr>
        <w:t xml:space="preserve">The Psychological Practitioner Workplace Wellbeing Measure (PPWWM) </w:t>
      </w:r>
    </w:p>
    <w:p w14:paraId="0F551E69" w14:textId="4E843B66" w:rsidR="00105E47" w:rsidRPr="00FD13A8" w:rsidRDefault="00945A1C" w:rsidP="003F2889">
      <w:pPr>
        <w:shd w:val="clear" w:color="auto" w:fill="FFFFFF"/>
        <w:spacing w:before="100" w:beforeAutospacing="1" w:after="100" w:afterAutospacing="1" w:line="240" w:lineRule="auto"/>
        <w:rPr>
          <w:rFonts w:eastAsia="Times New Roman" w:cstheme="minorHAnsi"/>
          <w:sz w:val="28"/>
          <w:szCs w:val="24"/>
        </w:rPr>
      </w:pPr>
      <w:r>
        <w:rPr>
          <w:rFonts w:eastAsia="Times New Roman" w:cstheme="minorHAnsi"/>
          <w:sz w:val="28"/>
          <w:szCs w:val="24"/>
        </w:rPr>
        <w:t xml:space="preserve">The PPWWM is a </w:t>
      </w:r>
      <w:r w:rsidRPr="00BD4B88">
        <w:rPr>
          <w:rFonts w:eastAsia="Times New Roman" w:cstheme="minorHAnsi"/>
          <w:sz w:val="28"/>
          <w:szCs w:val="24"/>
        </w:rPr>
        <w:t xml:space="preserve">26-item </w:t>
      </w:r>
      <w:r>
        <w:rPr>
          <w:rFonts w:eastAsia="Times New Roman" w:cstheme="minorHAnsi"/>
          <w:sz w:val="28"/>
          <w:szCs w:val="24"/>
        </w:rPr>
        <w:t xml:space="preserve">Likert scale </w:t>
      </w:r>
      <w:r w:rsidR="007B5983">
        <w:rPr>
          <w:rFonts w:eastAsia="Times New Roman" w:cstheme="minorHAnsi"/>
          <w:sz w:val="28"/>
          <w:szCs w:val="24"/>
        </w:rPr>
        <w:t xml:space="preserve">(1 </w:t>
      </w:r>
      <w:r w:rsidR="007B5983" w:rsidRPr="005A35E8">
        <w:rPr>
          <w:rFonts w:eastAsia="Times New Roman" w:cstheme="minorHAnsi"/>
          <w:i/>
          <w:sz w:val="28"/>
          <w:szCs w:val="24"/>
        </w:rPr>
        <w:t>stron</w:t>
      </w:r>
      <w:r w:rsidR="005A35E8" w:rsidRPr="005A35E8">
        <w:rPr>
          <w:rFonts w:eastAsia="Times New Roman" w:cstheme="minorHAnsi"/>
          <w:i/>
          <w:sz w:val="28"/>
          <w:szCs w:val="24"/>
        </w:rPr>
        <w:t>g</w:t>
      </w:r>
      <w:r w:rsidR="007B5983" w:rsidRPr="005A35E8">
        <w:rPr>
          <w:rFonts w:eastAsia="Times New Roman" w:cstheme="minorHAnsi"/>
          <w:i/>
          <w:sz w:val="28"/>
          <w:szCs w:val="24"/>
        </w:rPr>
        <w:t xml:space="preserve">ly </w:t>
      </w:r>
      <w:r w:rsidR="005A35E8" w:rsidRPr="005A35E8">
        <w:rPr>
          <w:rFonts w:eastAsia="Times New Roman" w:cstheme="minorHAnsi"/>
          <w:i/>
          <w:sz w:val="28"/>
          <w:szCs w:val="24"/>
        </w:rPr>
        <w:t>disagree</w:t>
      </w:r>
      <w:r w:rsidR="005A35E8">
        <w:rPr>
          <w:rFonts w:eastAsia="Times New Roman" w:cstheme="minorHAnsi"/>
          <w:sz w:val="28"/>
          <w:szCs w:val="24"/>
        </w:rPr>
        <w:t xml:space="preserve"> to 5 </w:t>
      </w:r>
      <w:r w:rsidR="005A35E8" w:rsidRPr="005A35E8">
        <w:rPr>
          <w:rFonts w:eastAsia="Times New Roman" w:cstheme="minorHAnsi"/>
          <w:i/>
          <w:sz w:val="28"/>
          <w:szCs w:val="24"/>
        </w:rPr>
        <w:t>strongly agree</w:t>
      </w:r>
      <w:r w:rsidR="005A35E8">
        <w:rPr>
          <w:rFonts w:eastAsia="Times New Roman" w:cstheme="minorHAnsi"/>
          <w:sz w:val="28"/>
          <w:szCs w:val="24"/>
        </w:rPr>
        <w:t xml:space="preserve">) </w:t>
      </w:r>
      <w:r>
        <w:rPr>
          <w:rFonts w:eastAsia="Times New Roman" w:cstheme="minorHAnsi"/>
          <w:sz w:val="28"/>
          <w:szCs w:val="24"/>
        </w:rPr>
        <w:t xml:space="preserve">with a score range of 26 to 130. </w:t>
      </w:r>
      <w:r w:rsidR="00DA706A">
        <w:rPr>
          <w:rFonts w:eastAsia="Times New Roman" w:cstheme="minorHAnsi"/>
          <w:sz w:val="28"/>
          <w:szCs w:val="24"/>
        </w:rPr>
        <w:t xml:space="preserve">Higher scores indicate greater wellbeing. </w:t>
      </w:r>
      <w:r>
        <w:rPr>
          <w:rFonts w:eastAsia="Times New Roman" w:cstheme="minorHAnsi"/>
          <w:sz w:val="28"/>
          <w:szCs w:val="24"/>
        </w:rPr>
        <w:t xml:space="preserve">It was </w:t>
      </w:r>
      <w:r w:rsidR="00BD4B88" w:rsidRPr="00BD4B88">
        <w:rPr>
          <w:rFonts w:eastAsia="Times New Roman" w:cstheme="minorHAnsi"/>
          <w:sz w:val="28"/>
          <w:szCs w:val="24"/>
        </w:rPr>
        <w:t xml:space="preserve">validated with a sample of 400 psychological practitioners </w:t>
      </w:r>
      <w:r>
        <w:rPr>
          <w:rFonts w:eastAsia="Times New Roman" w:cstheme="minorHAnsi"/>
          <w:sz w:val="28"/>
          <w:szCs w:val="24"/>
        </w:rPr>
        <w:t>(Summers et al., 2020) and</w:t>
      </w:r>
      <w:r w:rsidR="00647D7B">
        <w:rPr>
          <w:rFonts w:eastAsia="Times New Roman" w:cstheme="minorHAnsi"/>
          <w:sz w:val="28"/>
          <w:szCs w:val="24"/>
        </w:rPr>
        <w:t xml:space="preserve"> </w:t>
      </w:r>
      <w:r w:rsidR="00DF5F74" w:rsidRPr="00BD4B88">
        <w:rPr>
          <w:rFonts w:eastAsia="Times New Roman" w:cstheme="minorHAnsi"/>
          <w:sz w:val="28"/>
          <w:szCs w:val="24"/>
        </w:rPr>
        <w:t>showed good construct validity against</w:t>
      </w:r>
      <w:r w:rsidR="00647D7B">
        <w:rPr>
          <w:rFonts w:eastAsia="Times New Roman" w:cstheme="minorHAnsi"/>
          <w:sz w:val="28"/>
          <w:szCs w:val="24"/>
        </w:rPr>
        <w:t>:</w:t>
      </w:r>
      <w:r w:rsidR="00DF5F74" w:rsidRPr="00BD4B88">
        <w:rPr>
          <w:rFonts w:eastAsia="Times New Roman" w:cstheme="minorHAnsi"/>
          <w:sz w:val="28"/>
          <w:szCs w:val="24"/>
        </w:rPr>
        <w:t xml:space="preserve"> a generic workplace wellbeing measure, The Health and Safety Executive Management Standards Indicator Tool (Health and Safety Executive, 2004) </w:t>
      </w:r>
      <w:r w:rsidR="00BD4B88" w:rsidRPr="00BD4B88">
        <w:rPr>
          <w:rFonts w:eastAsia="Times New Roman" w:cstheme="minorHAnsi"/>
          <w:sz w:val="28"/>
          <w:szCs w:val="24"/>
        </w:rPr>
        <w:t>r=.88</w:t>
      </w:r>
      <w:r w:rsidR="00647D7B">
        <w:rPr>
          <w:rFonts w:eastAsia="Times New Roman" w:cstheme="minorHAnsi"/>
          <w:sz w:val="28"/>
          <w:szCs w:val="24"/>
        </w:rPr>
        <w:t>;</w:t>
      </w:r>
      <w:r w:rsidR="00DF5F74" w:rsidRPr="00BD4B88">
        <w:rPr>
          <w:rFonts w:eastAsia="Times New Roman" w:cstheme="minorHAnsi"/>
          <w:sz w:val="28"/>
          <w:szCs w:val="24"/>
        </w:rPr>
        <w:t xml:space="preserve"> The Satisfaction with Life Scale (Diener et al., 1985) </w:t>
      </w:r>
      <w:r w:rsidR="00BD4B88" w:rsidRPr="00BD4B88">
        <w:rPr>
          <w:rFonts w:eastAsia="Times New Roman" w:cstheme="minorHAnsi"/>
          <w:sz w:val="28"/>
          <w:szCs w:val="24"/>
        </w:rPr>
        <w:t>r=.50</w:t>
      </w:r>
      <w:r w:rsidR="00647D7B">
        <w:rPr>
          <w:rFonts w:eastAsia="Times New Roman" w:cstheme="minorHAnsi"/>
          <w:sz w:val="28"/>
          <w:szCs w:val="24"/>
        </w:rPr>
        <w:t>;</w:t>
      </w:r>
      <w:r w:rsidR="00DF5F74" w:rsidRPr="00BD4B88">
        <w:rPr>
          <w:rFonts w:eastAsia="Times New Roman" w:cstheme="minorHAnsi"/>
          <w:sz w:val="28"/>
          <w:szCs w:val="24"/>
        </w:rPr>
        <w:t xml:space="preserve"> The General Health Questionnaire (12) (Goldberg, 1992) </w:t>
      </w:r>
      <w:r w:rsidR="002005A0">
        <w:rPr>
          <w:rFonts w:eastAsia="Times New Roman" w:cstheme="minorHAnsi"/>
          <w:sz w:val="28"/>
          <w:szCs w:val="24"/>
        </w:rPr>
        <w:t>r=</w:t>
      </w:r>
      <w:r w:rsidR="00BD4B88" w:rsidRPr="00BD4B88">
        <w:rPr>
          <w:rFonts w:eastAsia="Times New Roman" w:cstheme="minorHAnsi"/>
          <w:sz w:val="28"/>
          <w:szCs w:val="24"/>
        </w:rPr>
        <w:t>-.31</w:t>
      </w:r>
      <w:r w:rsidR="00DF5F74" w:rsidRPr="00BD4B88">
        <w:rPr>
          <w:rFonts w:eastAsia="Times New Roman" w:cstheme="minorHAnsi"/>
          <w:sz w:val="28"/>
          <w:szCs w:val="24"/>
        </w:rPr>
        <w:t>. Test-retest reliability and internal consistency</w:t>
      </w:r>
      <w:r w:rsidR="00BD4B88" w:rsidRPr="00BD4B88">
        <w:rPr>
          <w:rFonts w:eastAsia="Times New Roman" w:cstheme="minorHAnsi"/>
          <w:sz w:val="28"/>
          <w:szCs w:val="24"/>
        </w:rPr>
        <w:t xml:space="preserve"> were r=.94 and α=.92</w:t>
      </w:r>
      <w:r w:rsidR="00DF5F74" w:rsidRPr="00BD4B88">
        <w:rPr>
          <w:rFonts w:eastAsia="Times New Roman" w:cstheme="minorHAnsi"/>
          <w:sz w:val="28"/>
          <w:szCs w:val="24"/>
        </w:rPr>
        <w:t>, respectively. The PPWWM produced a six-factor structure: ‘professional and organisational satisfaction’, ‘support and flexibility, ‘professional role, ‘physical environment’, ‘clinical supervision’ and ‘external personal’ support.</w:t>
      </w:r>
    </w:p>
    <w:p w14:paraId="4F7C68CD" w14:textId="77777777" w:rsidR="003F2889" w:rsidRPr="00FD13A8" w:rsidRDefault="003F2889" w:rsidP="003F2889">
      <w:pPr>
        <w:shd w:val="clear" w:color="auto" w:fill="FFFFFF"/>
        <w:spacing w:before="240" w:beforeAutospacing="1" w:after="100" w:afterAutospacing="1" w:line="240" w:lineRule="auto"/>
        <w:ind w:firstLine="720"/>
        <w:rPr>
          <w:rFonts w:cstheme="minorHAnsi"/>
          <w:b/>
          <w:bCs/>
          <w:i/>
          <w:sz w:val="28"/>
          <w:szCs w:val="24"/>
          <w:shd w:val="clear" w:color="auto" w:fill="FFFFFF"/>
        </w:rPr>
      </w:pPr>
      <w:r w:rsidRPr="00FD13A8">
        <w:rPr>
          <w:rFonts w:cstheme="minorHAnsi"/>
          <w:b/>
          <w:bCs/>
          <w:i/>
          <w:sz w:val="28"/>
          <w:szCs w:val="24"/>
          <w:shd w:val="clear" w:color="auto" w:fill="FFFFFF"/>
        </w:rPr>
        <w:t xml:space="preserve">Short Warwick-Edinburgh Mental Well-being Scale </w:t>
      </w:r>
    </w:p>
    <w:p w14:paraId="72CD6553" w14:textId="1C3E7553" w:rsidR="000746C5" w:rsidRDefault="003F2889" w:rsidP="003F2889">
      <w:pPr>
        <w:shd w:val="clear" w:color="auto" w:fill="FFFFFF"/>
        <w:spacing w:before="100" w:beforeAutospacing="1" w:after="100" w:afterAutospacing="1" w:line="240" w:lineRule="auto"/>
        <w:rPr>
          <w:rFonts w:cstheme="minorHAnsi"/>
          <w:bCs/>
          <w:sz w:val="28"/>
          <w:szCs w:val="28"/>
          <w:shd w:val="clear" w:color="auto" w:fill="FFFFFF"/>
        </w:rPr>
      </w:pPr>
      <w:r w:rsidRPr="00FD13A8">
        <w:rPr>
          <w:rFonts w:cstheme="minorHAnsi"/>
          <w:bCs/>
          <w:sz w:val="28"/>
          <w:szCs w:val="24"/>
          <w:shd w:val="clear" w:color="auto" w:fill="FFFFFF"/>
        </w:rPr>
        <w:t xml:space="preserve">The Short Warwick-Edinburgh Mental Well-being Scale (SWEMWEBS) </w:t>
      </w:r>
      <w:r w:rsidR="00647D7B" w:rsidRPr="00647D7B">
        <w:rPr>
          <w:rFonts w:cstheme="minorHAnsi"/>
          <w:bCs/>
          <w:sz w:val="28"/>
          <w:szCs w:val="24"/>
          <w:shd w:val="clear" w:color="auto" w:fill="FFFFFF"/>
        </w:rPr>
        <w:t>(Stewart-Brown et al., 2009)</w:t>
      </w:r>
      <w:r w:rsidR="00647D7B">
        <w:rPr>
          <w:rFonts w:cstheme="minorHAnsi"/>
          <w:bCs/>
          <w:sz w:val="28"/>
          <w:szCs w:val="24"/>
          <w:shd w:val="clear" w:color="auto" w:fill="FFFFFF"/>
        </w:rPr>
        <w:t xml:space="preserve"> </w:t>
      </w:r>
      <w:r w:rsidRPr="00FD13A8">
        <w:rPr>
          <w:rFonts w:cstheme="minorHAnsi"/>
          <w:bCs/>
          <w:sz w:val="28"/>
          <w:szCs w:val="24"/>
          <w:shd w:val="clear" w:color="auto" w:fill="FFFFFF"/>
        </w:rPr>
        <w:t>is a unidimensional self-report, 7-</w:t>
      </w:r>
      <w:r>
        <w:rPr>
          <w:rFonts w:cstheme="minorHAnsi"/>
          <w:bCs/>
          <w:sz w:val="28"/>
          <w:szCs w:val="24"/>
          <w:shd w:val="clear" w:color="auto" w:fill="FFFFFF"/>
        </w:rPr>
        <w:t>item scale</w:t>
      </w:r>
      <w:r w:rsidR="002005A0">
        <w:rPr>
          <w:rFonts w:cstheme="minorHAnsi"/>
          <w:bCs/>
          <w:sz w:val="28"/>
          <w:szCs w:val="24"/>
          <w:shd w:val="clear" w:color="auto" w:fill="FFFFFF"/>
        </w:rPr>
        <w:t xml:space="preserve"> using a 5-point rating system</w:t>
      </w:r>
      <w:r w:rsidRPr="00FD13A8">
        <w:rPr>
          <w:rFonts w:cstheme="minorHAnsi"/>
          <w:bCs/>
          <w:sz w:val="28"/>
          <w:szCs w:val="24"/>
          <w:shd w:val="clear" w:color="auto" w:fill="FFFFFF"/>
        </w:rPr>
        <w:t xml:space="preserve"> </w:t>
      </w:r>
      <w:r w:rsidR="005A35E8">
        <w:rPr>
          <w:rFonts w:cstheme="minorHAnsi"/>
          <w:bCs/>
          <w:sz w:val="28"/>
          <w:szCs w:val="24"/>
          <w:shd w:val="clear" w:color="auto" w:fill="FFFFFF"/>
        </w:rPr>
        <w:t xml:space="preserve">( 1 </w:t>
      </w:r>
      <w:r w:rsidR="005A35E8" w:rsidRPr="005A35E8">
        <w:rPr>
          <w:rFonts w:cstheme="minorHAnsi"/>
          <w:bCs/>
          <w:i/>
          <w:sz w:val="28"/>
          <w:szCs w:val="24"/>
          <w:shd w:val="clear" w:color="auto" w:fill="FFFFFF"/>
        </w:rPr>
        <w:t>none of the time</w:t>
      </w:r>
      <w:r w:rsidR="005A35E8">
        <w:rPr>
          <w:rFonts w:cstheme="minorHAnsi"/>
          <w:bCs/>
          <w:sz w:val="28"/>
          <w:szCs w:val="24"/>
          <w:shd w:val="clear" w:color="auto" w:fill="FFFFFF"/>
        </w:rPr>
        <w:t xml:space="preserve"> to 5 </w:t>
      </w:r>
      <w:r w:rsidR="005A35E8" w:rsidRPr="005A35E8">
        <w:rPr>
          <w:rFonts w:cstheme="minorHAnsi"/>
          <w:bCs/>
          <w:i/>
          <w:sz w:val="28"/>
          <w:szCs w:val="24"/>
          <w:shd w:val="clear" w:color="auto" w:fill="FFFFFF"/>
        </w:rPr>
        <w:t>all of the time</w:t>
      </w:r>
      <w:r w:rsidR="005A35E8">
        <w:rPr>
          <w:rFonts w:cstheme="minorHAnsi"/>
          <w:bCs/>
          <w:sz w:val="28"/>
          <w:szCs w:val="24"/>
          <w:shd w:val="clear" w:color="auto" w:fill="FFFFFF"/>
        </w:rPr>
        <w:t>) to assess</w:t>
      </w:r>
      <w:r w:rsidRPr="00FD13A8">
        <w:rPr>
          <w:rFonts w:cstheme="minorHAnsi"/>
          <w:bCs/>
          <w:sz w:val="28"/>
          <w:szCs w:val="24"/>
          <w:shd w:val="clear" w:color="auto" w:fill="FFFFFF"/>
        </w:rPr>
        <w:t xml:space="preserve"> mental-wellbeing</w:t>
      </w:r>
      <w:r w:rsidR="002005A0">
        <w:rPr>
          <w:rFonts w:cstheme="minorHAnsi"/>
          <w:bCs/>
          <w:sz w:val="28"/>
          <w:szCs w:val="24"/>
          <w:shd w:val="clear" w:color="auto" w:fill="FFFFFF"/>
        </w:rPr>
        <w:t xml:space="preserve">. It was </w:t>
      </w:r>
      <w:r w:rsidR="00BE169E">
        <w:rPr>
          <w:rFonts w:cstheme="minorHAnsi"/>
          <w:sz w:val="28"/>
        </w:rPr>
        <w:t xml:space="preserve">derived from </w:t>
      </w:r>
      <w:r w:rsidRPr="00FD13A8">
        <w:rPr>
          <w:rFonts w:cstheme="minorHAnsi"/>
          <w:bCs/>
          <w:sz w:val="28"/>
          <w:szCs w:val="24"/>
          <w:shd w:val="clear" w:color="auto" w:fill="FFFFFF"/>
        </w:rPr>
        <w:t xml:space="preserve">the original 14-item Warwick-Edinburgh Mental Well-being Scale (WEMWEBS) </w:t>
      </w:r>
      <w:r>
        <w:rPr>
          <w:rFonts w:cstheme="minorHAnsi"/>
          <w:bCs/>
          <w:sz w:val="28"/>
          <w:szCs w:val="24"/>
          <w:shd w:val="clear" w:color="auto" w:fill="FFFFFF"/>
        </w:rPr>
        <w:t xml:space="preserve">(Tennant et al., 2007). </w:t>
      </w:r>
      <w:r w:rsidR="002A6121">
        <w:rPr>
          <w:rFonts w:cstheme="minorHAnsi"/>
          <w:bCs/>
          <w:sz w:val="28"/>
          <w:szCs w:val="24"/>
          <w:shd w:val="clear" w:color="auto" w:fill="FFFFFF"/>
        </w:rPr>
        <w:t>Its score range is 7 to 35</w:t>
      </w:r>
      <w:r w:rsidR="00DA706A">
        <w:rPr>
          <w:rFonts w:cstheme="minorHAnsi"/>
          <w:bCs/>
          <w:sz w:val="28"/>
          <w:szCs w:val="24"/>
          <w:shd w:val="clear" w:color="auto" w:fill="FFFFFF"/>
        </w:rPr>
        <w:t xml:space="preserve"> with higher scores indicating greater wellbeing</w:t>
      </w:r>
      <w:r w:rsidR="002A6121">
        <w:rPr>
          <w:rFonts w:cstheme="minorHAnsi"/>
          <w:bCs/>
          <w:sz w:val="28"/>
          <w:szCs w:val="24"/>
          <w:shd w:val="clear" w:color="auto" w:fill="FFFFFF"/>
        </w:rPr>
        <w:t>.</w:t>
      </w:r>
      <w:r w:rsidR="00DA706A">
        <w:rPr>
          <w:rFonts w:cstheme="minorHAnsi"/>
          <w:bCs/>
          <w:sz w:val="28"/>
          <w:szCs w:val="24"/>
          <w:shd w:val="clear" w:color="auto" w:fill="FFFFFF"/>
        </w:rPr>
        <w:t xml:space="preserve"> </w:t>
      </w:r>
      <w:r w:rsidRPr="00FD13A8">
        <w:rPr>
          <w:rFonts w:cstheme="minorHAnsi"/>
          <w:bCs/>
          <w:sz w:val="28"/>
          <w:szCs w:val="24"/>
          <w:shd w:val="clear" w:color="auto" w:fill="FFFFFF"/>
        </w:rPr>
        <w:t xml:space="preserve">The WEMWEBS was developed </w:t>
      </w:r>
      <w:r w:rsidR="00DA706A">
        <w:rPr>
          <w:rFonts w:cstheme="minorHAnsi"/>
          <w:bCs/>
          <w:sz w:val="28"/>
          <w:szCs w:val="24"/>
          <w:shd w:val="clear" w:color="auto" w:fill="FFFFFF"/>
        </w:rPr>
        <w:t>using Rasch analysis (</w:t>
      </w:r>
      <w:r w:rsidR="00DA706A" w:rsidRPr="00FD13A8">
        <w:rPr>
          <w:rFonts w:cstheme="minorHAnsi"/>
          <w:sz w:val="28"/>
        </w:rPr>
        <w:t>Stewart-Brown et al</w:t>
      </w:r>
      <w:r w:rsidR="00DA706A">
        <w:rPr>
          <w:rFonts w:cstheme="minorHAnsi"/>
          <w:sz w:val="28"/>
        </w:rPr>
        <w:t xml:space="preserve">., 2009) </w:t>
      </w:r>
      <w:r w:rsidRPr="00FD13A8">
        <w:rPr>
          <w:rFonts w:cstheme="minorHAnsi"/>
          <w:bCs/>
          <w:sz w:val="28"/>
          <w:szCs w:val="24"/>
          <w:shd w:val="clear" w:color="auto" w:fill="FFFFFF"/>
        </w:rPr>
        <w:t xml:space="preserve">to </w:t>
      </w:r>
      <w:r w:rsidR="00BE169E">
        <w:rPr>
          <w:rFonts w:cstheme="minorHAnsi"/>
          <w:bCs/>
          <w:sz w:val="28"/>
          <w:szCs w:val="24"/>
          <w:shd w:val="clear" w:color="auto" w:fill="FFFFFF"/>
        </w:rPr>
        <w:t xml:space="preserve">measure </w:t>
      </w:r>
      <w:r w:rsidRPr="00FD13A8">
        <w:rPr>
          <w:rFonts w:cstheme="minorHAnsi"/>
          <w:bCs/>
          <w:sz w:val="28"/>
          <w:szCs w:val="24"/>
          <w:shd w:val="clear" w:color="auto" w:fill="FFFFFF"/>
        </w:rPr>
        <w:t>wellbeing in the general population and for the evaluatio</w:t>
      </w:r>
      <w:r w:rsidR="002F044A">
        <w:rPr>
          <w:rFonts w:cstheme="minorHAnsi"/>
          <w:bCs/>
          <w:sz w:val="28"/>
          <w:szCs w:val="24"/>
          <w:shd w:val="clear" w:color="auto" w:fill="FFFFFF"/>
        </w:rPr>
        <w:t>n of projects and policies that</w:t>
      </w:r>
      <w:r w:rsidRPr="00FD13A8">
        <w:rPr>
          <w:rFonts w:cstheme="minorHAnsi"/>
          <w:bCs/>
          <w:sz w:val="28"/>
          <w:szCs w:val="24"/>
          <w:shd w:val="clear" w:color="auto" w:fill="FFFFFF"/>
        </w:rPr>
        <w:t xml:space="preserve"> aim to improve mental wellbeing. </w:t>
      </w:r>
      <w:r w:rsidR="0052067F">
        <w:rPr>
          <w:rFonts w:cstheme="minorHAnsi"/>
          <w:sz w:val="28"/>
        </w:rPr>
        <w:t xml:space="preserve"> </w:t>
      </w:r>
      <w:r w:rsidR="00BE169E">
        <w:rPr>
          <w:rFonts w:cstheme="minorHAnsi"/>
          <w:sz w:val="28"/>
        </w:rPr>
        <w:t xml:space="preserve"> It </w:t>
      </w:r>
      <w:r w:rsidRPr="00FD13A8">
        <w:rPr>
          <w:rFonts w:cstheme="minorHAnsi"/>
          <w:bCs/>
          <w:sz w:val="28"/>
          <w:szCs w:val="24"/>
          <w:shd w:val="clear" w:color="auto" w:fill="FFFFFF"/>
        </w:rPr>
        <w:t xml:space="preserve">has been widely used within the UK in population surveys (for example, Bellis, Lowey, Leckenby, Hughes &amp; Harrison, 2013) and for the assessment of </w:t>
      </w:r>
      <w:r w:rsidRPr="00FD13A8">
        <w:rPr>
          <w:rFonts w:cstheme="minorHAnsi"/>
          <w:bCs/>
          <w:sz w:val="28"/>
          <w:szCs w:val="24"/>
          <w:shd w:val="clear" w:color="auto" w:fill="FFFFFF"/>
        </w:rPr>
        <w:lastRenderedPageBreak/>
        <w:t xml:space="preserve">interventions </w:t>
      </w:r>
      <w:r w:rsidR="00D0133F">
        <w:rPr>
          <w:rFonts w:cstheme="minorHAnsi"/>
          <w:bCs/>
          <w:sz w:val="28"/>
          <w:szCs w:val="24"/>
          <w:shd w:val="clear" w:color="auto" w:fill="FFFFFF"/>
        </w:rPr>
        <w:t xml:space="preserve">to </w:t>
      </w:r>
      <w:r w:rsidRPr="00FD13A8">
        <w:rPr>
          <w:rFonts w:cstheme="minorHAnsi"/>
          <w:bCs/>
          <w:sz w:val="28"/>
          <w:szCs w:val="24"/>
          <w:shd w:val="clear" w:color="auto" w:fill="FFFFFF"/>
        </w:rPr>
        <w:t xml:space="preserve">improve mental wellbeing (for example, </w:t>
      </w:r>
      <w:r w:rsidRPr="00FD13A8">
        <w:rPr>
          <w:rFonts w:cstheme="minorHAnsi"/>
          <w:color w:val="222222"/>
          <w:sz w:val="28"/>
          <w:szCs w:val="24"/>
          <w:shd w:val="clear" w:color="auto" w:fill="FFFFFF"/>
        </w:rPr>
        <w:t>Shah, Cader, Andrews, Wijesekera, &amp; Stewart-Brown, 2018</w:t>
      </w:r>
      <w:r w:rsidRPr="00FD13A8">
        <w:rPr>
          <w:rFonts w:cstheme="minorHAnsi"/>
          <w:bCs/>
          <w:sz w:val="28"/>
          <w:szCs w:val="24"/>
          <w:shd w:val="clear" w:color="auto" w:fill="FFFFFF"/>
        </w:rPr>
        <w:t xml:space="preserve">). </w:t>
      </w:r>
      <w:r w:rsidRPr="00262729">
        <w:rPr>
          <w:rFonts w:cstheme="minorHAnsi"/>
          <w:sz w:val="28"/>
          <w:szCs w:val="28"/>
        </w:rPr>
        <w:t>Cronbach’s α for the SWEMWBS was .84 (</w:t>
      </w:r>
      <w:r w:rsidRPr="00262729">
        <w:rPr>
          <w:rFonts w:cstheme="minorHAnsi"/>
          <w:sz w:val="28"/>
          <w:szCs w:val="28"/>
          <w:shd w:val="clear" w:color="auto" w:fill="FFFFFF"/>
        </w:rPr>
        <w:t xml:space="preserve">Fat, Scholes, Boniface, Mindell &amp; Stewart-Brown, 2017), </w:t>
      </w:r>
      <w:r w:rsidRPr="00262729">
        <w:rPr>
          <w:rFonts w:cstheme="minorHAnsi"/>
          <w:sz w:val="28"/>
          <w:szCs w:val="28"/>
        </w:rPr>
        <w:t>indicating high internal consistency (</w:t>
      </w:r>
      <w:r w:rsidRPr="00262729">
        <w:rPr>
          <w:rFonts w:eastAsia="Times New Roman" w:cstheme="minorHAnsi"/>
          <w:sz w:val="28"/>
          <w:szCs w:val="28"/>
        </w:rPr>
        <w:t xml:space="preserve">DeVellis, 2017). </w:t>
      </w:r>
      <w:r w:rsidRPr="004C4DB1">
        <w:rPr>
          <w:rFonts w:cstheme="minorHAnsi"/>
          <w:sz w:val="28"/>
          <w:szCs w:val="28"/>
          <w:shd w:val="clear" w:color="auto" w:fill="FFFFFF"/>
        </w:rPr>
        <w:t>The test-retest reliability has not been evaluated.</w:t>
      </w:r>
      <w:r w:rsidR="004C4DB1">
        <w:rPr>
          <w:rFonts w:cstheme="minorHAnsi"/>
          <w:sz w:val="28"/>
          <w:szCs w:val="28"/>
          <w:shd w:val="clear" w:color="auto" w:fill="FFFFFF"/>
        </w:rPr>
        <w:t xml:space="preserve"> </w:t>
      </w:r>
      <w:r w:rsidR="000746C5">
        <w:rPr>
          <w:rFonts w:cstheme="minorHAnsi"/>
          <w:bCs/>
          <w:sz w:val="28"/>
          <w:szCs w:val="28"/>
          <w:shd w:val="clear" w:color="auto" w:fill="FFFFFF"/>
        </w:rPr>
        <w:t xml:space="preserve">The SWEMWBS is negatively correlated with </w:t>
      </w:r>
      <w:r w:rsidR="00256432">
        <w:rPr>
          <w:rFonts w:cstheme="minorHAnsi"/>
          <w:bCs/>
          <w:sz w:val="28"/>
          <w:szCs w:val="28"/>
          <w:shd w:val="clear" w:color="auto" w:fill="FFFFFF"/>
        </w:rPr>
        <w:t>the GHQ-12 and positively correlated with happiness and positive health state (</w:t>
      </w:r>
      <w:r w:rsidR="00605C08">
        <w:rPr>
          <w:rFonts w:cstheme="minorHAnsi"/>
          <w:bCs/>
          <w:sz w:val="28"/>
          <w:szCs w:val="28"/>
          <w:shd w:val="clear" w:color="auto" w:fill="FFFFFF"/>
        </w:rPr>
        <w:t xml:space="preserve">Ng </w:t>
      </w:r>
      <w:r w:rsidR="00256432">
        <w:rPr>
          <w:rFonts w:cstheme="minorHAnsi"/>
          <w:bCs/>
          <w:sz w:val="28"/>
          <w:szCs w:val="28"/>
          <w:shd w:val="clear" w:color="auto" w:fill="FFFFFF"/>
        </w:rPr>
        <w:t>Fat et al</w:t>
      </w:r>
      <w:r w:rsidR="007B5983">
        <w:rPr>
          <w:rFonts w:cstheme="minorHAnsi"/>
          <w:bCs/>
          <w:sz w:val="28"/>
          <w:szCs w:val="28"/>
          <w:shd w:val="clear" w:color="auto" w:fill="FFFFFF"/>
        </w:rPr>
        <w:t>.</w:t>
      </w:r>
      <w:r w:rsidR="00256432">
        <w:rPr>
          <w:rFonts w:cstheme="minorHAnsi"/>
          <w:bCs/>
          <w:sz w:val="28"/>
          <w:szCs w:val="28"/>
          <w:shd w:val="clear" w:color="auto" w:fill="FFFFFF"/>
        </w:rPr>
        <w:t>, 2017).</w:t>
      </w:r>
    </w:p>
    <w:p w14:paraId="4CB50DB9" w14:textId="77777777" w:rsidR="003F2889" w:rsidRPr="00FD13A8" w:rsidRDefault="003F2889" w:rsidP="003F2889">
      <w:pPr>
        <w:shd w:val="clear" w:color="auto" w:fill="FFFFFF"/>
        <w:spacing w:before="100" w:beforeAutospacing="1" w:after="100" w:afterAutospacing="1" w:line="240" w:lineRule="auto"/>
        <w:ind w:firstLine="720"/>
        <w:rPr>
          <w:rFonts w:eastAsia="Times New Roman" w:cstheme="minorHAnsi"/>
          <w:b/>
          <w:i/>
          <w:sz w:val="28"/>
          <w:szCs w:val="24"/>
        </w:rPr>
      </w:pPr>
      <w:r w:rsidRPr="00FD13A8">
        <w:rPr>
          <w:rFonts w:eastAsia="Times New Roman" w:cstheme="minorHAnsi"/>
          <w:b/>
          <w:i/>
          <w:sz w:val="28"/>
          <w:szCs w:val="24"/>
        </w:rPr>
        <w:t>Additional items</w:t>
      </w:r>
    </w:p>
    <w:p w14:paraId="58DC53B0" w14:textId="24984BBF" w:rsidR="003F2889" w:rsidRPr="00FD13A8" w:rsidRDefault="003F2889" w:rsidP="003F2889">
      <w:pPr>
        <w:shd w:val="clear" w:color="auto" w:fill="FFFFFF"/>
        <w:spacing w:before="100" w:beforeAutospacing="1" w:after="100" w:afterAutospacing="1" w:line="240" w:lineRule="auto"/>
        <w:rPr>
          <w:rFonts w:eastAsia="Times New Roman" w:cstheme="minorHAnsi"/>
          <w:sz w:val="28"/>
          <w:szCs w:val="24"/>
        </w:rPr>
      </w:pPr>
      <w:r w:rsidRPr="00FD13A8">
        <w:rPr>
          <w:rFonts w:eastAsia="Times New Roman" w:cstheme="minorHAnsi"/>
          <w:sz w:val="28"/>
          <w:szCs w:val="24"/>
        </w:rPr>
        <w:tab/>
        <w:t>Nine additional quantitative items</w:t>
      </w:r>
      <w:r w:rsidR="00D0133F">
        <w:rPr>
          <w:rFonts w:eastAsia="Times New Roman" w:cstheme="minorHAnsi"/>
          <w:sz w:val="28"/>
          <w:szCs w:val="24"/>
        </w:rPr>
        <w:t xml:space="preserve"> from</w:t>
      </w:r>
      <w:r w:rsidRPr="00FD13A8">
        <w:rPr>
          <w:rFonts w:eastAsia="Times New Roman" w:cstheme="minorHAnsi"/>
          <w:sz w:val="28"/>
          <w:szCs w:val="24"/>
        </w:rPr>
        <w:t xml:space="preserve"> </w:t>
      </w:r>
      <w:r w:rsidR="00D0133F">
        <w:rPr>
          <w:sz w:val="28"/>
          <w:szCs w:val="28"/>
        </w:rPr>
        <w:t xml:space="preserve">the National Health Service (UK) staff survey (NHS staff survey coordination centre, 2018) </w:t>
      </w:r>
      <w:r w:rsidRPr="00FD13A8">
        <w:rPr>
          <w:rFonts w:eastAsia="Times New Roman" w:cstheme="minorHAnsi"/>
          <w:sz w:val="28"/>
          <w:szCs w:val="24"/>
        </w:rPr>
        <w:t>were included</w:t>
      </w:r>
      <w:r w:rsidR="00D0133F">
        <w:rPr>
          <w:rFonts w:eastAsia="Times New Roman" w:cstheme="minorHAnsi"/>
          <w:sz w:val="28"/>
          <w:szCs w:val="24"/>
        </w:rPr>
        <w:t>. These tapped</w:t>
      </w:r>
      <w:r w:rsidRPr="00FD13A8">
        <w:rPr>
          <w:rFonts w:eastAsia="Times New Roman" w:cstheme="minorHAnsi"/>
          <w:sz w:val="28"/>
          <w:szCs w:val="24"/>
        </w:rPr>
        <w:t xml:space="preserve"> harassment, bullying and discrimination at work, organisational change,</w:t>
      </w:r>
      <w:r w:rsidR="00D0133F">
        <w:rPr>
          <w:rFonts w:eastAsia="Times New Roman" w:cstheme="minorHAnsi"/>
          <w:sz w:val="28"/>
          <w:szCs w:val="24"/>
        </w:rPr>
        <w:t xml:space="preserve"> staffing levels and </w:t>
      </w:r>
      <w:r w:rsidRPr="00FD13A8">
        <w:rPr>
          <w:rFonts w:eastAsia="Times New Roman" w:cstheme="minorHAnsi"/>
          <w:sz w:val="28"/>
          <w:szCs w:val="24"/>
        </w:rPr>
        <w:t xml:space="preserve">overall mood. Participants were also given the opportunity to provide additional comments within a ‘free-text’ format relating to their wellbeing and the survey questions. </w:t>
      </w:r>
    </w:p>
    <w:p w14:paraId="17836CD8" w14:textId="77777777" w:rsidR="007D1968" w:rsidRDefault="00B71D73" w:rsidP="007D1968">
      <w:pPr>
        <w:ind w:left="720"/>
        <w:rPr>
          <w:b/>
          <w:bCs/>
          <w:sz w:val="28"/>
          <w:szCs w:val="28"/>
        </w:rPr>
      </w:pPr>
      <w:r>
        <w:rPr>
          <w:b/>
          <w:bCs/>
          <w:sz w:val="28"/>
          <w:szCs w:val="28"/>
        </w:rPr>
        <w:t xml:space="preserve">Data Cleaning and </w:t>
      </w:r>
      <w:r w:rsidR="007D1968">
        <w:rPr>
          <w:b/>
          <w:bCs/>
          <w:sz w:val="28"/>
          <w:szCs w:val="28"/>
        </w:rPr>
        <w:t>Analysis</w:t>
      </w:r>
    </w:p>
    <w:p w14:paraId="27F34F25" w14:textId="76AC4770" w:rsidR="00B71D73" w:rsidRPr="00993B04" w:rsidRDefault="00F92B6D" w:rsidP="00B71D73">
      <w:pPr>
        <w:shd w:val="clear" w:color="auto" w:fill="FFFFFF"/>
        <w:spacing w:before="100" w:beforeAutospacing="1" w:after="100" w:afterAutospacing="1" w:line="240" w:lineRule="auto"/>
        <w:rPr>
          <w:rFonts w:cstheme="minorHAnsi"/>
          <w:sz w:val="28"/>
          <w:szCs w:val="24"/>
        </w:rPr>
      </w:pPr>
      <w:r>
        <w:rPr>
          <w:rFonts w:cstheme="minorHAnsi"/>
          <w:sz w:val="28"/>
          <w:szCs w:val="24"/>
        </w:rPr>
        <w:t xml:space="preserve">As noted above, the forced choice nature of the questionnaire did not generate missing questions. </w:t>
      </w:r>
      <w:r w:rsidR="00993B04" w:rsidRPr="00993B04">
        <w:rPr>
          <w:rFonts w:cstheme="minorHAnsi"/>
          <w:sz w:val="28"/>
          <w:szCs w:val="24"/>
        </w:rPr>
        <w:t xml:space="preserve">Data </w:t>
      </w:r>
      <w:r w:rsidR="00871B91">
        <w:rPr>
          <w:rFonts w:cstheme="minorHAnsi"/>
          <w:sz w:val="28"/>
          <w:szCs w:val="24"/>
        </w:rPr>
        <w:t>were</w:t>
      </w:r>
      <w:r w:rsidR="00993B04" w:rsidRPr="00993B04">
        <w:rPr>
          <w:rFonts w:cstheme="minorHAnsi"/>
          <w:sz w:val="28"/>
          <w:szCs w:val="24"/>
        </w:rPr>
        <w:t xml:space="preserve"> cleaned by r</w:t>
      </w:r>
      <w:r>
        <w:rPr>
          <w:rFonts w:cstheme="minorHAnsi"/>
          <w:sz w:val="28"/>
          <w:szCs w:val="24"/>
        </w:rPr>
        <w:t>emoving any incomplete questionnaires</w:t>
      </w:r>
      <w:r w:rsidR="00993B04" w:rsidRPr="00993B04">
        <w:rPr>
          <w:rFonts w:cstheme="minorHAnsi"/>
          <w:sz w:val="28"/>
          <w:szCs w:val="24"/>
        </w:rPr>
        <w:t xml:space="preserve"> and responses from participants who did not meet the inclusion criteria. </w:t>
      </w:r>
      <w:r w:rsidR="00B71D73" w:rsidRPr="00993B04">
        <w:rPr>
          <w:rFonts w:cstheme="minorHAnsi"/>
          <w:sz w:val="28"/>
          <w:szCs w:val="24"/>
        </w:rPr>
        <w:t xml:space="preserve"> </w:t>
      </w:r>
    </w:p>
    <w:p w14:paraId="3C300C84" w14:textId="14F5BABA" w:rsidR="007D1968" w:rsidRDefault="0099437C">
      <w:pPr>
        <w:rPr>
          <w:sz w:val="28"/>
          <w:szCs w:val="28"/>
        </w:rPr>
      </w:pPr>
      <w:r w:rsidRPr="0099437C">
        <w:rPr>
          <w:sz w:val="28"/>
          <w:szCs w:val="28"/>
        </w:rPr>
        <w:t>Data analysis used IBM SPSS® version 2</w:t>
      </w:r>
      <w:r w:rsidR="00BF1D96">
        <w:rPr>
          <w:sz w:val="28"/>
          <w:szCs w:val="28"/>
        </w:rPr>
        <w:t>5</w:t>
      </w:r>
      <w:r w:rsidRPr="0099437C">
        <w:rPr>
          <w:sz w:val="28"/>
          <w:szCs w:val="28"/>
        </w:rPr>
        <w:t>.</w:t>
      </w:r>
      <w:r>
        <w:rPr>
          <w:sz w:val="28"/>
          <w:szCs w:val="28"/>
        </w:rPr>
        <w:t xml:space="preserve"> </w:t>
      </w:r>
      <w:r w:rsidR="007D1968" w:rsidRPr="007D1968">
        <w:rPr>
          <w:sz w:val="28"/>
          <w:szCs w:val="28"/>
        </w:rPr>
        <w:t xml:space="preserve">All </w:t>
      </w:r>
      <w:r w:rsidR="007D1968">
        <w:rPr>
          <w:sz w:val="28"/>
          <w:szCs w:val="28"/>
        </w:rPr>
        <w:t xml:space="preserve">correlations and ANOVA analyses </w:t>
      </w:r>
      <w:r w:rsidR="007D1968" w:rsidRPr="007D1968">
        <w:rPr>
          <w:sz w:val="28"/>
          <w:szCs w:val="28"/>
        </w:rPr>
        <w:t>used bootstrapping</w:t>
      </w:r>
      <w:r w:rsidR="007D1968">
        <w:rPr>
          <w:sz w:val="28"/>
          <w:szCs w:val="28"/>
        </w:rPr>
        <w:t xml:space="preserve"> (2000 iterations)</w:t>
      </w:r>
      <w:r w:rsidR="007D1968" w:rsidRPr="007D1968">
        <w:rPr>
          <w:sz w:val="28"/>
          <w:szCs w:val="28"/>
        </w:rPr>
        <w:t xml:space="preserve"> to give a more robust test</w:t>
      </w:r>
      <w:r w:rsidR="007D1968">
        <w:rPr>
          <w:sz w:val="28"/>
          <w:szCs w:val="28"/>
        </w:rPr>
        <w:t xml:space="preserve"> with respect to deviation fr</w:t>
      </w:r>
      <w:r w:rsidR="004643C5">
        <w:rPr>
          <w:sz w:val="28"/>
          <w:szCs w:val="28"/>
        </w:rPr>
        <w:t>o</w:t>
      </w:r>
      <w:r w:rsidR="007D1968">
        <w:rPr>
          <w:sz w:val="28"/>
          <w:szCs w:val="28"/>
        </w:rPr>
        <w:t>m assumptions.</w:t>
      </w:r>
      <w:r w:rsidR="007D1968" w:rsidRPr="007D1968">
        <w:rPr>
          <w:sz w:val="28"/>
          <w:szCs w:val="28"/>
        </w:rPr>
        <w:t xml:space="preserve"> </w:t>
      </w:r>
      <w:r w:rsidR="00860916" w:rsidRPr="00860916">
        <w:rPr>
          <w:sz w:val="28"/>
          <w:szCs w:val="28"/>
        </w:rPr>
        <w:t xml:space="preserve">Bonferroni corrections </w:t>
      </w:r>
      <w:r w:rsidR="00860916">
        <w:rPr>
          <w:sz w:val="28"/>
          <w:szCs w:val="28"/>
        </w:rPr>
        <w:t xml:space="preserve">for analyses involving demographic variables were </w:t>
      </w:r>
      <w:r w:rsidR="00725B68">
        <w:rPr>
          <w:sz w:val="28"/>
          <w:szCs w:val="28"/>
        </w:rPr>
        <w:t>not</w:t>
      </w:r>
      <w:r w:rsidR="00860916" w:rsidRPr="00860916">
        <w:rPr>
          <w:sz w:val="28"/>
          <w:szCs w:val="28"/>
        </w:rPr>
        <w:t xml:space="preserve"> made because they are highly conservative and can fail to identify significant relationships in survey research (Bland </w:t>
      </w:r>
      <w:r w:rsidR="00256432">
        <w:rPr>
          <w:sz w:val="28"/>
          <w:szCs w:val="28"/>
        </w:rPr>
        <w:t>&amp;</w:t>
      </w:r>
      <w:r w:rsidR="00860916" w:rsidRPr="00860916">
        <w:rPr>
          <w:sz w:val="28"/>
          <w:szCs w:val="28"/>
        </w:rPr>
        <w:t xml:space="preserve"> Altman, 1996).</w:t>
      </w:r>
      <w:r w:rsidR="00860916">
        <w:rPr>
          <w:sz w:val="28"/>
          <w:szCs w:val="28"/>
        </w:rPr>
        <w:t xml:space="preserve"> </w:t>
      </w:r>
      <w:r w:rsidR="00725B68">
        <w:rPr>
          <w:sz w:val="28"/>
          <w:szCs w:val="28"/>
        </w:rPr>
        <w:t>Commentaries suggest there is a lack of consensus as to how Bonf</w:t>
      </w:r>
      <w:r w:rsidR="005863B9">
        <w:rPr>
          <w:sz w:val="28"/>
          <w:szCs w:val="28"/>
        </w:rPr>
        <w:t>e</w:t>
      </w:r>
      <w:r w:rsidR="00725B68">
        <w:rPr>
          <w:sz w:val="28"/>
          <w:szCs w:val="28"/>
        </w:rPr>
        <w:t>rroni should be applied (</w:t>
      </w:r>
      <w:r w:rsidR="00725B68" w:rsidRPr="00725B68">
        <w:rPr>
          <w:sz w:val="28"/>
          <w:szCs w:val="28"/>
        </w:rPr>
        <w:t>Drezner &amp; Drezner</w:t>
      </w:r>
      <w:r w:rsidR="0043652D">
        <w:rPr>
          <w:sz w:val="28"/>
          <w:szCs w:val="28"/>
        </w:rPr>
        <w:t xml:space="preserve">, </w:t>
      </w:r>
      <w:r w:rsidR="00725B68" w:rsidRPr="00725B68">
        <w:rPr>
          <w:sz w:val="28"/>
          <w:szCs w:val="28"/>
        </w:rPr>
        <w:t>2016)</w:t>
      </w:r>
      <w:r w:rsidR="00725B68">
        <w:rPr>
          <w:sz w:val="28"/>
          <w:szCs w:val="28"/>
        </w:rPr>
        <w:t xml:space="preserve"> and that their </w:t>
      </w:r>
      <w:r w:rsidR="00BE48A9">
        <w:rPr>
          <w:sz w:val="28"/>
          <w:szCs w:val="28"/>
        </w:rPr>
        <w:t>routine</w:t>
      </w:r>
      <w:r w:rsidR="00725B68">
        <w:rPr>
          <w:sz w:val="28"/>
          <w:szCs w:val="28"/>
        </w:rPr>
        <w:t xml:space="preserve"> use should be avoided (Ar</w:t>
      </w:r>
      <w:r w:rsidR="00BE48A9">
        <w:rPr>
          <w:sz w:val="28"/>
          <w:szCs w:val="28"/>
        </w:rPr>
        <w:t xml:space="preserve">mstrong, 2014). To counter Type 1 errors </w:t>
      </w:r>
      <w:r w:rsidR="006F5D1C">
        <w:rPr>
          <w:sz w:val="28"/>
          <w:szCs w:val="28"/>
        </w:rPr>
        <w:t>comparisons</w:t>
      </w:r>
      <w:r w:rsidR="00BE48A9">
        <w:rPr>
          <w:sz w:val="28"/>
          <w:szCs w:val="28"/>
        </w:rPr>
        <w:t xml:space="preserve"> </w:t>
      </w:r>
      <w:r w:rsidR="00BF1D96">
        <w:rPr>
          <w:sz w:val="28"/>
          <w:szCs w:val="28"/>
        </w:rPr>
        <w:t>were</w:t>
      </w:r>
      <w:r w:rsidR="00BE48A9">
        <w:rPr>
          <w:sz w:val="28"/>
          <w:szCs w:val="28"/>
        </w:rPr>
        <w:t xml:space="preserve"> </w:t>
      </w:r>
      <w:r w:rsidR="006F5D1C">
        <w:rPr>
          <w:sz w:val="28"/>
          <w:szCs w:val="28"/>
        </w:rPr>
        <w:t>made with</w:t>
      </w:r>
      <w:r w:rsidR="00BE48A9">
        <w:rPr>
          <w:sz w:val="28"/>
          <w:szCs w:val="28"/>
        </w:rPr>
        <w:t xml:space="preserve"> Summers et al. (</w:t>
      </w:r>
      <w:r w:rsidR="00AD244F">
        <w:rPr>
          <w:sz w:val="28"/>
          <w:szCs w:val="28"/>
        </w:rPr>
        <w:t>2020</w:t>
      </w:r>
      <w:r w:rsidR="00BE48A9">
        <w:rPr>
          <w:sz w:val="28"/>
          <w:szCs w:val="28"/>
        </w:rPr>
        <w:t xml:space="preserve">) to establish replicability. </w:t>
      </w:r>
    </w:p>
    <w:p w14:paraId="1A5D0823" w14:textId="23C9510C" w:rsidR="009448EC" w:rsidRDefault="009448EC">
      <w:pPr>
        <w:rPr>
          <w:sz w:val="28"/>
          <w:szCs w:val="28"/>
        </w:rPr>
      </w:pPr>
      <w:r>
        <w:rPr>
          <w:sz w:val="28"/>
          <w:szCs w:val="28"/>
        </w:rPr>
        <w:t>The comparisons of the SWEMWBS with the survey of Ng Fat et al (2017) used a one-sample t-test.</w:t>
      </w:r>
      <w:r w:rsidR="00685F6C">
        <w:rPr>
          <w:sz w:val="28"/>
          <w:szCs w:val="28"/>
        </w:rPr>
        <w:t xml:space="preserve"> The significance of </w:t>
      </w:r>
      <w:r w:rsidR="006F5D1C">
        <w:rPr>
          <w:sz w:val="28"/>
          <w:szCs w:val="28"/>
        </w:rPr>
        <w:t>PPWWM distribution skew and kurtosis was</w:t>
      </w:r>
      <w:r w:rsidR="00685F6C">
        <w:rPr>
          <w:sz w:val="28"/>
          <w:szCs w:val="28"/>
        </w:rPr>
        <w:t xml:space="preserve"> evaluated using their standard errors to obtain a z-statistic. One-wa</w:t>
      </w:r>
      <w:r w:rsidR="007968FE">
        <w:rPr>
          <w:sz w:val="28"/>
          <w:szCs w:val="28"/>
        </w:rPr>
        <w:t>y ANOVA was</w:t>
      </w:r>
      <w:r w:rsidR="00685F6C">
        <w:rPr>
          <w:sz w:val="28"/>
          <w:szCs w:val="28"/>
        </w:rPr>
        <w:t xml:space="preserve"> used to compare the PPWWM and SWEMWBS scores across </w:t>
      </w:r>
      <w:r w:rsidR="00C62CC3">
        <w:rPr>
          <w:sz w:val="28"/>
          <w:szCs w:val="28"/>
        </w:rPr>
        <w:t>sub-</w:t>
      </w:r>
      <w:r w:rsidR="006F5D1C">
        <w:rPr>
          <w:sz w:val="28"/>
          <w:szCs w:val="28"/>
        </w:rPr>
        <w:t>groups and f</w:t>
      </w:r>
      <w:r w:rsidR="002D2A5A">
        <w:rPr>
          <w:sz w:val="28"/>
          <w:szCs w:val="28"/>
        </w:rPr>
        <w:t>ollow-up test</w:t>
      </w:r>
      <w:r w:rsidR="006F5D1C">
        <w:rPr>
          <w:sz w:val="28"/>
          <w:szCs w:val="28"/>
        </w:rPr>
        <w:t>s</w:t>
      </w:r>
      <w:r w:rsidR="002D2A5A">
        <w:rPr>
          <w:sz w:val="28"/>
          <w:szCs w:val="28"/>
        </w:rPr>
        <w:t xml:space="preserve"> were two-tailed one-sample t-test</w:t>
      </w:r>
      <w:r w:rsidR="006F5D1C">
        <w:rPr>
          <w:sz w:val="28"/>
          <w:szCs w:val="28"/>
        </w:rPr>
        <w:t>s</w:t>
      </w:r>
      <w:r w:rsidR="002D2A5A">
        <w:rPr>
          <w:sz w:val="28"/>
          <w:szCs w:val="28"/>
        </w:rPr>
        <w:t xml:space="preserve"> comparing subgroup means with the overall mean</w:t>
      </w:r>
      <w:r w:rsidR="00486A96">
        <w:rPr>
          <w:sz w:val="28"/>
          <w:szCs w:val="28"/>
        </w:rPr>
        <w:t>.</w:t>
      </w:r>
      <w:r w:rsidR="007968FE">
        <w:rPr>
          <w:sz w:val="28"/>
          <w:szCs w:val="28"/>
        </w:rPr>
        <w:t xml:space="preserve"> Pearson correlation </w:t>
      </w:r>
      <w:r w:rsidR="006F5D1C">
        <w:rPr>
          <w:sz w:val="28"/>
          <w:szCs w:val="28"/>
        </w:rPr>
        <w:t xml:space="preserve">with bootstrapping </w:t>
      </w:r>
      <w:r w:rsidR="007968FE">
        <w:rPr>
          <w:sz w:val="28"/>
          <w:szCs w:val="28"/>
        </w:rPr>
        <w:t>was used to measure associations between interval variables (e.g</w:t>
      </w:r>
      <w:r w:rsidR="00613DCE">
        <w:rPr>
          <w:sz w:val="28"/>
          <w:szCs w:val="28"/>
        </w:rPr>
        <w:t>.</w:t>
      </w:r>
      <w:r w:rsidR="007968FE">
        <w:rPr>
          <w:sz w:val="28"/>
          <w:szCs w:val="28"/>
        </w:rPr>
        <w:t xml:space="preserve"> PPWWM and SWEMWBS).</w:t>
      </w:r>
    </w:p>
    <w:p w14:paraId="7E0DD491" w14:textId="34DE4449" w:rsidR="00C62CC3" w:rsidRPr="007D1968" w:rsidRDefault="00635E4F">
      <w:pPr>
        <w:rPr>
          <w:sz w:val="28"/>
          <w:szCs w:val="28"/>
        </w:rPr>
      </w:pPr>
      <w:r>
        <w:rPr>
          <w:sz w:val="28"/>
          <w:szCs w:val="28"/>
        </w:rPr>
        <w:t>K</w:t>
      </w:r>
      <w:r w:rsidR="00C62CC3">
        <w:rPr>
          <w:sz w:val="28"/>
          <w:szCs w:val="28"/>
        </w:rPr>
        <w:t xml:space="preserve">ey demographic variables such as age and salary were reported separately </w:t>
      </w:r>
      <w:r w:rsidR="006F5D1C">
        <w:rPr>
          <w:sz w:val="28"/>
          <w:szCs w:val="28"/>
        </w:rPr>
        <w:t>for males and females</w:t>
      </w:r>
      <w:r w:rsidR="00C62CC3">
        <w:rPr>
          <w:sz w:val="28"/>
          <w:szCs w:val="28"/>
        </w:rPr>
        <w:t>.</w:t>
      </w:r>
    </w:p>
    <w:p w14:paraId="73A0C52B" w14:textId="77777777" w:rsidR="006F5D1C" w:rsidRDefault="006F5D1C" w:rsidP="006F5D1C">
      <w:pPr>
        <w:spacing w:after="0"/>
        <w:rPr>
          <w:sz w:val="28"/>
          <w:szCs w:val="28"/>
        </w:rPr>
      </w:pPr>
      <w:r>
        <w:rPr>
          <w:sz w:val="28"/>
          <w:szCs w:val="28"/>
        </w:rPr>
        <w:t>The Factor analysis used a Varimax rotation of the principal components matrix with rotation of factors with Eigen values &gt;1.</w:t>
      </w:r>
    </w:p>
    <w:p w14:paraId="79B9049E" w14:textId="77777777" w:rsidR="006F5D1C" w:rsidRPr="00344E93" w:rsidRDefault="006F5D1C" w:rsidP="00344E93">
      <w:pPr>
        <w:spacing w:after="0"/>
        <w:rPr>
          <w:sz w:val="28"/>
        </w:rPr>
      </w:pPr>
    </w:p>
    <w:p w14:paraId="49F3274C" w14:textId="77777777" w:rsidR="00BF1D96" w:rsidRDefault="007C14B8">
      <w:pPr>
        <w:rPr>
          <w:b/>
          <w:bCs/>
          <w:sz w:val="28"/>
          <w:szCs w:val="28"/>
        </w:rPr>
      </w:pPr>
      <w:r>
        <w:rPr>
          <w:b/>
          <w:bCs/>
          <w:sz w:val="28"/>
          <w:szCs w:val="28"/>
        </w:rPr>
        <w:lastRenderedPageBreak/>
        <w:t>Results</w:t>
      </w:r>
    </w:p>
    <w:p w14:paraId="103758DE" w14:textId="100F2550" w:rsidR="00BF1D96" w:rsidRDefault="00B54861">
      <w:pPr>
        <w:rPr>
          <w:bCs/>
          <w:sz w:val="28"/>
          <w:szCs w:val="28"/>
        </w:rPr>
      </w:pPr>
      <w:r>
        <w:rPr>
          <w:bCs/>
          <w:sz w:val="28"/>
          <w:szCs w:val="28"/>
        </w:rPr>
        <w:t>Key d</w:t>
      </w:r>
      <w:r w:rsidR="00BF1D96" w:rsidRPr="00BF1D96">
        <w:rPr>
          <w:bCs/>
          <w:sz w:val="28"/>
          <w:szCs w:val="28"/>
        </w:rPr>
        <w:t xml:space="preserve">emographic </w:t>
      </w:r>
      <w:r>
        <w:rPr>
          <w:bCs/>
          <w:sz w:val="28"/>
          <w:szCs w:val="28"/>
        </w:rPr>
        <w:t xml:space="preserve">variables are presented separately for males and females </w:t>
      </w:r>
      <w:r w:rsidR="006F5D1C">
        <w:rPr>
          <w:bCs/>
          <w:sz w:val="28"/>
          <w:szCs w:val="28"/>
        </w:rPr>
        <w:t xml:space="preserve">in </w:t>
      </w:r>
      <w:r>
        <w:rPr>
          <w:bCs/>
          <w:sz w:val="28"/>
          <w:szCs w:val="28"/>
        </w:rPr>
        <w:t>Table 2 together with statistical comparisons and further demographic data appears in Table 3.</w:t>
      </w:r>
    </w:p>
    <w:p w14:paraId="3658F05A" w14:textId="77777777" w:rsidR="00805DE4" w:rsidRDefault="00805DE4" w:rsidP="00805DE4">
      <w:pPr>
        <w:jc w:val="center"/>
        <w:rPr>
          <w:bCs/>
          <w:i/>
          <w:iCs/>
          <w:sz w:val="28"/>
          <w:szCs w:val="28"/>
        </w:rPr>
      </w:pPr>
      <w:r w:rsidRPr="00805DE4">
        <w:rPr>
          <w:bCs/>
          <w:i/>
          <w:iCs/>
          <w:sz w:val="28"/>
          <w:szCs w:val="28"/>
        </w:rPr>
        <w:t>Table 2 about here</w:t>
      </w:r>
    </w:p>
    <w:p w14:paraId="0D096CEA" w14:textId="30172EF4" w:rsidR="00646EBC" w:rsidRDefault="00646EBC" w:rsidP="00B54861">
      <w:pPr>
        <w:rPr>
          <w:sz w:val="28"/>
          <w:szCs w:val="28"/>
        </w:rPr>
      </w:pPr>
      <w:r w:rsidRPr="007D1968">
        <w:rPr>
          <w:sz w:val="28"/>
          <w:szCs w:val="28"/>
        </w:rPr>
        <w:t xml:space="preserve">For the total sample of 1,678 the </w:t>
      </w:r>
      <w:r w:rsidR="00503BCD">
        <w:rPr>
          <w:sz w:val="28"/>
          <w:szCs w:val="28"/>
        </w:rPr>
        <w:t xml:space="preserve">means for the </w:t>
      </w:r>
      <w:r w:rsidRPr="007D1968">
        <w:rPr>
          <w:sz w:val="28"/>
          <w:szCs w:val="28"/>
        </w:rPr>
        <w:t xml:space="preserve">PPWWM </w:t>
      </w:r>
      <w:r w:rsidR="00695918">
        <w:rPr>
          <w:sz w:val="28"/>
          <w:szCs w:val="28"/>
        </w:rPr>
        <w:t>and the SWE</w:t>
      </w:r>
      <w:r w:rsidR="00010187">
        <w:rPr>
          <w:sz w:val="28"/>
          <w:szCs w:val="28"/>
        </w:rPr>
        <w:t>MWBS</w:t>
      </w:r>
      <w:r w:rsidR="00695918">
        <w:rPr>
          <w:sz w:val="28"/>
          <w:szCs w:val="28"/>
        </w:rPr>
        <w:t xml:space="preserve"> were </w:t>
      </w:r>
      <w:r w:rsidRPr="007D1968">
        <w:rPr>
          <w:sz w:val="28"/>
          <w:szCs w:val="28"/>
        </w:rPr>
        <w:t>91.88 (</w:t>
      </w:r>
      <w:r w:rsidRPr="00503BCD">
        <w:rPr>
          <w:i/>
          <w:sz w:val="28"/>
          <w:szCs w:val="28"/>
        </w:rPr>
        <w:t>SD</w:t>
      </w:r>
      <w:r w:rsidR="00503BCD">
        <w:rPr>
          <w:sz w:val="28"/>
          <w:szCs w:val="28"/>
        </w:rPr>
        <w:t xml:space="preserve"> </w:t>
      </w:r>
      <w:r w:rsidRPr="007D1968">
        <w:rPr>
          <w:sz w:val="28"/>
          <w:szCs w:val="28"/>
        </w:rPr>
        <w:t>=</w:t>
      </w:r>
      <w:r w:rsidR="00503BCD">
        <w:rPr>
          <w:sz w:val="28"/>
          <w:szCs w:val="28"/>
        </w:rPr>
        <w:t xml:space="preserve"> </w:t>
      </w:r>
      <w:r w:rsidRPr="007D1968">
        <w:rPr>
          <w:sz w:val="28"/>
          <w:szCs w:val="28"/>
        </w:rPr>
        <w:t>17.55)</w:t>
      </w:r>
      <w:r w:rsidR="00695918">
        <w:rPr>
          <w:sz w:val="28"/>
          <w:szCs w:val="28"/>
        </w:rPr>
        <w:t xml:space="preserve"> and </w:t>
      </w:r>
      <w:r w:rsidR="00771AE0">
        <w:rPr>
          <w:sz w:val="28"/>
          <w:szCs w:val="28"/>
        </w:rPr>
        <w:t>22.21</w:t>
      </w:r>
      <w:r w:rsidR="00695918">
        <w:rPr>
          <w:sz w:val="28"/>
          <w:szCs w:val="28"/>
        </w:rPr>
        <w:t>(</w:t>
      </w:r>
      <w:r w:rsidR="00695918" w:rsidRPr="00503BCD">
        <w:rPr>
          <w:i/>
          <w:sz w:val="28"/>
          <w:szCs w:val="28"/>
        </w:rPr>
        <w:t>SD</w:t>
      </w:r>
      <w:r w:rsidR="00503BCD">
        <w:rPr>
          <w:sz w:val="28"/>
          <w:szCs w:val="28"/>
        </w:rPr>
        <w:t xml:space="preserve"> </w:t>
      </w:r>
      <w:r w:rsidR="00695918">
        <w:rPr>
          <w:sz w:val="28"/>
          <w:szCs w:val="28"/>
        </w:rPr>
        <w:t>=</w:t>
      </w:r>
      <w:r w:rsidR="00503BCD">
        <w:rPr>
          <w:sz w:val="28"/>
          <w:szCs w:val="28"/>
        </w:rPr>
        <w:t xml:space="preserve"> </w:t>
      </w:r>
      <w:r w:rsidR="00771AE0">
        <w:rPr>
          <w:sz w:val="28"/>
          <w:szCs w:val="28"/>
        </w:rPr>
        <w:t>3.92</w:t>
      </w:r>
      <w:r w:rsidR="00695918">
        <w:rPr>
          <w:sz w:val="28"/>
          <w:szCs w:val="28"/>
        </w:rPr>
        <w:t>)</w:t>
      </w:r>
      <w:r w:rsidR="00503BCD">
        <w:rPr>
          <w:sz w:val="28"/>
          <w:szCs w:val="28"/>
        </w:rPr>
        <w:t xml:space="preserve"> respectively and</w:t>
      </w:r>
      <w:r w:rsidR="00695918">
        <w:rPr>
          <w:sz w:val="28"/>
          <w:szCs w:val="28"/>
        </w:rPr>
        <w:t xml:space="preserve"> the inter</w:t>
      </w:r>
      <w:r w:rsidR="00BF1D96">
        <w:rPr>
          <w:sz w:val="28"/>
          <w:szCs w:val="28"/>
        </w:rPr>
        <w:t>-</w:t>
      </w:r>
      <w:r w:rsidR="00695918">
        <w:rPr>
          <w:sz w:val="28"/>
          <w:szCs w:val="28"/>
        </w:rPr>
        <w:t>correlation</w:t>
      </w:r>
      <w:r w:rsidR="00503BCD">
        <w:rPr>
          <w:sz w:val="28"/>
          <w:szCs w:val="28"/>
        </w:rPr>
        <w:t xml:space="preserve"> was</w:t>
      </w:r>
      <w:r w:rsidR="00695918">
        <w:rPr>
          <w:sz w:val="28"/>
          <w:szCs w:val="28"/>
        </w:rPr>
        <w:t xml:space="preserve"> </w:t>
      </w:r>
      <w:r w:rsidR="00695918" w:rsidRPr="00503BCD">
        <w:rPr>
          <w:i/>
          <w:sz w:val="28"/>
          <w:szCs w:val="28"/>
        </w:rPr>
        <w:t xml:space="preserve">r </w:t>
      </w:r>
      <w:r w:rsidR="00695918" w:rsidRPr="00695918">
        <w:rPr>
          <w:sz w:val="28"/>
          <w:szCs w:val="28"/>
        </w:rPr>
        <w:t>= .61</w:t>
      </w:r>
      <w:r w:rsidR="006F5D1C">
        <w:rPr>
          <w:sz w:val="28"/>
          <w:szCs w:val="28"/>
        </w:rPr>
        <w:t>;</w:t>
      </w:r>
      <w:r w:rsidR="00695918">
        <w:rPr>
          <w:sz w:val="28"/>
          <w:szCs w:val="28"/>
        </w:rPr>
        <w:t xml:space="preserve"> p</w:t>
      </w:r>
      <w:r w:rsidR="00503BCD">
        <w:rPr>
          <w:sz w:val="28"/>
          <w:szCs w:val="28"/>
        </w:rPr>
        <w:t xml:space="preserve"> </w:t>
      </w:r>
      <w:r w:rsidR="00695918">
        <w:rPr>
          <w:sz w:val="28"/>
          <w:szCs w:val="28"/>
        </w:rPr>
        <w:t>&lt;.0001.</w:t>
      </w:r>
      <w:r w:rsidR="00010187" w:rsidRPr="00010187">
        <w:rPr>
          <w:sz w:val="28"/>
          <w:szCs w:val="28"/>
        </w:rPr>
        <w:t xml:space="preserve"> </w:t>
      </w:r>
      <w:r w:rsidR="00010187">
        <w:rPr>
          <w:sz w:val="28"/>
          <w:szCs w:val="28"/>
        </w:rPr>
        <w:t xml:space="preserve">The mean </w:t>
      </w:r>
      <w:r w:rsidR="00685F6C">
        <w:rPr>
          <w:sz w:val="28"/>
          <w:szCs w:val="28"/>
        </w:rPr>
        <w:t>wellbeing score</w:t>
      </w:r>
      <w:r w:rsidR="00010187">
        <w:rPr>
          <w:sz w:val="28"/>
          <w:szCs w:val="28"/>
        </w:rPr>
        <w:t xml:space="preserve"> for the S</w:t>
      </w:r>
      <w:r w:rsidR="002E40B3">
        <w:rPr>
          <w:sz w:val="28"/>
          <w:szCs w:val="28"/>
        </w:rPr>
        <w:t xml:space="preserve">WEMWBS </w:t>
      </w:r>
      <w:r w:rsidR="00E82013">
        <w:rPr>
          <w:sz w:val="28"/>
          <w:szCs w:val="28"/>
        </w:rPr>
        <w:t xml:space="preserve">in this sample were 22.09 for men and 22.24 for women compared </w:t>
      </w:r>
      <w:r w:rsidR="002F044A">
        <w:rPr>
          <w:sz w:val="28"/>
          <w:szCs w:val="28"/>
        </w:rPr>
        <w:t xml:space="preserve">with </w:t>
      </w:r>
      <w:r w:rsidR="00010187">
        <w:rPr>
          <w:sz w:val="28"/>
          <w:szCs w:val="28"/>
        </w:rPr>
        <w:t>23.7</w:t>
      </w:r>
      <w:r w:rsidR="00762E7A">
        <w:rPr>
          <w:sz w:val="28"/>
          <w:szCs w:val="28"/>
        </w:rPr>
        <w:t>0</w:t>
      </w:r>
      <w:r w:rsidR="00010187">
        <w:rPr>
          <w:sz w:val="28"/>
          <w:szCs w:val="28"/>
        </w:rPr>
        <w:t xml:space="preserve"> </w:t>
      </w:r>
      <w:r w:rsidR="00E82013">
        <w:rPr>
          <w:sz w:val="28"/>
          <w:szCs w:val="28"/>
        </w:rPr>
        <w:t>a</w:t>
      </w:r>
      <w:r w:rsidR="00010187">
        <w:rPr>
          <w:sz w:val="28"/>
          <w:szCs w:val="28"/>
        </w:rPr>
        <w:t>nd 23.2</w:t>
      </w:r>
      <w:r w:rsidR="00762E7A">
        <w:rPr>
          <w:sz w:val="28"/>
          <w:szCs w:val="28"/>
        </w:rPr>
        <w:t>0</w:t>
      </w:r>
      <w:r w:rsidR="00E82013">
        <w:rPr>
          <w:sz w:val="28"/>
          <w:szCs w:val="28"/>
        </w:rPr>
        <w:t xml:space="preserve"> in</w:t>
      </w:r>
      <w:r w:rsidR="006F5D1C">
        <w:rPr>
          <w:sz w:val="28"/>
          <w:szCs w:val="28"/>
        </w:rPr>
        <w:t xml:space="preserve"> a</w:t>
      </w:r>
      <w:r w:rsidR="00E82013">
        <w:rPr>
          <w:sz w:val="28"/>
          <w:szCs w:val="28"/>
        </w:rPr>
        <w:t xml:space="preserve"> nationa</w:t>
      </w:r>
      <w:r w:rsidR="00ED742C">
        <w:rPr>
          <w:sz w:val="28"/>
          <w:szCs w:val="28"/>
        </w:rPr>
        <w:t>l UK survey (Ng Fat et al., 2017</w:t>
      </w:r>
      <w:r w:rsidR="00E82013">
        <w:rPr>
          <w:sz w:val="28"/>
          <w:szCs w:val="28"/>
        </w:rPr>
        <w:t>)</w:t>
      </w:r>
      <w:r w:rsidR="00010187">
        <w:rPr>
          <w:sz w:val="28"/>
          <w:szCs w:val="28"/>
        </w:rPr>
        <w:t xml:space="preserve">. </w:t>
      </w:r>
      <w:r w:rsidR="002F044A">
        <w:rPr>
          <w:sz w:val="28"/>
          <w:szCs w:val="28"/>
        </w:rPr>
        <w:t>These score</w:t>
      </w:r>
      <w:r w:rsidR="00DA174A">
        <w:rPr>
          <w:sz w:val="28"/>
          <w:szCs w:val="28"/>
        </w:rPr>
        <w:t>s</w:t>
      </w:r>
      <w:r w:rsidR="002F044A">
        <w:rPr>
          <w:sz w:val="28"/>
          <w:szCs w:val="28"/>
        </w:rPr>
        <w:t xml:space="preserve"> </w:t>
      </w:r>
      <w:r w:rsidR="00457B8F">
        <w:rPr>
          <w:sz w:val="28"/>
          <w:szCs w:val="28"/>
        </w:rPr>
        <w:t xml:space="preserve">were significantly below </w:t>
      </w:r>
      <w:r w:rsidR="00E82013">
        <w:rPr>
          <w:sz w:val="28"/>
          <w:szCs w:val="28"/>
        </w:rPr>
        <w:t>those of the national survey</w:t>
      </w:r>
      <w:r w:rsidR="00503BCD">
        <w:rPr>
          <w:sz w:val="28"/>
          <w:szCs w:val="28"/>
        </w:rPr>
        <w:t xml:space="preserve">; </w:t>
      </w:r>
      <w:r w:rsidR="00457B8F" w:rsidRPr="00503BCD">
        <w:rPr>
          <w:i/>
          <w:sz w:val="28"/>
          <w:szCs w:val="28"/>
        </w:rPr>
        <w:t>t</w:t>
      </w:r>
      <w:r w:rsidR="00503BCD" w:rsidRPr="00503BCD">
        <w:rPr>
          <w:i/>
          <w:sz w:val="28"/>
          <w:szCs w:val="28"/>
        </w:rPr>
        <w:t xml:space="preserve"> </w:t>
      </w:r>
      <w:r w:rsidR="00457B8F">
        <w:rPr>
          <w:sz w:val="28"/>
          <w:szCs w:val="28"/>
        </w:rPr>
        <w:t>=</w:t>
      </w:r>
      <w:r w:rsidR="00503BCD">
        <w:rPr>
          <w:sz w:val="28"/>
          <w:szCs w:val="28"/>
        </w:rPr>
        <w:t xml:space="preserve"> </w:t>
      </w:r>
      <w:r w:rsidR="00457B8F">
        <w:rPr>
          <w:sz w:val="28"/>
          <w:szCs w:val="28"/>
        </w:rPr>
        <w:t xml:space="preserve">-7.22; </w:t>
      </w:r>
      <w:r w:rsidR="00457B8F" w:rsidRPr="00503BCD">
        <w:rPr>
          <w:i/>
          <w:sz w:val="28"/>
          <w:szCs w:val="28"/>
        </w:rPr>
        <w:t>d</w:t>
      </w:r>
      <w:r w:rsidR="00C009C1" w:rsidRPr="00503BCD">
        <w:rPr>
          <w:i/>
          <w:sz w:val="28"/>
          <w:szCs w:val="28"/>
        </w:rPr>
        <w:t>f</w:t>
      </w:r>
      <w:r w:rsidR="00503BCD">
        <w:rPr>
          <w:sz w:val="28"/>
          <w:szCs w:val="28"/>
        </w:rPr>
        <w:t xml:space="preserve"> </w:t>
      </w:r>
      <w:r w:rsidR="00C009C1">
        <w:rPr>
          <w:sz w:val="28"/>
          <w:szCs w:val="28"/>
        </w:rPr>
        <w:t>=</w:t>
      </w:r>
      <w:r w:rsidR="00503BCD">
        <w:rPr>
          <w:sz w:val="28"/>
          <w:szCs w:val="28"/>
        </w:rPr>
        <w:t xml:space="preserve"> </w:t>
      </w:r>
      <w:r w:rsidR="00C009C1">
        <w:rPr>
          <w:sz w:val="28"/>
          <w:szCs w:val="28"/>
        </w:rPr>
        <w:t xml:space="preserve">319; </w:t>
      </w:r>
      <w:r w:rsidR="00C009C1" w:rsidRPr="00503BCD">
        <w:rPr>
          <w:i/>
          <w:sz w:val="28"/>
          <w:szCs w:val="28"/>
        </w:rPr>
        <w:t>p</w:t>
      </w:r>
      <w:r w:rsidR="00503BCD">
        <w:rPr>
          <w:sz w:val="28"/>
          <w:szCs w:val="28"/>
        </w:rPr>
        <w:t xml:space="preserve"> </w:t>
      </w:r>
      <w:r w:rsidR="00C009C1">
        <w:rPr>
          <w:sz w:val="28"/>
          <w:szCs w:val="28"/>
        </w:rPr>
        <w:t>&lt;.001</w:t>
      </w:r>
      <w:r w:rsidR="00457B8F">
        <w:rPr>
          <w:sz w:val="28"/>
          <w:szCs w:val="28"/>
        </w:rPr>
        <w:t xml:space="preserve"> and </w:t>
      </w:r>
      <w:r w:rsidR="00457B8F" w:rsidRPr="00503BCD">
        <w:rPr>
          <w:i/>
          <w:sz w:val="28"/>
          <w:szCs w:val="28"/>
        </w:rPr>
        <w:t>t</w:t>
      </w:r>
      <w:r w:rsidR="00503BCD">
        <w:rPr>
          <w:sz w:val="28"/>
          <w:szCs w:val="28"/>
        </w:rPr>
        <w:t xml:space="preserve"> </w:t>
      </w:r>
      <w:r w:rsidR="00457B8F">
        <w:rPr>
          <w:sz w:val="28"/>
          <w:szCs w:val="28"/>
        </w:rPr>
        <w:t>=</w:t>
      </w:r>
      <w:r w:rsidR="00503BCD">
        <w:rPr>
          <w:sz w:val="28"/>
          <w:szCs w:val="28"/>
        </w:rPr>
        <w:t xml:space="preserve"> </w:t>
      </w:r>
      <w:r w:rsidR="00457B8F">
        <w:rPr>
          <w:sz w:val="28"/>
          <w:szCs w:val="28"/>
        </w:rPr>
        <w:t xml:space="preserve">-9.05; </w:t>
      </w:r>
      <w:r w:rsidR="00457B8F" w:rsidRPr="00503BCD">
        <w:rPr>
          <w:i/>
          <w:sz w:val="28"/>
          <w:szCs w:val="28"/>
        </w:rPr>
        <w:t>df</w:t>
      </w:r>
      <w:r w:rsidR="00503BCD">
        <w:rPr>
          <w:sz w:val="28"/>
          <w:szCs w:val="28"/>
        </w:rPr>
        <w:t xml:space="preserve"> </w:t>
      </w:r>
      <w:r w:rsidR="00457B8F">
        <w:rPr>
          <w:sz w:val="28"/>
          <w:szCs w:val="28"/>
        </w:rPr>
        <w:t>=</w:t>
      </w:r>
      <w:r w:rsidR="00503BCD">
        <w:rPr>
          <w:sz w:val="28"/>
          <w:szCs w:val="28"/>
        </w:rPr>
        <w:t xml:space="preserve"> </w:t>
      </w:r>
      <w:r w:rsidR="00457B8F">
        <w:rPr>
          <w:sz w:val="28"/>
          <w:szCs w:val="28"/>
        </w:rPr>
        <w:t xml:space="preserve">1333; </w:t>
      </w:r>
      <w:r w:rsidR="00457B8F" w:rsidRPr="00503BCD">
        <w:rPr>
          <w:i/>
          <w:sz w:val="28"/>
          <w:szCs w:val="28"/>
        </w:rPr>
        <w:t>p</w:t>
      </w:r>
      <w:r w:rsidR="00503BCD">
        <w:rPr>
          <w:sz w:val="28"/>
          <w:szCs w:val="28"/>
        </w:rPr>
        <w:t xml:space="preserve"> &lt;.001, respectively</w:t>
      </w:r>
      <w:r w:rsidR="00457B8F">
        <w:rPr>
          <w:sz w:val="28"/>
          <w:szCs w:val="28"/>
        </w:rPr>
        <w:t>.</w:t>
      </w:r>
    </w:p>
    <w:p w14:paraId="3DA3F3AC" w14:textId="77777777" w:rsidR="00695918" w:rsidRDefault="00695918" w:rsidP="007D1968">
      <w:pPr>
        <w:spacing w:after="0"/>
        <w:rPr>
          <w:sz w:val="28"/>
          <w:szCs w:val="28"/>
        </w:rPr>
      </w:pPr>
    </w:p>
    <w:p w14:paraId="55C7DCD5" w14:textId="41FFDEB2" w:rsidR="00C074E8" w:rsidRDefault="00FB7173" w:rsidP="007D1968">
      <w:pPr>
        <w:spacing w:after="0"/>
        <w:rPr>
          <w:sz w:val="28"/>
          <w:szCs w:val="28"/>
        </w:rPr>
      </w:pPr>
      <w:r>
        <w:rPr>
          <w:sz w:val="28"/>
          <w:szCs w:val="28"/>
        </w:rPr>
        <w:t>The</w:t>
      </w:r>
      <w:r w:rsidR="00695918">
        <w:rPr>
          <w:sz w:val="28"/>
          <w:szCs w:val="28"/>
        </w:rPr>
        <w:t xml:space="preserve"> PPWWM</w:t>
      </w:r>
      <w:r>
        <w:rPr>
          <w:sz w:val="28"/>
          <w:szCs w:val="28"/>
        </w:rPr>
        <w:t xml:space="preserve"> distribution was approximately normal with non-significant skew (-0.05)</w:t>
      </w:r>
      <w:r w:rsidR="00C074E8">
        <w:rPr>
          <w:sz w:val="28"/>
          <w:szCs w:val="28"/>
        </w:rPr>
        <w:t xml:space="preserve"> </w:t>
      </w:r>
      <w:r>
        <w:rPr>
          <w:sz w:val="28"/>
          <w:szCs w:val="28"/>
        </w:rPr>
        <w:t xml:space="preserve">but there was negative kurtosis (-0.45, </w:t>
      </w:r>
      <w:r w:rsidRPr="00503BCD">
        <w:rPr>
          <w:i/>
          <w:sz w:val="28"/>
          <w:szCs w:val="28"/>
        </w:rPr>
        <w:t>p</w:t>
      </w:r>
      <w:r>
        <w:rPr>
          <w:sz w:val="28"/>
          <w:szCs w:val="28"/>
        </w:rPr>
        <w:t>&lt;0.01).</w:t>
      </w:r>
      <w:r w:rsidR="0043652D">
        <w:rPr>
          <w:sz w:val="28"/>
          <w:szCs w:val="28"/>
        </w:rPr>
        <w:t xml:space="preserve"> (Figure 1.)</w:t>
      </w:r>
      <w:r>
        <w:rPr>
          <w:sz w:val="28"/>
          <w:szCs w:val="28"/>
        </w:rPr>
        <w:t xml:space="preserve"> </w:t>
      </w:r>
      <w:r w:rsidR="0043652D">
        <w:rPr>
          <w:sz w:val="28"/>
          <w:szCs w:val="28"/>
        </w:rPr>
        <w:t xml:space="preserve">Significance of deviation from normality is not uncommon in very large samples that can detect small effects, and </w:t>
      </w:r>
      <w:r w:rsidR="000657E9" w:rsidRPr="000657E9">
        <w:rPr>
          <w:sz w:val="28"/>
          <w:szCs w:val="28"/>
        </w:rPr>
        <w:t xml:space="preserve">a Q-Q plot showed good conformity to the normal distribution apart from lower than expected values at the extreme lower end of the scale. </w:t>
      </w:r>
    </w:p>
    <w:p w14:paraId="6F6FBEED" w14:textId="77777777" w:rsidR="00605C08" w:rsidRPr="00605C08" w:rsidRDefault="00605C08" w:rsidP="00605C08">
      <w:pPr>
        <w:spacing w:after="0"/>
        <w:jc w:val="center"/>
        <w:rPr>
          <w:i/>
          <w:sz w:val="28"/>
          <w:szCs w:val="28"/>
        </w:rPr>
      </w:pPr>
      <w:r w:rsidRPr="00605C08">
        <w:rPr>
          <w:i/>
          <w:sz w:val="28"/>
          <w:szCs w:val="28"/>
        </w:rPr>
        <w:t>Figure 1 about here</w:t>
      </w:r>
    </w:p>
    <w:p w14:paraId="2CFC8B5A" w14:textId="77777777" w:rsidR="00805DE4" w:rsidRPr="00805DE4" w:rsidRDefault="00805DE4" w:rsidP="007D1968">
      <w:pPr>
        <w:spacing w:after="0"/>
        <w:rPr>
          <w:i/>
          <w:iCs/>
          <w:sz w:val="28"/>
          <w:szCs w:val="28"/>
        </w:rPr>
      </w:pPr>
    </w:p>
    <w:p w14:paraId="6F7ABBE8" w14:textId="77777777" w:rsidR="00AE2293" w:rsidRDefault="00646EBC" w:rsidP="005724EF">
      <w:pPr>
        <w:spacing w:after="0"/>
        <w:rPr>
          <w:sz w:val="28"/>
          <w:szCs w:val="28"/>
        </w:rPr>
      </w:pPr>
      <w:r w:rsidRPr="00BC5F3A">
        <w:rPr>
          <w:sz w:val="28"/>
          <w:szCs w:val="28"/>
        </w:rPr>
        <w:t xml:space="preserve">Means </w:t>
      </w:r>
      <w:r w:rsidR="009D2331" w:rsidRPr="00BC5F3A">
        <w:rPr>
          <w:sz w:val="28"/>
          <w:szCs w:val="28"/>
        </w:rPr>
        <w:t xml:space="preserve">of the PPWWM and SWEMWBS for </w:t>
      </w:r>
      <w:r w:rsidRPr="00BC5F3A">
        <w:rPr>
          <w:sz w:val="28"/>
          <w:szCs w:val="28"/>
        </w:rPr>
        <w:t xml:space="preserve">subgroups with </w:t>
      </w:r>
      <w:r w:rsidR="00457B8F">
        <w:rPr>
          <w:sz w:val="28"/>
          <w:szCs w:val="28"/>
        </w:rPr>
        <w:t>15</w:t>
      </w:r>
      <w:r w:rsidR="00532250">
        <w:rPr>
          <w:sz w:val="28"/>
          <w:szCs w:val="28"/>
        </w:rPr>
        <w:t xml:space="preserve"> </w:t>
      </w:r>
      <w:r w:rsidR="00EE09D5" w:rsidRPr="00BC5F3A">
        <w:rPr>
          <w:sz w:val="28"/>
          <w:szCs w:val="28"/>
        </w:rPr>
        <w:t>or more</w:t>
      </w:r>
      <w:r w:rsidRPr="00BC5F3A">
        <w:rPr>
          <w:sz w:val="28"/>
          <w:szCs w:val="28"/>
        </w:rPr>
        <w:t xml:space="preserve"> respondents are given in Table </w:t>
      </w:r>
      <w:r w:rsidR="006004E4" w:rsidRPr="00BC5F3A">
        <w:rPr>
          <w:sz w:val="28"/>
          <w:szCs w:val="28"/>
        </w:rPr>
        <w:t>3</w:t>
      </w:r>
      <w:r w:rsidRPr="00BC5F3A">
        <w:rPr>
          <w:sz w:val="28"/>
          <w:szCs w:val="28"/>
        </w:rPr>
        <w:t>.</w:t>
      </w:r>
      <w:r w:rsidR="007D1968" w:rsidRPr="00BC5F3A">
        <w:rPr>
          <w:sz w:val="28"/>
          <w:szCs w:val="28"/>
        </w:rPr>
        <w:t xml:space="preserve"> </w:t>
      </w:r>
      <w:r w:rsidR="0038452E">
        <w:rPr>
          <w:sz w:val="28"/>
          <w:szCs w:val="28"/>
        </w:rPr>
        <w:t>Post-hoc subgroup</w:t>
      </w:r>
      <w:r w:rsidR="00986924">
        <w:rPr>
          <w:sz w:val="28"/>
          <w:szCs w:val="28"/>
        </w:rPr>
        <w:t xml:space="preserve"> follow</w:t>
      </w:r>
      <w:r w:rsidR="0038452E">
        <w:rPr>
          <w:sz w:val="28"/>
          <w:szCs w:val="28"/>
        </w:rPr>
        <w:t>-</w:t>
      </w:r>
      <w:r w:rsidR="00986924">
        <w:rPr>
          <w:sz w:val="28"/>
          <w:szCs w:val="28"/>
        </w:rPr>
        <w:t xml:space="preserve">up tests </w:t>
      </w:r>
      <w:r w:rsidR="0038452E">
        <w:rPr>
          <w:sz w:val="28"/>
          <w:szCs w:val="28"/>
        </w:rPr>
        <w:t xml:space="preserve">comparing groups to the overall mean </w:t>
      </w:r>
      <w:r w:rsidR="00986924">
        <w:rPr>
          <w:sz w:val="28"/>
          <w:szCs w:val="28"/>
        </w:rPr>
        <w:t>were completed</w:t>
      </w:r>
      <w:r w:rsidR="0038452E">
        <w:rPr>
          <w:sz w:val="28"/>
          <w:szCs w:val="28"/>
        </w:rPr>
        <w:t xml:space="preserve"> when the overall ANOVA was significant. </w:t>
      </w:r>
      <w:r w:rsidR="00986924">
        <w:rPr>
          <w:sz w:val="28"/>
          <w:szCs w:val="28"/>
        </w:rPr>
        <w:t xml:space="preserve"> </w:t>
      </w:r>
      <w:r w:rsidR="002435CA">
        <w:rPr>
          <w:sz w:val="28"/>
          <w:szCs w:val="28"/>
        </w:rPr>
        <w:t xml:space="preserve">All </w:t>
      </w:r>
      <w:r w:rsidR="0038452E">
        <w:rPr>
          <w:sz w:val="28"/>
          <w:szCs w:val="28"/>
        </w:rPr>
        <w:t>post-hoc follow-up t-tests</w:t>
      </w:r>
      <w:r w:rsidR="002435CA">
        <w:rPr>
          <w:sz w:val="28"/>
          <w:szCs w:val="28"/>
        </w:rPr>
        <w:t xml:space="preserve"> were two-tailed.</w:t>
      </w:r>
    </w:p>
    <w:p w14:paraId="5287A6AC" w14:textId="77777777" w:rsidR="00ED7ACC" w:rsidRDefault="00ED7ACC" w:rsidP="005724EF">
      <w:pPr>
        <w:spacing w:after="0"/>
        <w:rPr>
          <w:sz w:val="28"/>
          <w:szCs w:val="28"/>
        </w:rPr>
      </w:pPr>
    </w:p>
    <w:p w14:paraId="3911E3D6" w14:textId="77777777" w:rsidR="00ED7ACC" w:rsidRPr="00ED7ACC" w:rsidRDefault="00ED7ACC" w:rsidP="00ED7ACC">
      <w:pPr>
        <w:spacing w:after="0"/>
        <w:jc w:val="center"/>
        <w:rPr>
          <w:i/>
          <w:sz w:val="28"/>
          <w:szCs w:val="28"/>
        </w:rPr>
      </w:pPr>
      <w:r w:rsidRPr="00ED7ACC">
        <w:rPr>
          <w:i/>
          <w:sz w:val="28"/>
          <w:szCs w:val="28"/>
        </w:rPr>
        <w:t>Table 3 about here</w:t>
      </w:r>
    </w:p>
    <w:p w14:paraId="7E5E49ED" w14:textId="77777777" w:rsidR="00AE2293" w:rsidRDefault="00AE2293" w:rsidP="005724EF">
      <w:pPr>
        <w:spacing w:after="0"/>
        <w:rPr>
          <w:sz w:val="28"/>
          <w:szCs w:val="28"/>
        </w:rPr>
      </w:pPr>
    </w:p>
    <w:p w14:paraId="02470A5A" w14:textId="77777777" w:rsidR="00C633CD" w:rsidRDefault="005422D6" w:rsidP="005724EF">
      <w:pPr>
        <w:spacing w:after="0"/>
        <w:rPr>
          <w:sz w:val="28"/>
          <w:szCs w:val="28"/>
        </w:rPr>
      </w:pPr>
      <w:r w:rsidRPr="00BC5F3A">
        <w:rPr>
          <w:sz w:val="28"/>
          <w:szCs w:val="28"/>
        </w:rPr>
        <w:t>For professional group</w:t>
      </w:r>
      <w:r w:rsidR="00605C08">
        <w:rPr>
          <w:sz w:val="28"/>
          <w:szCs w:val="28"/>
        </w:rPr>
        <w:t>s</w:t>
      </w:r>
      <w:r w:rsidRPr="00BC5F3A">
        <w:rPr>
          <w:sz w:val="28"/>
          <w:szCs w:val="28"/>
        </w:rPr>
        <w:t xml:space="preserve"> a</w:t>
      </w:r>
      <w:r w:rsidR="007D1968" w:rsidRPr="00BC5F3A">
        <w:rPr>
          <w:sz w:val="28"/>
          <w:szCs w:val="28"/>
        </w:rPr>
        <w:t xml:space="preserve"> one-way </w:t>
      </w:r>
      <w:r w:rsidR="006F57D5" w:rsidRPr="00BC5F3A">
        <w:rPr>
          <w:sz w:val="28"/>
          <w:szCs w:val="28"/>
        </w:rPr>
        <w:t xml:space="preserve">ANOVA </w:t>
      </w:r>
      <w:r w:rsidR="007D1968" w:rsidRPr="00BC5F3A">
        <w:rPr>
          <w:sz w:val="28"/>
          <w:szCs w:val="28"/>
        </w:rPr>
        <w:t>showed that there were</w:t>
      </w:r>
      <w:r w:rsidR="00605C08">
        <w:rPr>
          <w:sz w:val="28"/>
          <w:szCs w:val="28"/>
        </w:rPr>
        <w:t xml:space="preserve"> significant differences across all</w:t>
      </w:r>
      <w:r w:rsidR="007D1968" w:rsidRPr="00BC5F3A">
        <w:rPr>
          <w:sz w:val="28"/>
          <w:szCs w:val="28"/>
        </w:rPr>
        <w:t xml:space="preserve"> groups</w:t>
      </w:r>
      <w:r w:rsidR="00AE2293">
        <w:rPr>
          <w:sz w:val="28"/>
          <w:szCs w:val="28"/>
        </w:rPr>
        <w:t xml:space="preserve"> for the PPWWM </w:t>
      </w:r>
      <w:bookmarkStart w:id="1" w:name="_Hlk22034952"/>
      <w:r w:rsidR="007D1968" w:rsidRPr="00BC5F3A">
        <w:rPr>
          <w:sz w:val="28"/>
          <w:szCs w:val="28"/>
        </w:rPr>
        <w:t>(</w:t>
      </w:r>
      <w:r w:rsidR="00FB76B9" w:rsidRPr="00D24F8E">
        <w:rPr>
          <w:i/>
          <w:sz w:val="28"/>
          <w:szCs w:val="28"/>
        </w:rPr>
        <w:t>F</w:t>
      </w:r>
      <w:r w:rsidR="00FB76B9" w:rsidRPr="00BC5F3A">
        <w:rPr>
          <w:sz w:val="28"/>
          <w:szCs w:val="28"/>
          <w:vertAlign w:val="subscript"/>
        </w:rPr>
        <w:t xml:space="preserve"> (</w:t>
      </w:r>
      <w:r w:rsidR="007D1968" w:rsidRPr="00BC5F3A">
        <w:rPr>
          <w:sz w:val="28"/>
          <w:szCs w:val="28"/>
          <w:vertAlign w:val="subscript"/>
        </w:rPr>
        <w:t>10,1667</w:t>
      </w:r>
      <w:r w:rsidR="00FB76B9" w:rsidRPr="00BC5F3A">
        <w:rPr>
          <w:sz w:val="28"/>
          <w:szCs w:val="28"/>
          <w:vertAlign w:val="subscript"/>
        </w:rPr>
        <w:t>)</w:t>
      </w:r>
      <w:r w:rsidR="00FB76B9">
        <w:rPr>
          <w:sz w:val="28"/>
          <w:szCs w:val="28"/>
        </w:rPr>
        <w:t xml:space="preserve"> =</w:t>
      </w:r>
      <w:r w:rsidR="00AE2293">
        <w:rPr>
          <w:sz w:val="28"/>
          <w:szCs w:val="28"/>
        </w:rPr>
        <w:t xml:space="preserve"> 2.89; </w:t>
      </w:r>
      <w:r w:rsidR="00AE2293" w:rsidRPr="00D24F8E">
        <w:rPr>
          <w:i/>
          <w:sz w:val="28"/>
          <w:szCs w:val="28"/>
        </w:rPr>
        <w:t>p</w:t>
      </w:r>
      <w:r w:rsidR="00503BCD">
        <w:rPr>
          <w:i/>
          <w:sz w:val="28"/>
          <w:szCs w:val="28"/>
        </w:rPr>
        <w:t xml:space="preserve"> </w:t>
      </w:r>
      <w:r w:rsidR="00AE2293">
        <w:rPr>
          <w:sz w:val="28"/>
          <w:szCs w:val="28"/>
        </w:rPr>
        <w:t xml:space="preserve">&lt;.001) and </w:t>
      </w:r>
      <w:bookmarkEnd w:id="1"/>
      <w:r w:rsidR="00142DD7" w:rsidRPr="00BC5F3A">
        <w:rPr>
          <w:sz w:val="28"/>
          <w:szCs w:val="28"/>
        </w:rPr>
        <w:t>the SWEMWBS (</w:t>
      </w:r>
      <w:r w:rsidR="00FB76B9" w:rsidRPr="00D24F8E">
        <w:rPr>
          <w:i/>
          <w:sz w:val="28"/>
          <w:szCs w:val="28"/>
        </w:rPr>
        <w:t>F</w:t>
      </w:r>
      <w:r w:rsidR="00FB76B9" w:rsidRPr="00BC5F3A">
        <w:rPr>
          <w:sz w:val="28"/>
          <w:szCs w:val="28"/>
          <w:vertAlign w:val="subscript"/>
        </w:rPr>
        <w:t xml:space="preserve"> (</w:t>
      </w:r>
      <w:r w:rsidR="00142DD7" w:rsidRPr="00BC5F3A">
        <w:rPr>
          <w:sz w:val="28"/>
          <w:szCs w:val="28"/>
          <w:vertAlign w:val="subscript"/>
        </w:rPr>
        <w:t>10,1667</w:t>
      </w:r>
      <w:r w:rsidR="00FB76B9" w:rsidRPr="00BC5F3A">
        <w:rPr>
          <w:sz w:val="28"/>
          <w:szCs w:val="28"/>
          <w:vertAlign w:val="subscript"/>
        </w:rPr>
        <w:t>)</w:t>
      </w:r>
      <w:r w:rsidR="00FB76B9" w:rsidRPr="00BC5F3A">
        <w:rPr>
          <w:sz w:val="28"/>
          <w:szCs w:val="28"/>
        </w:rPr>
        <w:t xml:space="preserve"> =</w:t>
      </w:r>
      <w:r w:rsidR="00142DD7" w:rsidRPr="00BC5F3A">
        <w:rPr>
          <w:sz w:val="28"/>
          <w:szCs w:val="28"/>
        </w:rPr>
        <w:t xml:space="preserve"> 2.</w:t>
      </w:r>
      <w:r w:rsidR="008F69E6">
        <w:rPr>
          <w:sz w:val="28"/>
          <w:szCs w:val="28"/>
        </w:rPr>
        <w:t>9</w:t>
      </w:r>
      <w:r w:rsidR="00BC5F3A">
        <w:rPr>
          <w:sz w:val="28"/>
          <w:szCs w:val="28"/>
        </w:rPr>
        <w:t>0</w:t>
      </w:r>
      <w:r w:rsidR="00142DD7" w:rsidRPr="00BC5F3A">
        <w:rPr>
          <w:sz w:val="28"/>
          <w:szCs w:val="28"/>
        </w:rPr>
        <w:t xml:space="preserve">; </w:t>
      </w:r>
      <w:r w:rsidR="00142DD7" w:rsidRPr="00D24F8E">
        <w:rPr>
          <w:i/>
          <w:sz w:val="28"/>
          <w:szCs w:val="28"/>
        </w:rPr>
        <w:t>p</w:t>
      </w:r>
      <w:r w:rsidR="00503BCD">
        <w:rPr>
          <w:i/>
          <w:sz w:val="28"/>
          <w:szCs w:val="28"/>
        </w:rPr>
        <w:t xml:space="preserve"> </w:t>
      </w:r>
      <w:r w:rsidR="00142DD7" w:rsidRPr="00BC5F3A">
        <w:rPr>
          <w:sz w:val="28"/>
          <w:szCs w:val="28"/>
        </w:rPr>
        <w:t xml:space="preserve">&lt;.001). </w:t>
      </w:r>
      <w:r w:rsidR="00302038">
        <w:rPr>
          <w:sz w:val="28"/>
          <w:szCs w:val="28"/>
        </w:rPr>
        <w:t xml:space="preserve">For </w:t>
      </w:r>
      <w:r w:rsidR="002435CA">
        <w:rPr>
          <w:sz w:val="28"/>
          <w:szCs w:val="28"/>
        </w:rPr>
        <w:t xml:space="preserve">the PPWWM </w:t>
      </w:r>
      <w:r w:rsidR="00AE2BC8">
        <w:rPr>
          <w:sz w:val="28"/>
          <w:szCs w:val="28"/>
        </w:rPr>
        <w:t xml:space="preserve">assistant psychologists, </w:t>
      </w:r>
      <w:r w:rsidR="002435CA">
        <w:rPr>
          <w:sz w:val="28"/>
          <w:szCs w:val="28"/>
        </w:rPr>
        <w:t xml:space="preserve">psychological wellbeing practitioner </w:t>
      </w:r>
      <w:r w:rsidR="00EE3BCA">
        <w:rPr>
          <w:sz w:val="28"/>
          <w:szCs w:val="28"/>
        </w:rPr>
        <w:t xml:space="preserve">wellbeing </w:t>
      </w:r>
      <w:r w:rsidR="00AE2BC8">
        <w:rPr>
          <w:sz w:val="28"/>
          <w:szCs w:val="28"/>
        </w:rPr>
        <w:t xml:space="preserve">and counsellors </w:t>
      </w:r>
      <w:r w:rsidR="00EE3BCA">
        <w:rPr>
          <w:sz w:val="28"/>
          <w:szCs w:val="28"/>
        </w:rPr>
        <w:t>sco</w:t>
      </w:r>
      <w:r w:rsidR="00AE2BC8">
        <w:rPr>
          <w:sz w:val="28"/>
          <w:szCs w:val="28"/>
        </w:rPr>
        <w:t>red</w:t>
      </w:r>
      <w:r w:rsidR="002435CA">
        <w:rPr>
          <w:sz w:val="28"/>
          <w:szCs w:val="28"/>
        </w:rPr>
        <w:t xml:space="preserve"> significantly higher</w:t>
      </w:r>
      <w:r w:rsidR="0076633E">
        <w:rPr>
          <w:sz w:val="28"/>
          <w:szCs w:val="28"/>
        </w:rPr>
        <w:t xml:space="preserve"> than</w:t>
      </w:r>
      <w:r w:rsidR="00EE3BCA">
        <w:rPr>
          <w:sz w:val="28"/>
          <w:szCs w:val="28"/>
        </w:rPr>
        <w:t xml:space="preserve"> the overall mean</w:t>
      </w:r>
      <w:r w:rsidR="002F0DBC">
        <w:rPr>
          <w:sz w:val="28"/>
          <w:szCs w:val="28"/>
        </w:rPr>
        <w:t xml:space="preserve"> </w:t>
      </w:r>
      <w:r w:rsidR="00EE3BCA">
        <w:rPr>
          <w:sz w:val="28"/>
          <w:szCs w:val="28"/>
        </w:rPr>
        <w:t>(</w:t>
      </w:r>
      <w:r w:rsidR="00EE3BCA" w:rsidRPr="00EE3BCA">
        <w:rPr>
          <w:i/>
          <w:sz w:val="28"/>
          <w:szCs w:val="28"/>
        </w:rPr>
        <w:t>t</w:t>
      </w:r>
      <w:r w:rsidR="00EE3BCA">
        <w:rPr>
          <w:i/>
          <w:sz w:val="28"/>
          <w:szCs w:val="28"/>
        </w:rPr>
        <w:t xml:space="preserve"> </w:t>
      </w:r>
      <w:r w:rsidR="00EE3BCA">
        <w:rPr>
          <w:sz w:val="28"/>
          <w:szCs w:val="28"/>
        </w:rPr>
        <w:t>= -2.16</w:t>
      </w:r>
      <w:r w:rsidR="00FB76B9">
        <w:rPr>
          <w:sz w:val="28"/>
          <w:szCs w:val="28"/>
        </w:rPr>
        <w:t>,</w:t>
      </w:r>
      <w:r w:rsidR="00EE3BCA">
        <w:rPr>
          <w:sz w:val="28"/>
          <w:szCs w:val="28"/>
        </w:rPr>
        <w:t xml:space="preserve"> </w:t>
      </w:r>
      <w:r w:rsidR="00EE3BCA" w:rsidRPr="00EE3BCA">
        <w:rPr>
          <w:i/>
          <w:sz w:val="28"/>
          <w:szCs w:val="28"/>
        </w:rPr>
        <w:t>df</w:t>
      </w:r>
      <w:r w:rsidR="00EE3BCA">
        <w:rPr>
          <w:i/>
          <w:sz w:val="28"/>
          <w:szCs w:val="28"/>
        </w:rPr>
        <w:t xml:space="preserve"> </w:t>
      </w:r>
      <w:r w:rsidR="00EE3BCA">
        <w:rPr>
          <w:sz w:val="28"/>
          <w:szCs w:val="28"/>
        </w:rPr>
        <w:t>= 23</w:t>
      </w:r>
      <w:r w:rsidR="002435CA">
        <w:rPr>
          <w:sz w:val="28"/>
          <w:szCs w:val="28"/>
        </w:rPr>
        <w:t>;</w:t>
      </w:r>
      <w:r w:rsidR="00EE3BCA">
        <w:rPr>
          <w:i/>
          <w:sz w:val="28"/>
          <w:szCs w:val="28"/>
        </w:rPr>
        <w:t xml:space="preserve"> p </w:t>
      </w:r>
      <w:r w:rsidR="002435CA">
        <w:rPr>
          <w:sz w:val="28"/>
          <w:szCs w:val="28"/>
        </w:rPr>
        <w:t>= .042</w:t>
      </w:r>
      <w:r w:rsidR="00AE2BC8">
        <w:rPr>
          <w:sz w:val="28"/>
          <w:szCs w:val="28"/>
        </w:rPr>
        <w:t>,</w:t>
      </w:r>
      <w:r w:rsidR="002435CA">
        <w:rPr>
          <w:sz w:val="28"/>
          <w:szCs w:val="28"/>
        </w:rPr>
        <w:t xml:space="preserve"> </w:t>
      </w:r>
      <w:r w:rsidR="002435CA" w:rsidRPr="00BA750F">
        <w:rPr>
          <w:i/>
          <w:sz w:val="28"/>
          <w:szCs w:val="28"/>
        </w:rPr>
        <w:t>t</w:t>
      </w:r>
      <w:r w:rsidR="00BA750F">
        <w:rPr>
          <w:i/>
          <w:sz w:val="28"/>
          <w:szCs w:val="28"/>
        </w:rPr>
        <w:t xml:space="preserve"> </w:t>
      </w:r>
      <w:r w:rsidR="002435CA">
        <w:rPr>
          <w:sz w:val="28"/>
          <w:szCs w:val="28"/>
        </w:rPr>
        <w:t>=</w:t>
      </w:r>
      <w:r w:rsidR="00BA750F">
        <w:rPr>
          <w:sz w:val="28"/>
          <w:szCs w:val="28"/>
        </w:rPr>
        <w:t xml:space="preserve"> </w:t>
      </w:r>
      <w:r w:rsidR="002435CA">
        <w:rPr>
          <w:sz w:val="28"/>
          <w:szCs w:val="28"/>
        </w:rPr>
        <w:t>2.47,</w:t>
      </w:r>
      <w:r w:rsidR="00FB76B9">
        <w:rPr>
          <w:sz w:val="28"/>
          <w:szCs w:val="28"/>
        </w:rPr>
        <w:t xml:space="preserve"> </w:t>
      </w:r>
      <w:r w:rsidR="002435CA" w:rsidRPr="00BA750F">
        <w:rPr>
          <w:i/>
          <w:sz w:val="28"/>
          <w:szCs w:val="28"/>
        </w:rPr>
        <w:t>df</w:t>
      </w:r>
      <w:r w:rsidR="00BA750F">
        <w:rPr>
          <w:i/>
          <w:sz w:val="28"/>
          <w:szCs w:val="28"/>
        </w:rPr>
        <w:t xml:space="preserve"> </w:t>
      </w:r>
      <w:r w:rsidR="002435CA">
        <w:rPr>
          <w:sz w:val="28"/>
          <w:szCs w:val="28"/>
        </w:rPr>
        <w:t>=</w:t>
      </w:r>
      <w:r w:rsidR="00BA750F">
        <w:rPr>
          <w:sz w:val="28"/>
          <w:szCs w:val="28"/>
        </w:rPr>
        <w:t xml:space="preserve"> </w:t>
      </w:r>
      <w:r w:rsidR="002435CA">
        <w:rPr>
          <w:sz w:val="28"/>
          <w:szCs w:val="28"/>
        </w:rPr>
        <w:t>225;</w:t>
      </w:r>
      <w:r w:rsidR="00BA750F">
        <w:rPr>
          <w:sz w:val="28"/>
          <w:szCs w:val="28"/>
        </w:rPr>
        <w:t xml:space="preserve"> </w:t>
      </w:r>
      <w:r w:rsidR="002435CA" w:rsidRPr="003D774B">
        <w:rPr>
          <w:i/>
          <w:sz w:val="28"/>
          <w:szCs w:val="28"/>
        </w:rPr>
        <w:t>p</w:t>
      </w:r>
      <w:r w:rsidR="00AE2BC8">
        <w:rPr>
          <w:sz w:val="28"/>
          <w:szCs w:val="28"/>
        </w:rPr>
        <w:t xml:space="preserve"> </w:t>
      </w:r>
      <w:r w:rsidR="00AE2BC8" w:rsidRPr="00AE2BC8">
        <w:rPr>
          <w:sz w:val="28"/>
          <w:szCs w:val="28"/>
        </w:rPr>
        <w:t>= .0</w:t>
      </w:r>
      <w:r w:rsidR="00AE2BC8">
        <w:rPr>
          <w:sz w:val="28"/>
          <w:szCs w:val="28"/>
        </w:rPr>
        <w:t xml:space="preserve">18 and </w:t>
      </w:r>
      <w:r w:rsidR="00AE2BC8" w:rsidRPr="00BA750F">
        <w:rPr>
          <w:i/>
          <w:sz w:val="28"/>
          <w:szCs w:val="28"/>
        </w:rPr>
        <w:t>t</w:t>
      </w:r>
      <w:r w:rsidR="00AE2BC8">
        <w:rPr>
          <w:sz w:val="28"/>
          <w:szCs w:val="28"/>
        </w:rPr>
        <w:t xml:space="preserve"> = 2.22, </w:t>
      </w:r>
      <w:r w:rsidR="00AE2BC8" w:rsidRPr="00BA750F">
        <w:rPr>
          <w:i/>
          <w:sz w:val="28"/>
          <w:szCs w:val="28"/>
        </w:rPr>
        <w:t xml:space="preserve">df </w:t>
      </w:r>
      <w:r w:rsidR="00AE2BC8">
        <w:rPr>
          <w:sz w:val="28"/>
          <w:szCs w:val="28"/>
        </w:rPr>
        <w:t xml:space="preserve">= 94; </w:t>
      </w:r>
      <w:r w:rsidR="00AE2BC8" w:rsidRPr="00BA750F">
        <w:rPr>
          <w:i/>
          <w:sz w:val="28"/>
          <w:szCs w:val="28"/>
        </w:rPr>
        <w:t>p</w:t>
      </w:r>
      <w:r w:rsidR="00AE2BC8">
        <w:rPr>
          <w:sz w:val="28"/>
          <w:szCs w:val="28"/>
        </w:rPr>
        <w:t xml:space="preserve"> = .029</w:t>
      </w:r>
      <w:r w:rsidR="00EE3BCA" w:rsidRPr="00AE2BC8">
        <w:rPr>
          <w:sz w:val="28"/>
          <w:szCs w:val="28"/>
        </w:rPr>
        <w:t>)</w:t>
      </w:r>
      <w:r w:rsidR="0076633E" w:rsidRPr="00AE2BC8">
        <w:rPr>
          <w:sz w:val="28"/>
          <w:szCs w:val="28"/>
        </w:rPr>
        <w:t>.</w:t>
      </w:r>
      <w:r w:rsidR="00302038">
        <w:rPr>
          <w:sz w:val="28"/>
          <w:szCs w:val="28"/>
        </w:rPr>
        <w:t xml:space="preserve"> But for the SWEMWBS </w:t>
      </w:r>
      <w:r w:rsidR="00A56C7E">
        <w:rPr>
          <w:sz w:val="28"/>
          <w:szCs w:val="28"/>
        </w:rPr>
        <w:t>trainee clinical psychologists and assistant psychologists showed lower than average general wellbeing (</w:t>
      </w:r>
      <w:r w:rsidR="00A56C7E" w:rsidRPr="00A56C7E">
        <w:rPr>
          <w:i/>
          <w:sz w:val="28"/>
          <w:szCs w:val="28"/>
        </w:rPr>
        <w:t>t</w:t>
      </w:r>
      <w:r w:rsidR="006D538A">
        <w:rPr>
          <w:i/>
          <w:sz w:val="28"/>
          <w:szCs w:val="28"/>
        </w:rPr>
        <w:t xml:space="preserve"> </w:t>
      </w:r>
      <w:r w:rsidR="00D24F8E">
        <w:rPr>
          <w:sz w:val="28"/>
          <w:szCs w:val="28"/>
        </w:rPr>
        <w:t>=</w:t>
      </w:r>
      <w:r w:rsidR="006D538A">
        <w:rPr>
          <w:sz w:val="28"/>
          <w:szCs w:val="28"/>
        </w:rPr>
        <w:t xml:space="preserve"> </w:t>
      </w:r>
      <w:r w:rsidR="00D24F8E">
        <w:rPr>
          <w:sz w:val="28"/>
          <w:szCs w:val="28"/>
        </w:rPr>
        <w:t>-3.10</w:t>
      </w:r>
      <w:r w:rsidR="00A56C7E">
        <w:rPr>
          <w:sz w:val="28"/>
          <w:szCs w:val="28"/>
        </w:rPr>
        <w:t xml:space="preserve">, </w:t>
      </w:r>
      <w:r w:rsidR="00A56C7E" w:rsidRPr="00A56C7E">
        <w:rPr>
          <w:i/>
          <w:sz w:val="28"/>
          <w:szCs w:val="28"/>
        </w:rPr>
        <w:t>df</w:t>
      </w:r>
      <w:r w:rsidR="006D538A">
        <w:rPr>
          <w:i/>
          <w:sz w:val="28"/>
          <w:szCs w:val="28"/>
        </w:rPr>
        <w:t xml:space="preserve"> </w:t>
      </w:r>
      <w:r w:rsidR="00A56C7E">
        <w:rPr>
          <w:sz w:val="28"/>
          <w:szCs w:val="28"/>
        </w:rPr>
        <w:t>=</w:t>
      </w:r>
      <w:r w:rsidR="006D538A">
        <w:rPr>
          <w:sz w:val="28"/>
          <w:szCs w:val="28"/>
        </w:rPr>
        <w:t xml:space="preserve"> </w:t>
      </w:r>
      <w:r w:rsidR="00A56C7E">
        <w:rPr>
          <w:sz w:val="28"/>
          <w:szCs w:val="28"/>
        </w:rPr>
        <w:t>27;</w:t>
      </w:r>
      <w:r w:rsidR="00D24F8E">
        <w:rPr>
          <w:sz w:val="28"/>
          <w:szCs w:val="28"/>
        </w:rPr>
        <w:t xml:space="preserve"> </w:t>
      </w:r>
      <w:r w:rsidR="00A56C7E">
        <w:rPr>
          <w:i/>
          <w:sz w:val="28"/>
          <w:szCs w:val="28"/>
        </w:rPr>
        <w:t>p</w:t>
      </w:r>
      <w:r w:rsidR="006D538A">
        <w:rPr>
          <w:i/>
          <w:sz w:val="28"/>
          <w:szCs w:val="28"/>
        </w:rPr>
        <w:t xml:space="preserve"> </w:t>
      </w:r>
      <w:r w:rsidR="00D24F8E">
        <w:rPr>
          <w:sz w:val="28"/>
          <w:szCs w:val="28"/>
        </w:rPr>
        <w:t>= .007</w:t>
      </w:r>
      <w:r w:rsidR="00AE2BC8">
        <w:rPr>
          <w:sz w:val="28"/>
          <w:szCs w:val="28"/>
        </w:rPr>
        <w:t xml:space="preserve"> and </w:t>
      </w:r>
      <w:r w:rsidR="00AE2BC8" w:rsidRPr="00D24F8E">
        <w:rPr>
          <w:i/>
          <w:sz w:val="28"/>
          <w:szCs w:val="28"/>
        </w:rPr>
        <w:t>t</w:t>
      </w:r>
      <w:r w:rsidR="00D24F8E">
        <w:rPr>
          <w:sz w:val="28"/>
          <w:szCs w:val="28"/>
        </w:rPr>
        <w:t xml:space="preserve"> </w:t>
      </w:r>
      <w:r w:rsidR="00AE2BC8">
        <w:rPr>
          <w:sz w:val="28"/>
          <w:szCs w:val="28"/>
        </w:rPr>
        <w:t>=</w:t>
      </w:r>
      <w:r w:rsidR="00D24F8E">
        <w:rPr>
          <w:sz w:val="28"/>
          <w:szCs w:val="28"/>
        </w:rPr>
        <w:t xml:space="preserve"> </w:t>
      </w:r>
      <w:r w:rsidR="00AE2BC8">
        <w:rPr>
          <w:sz w:val="28"/>
          <w:szCs w:val="28"/>
        </w:rPr>
        <w:t>-2.12,</w:t>
      </w:r>
      <w:r w:rsidR="00D24F8E">
        <w:rPr>
          <w:sz w:val="28"/>
          <w:szCs w:val="28"/>
        </w:rPr>
        <w:t xml:space="preserve"> </w:t>
      </w:r>
      <w:r w:rsidR="00AE2BC8" w:rsidRPr="00D24F8E">
        <w:rPr>
          <w:i/>
          <w:sz w:val="28"/>
          <w:szCs w:val="28"/>
        </w:rPr>
        <w:t>df</w:t>
      </w:r>
      <w:r w:rsidR="00D24F8E">
        <w:rPr>
          <w:i/>
          <w:sz w:val="28"/>
          <w:szCs w:val="28"/>
        </w:rPr>
        <w:t xml:space="preserve"> </w:t>
      </w:r>
      <w:r w:rsidR="00AE2BC8">
        <w:rPr>
          <w:sz w:val="28"/>
          <w:szCs w:val="28"/>
        </w:rPr>
        <w:t>=</w:t>
      </w:r>
      <w:r w:rsidR="00D24F8E">
        <w:rPr>
          <w:sz w:val="28"/>
          <w:szCs w:val="28"/>
        </w:rPr>
        <w:t xml:space="preserve"> </w:t>
      </w:r>
      <w:r w:rsidR="00AE2BC8">
        <w:rPr>
          <w:sz w:val="28"/>
          <w:szCs w:val="28"/>
        </w:rPr>
        <w:t>23</w:t>
      </w:r>
      <w:r w:rsidR="00FB76B9">
        <w:rPr>
          <w:sz w:val="28"/>
          <w:szCs w:val="28"/>
        </w:rPr>
        <w:t>; p</w:t>
      </w:r>
      <w:r w:rsidR="006D538A">
        <w:rPr>
          <w:i/>
          <w:sz w:val="28"/>
          <w:szCs w:val="28"/>
        </w:rPr>
        <w:t xml:space="preserve"> </w:t>
      </w:r>
      <w:r w:rsidR="00AE2BC8">
        <w:rPr>
          <w:sz w:val="28"/>
          <w:szCs w:val="28"/>
        </w:rPr>
        <w:t>=</w:t>
      </w:r>
      <w:r w:rsidR="00D24F8E">
        <w:rPr>
          <w:sz w:val="28"/>
          <w:szCs w:val="28"/>
        </w:rPr>
        <w:t xml:space="preserve"> .039</w:t>
      </w:r>
      <w:r w:rsidR="00A56C7E">
        <w:rPr>
          <w:sz w:val="28"/>
          <w:szCs w:val="28"/>
        </w:rPr>
        <w:t>)</w:t>
      </w:r>
      <w:r w:rsidR="009F34DA">
        <w:rPr>
          <w:sz w:val="28"/>
          <w:szCs w:val="28"/>
        </w:rPr>
        <w:t xml:space="preserve">. </w:t>
      </w:r>
      <w:r w:rsidR="002435CA">
        <w:rPr>
          <w:sz w:val="28"/>
          <w:szCs w:val="28"/>
        </w:rPr>
        <w:t>While</w:t>
      </w:r>
      <w:r w:rsidR="009F34DA">
        <w:rPr>
          <w:sz w:val="28"/>
          <w:szCs w:val="28"/>
        </w:rPr>
        <w:t xml:space="preserve"> psychological wellbeing practitioners had higher than average general wel</w:t>
      </w:r>
      <w:r w:rsidR="00D24F8E">
        <w:rPr>
          <w:sz w:val="28"/>
          <w:szCs w:val="28"/>
        </w:rPr>
        <w:t>lbeing (</w:t>
      </w:r>
      <w:r w:rsidR="00D24F8E" w:rsidRPr="00FB76B9">
        <w:rPr>
          <w:i/>
          <w:sz w:val="28"/>
          <w:szCs w:val="28"/>
        </w:rPr>
        <w:t>t</w:t>
      </w:r>
      <w:r w:rsidR="00D24F8E">
        <w:rPr>
          <w:sz w:val="28"/>
          <w:szCs w:val="28"/>
        </w:rPr>
        <w:t xml:space="preserve"> = 2.91, </w:t>
      </w:r>
      <w:r w:rsidR="00D24F8E" w:rsidRPr="00FB76B9">
        <w:rPr>
          <w:i/>
          <w:sz w:val="28"/>
          <w:szCs w:val="28"/>
        </w:rPr>
        <w:t>df</w:t>
      </w:r>
      <w:r w:rsidR="00D24F8E">
        <w:rPr>
          <w:sz w:val="28"/>
          <w:szCs w:val="28"/>
        </w:rPr>
        <w:t xml:space="preserve"> = 225; </w:t>
      </w:r>
      <w:r w:rsidR="00D24F8E" w:rsidRPr="00FB76B9">
        <w:rPr>
          <w:i/>
          <w:sz w:val="28"/>
          <w:szCs w:val="28"/>
        </w:rPr>
        <w:t>p</w:t>
      </w:r>
      <w:r w:rsidR="00D24F8E">
        <w:rPr>
          <w:sz w:val="28"/>
          <w:szCs w:val="28"/>
        </w:rPr>
        <w:t xml:space="preserve"> = .006</w:t>
      </w:r>
      <w:r w:rsidR="009F34DA">
        <w:rPr>
          <w:sz w:val="28"/>
          <w:szCs w:val="28"/>
        </w:rPr>
        <w:t>).</w:t>
      </w:r>
    </w:p>
    <w:p w14:paraId="7A64DEE8" w14:textId="77777777" w:rsidR="007968FE" w:rsidRDefault="007968FE" w:rsidP="005724EF">
      <w:pPr>
        <w:spacing w:after="0"/>
        <w:rPr>
          <w:sz w:val="28"/>
          <w:szCs w:val="28"/>
        </w:rPr>
      </w:pPr>
    </w:p>
    <w:p w14:paraId="0AC85DAD" w14:textId="77777777" w:rsidR="001317AF" w:rsidRPr="00BC5F3A" w:rsidRDefault="001317AF" w:rsidP="005724EF">
      <w:pPr>
        <w:spacing w:after="0"/>
        <w:rPr>
          <w:color w:val="FF0000"/>
          <w:sz w:val="28"/>
          <w:szCs w:val="28"/>
        </w:rPr>
      </w:pPr>
    </w:p>
    <w:p w14:paraId="43BE75E9" w14:textId="1F72D165" w:rsidR="00C633CD" w:rsidRDefault="00573D6F" w:rsidP="005724EF">
      <w:pPr>
        <w:spacing w:after="0"/>
        <w:rPr>
          <w:sz w:val="28"/>
          <w:szCs w:val="28"/>
        </w:rPr>
      </w:pPr>
      <w:r w:rsidRPr="00BC5F3A">
        <w:rPr>
          <w:sz w:val="28"/>
          <w:szCs w:val="28"/>
        </w:rPr>
        <w:t>There was also a significant effect of type o</w:t>
      </w:r>
      <w:r w:rsidR="0076633E">
        <w:rPr>
          <w:sz w:val="28"/>
          <w:szCs w:val="28"/>
        </w:rPr>
        <w:t xml:space="preserve">f contract </w:t>
      </w:r>
      <w:r w:rsidRPr="00BC5F3A">
        <w:rPr>
          <w:sz w:val="28"/>
          <w:szCs w:val="28"/>
        </w:rPr>
        <w:t>(</w:t>
      </w:r>
      <w:bookmarkStart w:id="2" w:name="_Hlk22035853"/>
      <w:r w:rsidRPr="00BC5F3A">
        <w:rPr>
          <w:sz w:val="28"/>
          <w:szCs w:val="28"/>
        </w:rPr>
        <w:t xml:space="preserve">PPWWM, </w:t>
      </w:r>
      <w:bookmarkStart w:id="3" w:name="_Hlk22580236"/>
      <w:r w:rsidRPr="00D24F8E">
        <w:rPr>
          <w:i/>
          <w:sz w:val="28"/>
          <w:szCs w:val="28"/>
        </w:rPr>
        <w:t>F</w:t>
      </w:r>
      <w:r w:rsidRPr="00BC5F3A">
        <w:rPr>
          <w:sz w:val="28"/>
          <w:szCs w:val="28"/>
          <w:vertAlign w:val="subscript"/>
        </w:rPr>
        <w:t>(3,1674</w:t>
      </w:r>
      <w:r w:rsidR="00FB76B9" w:rsidRPr="00BC5F3A">
        <w:rPr>
          <w:sz w:val="28"/>
          <w:szCs w:val="28"/>
          <w:vertAlign w:val="subscript"/>
        </w:rPr>
        <w:t>)</w:t>
      </w:r>
      <w:r w:rsidR="00FB76B9" w:rsidRPr="00BC5F3A">
        <w:rPr>
          <w:sz w:val="28"/>
          <w:szCs w:val="28"/>
        </w:rPr>
        <w:t xml:space="preserve"> =</w:t>
      </w:r>
      <w:r w:rsidRPr="00BC5F3A">
        <w:rPr>
          <w:sz w:val="28"/>
          <w:szCs w:val="28"/>
        </w:rPr>
        <w:t xml:space="preserve"> 7.27; </w:t>
      </w:r>
      <w:r w:rsidRPr="00D24F8E">
        <w:rPr>
          <w:i/>
          <w:sz w:val="28"/>
          <w:szCs w:val="28"/>
        </w:rPr>
        <w:t>p</w:t>
      </w:r>
      <w:r w:rsidRPr="00BC5F3A">
        <w:rPr>
          <w:sz w:val="28"/>
          <w:szCs w:val="28"/>
        </w:rPr>
        <w:t>&lt;.0001</w:t>
      </w:r>
      <w:bookmarkEnd w:id="2"/>
      <w:bookmarkEnd w:id="3"/>
      <w:r w:rsidRPr="00BC5F3A">
        <w:rPr>
          <w:sz w:val="28"/>
          <w:szCs w:val="28"/>
        </w:rPr>
        <w:t>:</w:t>
      </w:r>
      <w:r w:rsidR="0043652D" w:rsidRPr="00BC5F3A">
        <w:rPr>
          <w:sz w:val="28"/>
          <w:szCs w:val="28"/>
        </w:rPr>
        <w:t xml:space="preserve"> </w:t>
      </w:r>
      <w:r w:rsidRPr="00BC5F3A">
        <w:rPr>
          <w:sz w:val="28"/>
          <w:szCs w:val="28"/>
        </w:rPr>
        <w:t xml:space="preserve">SWEMWBS, </w:t>
      </w:r>
      <w:r w:rsidRPr="00D24F8E">
        <w:rPr>
          <w:i/>
          <w:sz w:val="28"/>
          <w:szCs w:val="28"/>
        </w:rPr>
        <w:t>F</w:t>
      </w:r>
      <w:r w:rsidRPr="00BC5F3A">
        <w:rPr>
          <w:sz w:val="28"/>
          <w:szCs w:val="28"/>
          <w:vertAlign w:val="subscript"/>
        </w:rPr>
        <w:t>(3,1674</w:t>
      </w:r>
      <w:r w:rsidR="00FB76B9" w:rsidRPr="00BC5F3A">
        <w:rPr>
          <w:sz w:val="28"/>
          <w:szCs w:val="28"/>
          <w:vertAlign w:val="subscript"/>
        </w:rPr>
        <w:t>)</w:t>
      </w:r>
      <w:r w:rsidR="00FB76B9" w:rsidRPr="00BC5F3A">
        <w:rPr>
          <w:sz w:val="28"/>
          <w:szCs w:val="28"/>
        </w:rPr>
        <w:t xml:space="preserve"> =</w:t>
      </w:r>
      <w:r w:rsidRPr="00BC5F3A">
        <w:rPr>
          <w:sz w:val="28"/>
          <w:szCs w:val="28"/>
        </w:rPr>
        <w:t xml:space="preserve"> 6.</w:t>
      </w:r>
      <w:r w:rsidR="008F69E6">
        <w:rPr>
          <w:sz w:val="28"/>
          <w:szCs w:val="28"/>
        </w:rPr>
        <w:t>99</w:t>
      </w:r>
      <w:r w:rsidRPr="00BC5F3A">
        <w:rPr>
          <w:sz w:val="28"/>
          <w:szCs w:val="28"/>
        </w:rPr>
        <w:t xml:space="preserve">; </w:t>
      </w:r>
      <w:r w:rsidRPr="00D24F8E">
        <w:rPr>
          <w:i/>
          <w:sz w:val="28"/>
          <w:szCs w:val="28"/>
        </w:rPr>
        <w:t>p</w:t>
      </w:r>
      <w:r w:rsidR="00BF53F6">
        <w:rPr>
          <w:i/>
          <w:sz w:val="28"/>
          <w:szCs w:val="28"/>
        </w:rPr>
        <w:t xml:space="preserve"> </w:t>
      </w:r>
      <w:r w:rsidRPr="00BC5F3A">
        <w:rPr>
          <w:sz w:val="28"/>
          <w:szCs w:val="28"/>
        </w:rPr>
        <w:t>&lt;</w:t>
      </w:r>
      <w:r w:rsidR="00BF53F6">
        <w:rPr>
          <w:sz w:val="28"/>
          <w:szCs w:val="28"/>
        </w:rPr>
        <w:t xml:space="preserve"> </w:t>
      </w:r>
      <w:r w:rsidRPr="00BC5F3A">
        <w:rPr>
          <w:sz w:val="28"/>
          <w:szCs w:val="28"/>
        </w:rPr>
        <w:t>.0001).</w:t>
      </w:r>
      <w:r w:rsidR="00D106EC" w:rsidRPr="00BC5F3A">
        <w:rPr>
          <w:sz w:val="28"/>
          <w:szCs w:val="28"/>
        </w:rPr>
        <w:t xml:space="preserve"> </w:t>
      </w:r>
      <w:r w:rsidR="00D16114">
        <w:rPr>
          <w:sz w:val="28"/>
          <w:szCs w:val="28"/>
        </w:rPr>
        <w:t>Self-employed practitioners and those o</w:t>
      </w:r>
      <w:r w:rsidR="00605C08">
        <w:rPr>
          <w:sz w:val="28"/>
          <w:szCs w:val="28"/>
        </w:rPr>
        <w:t>n non-</w:t>
      </w:r>
      <w:r w:rsidR="00605C08">
        <w:rPr>
          <w:sz w:val="28"/>
          <w:szCs w:val="28"/>
        </w:rPr>
        <w:lastRenderedPageBreak/>
        <w:t xml:space="preserve">permanent contracts </w:t>
      </w:r>
      <w:r w:rsidR="00685F6C">
        <w:rPr>
          <w:sz w:val="28"/>
          <w:szCs w:val="28"/>
        </w:rPr>
        <w:t xml:space="preserve">demonstrated </w:t>
      </w:r>
      <w:r w:rsidR="005E5ED8">
        <w:rPr>
          <w:sz w:val="28"/>
          <w:szCs w:val="28"/>
        </w:rPr>
        <w:t xml:space="preserve">above average </w:t>
      </w:r>
      <w:r w:rsidR="00D16114">
        <w:rPr>
          <w:sz w:val="28"/>
          <w:szCs w:val="28"/>
        </w:rPr>
        <w:t xml:space="preserve">PPWWM </w:t>
      </w:r>
      <w:r w:rsidR="005E5ED8">
        <w:rPr>
          <w:sz w:val="28"/>
          <w:szCs w:val="28"/>
        </w:rPr>
        <w:t>scores</w:t>
      </w:r>
      <w:r w:rsidR="00613DCE" w:rsidRPr="00672B10">
        <w:rPr>
          <w:sz w:val="28"/>
          <w:szCs w:val="28"/>
        </w:rPr>
        <w:t xml:space="preserve"> (</w:t>
      </w:r>
      <w:r w:rsidR="002F0DBC" w:rsidRPr="00672B10">
        <w:rPr>
          <w:i/>
          <w:sz w:val="28"/>
          <w:szCs w:val="28"/>
        </w:rPr>
        <w:t>t</w:t>
      </w:r>
      <w:r w:rsidR="002F0DBC" w:rsidRPr="00672B10">
        <w:rPr>
          <w:sz w:val="28"/>
          <w:szCs w:val="28"/>
        </w:rPr>
        <w:t xml:space="preserve"> = 2.91, </w:t>
      </w:r>
      <w:r w:rsidR="002F0DBC" w:rsidRPr="00672B10">
        <w:rPr>
          <w:i/>
          <w:sz w:val="28"/>
          <w:szCs w:val="28"/>
        </w:rPr>
        <w:t>df</w:t>
      </w:r>
      <w:r w:rsidR="002F0DBC" w:rsidRPr="00672B10">
        <w:rPr>
          <w:sz w:val="28"/>
          <w:szCs w:val="28"/>
        </w:rPr>
        <w:t xml:space="preserve"> = 18; </w:t>
      </w:r>
      <w:r w:rsidR="002F0DBC" w:rsidRPr="00672B10">
        <w:rPr>
          <w:i/>
          <w:sz w:val="28"/>
          <w:szCs w:val="28"/>
        </w:rPr>
        <w:t>p</w:t>
      </w:r>
      <w:r w:rsidR="002F0DBC" w:rsidRPr="00672B10">
        <w:rPr>
          <w:sz w:val="28"/>
          <w:szCs w:val="28"/>
        </w:rPr>
        <w:t xml:space="preserve"> =.009</w:t>
      </w:r>
      <w:r w:rsidR="00613DCE" w:rsidRPr="00672B10">
        <w:rPr>
          <w:sz w:val="28"/>
          <w:szCs w:val="28"/>
        </w:rPr>
        <w:t>, two-tailed</w:t>
      </w:r>
      <w:r w:rsidR="007072FA" w:rsidRPr="00672B10">
        <w:rPr>
          <w:sz w:val="28"/>
          <w:szCs w:val="28"/>
        </w:rPr>
        <w:t xml:space="preserve">; </w:t>
      </w:r>
      <w:r w:rsidR="007072FA" w:rsidRPr="00672B10">
        <w:rPr>
          <w:i/>
          <w:sz w:val="28"/>
          <w:szCs w:val="28"/>
        </w:rPr>
        <w:t>t</w:t>
      </w:r>
      <w:r w:rsidR="00BF53F6">
        <w:rPr>
          <w:i/>
          <w:sz w:val="28"/>
          <w:szCs w:val="28"/>
        </w:rPr>
        <w:t xml:space="preserve"> </w:t>
      </w:r>
      <w:r w:rsidR="007072FA" w:rsidRPr="00672B10">
        <w:rPr>
          <w:sz w:val="28"/>
          <w:szCs w:val="28"/>
        </w:rPr>
        <w:t>=</w:t>
      </w:r>
      <w:r w:rsidR="00BF53F6">
        <w:rPr>
          <w:sz w:val="28"/>
          <w:szCs w:val="28"/>
        </w:rPr>
        <w:t xml:space="preserve"> </w:t>
      </w:r>
      <w:r w:rsidR="007072FA" w:rsidRPr="00672B10">
        <w:rPr>
          <w:sz w:val="28"/>
          <w:szCs w:val="28"/>
        </w:rPr>
        <w:t xml:space="preserve">3.70, </w:t>
      </w:r>
      <w:r w:rsidR="007072FA" w:rsidRPr="00672B10">
        <w:rPr>
          <w:i/>
          <w:sz w:val="28"/>
          <w:szCs w:val="28"/>
        </w:rPr>
        <w:t>df</w:t>
      </w:r>
      <w:r w:rsidR="00A56C7E">
        <w:rPr>
          <w:i/>
          <w:sz w:val="28"/>
          <w:szCs w:val="28"/>
        </w:rPr>
        <w:t xml:space="preserve"> </w:t>
      </w:r>
      <w:r w:rsidR="007072FA" w:rsidRPr="00672B10">
        <w:rPr>
          <w:sz w:val="28"/>
          <w:szCs w:val="28"/>
        </w:rPr>
        <w:t>=</w:t>
      </w:r>
      <w:r w:rsidR="00A56C7E">
        <w:rPr>
          <w:sz w:val="28"/>
          <w:szCs w:val="28"/>
        </w:rPr>
        <w:t xml:space="preserve"> </w:t>
      </w:r>
      <w:r w:rsidR="007072FA" w:rsidRPr="00672B10">
        <w:rPr>
          <w:sz w:val="28"/>
          <w:szCs w:val="28"/>
        </w:rPr>
        <w:t>188</w:t>
      </w:r>
      <w:r w:rsidR="007072FA">
        <w:rPr>
          <w:sz w:val="28"/>
          <w:szCs w:val="28"/>
        </w:rPr>
        <w:t xml:space="preserve">; </w:t>
      </w:r>
      <w:r w:rsidR="007072FA" w:rsidRPr="007072FA">
        <w:rPr>
          <w:i/>
          <w:sz w:val="28"/>
          <w:szCs w:val="28"/>
        </w:rPr>
        <w:t>p</w:t>
      </w:r>
      <w:r w:rsidR="00A56C7E">
        <w:rPr>
          <w:i/>
          <w:sz w:val="28"/>
          <w:szCs w:val="28"/>
        </w:rPr>
        <w:t xml:space="preserve"> </w:t>
      </w:r>
      <w:r w:rsidR="007072FA">
        <w:rPr>
          <w:sz w:val="28"/>
          <w:szCs w:val="28"/>
        </w:rPr>
        <w:t>&lt;</w:t>
      </w:r>
      <w:r w:rsidR="00BF53F6">
        <w:rPr>
          <w:sz w:val="28"/>
          <w:szCs w:val="28"/>
        </w:rPr>
        <w:t xml:space="preserve"> </w:t>
      </w:r>
      <w:r w:rsidR="007072FA">
        <w:rPr>
          <w:sz w:val="28"/>
          <w:szCs w:val="28"/>
        </w:rPr>
        <w:t>.001, two-tailed</w:t>
      </w:r>
      <w:r w:rsidR="002F0DBC">
        <w:rPr>
          <w:sz w:val="28"/>
          <w:szCs w:val="28"/>
        </w:rPr>
        <w:t>)</w:t>
      </w:r>
      <w:r w:rsidR="00613DCE">
        <w:rPr>
          <w:sz w:val="28"/>
          <w:szCs w:val="28"/>
        </w:rPr>
        <w:t xml:space="preserve"> </w:t>
      </w:r>
      <w:r w:rsidR="00D16114">
        <w:rPr>
          <w:sz w:val="28"/>
          <w:szCs w:val="28"/>
        </w:rPr>
        <w:t>while those on permanent contracts were below the mean</w:t>
      </w:r>
      <w:r w:rsidR="00613DCE">
        <w:rPr>
          <w:sz w:val="28"/>
          <w:szCs w:val="28"/>
        </w:rPr>
        <w:t>, but not significantly so</w:t>
      </w:r>
      <w:r w:rsidR="00D16114">
        <w:rPr>
          <w:sz w:val="28"/>
          <w:szCs w:val="28"/>
        </w:rPr>
        <w:t>.</w:t>
      </w:r>
    </w:p>
    <w:p w14:paraId="7CBE5118" w14:textId="77777777" w:rsidR="00573D6F" w:rsidRDefault="005A1370" w:rsidP="005724EF">
      <w:pPr>
        <w:spacing w:after="0"/>
        <w:rPr>
          <w:sz w:val="28"/>
          <w:szCs w:val="28"/>
        </w:rPr>
      </w:pPr>
      <w:r>
        <w:rPr>
          <w:sz w:val="28"/>
          <w:szCs w:val="28"/>
        </w:rPr>
        <w:t xml:space="preserve">Only the self-employed/private practice/independent group differed significantly from the mean on </w:t>
      </w:r>
      <w:r w:rsidRPr="005A1370">
        <w:rPr>
          <w:sz w:val="28"/>
          <w:szCs w:val="28"/>
        </w:rPr>
        <w:t>the SWEMBS</w:t>
      </w:r>
      <w:r>
        <w:rPr>
          <w:sz w:val="28"/>
          <w:szCs w:val="28"/>
        </w:rPr>
        <w:t xml:space="preserve"> (</w:t>
      </w:r>
      <w:r w:rsidRPr="005A1370">
        <w:rPr>
          <w:i/>
          <w:sz w:val="28"/>
          <w:szCs w:val="28"/>
        </w:rPr>
        <w:t>t</w:t>
      </w:r>
      <w:r w:rsidR="00BF53F6">
        <w:rPr>
          <w:i/>
          <w:sz w:val="28"/>
          <w:szCs w:val="28"/>
        </w:rPr>
        <w:t xml:space="preserve"> </w:t>
      </w:r>
      <w:r>
        <w:rPr>
          <w:sz w:val="28"/>
          <w:szCs w:val="28"/>
        </w:rPr>
        <w:t>=</w:t>
      </w:r>
      <w:r w:rsidR="00BF53F6">
        <w:rPr>
          <w:sz w:val="28"/>
          <w:szCs w:val="28"/>
        </w:rPr>
        <w:t xml:space="preserve"> </w:t>
      </w:r>
      <w:r>
        <w:rPr>
          <w:sz w:val="28"/>
          <w:szCs w:val="28"/>
        </w:rPr>
        <w:t xml:space="preserve">3.85, </w:t>
      </w:r>
      <w:r w:rsidRPr="005A1370">
        <w:rPr>
          <w:i/>
          <w:sz w:val="28"/>
          <w:szCs w:val="28"/>
        </w:rPr>
        <w:t>df</w:t>
      </w:r>
      <w:r>
        <w:rPr>
          <w:sz w:val="28"/>
          <w:szCs w:val="28"/>
        </w:rPr>
        <w:t xml:space="preserve"> =</w:t>
      </w:r>
      <w:r w:rsidR="00BF53F6">
        <w:rPr>
          <w:sz w:val="28"/>
          <w:szCs w:val="28"/>
        </w:rPr>
        <w:t xml:space="preserve"> </w:t>
      </w:r>
      <w:r>
        <w:rPr>
          <w:sz w:val="28"/>
          <w:szCs w:val="28"/>
        </w:rPr>
        <w:t xml:space="preserve">18; </w:t>
      </w:r>
      <w:r w:rsidRPr="005A1370">
        <w:rPr>
          <w:i/>
          <w:sz w:val="28"/>
          <w:szCs w:val="28"/>
        </w:rPr>
        <w:t>p</w:t>
      </w:r>
      <w:r w:rsidR="00BF53F6">
        <w:rPr>
          <w:sz w:val="28"/>
          <w:szCs w:val="28"/>
        </w:rPr>
        <w:t xml:space="preserve"> = .003</w:t>
      </w:r>
      <w:r>
        <w:rPr>
          <w:sz w:val="28"/>
          <w:szCs w:val="28"/>
        </w:rPr>
        <w:t>).</w:t>
      </w:r>
    </w:p>
    <w:p w14:paraId="2C3A03AD" w14:textId="77777777" w:rsidR="00613DCE" w:rsidRDefault="00613DCE" w:rsidP="005724EF">
      <w:pPr>
        <w:spacing w:after="0"/>
        <w:rPr>
          <w:sz w:val="28"/>
          <w:szCs w:val="28"/>
        </w:rPr>
      </w:pPr>
    </w:p>
    <w:p w14:paraId="48ABC45C" w14:textId="77777777" w:rsidR="009F5FB1" w:rsidRDefault="005422D6" w:rsidP="005724EF">
      <w:pPr>
        <w:spacing w:after="0"/>
        <w:rPr>
          <w:sz w:val="28"/>
          <w:szCs w:val="28"/>
        </w:rPr>
      </w:pPr>
      <w:r>
        <w:rPr>
          <w:sz w:val="28"/>
          <w:szCs w:val="28"/>
        </w:rPr>
        <w:t xml:space="preserve">For </w:t>
      </w:r>
      <w:r w:rsidR="005724EF">
        <w:rPr>
          <w:sz w:val="28"/>
          <w:szCs w:val="28"/>
        </w:rPr>
        <w:t>sector of employment the differences were</w:t>
      </w:r>
      <w:r>
        <w:rPr>
          <w:sz w:val="28"/>
          <w:szCs w:val="28"/>
        </w:rPr>
        <w:t xml:space="preserve"> </w:t>
      </w:r>
      <w:r w:rsidR="005724EF">
        <w:rPr>
          <w:sz w:val="28"/>
          <w:szCs w:val="28"/>
        </w:rPr>
        <w:t xml:space="preserve">significant </w:t>
      </w:r>
      <w:bookmarkStart w:id="4" w:name="_Hlk22043862"/>
      <w:r w:rsidR="001D1319">
        <w:rPr>
          <w:sz w:val="28"/>
          <w:szCs w:val="28"/>
        </w:rPr>
        <w:t xml:space="preserve">for the PPWWM </w:t>
      </w:r>
      <w:r w:rsidR="005724EF">
        <w:rPr>
          <w:sz w:val="28"/>
          <w:szCs w:val="28"/>
        </w:rPr>
        <w:t>(</w:t>
      </w:r>
      <w:r w:rsidR="005724EF" w:rsidRPr="00C64FD4">
        <w:rPr>
          <w:i/>
          <w:sz w:val="28"/>
          <w:szCs w:val="28"/>
        </w:rPr>
        <w:t>F</w:t>
      </w:r>
      <w:r w:rsidR="00A26B10" w:rsidRPr="00A26B10">
        <w:rPr>
          <w:sz w:val="28"/>
          <w:szCs w:val="28"/>
          <w:vertAlign w:val="subscript"/>
        </w:rPr>
        <w:t>(</w:t>
      </w:r>
      <w:r w:rsidR="005724EF">
        <w:rPr>
          <w:sz w:val="28"/>
          <w:szCs w:val="28"/>
          <w:vertAlign w:val="subscript"/>
        </w:rPr>
        <w:t>5</w:t>
      </w:r>
      <w:r w:rsidR="005724EF" w:rsidRPr="007D1968">
        <w:rPr>
          <w:sz w:val="28"/>
          <w:szCs w:val="28"/>
          <w:vertAlign w:val="subscript"/>
        </w:rPr>
        <w:t>,167</w:t>
      </w:r>
      <w:r w:rsidR="005724EF">
        <w:rPr>
          <w:sz w:val="28"/>
          <w:szCs w:val="28"/>
          <w:vertAlign w:val="subscript"/>
        </w:rPr>
        <w:t>2</w:t>
      </w:r>
      <w:r w:rsidR="005724EF" w:rsidRPr="007D1968">
        <w:rPr>
          <w:sz w:val="28"/>
          <w:szCs w:val="28"/>
          <w:vertAlign w:val="subscript"/>
        </w:rPr>
        <w:t>)</w:t>
      </w:r>
      <w:r w:rsidR="006A7269">
        <w:rPr>
          <w:sz w:val="28"/>
          <w:szCs w:val="28"/>
          <w:vertAlign w:val="subscript"/>
        </w:rPr>
        <w:t xml:space="preserve"> </w:t>
      </w:r>
      <w:r w:rsidR="005724EF" w:rsidRPr="007D1968">
        <w:rPr>
          <w:sz w:val="28"/>
          <w:szCs w:val="28"/>
        </w:rPr>
        <w:t xml:space="preserve">= </w:t>
      </w:r>
      <w:r w:rsidR="0072473C">
        <w:rPr>
          <w:sz w:val="28"/>
          <w:szCs w:val="28"/>
        </w:rPr>
        <w:t>4.79</w:t>
      </w:r>
      <w:r w:rsidR="005724EF" w:rsidRPr="007D1968">
        <w:rPr>
          <w:sz w:val="28"/>
          <w:szCs w:val="28"/>
        </w:rPr>
        <w:t>;</w:t>
      </w:r>
      <w:r w:rsidR="005724EF">
        <w:rPr>
          <w:sz w:val="28"/>
          <w:szCs w:val="28"/>
        </w:rPr>
        <w:t xml:space="preserve"> </w:t>
      </w:r>
      <w:r w:rsidR="005724EF" w:rsidRPr="00C64FD4">
        <w:rPr>
          <w:i/>
          <w:sz w:val="28"/>
          <w:szCs w:val="28"/>
        </w:rPr>
        <w:t>p</w:t>
      </w:r>
      <w:r w:rsidR="006A7269">
        <w:rPr>
          <w:i/>
          <w:sz w:val="28"/>
          <w:szCs w:val="28"/>
        </w:rPr>
        <w:t xml:space="preserve"> </w:t>
      </w:r>
      <w:r w:rsidR="005724EF" w:rsidRPr="007D1968">
        <w:rPr>
          <w:sz w:val="28"/>
          <w:szCs w:val="28"/>
        </w:rPr>
        <w:t>&lt;</w:t>
      </w:r>
      <w:r w:rsidR="006A7269">
        <w:rPr>
          <w:sz w:val="28"/>
          <w:szCs w:val="28"/>
        </w:rPr>
        <w:t xml:space="preserve"> </w:t>
      </w:r>
      <w:r w:rsidR="005724EF" w:rsidRPr="007D1968">
        <w:rPr>
          <w:sz w:val="28"/>
          <w:szCs w:val="28"/>
        </w:rPr>
        <w:t>.0</w:t>
      </w:r>
      <w:r w:rsidR="005724EF">
        <w:rPr>
          <w:sz w:val="28"/>
          <w:szCs w:val="28"/>
        </w:rPr>
        <w:t>0</w:t>
      </w:r>
      <w:r w:rsidR="005724EF" w:rsidRPr="007D1968">
        <w:rPr>
          <w:sz w:val="28"/>
          <w:szCs w:val="28"/>
        </w:rPr>
        <w:t>01</w:t>
      </w:r>
      <w:r w:rsidR="00AE468E">
        <w:rPr>
          <w:sz w:val="28"/>
          <w:szCs w:val="28"/>
        </w:rPr>
        <w:t xml:space="preserve">) </w:t>
      </w:r>
      <w:r w:rsidR="0072473C">
        <w:rPr>
          <w:sz w:val="28"/>
          <w:szCs w:val="28"/>
        </w:rPr>
        <w:t>but not for</w:t>
      </w:r>
      <w:r w:rsidR="001D1319">
        <w:rPr>
          <w:sz w:val="28"/>
          <w:szCs w:val="28"/>
        </w:rPr>
        <w:t xml:space="preserve"> the </w:t>
      </w:r>
      <w:r w:rsidR="00FB76B9" w:rsidRPr="00696E8B">
        <w:rPr>
          <w:sz w:val="28"/>
          <w:szCs w:val="28"/>
        </w:rPr>
        <w:t>SWEMWBS</w:t>
      </w:r>
      <w:r w:rsidR="00FB76B9" w:rsidRPr="00AE468E">
        <w:rPr>
          <w:sz w:val="28"/>
          <w:szCs w:val="28"/>
        </w:rPr>
        <w:t xml:space="preserve"> </w:t>
      </w:r>
      <w:r w:rsidR="00FB76B9" w:rsidRPr="001D1319">
        <w:rPr>
          <w:sz w:val="28"/>
          <w:szCs w:val="28"/>
        </w:rPr>
        <w:t>(</w:t>
      </w:r>
      <w:r w:rsidR="009D2331" w:rsidRPr="00C64FD4">
        <w:rPr>
          <w:i/>
          <w:sz w:val="28"/>
          <w:szCs w:val="28"/>
        </w:rPr>
        <w:t>F</w:t>
      </w:r>
      <w:r w:rsidR="009D2331" w:rsidRPr="00AE468E">
        <w:rPr>
          <w:sz w:val="28"/>
          <w:szCs w:val="28"/>
          <w:vertAlign w:val="subscript"/>
        </w:rPr>
        <w:t>(5,1672)</w:t>
      </w:r>
      <w:r w:rsidR="009D2331" w:rsidRPr="001D1319">
        <w:rPr>
          <w:sz w:val="28"/>
          <w:szCs w:val="28"/>
        </w:rPr>
        <w:t xml:space="preserve"> = </w:t>
      </w:r>
      <w:r w:rsidR="0072473C">
        <w:rPr>
          <w:sz w:val="28"/>
          <w:szCs w:val="28"/>
        </w:rPr>
        <w:t>2.05</w:t>
      </w:r>
      <w:r w:rsidR="009D2331" w:rsidRPr="00696E8B">
        <w:rPr>
          <w:sz w:val="28"/>
          <w:szCs w:val="28"/>
        </w:rPr>
        <w:t>; p=</w:t>
      </w:r>
      <w:r w:rsidR="009D2331" w:rsidRPr="003120F0">
        <w:rPr>
          <w:sz w:val="28"/>
          <w:szCs w:val="28"/>
        </w:rPr>
        <w:t>.0</w:t>
      </w:r>
      <w:r w:rsidR="0072473C">
        <w:rPr>
          <w:sz w:val="28"/>
          <w:szCs w:val="28"/>
        </w:rPr>
        <w:t>69</w:t>
      </w:r>
      <w:r w:rsidR="0015110E" w:rsidRPr="003120F0">
        <w:rPr>
          <w:sz w:val="28"/>
          <w:szCs w:val="28"/>
        </w:rPr>
        <w:t>)</w:t>
      </w:r>
      <w:bookmarkEnd w:id="4"/>
      <w:r w:rsidR="0015110E" w:rsidRPr="003120F0">
        <w:rPr>
          <w:sz w:val="28"/>
          <w:szCs w:val="28"/>
        </w:rPr>
        <w:t>.</w:t>
      </w:r>
      <w:r w:rsidR="00135356" w:rsidRPr="003120F0">
        <w:rPr>
          <w:sz w:val="28"/>
          <w:szCs w:val="28"/>
        </w:rPr>
        <w:t xml:space="preserve"> </w:t>
      </w:r>
      <w:r w:rsidR="009F5FB1">
        <w:rPr>
          <w:sz w:val="28"/>
          <w:szCs w:val="28"/>
        </w:rPr>
        <w:t xml:space="preserve"> Follow-up tests for the PPWWM showed that </w:t>
      </w:r>
      <w:r w:rsidR="0038452E">
        <w:rPr>
          <w:sz w:val="28"/>
          <w:szCs w:val="28"/>
        </w:rPr>
        <w:t xml:space="preserve">only </w:t>
      </w:r>
      <w:r w:rsidR="009F5FB1">
        <w:rPr>
          <w:sz w:val="28"/>
          <w:szCs w:val="28"/>
        </w:rPr>
        <w:t xml:space="preserve">private organisation/independent workers </w:t>
      </w:r>
      <w:r w:rsidR="00986924">
        <w:rPr>
          <w:sz w:val="28"/>
          <w:szCs w:val="28"/>
        </w:rPr>
        <w:t>(</w:t>
      </w:r>
      <w:r w:rsidR="00986924" w:rsidRPr="00C64FD4">
        <w:rPr>
          <w:i/>
          <w:sz w:val="28"/>
          <w:szCs w:val="28"/>
        </w:rPr>
        <w:t xml:space="preserve">t </w:t>
      </w:r>
      <w:r w:rsidR="00986924">
        <w:rPr>
          <w:sz w:val="28"/>
          <w:szCs w:val="28"/>
        </w:rPr>
        <w:t xml:space="preserve">= 2.39, </w:t>
      </w:r>
      <w:r w:rsidR="00986924" w:rsidRPr="00C64FD4">
        <w:rPr>
          <w:i/>
          <w:sz w:val="28"/>
          <w:szCs w:val="28"/>
        </w:rPr>
        <w:t>df</w:t>
      </w:r>
      <w:r w:rsidR="00986924">
        <w:rPr>
          <w:sz w:val="28"/>
          <w:szCs w:val="28"/>
        </w:rPr>
        <w:t xml:space="preserve"> = 55; </w:t>
      </w:r>
      <w:r w:rsidR="00986924" w:rsidRPr="00C64FD4">
        <w:rPr>
          <w:i/>
          <w:sz w:val="28"/>
          <w:szCs w:val="28"/>
        </w:rPr>
        <w:t>p</w:t>
      </w:r>
      <w:r w:rsidR="00986924">
        <w:rPr>
          <w:sz w:val="28"/>
          <w:szCs w:val="28"/>
        </w:rPr>
        <w:t xml:space="preserve"> = .025)</w:t>
      </w:r>
      <w:r w:rsidR="0038452E">
        <w:rPr>
          <w:sz w:val="28"/>
          <w:szCs w:val="28"/>
        </w:rPr>
        <w:t xml:space="preserve"> and </w:t>
      </w:r>
      <w:r w:rsidR="00986924">
        <w:rPr>
          <w:sz w:val="28"/>
          <w:szCs w:val="28"/>
        </w:rPr>
        <w:t>third sector /charitable organisation workers (</w:t>
      </w:r>
      <w:r w:rsidR="00986924" w:rsidRPr="00C64FD4">
        <w:rPr>
          <w:i/>
          <w:sz w:val="28"/>
          <w:szCs w:val="28"/>
        </w:rPr>
        <w:t>t</w:t>
      </w:r>
      <w:r w:rsidR="00986924">
        <w:rPr>
          <w:sz w:val="28"/>
          <w:szCs w:val="28"/>
        </w:rPr>
        <w:t xml:space="preserve"> = 4.43</w:t>
      </w:r>
      <w:r w:rsidR="00C64FD4">
        <w:rPr>
          <w:sz w:val="28"/>
          <w:szCs w:val="28"/>
        </w:rPr>
        <w:t xml:space="preserve">, </w:t>
      </w:r>
      <w:r w:rsidR="00986924" w:rsidRPr="00C64FD4">
        <w:rPr>
          <w:i/>
          <w:sz w:val="28"/>
          <w:szCs w:val="28"/>
        </w:rPr>
        <w:t>df</w:t>
      </w:r>
      <w:r w:rsidR="006A7269">
        <w:rPr>
          <w:i/>
          <w:sz w:val="28"/>
          <w:szCs w:val="28"/>
        </w:rPr>
        <w:t xml:space="preserve"> </w:t>
      </w:r>
      <w:r w:rsidR="00986924">
        <w:rPr>
          <w:sz w:val="28"/>
          <w:szCs w:val="28"/>
        </w:rPr>
        <w:t>=</w:t>
      </w:r>
      <w:r w:rsidR="006A7269">
        <w:rPr>
          <w:sz w:val="28"/>
          <w:szCs w:val="28"/>
        </w:rPr>
        <w:t xml:space="preserve"> </w:t>
      </w:r>
      <w:r w:rsidR="00986924">
        <w:rPr>
          <w:sz w:val="28"/>
          <w:szCs w:val="28"/>
        </w:rPr>
        <w:t xml:space="preserve">71; </w:t>
      </w:r>
      <w:r w:rsidR="00986924" w:rsidRPr="00C64FD4">
        <w:rPr>
          <w:i/>
          <w:sz w:val="28"/>
          <w:szCs w:val="28"/>
        </w:rPr>
        <w:t>p</w:t>
      </w:r>
      <w:r w:rsidR="00986924">
        <w:rPr>
          <w:sz w:val="28"/>
          <w:szCs w:val="28"/>
        </w:rPr>
        <w:t xml:space="preserve"> &lt; .001) </w:t>
      </w:r>
      <w:r w:rsidR="009F5FB1">
        <w:rPr>
          <w:sz w:val="28"/>
          <w:szCs w:val="28"/>
        </w:rPr>
        <w:t>scored above the overall mean</w:t>
      </w:r>
      <w:r w:rsidR="0038452E">
        <w:rPr>
          <w:sz w:val="28"/>
          <w:szCs w:val="28"/>
        </w:rPr>
        <w:t>.</w:t>
      </w:r>
    </w:p>
    <w:p w14:paraId="0098E653" w14:textId="77777777" w:rsidR="009F5FB1" w:rsidRDefault="009F5FB1" w:rsidP="005724EF">
      <w:pPr>
        <w:spacing w:after="0"/>
        <w:rPr>
          <w:sz w:val="28"/>
          <w:szCs w:val="28"/>
        </w:rPr>
      </w:pPr>
    </w:p>
    <w:p w14:paraId="04C8BD05" w14:textId="7EE206B0" w:rsidR="00646EBC" w:rsidRDefault="005422D6" w:rsidP="005724EF">
      <w:pPr>
        <w:spacing w:after="0"/>
        <w:rPr>
          <w:sz w:val="28"/>
          <w:szCs w:val="28"/>
        </w:rPr>
      </w:pPr>
      <w:r>
        <w:rPr>
          <w:sz w:val="28"/>
          <w:szCs w:val="28"/>
        </w:rPr>
        <w:t xml:space="preserve">Gender differences for </w:t>
      </w:r>
      <w:r w:rsidR="00135356">
        <w:rPr>
          <w:sz w:val="28"/>
          <w:szCs w:val="28"/>
        </w:rPr>
        <w:t>the PPW</w:t>
      </w:r>
      <w:r w:rsidR="006F57D5">
        <w:rPr>
          <w:sz w:val="28"/>
          <w:szCs w:val="28"/>
        </w:rPr>
        <w:t>WM</w:t>
      </w:r>
      <w:r w:rsidR="00135356">
        <w:rPr>
          <w:sz w:val="28"/>
          <w:szCs w:val="28"/>
        </w:rPr>
        <w:t xml:space="preserve"> </w:t>
      </w:r>
      <w:r w:rsidR="001104CC">
        <w:rPr>
          <w:sz w:val="28"/>
          <w:szCs w:val="28"/>
        </w:rPr>
        <w:t>and SWEMWBS</w:t>
      </w:r>
      <w:r>
        <w:rPr>
          <w:sz w:val="28"/>
          <w:szCs w:val="28"/>
        </w:rPr>
        <w:t xml:space="preserve"> </w:t>
      </w:r>
      <w:r w:rsidR="00135356">
        <w:rPr>
          <w:sz w:val="28"/>
          <w:szCs w:val="28"/>
        </w:rPr>
        <w:t xml:space="preserve">were not statistically significant. </w:t>
      </w:r>
      <w:r w:rsidR="00E23FAC">
        <w:rPr>
          <w:sz w:val="28"/>
          <w:szCs w:val="28"/>
        </w:rPr>
        <w:t xml:space="preserve">Similarly, there </w:t>
      </w:r>
      <w:r w:rsidR="00135356">
        <w:rPr>
          <w:sz w:val="28"/>
          <w:szCs w:val="28"/>
        </w:rPr>
        <w:t xml:space="preserve">were no statistical differences </w:t>
      </w:r>
      <w:r w:rsidR="00672B10">
        <w:rPr>
          <w:sz w:val="28"/>
          <w:szCs w:val="28"/>
        </w:rPr>
        <w:t>f</w:t>
      </w:r>
      <w:r w:rsidR="00AE7587">
        <w:rPr>
          <w:sz w:val="28"/>
          <w:szCs w:val="28"/>
        </w:rPr>
        <w:t>or sexual orientation</w:t>
      </w:r>
      <w:r w:rsidR="00672B10">
        <w:rPr>
          <w:sz w:val="28"/>
          <w:szCs w:val="28"/>
        </w:rPr>
        <w:t>.</w:t>
      </w:r>
    </w:p>
    <w:p w14:paraId="24082B81" w14:textId="77777777" w:rsidR="007703FB" w:rsidRDefault="007703FB" w:rsidP="003C0285">
      <w:pPr>
        <w:rPr>
          <w:sz w:val="28"/>
          <w:szCs w:val="28"/>
        </w:rPr>
      </w:pPr>
    </w:p>
    <w:p w14:paraId="6879CC29" w14:textId="77777777" w:rsidR="00C84C78" w:rsidRDefault="003C0285" w:rsidP="003C0285">
      <w:pPr>
        <w:rPr>
          <w:sz w:val="28"/>
          <w:szCs w:val="28"/>
        </w:rPr>
      </w:pPr>
      <w:r w:rsidRPr="004628E6">
        <w:rPr>
          <w:sz w:val="28"/>
          <w:szCs w:val="28"/>
        </w:rPr>
        <w:t>The overall differences</w:t>
      </w:r>
      <w:r w:rsidR="00C633CD" w:rsidRPr="004628E6">
        <w:rPr>
          <w:sz w:val="28"/>
          <w:szCs w:val="28"/>
        </w:rPr>
        <w:t xml:space="preserve"> between </w:t>
      </w:r>
      <w:r w:rsidR="005422D6" w:rsidRPr="004628E6">
        <w:rPr>
          <w:sz w:val="28"/>
          <w:szCs w:val="28"/>
        </w:rPr>
        <w:t xml:space="preserve">ethnic </w:t>
      </w:r>
      <w:r w:rsidR="00C633CD" w:rsidRPr="004628E6">
        <w:rPr>
          <w:sz w:val="28"/>
          <w:szCs w:val="28"/>
        </w:rPr>
        <w:t>groups</w:t>
      </w:r>
      <w:r w:rsidRPr="004628E6">
        <w:rPr>
          <w:sz w:val="28"/>
          <w:szCs w:val="28"/>
        </w:rPr>
        <w:t xml:space="preserve"> were statistically significant </w:t>
      </w:r>
      <w:r w:rsidR="005422D6" w:rsidRPr="004628E6">
        <w:rPr>
          <w:sz w:val="28"/>
          <w:szCs w:val="28"/>
        </w:rPr>
        <w:t xml:space="preserve">(PPWWM, </w:t>
      </w:r>
      <w:r w:rsidRPr="00C64FD4">
        <w:rPr>
          <w:i/>
          <w:sz w:val="28"/>
          <w:szCs w:val="28"/>
        </w:rPr>
        <w:t>F</w:t>
      </w:r>
      <w:r w:rsidR="00A26B10" w:rsidRPr="004628E6">
        <w:rPr>
          <w:sz w:val="28"/>
          <w:szCs w:val="28"/>
          <w:vertAlign w:val="subscript"/>
        </w:rPr>
        <w:t>(</w:t>
      </w:r>
      <w:r w:rsidRPr="004628E6">
        <w:rPr>
          <w:sz w:val="28"/>
          <w:szCs w:val="28"/>
          <w:vertAlign w:val="subscript"/>
        </w:rPr>
        <w:t>4,1617)</w:t>
      </w:r>
      <w:r w:rsidR="006A7269">
        <w:rPr>
          <w:sz w:val="28"/>
          <w:szCs w:val="28"/>
          <w:vertAlign w:val="subscript"/>
        </w:rPr>
        <w:t xml:space="preserve"> </w:t>
      </w:r>
      <w:r w:rsidRPr="004628E6">
        <w:rPr>
          <w:sz w:val="28"/>
          <w:szCs w:val="28"/>
        </w:rPr>
        <w:t xml:space="preserve">= </w:t>
      </w:r>
      <w:r w:rsidR="00A26B10" w:rsidRPr="004628E6">
        <w:rPr>
          <w:sz w:val="28"/>
          <w:szCs w:val="28"/>
        </w:rPr>
        <w:t>2</w:t>
      </w:r>
      <w:r w:rsidRPr="0025512C">
        <w:rPr>
          <w:sz w:val="28"/>
          <w:szCs w:val="28"/>
        </w:rPr>
        <w:t>.89</w:t>
      </w:r>
      <w:r w:rsidRPr="001D1319">
        <w:rPr>
          <w:sz w:val="28"/>
          <w:szCs w:val="28"/>
        </w:rPr>
        <w:t>; p&lt;.021</w:t>
      </w:r>
      <w:r w:rsidR="005422D6" w:rsidRPr="001D1319">
        <w:rPr>
          <w:sz w:val="28"/>
          <w:szCs w:val="28"/>
        </w:rPr>
        <w:t>: SWEMWBS,</w:t>
      </w:r>
      <w:r w:rsidR="006F422E" w:rsidRPr="001D1319">
        <w:rPr>
          <w:sz w:val="28"/>
          <w:szCs w:val="28"/>
        </w:rPr>
        <w:t xml:space="preserve"> </w:t>
      </w:r>
      <w:r w:rsidR="006F422E" w:rsidRPr="00C64FD4">
        <w:rPr>
          <w:i/>
          <w:sz w:val="28"/>
          <w:szCs w:val="28"/>
        </w:rPr>
        <w:t>F</w:t>
      </w:r>
      <w:r w:rsidR="006F422E" w:rsidRPr="001D1319">
        <w:rPr>
          <w:sz w:val="28"/>
          <w:szCs w:val="28"/>
          <w:vertAlign w:val="subscript"/>
        </w:rPr>
        <w:t>(4,1617</w:t>
      </w:r>
      <w:r w:rsidR="00FB76B9" w:rsidRPr="001D1319">
        <w:rPr>
          <w:sz w:val="28"/>
          <w:szCs w:val="28"/>
          <w:vertAlign w:val="subscript"/>
        </w:rPr>
        <w:t>)</w:t>
      </w:r>
      <w:r w:rsidR="00FB76B9" w:rsidRPr="001D1319">
        <w:rPr>
          <w:sz w:val="28"/>
          <w:szCs w:val="28"/>
        </w:rPr>
        <w:t xml:space="preserve"> =</w:t>
      </w:r>
      <w:r w:rsidR="006F422E" w:rsidRPr="001D1319">
        <w:rPr>
          <w:sz w:val="28"/>
          <w:szCs w:val="28"/>
        </w:rPr>
        <w:t xml:space="preserve"> </w:t>
      </w:r>
      <w:r w:rsidR="004628E6" w:rsidRPr="0072473C">
        <w:rPr>
          <w:sz w:val="28"/>
          <w:szCs w:val="28"/>
        </w:rPr>
        <w:t>3.82</w:t>
      </w:r>
      <w:r w:rsidR="006F422E" w:rsidRPr="004628E6">
        <w:rPr>
          <w:sz w:val="28"/>
          <w:szCs w:val="28"/>
        </w:rPr>
        <w:t xml:space="preserve">; </w:t>
      </w:r>
      <w:r w:rsidR="006F422E" w:rsidRPr="00C64FD4">
        <w:rPr>
          <w:i/>
          <w:sz w:val="28"/>
          <w:szCs w:val="28"/>
        </w:rPr>
        <w:t>p</w:t>
      </w:r>
      <w:r w:rsidR="006A7269">
        <w:rPr>
          <w:i/>
          <w:sz w:val="28"/>
          <w:szCs w:val="28"/>
        </w:rPr>
        <w:t xml:space="preserve"> </w:t>
      </w:r>
      <w:r w:rsidR="006F422E" w:rsidRPr="004628E6">
        <w:rPr>
          <w:sz w:val="28"/>
          <w:szCs w:val="28"/>
        </w:rPr>
        <w:t>&lt;.0</w:t>
      </w:r>
      <w:r w:rsidR="004628E6" w:rsidRPr="0072473C">
        <w:rPr>
          <w:sz w:val="28"/>
          <w:szCs w:val="28"/>
        </w:rPr>
        <w:t>04</w:t>
      </w:r>
      <w:r w:rsidRPr="004628E6">
        <w:rPr>
          <w:sz w:val="28"/>
          <w:szCs w:val="28"/>
        </w:rPr>
        <w:t>).</w:t>
      </w:r>
      <w:r w:rsidR="007D471B" w:rsidRPr="004628E6">
        <w:rPr>
          <w:sz w:val="28"/>
          <w:szCs w:val="28"/>
        </w:rPr>
        <w:t xml:space="preserve"> </w:t>
      </w:r>
      <w:r w:rsidR="00C84C78">
        <w:rPr>
          <w:sz w:val="28"/>
          <w:szCs w:val="28"/>
        </w:rPr>
        <w:t xml:space="preserve">For the PPWWM and SWEMBS Asian groups were above the mean (t = 2.18, df = 65; p=.042 and t = 2.0, df = 65; p = .048). </w:t>
      </w:r>
      <w:r w:rsidR="00FB76B9">
        <w:rPr>
          <w:sz w:val="28"/>
          <w:szCs w:val="28"/>
        </w:rPr>
        <w:t>No other group</w:t>
      </w:r>
      <w:r w:rsidR="006B1FC9">
        <w:rPr>
          <w:sz w:val="28"/>
          <w:szCs w:val="28"/>
        </w:rPr>
        <w:t xml:space="preserve"> differences were significant.</w:t>
      </w:r>
    </w:p>
    <w:p w14:paraId="239A28B6" w14:textId="77777777" w:rsidR="00A26B10" w:rsidRDefault="00381D76" w:rsidP="003C0285">
      <w:pPr>
        <w:rPr>
          <w:sz w:val="28"/>
          <w:szCs w:val="28"/>
        </w:rPr>
      </w:pPr>
      <w:r>
        <w:rPr>
          <w:sz w:val="28"/>
          <w:szCs w:val="28"/>
        </w:rPr>
        <w:t>Those reporting disabilities</w:t>
      </w:r>
      <w:r w:rsidR="00A26B10" w:rsidRPr="004628E6">
        <w:rPr>
          <w:sz w:val="28"/>
          <w:szCs w:val="28"/>
        </w:rPr>
        <w:t xml:space="preserve"> (17.1% of the sample) </w:t>
      </w:r>
      <w:r w:rsidR="007F2B39" w:rsidRPr="004628E6">
        <w:rPr>
          <w:sz w:val="28"/>
          <w:szCs w:val="28"/>
        </w:rPr>
        <w:t xml:space="preserve">had significantly lower </w:t>
      </w:r>
      <w:r w:rsidR="00685F6C">
        <w:rPr>
          <w:sz w:val="28"/>
          <w:szCs w:val="28"/>
        </w:rPr>
        <w:t>wellbeing on</w:t>
      </w:r>
      <w:r w:rsidR="007F2B39" w:rsidRPr="004628E6">
        <w:rPr>
          <w:sz w:val="28"/>
          <w:szCs w:val="28"/>
        </w:rPr>
        <w:t xml:space="preserve"> the PPWWM and the SWEMWBS </w:t>
      </w:r>
      <w:r w:rsidR="00A26B10" w:rsidRPr="004628E6">
        <w:rPr>
          <w:sz w:val="28"/>
          <w:szCs w:val="28"/>
        </w:rPr>
        <w:t>(</w:t>
      </w:r>
      <w:r w:rsidR="005422D6" w:rsidRPr="004628E6">
        <w:rPr>
          <w:sz w:val="28"/>
          <w:szCs w:val="28"/>
        </w:rPr>
        <w:t>PPWWM</w:t>
      </w:r>
      <w:r w:rsidR="006F422E" w:rsidRPr="004628E6">
        <w:rPr>
          <w:sz w:val="28"/>
          <w:szCs w:val="28"/>
        </w:rPr>
        <w:t>,</w:t>
      </w:r>
      <w:r w:rsidR="005422D6" w:rsidRPr="004628E6">
        <w:rPr>
          <w:sz w:val="28"/>
          <w:szCs w:val="28"/>
        </w:rPr>
        <w:t xml:space="preserve"> </w:t>
      </w:r>
      <w:bookmarkStart w:id="5" w:name="_Hlk24102433"/>
      <w:r w:rsidR="00A26B10" w:rsidRPr="00C64FD4">
        <w:rPr>
          <w:i/>
          <w:sz w:val="28"/>
          <w:szCs w:val="28"/>
        </w:rPr>
        <w:t>F</w:t>
      </w:r>
      <w:r w:rsidR="00A26B10" w:rsidRPr="004628E6">
        <w:rPr>
          <w:sz w:val="28"/>
          <w:szCs w:val="28"/>
          <w:vertAlign w:val="subscript"/>
        </w:rPr>
        <w:t>(1,1630)</w:t>
      </w:r>
      <w:r w:rsidR="006A7269">
        <w:rPr>
          <w:sz w:val="28"/>
          <w:szCs w:val="28"/>
          <w:vertAlign w:val="subscript"/>
        </w:rPr>
        <w:t xml:space="preserve"> </w:t>
      </w:r>
      <w:r w:rsidR="00A26B10" w:rsidRPr="004628E6">
        <w:rPr>
          <w:sz w:val="28"/>
          <w:szCs w:val="28"/>
        </w:rPr>
        <w:t>= 16.13; p&lt;.0001</w:t>
      </w:r>
      <w:r w:rsidR="005422D6" w:rsidRPr="004628E6">
        <w:rPr>
          <w:sz w:val="28"/>
          <w:szCs w:val="28"/>
        </w:rPr>
        <w:t xml:space="preserve">: </w:t>
      </w:r>
      <w:bookmarkEnd w:id="5"/>
      <w:r w:rsidR="005422D6" w:rsidRPr="004628E6">
        <w:rPr>
          <w:sz w:val="28"/>
          <w:szCs w:val="28"/>
        </w:rPr>
        <w:t xml:space="preserve">SWEMWBS, </w:t>
      </w:r>
      <w:r w:rsidR="006F422E" w:rsidRPr="00C64FD4">
        <w:rPr>
          <w:i/>
          <w:sz w:val="28"/>
          <w:szCs w:val="28"/>
        </w:rPr>
        <w:t>F</w:t>
      </w:r>
      <w:r w:rsidR="006F422E" w:rsidRPr="004628E6">
        <w:rPr>
          <w:sz w:val="28"/>
          <w:szCs w:val="28"/>
          <w:vertAlign w:val="subscript"/>
        </w:rPr>
        <w:t>(1,1630)</w:t>
      </w:r>
      <w:r w:rsidR="006A7269">
        <w:rPr>
          <w:sz w:val="28"/>
          <w:szCs w:val="28"/>
          <w:vertAlign w:val="subscript"/>
        </w:rPr>
        <w:t xml:space="preserve"> </w:t>
      </w:r>
      <w:r w:rsidR="006F422E" w:rsidRPr="004628E6">
        <w:rPr>
          <w:sz w:val="28"/>
          <w:szCs w:val="28"/>
        </w:rPr>
        <w:t xml:space="preserve">= </w:t>
      </w:r>
      <w:r w:rsidR="00696E8B">
        <w:rPr>
          <w:sz w:val="28"/>
          <w:szCs w:val="28"/>
        </w:rPr>
        <w:t>19.55</w:t>
      </w:r>
      <w:r w:rsidR="006F422E" w:rsidRPr="004628E6">
        <w:rPr>
          <w:sz w:val="28"/>
          <w:szCs w:val="28"/>
        </w:rPr>
        <w:t xml:space="preserve">; </w:t>
      </w:r>
      <w:r w:rsidR="006F422E" w:rsidRPr="00C64FD4">
        <w:rPr>
          <w:i/>
          <w:sz w:val="28"/>
          <w:szCs w:val="28"/>
        </w:rPr>
        <w:t>p</w:t>
      </w:r>
      <w:r w:rsidR="006F422E" w:rsidRPr="004628E6">
        <w:rPr>
          <w:sz w:val="28"/>
          <w:szCs w:val="28"/>
        </w:rPr>
        <w:t>&lt;.0001</w:t>
      </w:r>
      <w:r w:rsidR="00AE7587">
        <w:rPr>
          <w:sz w:val="28"/>
          <w:szCs w:val="28"/>
        </w:rPr>
        <w:t>)</w:t>
      </w:r>
      <w:r w:rsidR="00672B10">
        <w:rPr>
          <w:sz w:val="28"/>
          <w:szCs w:val="28"/>
        </w:rPr>
        <w:t>.</w:t>
      </w:r>
    </w:p>
    <w:p w14:paraId="6C1887CF" w14:textId="77777777" w:rsidR="00672B10" w:rsidRDefault="00672B10" w:rsidP="003C0285">
      <w:pPr>
        <w:rPr>
          <w:sz w:val="28"/>
          <w:szCs w:val="28"/>
        </w:rPr>
      </w:pPr>
    </w:p>
    <w:p w14:paraId="041F0B29" w14:textId="77777777" w:rsidR="006F57D5" w:rsidRDefault="00C074E8" w:rsidP="003C0285">
      <w:pPr>
        <w:rPr>
          <w:sz w:val="28"/>
          <w:szCs w:val="28"/>
        </w:rPr>
      </w:pPr>
      <w:r>
        <w:rPr>
          <w:sz w:val="28"/>
          <w:szCs w:val="28"/>
        </w:rPr>
        <w:t>Correl</w:t>
      </w:r>
      <w:r w:rsidR="004126EA">
        <w:rPr>
          <w:sz w:val="28"/>
          <w:szCs w:val="28"/>
        </w:rPr>
        <w:t>a</w:t>
      </w:r>
      <w:r>
        <w:rPr>
          <w:sz w:val="28"/>
          <w:szCs w:val="28"/>
        </w:rPr>
        <w:t xml:space="preserve">tions for key variables </w:t>
      </w:r>
      <w:r w:rsidR="006F57D5">
        <w:rPr>
          <w:sz w:val="28"/>
          <w:szCs w:val="28"/>
        </w:rPr>
        <w:t xml:space="preserve">with the PPWWM </w:t>
      </w:r>
      <w:r>
        <w:rPr>
          <w:sz w:val="28"/>
          <w:szCs w:val="28"/>
        </w:rPr>
        <w:t xml:space="preserve">are shown in </w:t>
      </w:r>
      <w:r w:rsidR="004126EA">
        <w:rPr>
          <w:sz w:val="28"/>
          <w:szCs w:val="28"/>
        </w:rPr>
        <w:t xml:space="preserve">Table </w:t>
      </w:r>
      <w:r w:rsidR="006004E4">
        <w:rPr>
          <w:sz w:val="28"/>
          <w:szCs w:val="28"/>
        </w:rPr>
        <w:t>4</w:t>
      </w:r>
      <w:r w:rsidR="006F57D5">
        <w:rPr>
          <w:sz w:val="28"/>
          <w:szCs w:val="28"/>
        </w:rPr>
        <w:t xml:space="preserve">. </w:t>
      </w:r>
      <w:r w:rsidR="0072473C">
        <w:rPr>
          <w:sz w:val="28"/>
          <w:szCs w:val="28"/>
        </w:rPr>
        <w:t>No</w:t>
      </w:r>
      <w:r w:rsidR="0043652D">
        <w:rPr>
          <w:sz w:val="28"/>
          <w:szCs w:val="28"/>
        </w:rPr>
        <w:t>teworthy associations</w:t>
      </w:r>
      <w:r w:rsidR="006F57D5">
        <w:rPr>
          <w:sz w:val="28"/>
          <w:szCs w:val="28"/>
        </w:rPr>
        <w:t xml:space="preserve"> </w:t>
      </w:r>
      <w:r w:rsidR="0043652D">
        <w:rPr>
          <w:sz w:val="28"/>
          <w:szCs w:val="28"/>
        </w:rPr>
        <w:t>are those with</w:t>
      </w:r>
      <w:r w:rsidR="006F57D5">
        <w:rPr>
          <w:sz w:val="28"/>
          <w:szCs w:val="28"/>
        </w:rPr>
        <w:t xml:space="preserve"> </w:t>
      </w:r>
      <w:r w:rsidR="0043652D">
        <w:rPr>
          <w:sz w:val="28"/>
          <w:szCs w:val="28"/>
        </w:rPr>
        <w:t xml:space="preserve">the questions about </w:t>
      </w:r>
      <w:r w:rsidR="006F57D5">
        <w:rPr>
          <w:sz w:val="28"/>
          <w:szCs w:val="28"/>
        </w:rPr>
        <w:t>experiences of harassment, especially by man</w:t>
      </w:r>
      <w:r w:rsidR="0043652D">
        <w:rPr>
          <w:sz w:val="28"/>
          <w:szCs w:val="28"/>
        </w:rPr>
        <w:t>a</w:t>
      </w:r>
      <w:r w:rsidR="006F57D5">
        <w:rPr>
          <w:sz w:val="28"/>
          <w:szCs w:val="28"/>
        </w:rPr>
        <w:t>gers</w:t>
      </w:r>
      <w:r w:rsidR="0027369A">
        <w:rPr>
          <w:sz w:val="28"/>
          <w:szCs w:val="28"/>
        </w:rPr>
        <w:t xml:space="preserve"> (19.0% reported experiencing harassment or bullying)</w:t>
      </w:r>
      <w:r w:rsidR="0043652D">
        <w:rPr>
          <w:sz w:val="28"/>
          <w:szCs w:val="28"/>
        </w:rPr>
        <w:t>,</w:t>
      </w:r>
      <w:r w:rsidR="006F57D5">
        <w:rPr>
          <w:sz w:val="28"/>
          <w:szCs w:val="28"/>
        </w:rPr>
        <w:t xml:space="preserve"> feeling depressed </w:t>
      </w:r>
      <w:r w:rsidR="001D18F5">
        <w:rPr>
          <w:sz w:val="28"/>
          <w:szCs w:val="28"/>
        </w:rPr>
        <w:t>(43.3</w:t>
      </w:r>
      <w:r w:rsidR="007B6EE0">
        <w:rPr>
          <w:sz w:val="28"/>
          <w:szCs w:val="28"/>
        </w:rPr>
        <w:t>% reported feeling depressed ‘</w:t>
      </w:r>
      <w:r w:rsidR="007B6EE0" w:rsidRPr="007B6EE0">
        <w:rPr>
          <w:i/>
          <w:sz w:val="28"/>
          <w:szCs w:val="28"/>
        </w:rPr>
        <w:t>some of the time</w:t>
      </w:r>
      <w:r w:rsidR="007B6EE0">
        <w:rPr>
          <w:i/>
          <w:sz w:val="28"/>
          <w:szCs w:val="28"/>
        </w:rPr>
        <w:t>’</w:t>
      </w:r>
      <w:r w:rsidR="007B6EE0" w:rsidRPr="007B6EE0">
        <w:rPr>
          <w:i/>
          <w:sz w:val="28"/>
          <w:szCs w:val="28"/>
        </w:rPr>
        <w:t xml:space="preserve"> </w:t>
      </w:r>
      <w:r w:rsidR="007B6EE0" w:rsidRPr="007B6EE0">
        <w:rPr>
          <w:sz w:val="28"/>
          <w:szCs w:val="28"/>
        </w:rPr>
        <w:t>or</w:t>
      </w:r>
      <w:r w:rsidR="007B6EE0" w:rsidRPr="007B6EE0">
        <w:rPr>
          <w:i/>
          <w:sz w:val="28"/>
          <w:szCs w:val="28"/>
        </w:rPr>
        <w:t xml:space="preserve"> </w:t>
      </w:r>
      <w:r w:rsidR="007B6EE0">
        <w:rPr>
          <w:i/>
          <w:sz w:val="28"/>
          <w:szCs w:val="28"/>
        </w:rPr>
        <w:t>‘</w:t>
      </w:r>
      <w:r w:rsidR="007B6EE0" w:rsidRPr="007B6EE0">
        <w:rPr>
          <w:i/>
          <w:sz w:val="28"/>
          <w:szCs w:val="28"/>
        </w:rPr>
        <w:t>ofte</w:t>
      </w:r>
      <w:r w:rsidR="007B6EE0">
        <w:rPr>
          <w:i/>
          <w:sz w:val="28"/>
          <w:szCs w:val="28"/>
        </w:rPr>
        <w:t>n’</w:t>
      </w:r>
      <w:r w:rsidR="007B6EE0">
        <w:rPr>
          <w:sz w:val="28"/>
          <w:szCs w:val="28"/>
        </w:rPr>
        <w:t xml:space="preserve">) </w:t>
      </w:r>
      <w:r w:rsidR="006F57D5">
        <w:rPr>
          <w:sz w:val="28"/>
          <w:szCs w:val="28"/>
        </w:rPr>
        <w:t xml:space="preserve">or a failure </w:t>
      </w:r>
      <w:r w:rsidR="007B6EE0">
        <w:rPr>
          <w:sz w:val="28"/>
          <w:szCs w:val="28"/>
        </w:rPr>
        <w:t>(</w:t>
      </w:r>
      <w:r w:rsidR="001D18F5">
        <w:rPr>
          <w:sz w:val="28"/>
          <w:szCs w:val="28"/>
        </w:rPr>
        <w:t>42.3</w:t>
      </w:r>
      <w:r w:rsidR="007B6EE0">
        <w:rPr>
          <w:sz w:val="28"/>
          <w:szCs w:val="28"/>
        </w:rPr>
        <w:t>% reported feeling a failure ‘</w:t>
      </w:r>
      <w:r w:rsidR="007B6EE0" w:rsidRPr="007B6EE0">
        <w:rPr>
          <w:i/>
          <w:sz w:val="28"/>
          <w:szCs w:val="28"/>
        </w:rPr>
        <w:t>some of the time</w:t>
      </w:r>
      <w:r w:rsidR="007B6EE0">
        <w:rPr>
          <w:i/>
          <w:sz w:val="28"/>
          <w:szCs w:val="28"/>
        </w:rPr>
        <w:t>’</w:t>
      </w:r>
      <w:r w:rsidR="007B6EE0" w:rsidRPr="007B6EE0">
        <w:rPr>
          <w:i/>
          <w:sz w:val="28"/>
          <w:szCs w:val="28"/>
        </w:rPr>
        <w:t xml:space="preserve"> </w:t>
      </w:r>
      <w:r w:rsidR="007B6EE0" w:rsidRPr="007B6EE0">
        <w:rPr>
          <w:sz w:val="28"/>
          <w:szCs w:val="28"/>
        </w:rPr>
        <w:t>or</w:t>
      </w:r>
      <w:r w:rsidR="007B6EE0" w:rsidRPr="007B6EE0">
        <w:rPr>
          <w:i/>
          <w:sz w:val="28"/>
          <w:szCs w:val="28"/>
        </w:rPr>
        <w:t xml:space="preserve"> </w:t>
      </w:r>
      <w:r w:rsidR="007B6EE0">
        <w:rPr>
          <w:i/>
          <w:sz w:val="28"/>
          <w:szCs w:val="28"/>
        </w:rPr>
        <w:t>‘</w:t>
      </w:r>
      <w:r w:rsidR="007B6EE0" w:rsidRPr="007B6EE0">
        <w:rPr>
          <w:i/>
          <w:sz w:val="28"/>
          <w:szCs w:val="28"/>
        </w:rPr>
        <w:t>ofte</w:t>
      </w:r>
      <w:r w:rsidR="007B6EE0">
        <w:rPr>
          <w:i/>
          <w:sz w:val="28"/>
          <w:szCs w:val="28"/>
        </w:rPr>
        <w:t>n’</w:t>
      </w:r>
      <w:r w:rsidR="007B6EE0">
        <w:rPr>
          <w:sz w:val="28"/>
          <w:szCs w:val="28"/>
        </w:rPr>
        <w:t xml:space="preserve">) </w:t>
      </w:r>
      <w:r w:rsidR="006F57D5">
        <w:rPr>
          <w:sz w:val="28"/>
          <w:szCs w:val="28"/>
        </w:rPr>
        <w:t>and wanting to leave the NHS</w:t>
      </w:r>
      <w:r w:rsidR="001D18F5">
        <w:rPr>
          <w:sz w:val="28"/>
          <w:szCs w:val="28"/>
        </w:rPr>
        <w:t xml:space="preserve"> (74.7% reported wanting to leave ‘</w:t>
      </w:r>
      <w:r w:rsidR="001D18F5" w:rsidRPr="001D18F5">
        <w:rPr>
          <w:i/>
          <w:sz w:val="28"/>
          <w:szCs w:val="28"/>
        </w:rPr>
        <w:t>at least once or twice a year</w:t>
      </w:r>
      <w:r w:rsidR="001D18F5">
        <w:rPr>
          <w:i/>
          <w:sz w:val="28"/>
          <w:szCs w:val="28"/>
        </w:rPr>
        <w:t>’</w:t>
      </w:r>
      <w:r w:rsidR="001D18F5">
        <w:rPr>
          <w:sz w:val="28"/>
          <w:szCs w:val="28"/>
        </w:rPr>
        <w:t>)</w:t>
      </w:r>
      <w:r w:rsidR="006F57D5">
        <w:rPr>
          <w:sz w:val="28"/>
          <w:szCs w:val="28"/>
        </w:rPr>
        <w:t xml:space="preserve">. Although not large, there were significant </w:t>
      </w:r>
      <w:r w:rsidR="006F57D5" w:rsidRPr="006F57D5">
        <w:rPr>
          <w:i/>
          <w:iCs/>
          <w:sz w:val="28"/>
          <w:szCs w:val="28"/>
        </w:rPr>
        <w:t xml:space="preserve">negative </w:t>
      </w:r>
      <w:r w:rsidR="006F57D5">
        <w:rPr>
          <w:sz w:val="28"/>
          <w:szCs w:val="28"/>
        </w:rPr>
        <w:t>correlations with age and pay scale</w:t>
      </w:r>
      <w:r w:rsidR="000E3A81">
        <w:rPr>
          <w:sz w:val="28"/>
          <w:szCs w:val="28"/>
        </w:rPr>
        <w:t xml:space="preserve"> and with years served in the current post.</w:t>
      </w:r>
    </w:p>
    <w:p w14:paraId="35FBDA38" w14:textId="77777777" w:rsidR="00805DE4" w:rsidRDefault="00805DE4" w:rsidP="003C0285">
      <w:pPr>
        <w:rPr>
          <w:sz w:val="28"/>
          <w:szCs w:val="28"/>
        </w:rPr>
      </w:pPr>
    </w:p>
    <w:p w14:paraId="19EF6446" w14:textId="77777777" w:rsidR="00805DE4" w:rsidRPr="00805DE4" w:rsidRDefault="00805DE4" w:rsidP="00805DE4">
      <w:pPr>
        <w:jc w:val="center"/>
        <w:rPr>
          <w:i/>
          <w:iCs/>
          <w:sz w:val="28"/>
          <w:szCs w:val="28"/>
        </w:rPr>
      </w:pPr>
      <w:r w:rsidRPr="00805DE4">
        <w:rPr>
          <w:i/>
          <w:iCs/>
          <w:sz w:val="28"/>
          <w:szCs w:val="28"/>
        </w:rPr>
        <w:t>Table 4 about here</w:t>
      </w:r>
    </w:p>
    <w:p w14:paraId="0FE68150" w14:textId="77777777" w:rsidR="000E3A81" w:rsidRDefault="000E3A81" w:rsidP="003C0285">
      <w:pPr>
        <w:rPr>
          <w:sz w:val="28"/>
          <w:szCs w:val="28"/>
        </w:rPr>
      </w:pPr>
      <w:r>
        <w:rPr>
          <w:sz w:val="28"/>
          <w:szCs w:val="28"/>
        </w:rPr>
        <w:t xml:space="preserve">Table </w:t>
      </w:r>
      <w:r w:rsidR="006004E4">
        <w:rPr>
          <w:sz w:val="28"/>
          <w:szCs w:val="28"/>
        </w:rPr>
        <w:t>5</w:t>
      </w:r>
      <w:r>
        <w:rPr>
          <w:sz w:val="28"/>
          <w:szCs w:val="28"/>
        </w:rPr>
        <w:t xml:space="preserve"> depicts the Varimax structure matrix </w:t>
      </w:r>
      <w:r w:rsidR="007C0FA5">
        <w:rPr>
          <w:sz w:val="28"/>
          <w:szCs w:val="28"/>
        </w:rPr>
        <w:t>for</w:t>
      </w:r>
      <w:r>
        <w:rPr>
          <w:sz w:val="28"/>
          <w:szCs w:val="28"/>
        </w:rPr>
        <w:t xml:space="preserve"> the factor analysis of the PPWWM</w:t>
      </w:r>
      <w:r w:rsidR="00A72F59">
        <w:rPr>
          <w:sz w:val="28"/>
          <w:szCs w:val="28"/>
        </w:rPr>
        <w:t xml:space="preserve">. </w:t>
      </w:r>
      <w:r w:rsidR="007968FE">
        <w:rPr>
          <w:sz w:val="28"/>
          <w:szCs w:val="28"/>
        </w:rPr>
        <w:t>F</w:t>
      </w:r>
      <w:r w:rsidR="00A72F59">
        <w:rPr>
          <w:sz w:val="28"/>
          <w:szCs w:val="28"/>
        </w:rPr>
        <w:t>actors with E</w:t>
      </w:r>
      <w:r w:rsidR="00DE42DE">
        <w:rPr>
          <w:sz w:val="28"/>
          <w:szCs w:val="28"/>
        </w:rPr>
        <w:t>igen vales &gt;1 gave a five factor solution.</w:t>
      </w:r>
    </w:p>
    <w:p w14:paraId="18FB902A" w14:textId="77777777" w:rsidR="007B6EE0" w:rsidRDefault="007B6EE0" w:rsidP="003C0285">
      <w:pPr>
        <w:rPr>
          <w:sz w:val="28"/>
          <w:szCs w:val="28"/>
        </w:rPr>
      </w:pPr>
    </w:p>
    <w:p w14:paraId="05D65448" w14:textId="77777777" w:rsidR="00805DE4" w:rsidRDefault="00805DE4" w:rsidP="003C0285">
      <w:pPr>
        <w:rPr>
          <w:sz w:val="28"/>
          <w:szCs w:val="28"/>
        </w:rPr>
      </w:pPr>
    </w:p>
    <w:p w14:paraId="0A6C0A67" w14:textId="77777777" w:rsidR="00805DE4" w:rsidRDefault="00805DE4" w:rsidP="00805DE4">
      <w:pPr>
        <w:jc w:val="center"/>
        <w:rPr>
          <w:i/>
          <w:iCs/>
          <w:sz w:val="28"/>
          <w:szCs w:val="28"/>
        </w:rPr>
      </w:pPr>
      <w:r w:rsidRPr="00805DE4">
        <w:rPr>
          <w:i/>
          <w:iCs/>
          <w:sz w:val="28"/>
          <w:szCs w:val="28"/>
        </w:rPr>
        <w:lastRenderedPageBreak/>
        <w:t>Table 5 about here</w:t>
      </w:r>
    </w:p>
    <w:p w14:paraId="6DD7C664" w14:textId="77777777" w:rsidR="001324AB" w:rsidRDefault="001324AB" w:rsidP="00805DE4">
      <w:pPr>
        <w:jc w:val="center"/>
        <w:rPr>
          <w:i/>
          <w:iCs/>
          <w:sz w:val="28"/>
          <w:szCs w:val="28"/>
        </w:rPr>
      </w:pPr>
    </w:p>
    <w:p w14:paraId="09E2D448" w14:textId="77777777" w:rsidR="00632AF6" w:rsidRDefault="00632AF6" w:rsidP="007D1968">
      <w:pPr>
        <w:spacing w:line="240" w:lineRule="auto"/>
        <w:rPr>
          <w:b/>
          <w:bCs/>
          <w:sz w:val="28"/>
          <w:szCs w:val="28"/>
        </w:rPr>
      </w:pPr>
      <w:r w:rsidRPr="00632AF6">
        <w:rPr>
          <w:b/>
          <w:bCs/>
          <w:sz w:val="28"/>
          <w:szCs w:val="28"/>
        </w:rPr>
        <w:t>Discussion</w:t>
      </w:r>
    </w:p>
    <w:p w14:paraId="5DF67BA3" w14:textId="274676C4" w:rsidR="00C074E8" w:rsidRPr="00BC5F3A" w:rsidRDefault="00BD474F" w:rsidP="007D1968">
      <w:pPr>
        <w:spacing w:line="240" w:lineRule="auto"/>
        <w:rPr>
          <w:sz w:val="28"/>
          <w:szCs w:val="28"/>
        </w:rPr>
      </w:pPr>
      <w:r>
        <w:rPr>
          <w:sz w:val="28"/>
          <w:szCs w:val="28"/>
        </w:rPr>
        <w:t xml:space="preserve">The current sample </w:t>
      </w:r>
      <w:r w:rsidR="00605EED">
        <w:rPr>
          <w:sz w:val="28"/>
          <w:szCs w:val="28"/>
        </w:rPr>
        <w:t xml:space="preserve">PPWWM </w:t>
      </w:r>
      <w:r>
        <w:rPr>
          <w:sz w:val="28"/>
          <w:szCs w:val="28"/>
        </w:rPr>
        <w:t xml:space="preserve">mean and standard deviation of </w:t>
      </w:r>
      <w:r w:rsidRPr="007D1968">
        <w:rPr>
          <w:sz w:val="28"/>
          <w:szCs w:val="28"/>
        </w:rPr>
        <w:t>91.88 (SD=17.55)</w:t>
      </w:r>
      <w:r>
        <w:rPr>
          <w:sz w:val="28"/>
          <w:szCs w:val="28"/>
        </w:rPr>
        <w:t xml:space="preserve"> </w:t>
      </w:r>
      <w:r w:rsidR="00C73EDE">
        <w:rPr>
          <w:sz w:val="28"/>
          <w:szCs w:val="28"/>
        </w:rPr>
        <w:t xml:space="preserve">and Cronbach’s </w:t>
      </w:r>
      <w:r w:rsidR="00A72F59">
        <w:rPr>
          <w:sz w:val="28"/>
          <w:szCs w:val="28"/>
        </w:rPr>
        <w:t>Alpha</w:t>
      </w:r>
      <w:r w:rsidR="00C73EDE">
        <w:rPr>
          <w:sz w:val="28"/>
          <w:szCs w:val="28"/>
        </w:rPr>
        <w:t xml:space="preserve"> </w:t>
      </w:r>
      <w:r w:rsidR="00605EED">
        <w:rPr>
          <w:sz w:val="28"/>
          <w:szCs w:val="28"/>
        </w:rPr>
        <w:t xml:space="preserve">of </w:t>
      </w:r>
      <w:r w:rsidR="00C73EDE">
        <w:rPr>
          <w:sz w:val="28"/>
          <w:szCs w:val="28"/>
        </w:rPr>
        <w:t>.92</w:t>
      </w:r>
      <w:r w:rsidR="00605EED">
        <w:rPr>
          <w:sz w:val="28"/>
          <w:szCs w:val="28"/>
        </w:rPr>
        <w:t xml:space="preserve"> </w:t>
      </w:r>
      <w:r w:rsidR="00C73EDE">
        <w:rPr>
          <w:sz w:val="28"/>
          <w:szCs w:val="28"/>
        </w:rPr>
        <w:t>correspond</w:t>
      </w:r>
      <w:r w:rsidR="00605EED">
        <w:rPr>
          <w:sz w:val="28"/>
          <w:szCs w:val="28"/>
        </w:rPr>
        <w:t xml:space="preserve"> with</w:t>
      </w:r>
      <w:r w:rsidR="00C73EDE">
        <w:rPr>
          <w:sz w:val="28"/>
          <w:szCs w:val="28"/>
        </w:rPr>
        <w:t xml:space="preserve"> the </w:t>
      </w:r>
      <w:r w:rsidR="00605EED">
        <w:rPr>
          <w:sz w:val="28"/>
          <w:szCs w:val="28"/>
        </w:rPr>
        <w:t xml:space="preserve">results of the </w:t>
      </w:r>
      <w:r w:rsidR="00C73EDE">
        <w:rPr>
          <w:sz w:val="28"/>
          <w:szCs w:val="28"/>
        </w:rPr>
        <w:t>valida</w:t>
      </w:r>
      <w:r w:rsidR="00A72F59">
        <w:rPr>
          <w:sz w:val="28"/>
          <w:szCs w:val="28"/>
        </w:rPr>
        <w:t xml:space="preserve">tion study (Summers et al., </w:t>
      </w:r>
      <w:r w:rsidR="00AD244F">
        <w:rPr>
          <w:sz w:val="28"/>
          <w:szCs w:val="28"/>
        </w:rPr>
        <w:t>2020</w:t>
      </w:r>
      <w:r w:rsidR="00C73EDE">
        <w:rPr>
          <w:sz w:val="28"/>
          <w:szCs w:val="28"/>
        </w:rPr>
        <w:t xml:space="preserve">) </w:t>
      </w:r>
      <w:r w:rsidR="00605EED">
        <w:rPr>
          <w:sz w:val="28"/>
          <w:szCs w:val="28"/>
        </w:rPr>
        <w:t xml:space="preserve">which </w:t>
      </w:r>
      <w:r w:rsidR="00C73EDE">
        <w:rPr>
          <w:sz w:val="28"/>
          <w:szCs w:val="28"/>
        </w:rPr>
        <w:t xml:space="preserve">were </w:t>
      </w:r>
      <w:r>
        <w:rPr>
          <w:sz w:val="28"/>
          <w:szCs w:val="28"/>
        </w:rPr>
        <w:t>93.47</w:t>
      </w:r>
      <w:r w:rsidR="00C73EDE">
        <w:rPr>
          <w:sz w:val="28"/>
          <w:szCs w:val="28"/>
        </w:rPr>
        <w:t>(</w:t>
      </w:r>
      <w:r>
        <w:rPr>
          <w:sz w:val="28"/>
          <w:szCs w:val="28"/>
        </w:rPr>
        <w:t>17.67</w:t>
      </w:r>
      <w:r w:rsidR="00C73EDE">
        <w:rPr>
          <w:sz w:val="28"/>
          <w:szCs w:val="28"/>
        </w:rPr>
        <w:t>) and .92. The means did not differ significantly between the two studies.</w:t>
      </w:r>
      <w:r w:rsidR="000657E9">
        <w:rPr>
          <w:sz w:val="28"/>
          <w:szCs w:val="28"/>
        </w:rPr>
        <w:t xml:space="preserve"> T</w:t>
      </w:r>
      <w:r w:rsidR="00B93F11">
        <w:rPr>
          <w:sz w:val="28"/>
          <w:szCs w:val="28"/>
        </w:rPr>
        <w:t xml:space="preserve">he PPWWM </w:t>
      </w:r>
      <w:r w:rsidR="000657E9">
        <w:rPr>
          <w:sz w:val="28"/>
          <w:szCs w:val="28"/>
        </w:rPr>
        <w:t>distribution had</w:t>
      </w:r>
      <w:r w:rsidR="00B93F11">
        <w:rPr>
          <w:sz w:val="28"/>
          <w:szCs w:val="28"/>
        </w:rPr>
        <w:t xml:space="preserve"> significant negative kurtosis</w:t>
      </w:r>
      <w:r w:rsidR="000657E9">
        <w:rPr>
          <w:sz w:val="28"/>
          <w:szCs w:val="28"/>
        </w:rPr>
        <w:t>,</w:t>
      </w:r>
      <w:r w:rsidR="000657E9" w:rsidRPr="000657E9">
        <w:rPr>
          <w:sz w:val="28"/>
          <w:szCs w:val="28"/>
        </w:rPr>
        <w:t xml:space="preserve"> </w:t>
      </w:r>
      <w:r w:rsidR="000657E9">
        <w:rPr>
          <w:sz w:val="28"/>
          <w:szCs w:val="28"/>
        </w:rPr>
        <w:t>as also found by Summers et al</w:t>
      </w:r>
      <w:r w:rsidR="00AD244F">
        <w:rPr>
          <w:sz w:val="28"/>
          <w:szCs w:val="28"/>
        </w:rPr>
        <w:t>. (2020)</w:t>
      </w:r>
      <w:r w:rsidR="00B93F11">
        <w:rPr>
          <w:sz w:val="28"/>
          <w:szCs w:val="28"/>
        </w:rPr>
        <w:t xml:space="preserve"> but in this </w:t>
      </w:r>
      <w:r w:rsidR="000657E9">
        <w:rPr>
          <w:sz w:val="28"/>
          <w:szCs w:val="28"/>
        </w:rPr>
        <w:t xml:space="preserve">case </w:t>
      </w:r>
      <w:r w:rsidR="00B93F11">
        <w:rPr>
          <w:sz w:val="28"/>
          <w:szCs w:val="28"/>
        </w:rPr>
        <w:t xml:space="preserve">there was no significant skew. </w:t>
      </w:r>
      <w:r w:rsidR="000657E9">
        <w:rPr>
          <w:sz w:val="28"/>
          <w:szCs w:val="28"/>
        </w:rPr>
        <w:t xml:space="preserve">The large sample size made it possible to detect statistical significance of minor deviations from normality.  </w:t>
      </w:r>
      <w:r w:rsidR="00605EED">
        <w:rPr>
          <w:sz w:val="28"/>
          <w:szCs w:val="28"/>
        </w:rPr>
        <w:t>But t</w:t>
      </w:r>
      <w:r w:rsidR="000657E9">
        <w:rPr>
          <w:sz w:val="28"/>
          <w:szCs w:val="28"/>
        </w:rPr>
        <w:t xml:space="preserve">he </w:t>
      </w:r>
      <w:bookmarkStart w:id="6" w:name="_Hlk22541705"/>
      <w:r w:rsidR="00B93F11">
        <w:rPr>
          <w:sz w:val="28"/>
          <w:szCs w:val="28"/>
        </w:rPr>
        <w:t xml:space="preserve">Q-Q plot showed good conformity to the normal distribution </w:t>
      </w:r>
      <w:r w:rsidR="00A3741D">
        <w:rPr>
          <w:sz w:val="28"/>
          <w:szCs w:val="28"/>
        </w:rPr>
        <w:t>suggest</w:t>
      </w:r>
      <w:r w:rsidR="002F2408">
        <w:rPr>
          <w:sz w:val="28"/>
          <w:szCs w:val="28"/>
        </w:rPr>
        <w:t>ing</w:t>
      </w:r>
      <w:r w:rsidR="00A3741D">
        <w:rPr>
          <w:sz w:val="28"/>
          <w:szCs w:val="28"/>
        </w:rPr>
        <w:t xml:space="preserve"> that the deviation is trivial.</w:t>
      </w:r>
      <w:r w:rsidR="000657E9">
        <w:rPr>
          <w:sz w:val="28"/>
          <w:szCs w:val="28"/>
        </w:rPr>
        <w:t xml:space="preserve"> </w:t>
      </w:r>
      <w:bookmarkEnd w:id="6"/>
      <w:r w:rsidR="000657E9" w:rsidRPr="00BC5F3A">
        <w:rPr>
          <w:sz w:val="28"/>
          <w:szCs w:val="28"/>
        </w:rPr>
        <w:t>T</w:t>
      </w:r>
      <w:r w:rsidR="00010187" w:rsidRPr="00BC5F3A">
        <w:rPr>
          <w:sz w:val="28"/>
          <w:szCs w:val="28"/>
        </w:rPr>
        <w:t xml:space="preserve">he mean scores for the SWEMWBS </w:t>
      </w:r>
      <w:r w:rsidR="00605EED">
        <w:rPr>
          <w:sz w:val="28"/>
          <w:szCs w:val="28"/>
        </w:rPr>
        <w:t xml:space="preserve">were </w:t>
      </w:r>
      <w:r w:rsidR="00E12F40">
        <w:rPr>
          <w:sz w:val="28"/>
          <w:szCs w:val="28"/>
        </w:rPr>
        <w:t xml:space="preserve">below </w:t>
      </w:r>
      <w:r w:rsidR="00010187" w:rsidRPr="00BC5F3A">
        <w:rPr>
          <w:sz w:val="28"/>
          <w:szCs w:val="28"/>
        </w:rPr>
        <w:t>the UK norms fo</w:t>
      </w:r>
      <w:r w:rsidR="00ED742C">
        <w:rPr>
          <w:sz w:val="28"/>
          <w:szCs w:val="28"/>
        </w:rPr>
        <w:t xml:space="preserve">r men </w:t>
      </w:r>
      <w:r w:rsidR="00836107">
        <w:rPr>
          <w:sz w:val="28"/>
          <w:szCs w:val="28"/>
        </w:rPr>
        <w:t xml:space="preserve">and </w:t>
      </w:r>
      <w:r w:rsidR="00ED742C">
        <w:rPr>
          <w:sz w:val="28"/>
          <w:szCs w:val="28"/>
        </w:rPr>
        <w:t>women (Ng Fat et al., 2017</w:t>
      </w:r>
      <w:r w:rsidR="00010187" w:rsidRPr="00BC5F3A">
        <w:rPr>
          <w:sz w:val="28"/>
          <w:szCs w:val="28"/>
        </w:rPr>
        <w:t>)</w:t>
      </w:r>
      <w:r w:rsidR="00A607A0" w:rsidRPr="00BC5F3A">
        <w:rPr>
          <w:sz w:val="28"/>
          <w:szCs w:val="28"/>
        </w:rPr>
        <w:t xml:space="preserve"> suggesting that this professional group </w:t>
      </w:r>
      <w:r w:rsidR="00E75D99">
        <w:rPr>
          <w:sz w:val="28"/>
          <w:szCs w:val="28"/>
        </w:rPr>
        <w:t>experience</w:t>
      </w:r>
      <w:r w:rsidR="00A607A0" w:rsidRPr="00BC5F3A">
        <w:rPr>
          <w:sz w:val="28"/>
          <w:szCs w:val="28"/>
        </w:rPr>
        <w:t xml:space="preserve"> reduced wellbeing compared to the general population.</w:t>
      </w:r>
      <w:r w:rsidR="00010187" w:rsidRPr="00BC5F3A">
        <w:rPr>
          <w:sz w:val="28"/>
          <w:szCs w:val="28"/>
        </w:rPr>
        <w:t xml:space="preserve"> </w:t>
      </w:r>
      <w:r w:rsidR="000E18DF" w:rsidRPr="00BC5F3A">
        <w:rPr>
          <w:sz w:val="28"/>
          <w:szCs w:val="28"/>
        </w:rPr>
        <w:t xml:space="preserve">This </w:t>
      </w:r>
      <w:r w:rsidR="00BC5F3A">
        <w:rPr>
          <w:sz w:val="28"/>
          <w:szCs w:val="28"/>
        </w:rPr>
        <w:t xml:space="preserve">corroborates </w:t>
      </w:r>
      <w:r w:rsidR="00BC5F3A" w:rsidRPr="00BC5F3A">
        <w:rPr>
          <w:sz w:val="28"/>
          <w:szCs w:val="28"/>
        </w:rPr>
        <w:t>the</w:t>
      </w:r>
      <w:r w:rsidR="000E18DF" w:rsidRPr="00BC5F3A">
        <w:rPr>
          <w:sz w:val="28"/>
          <w:szCs w:val="28"/>
        </w:rPr>
        <w:t xml:space="preserve"> previous literature on bur</w:t>
      </w:r>
      <w:r w:rsidR="00810A1E">
        <w:rPr>
          <w:sz w:val="28"/>
          <w:szCs w:val="28"/>
        </w:rPr>
        <w:t>nout and distress (Table 1</w:t>
      </w:r>
      <w:r w:rsidR="000E18DF" w:rsidRPr="00BC5F3A">
        <w:rPr>
          <w:sz w:val="28"/>
          <w:szCs w:val="28"/>
        </w:rPr>
        <w:t xml:space="preserve">). </w:t>
      </w:r>
    </w:p>
    <w:p w14:paraId="53F1FFDE" w14:textId="7B77619E" w:rsidR="00860916" w:rsidRDefault="00860916" w:rsidP="00860916">
      <w:pPr>
        <w:rPr>
          <w:sz w:val="28"/>
          <w:szCs w:val="28"/>
        </w:rPr>
      </w:pPr>
      <w:r>
        <w:rPr>
          <w:sz w:val="28"/>
          <w:szCs w:val="28"/>
        </w:rPr>
        <w:t xml:space="preserve">The small, but significant, </w:t>
      </w:r>
      <w:r w:rsidRPr="00786CE5">
        <w:rPr>
          <w:i/>
          <w:iCs/>
          <w:sz w:val="28"/>
          <w:szCs w:val="28"/>
        </w:rPr>
        <w:t>negative</w:t>
      </w:r>
      <w:r>
        <w:rPr>
          <w:sz w:val="28"/>
          <w:szCs w:val="28"/>
        </w:rPr>
        <w:t xml:space="preserve"> correlations with age, years since qualification and pay scale </w:t>
      </w:r>
      <w:r w:rsidR="00836107">
        <w:rPr>
          <w:sz w:val="28"/>
          <w:szCs w:val="28"/>
        </w:rPr>
        <w:t>(Table 4</w:t>
      </w:r>
      <w:r w:rsidR="002C78BC">
        <w:rPr>
          <w:sz w:val="28"/>
          <w:szCs w:val="28"/>
        </w:rPr>
        <w:t xml:space="preserve">) </w:t>
      </w:r>
      <w:r>
        <w:rPr>
          <w:sz w:val="28"/>
          <w:szCs w:val="28"/>
        </w:rPr>
        <w:t xml:space="preserve">were not expected. In this profession at least, it appears that higher pay is not associated with improved workplace wellbeing. This </w:t>
      </w:r>
      <w:r w:rsidR="000116F2">
        <w:rPr>
          <w:sz w:val="28"/>
          <w:szCs w:val="28"/>
        </w:rPr>
        <w:t xml:space="preserve">small </w:t>
      </w:r>
      <w:r>
        <w:rPr>
          <w:sz w:val="28"/>
          <w:szCs w:val="28"/>
        </w:rPr>
        <w:t xml:space="preserve">negative </w:t>
      </w:r>
      <w:r w:rsidR="00165B4E">
        <w:rPr>
          <w:sz w:val="28"/>
          <w:szCs w:val="28"/>
        </w:rPr>
        <w:t xml:space="preserve">association with </w:t>
      </w:r>
      <w:r>
        <w:rPr>
          <w:sz w:val="28"/>
          <w:szCs w:val="28"/>
        </w:rPr>
        <w:t>age and age-related variables replicates the results of Summer</w:t>
      </w:r>
      <w:r w:rsidR="00AD244F">
        <w:rPr>
          <w:sz w:val="28"/>
          <w:szCs w:val="28"/>
        </w:rPr>
        <w:t>s et al.</w:t>
      </w:r>
      <w:r>
        <w:rPr>
          <w:sz w:val="28"/>
          <w:szCs w:val="28"/>
        </w:rPr>
        <w:t xml:space="preserve"> (</w:t>
      </w:r>
      <w:r w:rsidR="00AD244F">
        <w:rPr>
          <w:sz w:val="28"/>
          <w:szCs w:val="28"/>
        </w:rPr>
        <w:t>2020</w:t>
      </w:r>
      <w:r>
        <w:rPr>
          <w:sz w:val="28"/>
          <w:szCs w:val="28"/>
        </w:rPr>
        <w:t xml:space="preserve">). </w:t>
      </w:r>
      <w:r w:rsidR="000116F2" w:rsidRPr="000116F2">
        <w:rPr>
          <w:sz w:val="28"/>
          <w:szCs w:val="28"/>
        </w:rPr>
        <w:t>While it is important not to over-interpret these small negative correlations</w:t>
      </w:r>
      <w:r w:rsidR="000116F2">
        <w:rPr>
          <w:sz w:val="28"/>
          <w:szCs w:val="28"/>
        </w:rPr>
        <w:t>, these</w:t>
      </w:r>
      <w:r>
        <w:rPr>
          <w:sz w:val="28"/>
          <w:szCs w:val="28"/>
        </w:rPr>
        <w:t xml:space="preserve"> findings </w:t>
      </w:r>
      <w:r w:rsidR="000116F2">
        <w:rPr>
          <w:sz w:val="28"/>
          <w:szCs w:val="28"/>
        </w:rPr>
        <w:t>do contrast</w:t>
      </w:r>
      <w:r>
        <w:rPr>
          <w:sz w:val="28"/>
          <w:szCs w:val="28"/>
        </w:rPr>
        <w:t xml:space="preserve"> with resu</w:t>
      </w:r>
      <w:r w:rsidR="00A72F59">
        <w:rPr>
          <w:sz w:val="28"/>
          <w:szCs w:val="28"/>
        </w:rPr>
        <w:t xml:space="preserve">lts from the USA and Australia </w:t>
      </w:r>
      <w:r>
        <w:rPr>
          <w:sz w:val="28"/>
          <w:szCs w:val="28"/>
        </w:rPr>
        <w:t xml:space="preserve">demonstrating </w:t>
      </w:r>
      <w:r w:rsidR="000116F2">
        <w:rPr>
          <w:sz w:val="28"/>
          <w:szCs w:val="28"/>
        </w:rPr>
        <w:t>significantly</w:t>
      </w:r>
      <w:r>
        <w:rPr>
          <w:sz w:val="28"/>
          <w:szCs w:val="28"/>
        </w:rPr>
        <w:t xml:space="preserve"> </w:t>
      </w:r>
      <w:r w:rsidRPr="008879E4">
        <w:rPr>
          <w:i/>
          <w:iCs/>
          <w:sz w:val="28"/>
          <w:szCs w:val="28"/>
        </w:rPr>
        <w:t>higher</w:t>
      </w:r>
      <w:r>
        <w:rPr>
          <w:sz w:val="28"/>
          <w:szCs w:val="28"/>
        </w:rPr>
        <w:t xml:space="preserve"> scores on indices of burnout in </w:t>
      </w:r>
      <w:r w:rsidRPr="008879E4">
        <w:rPr>
          <w:sz w:val="28"/>
          <w:szCs w:val="28"/>
        </w:rPr>
        <w:t>younger, less experienced psychologists (Dorociak, Patricia, Rupert and Zahniser</w:t>
      </w:r>
      <w:r>
        <w:rPr>
          <w:sz w:val="28"/>
          <w:szCs w:val="28"/>
        </w:rPr>
        <w:t xml:space="preserve">, </w:t>
      </w:r>
      <w:r w:rsidRPr="008879E4">
        <w:rPr>
          <w:sz w:val="28"/>
          <w:szCs w:val="28"/>
        </w:rPr>
        <w:t>2017; Ackerley, Burnell, Holder &amp; Kurdek, 1988; Rupert &amp; Kent, 2007; Rupert &amp; Morgan, 2005; Rupert</w:t>
      </w:r>
      <w:r>
        <w:rPr>
          <w:sz w:val="28"/>
          <w:szCs w:val="28"/>
        </w:rPr>
        <w:t>,</w:t>
      </w:r>
      <w:r w:rsidRPr="008879E4">
        <w:rPr>
          <w:sz w:val="28"/>
          <w:szCs w:val="28"/>
        </w:rPr>
        <w:t xml:space="preserve"> Stevanovic &amp; Hunley, 2009</w:t>
      </w:r>
      <w:r>
        <w:rPr>
          <w:sz w:val="28"/>
          <w:szCs w:val="28"/>
        </w:rPr>
        <w:t xml:space="preserve">; </w:t>
      </w:r>
      <w:r w:rsidR="00A313E4">
        <w:rPr>
          <w:sz w:val="28"/>
          <w:szCs w:val="28"/>
        </w:rPr>
        <w:t>D’Souza, Egan &amp; Rees</w:t>
      </w:r>
      <w:r w:rsidRPr="008879E4">
        <w:rPr>
          <w:sz w:val="28"/>
          <w:szCs w:val="28"/>
        </w:rPr>
        <w:t xml:space="preserve">. 2011; Di Benedetto &amp; Swadling, 2014). </w:t>
      </w:r>
      <w:r>
        <w:rPr>
          <w:sz w:val="28"/>
          <w:szCs w:val="28"/>
        </w:rPr>
        <w:t>There may be two reasons for this. Fi</w:t>
      </w:r>
      <w:r w:rsidR="0065104E">
        <w:rPr>
          <w:sz w:val="28"/>
          <w:szCs w:val="28"/>
        </w:rPr>
        <w:t>rst, the results may be culture-</w:t>
      </w:r>
      <w:r>
        <w:rPr>
          <w:sz w:val="28"/>
          <w:szCs w:val="28"/>
        </w:rPr>
        <w:t>specific. All these studies were cross-sectional. The specific experiences of older cohorts in the UK may have detruded their workplace well-being, possibly as a result of the re-structuring of public health service pay and conditions between 2004 and 2007 and the erosion of pensions from 2008 onwards</w:t>
      </w:r>
      <w:r w:rsidRPr="00E22D2B">
        <w:rPr>
          <w:sz w:val="28"/>
          <w:szCs w:val="28"/>
        </w:rPr>
        <w:t xml:space="preserve">. Second, the PPWWM measured positive aspects of workplace well-being as well as </w:t>
      </w:r>
      <w:r>
        <w:rPr>
          <w:sz w:val="28"/>
          <w:szCs w:val="28"/>
        </w:rPr>
        <w:t xml:space="preserve">the </w:t>
      </w:r>
      <w:r w:rsidRPr="00E22D2B">
        <w:rPr>
          <w:sz w:val="28"/>
          <w:szCs w:val="28"/>
        </w:rPr>
        <w:t>negative aspects (burnout) measured in the USA and Australian studies</w:t>
      </w:r>
      <w:r>
        <w:rPr>
          <w:sz w:val="28"/>
          <w:szCs w:val="28"/>
        </w:rPr>
        <w:t>. Possibly the positive and negative aspects of wellbeing have different longitudinal trajectories.</w:t>
      </w:r>
      <w:r w:rsidR="00A617EA">
        <w:rPr>
          <w:sz w:val="28"/>
          <w:szCs w:val="28"/>
        </w:rPr>
        <w:t xml:space="preserve"> </w:t>
      </w:r>
    </w:p>
    <w:p w14:paraId="05F1D7D2" w14:textId="493FA458" w:rsidR="001317AF" w:rsidRDefault="00B93F11">
      <w:pPr>
        <w:rPr>
          <w:sz w:val="28"/>
          <w:szCs w:val="28"/>
        </w:rPr>
      </w:pPr>
      <w:r w:rsidRPr="003120F0">
        <w:rPr>
          <w:sz w:val="28"/>
          <w:szCs w:val="28"/>
        </w:rPr>
        <w:t>The PPWWM</w:t>
      </w:r>
      <w:r w:rsidR="001317AF" w:rsidRPr="003120F0">
        <w:rPr>
          <w:sz w:val="28"/>
          <w:szCs w:val="28"/>
        </w:rPr>
        <w:t xml:space="preserve"> and </w:t>
      </w:r>
      <w:r w:rsidR="00A63AA0" w:rsidRPr="003120F0">
        <w:rPr>
          <w:sz w:val="28"/>
          <w:szCs w:val="28"/>
        </w:rPr>
        <w:t xml:space="preserve">the </w:t>
      </w:r>
      <w:r w:rsidR="001317AF" w:rsidRPr="003120F0">
        <w:rPr>
          <w:sz w:val="28"/>
          <w:szCs w:val="28"/>
        </w:rPr>
        <w:t>SWEMWBS</w:t>
      </w:r>
      <w:r w:rsidRPr="003120F0">
        <w:rPr>
          <w:sz w:val="28"/>
          <w:szCs w:val="28"/>
        </w:rPr>
        <w:t xml:space="preserve"> </w:t>
      </w:r>
      <w:r w:rsidR="00A63AA0" w:rsidRPr="003120F0">
        <w:rPr>
          <w:sz w:val="28"/>
          <w:szCs w:val="28"/>
        </w:rPr>
        <w:t xml:space="preserve">scores </w:t>
      </w:r>
      <w:r w:rsidRPr="003120F0">
        <w:rPr>
          <w:sz w:val="28"/>
          <w:szCs w:val="28"/>
        </w:rPr>
        <w:t>differed significantly between professional subgroups.</w:t>
      </w:r>
      <w:r>
        <w:rPr>
          <w:sz w:val="28"/>
          <w:szCs w:val="28"/>
        </w:rPr>
        <w:t xml:space="preserve"> This effect </w:t>
      </w:r>
      <w:r w:rsidR="001317AF">
        <w:rPr>
          <w:sz w:val="28"/>
          <w:szCs w:val="28"/>
        </w:rPr>
        <w:t xml:space="preserve">for the PPWWM </w:t>
      </w:r>
      <w:r>
        <w:rPr>
          <w:sz w:val="28"/>
          <w:szCs w:val="28"/>
        </w:rPr>
        <w:t xml:space="preserve">was not observed by Summers et al. </w:t>
      </w:r>
      <w:r w:rsidR="00C11F87">
        <w:rPr>
          <w:sz w:val="28"/>
          <w:szCs w:val="28"/>
        </w:rPr>
        <w:t>(</w:t>
      </w:r>
      <w:r w:rsidR="00AD244F">
        <w:rPr>
          <w:sz w:val="28"/>
          <w:szCs w:val="28"/>
        </w:rPr>
        <w:t>2020</w:t>
      </w:r>
      <w:r w:rsidR="00C11F87">
        <w:rPr>
          <w:sz w:val="28"/>
          <w:szCs w:val="28"/>
        </w:rPr>
        <w:t xml:space="preserve">), but their sample was much less heterogeneous with over 73% being clinical psychologists compared with 49% in this sample. </w:t>
      </w:r>
      <w:r>
        <w:rPr>
          <w:sz w:val="28"/>
          <w:szCs w:val="28"/>
        </w:rPr>
        <w:t xml:space="preserve"> </w:t>
      </w:r>
      <w:r w:rsidR="00836107">
        <w:rPr>
          <w:sz w:val="28"/>
          <w:szCs w:val="28"/>
        </w:rPr>
        <w:t>P</w:t>
      </w:r>
      <w:r w:rsidR="001317AF" w:rsidRPr="003120F0">
        <w:rPr>
          <w:sz w:val="28"/>
          <w:szCs w:val="28"/>
        </w:rPr>
        <w:t>sychological wellbeing practitioners</w:t>
      </w:r>
      <w:r w:rsidR="00836107">
        <w:rPr>
          <w:sz w:val="28"/>
          <w:szCs w:val="28"/>
        </w:rPr>
        <w:t xml:space="preserve"> </w:t>
      </w:r>
      <w:r w:rsidR="001317AF" w:rsidRPr="003120F0">
        <w:rPr>
          <w:sz w:val="28"/>
          <w:szCs w:val="28"/>
        </w:rPr>
        <w:t xml:space="preserve">were above the </w:t>
      </w:r>
      <w:r w:rsidR="001317AF" w:rsidRPr="003D774B">
        <w:rPr>
          <w:sz w:val="28"/>
          <w:szCs w:val="28"/>
        </w:rPr>
        <w:t>mean on both</w:t>
      </w:r>
      <w:r w:rsidR="0065104E" w:rsidRPr="003D774B">
        <w:rPr>
          <w:sz w:val="28"/>
          <w:szCs w:val="28"/>
        </w:rPr>
        <w:t xml:space="preserve"> measure</w:t>
      </w:r>
      <w:r w:rsidR="00836107" w:rsidRPr="003D774B">
        <w:rPr>
          <w:sz w:val="28"/>
          <w:szCs w:val="28"/>
        </w:rPr>
        <w:t xml:space="preserve"> and counsellors were above the mean on the PPWWM. Meanwhile</w:t>
      </w:r>
      <w:r w:rsidR="003D774B">
        <w:rPr>
          <w:sz w:val="28"/>
          <w:szCs w:val="28"/>
        </w:rPr>
        <w:t xml:space="preserve"> trainee psychologists and assistant psychologists reported the highest group average scores on the PPWWM and the lowest average scores on the SWEMWBS. For assistant </w:t>
      </w:r>
      <w:r w:rsidR="00B430E2">
        <w:rPr>
          <w:sz w:val="28"/>
          <w:szCs w:val="28"/>
        </w:rPr>
        <w:t>psychologists differences</w:t>
      </w:r>
      <w:r w:rsidR="003D774B">
        <w:rPr>
          <w:sz w:val="28"/>
          <w:szCs w:val="28"/>
        </w:rPr>
        <w:t xml:space="preserve"> from the overall mean were significant on both measures; for </w:t>
      </w:r>
      <w:r w:rsidR="003D774B">
        <w:rPr>
          <w:sz w:val="28"/>
          <w:szCs w:val="28"/>
        </w:rPr>
        <w:lastRenderedPageBreak/>
        <w:t xml:space="preserve">trainee </w:t>
      </w:r>
      <w:r w:rsidR="00B430E2">
        <w:rPr>
          <w:sz w:val="28"/>
          <w:szCs w:val="28"/>
        </w:rPr>
        <w:t>psychologists</w:t>
      </w:r>
      <w:r w:rsidR="003D774B">
        <w:rPr>
          <w:sz w:val="28"/>
          <w:szCs w:val="28"/>
        </w:rPr>
        <w:t xml:space="preserve"> the </w:t>
      </w:r>
      <w:r w:rsidR="00B430E2">
        <w:rPr>
          <w:sz w:val="28"/>
          <w:szCs w:val="28"/>
        </w:rPr>
        <w:t>differences were</w:t>
      </w:r>
      <w:r w:rsidR="003D774B">
        <w:rPr>
          <w:sz w:val="28"/>
          <w:szCs w:val="28"/>
        </w:rPr>
        <w:t xml:space="preserve"> </w:t>
      </w:r>
      <w:r w:rsidR="00B430E2">
        <w:rPr>
          <w:sz w:val="28"/>
          <w:szCs w:val="28"/>
        </w:rPr>
        <w:t>significant</w:t>
      </w:r>
      <w:r w:rsidR="003D774B">
        <w:rPr>
          <w:sz w:val="28"/>
          <w:szCs w:val="28"/>
        </w:rPr>
        <w:t xml:space="preserve"> </w:t>
      </w:r>
      <w:r w:rsidR="00B430E2">
        <w:rPr>
          <w:sz w:val="28"/>
          <w:szCs w:val="28"/>
        </w:rPr>
        <w:t xml:space="preserve">only </w:t>
      </w:r>
      <w:r w:rsidR="003D774B">
        <w:rPr>
          <w:sz w:val="28"/>
          <w:szCs w:val="28"/>
        </w:rPr>
        <w:t>for the SWEMWBS.</w:t>
      </w:r>
      <w:r w:rsidR="003D774B" w:rsidRPr="003D774B">
        <w:rPr>
          <w:sz w:val="28"/>
          <w:szCs w:val="28"/>
        </w:rPr>
        <w:t xml:space="preserve"> </w:t>
      </w:r>
      <w:r w:rsidR="001317AF" w:rsidRPr="003D774B">
        <w:rPr>
          <w:sz w:val="28"/>
          <w:szCs w:val="28"/>
        </w:rPr>
        <w:t xml:space="preserve"> These groups are both on the usual pathway to qualifying as clinical psychologists. Perhaps hopeful career anticipation elevated the workplace wellbeing score while</w:t>
      </w:r>
      <w:r w:rsidR="001317AF" w:rsidRPr="001317AF">
        <w:rPr>
          <w:sz w:val="28"/>
          <w:szCs w:val="28"/>
        </w:rPr>
        <w:t xml:space="preserve"> other factors, such as the need to relocate and make personal sacrifices for career, d</w:t>
      </w:r>
      <w:r w:rsidR="00E12F40">
        <w:rPr>
          <w:sz w:val="28"/>
          <w:szCs w:val="28"/>
        </w:rPr>
        <w:t>et</w:t>
      </w:r>
      <w:r w:rsidR="004C7E83">
        <w:rPr>
          <w:sz w:val="28"/>
          <w:szCs w:val="28"/>
        </w:rPr>
        <w:t>ruded</w:t>
      </w:r>
      <w:r w:rsidR="001317AF" w:rsidRPr="001317AF">
        <w:rPr>
          <w:sz w:val="28"/>
          <w:szCs w:val="28"/>
        </w:rPr>
        <w:t xml:space="preserve"> general wellbeing. </w:t>
      </w:r>
      <w:r w:rsidR="00165B4E">
        <w:rPr>
          <w:sz w:val="28"/>
          <w:szCs w:val="28"/>
        </w:rPr>
        <w:t>This decoupling</w:t>
      </w:r>
      <w:r w:rsidR="002C78BC">
        <w:rPr>
          <w:sz w:val="28"/>
          <w:szCs w:val="28"/>
        </w:rPr>
        <w:t xml:space="preserve"> between general wellbeing and workplace wellbeing highlights the importance of using specific measures to evaluate workplace wellbeing.</w:t>
      </w:r>
    </w:p>
    <w:p w14:paraId="29F1438B" w14:textId="77777777" w:rsidR="003D0036" w:rsidRDefault="00B430E2">
      <w:pPr>
        <w:rPr>
          <w:color w:val="FF0000"/>
          <w:sz w:val="28"/>
          <w:szCs w:val="28"/>
        </w:rPr>
      </w:pPr>
      <w:r>
        <w:rPr>
          <w:sz w:val="28"/>
          <w:szCs w:val="28"/>
        </w:rPr>
        <w:t>Staff</w:t>
      </w:r>
      <w:r w:rsidR="001317AF" w:rsidRPr="001317AF">
        <w:rPr>
          <w:sz w:val="28"/>
          <w:szCs w:val="28"/>
        </w:rPr>
        <w:t xml:space="preserve"> on non-permanent contacts were above the mean </w:t>
      </w:r>
      <w:r w:rsidR="008A257D">
        <w:rPr>
          <w:sz w:val="28"/>
          <w:szCs w:val="28"/>
        </w:rPr>
        <w:t>for</w:t>
      </w:r>
      <w:r w:rsidR="001317AF" w:rsidRPr="001317AF">
        <w:rPr>
          <w:sz w:val="28"/>
          <w:szCs w:val="28"/>
        </w:rPr>
        <w:t xml:space="preserve"> the PPWWM</w:t>
      </w:r>
      <w:r>
        <w:rPr>
          <w:sz w:val="28"/>
          <w:szCs w:val="28"/>
        </w:rPr>
        <w:t xml:space="preserve"> and self-employed and private practitioners were above the mean on both the PPWWM and the SWEMWBS</w:t>
      </w:r>
      <w:r w:rsidR="008A257D">
        <w:rPr>
          <w:sz w:val="28"/>
          <w:szCs w:val="28"/>
        </w:rPr>
        <w:t>.</w:t>
      </w:r>
      <w:r w:rsidR="001317AF">
        <w:rPr>
          <w:sz w:val="28"/>
          <w:szCs w:val="28"/>
        </w:rPr>
        <w:t xml:space="preserve"> </w:t>
      </w:r>
      <w:r w:rsidR="001E479F" w:rsidRPr="001E479F">
        <w:rPr>
          <w:sz w:val="28"/>
          <w:szCs w:val="28"/>
        </w:rPr>
        <w:t>It was unexpected that those on fixed term and temporary contracts and the self-employed</w:t>
      </w:r>
      <w:r>
        <w:rPr>
          <w:sz w:val="28"/>
          <w:szCs w:val="28"/>
        </w:rPr>
        <w:t>/private</w:t>
      </w:r>
      <w:r w:rsidR="001E479F">
        <w:rPr>
          <w:sz w:val="28"/>
          <w:szCs w:val="28"/>
        </w:rPr>
        <w:t xml:space="preserve"> group</w:t>
      </w:r>
      <w:r w:rsidR="0065104E">
        <w:rPr>
          <w:sz w:val="28"/>
          <w:szCs w:val="28"/>
        </w:rPr>
        <w:t xml:space="preserve"> would demonstrate</w:t>
      </w:r>
      <w:r w:rsidR="001E479F" w:rsidRPr="001E479F">
        <w:rPr>
          <w:sz w:val="28"/>
          <w:szCs w:val="28"/>
        </w:rPr>
        <w:t xml:space="preserve"> higher </w:t>
      </w:r>
      <w:r w:rsidR="00302426">
        <w:rPr>
          <w:sz w:val="28"/>
          <w:szCs w:val="28"/>
        </w:rPr>
        <w:t xml:space="preserve">workplace </w:t>
      </w:r>
      <w:r w:rsidR="00C11F87">
        <w:rPr>
          <w:sz w:val="28"/>
          <w:szCs w:val="28"/>
        </w:rPr>
        <w:t xml:space="preserve">wellbeing </w:t>
      </w:r>
      <w:r w:rsidR="001E479F" w:rsidRPr="001E479F">
        <w:rPr>
          <w:sz w:val="28"/>
          <w:szCs w:val="28"/>
        </w:rPr>
        <w:t xml:space="preserve">scores that those on permanent </w:t>
      </w:r>
      <w:r w:rsidR="00165B4E">
        <w:rPr>
          <w:sz w:val="28"/>
          <w:szCs w:val="28"/>
        </w:rPr>
        <w:t xml:space="preserve">organisational </w:t>
      </w:r>
      <w:r w:rsidR="001E479F" w:rsidRPr="001E479F">
        <w:rPr>
          <w:sz w:val="28"/>
          <w:szCs w:val="28"/>
        </w:rPr>
        <w:t>contracts.</w:t>
      </w:r>
      <w:r w:rsidR="00F766A2">
        <w:rPr>
          <w:sz w:val="28"/>
          <w:szCs w:val="28"/>
        </w:rPr>
        <w:t xml:space="preserve"> </w:t>
      </w:r>
      <w:r w:rsidR="005208E7">
        <w:rPr>
          <w:sz w:val="28"/>
          <w:szCs w:val="28"/>
        </w:rPr>
        <w:t xml:space="preserve">A review of studies of workers on temporary contracts (De Kuyper &amp; De Witte, 2009) also concluded temporary contracts were not associated with poor outcomes and there was some evidence for better wellbeing in temporary workers. This result also </w:t>
      </w:r>
      <w:r w:rsidR="00C11F87">
        <w:rPr>
          <w:sz w:val="28"/>
          <w:szCs w:val="28"/>
        </w:rPr>
        <w:t>re</w:t>
      </w:r>
      <w:r w:rsidR="00BE48A9">
        <w:rPr>
          <w:sz w:val="28"/>
          <w:szCs w:val="28"/>
        </w:rPr>
        <w:t>plicates</w:t>
      </w:r>
      <w:r w:rsidR="005208E7">
        <w:rPr>
          <w:sz w:val="28"/>
          <w:szCs w:val="28"/>
        </w:rPr>
        <w:t xml:space="preserve"> </w:t>
      </w:r>
      <w:r w:rsidR="00C11F87">
        <w:rPr>
          <w:sz w:val="28"/>
          <w:szCs w:val="28"/>
        </w:rPr>
        <w:t xml:space="preserve">Summers et al. </w:t>
      </w:r>
      <w:r w:rsidR="005208E7">
        <w:rPr>
          <w:sz w:val="28"/>
          <w:szCs w:val="28"/>
        </w:rPr>
        <w:t>(</w:t>
      </w:r>
      <w:r w:rsidR="00AD244F">
        <w:rPr>
          <w:sz w:val="28"/>
          <w:szCs w:val="28"/>
        </w:rPr>
        <w:t>2020</w:t>
      </w:r>
      <w:r w:rsidR="005208E7">
        <w:rPr>
          <w:sz w:val="28"/>
          <w:szCs w:val="28"/>
        </w:rPr>
        <w:t xml:space="preserve">) </w:t>
      </w:r>
      <w:r w:rsidR="00C11F87">
        <w:rPr>
          <w:sz w:val="28"/>
          <w:szCs w:val="28"/>
        </w:rPr>
        <w:t>and seems to be a robust finding</w:t>
      </w:r>
      <w:r w:rsidR="00CC7CA1">
        <w:rPr>
          <w:sz w:val="28"/>
          <w:szCs w:val="28"/>
        </w:rPr>
        <w:t xml:space="preserve">. </w:t>
      </w:r>
      <w:r w:rsidR="00A72F59">
        <w:rPr>
          <w:sz w:val="28"/>
          <w:szCs w:val="28"/>
        </w:rPr>
        <w:t>It</w:t>
      </w:r>
      <w:r w:rsidR="0065104E">
        <w:rPr>
          <w:sz w:val="28"/>
          <w:szCs w:val="28"/>
        </w:rPr>
        <w:t xml:space="preserve"> may be because the temporary contract</w:t>
      </w:r>
      <w:r w:rsidR="008A257D">
        <w:rPr>
          <w:sz w:val="28"/>
          <w:szCs w:val="28"/>
        </w:rPr>
        <w:t xml:space="preserve"> group contains </w:t>
      </w:r>
      <w:r w:rsidR="00165B4E">
        <w:rPr>
          <w:sz w:val="28"/>
          <w:szCs w:val="28"/>
        </w:rPr>
        <w:t xml:space="preserve">more </w:t>
      </w:r>
      <w:r w:rsidR="00D23F7F">
        <w:rPr>
          <w:sz w:val="28"/>
          <w:szCs w:val="28"/>
        </w:rPr>
        <w:t xml:space="preserve">early career </w:t>
      </w:r>
      <w:r w:rsidR="0065104E">
        <w:rPr>
          <w:sz w:val="28"/>
          <w:szCs w:val="28"/>
        </w:rPr>
        <w:t>staff</w:t>
      </w:r>
      <w:r w:rsidR="00394F52">
        <w:rPr>
          <w:sz w:val="28"/>
          <w:szCs w:val="28"/>
        </w:rPr>
        <w:t xml:space="preserve"> who exhibit high workplace wellbeing</w:t>
      </w:r>
      <w:r w:rsidR="00D23F7F">
        <w:rPr>
          <w:sz w:val="28"/>
          <w:szCs w:val="28"/>
        </w:rPr>
        <w:t xml:space="preserve">.  </w:t>
      </w:r>
    </w:p>
    <w:p w14:paraId="27B90470" w14:textId="2F378D39" w:rsidR="00F766A2" w:rsidRPr="00344E93" w:rsidRDefault="00B430E2">
      <w:pPr>
        <w:rPr>
          <w:color w:val="FF0000"/>
          <w:sz w:val="28"/>
        </w:rPr>
      </w:pPr>
      <w:r>
        <w:rPr>
          <w:sz w:val="28"/>
          <w:szCs w:val="28"/>
        </w:rPr>
        <w:t>The private sector/independent sector group and the third sector/cha</w:t>
      </w:r>
      <w:r w:rsidR="00942A83">
        <w:rPr>
          <w:sz w:val="28"/>
          <w:szCs w:val="28"/>
        </w:rPr>
        <w:t>ritable group both had average</w:t>
      </w:r>
      <w:r>
        <w:rPr>
          <w:sz w:val="28"/>
          <w:szCs w:val="28"/>
        </w:rPr>
        <w:t>s ab</w:t>
      </w:r>
      <w:r w:rsidR="00942A83">
        <w:rPr>
          <w:sz w:val="28"/>
          <w:szCs w:val="28"/>
        </w:rPr>
        <w:t>o</w:t>
      </w:r>
      <w:r>
        <w:rPr>
          <w:sz w:val="28"/>
          <w:szCs w:val="28"/>
        </w:rPr>
        <w:t>ve the overall me</w:t>
      </w:r>
      <w:r w:rsidR="00942A83">
        <w:rPr>
          <w:sz w:val="28"/>
          <w:szCs w:val="28"/>
        </w:rPr>
        <w:t>a</w:t>
      </w:r>
      <w:r>
        <w:rPr>
          <w:sz w:val="28"/>
          <w:szCs w:val="28"/>
        </w:rPr>
        <w:t>n</w:t>
      </w:r>
      <w:r w:rsidR="00942A83">
        <w:rPr>
          <w:sz w:val="28"/>
          <w:szCs w:val="28"/>
        </w:rPr>
        <w:t xml:space="preserve"> for the PPWWM</w:t>
      </w:r>
      <w:r>
        <w:rPr>
          <w:sz w:val="28"/>
          <w:szCs w:val="28"/>
        </w:rPr>
        <w:t xml:space="preserve">. </w:t>
      </w:r>
      <w:r w:rsidR="002503AD">
        <w:rPr>
          <w:sz w:val="28"/>
          <w:szCs w:val="28"/>
        </w:rPr>
        <w:t xml:space="preserve">This was not found </w:t>
      </w:r>
      <w:r w:rsidR="00786CE5">
        <w:rPr>
          <w:sz w:val="28"/>
          <w:szCs w:val="28"/>
        </w:rPr>
        <w:t xml:space="preserve">by </w:t>
      </w:r>
      <w:r w:rsidR="002503AD">
        <w:rPr>
          <w:sz w:val="28"/>
          <w:szCs w:val="28"/>
        </w:rPr>
        <w:t xml:space="preserve">Summers et al. </w:t>
      </w:r>
      <w:r w:rsidR="00AD244F">
        <w:rPr>
          <w:sz w:val="28"/>
          <w:szCs w:val="28"/>
        </w:rPr>
        <w:t>(2020)</w:t>
      </w:r>
      <w:r w:rsidR="002503AD">
        <w:rPr>
          <w:sz w:val="28"/>
          <w:szCs w:val="28"/>
        </w:rPr>
        <w:t xml:space="preserve"> where nearly 90% of the sample were wholly employed by the NHS.</w:t>
      </w:r>
      <w:r w:rsidR="008A257D">
        <w:rPr>
          <w:sz w:val="28"/>
          <w:szCs w:val="28"/>
        </w:rPr>
        <w:t xml:space="preserve"> </w:t>
      </w:r>
      <w:r w:rsidR="00294007">
        <w:rPr>
          <w:sz w:val="28"/>
          <w:szCs w:val="28"/>
        </w:rPr>
        <w:t>It is</w:t>
      </w:r>
      <w:r w:rsidR="003D0036">
        <w:rPr>
          <w:sz w:val="28"/>
          <w:szCs w:val="28"/>
        </w:rPr>
        <w:t xml:space="preserve"> concerning that NHS employees were not in this elevated category </w:t>
      </w:r>
      <w:r w:rsidR="00294007">
        <w:rPr>
          <w:sz w:val="28"/>
          <w:szCs w:val="28"/>
        </w:rPr>
        <w:t>and this concern is reflected by reports of poor</w:t>
      </w:r>
      <w:r w:rsidR="008A257D">
        <w:rPr>
          <w:sz w:val="28"/>
          <w:szCs w:val="28"/>
        </w:rPr>
        <w:t xml:space="preserve"> staff wellbeing in </w:t>
      </w:r>
      <w:r w:rsidR="003D0036">
        <w:rPr>
          <w:sz w:val="28"/>
          <w:szCs w:val="28"/>
        </w:rPr>
        <w:t xml:space="preserve">large </w:t>
      </w:r>
      <w:r w:rsidR="006201E7">
        <w:rPr>
          <w:sz w:val="28"/>
          <w:szCs w:val="28"/>
        </w:rPr>
        <w:t xml:space="preserve">healthcare organisations </w:t>
      </w:r>
      <w:r w:rsidR="003D0036">
        <w:rPr>
          <w:sz w:val="28"/>
          <w:szCs w:val="28"/>
        </w:rPr>
        <w:t xml:space="preserve">such as </w:t>
      </w:r>
      <w:r w:rsidR="006201E7">
        <w:rPr>
          <w:sz w:val="28"/>
          <w:szCs w:val="28"/>
        </w:rPr>
        <w:t>the</w:t>
      </w:r>
      <w:r w:rsidR="006150EF">
        <w:rPr>
          <w:sz w:val="28"/>
          <w:szCs w:val="28"/>
        </w:rPr>
        <w:t xml:space="preserve"> UK</w:t>
      </w:r>
      <w:r w:rsidR="006201E7">
        <w:rPr>
          <w:sz w:val="28"/>
          <w:szCs w:val="28"/>
        </w:rPr>
        <w:t xml:space="preserve"> </w:t>
      </w:r>
      <w:r w:rsidR="007F6E2F">
        <w:rPr>
          <w:sz w:val="28"/>
          <w:szCs w:val="28"/>
        </w:rPr>
        <w:t>NHS</w:t>
      </w:r>
      <w:r w:rsidR="006201E7">
        <w:rPr>
          <w:sz w:val="28"/>
          <w:szCs w:val="28"/>
        </w:rPr>
        <w:t xml:space="preserve"> </w:t>
      </w:r>
      <w:r w:rsidR="00913451">
        <w:rPr>
          <w:sz w:val="28"/>
          <w:szCs w:val="28"/>
        </w:rPr>
        <w:t>(</w:t>
      </w:r>
      <w:r w:rsidR="002E58D6">
        <w:rPr>
          <w:sz w:val="28"/>
          <w:szCs w:val="28"/>
        </w:rPr>
        <w:t>Health Education England, 2019</w:t>
      </w:r>
      <w:r w:rsidR="008A257D">
        <w:rPr>
          <w:sz w:val="28"/>
          <w:szCs w:val="28"/>
        </w:rPr>
        <w:t>)</w:t>
      </w:r>
      <w:r w:rsidR="006201E7">
        <w:rPr>
          <w:sz w:val="28"/>
          <w:szCs w:val="28"/>
        </w:rPr>
        <w:t>.</w:t>
      </w:r>
    </w:p>
    <w:p w14:paraId="7FEC0776" w14:textId="77777777" w:rsidR="00531BF5" w:rsidRDefault="00531BF5">
      <w:pPr>
        <w:rPr>
          <w:sz w:val="28"/>
          <w:szCs w:val="28"/>
        </w:rPr>
      </w:pPr>
      <w:r>
        <w:rPr>
          <w:sz w:val="28"/>
          <w:szCs w:val="28"/>
        </w:rPr>
        <w:t>Wellbeing did not differ across genders nor across those with di</w:t>
      </w:r>
      <w:r w:rsidR="0065104E">
        <w:rPr>
          <w:sz w:val="28"/>
          <w:szCs w:val="28"/>
        </w:rPr>
        <w:t>fferent sexual orientations. This</w:t>
      </w:r>
      <w:r>
        <w:rPr>
          <w:sz w:val="28"/>
          <w:szCs w:val="28"/>
        </w:rPr>
        <w:t xml:space="preserve"> absence of gender difference is consistent with the finding of Summers et al. (</w:t>
      </w:r>
      <w:r w:rsidR="00AD244F">
        <w:rPr>
          <w:sz w:val="28"/>
          <w:szCs w:val="28"/>
        </w:rPr>
        <w:t>2020</w:t>
      </w:r>
      <w:r>
        <w:rPr>
          <w:sz w:val="28"/>
          <w:szCs w:val="28"/>
        </w:rPr>
        <w:t>).</w:t>
      </w:r>
    </w:p>
    <w:p w14:paraId="1CE744B6" w14:textId="4F7D4110" w:rsidR="00B734D4" w:rsidRDefault="00B734D4">
      <w:pPr>
        <w:rPr>
          <w:sz w:val="28"/>
          <w:szCs w:val="28"/>
        </w:rPr>
      </w:pPr>
      <w:r>
        <w:rPr>
          <w:sz w:val="28"/>
          <w:szCs w:val="28"/>
        </w:rPr>
        <w:t xml:space="preserve">Recently there has been considerable interest in gender difference in pay and career </w:t>
      </w:r>
      <w:r w:rsidRPr="004556F3">
        <w:rPr>
          <w:sz w:val="28"/>
          <w:szCs w:val="28"/>
        </w:rPr>
        <w:t>progression (</w:t>
      </w:r>
      <w:r w:rsidR="004556F3" w:rsidRPr="004556F3">
        <w:rPr>
          <w:sz w:val="28"/>
          <w:szCs w:val="28"/>
        </w:rPr>
        <w:t>Office for National Statistics, 2019</w:t>
      </w:r>
      <w:r w:rsidRPr="004556F3">
        <w:rPr>
          <w:sz w:val="28"/>
          <w:szCs w:val="28"/>
        </w:rPr>
        <w:t>). This sample did</w:t>
      </w:r>
      <w:r>
        <w:rPr>
          <w:sz w:val="28"/>
          <w:szCs w:val="28"/>
        </w:rPr>
        <w:t xml:space="preserve"> show a small gender difference</w:t>
      </w:r>
      <w:r w:rsidR="004556F3">
        <w:rPr>
          <w:sz w:val="28"/>
          <w:szCs w:val="28"/>
        </w:rPr>
        <w:t xml:space="preserve"> in favour of males</w:t>
      </w:r>
      <w:r>
        <w:rPr>
          <w:sz w:val="28"/>
          <w:szCs w:val="28"/>
        </w:rPr>
        <w:t xml:space="preserve"> in Agenda for Change banding </w:t>
      </w:r>
      <w:r w:rsidR="004556F3">
        <w:rPr>
          <w:sz w:val="28"/>
          <w:szCs w:val="28"/>
        </w:rPr>
        <w:t xml:space="preserve">of </w:t>
      </w:r>
      <w:r>
        <w:rPr>
          <w:sz w:val="28"/>
          <w:szCs w:val="28"/>
        </w:rPr>
        <w:t>NHS workers</w:t>
      </w:r>
      <w:r w:rsidR="006004E4">
        <w:rPr>
          <w:sz w:val="28"/>
          <w:szCs w:val="28"/>
        </w:rPr>
        <w:t xml:space="preserve"> (Table 2)</w:t>
      </w:r>
      <w:r>
        <w:rPr>
          <w:sz w:val="28"/>
          <w:szCs w:val="28"/>
        </w:rPr>
        <w:t xml:space="preserve">. </w:t>
      </w:r>
      <w:r w:rsidR="003D0036">
        <w:rPr>
          <w:sz w:val="28"/>
          <w:szCs w:val="28"/>
        </w:rPr>
        <w:t>However, m</w:t>
      </w:r>
      <w:r w:rsidRPr="00356DC7">
        <w:rPr>
          <w:sz w:val="28"/>
          <w:szCs w:val="28"/>
        </w:rPr>
        <w:t>ale workers in this sample were on average older and had worked more years since qualification than the fem</w:t>
      </w:r>
      <w:r w:rsidR="00356DC7" w:rsidRPr="00356DC7">
        <w:rPr>
          <w:sz w:val="28"/>
          <w:szCs w:val="28"/>
        </w:rPr>
        <w:t>ales and both these factors were</w:t>
      </w:r>
      <w:r w:rsidRPr="00356DC7">
        <w:rPr>
          <w:sz w:val="28"/>
          <w:szCs w:val="28"/>
        </w:rPr>
        <w:t xml:space="preserve"> </w:t>
      </w:r>
      <w:r w:rsidR="00FD039E" w:rsidRPr="00142C1F">
        <w:rPr>
          <w:sz w:val="28"/>
          <w:szCs w:val="28"/>
        </w:rPr>
        <w:t xml:space="preserve">highly </w:t>
      </w:r>
      <w:r w:rsidRPr="00142C1F">
        <w:rPr>
          <w:sz w:val="28"/>
          <w:szCs w:val="28"/>
        </w:rPr>
        <w:t xml:space="preserve">associated with </w:t>
      </w:r>
      <w:r w:rsidR="00605EED" w:rsidRPr="00142C1F">
        <w:rPr>
          <w:sz w:val="28"/>
          <w:szCs w:val="28"/>
        </w:rPr>
        <w:t>salary</w:t>
      </w:r>
      <w:r w:rsidRPr="00142C1F">
        <w:rPr>
          <w:sz w:val="28"/>
          <w:szCs w:val="28"/>
        </w:rPr>
        <w:t>.</w:t>
      </w:r>
      <w:r w:rsidR="000E456F" w:rsidRPr="00356DC7">
        <w:rPr>
          <w:sz w:val="28"/>
          <w:szCs w:val="28"/>
        </w:rPr>
        <w:t xml:space="preserve"> </w:t>
      </w:r>
      <w:r w:rsidR="003D0036">
        <w:rPr>
          <w:sz w:val="28"/>
          <w:szCs w:val="28"/>
        </w:rPr>
        <w:t>T</w:t>
      </w:r>
      <w:r w:rsidR="000E456F" w:rsidRPr="00356DC7">
        <w:rPr>
          <w:sz w:val="28"/>
          <w:szCs w:val="28"/>
        </w:rPr>
        <w:t xml:space="preserve">his is not to say that </w:t>
      </w:r>
      <w:r w:rsidR="000057E5" w:rsidRPr="00356DC7">
        <w:rPr>
          <w:sz w:val="28"/>
          <w:szCs w:val="28"/>
        </w:rPr>
        <w:t>fema</w:t>
      </w:r>
      <w:r w:rsidR="006B0F5D" w:rsidRPr="00356DC7">
        <w:rPr>
          <w:sz w:val="28"/>
          <w:szCs w:val="28"/>
        </w:rPr>
        <w:t xml:space="preserve">le workers </w:t>
      </w:r>
      <w:r w:rsidR="00C9677D" w:rsidRPr="00356DC7">
        <w:rPr>
          <w:sz w:val="28"/>
          <w:szCs w:val="28"/>
        </w:rPr>
        <w:t xml:space="preserve">do not </w:t>
      </w:r>
      <w:r w:rsidR="006B0F5D" w:rsidRPr="00356DC7">
        <w:rPr>
          <w:sz w:val="28"/>
          <w:szCs w:val="28"/>
        </w:rPr>
        <w:t>experience disadvantage in the workforce since</w:t>
      </w:r>
      <w:r w:rsidR="00C9677D" w:rsidRPr="00356DC7">
        <w:rPr>
          <w:sz w:val="28"/>
          <w:szCs w:val="28"/>
        </w:rPr>
        <w:t xml:space="preserve"> ‘the motherhood penalty’, for example,  has the potential to create inequalities in both years worked and age when leaving the workforce (Ch</w:t>
      </w:r>
      <w:r w:rsidR="003D0036">
        <w:rPr>
          <w:sz w:val="28"/>
          <w:szCs w:val="28"/>
        </w:rPr>
        <w:t xml:space="preserve">ung, Graham,  Downs,  Sandler &amp; </w:t>
      </w:r>
      <w:r w:rsidR="00C9677D" w:rsidRPr="00356DC7">
        <w:rPr>
          <w:sz w:val="28"/>
          <w:szCs w:val="28"/>
        </w:rPr>
        <w:t xml:space="preserve">Sienkiewicz 2017). </w:t>
      </w:r>
      <w:r w:rsidR="006B0F5D" w:rsidRPr="00356DC7">
        <w:rPr>
          <w:sz w:val="28"/>
          <w:szCs w:val="28"/>
        </w:rPr>
        <w:t xml:space="preserve"> </w:t>
      </w:r>
    </w:p>
    <w:p w14:paraId="6F43C3EB" w14:textId="4B4DC5DE" w:rsidR="003C0285" w:rsidRDefault="003C0285">
      <w:pPr>
        <w:rPr>
          <w:sz w:val="28"/>
          <w:szCs w:val="28"/>
        </w:rPr>
      </w:pPr>
      <w:r>
        <w:rPr>
          <w:sz w:val="28"/>
          <w:szCs w:val="28"/>
        </w:rPr>
        <w:t xml:space="preserve">Ethnicity showed an overall statistical difference for PPWWM scores with </w:t>
      </w:r>
      <w:r w:rsidR="008504B0">
        <w:rPr>
          <w:sz w:val="28"/>
          <w:szCs w:val="28"/>
        </w:rPr>
        <w:t xml:space="preserve">those identifying as Asian (other than Chinese) having </w:t>
      </w:r>
      <w:r w:rsidR="00942A83">
        <w:rPr>
          <w:sz w:val="28"/>
          <w:szCs w:val="28"/>
        </w:rPr>
        <w:t xml:space="preserve">a significantly higher than </w:t>
      </w:r>
      <w:r w:rsidR="008504B0">
        <w:rPr>
          <w:sz w:val="28"/>
          <w:szCs w:val="28"/>
        </w:rPr>
        <w:t xml:space="preserve">average </w:t>
      </w:r>
      <w:r w:rsidR="00942A83">
        <w:rPr>
          <w:sz w:val="28"/>
          <w:szCs w:val="28"/>
        </w:rPr>
        <w:t xml:space="preserve">score on both measures </w:t>
      </w:r>
      <w:r w:rsidR="008504B0">
        <w:rPr>
          <w:sz w:val="28"/>
          <w:szCs w:val="28"/>
        </w:rPr>
        <w:t>and those identifying as mixed race having the lowest</w:t>
      </w:r>
      <w:r w:rsidR="00942A83">
        <w:rPr>
          <w:sz w:val="28"/>
          <w:szCs w:val="28"/>
        </w:rPr>
        <w:t xml:space="preserve"> scores on both measures (but not significantly so)</w:t>
      </w:r>
      <w:r w:rsidR="008504B0">
        <w:rPr>
          <w:sz w:val="28"/>
          <w:szCs w:val="28"/>
        </w:rPr>
        <w:t>.</w:t>
      </w:r>
      <w:r w:rsidR="00BE7952">
        <w:rPr>
          <w:sz w:val="28"/>
          <w:szCs w:val="28"/>
        </w:rPr>
        <w:t xml:space="preserve"> </w:t>
      </w:r>
      <w:r w:rsidR="00273032">
        <w:rPr>
          <w:sz w:val="28"/>
          <w:szCs w:val="28"/>
        </w:rPr>
        <w:t xml:space="preserve">Lower </w:t>
      </w:r>
      <w:r w:rsidR="00BE7952">
        <w:rPr>
          <w:sz w:val="28"/>
          <w:szCs w:val="28"/>
        </w:rPr>
        <w:t xml:space="preserve">wellbeing </w:t>
      </w:r>
      <w:r w:rsidR="00942A83">
        <w:rPr>
          <w:sz w:val="28"/>
          <w:szCs w:val="28"/>
        </w:rPr>
        <w:t>in black and minority ethnic people</w:t>
      </w:r>
      <w:r w:rsidR="00273032">
        <w:rPr>
          <w:sz w:val="28"/>
          <w:szCs w:val="28"/>
        </w:rPr>
        <w:t xml:space="preserve"> </w:t>
      </w:r>
      <w:r w:rsidR="00605EED">
        <w:rPr>
          <w:sz w:val="28"/>
          <w:szCs w:val="28"/>
        </w:rPr>
        <w:t>is</w:t>
      </w:r>
      <w:r w:rsidR="00BE7952">
        <w:rPr>
          <w:sz w:val="28"/>
          <w:szCs w:val="28"/>
        </w:rPr>
        <w:t xml:space="preserve"> well document</w:t>
      </w:r>
      <w:r w:rsidR="006665AE">
        <w:rPr>
          <w:sz w:val="28"/>
          <w:szCs w:val="28"/>
        </w:rPr>
        <w:t>ed</w:t>
      </w:r>
      <w:r w:rsidR="00BE7952">
        <w:rPr>
          <w:sz w:val="28"/>
          <w:szCs w:val="28"/>
        </w:rPr>
        <w:t xml:space="preserve"> (Stevenson &amp; Rao, 2014), but the current study </w:t>
      </w:r>
      <w:r w:rsidR="00273032">
        <w:rPr>
          <w:sz w:val="28"/>
          <w:szCs w:val="28"/>
        </w:rPr>
        <w:t>reveal</w:t>
      </w:r>
      <w:r w:rsidR="00AE1074">
        <w:rPr>
          <w:sz w:val="28"/>
          <w:szCs w:val="28"/>
        </w:rPr>
        <w:t>ed</w:t>
      </w:r>
      <w:r w:rsidR="00273032">
        <w:rPr>
          <w:sz w:val="28"/>
          <w:szCs w:val="28"/>
        </w:rPr>
        <w:t xml:space="preserve"> a mixed picture </w:t>
      </w:r>
      <w:r w:rsidR="00BE7952">
        <w:rPr>
          <w:sz w:val="28"/>
          <w:szCs w:val="28"/>
        </w:rPr>
        <w:t xml:space="preserve">for </w:t>
      </w:r>
      <w:r w:rsidR="00BE7952">
        <w:rPr>
          <w:sz w:val="28"/>
          <w:szCs w:val="28"/>
        </w:rPr>
        <w:lastRenderedPageBreak/>
        <w:t>psychological practition</w:t>
      </w:r>
      <w:r w:rsidR="00273032">
        <w:rPr>
          <w:sz w:val="28"/>
          <w:szCs w:val="28"/>
        </w:rPr>
        <w:t>e</w:t>
      </w:r>
      <w:r w:rsidR="00BE7952">
        <w:rPr>
          <w:sz w:val="28"/>
          <w:szCs w:val="28"/>
        </w:rPr>
        <w:t>rs</w:t>
      </w:r>
      <w:r w:rsidR="00273032">
        <w:rPr>
          <w:sz w:val="28"/>
          <w:szCs w:val="28"/>
        </w:rPr>
        <w:t xml:space="preserve"> with wh</w:t>
      </w:r>
      <w:r w:rsidR="00942A83">
        <w:rPr>
          <w:sz w:val="28"/>
          <w:szCs w:val="28"/>
        </w:rPr>
        <w:t xml:space="preserve">ite practitioners demonstrating somewhat </w:t>
      </w:r>
      <w:r w:rsidR="00273032">
        <w:rPr>
          <w:sz w:val="28"/>
          <w:szCs w:val="28"/>
        </w:rPr>
        <w:t xml:space="preserve">lower wellbeing than all groups other than those of mixed race. However, </w:t>
      </w:r>
      <w:r w:rsidR="00AE1074">
        <w:rPr>
          <w:sz w:val="28"/>
          <w:szCs w:val="28"/>
        </w:rPr>
        <w:t>s</w:t>
      </w:r>
      <w:r w:rsidR="00942A83">
        <w:rPr>
          <w:sz w:val="28"/>
          <w:szCs w:val="28"/>
        </w:rPr>
        <w:t>ample sizes for the non-white</w:t>
      </w:r>
      <w:r w:rsidR="00273032">
        <w:rPr>
          <w:sz w:val="28"/>
          <w:szCs w:val="28"/>
        </w:rPr>
        <w:t xml:space="preserve"> groups are small, so differences should be treated with caution. </w:t>
      </w:r>
    </w:p>
    <w:p w14:paraId="15C00B5B" w14:textId="77777777" w:rsidR="003C0285" w:rsidRDefault="00A26B10" w:rsidP="005A6E92">
      <w:pPr>
        <w:rPr>
          <w:sz w:val="28"/>
          <w:szCs w:val="28"/>
        </w:rPr>
      </w:pPr>
      <w:r>
        <w:rPr>
          <w:sz w:val="28"/>
          <w:szCs w:val="28"/>
        </w:rPr>
        <w:t xml:space="preserve">The percentage of </w:t>
      </w:r>
      <w:r w:rsidR="00E80FFA">
        <w:rPr>
          <w:sz w:val="28"/>
          <w:szCs w:val="28"/>
        </w:rPr>
        <w:t>psychological practitioners</w:t>
      </w:r>
      <w:r w:rsidR="00860916">
        <w:rPr>
          <w:sz w:val="28"/>
          <w:szCs w:val="28"/>
        </w:rPr>
        <w:t xml:space="preserve"> self-</w:t>
      </w:r>
      <w:r>
        <w:rPr>
          <w:sz w:val="28"/>
          <w:szCs w:val="28"/>
        </w:rPr>
        <w:t>identifying as disabled</w:t>
      </w:r>
      <w:r w:rsidR="007C48C6">
        <w:rPr>
          <w:sz w:val="28"/>
          <w:szCs w:val="28"/>
        </w:rPr>
        <w:t xml:space="preserve"> (over 17%) </w:t>
      </w:r>
      <w:r>
        <w:rPr>
          <w:sz w:val="28"/>
          <w:szCs w:val="28"/>
        </w:rPr>
        <w:t>was unexpected</w:t>
      </w:r>
      <w:r w:rsidR="00730901">
        <w:rPr>
          <w:sz w:val="28"/>
          <w:szCs w:val="28"/>
        </w:rPr>
        <w:t xml:space="preserve">; </w:t>
      </w:r>
      <w:r w:rsidR="002503AD">
        <w:rPr>
          <w:sz w:val="28"/>
          <w:szCs w:val="28"/>
        </w:rPr>
        <w:t>it was onl</w:t>
      </w:r>
      <w:r w:rsidR="00730901">
        <w:rPr>
          <w:sz w:val="28"/>
          <w:szCs w:val="28"/>
        </w:rPr>
        <w:t>y</w:t>
      </w:r>
      <w:r w:rsidR="002503AD">
        <w:rPr>
          <w:sz w:val="28"/>
          <w:szCs w:val="28"/>
        </w:rPr>
        <w:t xml:space="preserve"> 12% in Summers et al.’s </w:t>
      </w:r>
      <w:r w:rsidR="00AD244F">
        <w:rPr>
          <w:sz w:val="28"/>
          <w:szCs w:val="28"/>
        </w:rPr>
        <w:t xml:space="preserve">(2020) </w:t>
      </w:r>
      <w:r w:rsidR="002503AD">
        <w:rPr>
          <w:sz w:val="28"/>
          <w:szCs w:val="28"/>
        </w:rPr>
        <w:t>mainly clinical psychologist sample.</w:t>
      </w:r>
      <w:r w:rsidR="00730901">
        <w:rPr>
          <w:sz w:val="28"/>
          <w:szCs w:val="28"/>
        </w:rPr>
        <w:t xml:space="preserve"> </w:t>
      </w:r>
      <w:r w:rsidR="005C2BE7">
        <w:rPr>
          <w:sz w:val="28"/>
          <w:szCs w:val="28"/>
        </w:rPr>
        <w:t xml:space="preserve">However, this figure is close to that of the 2018 NHS staff survey figure of 18% </w:t>
      </w:r>
      <w:r w:rsidR="00E80FFA">
        <w:rPr>
          <w:sz w:val="28"/>
          <w:szCs w:val="28"/>
        </w:rPr>
        <w:t>(</w:t>
      </w:r>
      <w:bookmarkStart w:id="7" w:name="_Hlk22835878"/>
      <w:r w:rsidR="00E80FFA">
        <w:rPr>
          <w:sz w:val="28"/>
          <w:szCs w:val="28"/>
        </w:rPr>
        <w:t>NHS staff s</w:t>
      </w:r>
      <w:r w:rsidR="005C2BE7">
        <w:rPr>
          <w:sz w:val="28"/>
          <w:szCs w:val="28"/>
        </w:rPr>
        <w:t>urvey coordination centre</w:t>
      </w:r>
      <w:r w:rsidR="00E80FFA">
        <w:rPr>
          <w:sz w:val="28"/>
          <w:szCs w:val="28"/>
        </w:rPr>
        <w:t>, 2018</w:t>
      </w:r>
      <w:bookmarkEnd w:id="7"/>
      <w:r w:rsidR="00E80FFA">
        <w:rPr>
          <w:sz w:val="28"/>
          <w:szCs w:val="28"/>
        </w:rPr>
        <w:t>)</w:t>
      </w:r>
      <w:r w:rsidR="005C2BE7">
        <w:rPr>
          <w:sz w:val="28"/>
          <w:szCs w:val="28"/>
        </w:rPr>
        <w:t xml:space="preserve">. </w:t>
      </w:r>
      <w:r w:rsidR="00730901">
        <w:rPr>
          <w:sz w:val="28"/>
          <w:szCs w:val="28"/>
        </w:rPr>
        <w:t>T</w:t>
      </w:r>
      <w:r w:rsidR="00453002">
        <w:rPr>
          <w:sz w:val="28"/>
          <w:szCs w:val="28"/>
        </w:rPr>
        <w:t>here was a</w:t>
      </w:r>
      <w:r>
        <w:rPr>
          <w:sz w:val="28"/>
          <w:szCs w:val="28"/>
        </w:rPr>
        <w:t xml:space="preserve"> very clear and highly significant difference between </w:t>
      </w:r>
      <w:r w:rsidR="00381D76">
        <w:rPr>
          <w:sz w:val="28"/>
          <w:szCs w:val="28"/>
        </w:rPr>
        <w:t>those reporting disabilities and those who did not</w:t>
      </w:r>
      <w:r>
        <w:rPr>
          <w:sz w:val="28"/>
          <w:szCs w:val="28"/>
        </w:rPr>
        <w:t xml:space="preserve"> in terms of workplace wellbeing</w:t>
      </w:r>
      <w:r w:rsidR="00730901">
        <w:rPr>
          <w:sz w:val="28"/>
          <w:szCs w:val="28"/>
        </w:rPr>
        <w:t xml:space="preserve"> </w:t>
      </w:r>
      <w:r w:rsidR="00A63AA0">
        <w:rPr>
          <w:sz w:val="28"/>
          <w:szCs w:val="28"/>
        </w:rPr>
        <w:t xml:space="preserve">and general wellbeing </w:t>
      </w:r>
      <w:r w:rsidR="00730901">
        <w:rPr>
          <w:sz w:val="28"/>
          <w:szCs w:val="28"/>
        </w:rPr>
        <w:t xml:space="preserve">in favour of those without </w:t>
      </w:r>
      <w:r w:rsidR="00381D76">
        <w:rPr>
          <w:sz w:val="28"/>
          <w:szCs w:val="28"/>
        </w:rPr>
        <w:t xml:space="preserve">reported </w:t>
      </w:r>
      <w:r w:rsidR="00730901">
        <w:rPr>
          <w:sz w:val="28"/>
          <w:szCs w:val="28"/>
        </w:rPr>
        <w:t>disability.</w:t>
      </w:r>
      <w:r w:rsidR="005A6E92">
        <w:rPr>
          <w:sz w:val="28"/>
          <w:szCs w:val="28"/>
        </w:rPr>
        <w:t xml:space="preserve"> This reflects the negative relationship between job satisfaction and </w:t>
      </w:r>
      <w:r w:rsidR="003E20DC">
        <w:rPr>
          <w:sz w:val="28"/>
          <w:szCs w:val="28"/>
        </w:rPr>
        <w:t xml:space="preserve">long-term </w:t>
      </w:r>
      <w:r w:rsidR="005A6E92">
        <w:rPr>
          <w:sz w:val="28"/>
          <w:szCs w:val="28"/>
        </w:rPr>
        <w:t xml:space="preserve">health problems/disabilities </w:t>
      </w:r>
      <w:r w:rsidR="005A6E92" w:rsidRPr="005A6E92">
        <w:rPr>
          <w:sz w:val="28"/>
          <w:szCs w:val="28"/>
        </w:rPr>
        <w:t>(</w:t>
      </w:r>
      <w:r w:rsidR="005A6E92" w:rsidRPr="005A6E92">
        <w:rPr>
          <w:rFonts w:cs="Times New Roman"/>
          <w:sz w:val="28"/>
          <w:szCs w:val="28"/>
          <w:shd w:val="clear" w:color="auto" w:fill="FFFFFF"/>
        </w:rPr>
        <w:t>Gazioglu &amp; Tansel, 2006;</w:t>
      </w:r>
      <w:r w:rsidR="005A6E92" w:rsidRPr="005A6E92">
        <w:rPr>
          <w:sz w:val="28"/>
          <w:szCs w:val="28"/>
        </w:rPr>
        <w:t xml:space="preserve"> </w:t>
      </w:r>
      <w:r w:rsidR="005A6E92" w:rsidRPr="005A6E92">
        <w:rPr>
          <w:rFonts w:cs="Times New Roman"/>
          <w:sz w:val="28"/>
          <w:szCs w:val="28"/>
          <w:shd w:val="clear" w:color="auto" w:fill="FFFFFF"/>
        </w:rPr>
        <w:t>Clark, 1996)</w:t>
      </w:r>
      <w:r w:rsidR="003E20DC">
        <w:rPr>
          <w:rFonts w:cs="Times New Roman"/>
          <w:sz w:val="28"/>
          <w:szCs w:val="28"/>
          <w:shd w:val="clear" w:color="auto" w:fill="FFFFFF"/>
        </w:rPr>
        <w:t xml:space="preserve"> and indicates the need for </w:t>
      </w:r>
      <w:r w:rsidR="00096C51">
        <w:rPr>
          <w:rFonts w:cs="Times New Roman"/>
          <w:sz w:val="28"/>
          <w:szCs w:val="28"/>
          <w:shd w:val="clear" w:color="auto" w:fill="FFFFFF"/>
        </w:rPr>
        <w:t xml:space="preserve">improved </w:t>
      </w:r>
      <w:r w:rsidR="000F3E23">
        <w:rPr>
          <w:rFonts w:cs="Times New Roman"/>
          <w:sz w:val="28"/>
          <w:szCs w:val="28"/>
          <w:shd w:val="clear" w:color="auto" w:fill="FFFFFF"/>
        </w:rPr>
        <w:t xml:space="preserve">understanding of </w:t>
      </w:r>
      <w:r w:rsidR="00381D76">
        <w:rPr>
          <w:rFonts w:cs="Times New Roman"/>
          <w:sz w:val="28"/>
          <w:szCs w:val="28"/>
          <w:shd w:val="clear" w:color="auto" w:fill="FFFFFF"/>
        </w:rPr>
        <w:t>workplace support for</w:t>
      </w:r>
      <w:r w:rsidR="00096C51">
        <w:rPr>
          <w:rFonts w:cs="Times New Roman"/>
          <w:sz w:val="28"/>
          <w:szCs w:val="28"/>
          <w:shd w:val="clear" w:color="auto" w:fill="FFFFFF"/>
        </w:rPr>
        <w:t xml:space="preserve"> workers </w:t>
      </w:r>
      <w:r w:rsidR="00381D76">
        <w:rPr>
          <w:rFonts w:cs="Times New Roman"/>
          <w:sz w:val="28"/>
          <w:szCs w:val="28"/>
          <w:shd w:val="clear" w:color="auto" w:fill="FFFFFF"/>
        </w:rPr>
        <w:t xml:space="preserve">with disabilities </w:t>
      </w:r>
      <w:r w:rsidR="00096C51">
        <w:rPr>
          <w:rFonts w:cs="Times New Roman"/>
          <w:sz w:val="28"/>
          <w:szCs w:val="28"/>
          <w:shd w:val="clear" w:color="auto" w:fill="FFFFFF"/>
        </w:rPr>
        <w:t xml:space="preserve">(Nevala, </w:t>
      </w:r>
      <w:r w:rsidR="000F3E23">
        <w:rPr>
          <w:rFonts w:cs="Times New Roman"/>
          <w:sz w:val="28"/>
          <w:szCs w:val="28"/>
          <w:shd w:val="clear" w:color="auto" w:fill="FFFFFF"/>
        </w:rPr>
        <w:t>Pehkonen, Koskela,</w:t>
      </w:r>
      <w:r w:rsidR="00096C51" w:rsidRPr="00096C51">
        <w:rPr>
          <w:rFonts w:cs="Times New Roman"/>
          <w:sz w:val="28"/>
          <w:szCs w:val="28"/>
          <w:shd w:val="clear" w:color="auto" w:fill="FFFFFF"/>
        </w:rPr>
        <w:t xml:space="preserve"> </w:t>
      </w:r>
      <w:r w:rsidR="006A09F6" w:rsidRPr="006A09F6">
        <w:rPr>
          <w:rFonts w:cs="Times New Roman"/>
          <w:sz w:val="28"/>
          <w:szCs w:val="28"/>
          <w:shd w:val="clear" w:color="auto" w:fill="FFFFFF"/>
        </w:rPr>
        <w:t xml:space="preserve">Ruusuvuori, &amp; Anttila, </w:t>
      </w:r>
      <w:r w:rsidR="00096C51">
        <w:rPr>
          <w:rFonts w:cs="Times New Roman"/>
          <w:sz w:val="28"/>
          <w:szCs w:val="28"/>
          <w:shd w:val="clear" w:color="auto" w:fill="FFFFFF"/>
        </w:rPr>
        <w:t>2015).</w:t>
      </w:r>
    </w:p>
    <w:p w14:paraId="038054A4" w14:textId="77777777" w:rsidR="001473F1" w:rsidRDefault="001473F1">
      <w:pPr>
        <w:rPr>
          <w:sz w:val="28"/>
          <w:szCs w:val="28"/>
        </w:rPr>
      </w:pPr>
    </w:p>
    <w:p w14:paraId="6D3BBBFE" w14:textId="016A4858" w:rsidR="00453002" w:rsidRDefault="00650577">
      <w:pPr>
        <w:rPr>
          <w:sz w:val="28"/>
          <w:szCs w:val="28"/>
        </w:rPr>
      </w:pPr>
      <w:r>
        <w:rPr>
          <w:sz w:val="28"/>
          <w:szCs w:val="28"/>
        </w:rPr>
        <w:t>S</w:t>
      </w:r>
      <w:r w:rsidR="002C78BC">
        <w:rPr>
          <w:sz w:val="28"/>
          <w:szCs w:val="28"/>
        </w:rPr>
        <w:t xml:space="preserve">elf-reported </w:t>
      </w:r>
      <w:r w:rsidR="0065104E">
        <w:rPr>
          <w:sz w:val="28"/>
          <w:szCs w:val="28"/>
        </w:rPr>
        <w:t>‘</w:t>
      </w:r>
      <w:r w:rsidR="00F36365" w:rsidRPr="0065104E">
        <w:rPr>
          <w:i/>
          <w:sz w:val="28"/>
          <w:szCs w:val="28"/>
        </w:rPr>
        <w:t>feeling depressed</w:t>
      </w:r>
      <w:r w:rsidR="0065104E" w:rsidRPr="0065104E">
        <w:rPr>
          <w:i/>
          <w:sz w:val="28"/>
          <w:szCs w:val="28"/>
        </w:rPr>
        <w:t>’</w:t>
      </w:r>
      <w:r>
        <w:rPr>
          <w:i/>
          <w:sz w:val="28"/>
          <w:szCs w:val="28"/>
        </w:rPr>
        <w:t xml:space="preserve"> (43.3%</w:t>
      </w:r>
      <w:r w:rsidR="00FB76B9">
        <w:rPr>
          <w:i/>
          <w:sz w:val="28"/>
          <w:szCs w:val="28"/>
        </w:rPr>
        <w:t xml:space="preserve">) </w:t>
      </w:r>
      <w:r w:rsidR="00FB76B9">
        <w:rPr>
          <w:sz w:val="28"/>
          <w:szCs w:val="28"/>
        </w:rPr>
        <w:t>and</w:t>
      </w:r>
      <w:r w:rsidR="00F36365">
        <w:rPr>
          <w:sz w:val="28"/>
          <w:szCs w:val="28"/>
        </w:rPr>
        <w:t xml:space="preserve"> </w:t>
      </w:r>
      <w:r w:rsidR="0065104E">
        <w:rPr>
          <w:sz w:val="28"/>
          <w:szCs w:val="28"/>
        </w:rPr>
        <w:t>‘</w:t>
      </w:r>
      <w:r w:rsidR="00F36365" w:rsidRPr="0065104E">
        <w:rPr>
          <w:i/>
          <w:sz w:val="28"/>
          <w:szCs w:val="28"/>
        </w:rPr>
        <w:t>a failure</w:t>
      </w:r>
      <w:r w:rsidR="0065104E" w:rsidRPr="0065104E">
        <w:rPr>
          <w:i/>
          <w:sz w:val="28"/>
          <w:szCs w:val="28"/>
        </w:rPr>
        <w:t>’</w:t>
      </w:r>
      <w:r w:rsidR="00F36365">
        <w:rPr>
          <w:sz w:val="28"/>
          <w:szCs w:val="28"/>
        </w:rPr>
        <w:t xml:space="preserve"> </w:t>
      </w:r>
      <w:r>
        <w:rPr>
          <w:sz w:val="28"/>
          <w:szCs w:val="28"/>
        </w:rPr>
        <w:t>(42.3%) was comparable with</w:t>
      </w:r>
      <w:r w:rsidR="009375A5">
        <w:rPr>
          <w:sz w:val="28"/>
          <w:szCs w:val="28"/>
        </w:rPr>
        <w:t xml:space="preserve"> the survey </w:t>
      </w:r>
      <w:r w:rsidR="00FB76B9">
        <w:rPr>
          <w:sz w:val="28"/>
          <w:szCs w:val="28"/>
        </w:rPr>
        <w:t xml:space="preserve">of </w:t>
      </w:r>
      <w:r w:rsidR="00305D7E">
        <w:rPr>
          <w:sz w:val="28"/>
          <w:szCs w:val="28"/>
        </w:rPr>
        <w:t>Hacker-Hughes et al., (</w:t>
      </w:r>
      <w:r w:rsidR="00F20CDD" w:rsidRPr="00F20CDD">
        <w:rPr>
          <w:sz w:val="28"/>
          <w:szCs w:val="28"/>
        </w:rPr>
        <w:t>2016</w:t>
      </w:r>
      <w:r w:rsidR="00810A1E">
        <w:rPr>
          <w:sz w:val="28"/>
          <w:szCs w:val="28"/>
        </w:rPr>
        <w:t>)</w:t>
      </w:r>
      <w:r>
        <w:rPr>
          <w:sz w:val="28"/>
          <w:szCs w:val="28"/>
        </w:rPr>
        <w:t xml:space="preserve"> who </w:t>
      </w:r>
      <w:r w:rsidR="00FB76B9">
        <w:rPr>
          <w:sz w:val="28"/>
          <w:szCs w:val="28"/>
        </w:rPr>
        <w:t>reported 48</w:t>
      </w:r>
      <w:r>
        <w:rPr>
          <w:sz w:val="28"/>
          <w:szCs w:val="28"/>
        </w:rPr>
        <w:t xml:space="preserve">%. The correlations of these indices with the PPWWM </w:t>
      </w:r>
      <w:r w:rsidR="00F36365">
        <w:rPr>
          <w:sz w:val="28"/>
          <w:szCs w:val="28"/>
        </w:rPr>
        <w:t xml:space="preserve">are indicative of the negative aspects of workplace wellbeing. </w:t>
      </w:r>
      <w:r w:rsidR="00111581">
        <w:rPr>
          <w:sz w:val="28"/>
          <w:szCs w:val="28"/>
        </w:rPr>
        <w:t xml:space="preserve">This relationship with depression was </w:t>
      </w:r>
      <w:r w:rsidR="00111581" w:rsidRPr="00667A6C">
        <w:rPr>
          <w:color w:val="000000" w:themeColor="text1"/>
          <w:sz w:val="28"/>
          <w:szCs w:val="28"/>
        </w:rPr>
        <w:t xml:space="preserve">expected and reflects the findings of copious previous research </w:t>
      </w:r>
      <w:r w:rsidR="00854D5C">
        <w:rPr>
          <w:color w:val="000000" w:themeColor="text1"/>
          <w:sz w:val="28"/>
          <w:szCs w:val="28"/>
        </w:rPr>
        <w:t>(</w:t>
      </w:r>
      <w:r w:rsidR="00111581" w:rsidRPr="00667A6C">
        <w:rPr>
          <w:color w:val="000000" w:themeColor="text1"/>
          <w:sz w:val="28"/>
          <w:szCs w:val="28"/>
        </w:rPr>
        <w:t>Gla</w:t>
      </w:r>
      <w:r w:rsidR="00667A6C" w:rsidRPr="00667A6C">
        <w:rPr>
          <w:color w:val="000000" w:themeColor="text1"/>
          <w:sz w:val="28"/>
          <w:szCs w:val="28"/>
        </w:rPr>
        <w:t>s</w:t>
      </w:r>
      <w:r w:rsidR="00111581" w:rsidRPr="00667A6C">
        <w:rPr>
          <w:color w:val="000000" w:themeColor="text1"/>
          <w:sz w:val="28"/>
          <w:szCs w:val="28"/>
        </w:rPr>
        <w:t>s &amp; McKnight</w:t>
      </w:r>
      <w:r w:rsidR="00854D5C">
        <w:rPr>
          <w:color w:val="000000" w:themeColor="text1"/>
          <w:sz w:val="28"/>
          <w:szCs w:val="28"/>
        </w:rPr>
        <w:t xml:space="preserve">, </w:t>
      </w:r>
      <w:r w:rsidR="00667A6C" w:rsidRPr="00667A6C">
        <w:rPr>
          <w:color w:val="000000" w:themeColor="text1"/>
          <w:sz w:val="28"/>
          <w:szCs w:val="28"/>
        </w:rPr>
        <w:t>1996)</w:t>
      </w:r>
      <w:r w:rsidR="00111581" w:rsidRPr="00667A6C">
        <w:rPr>
          <w:color w:val="000000" w:themeColor="text1"/>
          <w:sz w:val="28"/>
          <w:szCs w:val="28"/>
        </w:rPr>
        <w:t xml:space="preserve">. </w:t>
      </w:r>
      <w:r w:rsidR="00111581">
        <w:rPr>
          <w:sz w:val="28"/>
          <w:szCs w:val="28"/>
        </w:rPr>
        <w:t xml:space="preserve">However, the </w:t>
      </w:r>
      <w:r w:rsidR="00A63AA0">
        <w:rPr>
          <w:sz w:val="28"/>
          <w:szCs w:val="28"/>
        </w:rPr>
        <w:t xml:space="preserve">functional </w:t>
      </w:r>
      <w:r w:rsidR="00111581">
        <w:rPr>
          <w:sz w:val="28"/>
          <w:szCs w:val="28"/>
        </w:rPr>
        <w:t xml:space="preserve">relationship between depression and burnout </w:t>
      </w:r>
      <w:r w:rsidR="00667A6C">
        <w:rPr>
          <w:sz w:val="28"/>
          <w:szCs w:val="28"/>
        </w:rPr>
        <w:t xml:space="preserve">remains </w:t>
      </w:r>
      <w:r w:rsidR="00A63AA0">
        <w:rPr>
          <w:sz w:val="28"/>
          <w:szCs w:val="28"/>
        </w:rPr>
        <w:t>unclea</w:t>
      </w:r>
      <w:r w:rsidR="004B4076">
        <w:rPr>
          <w:sz w:val="28"/>
          <w:szCs w:val="28"/>
        </w:rPr>
        <w:t>r, especially the question of</w:t>
      </w:r>
      <w:r w:rsidR="00A63AA0">
        <w:rPr>
          <w:sz w:val="28"/>
          <w:szCs w:val="28"/>
        </w:rPr>
        <w:t xml:space="preserve"> </w:t>
      </w:r>
      <w:r w:rsidR="00667A6C">
        <w:rPr>
          <w:sz w:val="28"/>
          <w:szCs w:val="28"/>
        </w:rPr>
        <w:t>whether they are aspects of the same phenomenon or different stages in a developmental sequence (Bianchi, Shonfeld &amp; Laurent, 2015)</w:t>
      </w:r>
      <w:r w:rsidR="00A63AA0">
        <w:rPr>
          <w:sz w:val="28"/>
          <w:szCs w:val="28"/>
        </w:rPr>
        <w:t>.</w:t>
      </w:r>
    </w:p>
    <w:p w14:paraId="27A7E3C1" w14:textId="77777777" w:rsidR="00667A6C" w:rsidRDefault="002C78BC">
      <w:pPr>
        <w:rPr>
          <w:sz w:val="28"/>
          <w:szCs w:val="28"/>
        </w:rPr>
      </w:pPr>
      <w:r>
        <w:rPr>
          <w:sz w:val="28"/>
          <w:szCs w:val="28"/>
        </w:rPr>
        <w:t>Self-reported h</w:t>
      </w:r>
      <w:r w:rsidRPr="002C78BC">
        <w:rPr>
          <w:sz w:val="28"/>
          <w:szCs w:val="28"/>
        </w:rPr>
        <w:t xml:space="preserve">arassment and bullying </w:t>
      </w:r>
      <w:r>
        <w:rPr>
          <w:sz w:val="28"/>
          <w:szCs w:val="28"/>
        </w:rPr>
        <w:t>also correlated with the PPWWM.</w:t>
      </w:r>
      <w:r w:rsidR="002B691E">
        <w:rPr>
          <w:sz w:val="28"/>
          <w:szCs w:val="28"/>
        </w:rPr>
        <w:t xml:space="preserve"> This finding corroborates previous </w:t>
      </w:r>
      <w:r w:rsidR="00076C75">
        <w:rPr>
          <w:sz w:val="28"/>
          <w:szCs w:val="28"/>
        </w:rPr>
        <w:t xml:space="preserve">cross-sectional and longitudinal </w:t>
      </w:r>
      <w:r w:rsidR="002B691E">
        <w:rPr>
          <w:sz w:val="28"/>
          <w:szCs w:val="28"/>
        </w:rPr>
        <w:t xml:space="preserve">work on the relationship between bullying and harassment and psychological </w:t>
      </w:r>
      <w:r w:rsidR="00076C75">
        <w:rPr>
          <w:sz w:val="28"/>
          <w:szCs w:val="28"/>
        </w:rPr>
        <w:t>and physical symptoms</w:t>
      </w:r>
      <w:r w:rsidR="002B691E">
        <w:rPr>
          <w:sz w:val="28"/>
          <w:szCs w:val="28"/>
        </w:rPr>
        <w:t xml:space="preserve"> (</w:t>
      </w:r>
      <w:r w:rsidR="002B691E" w:rsidRPr="002B691E">
        <w:rPr>
          <w:sz w:val="28"/>
          <w:szCs w:val="28"/>
        </w:rPr>
        <w:t>Beswick, Gore, Palferman</w:t>
      </w:r>
      <w:r w:rsidR="002B691E">
        <w:rPr>
          <w:sz w:val="28"/>
          <w:szCs w:val="28"/>
        </w:rPr>
        <w:t>, 2006)</w:t>
      </w:r>
      <w:r w:rsidR="00076C75">
        <w:rPr>
          <w:sz w:val="28"/>
          <w:szCs w:val="28"/>
        </w:rPr>
        <w:t>.</w:t>
      </w:r>
    </w:p>
    <w:p w14:paraId="6ED92CEA" w14:textId="551C15C5" w:rsidR="00076C75" w:rsidRPr="00365B33" w:rsidRDefault="009375A5">
      <w:pPr>
        <w:rPr>
          <w:color w:val="70AD47" w:themeColor="accent6"/>
          <w:sz w:val="28"/>
          <w:szCs w:val="28"/>
        </w:rPr>
      </w:pPr>
      <w:r>
        <w:rPr>
          <w:sz w:val="28"/>
          <w:szCs w:val="28"/>
        </w:rPr>
        <w:t>Finally, the negative</w:t>
      </w:r>
      <w:r w:rsidR="00076C75">
        <w:rPr>
          <w:sz w:val="28"/>
          <w:szCs w:val="28"/>
        </w:rPr>
        <w:t xml:space="preserve"> association between the PPWWM and wan</w:t>
      </w:r>
      <w:r w:rsidR="008E7085">
        <w:rPr>
          <w:sz w:val="28"/>
          <w:szCs w:val="28"/>
        </w:rPr>
        <w:t>t</w:t>
      </w:r>
      <w:r w:rsidR="00076C75">
        <w:rPr>
          <w:sz w:val="28"/>
          <w:szCs w:val="28"/>
        </w:rPr>
        <w:t>ing to leave the NHS is i</w:t>
      </w:r>
      <w:r w:rsidR="00854D5C">
        <w:rPr>
          <w:sz w:val="28"/>
          <w:szCs w:val="28"/>
        </w:rPr>
        <w:t xml:space="preserve">ndicative of the potential for </w:t>
      </w:r>
      <w:r w:rsidR="008E7085">
        <w:rPr>
          <w:sz w:val="28"/>
          <w:szCs w:val="28"/>
        </w:rPr>
        <w:t xml:space="preserve">factors associated with </w:t>
      </w:r>
      <w:r w:rsidR="00076C75">
        <w:rPr>
          <w:sz w:val="28"/>
          <w:szCs w:val="28"/>
        </w:rPr>
        <w:t>poor workforce wellbeing to engender high staff turnover rates</w:t>
      </w:r>
      <w:r w:rsidR="004B4076">
        <w:rPr>
          <w:sz w:val="28"/>
          <w:szCs w:val="28"/>
        </w:rPr>
        <w:t xml:space="preserve"> (Boorman, 2009;</w:t>
      </w:r>
      <w:r w:rsidR="008E7085" w:rsidRPr="008E7085">
        <w:t xml:space="preserve"> </w:t>
      </w:r>
      <w:r w:rsidR="008E7085" w:rsidRPr="008E7085">
        <w:rPr>
          <w:sz w:val="28"/>
          <w:szCs w:val="28"/>
        </w:rPr>
        <w:t>Griffeth, Hom</w:t>
      </w:r>
      <w:r w:rsidR="008E7085">
        <w:rPr>
          <w:sz w:val="28"/>
          <w:szCs w:val="28"/>
        </w:rPr>
        <w:t xml:space="preserve"> &amp; </w:t>
      </w:r>
      <w:r w:rsidR="008E7085" w:rsidRPr="008E7085">
        <w:rPr>
          <w:sz w:val="28"/>
          <w:szCs w:val="28"/>
        </w:rPr>
        <w:t>Gaertner</w:t>
      </w:r>
      <w:r w:rsidR="008E7085">
        <w:rPr>
          <w:sz w:val="28"/>
          <w:szCs w:val="28"/>
        </w:rPr>
        <w:t xml:space="preserve">, 2000). </w:t>
      </w:r>
      <w:r w:rsidR="008E7085" w:rsidRPr="009F4C19">
        <w:rPr>
          <w:sz w:val="28"/>
          <w:szCs w:val="28"/>
        </w:rPr>
        <w:t xml:space="preserve">This highlights the importance of interventions to promote wellbeing as a means of reducing </w:t>
      </w:r>
      <w:r w:rsidR="00BF3EDF" w:rsidRPr="009F4C19">
        <w:rPr>
          <w:sz w:val="28"/>
          <w:szCs w:val="28"/>
        </w:rPr>
        <w:t xml:space="preserve">unplanned absences </w:t>
      </w:r>
      <w:r w:rsidR="008E7085" w:rsidRPr="009F4C19">
        <w:rPr>
          <w:sz w:val="28"/>
          <w:szCs w:val="28"/>
        </w:rPr>
        <w:t>and</w:t>
      </w:r>
      <w:r w:rsidR="004B4076">
        <w:rPr>
          <w:sz w:val="28"/>
          <w:szCs w:val="28"/>
        </w:rPr>
        <w:t xml:space="preserve"> the</w:t>
      </w:r>
      <w:r w:rsidR="008E7085" w:rsidRPr="009F4C19">
        <w:rPr>
          <w:sz w:val="28"/>
          <w:szCs w:val="28"/>
        </w:rPr>
        <w:t xml:space="preserve"> costs associated with high turnover</w:t>
      </w:r>
      <w:r w:rsidR="00BF3EDF" w:rsidRPr="009F4C19">
        <w:rPr>
          <w:sz w:val="28"/>
          <w:szCs w:val="28"/>
        </w:rPr>
        <w:t xml:space="preserve"> (Michie &amp; Williams, 2003).</w:t>
      </w:r>
    </w:p>
    <w:p w14:paraId="1C9D09FE" w14:textId="77777777" w:rsidR="00A26B10" w:rsidRDefault="00A26B10">
      <w:pPr>
        <w:rPr>
          <w:sz w:val="28"/>
          <w:szCs w:val="28"/>
        </w:rPr>
      </w:pPr>
    </w:p>
    <w:p w14:paraId="4F9507D9" w14:textId="317C055A" w:rsidR="00C62358" w:rsidRDefault="00C62358">
      <w:pPr>
        <w:rPr>
          <w:sz w:val="28"/>
          <w:szCs w:val="28"/>
        </w:rPr>
      </w:pPr>
      <w:r>
        <w:rPr>
          <w:sz w:val="28"/>
          <w:szCs w:val="28"/>
        </w:rPr>
        <w:t xml:space="preserve">The factor structure of the PPWWM in this study differed </w:t>
      </w:r>
      <w:r w:rsidR="00824877">
        <w:rPr>
          <w:sz w:val="28"/>
          <w:szCs w:val="28"/>
        </w:rPr>
        <w:t xml:space="preserve">somewhat </w:t>
      </w:r>
      <w:r>
        <w:rPr>
          <w:sz w:val="28"/>
          <w:szCs w:val="28"/>
        </w:rPr>
        <w:t xml:space="preserve">from that of the validation study. There may be several reasons for this. The sample was larger and more diverse in terms of professional groups. Also, the PPWWM is designed to be a brief questionnaire which necessarily reduces the number of items per factor and </w:t>
      </w:r>
      <w:r w:rsidR="00824877">
        <w:rPr>
          <w:sz w:val="28"/>
          <w:szCs w:val="28"/>
        </w:rPr>
        <w:t>this in turn reduces factorial stability</w:t>
      </w:r>
      <w:r>
        <w:rPr>
          <w:sz w:val="28"/>
          <w:szCs w:val="28"/>
        </w:rPr>
        <w:t xml:space="preserve"> (</w:t>
      </w:r>
      <w:r w:rsidR="00E22D2B" w:rsidRPr="00E22D2B">
        <w:rPr>
          <w:sz w:val="28"/>
          <w:szCs w:val="28"/>
        </w:rPr>
        <w:t xml:space="preserve">Costello </w:t>
      </w:r>
      <w:r w:rsidR="00256432">
        <w:rPr>
          <w:sz w:val="28"/>
          <w:szCs w:val="28"/>
        </w:rPr>
        <w:t>&amp;</w:t>
      </w:r>
      <w:r w:rsidR="00E22D2B" w:rsidRPr="00E22D2B">
        <w:rPr>
          <w:sz w:val="28"/>
          <w:szCs w:val="28"/>
        </w:rPr>
        <w:t xml:space="preserve"> Osborne, 2005; Field, 2018)</w:t>
      </w:r>
      <w:r>
        <w:rPr>
          <w:sz w:val="28"/>
          <w:szCs w:val="28"/>
        </w:rPr>
        <w:t xml:space="preserve">. However, the differences </w:t>
      </w:r>
      <w:r>
        <w:rPr>
          <w:sz w:val="28"/>
          <w:szCs w:val="28"/>
        </w:rPr>
        <w:lastRenderedPageBreak/>
        <w:t xml:space="preserve">that did emerge are explicable. For example, the </w:t>
      </w:r>
      <w:r w:rsidR="00A24065">
        <w:rPr>
          <w:sz w:val="28"/>
          <w:szCs w:val="28"/>
        </w:rPr>
        <w:t>Supervision Factor</w:t>
      </w:r>
      <w:r w:rsidR="0065104E">
        <w:rPr>
          <w:sz w:val="28"/>
          <w:szCs w:val="28"/>
        </w:rPr>
        <w:t>, a separate two-</w:t>
      </w:r>
      <w:r>
        <w:rPr>
          <w:sz w:val="28"/>
          <w:szCs w:val="28"/>
        </w:rPr>
        <w:t xml:space="preserve">item factor in the validation study, was subsumed under the </w:t>
      </w:r>
      <w:r w:rsidR="00A24065">
        <w:rPr>
          <w:sz w:val="28"/>
          <w:szCs w:val="28"/>
        </w:rPr>
        <w:t xml:space="preserve">Support and Flexibility Factor </w:t>
      </w:r>
      <w:r>
        <w:rPr>
          <w:sz w:val="28"/>
          <w:szCs w:val="28"/>
        </w:rPr>
        <w:t>in th</w:t>
      </w:r>
      <w:r w:rsidR="00A24065">
        <w:rPr>
          <w:sz w:val="28"/>
          <w:szCs w:val="28"/>
        </w:rPr>
        <w:t xml:space="preserve">e present </w:t>
      </w:r>
      <w:r>
        <w:rPr>
          <w:sz w:val="28"/>
          <w:szCs w:val="28"/>
        </w:rPr>
        <w:t>study</w:t>
      </w:r>
      <w:r w:rsidR="00824877">
        <w:rPr>
          <w:sz w:val="28"/>
          <w:szCs w:val="28"/>
        </w:rPr>
        <w:t xml:space="preserve"> which affirms the supportive nature of supervision</w:t>
      </w:r>
      <w:r w:rsidR="00A24065">
        <w:rPr>
          <w:sz w:val="28"/>
          <w:szCs w:val="28"/>
        </w:rPr>
        <w:t>. Two items (21 &amp; 22</w:t>
      </w:r>
      <w:r w:rsidR="0065104E">
        <w:rPr>
          <w:sz w:val="28"/>
          <w:szCs w:val="28"/>
        </w:rPr>
        <w:t>,</w:t>
      </w:r>
      <w:r w:rsidR="0065104E" w:rsidRPr="0065104E">
        <w:rPr>
          <w:sz w:val="28"/>
          <w:szCs w:val="28"/>
        </w:rPr>
        <w:t xml:space="preserve"> </w:t>
      </w:r>
      <w:r w:rsidR="0065104E">
        <w:rPr>
          <w:sz w:val="28"/>
          <w:szCs w:val="28"/>
        </w:rPr>
        <w:t>about organisational support for personal development</w:t>
      </w:r>
      <w:r w:rsidR="00A24065">
        <w:rPr>
          <w:sz w:val="28"/>
          <w:szCs w:val="28"/>
        </w:rPr>
        <w:t>) from the Professional and Organisational Satisfaction Factor of the validation study</w:t>
      </w:r>
      <w:r w:rsidR="0065104E">
        <w:rPr>
          <w:sz w:val="28"/>
          <w:szCs w:val="28"/>
        </w:rPr>
        <w:t xml:space="preserve"> </w:t>
      </w:r>
      <w:r w:rsidR="00A24065">
        <w:rPr>
          <w:sz w:val="28"/>
          <w:szCs w:val="28"/>
        </w:rPr>
        <w:t xml:space="preserve">loaded equally on the satisfaction and support factors in this study. Since they referred to </w:t>
      </w:r>
      <w:r w:rsidR="00A63AA0">
        <w:rPr>
          <w:sz w:val="28"/>
          <w:szCs w:val="28"/>
        </w:rPr>
        <w:t>support,</w:t>
      </w:r>
      <w:r w:rsidR="00A24065">
        <w:rPr>
          <w:sz w:val="28"/>
          <w:szCs w:val="28"/>
        </w:rPr>
        <w:t xml:space="preserve"> they were included under this factor, but clearly also have an association with </w:t>
      </w:r>
      <w:r w:rsidR="00824877">
        <w:rPr>
          <w:sz w:val="28"/>
          <w:szCs w:val="28"/>
        </w:rPr>
        <w:t xml:space="preserve">organisational </w:t>
      </w:r>
      <w:r w:rsidR="00A24065">
        <w:rPr>
          <w:sz w:val="28"/>
          <w:szCs w:val="28"/>
        </w:rPr>
        <w:t xml:space="preserve">satisfaction. </w:t>
      </w:r>
      <w:r w:rsidR="00BB3A61">
        <w:rPr>
          <w:sz w:val="28"/>
          <w:szCs w:val="28"/>
        </w:rPr>
        <w:t xml:space="preserve">The Professional Role Factor in the present study encompassed three items (Item 2 &amp; 6, referencing support from colleagues and Item 4, </w:t>
      </w:r>
      <w:r w:rsidR="004B4076">
        <w:rPr>
          <w:sz w:val="28"/>
          <w:szCs w:val="28"/>
        </w:rPr>
        <w:t xml:space="preserve">referencing </w:t>
      </w:r>
      <w:r w:rsidR="00BB3A61">
        <w:rPr>
          <w:sz w:val="28"/>
          <w:szCs w:val="28"/>
        </w:rPr>
        <w:t>sense of belonging) from the Support and Flexibility Factor in the validation</w:t>
      </w:r>
      <w:r w:rsidR="00A24065">
        <w:rPr>
          <w:sz w:val="28"/>
          <w:szCs w:val="28"/>
        </w:rPr>
        <w:t xml:space="preserve"> study.</w:t>
      </w:r>
      <w:r w:rsidR="00233EFF">
        <w:rPr>
          <w:sz w:val="28"/>
          <w:szCs w:val="28"/>
        </w:rPr>
        <w:t xml:space="preserve"> </w:t>
      </w:r>
      <w:r w:rsidR="004B4076">
        <w:rPr>
          <w:sz w:val="28"/>
          <w:szCs w:val="28"/>
        </w:rPr>
        <w:t>Again, colleague support and belonging</w:t>
      </w:r>
      <w:r w:rsidR="00824877">
        <w:rPr>
          <w:sz w:val="28"/>
          <w:szCs w:val="28"/>
        </w:rPr>
        <w:t xml:space="preserve"> could equally be perceived as an aspect of professional role. </w:t>
      </w:r>
      <w:r w:rsidR="00233EFF">
        <w:rPr>
          <w:sz w:val="28"/>
          <w:szCs w:val="28"/>
        </w:rPr>
        <w:t>Finally, Item 1, which referred to having someone to turn to, was originally under the External Personal Factor, but in the current study was under the Support and Flexibility Factor.</w:t>
      </w:r>
    </w:p>
    <w:p w14:paraId="235B00FA" w14:textId="77777777" w:rsidR="007D471B" w:rsidRDefault="007D471B">
      <w:pPr>
        <w:rPr>
          <w:b/>
          <w:bCs/>
          <w:sz w:val="28"/>
          <w:szCs w:val="28"/>
        </w:rPr>
      </w:pPr>
      <w:r>
        <w:rPr>
          <w:b/>
          <w:bCs/>
          <w:sz w:val="28"/>
          <w:szCs w:val="28"/>
        </w:rPr>
        <w:t>Limitations</w:t>
      </w:r>
      <w:r w:rsidR="00BB3A61">
        <w:rPr>
          <w:b/>
          <w:bCs/>
          <w:sz w:val="28"/>
          <w:szCs w:val="28"/>
        </w:rPr>
        <w:t xml:space="preserve"> and Further Research</w:t>
      </w:r>
    </w:p>
    <w:p w14:paraId="754134EF" w14:textId="77777777" w:rsidR="007D471B" w:rsidRDefault="00351674">
      <w:pPr>
        <w:rPr>
          <w:sz w:val="28"/>
          <w:szCs w:val="28"/>
        </w:rPr>
      </w:pPr>
      <w:r>
        <w:rPr>
          <w:sz w:val="28"/>
          <w:szCs w:val="28"/>
        </w:rPr>
        <w:t>Although large, t</w:t>
      </w:r>
      <w:r w:rsidR="007D471B">
        <w:rPr>
          <w:sz w:val="28"/>
          <w:szCs w:val="28"/>
        </w:rPr>
        <w:t xml:space="preserve">he sample may not </w:t>
      </w:r>
      <w:r>
        <w:rPr>
          <w:sz w:val="28"/>
          <w:szCs w:val="28"/>
        </w:rPr>
        <w:t xml:space="preserve">have </w:t>
      </w:r>
      <w:r w:rsidR="007D471B">
        <w:rPr>
          <w:sz w:val="28"/>
          <w:szCs w:val="28"/>
        </w:rPr>
        <w:t>be</w:t>
      </w:r>
      <w:r>
        <w:rPr>
          <w:sz w:val="28"/>
          <w:szCs w:val="28"/>
        </w:rPr>
        <w:t>en</w:t>
      </w:r>
      <w:r w:rsidR="007D471B">
        <w:rPr>
          <w:sz w:val="28"/>
          <w:szCs w:val="28"/>
        </w:rPr>
        <w:t xml:space="preserve"> repres</w:t>
      </w:r>
      <w:r>
        <w:rPr>
          <w:sz w:val="28"/>
          <w:szCs w:val="28"/>
        </w:rPr>
        <w:t xml:space="preserve">entative. It </w:t>
      </w:r>
      <w:r w:rsidR="007D471B">
        <w:rPr>
          <w:sz w:val="28"/>
          <w:szCs w:val="28"/>
        </w:rPr>
        <w:t>was a volunteer sample and included less than 10% of the total number of qualified clinical psychologists and probably about the same percentage of the total psychological practitioner workforce</w:t>
      </w:r>
      <w:r w:rsidR="00F13B1A">
        <w:rPr>
          <w:sz w:val="28"/>
          <w:szCs w:val="28"/>
        </w:rPr>
        <w:t xml:space="preserve"> of the UK</w:t>
      </w:r>
      <w:r w:rsidR="007D471B">
        <w:rPr>
          <w:sz w:val="28"/>
          <w:szCs w:val="28"/>
        </w:rPr>
        <w:t xml:space="preserve">. </w:t>
      </w:r>
      <w:r>
        <w:rPr>
          <w:sz w:val="28"/>
          <w:szCs w:val="28"/>
        </w:rPr>
        <w:t>Moreover, numbers in some of the subgroups were relatively small</w:t>
      </w:r>
      <w:r w:rsidR="008E7085">
        <w:rPr>
          <w:sz w:val="28"/>
          <w:szCs w:val="28"/>
        </w:rPr>
        <w:t xml:space="preserve"> which limited </w:t>
      </w:r>
      <w:r w:rsidR="006150EF">
        <w:rPr>
          <w:sz w:val="28"/>
          <w:szCs w:val="28"/>
        </w:rPr>
        <w:t>the dependability of</w:t>
      </w:r>
      <w:r w:rsidR="008E7085">
        <w:rPr>
          <w:sz w:val="28"/>
          <w:szCs w:val="28"/>
        </w:rPr>
        <w:t xml:space="preserve"> inter-group comparisons.</w:t>
      </w:r>
    </w:p>
    <w:p w14:paraId="6198A4EA" w14:textId="77777777" w:rsidR="000E18DF" w:rsidRDefault="000E18DF">
      <w:pPr>
        <w:rPr>
          <w:sz w:val="28"/>
          <w:szCs w:val="28"/>
        </w:rPr>
      </w:pPr>
      <w:r>
        <w:rPr>
          <w:sz w:val="28"/>
          <w:szCs w:val="28"/>
        </w:rPr>
        <w:t>The PPWWM measures positive and negative aspects of workplace wellbeing. The positive aspects</w:t>
      </w:r>
      <w:r w:rsidR="00F13B1A">
        <w:rPr>
          <w:sz w:val="28"/>
          <w:szCs w:val="28"/>
        </w:rPr>
        <w:t xml:space="preserve"> explain the correlation</w:t>
      </w:r>
      <w:r>
        <w:rPr>
          <w:sz w:val="28"/>
          <w:szCs w:val="28"/>
        </w:rPr>
        <w:t xml:space="preserve"> with the SWEMWBS measure of general wellbeing. </w:t>
      </w:r>
      <w:r w:rsidR="00E75B8B">
        <w:rPr>
          <w:sz w:val="28"/>
          <w:szCs w:val="28"/>
        </w:rPr>
        <w:t xml:space="preserve">But it would have been useful to also have a general measure of distress to confirm the relationship with the negative aspects of workplace wellbeing. </w:t>
      </w:r>
      <w:r w:rsidR="00F13B1A">
        <w:rPr>
          <w:sz w:val="28"/>
          <w:szCs w:val="28"/>
        </w:rPr>
        <w:t>The temporal stability (test-re-test reliability) of the SWEMWS has yet to be established</w:t>
      </w:r>
      <w:r w:rsidR="00E75B8B">
        <w:rPr>
          <w:sz w:val="28"/>
          <w:szCs w:val="28"/>
        </w:rPr>
        <w:t xml:space="preserve">. Until this is established, the effect on correlations of error due to temporal factors cannot be quantified. </w:t>
      </w:r>
    </w:p>
    <w:p w14:paraId="37FB9B05" w14:textId="0AE1ACA3" w:rsidR="00351674" w:rsidRDefault="00351674">
      <w:pPr>
        <w:rPr>
          <w:sz w:val="28"/>
          <w:szCs w:val="28"/>
        </w:rPr>
      </w:pPr>
      <w:r>
        <w:rPr>
          <w:sz w:val="28"/>
          <w:szCs w:val="28"/>
        </w:rPr>
        <w:t>Surveys of this kind require large numbers of comparisons that inflate Type 1 error rates.</w:t>
      </w:r>
      <w:r w:rsidR="006665AE">
        <w:rPr>
          <w:sz w:val="28"/>
          <w:szCs w:val="28"/>
        </w:rPr>
        <w:t xml:space="preserve"> Bonferroni correction can correct</w:t>
      </w:r>
      <w:r>
        <w:rPr>
          <w:sz w:val="28"/>
          <w:szCs w:val="28"/>
        </w:rPr>
        <w:t xml:space="preserve"> for this, but as noted earlier</w:t>
      </w:r>
      <w:r w:rsidR="00F13B1A">
        <w:rPr>
          <w:sz w:val="28"/>
          <w:szCs w:val="28"/>
        </w:rPr>
        <w:t>,</w:t>
      </w:r>
      <w:r>
        <w:rPr>
          <w:sz w:val="28"/>
          <w:szCs w:val="28"/>
        </w:rPr>
        <w:t xml:space="preserve"> they are highly conservative and inflate Type 2 error rates</w:t>
      </w:r>
      <w:r w:rsidR="00CF2B97">
        <w:rPr>
          <w:sz w:val="28"/>
          <w:szCs w:val="28"/>
        </w:rPr>
        <w:t>.</w:t>
      </w:r>
      <w:r>
        <w:rPr>
          <w:sz w:val="28"/>
          <w:szCs w:val="28"/>
        </w:rPr>
        <w:t xml:space="preserve"> </w:t>
      </w:r>
      <w:r w:rsidR="008E7085">
        <w:rPr>
          <w:sz w:val="28"/>
          <w:szCs w:val="28"/>
        </w:rPr>
        <w:t xml:space="preserve">An alternative approach is to </w:t>
      </w:r>
      <w:r>
        <w:rPr>
          <w:sz w:val="28"/>
          <w:szCs w:val="28"/>
        </w:rPr>
        <w:t xml:space="preserve">demonstrate dependability of </w:t>
      </w:r>
      <w:r w:rsidR="00CF2B97">
        <w:rPr>
          <w:sz w:val="28"/>
          <w:szCs w:val="28"/>
        </w:rPr>
        <w:t xml:space="preserve">significant </w:t>
      </w:r>
      <w:r>
        <w:rPr>
          <w:sz w:val="28"/>
          <w:szCs w:val="28"/>
        </w:rPr>
        <w:t>results throu</w:t>
      </w:r>
      <w:r w:rsidR="006150EF">
        <w:rPr>
          <w:sz w:val="28"/>
          <w:szCs w:val="28"/>
        </w:rPr>
        <w:t xml:space="preserve">gh replication over successive </w:t>
      </w:r>
      <w:r>
        <w:rPr>
          <w:sz w:val="28"/>
          <w:szCs w:val="28"/>
        </w:rPr>
        <w:t>surveys</w:t>
      </w:r>
      <w:r w:rsidR="008E7085">
        <w:rPr>
          <w:sz w:val="28"/>
          <w:szCs w:val="28"/>
        </w:rPr>
        <w:t>, as here</w:t>
      </w:r>
      <w:r>
        <w:rPr>
          <w:sz w:val="28"/>
          <w:szCs w:val="28"/>
        </w:rPr>
        <w:t xml:space="preserve">. </w:t>
      </w:r>
    </w:p>
    <w:p w14:paraId="4A76EBE1" w14:textId="77777777" w:rsidR="002F2408" w:rsidRDefault="002F2408">
      <w:pPr>
        <w:rPr>
          <w:sz w:val="28"/>
          <w:szCs w:val="28"/>
        </w:rPr>
      </w:pPr>
      <w:r>
        <w:rPr>
          <w:sz w:val="28"/>
          <w:szCs w:val="28"/>
        </w:rPr>
        <w:t xml:space="preserve">These results suggest </w:t>
      </w:r>
      <w:r w:rsidR="004556F3">
        <w:rPr>
          <w:sz w:val="28"/>
          <w:szCs w:val="28"/>
        </w:rPr>
        <w:t>several</w:t>
      </w:r>
      <w:r>
        <w:rPr>
          <w:sz w:val="28"/>
          <w:szCs w:val="28"/>
        </w:rPr>
        <w:t xml:space="preserve"> are</w:t>
      </w:r>
      <w:r w:rsidR="00AC4E15">
        <w:rPr>
          <w:sz w:val="28"/>
          <w:szCs w:val="28"/>
        </w:rPr>
        <w:t>as or future research. I</w:t>
      </w:r>
      <w:r>
        <w:rPr>
          <w:sz w:val="28"/>
          <w:szCs w:val="28"/>
        </w:rPr>
        <w:t xml:space="preserve">t would strengthen confidence in the </w:t>
      </w:r>
      <w:r w:rsidR="006150EF">
        <w:rPr>
          <w:sz w:val="28"/>
          <w:szCs w:val="28"/>
        </w:rPr>
        <w:t xml:space="preserve">associations between factors </w:t>
      </w:r>
      <w:r w:rsidR="00E75B8B">
        <w:rPr>
          <w:sz w:val="28"/>
          <w:szCs w:val="28"/>
        </w:rPr>
        <w:t xml:space="preserve">and </w:t>
      </w:r>
      <w:r w:rsidR="00AC4E15">
        <w:rPr>
          <w:sz w:val="28"/>
          <w:szCs w:val="28"/>
        </w:rPr>
        <w:t xml:space="preserve">workplace wellbeing </w:t>
      </w:r>
      <w:r w:rsidR="00E75B8B">
        <w:rPr>
          <w:sz w:val="28"/>
          <w:szCs w:val="28"/>
        </w:rPr>
        <w:t xml:space="preserve">if they </w:t>
      </w:r>
      <w:r w:rsidR="00AC4E15">
        <w:rPr>
          <w:sz w:val="28"/>
          <w:szCs w:val="28"/>
        </w:rPr>
        <w:t>were e</w:t>
      </w:r>
      <w:r>
        <w:rPr>
          <w:sz w:val="28"/>
          <w:szCs w:val="28"/>
        </w:rPr>
        <w:t>valuated longitudinally. Longitudinal research could also shed light on</w:t>
      </w:r>
      <w:r w:rsidR="00E75B8B">
        <w:rPr>
          <w:sz w:val="28"/>
          <w:szCs w:val="28"/>
        </w:rPr>
        <w:t xml:space="preserve"> the </w:t>
      </w:r>
      <w:r w:rsidR="008C19A4">
        <w:rPr>
          <w:sz w:val="28"/>
          <w:szCs w:val="28"/>
        </w:rPr>
        <w:t xml:space="preserve">functional relationship between </w:t>
      </w:r>
      <w:r w:rsidR="00E75B8B">
        <w:rPr>
          <w:sz w:val="28"/>
          <w:szCs w:val="28"/>
        </w:rPr>
        <w:t xml:space="preserve">positive and negative aspects of workplace wellbeing </w:t>
      </w:r>
      <w:r w:rsidR="008C19A4">
        <w:rPr>
          <w:sz w:val="28"/>
          <w:szCs w:val="28"/>
        </w:rPr>
        <w:t xml:space="preserve">(including depression and burnout) </w:t>
      </w:r>
      <w:r w:rsidR="00E75B8B">
        <w:rPr>
          <w:sz w:val="28"/>
          <w:szCs w:val="28"/>
        </w:rPr>
        <w:t xml:space="preserve">and </w:t>
      </w:r>
      <w:r w:rsidR="008C19A4">
        <w:rPr>
          <w:sz w:val="28"/>
          <w:szCs w:val="28"/>
        </w:rPr>
        <w:t xml:space="preserve">whether </w:t>
      </w:r>
      <w:r w:rsidR="00E75B8B">
        <w:rPr>
          <w:sz w:val="28"/>
          <w:szCs w:val="28"/>
        </w:rPr>
        <w:t xml:space="preserve">they exert mutual influence over time. </w:t>
      </w:r>
      <w:r>
        <w:rPr>
          <w:sz w:val="28"/>
          <w:szCs w:val="28"/>
        </w:rPr>
        <w:t xml:space="preserve"> </w:t>
      </w:r>
      <w:r w:rsidR="008C19A4">
        <w:rPr>
          <w:sz w:val="28"/>
          <w:szCs w:val="28"/>
        </w:rPr>
        <w:t xml:space="preserve">It could also be helpful in explaining </w:t>
      </w:r>
      <w:r>
        <w:rPr>
          <w:sz w:val="28"/>
          <w:szCs w:val="28"/>
        </w:rPr>
        <w:t xml:space="preserve">the cross-cultural variation in the relationship between workplace wellbeing and </w:t>
      </w:r>
      <w:r w:rsidR="000E18DF">
        <w:rPr>
          <w:sz w:val="28"/>
          <w:szCs w:val="28"/>
        </w:rPr>
        <w:t xml:space="preserve">age. </w:t>
      </w:r>
      <w:r>
        <w:rPr>
          <w:sz w:val="28"/>
          <w:szCs w:val="28"/>
        </w:rPr>
        <w:t xml:space="preserve"> Another question that requires clarification stems from by the inverse relationship between workplace wellbeing and general wellbeing in some early career groups.</w:t>
      </w:r>
      <w:r w:rsidR="000E18DF">
        <w:rPr>
          <w:sz w:val="28"/>
          <w:szCs w:val="28"/>
        </w:rPr>
        <w:t xml:space="preserve"> Finally, </w:t>
      </w:r>
      <w:r w:rsidR="000E18DF">
        <w:rPr>
          <w:sz w:val="28"/>
          <w:szCs w:val="28"/>
        </w:rPr>
        <w:lastRenderedPageBreak/>
        <w:t xml:space="preserve">the particularly low wellbeing </w:t>
      </w:r>
      <w:r w:rsidR="00394F52">
        <w:rPr>
          <w:sz w:val="28"/>
          <w:szCs w:val="28"/>
        </w:rPr>
        <w:t>people</w:t>
      </w:r>
      <w:r w:rsidR="00381D76">
        <w:rPr>
          <w:sz w:val="28"/>
          <w:szCs w:val="28"/>
        </w:rPr>
        <w:t xml:space="preserve"> who report disabilities</w:t>
      </w:r>
      <w:r w:rsidR="000E18DF">
        <w:rPr>
          <w:sz w:val="28"/>
          <w:szCs w:val="28"/>
        </w:rPr>
        <w:t xml:space="preserve"> </w:t>
      </w:r>
      <w:r w:rsidR="008C19A4">
        <w:rPr>
          <w:sz w:val="28"/>
          <w:szCs w:val="28"/>
        </w:rPr>
        <w:t>urgently requires</w:t>
      </w:r>
      <w:r w:rsidR="000E18DF">
        <w:rPr>
          <w:sz w:val="28"/>
          <w:szCs w:val="28"/>
        </w:rPr>
        <w:t xml:space="preserve"> further investigation.</w:t>
      </w:r>
    </w:p>
    <w:p w14:paraId="4F43E124" w14:textId="77777777" w:rsidR="00B813D5" w:rsidRDefault="00B813D5">
      <w:pPr>
        <w:rPr>
          <w:b/>
          <w:bCs/>
          <w:sz w:val="28"/>
          <w:szCs w:val="28"/>
        </w:rPr>
      </w:pPr>
    </w:p>
    <w:p w14:paraId="12B4FA3E" w14:textId="77777777" w:rsidR="00AC5193" w:rsidRPr="006A09F6" w:rsidRDefault="00AC5193" w:rsidP="00C84C48">
      <w:pPr>
        <w:spacing w:line="360" w:lineRule="auto"/>
        <w:ind w:left="720" w:hanging="720"/>
        <w:rPr>
          <w:rFonts w:cstheme="minorHAnsi"/>
          <w:b/>
          <w:bCs/>
          <w:sz w:val="24"/>
          <w:szCs w:val="24"/>
        </w:rPr>
      </w:pPr>
      <w:bookmarkStart w:id="8" w:name="_GoBack"/>
      <w:bookmarkEnd w:id="8"/>
      <w:r w:rsidRPr="00344E93">
        <w:rPr>
          <w:sz w:val="28"/>
        </w:rPr>
        <w:br w:type="column"/>
      </w:r>
      <w:r w:rsidRPr="006A09F6">
        <w:rPr>
          <w:rFonts w:cstheme="minorHAnsi"/>
          <w:b/>
          <w:bCs/>
          <w:sz w:val="24"/>
          <w:szCs w:val="24"/>
        </w:rPr>
        <w:lastRenderedPageBreak/>
        <w:t>References</w:t>
      </w:r>
    </w:p>
    <w:p w14:paraId="43F0D95E" w14:textId="731C6E52" w:rsidR="00A313E4" w:rsidRDefault="00A313E4" w:rsidP="00B71AF4">
      <w:pPr>
        <w:spacing w:line="360" w:lineRule="auto"/>
        <w:ind w:left="720" w:hanging="720"/>
        <w:rPr>
          <w:rFonts w:cstheme="minorHAnsi"/>
          <w:sz w:val="24"/>
          <w:szCs w:val="24"/>
        </w:rPr>
      </w:pPr>
      <w:r w:rsidRPr="00A313E4">
        <w:rPr>
          <w:rFonts w:cstheme="minorHAnsi"/>
          <w:sz w:val="24"/>
          <w:szCs w:val="24"/>
        </w:rPr>
        <w:t>Ackerley, G. D., Burnell, J., Holder, D. C., &amp; Kurdek, L. A. (1988). Burnout among licensed psychologists.</w:t>
      </w:r>
      <w:r w:rsidR="00C84C48">
        <w:rPr>
          <w:rFonts w:cstheme="minorHAnsi"/>
          <w:sz w:val="24"/>
          <w:szCs w:val="24"/>
        </w:rPr>
        <w:t xml:space="preserve"> </w:t>
      </w:r>
      <w:r w:rsidRPr="00A313E4">
        <w:rPr>
          <w:rFonts w:cstheme="minorHAnsi"/>
          <w:sz w:val="24"/>
          <w:szCs w:val="24"/>
        </w:rPr>
        <w:t>Professional psychology: Research and practice, 19(6), 624.</w:t>
      </w:r>
      <w:r w:rsidR="00E34E93">
        <w:rPr>
          <w:rFonts w:cstheme="minorHAnsi"/>
          <w:sz w:val="24"/>
          <w:szCs w:val="24"/>
        </w:rPr>
        <w:t xml:space="preserve"> </w:t>
      </w:r>
      <w:r w:rsidR="00E34E93">
        <w:t>doi: 0735-7028/88</w:t>
      </w:r>
    </w:p>
    <w:p w14:paraId="09CFB182" w14:textId="24C145D6" w:rsidR="0034217D" w:rsidRDefault="007717D0" w:rsidP="00B71AF4">
      <w:pPr>
        <w:spacing w:line="360" w:lineRule="auto"/>
        <w:ind w:left="720" w:hanging="720"/>
        <w:rPr>
          <w:rFonts w:cstheme="minorHAnsi"/>
          <w:sz w:val="24"/>
          <w:szCs w:val="24"/>
        </w:rPr>
      </w:pPr>
      <w:r w:rsidRPr="006A09F6">
        <w:rPr>
          <w:rFonts w:cstheme="minorHAnsi"/>
          <w:sz w:val="24"/>
          <w:szCs w:val="24"/>
        </w:rPr>
        <w:t>Armstrong, R. A. (2014). When to use the Bonferroni correction. </w:t>
      </w:r>
      <w:r w:rsidRPr="006A09F6">
        <w:rPr>
          <w:rFonts w:cstheme="minorHAnsi"/>
          <w:i/>
          <w:iCs/>
          <w:sz w:val="24"/>
          <w:szCs w:val="24"/>
        </w:rPr>
        <w:t>Ophthalmic and Physiological</w:t>
      </w:r>
      <w:r w:rsidR="00C84C48">
        <w:rPr>
          <w:rFonts w:cstheme="minorHAnsi"/>
          <w:i/>
          <w:iCs/>
          <w:sz w:val="24"/>
          <w:szCs w:val="24"/>
        </w:rPr>
        <w:t xml:space="preserve"> </w:t>
      </w:r>
      <w:r w:rsidRPr="006A09F6">
        <w:rPr>
          <w:rFonts w:cstheme="minorHAnsi"/>
          <w:i/>
          <w:iCs/>
          <w:sz w:val="24"/>
          <w:szCs w:val="24"/>
        </w:rPr>
        <w:t>Optics</w:t>
      </w:r>
      <w:r w:rsidRPr="006A09F6">
        <w:rPr>
          <w:rFonts w:cstheme="minorHAnsi"/>
          <w:sz w:val="24"/>
          <w:szCs w:val="24"/>
        </w:rPr>
        <w:t>, </w:t>
      </w:r>
      <w:r w:rsidRPr="006A09F6">
        <w:rPr>
          <w:rFonts w:cstheme="minorHAnsi"/>
          <w:i/>
          <w:iCs/>
          <w:sz w:val="24"/>
          <w:szCs w:val="24"/>
        </w:rPr>
        <w:t>34</w:t>
      </w:r>
      <w:r w:rsidRPr="006A09F6">
        <w:rPr>
          <w:rFonts w:cstheme="minorHAnsi"/>
          <w:sz w:val="24"/>
          <w:szCs w:val="24"/>
        </w:rPr>
        <w:t xml:space="preserve">(5), 502-508. </w:t>
      </w:r>
      <w:r w:rsidR="00BC3D81" w:rsidRPr="006A09F6">
        <w:rPr>
          <w:rFonts w:cstheme="minorHAnsi"/>
          <w:sz w:val="24"/>
          <w:szCs w:val="24"/>
        </w:rPr>
        <w:t>doi:</w:t>
      </w:r>
      <w:r w:rsidR="0034217D" w:rsidRPr="006A09F6">
        <w:rPr>
          <w:rFonts w:cstheme="minorHAnsi"/>
          <w:sz w:val="24"/>
          <w:szCs w:val="24"/>
        </w:rPr>
        <w:t>10.1111/opo.12131</w:t>
      </w:r>
    </w:p>
    <w:p w14:paraId="7FD99134" w14:textId="2FA16B4B" w:rsidR="00DC07E2" w:rsidRPr="006A09F6" w:rsidRDefault="00DC07E2" w:rsidP="00B71AF4">
      <w:pPr>
        <w:spacing w:line="360" w:lineRule="auto"/>
        <w:ind w:left="720" w:hanging="720"/>
        <w:rPr>
          <w:rFonts w:cstheme="minorHAnsi"/>
          <w:sz w:val="24"/>
          <w:szCs w:val="24"/>
        </w:rPr>
      </w:pPr>
      <w:r w:rsidRPr="00DC07E2">
        <w:rPr>
          <w:rFonts w:cstheme="minorHAnsi"/>
          <w:sz w:val="24"/>
          <w:szCs w:val="24"/>
        </w:rPr>
        <w:t>Bakker, A. B., &amp; Demerouti, E. (2007). The job demands</w:t>
      </w:r>
      <w:r>
        <w:rPr>
          <w:rFonts w:cstheme="minorHAnsi"/>
          <w:sz w:val="24"/>
          <w:szCs w:val="24"/>
        </w:rPr>
        <w:t xml:space="preserve">-resources model: State of the </w:t>
      </w:r>
      <w:r w:rsidRPr="00DC07E2">
        <w:rPr>
          <w:rFonts w:cstheme="minorHAnsi"/>
          <w:sz w:val="24"/>
          <w:szCs w:val="24"/>
        </w:rPr>
        <w:t xml:space="preserve">art. Journal </w:t>
      </w:r>
      <w:r w:rsidR="00FB76B9" w:rsidRPr="00DC07E2">
        <w:rPr>
          <w:rFonts w:cstheme="minorHAnsi"/>
          <w:sz w:val="24"/>
          <w:szCs w:val="24"/>
        </w:rPr>
        <w:t xml:space="preserve">of </w:t>
      </w:r>
      <w:r w:rsidR="00FB76B9">
        <w:rPr>
          <w:rFonts w:cstheme="minorHAnsi"/>
          <w:sz w:val="24"/>
          <w:szCs w:val="24"/>
        </w:rPr>
        <w:t>managerial</w:t>
      </w:r>
      <w:r w:rsidRPr="00DC07E2">
        <w:rPr>
          <w:rFonts w:cstheme="minorHAnsi"/>
          <w:sz w:val="24"/>
          <w:szCs w:val="24"/>
        </w:rPr>
        <w:t xml:space="preserve"> psychology, 22</w:t>
      </w:r>
      <w:r w:rsidR="0007239D">
        <w:rPr>
          <w:rFonts w:cstheme="minorHAnsi"/>
          <w:sz w:val="24"/>
          <w:szCs w:val="24"/>
        </w:rPr>
        <w:t>(3)</w:t>
      </w:r>
      <w:r w:rsidRPr="00DC07E2">
        <w:rPr>
          <w:rFonts w:cstheme="minorHAnsi"/>
          <w:sz w:val="24"/>
          <w:szCs w:val="24"/>
        </w:rPr>
        <w:t>, 309-328. doi: 10.1108/02683940</w:t>
      </w:r>
    </w:p>
    <w:p w14:paraId="58A474F2" w14:textId="77777777" w:rsidR="00BF4664" w:rsidRDefault="00BF4664" w:rsidP="00B71AF4">
      <w:pPr>
        <w:spacing w:line="360" w:lineRule="auto"/>
        <w:ind w:left="720" w:hanging="720"/>
        <w:rPr>
          <w:rFonts w:cstheme="minorHAnsi"/>
          <w:sz w:val="24"/>
          <w:szCs w:val="24"/>
          <w:shd w:val="clear" w:color="auto" w:fill="FFFFFF"/>
        </w:rPr>
      </w:pPr>
      <w:bookmarkStart w:id="9" w:name="_Hlk22549652"/>
      <w:r w:rsidRPr="00BF4664">
        <w:rPr>
          <w:rFonts w:cstheme="minorHAnsi"/>
          <w:sz w:val="24"/>
          <w:szCs w:val="24"/>
          <w:shd w:val="clear" w:color="auto" w:fill="FFFFFF"/>
        </w:rPr>
        <w:t>Ben-Zur, H., &amp; Michael, K. (2007). Burnout, social support, and coping at work among social workers, psychologists, and nurses: The role of challenge/control appraisals. Social work in health care, 45(4), 63-82.</w:t>
      </w:r>
    </w:p>
    <w:p w14:paraId="382747E6" w14:textId="77777777" w:rsidR="002D2317" w:rsidRPr="006A09F6" w:rsidRDefault="002D2317"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t>Beswick, J., Gore, J., &amp; Palerman, D. (2006). Bullying at work: a review of the literature WPS/06/04. </w:t>
      </w:r>
      <w:r w:rsidR="00FB76B9" w:rsidRPr="006A09F6">
        <w:rPr>
          <w:rFonts w:cstheme="minorHAnsi"/>
          <w:i/>
          <w:iCs/>
          <w:sz w:val="24"/>
          <w:szCs w:val="24"/>
          <w:shd w:val="clear" w:color="auto" w:fill="FFFFFF"/>
        </w:rPr>
        <w:t xml:space="preserve">Health </w:t>
      </w:r>
      <w:r w:rsidR="00FB76B9">
        <w:rPr>
          <w:rFonts w:cstheme="minorHAnsi"/>
          <w:i/>
          <w:iCs/>
          <w:sz w:val="24"/>
          <w:szCs w:val="24"/>
          <w:shd w:val="clear" w:color="auto" w:fill="FFFFFF"/>
        </w:rPr>
        <w:t>and</w:t>
      </w:r>
      <w:r w:rsidRPr="006A09F6">
        <w:rPr>
          <w:rFonts w:cstheme="minorHAnsi"/>
          <w:i/>
          <w:iCs/>
          <w:sz w:val="24"/>
          <w:szCs w:val="24"/>
          <w:shd w:val="clear" w:color="auto" w:fill="FFFFFF"/>
        </w:rPr>
        <w:t xml:space="preserve"> safety laboratory</w:t>
      </w:r>
      <w:r w:rsidRPr="006A09F6">
        <w:rPr>
          <w:rFonts w:cstheme="minorHAnsi"/>
          <w:sz w:val="24"/>
          <w:szCs w:val="24"/>
          <w:shd w:val="clear" w:color="auto" w:fill="FFFFFF"/>
        </w:rPr>
        <w:t>, </w:t>
      </w:r>
      <w:r w:rsidRPr="006A09F6">
        <w:rPr>
          <w:rFonts w:cstheme="minorHAnsi"/>
          <w:i/>
          <w:iCs/>
          <w:sz w:val="24"/>
          <w:szCs w:val="24"/>
          <w:shd w:val="clear" w:color="auto" w:fill="FFFFFF"/>
        </w:rPr>
        <w:t>14</w:t>
      </w:r>
      <w:r w:rsidRPr="006A09F6">
        <w:rPr>
          <w:rFonts w:cstheme="minorHAnsi"/>
          <w:sz w:val="24"/>
          <w:szCs w:val="24"/>
          <w:shd w:val="clear" w:color="auto" w:fill="FFFFFF"/>
        </w:rPr>
        <w:t>. B</w:t>
      </w:r>
      <w:r w:rsidR="00E534AF">
        <w:rPr>
          <w:rFonts w:cstheme="minorHAnsi"/>
          <w:sz w:val="24"/>
          <w:szCs w:val="24"/>
          <w:shd w:val="clear" w:color="auto" w:fill="FFFFFF"/>
        </w:rPr>
        <w:t>u</w:t>
      </w:r>
      <w:r w:rsidRPr="006A09F6">
        <w:rPr>
          <w:rFonts w:cstheme="minorHAnsi"/>
          <w:sz w:val="24"/>
          <w:szCs w:val="24"/>
          <w:shd w:val="clear" w:color="auto" w:fill="FFFFFF"/>
        </w:rPr>
        <w:t>xton Derbyshire: HSE.</w:t>
      </w:r>
    </w:p>
    <w:p w14:paraId="55FE102E" w14:textId="25A0FAEF" w:rsidR="006A09F6" w:rsidRPr="006A09F6" w:rsidRDefault="006A09F6" w:rsidP="00B71AF4">
      <w:pPr>
        <w:spacing w:line="360" w:lineRule="auto"/>
        <w:ind w:left="720" w:hanging="720"/>
        <w:rPr>
          <w:rFonts w:cstheme="minorHAnsi"/>
          <w:sz w:val="24"/>
          <w:szCs w:val="24"/>
        </w:rPr>
      </w:pPr>
      <w:r w:rsidRPr="006A09F6">
        <w:rPr>
          <w:rFonts w:cstheme="minorHAnsi"/>
          <w:sz w:val="24"/>
          <w:szCs w:val="24"/>
        </w:rPr>
        <w:t xml:space="preserve">Bellis, M. A., Lowey, H., Leckenby, N., Hughes, K., &amp; Harrison, D. (2013). Adverse childhood experiences: </w:t>
      </w:r>
      <w:r w:rsidR="00B71AF4">
        <w:rPr>
          <w:rFonts w:cstheme="minorHAnsi"/>
          <w:sz w:val="24"/>
          <w:szCs w:val="24"/>
        </w:rPr>
        <w:t xml:space="preserve"> </w:t>
      </w:r>
      <w:r w:rsidRPr="006A09F6">
        <w:rPr>
          <w:rFonts w:cstheme="minorHAnsi"/>
          <w:sz w:val="24"/>
          <w:szCs w:val="24"/>
        </w:rPr>
        <w:t xml:space="preserve">retrospective study to determine their impact on adult health behaviours and health outcomes in </w:t>
      </w:r>
      <w:r w:rsidR="00FB76B9" w:rsidRPr="006A09F6">
        <w:rPr>
          <w:rFonts w:cstheme="minorHAnsi"/>
          <w:sz w:val="24"/>
          <w:szCs w:val="24"/>
        </w:rPr>
        <w:t xml:space="preserve">a </w:t>
      </w:r>
      <w:r w:rsidR="00FB76B9">
        <w:rPr>
          <w:rFonts w:cstheme="minorHAnsi"/>
          <w:sz w:val="24"/>
          <w:szCs w:val="24"/>
        </w:rPr>
        <w:t>UK</w:t>
      </w:r>
      <w:r w:rsidRPr="006A09F6">
        <w:rPr>
          <w:rFonts w:cstheme="minorHAnsi"/>
          <w:sz w:val="24"/>
          <w:szCs w:val="24"/>
        </w:rPr>
        <w:t xml:space="preserve"> population. </w:t>
      </w:r>
      <w:r w:rsidRPr="006A09F6">
        <w:rPr>
          <w:rFonts w:cstheme="minorHAnsi"/>
          <w:i/>
          <w:iCs/>
          <w:sz w:val="24"/>
          <w:szCs w:val="24"/>
        </w:rPr>
        <w:t>Journal of public health</w:t>
      </w:r>
      <w:r w:rsidRPr="006A09F6">
        <w:rPr>
          <w:rFonts w:cstheme="minorHAnsi"/>
          <w:sz w:val="24"/>
          <w:szCs w:val="24"/>
        </w:rPr>
        <w:t>, </w:t>
      </w:r>
      <w:r w:rsidRPr="006A09F6">
        <w:rPr>
          <w:rFonts w:cstheme="minorHAnsi"/>
          <w:i/>
          <w:iCs/>
          <w:sz w:val="24"/>
          <w:szCs w:val="24"/>
        </w:rPr>
        <w:t>36</w:t>
      </w:r>
      <w:r w:rsidRPr="006A09F6">
        <w:rPr>
          <w:rFonts w:cstheme="minorHAnsi"/>
          <w:sz w:val="24"/>
          <w:szCs w:val="24"/>
        </w:rPr>
        <w:t>(1), 81-91. doi:10.1093/pubmed/fdt038</w:t>
      </w:r>
    </w:p>
    <w:p w14:paraId="0EBF9572" w14:textId="77777777" w:rsidR="00CB28FC" w:rsidRDefault="00CB28FC" w:rsidP="00B71AF4">
      <w:pPr>
        <w:spacing w:line="360" w:lineRule="auto"/>
        <w:ind w:left="720" w:hanging="720"/>
        <w:rPr>
          <w:rFonts w:cstheme="minorHAnsi"/>
          <w:color w:val="222222"/>
          <w:sz w:val="24"/>
          <w:szCs w:val="24"/>
          <w:shd w:val="clear" w:color="auto" w:fill="FFFFFF"/>
        </w:rPr>
      </w:pPr>
      <w:r w:rsidRPr="00CB28FC">
        <w:rPr>
          <w:rFonts w:cstheme="minorHAnsi"/>
          <w:color w:val="222222"/>
          <w:sz w:val="24"/>
          <w:szCs w:val="24"/>
          <w:shd w:val="clear" w:color="auto" w:fill="FFFFFF"/>
        </w:rPr>
        <w:t xml:space="preserve">Berjot, S., Altintas, E., Grebot, E., &amp; Lesage, F. X. (2017). Burnout risk profiles among </w:t>
      </w:r>
      <w:r w:rsidR="00FB76B9" w:rsidRPr="00CB28FC">
        <w:rPr>
          <w:rFonts w:cstheme="minorHAnsi"/>
          <w:color w:val="222222"/>
          <w:sz w:val="24"/>
          <w:szCs w:val="24"/>
          <w:shd w:val="clear" w:color="auto" w:fill="FFFFFF"/>
        </w:rPr>
        <w:t xml:space="preserve">French </w:t>
      </w:r>
      <w:r w:rsidR="00FB76B9">
        <w:rPr>
          <w:rFonts w:cstheme="minorHAnsi"/>
          <w:color w:val="222222"/>
          <w:sz w:val="24"/>
          <w:szCs w:val="24"/>
          <w:shd w:val="clear" w:color="auto" w:fill="FFFFFF"/>
        </w:rPr>
        <w:t>psychologists</w:t>
      </w:r>
      <w:r w:rsidRPr="00CB28FC">
        <w:rPr>
          <w:rFonts w:cstheme="minorHAnsi"/>
          <w:color w:val="222222"/>
          <w:sz w:val="24"/>
          <w:szCs w:val="24"/>
          <w:shd w:val="clear" w:color="auto" w:fill="FFFFFF"/>
        </w:rPr>
        <w:t>. </w:t>
      </w:r>
      <w:r w:rsidRPr="00CB28FC">
        <w:rPr>
          <w:rFonts w:cstheme="minorHAnsi"/>
          <w:i/>
          <w:iCs/>
          <w:color w:val="222222"/>
          <w:sz w:val="24"/>
          <w:szCs w:val="24"/>
          <w:shd w:val="clear" w:color="auto" w:fill="FFFFFF"/>
        </w:rPr>
        <w:t>Burnout research</w:t>
      </w:r>
      <w:r w:rsidRPr="00CB28FC">
        <w:rPr>
          <w:rFonts w:cstheme="minorHAnsi"/>
          <w:color w:val="222222"/>
          <w:sz w:val="24"/>
          <w:szCs w:val="24"/>
          <w:shd w:val="clear" w:color="auto" w:fill="FFFFFF"/>
        </w:rPr>
        <w:t>, </w:t>
      </w:r>
      <w:r w:rsidRPr="00CB28FC">
        <w:rPr>
          <w:rFonts w:cstheme="minorHAnsi"/>
          <w:i/>
          <w:iCs/>
          <w:color w:val="222222"/>
          <w:sz w:val="24"/>
          <w:szCs w:val="24"/>
          <w:shd w:val="clear" w:color="auto" w:fill="FFFFFF"/>
        </w:rPr>
        <w:t>7</w:t>
      </w:r>
      <w:r w:rsidRPr="00CB28FC">
        <w:rPr>
          <w:rFonts w:cstheme="minorHAnsi"/>
          <w:color w:val="222222"/>
          <w:sz w:val="24"/>
          <w:szCs w:val="24"/>
          <w:shd w:val="clear" w:color="auto" w:fill="FFFFFF"/>
        </w:rPr>
        <w:t>, 10-20.</w:t>
      </w:r>
      <w:r>
        <w:rPr>
          <w:rFonts w:cstheme="minorHAnsi"/>
          <w:color w:val="222222"/>
          <w:sz w:val="24"/>
          <w:szCs w:val="24"/>
          <w:shd w:val="clear" w:color="auto" w:fill="FFFFFF"/>
        </w:rPr>
        <w:t xml:space="preserve"> doi:</w:t>
      </w:r>
      <w:r w:rsidRPr="00CB28FC">
        <w:t xml:space="preserve"> </w:t>
      </w:r>
      <w:r w:rsidRPr="00CB28FC">
        <w:rPr>
          <w:rFonts w:cstheme="minorHAnsi"/>
          <w:color w:val="222222"/>
          <w:sz w:val="24"/>
          <w:szCs w:val="24"/>
          <w:shd w:val="clear" w:color="auto" w:fill="FFFFFF"/>
        </w:rPr>
        <w:t>10.1016/j.burn.2017.10.001</w:t>
      </w:r>
    </w:p>
    <w:p w14:paraId="66D4FCFF" w14:textId="77777777" w:rsidR="002D2317" w:rsidRPr="00A313E4" w:rsidRDefault="002D2317" w:rsidP="00B71AF4">
      <w:pPr>
        <w:spacing w:line="360" w:lineRule="auto"/>
        <w:ind w:left="720" w:hanging="720"/>
        <w:rPr>
          <w:rFonts w:cstheme="minorHAnsi"/>
          <w:sz w:val="24"/>
          <w:szCs w:val="24"/>
          <w:shd w:val="clear" w:color="auto" w:fill="FFFFFF"/>
        </w:rPr>
      </w:pPr>
      <w:r w:rsidRPr="006A09F6">
        <w:rPr>
          <w:rFonts w:cstheme="minorHAnsi"/>
          <w:color w:val="222222"/>
          <w:sz w:val="24"/>
          <w:szCs w:val="24"/>
          <w:shd w:val="clear" w:color="auto" w:fill="FFFFFF"/>
        </w:rPr>
        <w:t>Bianchi, R., Schonfeld, I. S., &amp; Laurent, E. (2015). Burnout–depression overlap: A review. </w:t>
      </w:r>
      <w:r w:rsidRPr="006A09F6">
        <w:rPr>
          <w:rFonts w:cstheme="minorHAnsi"/>
          <w:i/>
          <w:iCs/>
          <w:color w:val="222222"/>
          <w:sz w:val="24"/>
          <w:szCs w:val="24"/>
          <w:shd w:val="clear" w:color="auto" w:fill="FFFFFF"/>
        </w:rPr>
        <w:t xml:space="preserve">Clinical </w:t>
      </w:r>
      <w:r w:rsidR="00FB76B9" w:rsidRPr="006A09F6">
        <w:rPr>
          <w:rFonts w:cstheme="minorHAnsi"/>
          <w:i/>
          <w:iCs/>
          <w:color w:val="222222"/>
          <w:sz w:val="24"/>
          <w:szCs w:val="24"/>
          <w:shd w:val="clear" w:color="auto" w:fill="FFFFFF"/>
        </w:rPr>
        <w:t xml:space="preserve">psychology </w:t>
      </w:r>
      <w:r w:rsidR="00FB76B9">
        <w:rPr>
          <w:rFonts w:cstheme="minorHAnsi"/>
          <w:i/>
          <w:iCs/>
          <w:color w:val="222222"/>
          <w:sz w:val="24"/>
          <w:szCs w:val="24"/>
          <w:shd w:val="clear" w:color="auto" w:fill="FFFFFF"/>
        </w:rPr>
        <w:t>review</w:t>
      </w:r>
      <w:r w:rsidRPr="00A313E4">
        <w:rPr>
          <w:rFonts w:cstheme="minorHAnsi"/>
          <w:color w:val="222222"/>
          <w:sz w:val="24"/>
          <w:szCs w:val="24"/>
          <w:shd w:val="clear" w:color="auto" w:fill="FFFFFF"/>
        </w:rPr>
        <w:t>, </w:t>
      </w:r>
      <w:r w:rsidRPr="00A313E4">
        <w:rPr>
          <w:rFonts w:cstheme="minorHAnsi"/>
          <w:i/>
          <w:iCs/>
          <w:color w:val="222222"/>
          <w:sz w:val="24"/>
          <w:szCs w:val="24"/>
          <w:shd w:val="clear" w:color="auto" w:fill="FFFFFF"/>
        </w:rPr>
        <w:t>36</w:t>
      </w:r>
      <w:r w:rsidRPr="00A313E4">
        <w:rPr>
          <w:rFonts w:cstheme="minorHAnsi"/>
          <w:color w:val="222222"/>
          <w:sz w:val="24"/>
          <w:szCs w:val="24"/>
          <w:shd w:val="clear" w:color="auto" w:fill="FFFFFF"/>
        </w:rPr>
        <w:t>, 28-41. doi:</w:t>
      </w:r>
      <w:r w:rsidRPr="00A313E4">
        <w:rPr>
          <w:rFonts w:cstheme="minorHAnsi"/>
          <w:sz w:val="24"/>
          <w:szCs w:val="24"/>
        </w:rPr>
        <w:t xml:space="preserve"> </w:t>
      </w:r>
      <w:r w:rsidRPr="00A313E4">
        <w:rPr>
          <w:rFonts w:cstheme="minorHAnsi"/>
          <w:color w:val="222222"/>
          <w:sz w:val="24"/>
          <w:szCs w:val="24"/>
          <w:shd w:val="clear" w:color="auto" w:fill="FFFFFF"/>
        </w:rPr>
        <w:t>10.1016/j.cpr.2015.01.004</w:t>
      </w:r>
    </w:p>
    <w:p w14:paraId="13FAA086" w14:textId="698C8117" w:rsidR="00A313E4" w:rsidRPr="00A313E4" w:rsidRDefault="00A313E4" w:rsidP="00B71AF4">
      <w:pPr>
        <w:spacing w:line="360" w:lineRule="auto"/>
        <w:ind w:left="720" w:hanging="720"/>
        <w:rPr>
          <w:rFonts w:cstheme="minorHAnsi"/>
          <w:sz w:val="24"/>
          <w:szCs w:val="24"/>
        </w:rPr>
      </w:pPr>
      <w:r w:rsidRPr="00A313E4">
        <w:rPr>
          <w:rFonts w:cstheme="minorHAnsi"/>
          <w:sz w:val="24"/>
          <w:szCs w:val="24"/>
        </w:rPr>
        <w:t>Bland, J. M. &amp; Altman, D. G</w:t>
      </w:r>
      <w:r w:rsidRPr="00A313E4">
        <w:rPr>
          <w:rFonts w:cstheme="minorHAnsi"/>
          <w:b/>
          <w:bCs/>
          <w:sz w:val="24"/>
          <w:szCs w:val="24"/>
        </w:rPr>
        <w:t xml:space="preserve">. </w:t>
      </w:r>
      <w:r w:rsidRPr="00A313E4">
        <w:rPr>
          <w:rFonts w:cstheme="minorHAnsi"/>
          <w:sz w:val="24"/>
          <w:szCs w:val="24"/>
        </w:rPr>
        <w:t xml:space="preserve">(1996). Measurement error. </w:t>
      </w:r>
      <w:r w:rsidRPr="00A313E4">
        <w:rPr>
          <w:rFonts w:cstheme="minorHAnsi"/>
          <w:i/>
          <w:iCs/>
          <w:sz w:val="24"/>
          <w:szCs w:val="24"/>
        </w:rPr>
        <w:t xml:space="preserve">British Medical Journal, </w:t>
      </w:r>
      <w:r w:rsidRPr="00A313E4">
        <w:rPr>
          <w:rFonts w:cstheme="minorHAnsi"/>
          <w:sz w:val="24"/>
          <w:szCs w:val="24"/>
        </w:rPr>
        <w:t xml:space="preserve">313, 744. </w:t>
      </w:r>
      <w:r w:rsidR="00B71AF4">
        <w:rPr>
          <w:rFonts w:cstheme="minorHAnsi"/>
          <w:sz w:val="24"/>
          <w:szCs w:val="24"/>
        </w:rPr>
        <w:t xml:space="preserve"> </w:t>
      </w:r>
      <w:r>
        <w:rPr>
          <w:rFonts w:cstheme="minorHAnsi"/>
          <w:sz w:val="24"/>
          <w:szCs w:val="24"/>
        </w:rPr>
        <w:t>doi:</w:t>
      </w:r>
      <w:r w:rsidR="0007239D">
        <w:rPr>
          <w:rFonts w:cstheme="minorHAnsi"/>
          <w:sz w:val="24"/>
          <w:szCs w:val="24"/>
        </w:rPr>
        <w:t xml:space="preserve">  </w:t>
      </w:r>
      <w:r w:rsidRPr="00A313E4">
        <w:rPr>
          <w:rFonts w:cstheme="minorHAnsi"/>
          <w:sz w:val="24"/>
          <w:szCs w:val="24"/>
        </w:rPr>
        <w:t>10.1136/bmj.313.7059.744</w:t>
      </w:r>
    </w:p>
    <w:p w14:paraId="10ECFF03" w14:textId="77777777" w:rsidR="0034217D" w:rsidRDefault="0034217D"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t xml:space="preserve">Boorman, S. (2009). </w:t>
      </w:r>
      <w:r w:rsidRPr="006A09F6">
        <w:rPr>
          <w:rFonts w:cstheme="minorHAnsi"/>
          <w:i/>
          <w:sz w:val="24"/>
          <w:szCs w:val="24"/>
          <w:shd w:val="clear" w:color="auto" w:fill="FFFFFF"/>
        </w:rPr>
        <w:t>NHS health and well-being: Final report</w:t>
      </w:r>
      <w:r w:rsidRPr="006A09F6">
        <w:rPr>
          <w:rFonts w:cstheme="minorHAnsi"/>
          <w:sz w:val="24"/>
          <w:szCs w:val="24"/>
          <w:shd w:val="clear" w:color="auto" w:fill="FFFFFF"/>
        </w:rPr>
        <w:t>. London: Department of Health.</w:t>
      </w:r>
    </w:p>
    <w:p w14:paraId="6EFFD0C2" w14:textId="77777777" w:rsidR="00C9677D" w:rsidRPr="00C9677D" w:rsidRDefault="00C9677D" w:rsidP="00C9677D">
      <w:pPr>
        <w:spacing w:line="360" w:lineRule="auto"/>
        <w:ind w:left="720" w:hanging="720"/>
        <w:rPr>
          <w:rFonts w:cstheme="minorHAnsi"/>
          <w:sz w:val="24"/>
          <w:szCs w:val="24"/>
          <w:shd w:val="clear" w:color="auto" w:fill="FFFFFF"/>
        </w:rPr>
      </w:pPr>
      <w:r w:rsidRPr="00C9677D">
        <w:rPr>
          <w:rFonts w:cstheme="minorHAnsi"/>
          <w:sz w:val="24"/>
          <w:szCs w:val="24"/>
          <w:shd w:val="clear" w:color="auto" w:fill="FFFFFF"/>
        </w:rPr>
        <w:t>Chung</w:t>
      </w:r>
      <w:r>
        <w:rPr>
          <w:rFonts w:cstheme="minorHAnsi"/>
          <w:sz w:val="24"/>
          <w:szCs w:val="24"/>
          <w:shd w:val="clear" w:color="auto" w:fill="FFFFFF"/>
        </w:rPr>
        <w:t xml:space="preserve">, Y., Graham, R., Downs, B., Sandler, D.H, </w:t>
      </w:r>
      <w:r w:rsidRPr="00C9677D">
        <w:rPr>
          <w:rFonts w:cstheme="minorHAnsi"/>
          <w:sz w:val="24"/>
          <w:szCs w:val="24"/>
          <w:shd w:val="clear" w:color="auto" w:fill="FFFFFF"/>
        </w:rPr>
        <w:t>Sienkiewicz</w:t>
      </w:r>
      <w:r>
        <w:rPr>
          <w:rFonts w:cstheme="minorHAnsi"/>
          <w:sz w:val="24"/>
          <w:szCs w:val="24"/>
          <w:shd w:val="clear" w:color="auto" w:fill="FFFFFF"/>
        </w:rPr>
        <w:t>, R. (2017). The parental gender earnings g</w:t>
      </w:r>
      <w:r w:rsidRPr="00C9677D">
        <w:rPr>
          <w:rFonts w:cstheme="minorHAnsi"/>
          <w:sz w:val="24"/>
          <w:szCs w:val="24"/>
          <w:shd w:val="clear" w:color="auto" w:fill="FFFFFF"/>
        </w:rPr>
        <w:t>ap in the United States</w:t>
      </w:r>
      <w:r>
        <w:rPr>
          <w:rFonts w:cstheme="minorHAnsi"/>
          <w:sz w:val="24"/>
          <w:szCs w:val="24"/>
          <w:shd w:val="clear" w:color="auto" w:fill="FFFFFF"/>
        </w:rPr>
        <w:t>. Center for Economic Studies, CES 17-68. Washington DC: US Census Bureau</w:t>
      </w:r>
    </w:p>
    <w:p w14:paraId="66F884EE" w14:textId="2BC774A6" w:rsidR="00BC3D81" w:rsidRPr="006A09F6" w:rsidRDefault="00BC3D81"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t>Clark, A. E. (1996). Job satisfaction in Britain. </w:t>
      </w:r>
      <w:r w:rsidRPr="006A09F6">
        <w:rPr>
          <w:rFonts w:cstheme="minorHAnsi"/>
          <w:i/>
          <w:iCs/>
          <w:sz w:val="24"/>
          <w:szCs w:val="24"/>
          <w:shd w:val="clear" w:color="auto" w:fill="FFFFFF"/>
        </w:rPr>
        <w:t>British journal of industrial relations</w:t>
      </w:r>
      <w:r w:rsidRPr="006A09F6">
        <w:rPr>
          <w:rFonts w:cstheme="minorHAnsi"/>
          <w:sz w:val="24"/>
          <w:szCs w:val="24"/>
          <w:shd w:val="clear" w:color="auto" w:fill="FFFFFF"/>
        </w:rPr>
        <w:t>, </w:t>
      </w:r>
      <w:r w:rsidRPr="006A09F6">
        <w:rPr>
          <w:rFonts w:cstheme="minorHAnsi"/>
          <w:i/>
          <w:iCs/>
          <w:sz w:val="24"/>
          <w:szCs w:val="24"/>
          <w:shd w:val="clear" w:color="auto" w:fill="FFFFFF"/>
        </w:rPr>
        <w:t>34</w:t>
      </w:r>
      <w:r w:rsidRPr="006A09F6">
        <w:rPr>
          <w:rFonts w:cstheme="minorHAnsi"/>
          <w:sz w:val="24"/>
          <w:szCs w:val="24"/>
          <w:shd w:val="clear" w:color="auto" w:fill="FFFFFF"/>
        </w:rPr>
        <w:t xml:space="preserve">(2), 189-217. </w:t>
      </w:r>
      <w:r w:rsidR="00B71AF4">
        <w:rPr>
          <w:rFonts w:cstheme="minorHAnsi"/>
          <w:sz w:val="24"/>
          <w:szCs w:val="24"/>
          <w:shd w:val="clear" w:color="auto" w:fill="FFFFFF"/>
        </w:rPr>
        <w:t xml:space="preserve"> </w:t>
      </w:r>
      <w:r w:rsidRPr="006A09F6">
        <w:rPr>
          <w:rFonts w:cstheme="minorHAnsi"/>
          <w:sz w:val="24"/>
          <w:szCs w:val="24"/>
          <w:shd w:val="clear" w:color="auto" w:fill="FFFFFF"/>
        </w:rPr>
        <w:t>doi:10.1111/j.1467-8543.1996.tb00648.x</w:t>
      </w:r>
    </w:p>
    <w:p w14:paraId="6710925F" w14:textId="6AD6B042" w:rsidR="00A313E4" w:rsidRDefault="00A313E4" w:rsidP="00B71AF4">
      <w:pPr>
        <w:spacing w:line="360" w:lineRule="auto"/>
        <w:ind w:left="720" w:hanging="720"/>
        <w:rPr>
          <w:rFonts w:cstheme="minorHAnsi"/>
          <w:color w:val="222222"/>
          <w:sz w:val="24"/>
          <w:szCs w:val="24"/>
          <w:shd w:val="clear" w:color="auto" w:fill="FFFFFF"/>
        </w:rPr>
      </w:pPr>
      <w:r w:rsidRPr="005B2771">
        <w:rPr>
          <w:rFonts w:cstheme="minorHAnsi"/>
          <w:color w:val="222222"/>
          <w:sz w:val="24"/>
          <w:szCs w:val="24"/>
          <w:shd w:val="clear" w:color="auto" w:fill="FFFFFF"/>
        </w:rPr>
        <w:t xml:space="preserve">Costello, A. B., &amp; Osborne, J. W. (2005). </w:t>
      </w:r>
      <w:r w:rsidRPr="00A313E4">
        <w:rPr>
          <w:rFonts w:cstheme="minorHAnsi"/>
          <w:color w:val="222222"/>
          <w:sz w:val="24"/>
          <w:szCs w:val="24"/>
          <w:shd w:val="clear" w:color="auto" w:fill="FFFFFF"/>
        </w:rPr>
        <w:t>Best practices in exp</w:t>
      </w:r>
      <w:r>
        <w:rPr>
          <w:rFonts w:cstheme="minorHAnsi"/>
          <w:color w:val="222222"/>
          <w:sz w:val="24"/>
          <w:szCs w:val="24"/>
          <w:shd w:val="clear" w:color="auto" w:fill="FFFFFF"/>
        </w:rPr>
        <w:t xml:space="preserve">loratory factor analysis: </w:t>
      </w:r>
      <w:r w:rsidR="00FB76B9">
        <w:rPr>
          <w:rFonts w:cstheme="minorHAnsi"/>
          <w:color w:val="222222"/>
          <w:sz w:val="24"/>
          <w:szCs w:val="24"/>
          <w:shd w:val="clear" w:color="auto" w:fill="FFFFFF"/>
        </w:rPr>
        <w:t>Four recommendations</w:t>
      </w:r>
      <w:r w:rsidRPr="00A313E4">
        <w:rPr>
          <w:rFonts w:cstheme="minorHAnsi"/>
          <w:color w:val="222222"/>
          <w:sz w:val="24"/>
          <w:szCs w:val="24"/>
          <w:shd w:val="clear" w:color="auto" w:fill="FFFFFF"/>
        </w:rPr>
        <w:t xml:space="preserve"> for getting the most from your analysis. Practical Assessment</w:t>
      </w:r>
      <w:r w:rsidR="00FB76B9" w:rsidRPr="00A313E4">
        <w:rPr>
          <w:rFonts w:cstheme="minorHAnsi"/>
          <w:color w:val="222222"/>
          <w:sz w:val="24"/>
          <w:szCs w:val="24"/>
          <w:shd w:val="clear" w:color="auto" w:fill="FFFFFF"/>
        </w:rPr>
        <w:t xml:space="preserve">, </w:t>
      </w:r>
      <w:r w:rsidR="00FB76B9">
        <w:rPr>
          <w:rFonts w:cstheme="minorHAnsi"/>
          <w:color w:val="222222"/>
          <w:sz w:val="24"/>
          <w:szCs w:val="24"/>
          <w:shd w:val="clear" w:color="auto" w:fill="FFFFFF"/>
        </w:rPr>
        <w:t>Research</w:t>
      </w:r>
      <w:r w:rsidRPr="00A313E4">
        <w:rPr>
          <w:rFonts w:cstheme="minorHAnsi"/>
          <w:color w:val="222222"/>
          <w:sz w:val="24"/>
          <w:szCs w:val="24"/>
          <w:shd w:val="clear" w:color="auto" w:fill="FFFFFF"/>
        </w:rPr>
        <w:t xml:space="preserve"> </w:t>
      </w:r>
      <w:r w:rsidR="00FB76B9" w:rsidRPr="00A313E4">
        <w:rPr>
          <w:rFonts w:cstheme="minorHAnsi"/>
          <w:color w:val="222222"/>
          <w:sz w:val="24"/>
          <w:szCs w:val="24"/>
          <w:shd w:val="clear" w:color="auto" w:fill="FFFFFF"/>
        </w:rPr>
        <w:t xml:space="preserve">and </w:t>
      </w:r>
      <w:r w:rsidR="00FB76B9">
        <w:rPr>
          <w:rFonts w:cstheme="minorHAnsi"/>
          <w:color w:val="222222"/>
          <w:sz w:val="24"/>
          <w:szCs w:val="24"/>
          <w:shd w:val="clear" w:color="auto" w:fill="FFFFFF"/>
        </w:rPr>
        <w:t>Evaluation</w:t>
      </w:r>
      <w:r w:rsidRPr="00A313E4">
        <w:rPr>
          <w:rFonts w:cstheme="minorHAnsi"/>
          <w:color w:val="222222"/>
          <w:sz w:val="24"/>
          <w:szCs w:val="24"/>
          <w:shd w:val="clear" w:color="auto" w:fill="FFFFFF"/>
        </w:rPr>
        <w:t>, 10</w:t>
      </w:r>
      <w:r w:rsidR="00061E3F">
        <w:rPr>
          <w:rFonts w:cstheme="minorHAnsi"/>
          <w:color w:val="222222"/>
          <w:sz w:val="24"/>
          <w:szCs w:val="24"/>
          <w:shd w:val="clear" w:color="auto" w:fill="FFFFFF"/>
        </w:rPr>
        <w:t>(7)</w:t>
      </w:r>
      <w:r w:rsidRPr="00A313E4">
        <w:rPr>
          <w:rFonts w:cstheme="minorHAnsi"/>
          <w:color w:val="222222"/>
          <w:sz w:val="24"/>
          <w:szCs w:val="24"/>
          <w:shd w:val="clear" w:color="auto" w:fill="FFFFFF"/>
        </w:rPr>
        <w:t>, 1-9. doi: 10.1.1.110.9154</w:t>
      </w:r>
    </w:p>
    <w:p w14:paraId="01CC46A5" w14:textId="1DD2C545" w:rsidR="00A313E4" w:rsidRDefault="00A313E4" w:rsidP="00B71AF4">
      <w:pPr>
        <w:spacing w:line="360" w:lineRule="auto"/>
        <w:ind w:left="720" w:hanging="720"/>
        <w:rPr>
          <w:rFonts w:cstheme="minorHAnsi"/>
          <w:color w:val="222222"/>
          <w:sz w:val="24"/>
          <w:szCs w:val="24"/>
          <w:shd w:val="clear" w:color="auto" w:fill="FFFFFF"/>
        </w:rPr>
      </w:pPr>
      <w:r w:rsidRPr="00A313E4">
        <w:rPr>
          <w:rFonts w:cstheme="minorHAnsi"/>
          <w:color w:val="222222"/>
          <w:sz w:val="24"/>
          <w:szCs w:val="24"/>
          <w:shd w:val="clear" w:color="auto" w:fill="FFFFFF"/>
        </w:rPr>
        <w:lastRenderedPageBreak/>
        <w:t xml:space="preserve">D'Souza, F., Egan, S. J., &amp; Rees, C. S. (2011). The relationship between perfectionism, stress and burnout </w:t>
      </w:r>
      <w:r w:rsidR="00FB76B9" w:rsidRPr="00A313E4">
        <w:rPr>
          <w:rFonts w:cstheme="minorHAnsi"/>
          <w:color w:val="222222"/>
          <w:sz w:val="24"/>
          <w:szCs w:val="24"/>
          <w:shd w:val="clear" w:color="auto" w:fill="FFFFFF"/>
        </w:rPr>
        <w:t xml:space="preserve">in </w:t>
      </w:r>
      <w:r w:rsidR="00FB76B9">
        <w:rPr>
          <w:rFonts w:cstheme="minorHAnsi"/>
          <w:color w:val="222222"/>
          <w:sz w:val="24"/>
          <w:szCs w:val="24"/>
          <w:shd w:val="clear" w:color="auto" w:fill="FFFFFF"/>
        </w:rPr>
        <w:t>clinical</w:t>
      </w:r>
      <w:r w:rsidRPr="00A313E4">
        <w:rPr>
          <w:rFonts w:cstheme="minorHAnsi"/>
          <w:color w:val="222222"/>
          <w:sz w:val="24"/>
          <w:szCs w:val="24"/>
          <w:shd w:val="clear" w:color="auto" w:fill="FFFFFF"/>
        </w:rPr>
        <w:t xml:space="preserve"> psychologists. Behaviour Change, 28(1), 17-28.</w:t>
      </w:r>
      <w:r>
        <w:rPr>
          <w:rFonts w:cstheme="minorHAnsi"/>
          <w:color w:val="222222"/>
          <w:sz w:val="24"/>
          <w:szCs w:val="24"/>
          <w:shd w:val="clear" w:color="auto" w:fill="FFFFFF"/>
        </w:rPr>
        <w:t xml:space="preserve"> doi:</w:t>
      </w:r>
      <w:r w:rsidRPr="00A313E4">
        <w:rPr>
          <w:rFonts w:cstheme="minorHAnsi"/>
          <w:color w:val="222222"/>
          <w:sz w:val="24"/>
          <w:szCs w:val="24"/>
          <w:shd w:val="clear" w:color="auto" w:fill="FFFFFF"/>
        </w:rPr>
        <w:t>10.1375/bech.28.1.17</w:t>
      </w:r>
    </w:p>
    <w:p w14:paraId="14BECC49" w14:textId="5D851856" w:rsidR="00DC07E2" w:rsidRDefault="00DC07E2" w:rsidP="00B71AF4">
      <w:pPr>
        <w:spacing w:line="360" w:lineRule="auto"/>
        <w:ind w:left="720" w:hanging="720"/>
        <w:rPr>
          <w:rFonts w:cstheme="minorHAnsi"/>
          <w:color w:val="222222"/>
          <w:sz w:val="24"/>
          <w:szCs w:val="24"/>
          <w:shd w:val="clear" w:color="auto" w:fill="FFFFFF"/>
        </w:rPr>
      </w:pPr>
      <w:r w:rsidRPr="00DC07E2">
        <w:rPr>
          <w:rFonts w:cstheme="minorHAnsi"/>
          <w:color w:val="222222"/>
          <w:sz w:val="24"/>
          <w:szCs w:val="24"/>
          <w:shd w:val="clear" w:color="auto" w:fill="FFFFFF"/>
        </w:rPr>
        <w:t xml:space="preserve">Dattilio, F. M. (2015). The self-care of psychologists and mental health professionals: </w:t>
      </w:r>
      <w:r w:rsidR="00FB76B9" w:rsidRPr="00DC07E2">
        <w:rPr>
          <w:rFonts w:cstheme="minorHAnsi"/>
          <w:color w:val="222222"/>
          <w:sz w:val="24"/>
          <w:szCs w:val="24"/>
          <w:shd w:val="clear" w:color="auto" w:fill="FFFFFF"/>
        </w:rPr>
        <w:t xml:space="preserve">A </w:t>
      </w:r>
      <w:r w:rsidR="00FB76B9">
        <w:rPr>
          <w:rFonts w:cstheme="minorHAnsi"/>
          <w:color w:val="222222"/>
          <w:sz w:val="24"/>
          <w:szCs w:val="24"/>
          <w:shd w:val="clear" w:color="auto" w:fill="FFFFFF"/>
        </w:rPr>
        <w:t>Review</w:t>
      </w:r>
      <w:r w:rsidRPr="00DC07E2">
        <w:rPr>
          <w:rFonts w:cstheme="minorHAnsi"/>
          <w:color w:val="222222"/>
          <w:sz w:val="24"/>
          <w:szCs w:val="24"/>
          <w:shd w:val="clear" w:color="auto" w:fill="FFFFFF"/>
        </w:rPr>
        <w:t xml:space="preserve"> </w:t>
      </w:r>
      <w:r w:rsidR="00FB76B9" w:rsidRPr="00DC07E2">
        <w:rPr>
          <w:rFonts w:cstheme="minorHAnsi"/>
          <w:color w:val="222222"/>
          <w:sz w:val="24"/>
          <w:szCs w:val="24"/>
          <w:shd w:val="clear" w:color="auto" w:fill="FFFFFF"/>
        </w:rPr>
        <w:t xml:space="preserve">and </w:t>
      </w:r>
      <w:r w:rsidR="00FB76B9">
        <w:rPr>
          <w:rFonts w:cstheme="minorHAnsi"/>
          <w:color w:val="222222"/>
          <w:sz w:val="24"/>
          <w:szCs w:val="24"/>
          <w:shd w:val="clear" w:color="auto" w:fill="FFFFFF"/>
        </w:rPr>
        <w:t>practitioner</w:t>
      </w:r>
      <w:r w:rsidRPr="00DC07E2">
        <w:rPr>
          <w:rFonts w:cstheme="minorHAnsi"/>
          <w:color w:val="222222"/>
          <w:sz w:val="24"/>
          <w:szCs w:val="24"/>
          <w:shd w:val="clear" w:color="auto" w:fill="FFFFFF"/>
        </w:rPr>
        <w:t xml:space="preserve"> guide. Australian P</w:t>
      </w:r>
      <w:r>
        <w:rPr>
          <w:rFonts w:cstheme="minorHAnsi"/>
          <w:color w:val="222222"/>
          <w:sz w:val="24"/>
          <w:szCs w:val="24"/>
          <w:shd w:val="clear" w:color="auto" w:fill="FFFFFF"/>
        </w:rPr>
        <w:t>sychologist, 50</w:t>
      </w:r>
      <w:r w:rsidR="00061E3F">
        <w:rPr>
          <w:rFonts w:cstheme="minorHAnsi"/>
          <w:color w:val="222222"/>
          <w:sz w:val="24"/>
          <w:szCs w:val="24"/>
          <w:shd w:val="clear" w:color="auto" w:fill="FFFFFF"/>
        </w:rPr>
        <w:t>(6)</w:t>
      </w:r>
      <w:r>
        <w:rPr>
          <w:rFonts w:cstheme="minorHAnsi"/>
          <w:color w:val="222222"/>
          <w:sz w:val="24"/>
          <w:szCs w:val="24"/>
          <w:shd w:val="clear" w:color="auto" w:fill="FFFFFF"/>
        </w:rPr>
        <w:t xml:space="preserve">, 393-399. doi: </w:t>
      </w:r>
      <w:r w:rsidRPr="00DC07E2">
        <w:rPr>
          <w:rFonts w:cstheme="minorHAnsi"/>
          <w:color w:val="222222"/>
          <w:sz w:val="24"/>
          <w:szCs w:val="24"/>
          <w:shd w:val="clear" w:color="auto" w:fill="FFFFFF"/>
        </w:rPr>
        <w:t>10.1111/ap.12157</w:t>
      </w:r>
    </w:p>
    <w:p w14:paraId="76AFC3AB" w14:textId="39E6AE0D" w:rsidR="007717D0" w:rsidRPr="006A09F6" w:rsidRDefault="007717D0" w:rsidP="00B71AF4">
      <w:pPr>
        <w:spacing w:line="360" w:lineRule="auto"/>
        <w:ind w:left="720" w:hanging="720"/>
        <w:rPr>
          <w:rFonts w:cstheme="minorHAnsi"/>
          <w:sz w:val="24"/>
          <w:szCs w:val="24"/>
        </w:rPr>
      </w:pPr>
      <w:r w:rsidRPr="00BF3EDF">
        <w:rPr>
          <w:rFonts w:cstheme="minorHAnsi"/>
          <w:color w:val="222222"/>
          <w:sz w:val="24"/>
          <w:szCs w:val="24"/>
          <w:shd w:val="clear" w:color="auto" w:fill="FFFFFF"/>
        </w:rPr>
        <w:t xml:space="preserve">De Cuyper, N., &amp; De Witte, H. (2009). </w:t>
      </w:r>
      <w:r w:rsidRPr="006A09F6">
        <w:rPr>
          <w:rFonts w:cstheme="minorHAnsi"/>
          <w:color w:val="222222"/>
          <w:sz w:val="24"/>
          <w:szCs w:val="24"/>
          <w:shd w:val="clear" w:color="auto" w:fill="FFFFFF"/>
        </w:rPr>
        <w:t>Temporary employment: Associations with employees' attitudes</w:t>
      </w:r>
      <w:r w:rsidR="00FB76B9" w:rsidRPr="006A09F6">
        <w:rPr>
          <w:rFonts w:cstheme="minorHAnsi"/>
          <w:color w:val="222222"/>
          <w:sz w:val="24"/>
          <w:szCs w:val="24"/>
          <w:shd w:val="clear" w:color="auto" w:fill="FFFFFF"/>
        </w:rPr>
        <w:t xml:space="preserve">, </w:t>
      </w:r>
      <w:r w:rsidR="00FB76B9">
        <w:rPr>
          <w:rFonts w:cstheme="minorHAnsi"/>
          <w:color w:val="222222"/>
          <w:sz w:val="24"/>
          <w:szCs w:val="24"/>
          <w:shd w:val="clear" w:color="auto" w:fill="FFFFFF"/>
        </w:rPr>
        <w:t>well</w:t>
      </w:r>
      <w:r w:rsidRPr="006A09F6">
        <w:rPr>
          <w:rFonts w:cstheme="minorHAnsi"/>
          <w:color w:val="222222"/>
          <w:sz w:val="24"/>
          <w:szCs w:val="24"/>
          <w:shd w:val="clear" w:color="auto" w:fill="FFFFFF"/>
        </w:rPr>
        <w:t>-being and behaviour. A review of Belgian research. </w:t>
      </w:r>
      <w:r w:rsidRPr="006A09F6">
        <w:rPr>
          <w:rFonts w:cstheme="minorHAnsi"/>
          <w:i/>
          <w:iCs/>
          <w:color w:val="222222"/>
          <w:sz w:val="24"/>
          <w:szCs w:val="24"/>
          <w:shd w:val="clear" w:color="auto" w:fill="FFFFFF"/>
        </w:rPr>
        <w:t>Psychologica Belgica</w:t>
      </w:r>
      <w:r w:rsidRPr="006A09F6">
        <w:rPr>
          <w:rFonts w:cstheme="minorHAnsi"/>
          <w:color w:val="222222"/>
          <w:sz w:val="24"/>
          <w:szCs w:val="24"/>
          <w:shd w:val="clear" w:color="auto" w:fill="FFFFFF"/>
        </w:rPr>
        <w:t>, </w:t>
      </w:r>
      <w:r w:rsidRPr="006A09F6">
        <w:rPr>
          <w:rFonts w:cstheme="minorHAnsi"/>
          <w:i/>
          <w:iCs/>
          <w:color w:val="222222"/>
          <w:sz w:val="24"/>
          <w:szCs w:val="24"/>
          <w:shd w:val="clear" w:color="auto" w:fill="FFFFFF"/>
        </w:rPr>
        <w:t>49</w:t>
      </w:r>
      <w:r w:rsidRPr="006A09F6">
        <w:rPr>
          <w:rFonts w:cstheme="minorHAnsi"/>
          <w:color w:val="222222"/>
          <w:sz w:val="24"/>
          <w:szCs w:val="24"/>
          <w:shd w:val="clear" w:color="auto" w:fill="FFFFFF"/>
        </w:rPr>
        <w:t>(4), 249.</w:t>
      </w:r>
      <w:r w:rsidRPr="006A09F6">
        <w:rPr>
          <w:rFonts w:cstheme="minorHAnsi"/>
          <w:sz w:val="24"/>
          <w:szCs w:val="24"/>
        </w:rPr>
        <w:t xml:space="preserve"> </w:t>
      </w:r>
      <w:r w:rsidR="00B71AF4">
        <w:rPr>
          <w:rFonts w:cstheme="minorHAnsi"/>
          <w:sz w:val="24"/>
          <w:szCs w:val="24"/>
        </w:rPr>
        <w:t xml:space="preserve"> </w:t>
      </w:r>
      <w:r w:rsidRPr="006A09F6">
        <w:rPr>
          <w:rFonts w:cstheme="minorHAnsi"/>
          <w:sz w:val="24"/>
          <w:szCs w:val="24"/>
        </w:rPr>
        <w:t>doi:10.5334/pb-49-4-249</w:t>
      </w:r>
    </w:p>
    <w:p w14:paraId="4FF25BF9" w14:textId="77777777" w:rsidR="00DC07E2" w:rsidRPr="00DC07E2" w:rsidRDefault="00DC07E2" w:rsidP="00B71AF4">
      <w:pPr>
        <w:spacing w:line="360" w:lineRule="auto"/>
        <w:ind w:left="720" w:hanging="720"/>
        <w:rPr>
          <w:rFonts w:cstheme="minorHAnsi"/>
          <w:sz w:val="24"/>
          <w:szCs w:val="24"/>
          <w:shd w:val="clear" w:color="auto" w:fill="FFFFFF"/>
        </w:rPr>
      </w:pPr>
      <w:r w:rsidRPr="00DC07E2">
        <w:rPr>
          <w:rFonts w:cstheme="minorHAnsi"/>
          <w:sz w:val="24"/>
          <w:szCs w:val="24"/>
          <w:shd w:val="clear" w:color="auto" w:fill="FFFFFF"/>
        </w:rPr>
        <w:t>DeVellis, R. F. (2017). </w:t>
      </w:r>
      <w:r w:rsidRPr="00DC07E2">
        <w:rPr>
          <w:rFonts w:cstheme="minorHAnsi"/>
          <w:i/>
          <w:iCs/>
          <w:sz w:val="24"/>
          <w:szCs w:val="24"/>
          <w:shd w:val="clear" w:color="auto" w:fill="FFFFFF"/>
        </w:rPr>
        <w:t>Scale development: Theory and applications</w:t>
      </w:r>
      <w:r w:rsidRPr="00DC07E2">
        <w:rPr>
          <w:rFonts w:cstheme="minorHAnsi"/>
          <w:sz w:val="24"/>
          <w:szCs w:val="24"/>
          <w:shd w:val="clear" w:color="auto" w:fill="FFFFFF"/>
        </w:rPr>
        <w:t> (4</w:t>
      </w:r>
      <w:r w:rsidRPr="00DC07E2">
        <w:rPr>
          <w:rFonts w:cstheme="minorHAnsi"/>
          <w:sz w:val="24"/>
          <w:szCs w:val="24"/>
          <w:shd w:val="clear" w:color="auto" w:fill="FFFFFF"/>
          <w:vertAlign w:val="superscript"/>
        </w:rPr>
        <w:t>th</w:t>
      </w:r>
      <w:r w:rsidRPr="00DC07E2">
        <w:rPr>
          <w:rFonts w:cstheme="minorHAnsi"/>
          <w:sz w:val="24"/>
          <w:szCs w:val="24"/>
          <w:shd w:val="clear" w:color="auto" w:fill="FFFFFF"/>
        </w:rPr>
        <w:t xml:space="preserve"> ed.). Los Angeles: </w:t>
      </w:r>
      <w:r w:rsidR="00B71AF4">
        <w:rPr>
          <w:rFonts w:cstheme="minorHAnsi"/>
          <w:sz w:val="24"/>
          <w:szCs w:val="24"/>
          <w:shd w:val="clear" w:color="auto" w:fill="FFFFFF"/>
        </w:rPr>
        <w:t xml:space="preserve"> </w:t>
      </w:r>
      <w:r w:rsidRPr="00DC07E2">
        <w:rPr>
          <w:rFonts w:cstheme="minorHAnsi"/>
          <w:sz w:val="24"/>
          <w:szCs w:val="24"/>
          <w:shd w:val="clear" w:color="auto" w:fill="FFFFFF"/>
        </w:rPr>
        <w:t>Sage Publications.</w:t>
      </w:r>
    </w:p>
    <w:p w14:paraId="1FBF4C2E" w14:textId="375EDA74" w:rsidR="00A313E4" w:rsidRDefault="00A313E4" w:rsidP="00B71AF4">
      <w:pPr>
        <w:spacing w:line="360" w:lineRule="auto"/>
        <w:ind w:left="720" w:hanging="720"/>
        <w:rPr>
          <w:rFonts w:cstheme="minorHAnsi"/>
          <w:sz w:val="24"/>
          <w:szCs w:val="24"/>
        </w:rPr>
      </w:pPr>
      <w:r w:rsidRPr="00A313E4">
        <w:rPr>
          <w:rFonts w:cstheme="minorHAnsi"/>
          <w:sz w:val="24"/>
          <w:szCs w:val="24"/>
        </w:rPr>
        <w:t>Diener, E., Emmons, R. A., Larsen, R. J., &amp; Griffin, S. (1985). The satisfacti</w:t>
      </w:r>
      <w:r>
        <w:rPr>
          <w:rFonts w:cstheme="minorHAnsi"/>
          <w:sz w:val="24"/>
          <w:szCs w:val="24"/>
        </w:rPr>
        <w:t xml:space="preserve">on with life scale. </w:t>
      </w:r>
      <w:r w:rsidRPr="00A313E4">
        <w:rPr>
          <w:rFonts w:cstheme="minorHAnsi"/>
          <w:sz w:val="24"/>
          <w:szCs w:val="24"/>
        </w:rPr>
        <w:t xml:space="preserve">Journal </w:t>
      </w:r>
      <w:r w:rsidR="00FB76B9" w:rsidRPr="00A313E4">
        <w:rPr>
          <w:rFonts w:cstheme="minorHAnsi"/>
          <w:sz w:val="24"/>
          <w:szCs w:val="24"/>
        </w:rPr>
        <w:t xml:space="preserve">of </w:t>
      </w:r>
      <w:r w:rsidR="00FB76B9">
        <w:rPr>
          <w:rFonts w:cstheme="minorHAnsi"/>
          <w:sz w:val="24"/>
          <w:szCs w:val="24"/>
        </w:rPr>
        <w:t>Personality</w:t>
      </w:r>
      <w:r w:rsidRPr="00A313E4">
        <w:rPr>
          <w:rFonts w:cstheme="minorHAnsi"/>
          <w:sz w:val="24"/>
          <w:szCs w:val="24"/>
        </w:rPr>
        <w:t xml:space="preserve"> Assessment, 49</w:t>
      </w:r>
      <w:r w:rsidR="00061E3F">
        <w:rPr>
          <w:rFonts w:cstheme="minorHAnsi"/>
          <w:sz w:val="24"/>
          <w:szCs w:val="24"/>
        </w:rPr>
        <w:t>(1)</w:t>
      </w:r>
      <w:r w:rsidRPr="00A313E4">
        <w:rPr>
          <w:rFonts w:cstheme="minorHAnsi"/>
          <w:sz w:val="24"/>
          <w:szCs w:val="24"/>
        </w:rPr>
        <w:t>, 71–75. doi: 10.1207/s15327752jpa4901_13</w:t>
      </w:r>
    </w:p>
    <w:p w14:paraId="08DA49B2" w14:textId="7B0C2E4A" w:rsidR="00A313E4" w:rsidRDefault="00A313E4" w:rsidP="00B71AF4">
      <w:pPr>
        <w:spacing w:line="360" w:lineRule="auto"/>
        <w:ind w:left="720" w:hanging="720"/>
        <w:rPr>
          <w:rFonts w:cstheme="minorHAnsi"/>
          <w:sz w:val="24"/>
          <w:szCs w:val="24"/>
        </w:rPr>
      </w:pPr>
      <w:r w:rsidRPr="00A313E4">
        <w:rPr>
          <w:rFonts w:cstheme="minorHAnsi"/>
          <w:sz w:val="24"/>
          <w:szCs w:val="24"/>
        </w:rPr>
        <w:t>Di Benedetto, M., &amp; Swadling, M. (2014). Burnout in Australi</w:t>
      </w:r>
      <w:r>
        <w:rPr>
          <w:rFonts w:cstheme="minorHAnsi"/>
          <w:sz w:val="24"/>
          <w:szCs w:val="24"/>
        </w:rPr>
        <w:t xml:space="preserve">an psychologists: Correlations </w:t>
      </w:r>
      <w:r w:rsidRPr="00A313E4">
        <w:rPr>
          <w:rFonts w:cstheme="minorHAnsi"/>
          <w:sz w:val="24"/>
          <w:szCs w:val="24"/>
        </w:rPr>
        <w:t>with work-</w:t>
      </w:r>
      <w:r w:rsidR="00B71AF4">
        <w:rPr>
          <w:rFonts w:cstheme="minorHAnsi"/>
          <w:sz w:val="24"/>
          <w:szCs w:val="24"/>
        </w:rPr>
        <w:t xml:space="preserve"> </w:t>
      </w:r>
      <w:r w:rsidRPr="00A313E4">
        <w:rPr>
          <w:rFonts w:cstheme="minorHAnsi"/>
          <w:sz w:val="24"/>
          <w:szCs w:val="24"/>
        </w:rPr>
        <w:t>setting, mindfulness and self-care beha</w:t>
      </w:r>
      <w:r>
        <w:rPr>
          <w:rFonts w:cstheme="minorHAnsi"/>
          <w:sz w:val="24"/>
          <w:szCs w:val="24"/>
        </w:rPr>
        <w:t>viours. Psychology, Health and Medicine, 19</w:t>
      </w:r>
      <w:r w:rsidR="00061E3F">
        <w:rPr>
          <w:rFonts w:cstheme="minorHAnsi"/>
          <w:sz w:val="24"/>
          <w:szCs w:val="24"/>
        </w:rPr>
        <w:t>(6)</w:t>
      </w:r>
      <w:r>
        <w:rPr>
          <w:rFonts w:cstheme="minorHAnsi"/>
          <w:sz w:val="24"/>
          <w:szCs w:val="24"/>
        </w:rPr>
        <w:t xml:space="preserve">, </w:t>
      </w:r>
      <w:r w:rsidRPr="00A313E4">
        <w:rPr>
          <w:rFonts w:cstheme="minorHAnsi"/>
          <w:sz w:val="24"/>
          <w:szCs w:val="24"/>
        </w:rPr>
        <w:t>70</w:t>
      </w:r>
      <w:r w:rsidR="00E34E93">
        <w:rPr>
          <w:rFonts w:cstheme="minorHAnsi"/>
          <w:sz w:val="24"/>
          <w:szCs w:val="24"/>
        </w:rPr>
        <w:t xml:space="preserve">5-715. </w:t>
      </w:r>
      <w:r w:rsidR="00B71AF4">
        <w:rPr>
          <w:rFonts w:cstheme="minorHAnsi"/>
          <w:sz w:val="24"/>
          <w:szCs w:val="24"/>
        </w:rPr>
        <w:t xml:space="preserve"> </w:t>
      </w:r>
      <w:r w:rsidR="00E34E93">
        <w:rPr>
          <w:rFonts w:cstheme="minorHAnsi"/>
          <w:sz w:val="24"/>
          <w:szCs w:val="24"/>
        </w:rPr>
        <w:t>doi:</w:t>
      </w:r>
      <w:r w:rsidRPr="00A313E4">
        <w:rPr>
          <w:rFonts w:cstheme="minorHAnsi"/>
          <w:sz w:val="24"/>
          <w:szCs w:val="24"/>
        </w:rPr>
        <w:t>10.1080/13548506.2013.861602</w:t>
      </w:r>
    </w:p>
    <w:p w14:paraId="3949E1FE" w14:textId="060E4819" w:rsidR="00A313E4" w:rsidRDefault="00A313E4" w:rsidP="00B71AF4">
      <w:pPr>
        <w:spacing w:line="360" w:lineRule="auto"/>
        <w:ind w:left="720" w:hanging="720"/>
        <w:rPr>
          <w:rFonts w:cstheme="minorHAnsi"/>
          <w:sz w:val="24"/>
          <w:szCs w:val="24"/>
        </w:rPr>
      </w:pPr>
      <w:r w:rsidRPr="00A313E4">
        <w:rPr>
          <w:rFonts w:cstheme="minorHAnsi"/>
          <w:sz w:val="24"/>
          <w:szCs w:val="24"/>
        </w:rPr>
        <w:t>Dorociak, K. E., Rupert, P. A., &amp; Zahniser, E. (2017). Work l</w:t>
      </w:r>
      <w:r>
        <w:rPr>
          <w:rFonts w:cstheme="minorHAnsi"/>
          <w:sz w:val="24"/>
          <w:szCs w:val="24"/>
        </w:rPr>
        <w:t xml:space="preserve">ife, well-being, and self-care across </w:t>
      </w:r>
      <w:r w:rsidR="00FB76B9" w:rsidRPr="00A313E4">
        <w:rPr>
          <w:rFonts w:cstheme="minorHAnsi"/>
          <w:sz w:val="24"/>
          <w:szCs w:val="24"/>
        </w:rPr>
        <w:t xml:space="preserve">the </w:t>
      </w:r>
      <w:r w:rsidR="00FB76B9">
        <w:rPr>
          <w:rFonts w:cstheme="minorHAnsi"/>
          <w:sz w:val="24"/>
          <w:szCs w:val="24"/>
        </w:rPr>
        <w:t>professional</w:t>
      </w:r>
      <w:r w:rsidRPr="00A313E4">
        <w:rPr>
          <w:rFonts w:cstheme="minorHAnsi"/>
          <w:sz w:val="24"/>
          <w:szCs w:val="24"/>
        </w:rPr>
        <w:t xml:space="preserve"> lifespan of psychologists. Professional Psychology: </w:t>
      </w:r>
      <w:r w:rsidR="00FB76B9" w:rsidRPr="00A313E4">
        <w:rPr>
          <w:rFonts w:cstheme="minorHAnsi"/>
          <w:sz w:val="24"/>
          <w:szCs w:val="24"/>
        </w:rPr>
        <w:t xml:space="preserve">Research </w:t>
      </w:r>
      <w:r w:rsidR="00FB76B9">
        <w:rPr>
          <w:rFonts w:cstheme="minorHAnsi"/>
          <w:sz w:val="24"/>
          <w:szCs w:val="24"/>
        </w:rPr>
        <w:t>and</w:t>
      </w:r>
      <w:r w:rsidRPr="00A313E4">
        <w:rPr>
          <w:rFonts w:cstheme="minorHAnsi"/>
          <w:sz w:val="24"/>
          <w:szCs w:val="24"/>
        </w:rPr>
        <w:t xml:space="preserve"> Practice, 48</w:t>
      </w:r>
      <w:r w:rsidR="00061E3F">
        <w:rPr>
          <w:rFonts w:cstheme="minorHAnsi"/>
          <w:sz w:val="24"/>
          <w:szCs w:val="24"/>
        </w:rPr>
        <w:t>(6)</w:t>
      </w:r>
      <w:r w:rsidRPr="00A313E4">
        <w:rPr>
          <w:rFonts w:cstheme="minorHAnsi"/>
          <w:sz w:val="24"/>
          <w:szCs w:val="24"/>
        </w:rPr>
        <w:t xml:space="preserve">, 429-437. </w:t>
      </w:r>
      <w:r w:rsidR="00B71AF4">
        <w:rPr>
          <w:rFonts w:cstheme="minorHAnsi"/>
          <w:sz w:val="24"/>
          <w:szCs w:val="24"/>
        </w:rPr>
        <w:t xml:space="preserve"> </w:t>
      </w:r>
      <w:r w:rsidRPr="00A313E4">
        <w:rPr>
          <w:rFonts w:cstheme="minorHAnsi"/>
          <w:sz w:val="24"/>
          <w:szCs w:val="24"/>
        </w:rPr>
        <w:t>doi: 10.1037/pro0000160</w:t>
      </w:r>
    </w:p>
    <w:p w14:paraId="7153AABB" w14:textId="30389695" w:rsidR="007717D0" w:rsidRPr="006A09F6" w:rsidRDefault="0034217D" w:rsidP="00B71AF4">
      <w:pPr>
        <w:spacing w:line="360" w:lineRule="auto"/>
        <w:ind w:left="720" w:hanging="720"/>
        <w:rPr>
          <w:rFonts w:cstheme="minorHAnsi"/>
          <w:sz w:val="24"/>
          <w:szCs w:val="24"/>
        </w:rPr>
      </w:pPr>
      <w:r w:rsidRPr="006A09F6">
        <w:rPr>
          <w:rFonts w:cstheme="minorHAnsi"/>
          <w:sz w:val="24"/>
          <w:szCs w:val="24"/>
        </w:rPr>
        <w:t xml:space="preserve">Drezner, Z.  &amp; Drezner, T.D. (2016). </w:t>
      </w:r>
      <w:bookmarkEnd w:id="9"/>
      <w:r w:rsidRPr="006A09F6">
        <w:rPr>
          <w:rFonts w:cstheme="minorHAnsi"/>
          <w:sz w:val="24"/>
          <w:szCs w:val="24"/>
        </w:rPr>
        <w:t xml:space="preserve">A Remedy for the Overzealous Bonferroni Technique for </w:t>
      </w:r>
      <w:r w:rsidR="00FB76B9" w:rsidRPr="006A09F6">
        <w:rPr>
          <w:rFonts w:cstheme="minorHAnsi"/>
          <w:sz w:val="24"/>
          <w:szCs w:val="24"/>
        </w:rPr>
        <w:t xml:space="preserve">Multiple </w:t>
      </w:r>
      <w:r w:rsidR="00FB76B9">
        <w:rPr>
          <w:rFonts w:cstheme="minorHAnsi"/>
          <w:sz w:val="24"/>
          <w:szCs w:val="24"/>
        </w:rPr>
        <w:t>Statistical</w:t>
      </w:r>
      <w:r w:rsidRPr="006A09F6">
        <w:rPr>
          <w:rFonts w:cstheme="minorHAnsi"/>
          <w:sz w:val="24"/>
          <w:szCs w:val="24"/>
        </w:rPr>
        <w:t xml:space="preserve"> Tests. </w:t>
      </w:r>
      <w:r w:rsidRPr="006A09F6">
        <w:rPr>
          <w:rFonts w:cstheme="minorHAnsi"/>
          <w:i/>
          <w:sz w:val="24"/>
          <w:szCs w:val="24"/>
        </w:rPr>
        <w:t>Bulletin of the Ecological Society of America, 97</w:t>
      </w:r>
      <w:r w:rsidR="007717D0" w:rsidRPr="006A09F6">
        <w:rPr>
          <w:rFonts w:cstheme="minorHAnsi"/>
          <w:sz w:val="24"/>
          <w:szCs w:val="24"/>
        </w:rPr>
        <w:t xml:space="preserve">(1), 91-98. </w:t>
      </w:r>
      <w:r w:rsidR="007717D0" w:rsidRPr="006A09F6">
        <w:rPr>
          <w:rFonts w:cstheme="minorHAnsi"/>
          <w:bCs/>
          <w:sz w:val="24"/>
          <w:szCs w:val="24"/>
        </w:rPr>
        <w:t>doi:10.1002/bes2.1214</w:t>
      </w:r>
      <w:r w:rsidRPr="006A09F6">
        <w:rPr>
          <w:rFonts w:cstheme="minorHAnsi"/>
          <w:sz w:val="24"/>
          <w:szCs w:val="24"/>
        </w:rPr>
        <w:t xml:space="preserve"> </w:t>
      </w:r>
      <w:bookmarkStart w:id="10" w:name="_Hlk24108422"/>
    </w:p>
    <w:p w14:paraId="31C9ACCA" w14:textId="21B8D97B" w:rsidR="00E34E93" w:rsidRDefault="00E34E93" w:rsidP="00B71AF4">
      <w:pPr>
        <w:spacing w:line="360" w:lineRule="auto"/>
        <w:ind w:left="720" w:hanging="720"/>
        <w:rPr>
          <w:rFonts w:cstheme="minorHAnsi"/>
          <w:sz w:val="24"/>
          <w:szCs w:val="24"/>
          <w:shd w:val="clear" w:color="auto" w:fill="FFFFFF"/>
        </w:rPr>
      </w:pPr>
      <w:r w:rsidRPr="00E34E93">
        <w:rPr>
          <w:rFonts w:cstheme="minorHAnsi"/>
          <w:sz w:val="24"/>
          <w:szCs w:val="24"/>
          <w:shd w:val="clear" w:color="auto" w:fill="FFFFFF"/>
        </w:rPr>
        <w:t xml:space="preserve">Emery, S., Wade, T. D., &amp; McLean, S. (2009). Associations among therapist beliefs, personal resources </w:t>
      </w:r>
      <w:r w:rsidR="00FB76B9" w:rsidRPr="00E34E93">
        <w:rPr>
          <w:rFonts w:cstheme="minorHAnsi"/>
          <w:sz w:val="24"/>
          <w:szCs w:val="24"/>
          <w:shd w:val="clear" w:color="auto" w:fill="FFFFFF"/>
        </w:rPr>
        <w:t xml:space="preserve">and </w:t>
      </w:r>
      <w:r w:rsidR="00FB76B9">
        <w:rPr>
          <w:rFonts w:cstheme="minorHAnsi"/>
          <w:sz w:val="24"/>
          <w:szCs w:val="24"/>
          <w:shd w:val="clear" w:color="auto" w:fill="FFFFFF"/>
        </w:rPr>
        <w:t>burnout</w:t>
      </w:r>
      <w:r w:rsidRPr="00E34E93">
        <w:rPr>
          <w:rFonts w:cstheme="minorHAnsi"/>
          <w:sz w:val="24"/>
          <w:szCs w:val="24"/>
          <w:shd w:val="clear" w:color="auto" w:fill="FFFFFF"/>
        </w:rPr>
        <w:t xml:space="preserve"> in clinical psychologists. Behaviour Change, 26</w:t>
      </w:r>
      <w:r w:rsidR="00061E3F">
        <w:rPr>
          <w:rFonts w:cstheme="minorHAnsi"/>
          <w:sz w:val="24"/>
          <w:szCs w:val="24"/>
          <w:shd w:val="clear" w:color="auto" w:fill="FFFFFF"/>
        </w:rPr>
        <w:t>(2)</w:t>
      </w:r>
      <w:r w:rsidRPr="00E34E93">
        <w:rPr>
          <w:rFonts w:cstheme="minorHAnsi"/>
          <w:sz w:val="24"/>
          <w:szCs w:val="24"/>
          <w:shd w:val="clear" w:color="auto" w:fill="FFFFFF"/>
        </w:rPr>
        <w:t xml:space="preserve">, 83-96. doi: 10.1375/bech.26.2.83. </w:t>
      </w:r>
    </w:p>
    <w:p w14:paraId="20F687BE" w14:textId="77777777" w:rsidR="00A313E4" w:rsidRDefault="00A313E4" w:rsidP="00B71AF4">
      <w:pPr>
        <w:spacing w:line="360" w:lineRule="auto"/>
        <w:ind w:left="720" w:hanging="720"/>
        <w:rPr>
          <w:rFonts w:cstheme="minorHAnsi"/>
          <w:sz w:val="24"/>
          <w:szCs w:val="24"/>
          <w:shd w:val="clear" w:color="auto" w:fill="FFFFFF"/>
        </w:rPr>
      </w:pPr>
      <w:r w:rsidRPr="00A313E4">
        <w:rPr>
          <w:rFonts w:cstheme="minorHAnsi"/>
          <w:sz w:val="24"/>
          <w:szCs w:val="24"/>
          <w:shd w:val="clear" w:color="auto" w:fill="FFFFFF"/>
        </w:rPr>
        <w:t>Field, A. (2018). Discovering statistics using IBM SPSS Sta</w:t>
      </w:r>
      <w:r>
        <w:rPr>
          <w:rFonts w:cstheme="minorHAnsi"/>
          <w:sz w:val="24"/>
          <w:szCs w:val="24"/>
          <w:shd w:val="clear" w:color="auto" w:fill="FFFFFF"/>
        </w:rPr>
        <w:t xml:space="preserve">tistics (5th ed.) London: Sage </w:t>
      </w:r>
      <w:r w:rsidRPr="00A313E4">
        <w:rPr>
          <w:rFonts w:cstheme="minorHAnsi"/>
          <w:sz w:val="24"/>
          <w:szCs w:val="24"/>
          <w:shd w:val="clear" w:color="auto" w:fill="FFFFFF"/>
        </w:rPr>
        <w:t xml:space="preserve">Publications. </w:t>
      </w:r>
    </w:p>
    <w:p w14:paraId="2CC24D01" w14:textId="05F58EF9" w:rsidR="006A09F6" w:rsidRPr="006A09F6" w:rsidRDefault="006A09F6"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t xml:space="preserve">Gazioglu, S., &amp; Tansel, A. (2006). Job satisfaction in Britain: individual and job related factors. </w:t>
      </w:r>
      <w:r w:rsidR="00FB76B9" w:rsidRPr="006A09F6">
        <w:rPr>
          <w:rFonts w:cstheme="minorHAnsi"/>
          <w:sz w:val="24"/>
          <w:szCs w:val="24"/>
          <w:shd w:val="clear" w:color="auto" w:fill="FFFFFF"/>
        </w:rPr>
        <w:t xml:space="preserve">Applied </w:t>
      </w:r>
      <w:r w:rsidR="00FB76B9">
        <w:rPr>
          <w:rFonts w:cstheme="minorHAnsi"/>
          <w:sz w:val="24"/>
          <w:szCs w:val="24"/>
          <w:shd w:val="clear" w:color="auto" w:fill="FFFFFF"/>
        </w:rPr>
        <w:t>economics</w:t>
      </w:r>
      <w:r w:rsidRPr="006A09F6">
        <w:rPr>
          <w:rFonts w:cstheme="minorHAnsi"/>
          <w:sz w:val="24"/>
          <w:szCs w:val="24"/>
          <w:shd w:val="clear" w:color="auto" w:fill="FFFFFF"/>
        </w:rPr>
        <w:t>, 38(10), 1163-1171. doi: 10.1080/00036840500392987</w:t>
      </w:r>
    </w:p>
    <w:p w14:paraId="3510F60E" w14:textId="387AACD1" w:rsidR="007717D0" w:rsidRPr="006A09F6" w:rsidRDefault="007717D0" w:rsidP="00B71AF4">
      <w:pPr>
        <w:spacing w:line="360" w:lineRule="auto"/>
        <w:ind w:left="720" w:hanging="720"/>
        <w:rPr>
          <w:rFonts w:cstheme="minorHAnsi"/>
          <w:sz w:val="24"/>
          <w:szCs w:val="24"/>
        </w:rPr>
      </w:pPr>
      <w:r w:rsidRPr="006A09F6">
        <w:rPr>
          <w:rFonts w:cstheme="minorHAnsi"/>
          <w:sz w:val="24"/>
          <w:szCs w:val="24"/>
        </w:rPr>
        <w:t xml:space="preserve">Glass, D. C., &amp; McKnight, J. D. (1996). Perceived control, depressive symptomatology, and </w:t>
      </w:r>
      <w:r w:rsidR="00FB76B9" w:rsidRPr="006A09F6">
        <w:rPr>
          <w:rFonts w:cstheme="minorHAnsi"/>
          <w:sz w:val="24"/>
          <w:szCs w:val="24"/>
        </w:rPr>
        <w:t xml:space="preserve">professional </w:t>
      </w:r>
      <w:r w:rsidR="00FB76B9">
        <w:rPr>
          <w:rFonts w:cstheme="minorHAnsi"/>
          <w:sz w:val="24"/>
          <w:szCs w:val="24"/>
        </w:rPr>
        <w:t>burnout</w:t>
      </w:r>
      <w:r w:rsidRPr="006A09F6">
        <w:rPr>
          <w:rFonts w:cstheme="minorHAnsi"/>
          <w:sz w:val="24"/>
          <w:szCs w:val="24"/>
        </w:rPr>
        <w:t>: A review of the evidence. </w:t>
      </w:r>
      <w:r w:rsidRPr="006A09F6">
        <w:rPr>
          <w:rFonts w:cstheme="minorHAnsi"/>
          <w:i/>
          <w:iCs/>
          <w:sz w:val="24"/>
          <w:szCs w:val="24"/>
        </w:rPr>
        <w:t>Psychology and health</w:t>
      </w:r>
      <w:r w:rsidRPr="006A09F6">
        <w:rPr>
          <w:rFonts w:cstheme="minorHAnsi"/>
          <w:sz w:val="24"/>
          <w:szCs w:val="24"/>
        </w:rPr>
        <w:t>, </w:t>
      </w:r>
      <w:r w:rsidRPr="006A09F6">
        <w:rPr>
          <w:rFonts w:cstheme="minorHAnsi"/>
          <w:i/>
          <w:iCs/>
          <w:sz w:val="24"/>
          <w:szCs w:val="24"/>
        </w:rPr>
        <w:t>11</w:t>
      </w:r>
      <w:r w:rsidRPr="006A09F6">
        <w:rPr>
          <w:rFonts w:cstheme="minorHAnsi"/>
          <w:sz w:val="24"/>
          <w:szCs w:val="24"/>
        </w:rPr>
        <w:t xml:space="preserve">(1), 23-48. </w:t>
      </w:r>
      <w:r w:rsidR="00B71AF4">
        <w:rPr>
          <w:rFonts w:cstheme="minorHAnsi"/>
          <w:sz w:val="24"/>
          <w:szCs w:val="24"/>
        </w:rPr>
        <w:t xml:space="preserve"> </w:t>
      </w:r>
      <w:r w:rsidRPr="006A09F6">
        <w:rPr>
          <w:rFonts w:cstheme="minorHAnsi"/>
          <w:sz w:val="24"/>
          <w:szCs w:val="24"/>
        </w:rPr>
        <w:t>doi</w:t>
      </w:r>
      <w:r w:rsidR="00FB76B9" w:rsidRPr="006A09F6">
        <w:rPr>
          <w:rFonts w:cstheme="minorHAnsi"/>
          <w:sz w:val="24"/>
          <w:szCs w:val="24"/>
        </w:rPr>
        <w:t>: 10.1080</w:t>
      </w:r>
      <w:r w:rsidRPr="006A09F6">
        <w:rPr>
          <w:rFonts w:cstheme="minorHAnsi"/>
          <w:sz w:val="24"/>
          <w:szCs w:val="24"/>
        </w:rPr>
        <w:t>/08870449608401975</w:t>
      </w:r>
    </w:p>
    <w:p w14:paraId="66BC56FE" w14:textId="77777777" w:rsidR="00DC07E2" w:rsidRPr="00DC07E2" w:rsidRDefault="00DC07E2" w:rsidP="00B71AF4">
      <w:pPr>
        <w:autoSpaceDE w:val="0"/>
        <w:autoSpaceDN w:val="0"/>
        <w:adjustRightInd w:val="0"/>
        <w:spacing w:after="0" w:line="360" w:lineRule="auto"/>
        <w:ind w:left="720" w:hanging="720"/>
        <w:rPr>
          <w:rFonts w:cstheme="minorHAnsi"/>
          <w:sz w:val="24"/>
          <w:szCs w:val="24"/>
        </w:rPr>
      </w:pPr>
      <w:bookmarkStart w:id="11" w:name="_Hlk529541293"/>
      <w:r w:rsidRPr="00DC07E2">
        <w:rPr>
          <w:rFonts w:cstheme="minorHAnsi"/>
          <w:sz w:val="24"/>
          <w:szCs w:val="24"/>
        </w:rPr>
        <w:t xml:space="preserve">Goldberg, D. (1992). </w:t>
      </w:r>
      <w:r w:rsidRPr="00DC07E2">
        <w:rPr>
          <w:rFonts w:cstheme="minorHAnsi"/>
          <w:i/>
          <w:sz w:val="24"/>
          <w:szCs w:val="24"/>
        </w:rPr>
        <w:t xml:space="preserve">General Health Questionnaire (GHQ-12). </w:t>
      </w:r>
      <w:r w:rsidRPr="00DC07E2">
        <w:rPr>
          <w:rFonts w:cstheme="minorHAnsi"/>
          <w:sz w:val="24"/>
          <w:szCs w:val="24"/>
        </w:rPr>
        <w:t>Windsor: NFER-NELSON</w:t>
      </w:r>
    </w:p>
    <w:bookmarkEnd w:id="11"/>
    <w:p w14:paraId="62623B4B" w14:textId="554496E8" w:rsidR="00A313E4" w:rsidRDefault="00A313E4" w:rsidP="00B71AF4">
      <w:pPr>
        <w:spacing w:line="360" w:lineRule="auto"/>
        <w:ind w:left="720" w:hanging="720"/>
        <w:rPr>
          <w:rFonts w:cstheme="minorHAnsi"/>
          <w:sz w:val="24"/>
          <w:szCs w:val="24"/>
          <w:shd w:val="clear" w:color="auto" w:fill="FFFFFF"/>
        </w:rPr>
      </w:pPr>
      <w:r w:rsidRPr="00A313E4">
        <w:rPr>
          <w:rFonts w:cstheme="minorHAnsi"/>
          <w:sz w:val="24"/>
          <w:szCs w:val="24"/>
          <w:shd w:val="clear" w:color="auto" w:fill="FFFFFF"/>
        </w:rPr>
        <w:lastRenderedPageBreak/>
        <w:t xml:space="preserve">Griffeth, R. W., Hom, P. W., &amp; Gaertner, S. (2000). A meta-analysis of antecedents and correlates </w:t>
      </w:r>
      <w:r w:rsidR="00FB76B9" w:rsidRPr="00A313E4">
        <w:rPr>
          <w:rFonts w:cstheme="minorHAnsi"/>
          <w:sz w:val="24"/>
          <w:szCs w:val="24"/>
          <w:shd w:val="clear" w:color="auto" w:fill="FFFFFF"/>
        </w:rPr>
        <w:t xml:space="preserve">of </w:t>
      </w:r>
      <w:r w:rsidR="00FB76B9">
        <w:rPr>
          <w:rFonts w:cstheme="minorHAnsi"/>
          <w:sz w:val="24"/>
          <w:szCs w:val="24"/>
          <w:shd w:val="clear" w:color="auto" w:fill="FFFFFF"/>
        </w:rPr>
        <w:t>employee</w:t>
      </w:r>
      <w:r w:rsidRPr="00A313E4">
        <w:rPr>
          <w:rFonts w:cstheme="minorHAnsi"/>
          <w:sz w:val="24"/>
          <w:szCs w:val="24"/>
          <w:shd w:val="clear" w:color="auto" w:fill="FFFFFF"/>
        </w:rPr>
        <w:t xml:space="preserve"> turnover: Update, moderator tests, and research implications for the next millennium. </w:t>
      </w:r>
      <w:r w:rsidR="00B71AF4">
        <w:rPr>
          <w:rFonts w:cstheme="minorHAnsi"/>
          <w:sz w:val="24"/>
          <w:szCs w:val="24"/>
          <w:shd w:val="clear" w:color="auto" w:fill="FFFFFF"/>
        </w:rPr>
        <w:t xml:space="preserve"> </w:t>
      </w:r>
      <w:r w:rsidRPr="00A313E4">
        <w:rPr>
          <w:rFonts w:cstheme="minorHAnsi"/>
          <w:sz w:val="24"/>
          <w:szCs w:val="24"/>
          <w:shd w:val="clear" w:color="auto" w:fill="FFFFFF"/>
        </w:rPr>
        <w:t>Journal of management, 26(3), 463-488.</w:t>
      </w:r>
      <w:r w:rsidR="00E34E93">
        <w:rPr>
          <w:rFonts w:cstheme="minorHAnsi"/>
          <w:sz w:val="24"/>
          <w:szCs w:val="24"/>
          <w:shd w:val="clear" w:color="auto" w:fill="FFFFFF"/>
        </w:rPr>
        <w:t xml:space="preserve"> </w:t>
      </w:r>
      <w:r w:rsidR="00223F05">
        <w:rPr>
          <w:rFonts w:cstheme="minorHAnsi"/>
          <w:sz w:val="24"/>
          <w:szCs w:val="24"/>
          <w:shd w:val="clear" w:color="auto" w:fill="FFFFFF"/>
        </w:rPr>
        <w:t>doi:</w:t>
      </w:r>
      <w:r w:rsidR="00223F05" w:rsidRPr="00223F05">
        <w:t xml:space="preserve"> </w:t>
      </w:r>
      <w:r w:rsidR="00223F05" w:rsidRPr="00223F05">
        <w:rPr>
          <w:rFonts w:cstheme="minorHAnsi"/>
          <w:sz w:val="24"/>
          <w:szCs w:val="24"/>
          <w:shd w:val="clear" w:color="auto" w:fill="FFFFFF"/>
        </w:rPr>
        <w:t>10.1177/014920630002600305</w:t>
      </w:r>
    </w:p>
    <w:p w14:paraId="6D899119" w14:textId="77777777" w:rsidR="00ED742C" w:rsidRDefault="00ED742C" w:rsidP="00ED742C">
      <w:pPr>
        <w:spacing w:line="360" w:lineRule="auto"/>
        <w:ind w:left="720" w:hanging="720"/>
        <w:rPr>
          <w:rFonts w:cstheme="minorHAnsi"/>
          <w:bCs/>
          <w:sz w:val="24"/>
          <w:szCs w:val="24"/>
        </w:rPr>
      </w:pPr>
      <w:r>
        <w:rPr>
          <w:rFonts w:cstheme="minorHAnsi"/>
          <w:bCs/>
          <w:sz w:val="24"/>
          <w:szCs w:val="24"/>
        </w:rPr>
        <w:t>Hacker-</w:t>
      </w:r>
      <w:r w:rsidRPr="00771EF8">
        <w:rPr>
          <w:rFonts w:cstheme="minorHAnsi"/>
          <w:bCs/>
          <w:sz w:val="24"/>
          <w:szCs w:val="24"/>
        </w:rPr>
        <w:t>Hughes, J. H., Rao, A. S., Dosanjh, N., Cohen-Tovée, E., Clarke, J., &amp; Bhutani, G. (2016). Physician heal thyself (Luke 4: 23). </w:t>
      </w:r>
      <w:r w:rsidRPr="00771EF8">
        <w:rPr>
          <w:rFonts w:cstheme="minorHAnsi"/>
          <w:bCs/>
          <w:i/>
          <w:iCs/>
          <w:sz w:val="24"/>
          <w:szCs w:val="24"/>
        </w:rPr>
        <w:t>The British Journal of Psychiatry</w:t>
      </w:r>
      <w:r w:rsidRPr="00771EF8">
        <w:rPr>
          <w:rFonts w:cstheme="minorHAnsi"/>
          <w:bCs/>
          <w:sz w:val="24"/>
          <w:szCs w:val="24"/>
        </w:rPr>
        <w:t>, </w:t>
      </w:r>
      <w:r w:rsidRPr="00771EF8">
        <w:rPr>
          <w:rFonts w:cstheme="minorHAnsi"/>
          <w:bCs/>
          <w:i/>
          <w:iCs/>
          <w:sz w:val="24"/>
          <w:szCs w:val="24"/>
        </w:rPr>
        <w:t>209</w:t>
      </w:r>
      <w:r w:rsidRPr="00771EF8">
        <w:rPr>
          <w:rFonts w:cstheme="minorHAnsi"/>
          <w:bCs/>
          <w:sz w:val="24"/>
          <w:szCs w:val="24"/>
        </w:rPr>
        <w:t>(6), 447-448.</w:t>
      </w:r>
      <w:r>
        <w:rPr>
          <w:rFonts w:cstheme="minorHAnsi"/>
          <w:bCs/>
          <w:sz w:val="24"/>
          <w:szCs w:val="24"/>
        </w:rPr>
        <w:t xml:space="preserve"> doi:</w:t>
      </w:r>
      <w:r w:rsidRPr="00771EF8">
        <w:rPr>
          <w:rFonts w:cstheme="minorHAnsi"/>
          <w:bCs/>
          <w:sz w:val="24"/>
          <w:szCs w:val="24"/>
        </w:rPr>
        <w:t>10.1192/bjp.bp.116.185355</w:t>
      </w:r>
    </w:p>
    <w:p w14:paraId="519058A7" w14:textId="435E18F9" w:rsidR="006A09F6" w:rsidRPr="006A09F6" w:rsidRDefault="006A09F6"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t xml:space="preserve">Hall, L. H., Johnson, J., Watt, I., Tsipa, A., &amp; O’Connor, D. B. (2016). Healthcare staff wellbeing, burnout, </w:t>
      </w:r>
      <w:r w:rsidR="00FB76B9" w:rsidRPr="006A09F6">
        <w:rPr>
          <w:rFonts w:cstheme="minorHAnsi"/>
          <w:sz w:val="24"/>
          <w:szCs w:val="24"/>
          <w:shd w:val="clear" w:color="auto" w:fill="FFFFFF"/>
        </w:rPr>
        <w:t xml:space="preserve">and </w:t>
      </w:r>
      <w:r w:rsidR="00FB76B9">
        <w:rPr>
          <w:rFonts w:cstheme="minorHAnsi"/>
          <w:sz w:val="24"/>
          <w:szCs w:val="24"/>
          <w:shd w:val="clear" w:color="auto" w:fill="FFFFFF"/>
        </w:rPr>
        <w:t>patient</w:t>
      </w:r>
      <w:r w:rsidRPr="006A09F6">
        <w:rPr>
          <w:rFonts w:cstheme="minorHAnsi"/>
          <w:sz w:val="24"/>
          <w:szCs w:val="24"/>
          <w:shd w:val="clear" w:color="auto" w:fill="FFFFFF"/>
        </w:rPr>
        <w:t xml:space="preserve"> safety: a systematic review. PloS one, 11(7), e0159015. doi:10.1371/.0159015.</w:t>
      </w:r>
    </w:p>
    <w:p w14:paraId="29A5E027" w14:textId="77777777" w:rsidR="00DC07E2" w:rsidRDefault="00DC07E2" w:rsidP="00B71AF4">
      <w:pPr>
        <w:spacing w:line="360" w:lineRule="auto"/>
        <w:ind w:left="720" w:hanging="720"/>
        <w:rPr>
          <w:rFonts w:cstheme="minorHAnsi"/>
          <w:sz w:val="24"/>
          <w:szCs w:val="24"/>
          <w:shd w:val="clear" w:color="auto" w:fill="FFFFFF"/>
        </w:rPr>
      </w:pPr>
      <w:r w:rsidRPr="00DC07E2">
        <w:rPr>
          <w:rFonts w:cstheme="minorHAnsi"/>
          <w:sz w:val="24"/>
          <w:szCs w:val="24"/>
          <w:shd w:val="clear" w:color="auto" w:fill="FFFFFF"/>
        </w:rPr>
        <w:t>Health and Safety Executive (HSE). (2004). Manage</w:t>
      </w:r>
      <w:r>
        <w:rPr>
          <w:rFonts w:cstheme="minorHAnsi"/>
          <w:sz w:val="24"/>
          <w:szCs w:val="24"/>
          <w:shd w:val="clear" w:color="auto" w:fill="FFFFFF"/>
        </w:rPr>
        <w:t xml:space="preserve">ment Standards Indicator Tool. </w:t>
      </w:r>
      <w:r w:rsidRPr="00DC07E2">
        <w:rPr>
          <w:rFonts w:cstheme="minorHAnsi"/>
          <w:sz w:val="24"/>
          <w:szCs w:val="24"/>
          <w:shd w:val="clear" w:color="auto" w:fill="FFFFFF"/>
        </w:rPr>
        <w:t xml:space="preserve">Retrieved </w:t>
      </w:r>
      <w:r w:rsidR="00FB76B9" w:rsidRPr="00DC07E2">
        <w:rPr>
          <w:rFonts w:cstheme="minorHAnsi"/>
          <w:sz w:val="24"/>
          <w:szCs w:val="24"/>
          <w:shd w:val="clear" w:color="auto" w:fill="FFFFFF"/>
        </w:rPr>
        <w:t xml:space="preserve">from </w:t>
      </w:r>
      <w:r w:rsidR="00FB76B9">
        <w:rPr>
          <w:rFonts w:cstheme="minorHAnsi"/>
          <w:sz w:val="24"/>
          <w:szCs w:val="24"/>
          <w:shd w:val="clear" w:color="auto" w:fill="FFFFFF"/>
        </w:rPr>
        <w:t>https</w:t>
      </w:r>
      <w:r w:rsidRPr="00DC07E2">
        <w:rPr>
          <w:rFonts w:cstheme="minorHAnsi"/>
          <w:sz w:val="24"/>
          <w:szCs w:val="24"/>
          <w:shd w:val="clear" w:color="auto" w:fill="FFFFFF"/>
        </w:rPr>
        <w:t>://www.hse.gov.uk/stress</w:t>
      </w:r>
      <w:r>
        <w:rPr>
          <w:rFonts w:cstheme="minorHAnsi"/>
          <w:sz w:val="24"/>
          <w:szCs w:val="24"/>
          <w:shd w:val="clear" w:color="auto" w:fill="FFFFFF"/>
        </w:rPr>
        <w:t>/assets/docs/indicatortool.pdf</w:t>
      </w:r>
    </w:p>
    <w:p w14:paraId="5B94F7B5" w14:textId="77777777" w:rsidR="0034217D" w:rsidRDefault="0034217D"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t xml:space="preserve">Health Education England (2019). </w:t>
      </w:r>
      <w:r w:rsidRPr="006A09F6">
        <w:rPr>
          <w:rFonts w:cstheme="minorHAnsi"/>
          <w:i/>
          <w:sz w:val="24"/>
          <w:szCs w:val="24"/>
          <w:shd w:val="clear" w:color="auto" w:fill="FFFFFF"/>
        </w:rPr>
        <w:t>NHS Staff and Learners’ mental wellbeing commission.</w:t>
      </w:r>
      <w:r w:rsidRPr="006A09F6">
        <w:rPr>
          <w:rFonts w:cstheme="minorHAnsi"/>
          <w:sz w:val="24"/>
          <w:szCs w:val="24"/>
          <w:shd w:val="clear" w:color="auto" w:fill="FFFFFF"/>
        </w:rPr>
        <w:t xml:space="preserve"> Birmingham: </w:t>
      </w:r>
      <w:r w:rsidR="00B71AF4">
        <w:rPr>
          <w:rFonts w:cstheme="minorHAnsi"/>
          <w:sz w:val="24"/>
          <w:szCs w:val="24"/>
          <w:shd w:val="clear" w:color="auto" w:fill="FFFFFF"/>
        </w:rPr>
        <w:t xml:space="preserve"> </w:t>
      </w:r>
      <w:r w:rsidRPr="006A09F6">
        <w:rPr>
          <w:rFonts w:cstheme="minorHAnsi"/>
          <w:sz w:val="24"/>
          <w:szCs w:val="24"/>
          <w:shd w:val="clear" w:color="auto" w:fill="FFFFFF"/>
        </w:rPr>
        <w:t>Department of Health.</w:t>
      </w:r>
    </w:p>
    <w:p w14:paraId="7CEFB5CA" w14:textId="77777777" w:rsidR="00584483" w:rsidRPr="00344E93" w:rsidRDefault="00584483" w:rsidP="00B71AF4">
      <w:pPr>
        <w:shd w:val="clear" w:color="auto" w:fill="FFFFFF"/>
        <w:spacing w:before="100" w:beforeAutospacing="1" w:after="100" w:afterAutospacing="1" w:line="360" w:lineRule="auto"/>
        <w:ind w:left="720" w:hanging="720"/>
        <w:rPr>
          <w:color w:val="333333"/>
          <w:sz w:val="24"/>
          <w:shd w:val="clear" w:color="auto" w:fill="FFFFFF"/>
        </w:rPr>
      </w:pPr>
      <w:r w:rsidRPr="00E34E93">
        <w:rPr>
          <w:rFonts w:cstheme="minorHAnsi"/>
          <w:sz w:val="24"/>
          <w:szCs w:val="24"/>
          <w:shd w:val="clear" w:color="auto" w:fill="FFFFFF"/>
        </w:rPr>
        <w:t>Hobfoll, S. E., &amp; Shirom, A. (2001). Conservation of resources theory: Applications to stress and</w:t>
      </w:r>
      <w:r w:rsidR="00B71AF4">
        <w:rPr>
          <w:rFonts w:cstheme="minorHAnsi"/>
          <w:sz w:val="24"/>
          <w:szCs w:val="24"/>
          <w:shd w:val="clear" w:color="auto" w:fill="FFFFFF"/>
        </w:rPr>
        <w:t xml:space="preserve"> </w:t>
      </w:r>
      <w:r w:rsidRPr="00E34E93">
        <w:rPr>
          <w:rFonts w:cstheme="minorHAnsi"/>
          <w:sz w:val="24"/>
          <w:szCs w:val="24"/>
          <w:shd w:val="clear" w:color="auto" w:fill="FFFFFF"/>
        </w:rPr>
        <w:t xml:space="preserve">management in the workplace. </w:t>
      </w:r>
      <w:r w:rsidRPr="00E34E93">
        <w:rPr>
          <w:rFonts w:cstheme="minorHAnsi"/>
          <w:color w:val="333333"/>
          <w:sz w:val="24"/>
          <w:szCs w:val="24"/>
          <w:shd w:val="clear" w:color="auto" w:fill="FFFFFF"/>
        </w:rPr>
        <w:t>In R. T. Golembiewski (Ed.), </w:t>
      </w:r>
      <w:r w:rsidR="00E34E93">
        <w:rPr>
          <w:rStyle w:val="Emphasis"/>
          <w:rFonts w:cstheme="minorHAnsi"/>
          <w:color w:val="333333"/>
          <w:sz w:val="24"/>
          <w:szCs w:val="24"/>
          <w:shd w:val="clear" w:color="auto" w:fill="FFFFFF"/>
        </w:rPr>
        <w:t xml:space="preserve">Handbook of </w:t>
      </w:r>
      <w:r w:rsidRPr="00E34E93">
        <w:rPr>
          <w:rStyle w:val="Emphasis"/>
          <w:rFonts w:cstheme="minorHAnsi"/>
          <w:color w:val="333333"/>
          <w:sz w:val="24"/>
          <w:szCs w:val="24"/>
          <w:shd w:val="clear" w:color="auto" w:fill="FFFFFF"/>
        </w:rPr>
        <w:t>organizational behavior</w:t>
      </w:r>
      <w:r w:rsidRPr="00E34E93">
        <w:rPr>
          <w:rFonts w:cstheme="minorHAnsi"/>
          <w:color w:val="333333"/>
          <w:sz w:val="24"/>
          <w:szCs w:val="24"/>
          <w:shd w:val="clear" w:color="auto" w:fill="FFFFFF"/>
        </w:rPr>
        <w:t> (pp. 57-80). New York, US: Marcel Dekker.</w:t>
      </w:r>
    </w:p>
    <w:p w14:paraId="131DFAD3" w14:textId="77777777" w:rsidR="00BF4664" w:rsidRPr="00E34E93" w:rsidRDefault="00BF4664" w:rsidP="00B71AF4">
      <w:pPr>
        <w:shd w:val="clear" w:color="auto" w:fill="FFFFFF"/>
        <w:spacing w:before="100" w:beforeAutospacing="1" w:after="100" w:afterAutospacing="1" w:line="360" w:lineRule="auto"/>
        <w:ind w:left="720" w:hanging="720"/>
        <w:rPr>
          <w:rFonts w:cstheme="minorHAnsi"/>
          <w:sz w:val="24"/>
          <w:szCs w:val="24"/>
          <w:shd w:val="clear" w:color="auto" w:fill="FFFFFF"/>
        </w:rPr>
      </w:pPr>
      <w:r w:rsidRPr="00BF4664">
        <w:rPr>
          <w:rFonts w:cstheme="minorHAnsi"/>
          <w:sz w:val="24"/>
          <w:szCs w:val="24"/>
          <w:shd w:val="clear" w:color="auto" w:fill="FFFFFF"/>
        </w:rPr>
        <w:t>Johnson, S., Osborn, D. P., Araya, R., Wearn, E., Paul, M., Stafford, M., ... &amp; Anderson, E. (2012). Morale in the English mental health workforce: questionnaire survey. The British Journal of Psychiatry, 201(3), 239-246.</w:t>
      </w:r>
    </w:p>
    <w:p w14:paraId="002C2E9F" w14:textId="598D8FEB" w:rsidR="00A10EB2" w:rsidRDefault="00A10EB2" w:rsidP="00B71AF4">
      <w:pPr>
        <w:spacing w:line="360" w:lineRule="auto"/>
        <w:ind w:left="720" w:hanging="720"/>
        <w:rPr>
          <w:rFonts w:cstheme="minorHAnsi"/>
          <w:bCs/>
          <w:sz w:val="24"/>
          <w:szCs w:val="24"/>
        </w:rPr>
      </w:pPr>
      <w:r w:rsidRPr="00A10EB2">
        <w:rPr>
          <w:rFonts w:cstheme="minorHAnsi"/>
          <w:bCs/>
          <w:sz w:val="24"/>
          <w:szCs w:val="24"/>
        </w:rPr>
        <w:t>Kristensen, T.S., Borritz, M., Villadsen, E., &amp; Christensen, K.B. (2005). The Copenhagen Burnout Inventory: A new tool for the assessment of burnout. Work and Stress, 19</w:t>
      </w:r>
      <w:r w:rsidR="00061E3F">
        <w:rPr>
          <w:rFonts w:cstheme="minorHAnsi"/>
          <w:bCs/>
          <w:sz w:val="24"/>
          <w:szCs w:val="24"/>
        </w:rPr>
        <w:t>(3)</w:t>
      </w:r>
      <w:r w:rsidRPr="00A10EB2">
        <w:rPr>
          <w:rFonts w:cstheme="minorHAnsi"/>
          <w:bCs/>
          <w:sz w:val="24"/>
          <w:szCs w:val="24"/>
        </w:rPr>
        <w:t>, 192–207. doi:10.1080/02678370500297720</w:t>
      </w:r>
    </w:p>
    <w:p w14:paraId="3A05458E" w14:textId="77777777" w:rsidR="00DC07E2" w:rsidRDefault="00DC07E2" w:rsidP="00B71AF4">
      <w:pPr>
        <w:spacing w:line="360" w:lineRule="auto"/>
        <w:ind w:left="720" w:hanging="720"/>
        <w:rPr>
          <w:rFonts w:cstheme="minorHAnsi"/>
          <w:bCs/>
          <w:sz w:val="24"/>
          <w:szCs w:val="24"/>
        </w:rPr>
      </w:pPr>
      <w:r w:rsidRPr="00DC07E2">
        <w:rPr>
          <w:rFonts w:cstheme="minorHAnsi"/>
          <w:bCs/>
          <w:sz w:val="24"/>
          <w:szCs w:val="24"/>
        </w:rPr>
        <w:t xml:space="preserve">Maben, J., Peccei, R., Adams, M., Robert, G., Richardson, </w:t>
      </w:r>
      <w:r>
        <w:rPr>
          <w:rFonts w:cstheme="minorHAnsi"/>
          <w:bCs/>
          <w:sz w:val="24"/>
          <w:szCs w:val="24"/>
        </w:rPr>
        <w:t xml:space="preserve">A., Murrells, T., &amp; Morrow, E. </w:t>
      </w:r>
      <w:r w:rsidRPr="00DC07E2">
        <w:rPr>
          <w:rFonts w:cstheme="minorHAnsi"/>
          <w:bCs/>
          <w:sz w:val="24"/>
          <w:szCs w:val="24"/>
        </w:rPr>
        <w:t xml:space="preserve">(2012). </w:t>
      </w:r>
      <w:r w:rsidR="00FB76B9" w:rsidRPr="00DC07E2">
        <w:rPr>
          <w:rFonts w:cstheme="minorHAnsi"/>
          <w:bCs/>
          <w:sz w:val="24"/>
          <w:szCs w:val="24"/>
        </w:rPr>
        <w:t xml:space="preserve">Exploring </w:t>
      </w:r>
      <w:r w:rsidR="00FB76B9">
        <w:rPr>
          <w:rFonts w:cstheme="minorHAnsi"/>
          <w:bCs/>
          <w:sz w:val="24"/>
          <w:szCs w:val="24"/>
        </w:rPr>
        <w:t>the</w:t>
      </w:r>
      <w:r w:rsidRPr="00DC07E2">
        <w:rPr>
          <w:rFonts w:cstheme="minorHAnsi"/>
          <w:bCs/>
          <w:sz w:val="24"/>
          <w:szCs w:val="24"/>
        </w:rPr>
        <w:t xml:space="preserve"> relationship between patient</w:t>
      </w:r>
      <w:r>
        <w:rPr>
          <w:rFonts w:cstheme="minorHAnsi"/>
          <w:bCs/>
          <w:sz w:val="24"/>
          <w:szCs w:val="24"/>
        </w:rPr>
        <w:t xml:space="preserve">s’ experiences of care and the </w:t>
      </w:r>
      <w:r w:rsidRPr="00DC07E2">
        <w:rPr>
          <w:rFonts w:cstheme="minorHAnsi"/>
          <w:bCs/>
          <w:sz w:val="24"/>
          <w:szCs w:val="24"/>
        </w:rPr>
        <w:t xml:space="preserve">influence of staff motivation, </w:t>
      </w:r>
      <w:r w:rsidR="00FB76B9" w:rsidRPr="00DC07E2">
        <w:rPr>
          <w:rFonts w:cstheme="minorHAnsi"/>
          <w:bCs/>
          <w:sz w:val="24"/>
          <w:szCs w:val="24"/>
        </w:rPr>
        <w:t xml:space="preserve">affect </w:t>
      </w:r>
      <w:r w:rsidR="00FB76B9">
        <w:rPr>
          <w:rFonts w:cstheme="minorHAnsi"/>
          <w:bCs/>
          <w:sz w:val="24"/>
          <w:szCs w:val="24"/>
        </w:rPr>
        <w:t>and</w:t>
      </w:r>
      <w:r w:rsidRPr="00DC07E2">
        <w:rPr>
          <w:rFonts w:cstheme="minorHAnsi"/>
          <w:bCs/>
          <w:sz w:val="24"/>
          <w:szCs w:val="24"/>
        </w:rPr>
        <w:t xml:space="preserve"> wellbeing. Final report. So</w:t>
      </w:r>
      <w:r>
        <w:rPr>
          <w:rFonts w:cstheme="minorHAnsi"/>
          <w:bCs/>
          <w:sz w:val="24"/>
          <w:szCs w:val="24"/>
        </w:rPr>
        <w:t xml:space="preserve">uthampton: NIHR </w:t>
      </w:r>
      <w:r w:rsidRPr="00DC07E2">
        <w:rPr>
          <w:rFonts w:cstheme="minorHAnsi"/>
          <w:bCs/>
          <w:sz w:val="24"/>
          <w:szCs w:val="24"/>
        </w:rPr>
        <w:t xml:space="preserve">Service Delivery and Organization Programme. </w:t>
      </w:r>
    </w:p>
    <w:p w14:paraId="774A307A" w14:textId="60A30741" w:rsidR="00A10EB2" w:rsidRPr="00A10EB2" w:rsidRDefault="00A10EB2" w:rsidP="00A10EB2">
      <w:pPr>
        <w:spacing w:line="360" w:lineRule="auto"/>
        <w:ind w:left="720" w:hanging="720"/>
        <w:rPr>
          <w:rFonts w:cstheme="minorHAnsi"/>
          <w:bCs/>
          <w:sz w:val="24"/>
          <w:szCs w:val="24"/>
        </w:rPr>
      </w:pPr>
      <w:r w:rsidRPr="00A10EB2">
        <w:rPr>
          <w:rFonts w:cstheme="minorHAnsi"/>
          <w:bCs/>
          <w:sz w:val="24"/>
          <w:szCs w:val="24"/>
        </w:rPr>
        <w:t>Maslach, C., &amp; Jackson, S. E. (1981). The measurement of experienced burnout. Journal of Organizational Behavior, 2</w:t>
      </w:r>
      <w:r w:rsidR="00C10037">
        <w:rPr>
          <w:rFonts w:cstheme="minorHAnsi"/>
          <w:bCs/>
          <w:sz w:val="24"/>
          <w:szCs w:val="24"/>
        </w:rPr>
        <w:t>(2)</w:t>
      </w:r>
      <w:r w:rsidRPr="00A10EB2">
        <w:rPr>
          <w:rFonts w:cstheme="minorHAnsi"/>
          <w:bCs/>
          <w:sz w:val="24"/>
          <w:szCs w:val="24"/>
        </w:rPr>
        <w:t>, 99-113. doi: 10.1002/job.4030020205</w:t>
      </w:r>
    </w:p>
    <w:p w14:paraId="7432A304" w14:textId="77777777" w:rsidR="00A10EB2" w:rsidRDefault="00A10EB2" w:rsidP="00A10EB2">
      <w:pPr>
        <w:spacing w:line="360" w:lineRule="auto"/>
        <w:ind w:left="720" w:hanging="720"/>
        <w:rPr>
          <w:rFonts w:cstheme="minorHAnsi"/>
          <w:bCs/>
          <w:sz w:val="24"/>
          <w:szCs w:val="24"/>
        </w:rPr>
      </w:pPr>
      <w:r w:rsidRPr="00A10EB2">
        <w:rPr>
          <w:rFonts w:cstheme="minorHAnsi"/>
          <w:bCs/>
          <w:sz w:val="24"/>
          <w:szCs w:val="24"/>
        </w:rPr>
        <w:t>Maslach, C., Jackson, S.E., &amp; Leiter, M.P. (1996). Maslach Burnout Inventory manual (3rd ed.). Palo Alto: Consulting Psychologists Press.</w:t>
      </w:r>
    </w:p>
    <w:p w14:paraId="55A4C378" w14:textId="77777777" w:rsidR="00D92CE8" w:rsidRDefault="00D92CE8" w:rsidP="00A10EB2">
      <w:pPr>
        <w:spacing w:line="360" w:lineRule="auto"/>
        <w:ind w:left="720" w:hanging="720"/>
        <w:rPr>
          <w:rFonts w:cstheme="minorHAnsi"/>
          <w:bCs/>
          <w:sz w:val="24"/>
          <w:szCs w:val="24"/>
        </w:rPr>
      </w:pPr>
      <w:r w:rsidRPr="00D92CE8">
        <w:rPr>
          <w:rFonts w:cstheme="minorHAnsi"/>
          <w:bCs/>
          <w:sz w:val="24"/>
          <w:szCs w:val="24"/>
        </w:rPr>
        <w:lastRenderedPageBreak/>
        <w:t>Maslach, C., Jackson, S. E., &amp; Leiter, M. P. (2017) Maslach burn</w:t>
      </w:r>
      <w:r>
        <w:rPr>
          <w:rFonts w:cstheme="minorHAnsi"/>
          <w:bCs/>
          <w:sz w:val="24"/>
          <w:szCs w:val="24"/>
        </w:rPr>
        <w:t xml:space="preserve">out inventory manual. (4th ed.) </w:t>
      </w:r>
      <w:r w:rsidRPr="00D92CE8">
        <w:rPr>
          <w:rFonts w:cstheme="minorHAnsi"/>
          <w:bCs/>
          <w:sz w:val="24"/>
          <w:szCs w:val="24"/>
        </w:rPr>
        <w:t xml:space="preserve">USA: </w:t>
      </w:r>
      <w:r w:rsidR="00FB76B9" w:rsidRPr="00D92CE8">
        <w:rPr>
          <w:rFonts w:cstheme="minorHAnsi"/>
          <w:bCs/>
          <w:sz w:val="24"/>
          <w:szCs w:val="24"/>
        </w:rPr>
        <w:t xml:space="preserve">Mind </w:t>
      </w:r>
      <w:r w:rsidR="00FB76B9">
        <w:rPr>
          <w:rFonts w:cstheme="minorHAnsi"/>
          <w:bCs/>
          <w:sz w:val="24"/>
          <w:szCs w:val="24"/>
        </w:rPr>
        <w:t>Garden</w:t>
      </w:r>
      <w:r w:rsidRPr="00D92CE8">
        <w:rPr>
          <w:rFonts w:cstheme="minorHAnsi"/>
          <w:bCs/>
          <w:sz w:val="24"/>
          <w:szCs w:val="24"/>
        </w:rPr>
        <w:t>, Inc</w:t>
      </w:r>
      <w:r>
        <w:rPr>
          <w:rFonts w:cstheme="minorHAnsi"/>
          <w:bCs/>
          <w:sz w:val="24"/>
          <w:szCs w:val="24"/>
        </w:rPr>
        <w:t>.</w:t>
      </w:r>
    </w:p>
    <w:p w14:paraId="2CEBA58A" w14:textId="77777777" w:rsidR="00BF4664" w:rsidRDefault="00BF4664" w:rsidP="00BF4664">
      <w:pPr>
        <w:spacing w:line="360" w:lineRule="auto"/>
        <w:ind w:left="720" w:hanging="720"/>
        <w:rPr>
          <w:rFonts w:cstheme="minorHAnsi"/>
          <w:bCs/>
          <w:sz w:val="24"/>
          <w:szCs w:val="24"/>
        </w:rPr>
      </w:pPr>
      <w:r w:rsidRPr="00BF4664">
        <w:rPr>
          <w:rFonts w:cstheme="minorHAnsi"/>
          <w:bCs/>
          <w:sz w:val="24"/>
          <w:szCs w:val="24"/>
        </w:rPr>
        <w:t>Maslach, C., Schaufeli, W. B., &amp; Leiter, M. P. (2001). Job burnout. Annual Review of Psychology, 52, 397-422. doi: 10.1146/annurev.psych.52.1.397</w:t>
      </w:r>
    </w:p>
    <w:p w14:paraId="673A7BE4" w14:textId="25933CE6" w:rsidR="00BF3EDF" w:rsidRDefault="00BF3EDF" w:rsidP="00B71AF4">
      <w:pPr>
        <w:spacing w:line="360" w:lineRule="auto"/>
        <w:ind w:left="720" w:hanging="720"/>
        <w:rPr>
          <w:rFonts w:cstheme="minorHAnsi"/>
          <w:bCs/>
          <w:sz w:val="24"/>
          <w:szCs w:val="24"/>
        </w:rPr>
      </w:pPr>
      <w:r>
        <w:rPr>
          <w:rFonts w:cstheme="minorHAnsi"/>
          <w:bCs/>
          <w:sz w:val="24"/>
          <w:szCs w:val="24"/>
        </w:rPr>
        <w:t>Michie, S &amp; Williams, S. (2003). Reducing work related psychological ill health and sickness absence: A systematic literature review. Occupational and Environmental Medicine, 60</w:t>
      </w:r>
      <w:r w:rsidR="00C06EAA">
        <w:rPr>
          <w:rFonts w:cstheme="minorHAnsi"/>
          <w:bCs/>
          <w:sz w:val="24"/>
          <w:szCs w:val="24"/>
        </w:rPr>
        <w:t>(1)</w:t>
      </w:r>
      <w:r>
        <w:rPr>
          <w:rFonts w:cstheme="minorHAnsi"/>
          <w:bCs/>
          <w:sz w:val="24"/>
          <w:szCs w:val="24"/>
        </w:rPr>
        <w:t>, 3-9.</w:t>
      </w:r>
      <w:r w:rsidRPr="00BF3EDF">
        <w:t xml:space="preserve"> </w:t>
      </w:r>
      <w:r w:rsidRPr="00BF3EDF">
        <w:rPr>
          <w:rFonts w:cstheme="minorHAnsi"/>
          <w:bCs/>
          <w:sz w:val="24"/>
          <w:szCs w:val="24"/>
        </w:rPr>
        <w:t>doi.org/10.1136/oem.60.1.3</w:t>
      </w:r>
      <w:r>
        <w:rPr>
          <w:rFonts w:cstheme="minorHAnsi"/>
          <w:bCs/>
          <w:sz w:val="24"/>
          <w:szCs w:val="24"/>
        </w:rPr>
        <w:t>.</w:t>
      </w:r>
    </w:p>
    <w:p w14:paraId="49AFD516" w14:textId="0BF0E85E" w:rsidR="0034217D" w:rsidRDefault="002D2317" w:rsidP="00B71AF4">
      <w:pPr>
        <w:spacing w:line="360" w:lineRule="auto"/>
        <w:ind w:left="720" w:hanging="720"/>
        <w:rPr>
          <w:rFonts w:cstheme="minorHAnsi"/>
          <w:bCs/>
          <w:sz w:val="24"/>
          <w:szCs w:val="24"/>
        </w:rPr>
      </w:pPr>
      <w:r w:rsidRPr="005B2771">
        <w:rPr>
          <w:rFonts w:cstheme="minorHAnsi"/>
          <w:bCs/>
          <w:sz w:val="24"/>
          <w:szCs w:val="24"/>
        </w:rPr>
        <w:t xml:space="preserve">Nevala, N., Pehkonen, I., Koskela, I., Ruusuvuori, J., &amp; Anttila, H. (2015). </w:t>
      </w:r>
      <w:r w:rsidRPr="006A09F6">
        <w:rPr>
          <w:rFonts w:cstheme="minorHAnsi"/>
          <w:bCs/>
          <w:sz w:val="24"/>
          <w:szCs w:val="24"/>
        </w:rPr>
        <w:t xml:space="preserve">Workplace accommodation </w:t>
      </w:r>
      <w:r w:rsidR="00FB76B9" w:rsidRPr="006A09F6">
        <w:rPr>
          <w:rFonts w:cstheme="minorHAnsi"/>
          <w:bCs/>
          <w:sz w:val="24"/>
          <w:szCs w:val="24"/>
        </w:rPr>
        <w:t>among</w:t>
      </w:r>
      <w:r w:rsidR="00FB76B9" w:rsidRPr="00D82D06">
        <w:rPr>
          <w:rFonts w:cstheme="minorHAnsi"/>
          <w:bCs/>
          <w:sz w:val="24"/>
          <w:szCs w:val="24"/>
        </w:rPr>
        <w:t xml:space="preserve"> </w:t>
      </w:r>
      <w:r w:rsidR="00FB76B9">
        <w:rPr>
          <w:rFonts w:cstheme="minorHAnsi"/>
          <w:bCs/>
          <w:sz w:val="24"/>
          <w:szCs w:val="24"/>
        </w:rPr>
        <w:t>persons</w:t>
      </w:r>
      <w:r w:rsidRPr="00D82D06">
        <w:rPr>
          <w:rFonts w:cstheme="minorHAnsi"/>
          <w:bCs/>
          <w:sz w:val="24"/>
          <w:szCs w:val="24"/>
        </w:rPr>
        <w:t xml:space="preserve"> with disabilities: A systematic review of its effectiveness and barriers or facilitators. </w:t>
      </w:r>
      <w:r w:rsidR="00FB76B9" w:rsidRPr="00D82D06">
        <w:rPr>
          <w:rFonts w:cstheme="minorHAnsi"/>
          <w:bCs/>
          <w:i/>
          <w:sz w:val="24"/>
          <w:szCs w:val="24"/>
        </w:rPr>
        <w:t xml:space="preserve">Journal </w:t>
      </w:r>
      <w:r w:rsidR="00FB76B9">
        <w:rPr>
          <w:rFonts w:cstheme="minorHAnsi"/>
          <w:bCs/>
          <w:i/>
          <w:sz w:val="24"/>
          <w:szCs w:val="24"/>
        </w:rPr>
        <w:t>of</w:t>
      </w:r>
      <w:r w:rsidRPr="00D82D06">
        <w:rPr>
          <w:rFonts w:cstheme="minorHAnsi"/>
          <w:bCs/>
          <w:i/>
          <w:sz w:val="24"/>
          <w:szCs w:val="24"/>
        </w:rPr>
        <w:t xml:space="preserve"> occupational rehabilitation, 25</w:t>
      </w:r>
      <w:r w:rsidRPr="00D82D06">
        <w:rPr>
          <w:rFonts w:cstheme="minorHAnsi"/>
          <w:bCs/>
          <w:sz w:val="24"/>
          <w:szCs w:val="24"/>
        </w:rPr>
        <w:t xml:space="preserve">(2), 432-448. </w:t>
      </w:r>
      <w:r w:rsidR="0034217D" w:rsidRPr="006A09F6">
        <w:rPr>
          <w:rFonts w:cstheme="minorHAnsi"/>
          <w:bCs/>
          <w:sz w:val="24"/>
          <w:szCs w:val="24"/>
        </w:rPr>
        <w:t>doi</w:t>
      </w:r>
      <w:r w:rsidR="00FB76B9" w:rsidRPr="006A09F6">
        <w:rPr>
          <w:rFonts w:cstheme="minorHAnsi"/>
          <w:bCs/>
          <w:sz w:val="24"/>
          <w:szCs w:val="24"/>
        </w:rPr>
        <w:t>: 10.1007</w:t>
      </w:r>
      <w:r w:rsidR="00B21081" w:rsidRPr="006A09F6">
        <w:rPr>
          <w:rFonts w:cstheme="minorHAnsi"/>
          <w:bCs/>
          <w:sz w:val="24"/>
          <w:szCs w:val="24"/>
        </w:rPr>
        <w:t>/s10926-014-9548-z</w:t>
      </w:r>
    </w:p>
    <w:p w14:paraId="798E7F1C" w14:textId="340F24CF" w:rsidR="002F044A" w:rsidRPr="006A09F6" w:rsidRDefault="002F044A" w:rsidP="00B71AF4">
      <w:pPr>
        <w:spacing w:line="360" w:lineRule="auto"/>
        <w:ind w:left="720" w:hanging="720"/>
        <w:rPr>
          <w:rFonts w:cstheme="minorHAnsi"/>
          <w:bCs/>
          <w:sz w:val="24"/>
          <w:szCs w:val="24"/>
        </w:rPr>
      </w:pPr>
      <w:r w:rsidRPr="002F044A">
        <w:rPr>
          <w:rFonts w:cstheme="minorHAnsi"/>
          <w:bCs/>
          <w:sz w:val="24"/>
          <w:szCs w:val="24"/>
        </w:rPr>
        <w:t>Ng Fat, L. N., Scholes, S., Boniface, S., Mindell, J., &amp; Stewart-Brown, S. (2017</w:t>
      </w:r>
      <w:r>
        <w:rPr>
          <w:rFonts w:cstheme="minorHAnsi"/>
          <w:bCs/>
          <w:sz w:val="24"/>
          <w:szCs w:val="24"/>
        </w:rPr>
        <w:t xml:space="preserve">). Evaluating and establishing </w:t>
      </w:r>
      <w:r w:rsidRPr="002F044A">
        <w:rPr>
          <w:rFonts w:cstheme="minorHAnsi"/>
          <w:bCs/>
          <w:sz w:val="24"/>
          <w:szCs w:val="24"/>
        </w:rPr>
        <w:t xml:space="preserve">national norms for mental wellbeing using the short Warwick–Edinburgh mental well-being </w:t>
      </w:r>
      <w:r w:rsidR="00FB76B9" w:rsidRPr="002F044A">
        <w:rPr>
          <w:rFonts w:cstheme="minorHAnsi"/>
          <w:bCs/>
          <w:sz w:val="24"/>
          <w:szCs w:val="24"/>
        </w:rPr>
        <w:t>scale (</w:t>
      </w:r>
      <w:r w:rsidRPr="002F044A">
        <w:rPr>
          <w:rFonts w:cstheme="minorHAnsi"/>
          <w:bCs/>
          <w:sz w:val="24"/>
          <w:szCs w:val="24"/>
        </w:rPr>
        <w:t>SWEMWBS): findings from the health survey for England. Quality of Life Research, 26(5), 1129- 1144. doi</w:t>
      </w:r>
      <w:r w:rsidR="00FB76B9" w:rsidRPr="002F044A">
        <w:rPr>
          <w:rFonts w:cstheme="minorHAnsi"/>
          <w:bCs/>
          <w:sz w:val="24"/>
          <w:szCs w:val="24"/>
        </w:rPr>
        <w:t>: 10.1007</w:t>
      </w:r>
      <w:r w:rsidRPr="002F044A">
        <w:rPr>
          <w:rFonts w:cstheme="minorHAnsi"/>
          <w:bCs/>
          <w:sz w:val="24"/>
          <w:szCs w:val="24"/>
        </w:rPr>
        <w:t>/s11136-016-1454-8</w:t>
      </w:r>
    </w:p>
    <w:p w14:paraId="6AAF585E" w14:textId="77777777" w:rsidR="0034217D" w:rsidRDefault="0034217D"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t xml:space="preserve">NHS Staff Survey Coordination Centre. (2018). 2018 Results. </w:t>
      </w:r>
      <w:r w:rsidR="00B71AF4">
        <w:rPr>
          <w:rFonts w:cstheme="minorHAnsi"/>
          <w:sz w:val="24"/>
          <w:szCs w:val="24"/>
          <w:shd w:val="clear" w:color="auto" w:fill="FFFFFF"/>
        </w:rPr>
        <w:t xml:space="preserve"> </w:t>
      </w:r>
      <w:hyperlink r:id="rId8" w:history="1">
        <w:r w:rsidRPr="006A09F6">
          <w:rPr>
            <w:rStyle w:val="Hyperlink"/>
            <w:rFonts w:cstheme="minorHAnsi"/>
            <w:sz w:val="24"/>
            <w:szCs w:val="24"/>
            <w:shd w:val="clear" w:color="auto" w:fill="FFFFFF"/>
          </w:rPr>
          <w:t>https://www.nhsstaffsurveys.com/Page/1064/Latest-Results/2018-Results/</w:t>
        </w:r>
      </w:hyperlink>
      <w:r w:rsidRPr="006A09F6">
        <w:rPr>
          <w:rFonts w:cstheme="minorHAnsi"/>
          <w:sz w:val="24"/>
          <w:szCs w:val="24"/>
          <w:shd w:val="clear" w:color="auto" w:fill="FFFFFF"/>
        </w:rPr>
        <w:t xml:space="preserve"> [Accessed 24/10/2019].</w:t>
      </w:r>
    </w:p>
    <w:p w14:paraId="63DE1072" w14:textId="77777777" w:rsidR="00B54861" w:rsidRPr="006A09F6" w:rsidRDefault="00B54861" w:rsidP="00B71AF4">
      <w:pPr>
        <w:spacing w:line="360" w:lineRule="auto"/>
        <w:ind w:left="720" w:hanging="720"/>
        <w:rPr>
          <w:rFonts w:cstheme="minorHAnsi"/>
          <w:sz w:val="24"/>
          <w:szCs w:val="24"/>
          <w:shd w:val="clear" w:color="auto" w:fill="FFFFFF"/>
        </w:rPr>
      </w:pPr>
      <w:r>
        <w:rPr>
          <w:rFonts w:cstheme="minorHAnsi"/>
          <w:sz w:val="24"/>
          <w:szCs w:val="24"/>
          <w:shd w:val="clear" w:color="auto" w:fill="FFFFFF"/>
        </w:rPr>
        <w:t>Office for National Statistics. (2109). Gender pay gap in the UK: 2019. London: OfNS</w:t>
      </w:r>
    </w:p>
    <w:bookmarkEnd w:id="10"/>
    <w:p w14:paraId="5929E0BF" w14:textId="77777777" w:rsidR="00A10EB2" w:rsidRDefault="00A10EB2" w:rsidP="00B71AF4">
      <w:pPr>
        <w:spacing w:line="360" w:lineRule="auto"/>
        <w:ind w:left="720" w:hanging="720"/>
        <w:rPr>
          <w:rFonts w:cstheme="minorHAnsi"/>
          <w:sz w:val="24"/>
          <w:szCs w:val="24"/>
          <w:shd w:val="clear" w:color="auto" w:fill="FFFFFF"/>
        </w:rPr>
      </w:pPr>
      <w:r w:rsidRPr="00A10EB2">
        <w:rPr>
          <w:rFonts w:cstheme="minorHAnsi"/>
          <w:sz w:val="24"/>
          <w:szCs w:val="24"/>
          <w:shd w:val="clear" w:color="auto" w:fill="FFFFFF"/>
        </w:rPr>
        <w:t>Ruotsalainen J.H., Verbeek J.H., Mariné A., &amp; Serra C. (2015). Preventing occupational stress in healthcare workers. Cochrane Database of Systematic Reviews (4). doi: 10.1002/14651858.CD002892.pub5</w:t>
      </w:r>
    </w:p>
    <w:p w14:paraId="369FD87A" w14:textId="62E46ED2" w:rsidR="00A313E4" w:rsidRPr="00A313E4" w:rsidRDefault="00A313E4" w:rsidP="00B71AF4">
      <w:pPr>
        <w:spacing w:line="360" w:lineRule="auto"/>
        <w:ind w:left="720" w:hanging="720"/>
        <w:rPr>
          <w:rFonts w:cstheme="minorHAnsi"/>
          <w:sz w:val="24"/>
          <w:szCs w:val="24"/>
          <w:shd w:val="clear" w:color="auto" w:fill="FFFFFF"/>
        </w:rPr>
      </w:pPr>
      <w:r w:rsidRPr="00A313E4">
        <w:rPr>
          <w:rFonts w:cstheme="minorHAnsi"/>
          <w:sz w:val="24"/>
          <w:szCs w:val="24"/>
          <w:shd w:val="clear" w:color="auto" w:fill="FFFFFF"/>
        </w:rPr>
        <w:t>Rupert, P. A., &amp; Kent, J. S. (2007). Gender and work setting di</w:t>
      </w:r>
      <w:r>
        <w:rPr>
          <w:rFonts w:cstheme="minorHAnsi"/>
          <w:sz w:val="24"/>
          <w:szCs w:val="24"/>
          <w:shd w:val="clear" w:color="auto" w:fill="FFFFFF"/>
        </w:rPr>
        <w:t xml:space="preserve">fferences in career-sustaining </w:t>
      </w:r>
      <w:r w:rsidRPr="00A313E4">
        <w:rPr>
          <w:rFonts w:cstheme="minorHAnsi"/>
          <w:sz w:val="24"/>
          <w:szCs w:val="24"/>
          <w:shd w:val="clear" w:color="auto" w:fill="FFFFFF"/>
        </w:rPr>
        <w:t xml:space="preserve">behaviors </w:t>
      </w:r>
      <w:r w:rsidR="00FB112F" w:rsidRPr="00A313E4">
        <w:rPr>
          <w:rFonts w:cstheme="minorHAnsi"/>
          <w:sz w:val="24"/>
          <w:szCs w:val="24"/>
          <w:shd w:val="clear" w:color="auto" w:fill="FFFFFF"/>
        </w:rPr>
        <w:t xml:space="preserve">and </w:t>
      </w:r>
      <w:r w:rsidR="00FB112F">
        <w:rPr>
          <w:rFonts w:cstheme="minorHAnsi"/>
          <w:sz w:val="24"/>
          <w:szCs w:val="24"/>
          <w:shd w:val="clear" w:color="auto" w:fill="FFFFFF"/>
        </w:rPr>
        <w:t>burnout</w:t>
      </w:r>
      <w:r w:rsidRPr="00A313E4">
        <w:rPr>
          <w:rFonts w:cstheme="minorHAnsi"/>
          <w:sz w:val="24"/>
          <w:szCs w:val="24"/>
          <w:shd w:val="clear" w:color="auto" w:fill="FFFFFF"/>
        </w:rPr>
        <w:t xml:space="preserve"> among professional psycholog</w:t>
      </w:r>
      <w:r>
        <w:rPr>
          <w:rFonts w:cstheme="minorHAnsi"/>
          <w:sz w:val="24"/>
          <w:szCs w:val="24"/>
          <w:shd w:val="clear" w:color="auto" w:fill="FFFFFF"/>
        </w:rPr>
        <w:t xml:space="preserve">ists. Professional Psychology: </w:t>
      </w:r>
      <w:r w:rsidRPr="00A313E4">
        <w:rPr>
          <w:rFonts w:cstheme="minorHAnsi"/>
          <w:sz w:val="24"/>
          <w:szCs w:val="24"/>
          <w:shd w:val="clear" w:color="auto" w:fill="FFFFFF"/>
        </w:rPr>
        <w:t>Research and Practice, 38</w:t>
      </w:r>
      <w:r w:rsidR="00C06EAA">
        <w:rPr>
          <w:rFonts w:cstheme="minorHAnsi"/>
          <w:sz w:val="24"/>
          <w:szCs w:val="24"/>
          <w:shd w:val="clear" w:color="auto" w:fill="FFFFFF"/>
        </w:rPr>
        <w:t>(1)</w:t>
      </w:r>
      <w:r w:rsidRPr="00A313E4">
        <w:rPr>
          <w:rFonts w:cstheme="minorHAnsi"/>
          <w:sz w:val="24"/>
          <w:szCs w:val="24"/>
          <w:shd w:val="clear" w:color="auto" w:fill="FFFFFF"/>
        </w:rPr>
        <w:t>, 88-</w:t>
      </w:r>
      <w:r w:rsidR="00B71AF4">
        <w:rPr>
          <w:rFonts w:cstheme="minorHAnsi"/>
          <w:sz w:val="24"/>
          <w:szCs w:val="24"/>
          <w:shd w:val="clear" w:color="auto" w:fill="FFFFFF"/>
        </w:rPr>
        <w:t xml:space="preserve"> </w:t>
      </w:r>
      <w:r w:rsidRPr="00A313E4">
        <w:rPr>
          <w:rFonts w:cstheme="minorHAnsi"/>
          <w:sz w:val="24"/>
          <w:szCs w:val="24"/>
          <w:shd w:val="clear" w:color="auto" w:fill="FFFFFF"/>
        </w:rPr>
        <w:t>96. doi: 10.1037/0735-7028.38.1.88</w:t>
      </w:r>
    </w:p>
    <w:p w14:paraId="2D409909" w14:textId="7BAE4C4B" w:rsidR="00A313E4" w:rsidRDefault="00A313E4" w:rsidP="00B71AF4">
      <w:pPr>
        <w:spacing w:line="360" w:lineRule="auto"/>
        <w:ind w:left="720" w:hanging="720"/>
        <w:rPr>
          <w:rFonts w:cstheme="minorHAnsi"/>
          <w:sz w:val="24"/>
          <w:szCs w:val="24"/>
          <w:shd w:val="clear" w:color="auto" w:fill="FFFFFF"/>
        </w:rPr>
      </w:pPr>
      <w:r w:rsidRPr="00A313E4">
        <w:rPr>
          <w:rFonts w:cstheme="minorHAnsi"/>
          <w:sz w:val="24"/>
          <w:szCs w:val="24"/>
          <w:shd w:val="clear" w:color="auto" w:fill="FFFFFF"/>
        </w:rPr>
        <w:t>Rupert, P. A., &amp; Morgan, D. J. (2005). Work setting</w:t>
      </w:r>
      <w:r>
        <w:rPr>
          <w:rFonts w:cstheme="minorHAnsi"/>
          <w:sz w:val="24"/>
          <w:szCs w:val="24"/>
          <w:shd w:val="clear" w:color="auto" w:fill="FFFFFF"/>
        </w:rPr>
        <w:t xml:space="preserve"> and burnout among professional </w:t>
      </w:r>
      <w:r w:rsidRPr="00A313E4">
        <w:rPr>
          <w:rFonts w:cstheme="minorHAnsi"/>
          <w:sz w:val="24"/>
          <w:szCs w:val="24"/>
          <w:shd w:val="clear" w:color="auto" w:fill="FFFFFF"/>
        </w:rPr>
        <w:t xml:space="preserve">psychologists. </w:t>
      </w:r>
      <w:r w:rsidR="00B71AF4">
        <w:rPr>
          <w:rFonts w:cstheme="minorHAnsi"/>
          <w:sz w:val="24"/>
          <w:szCs w:val="24"/>
          <w:shd w:val="clear" w:color="auto" w:fill="FFFFFF"/>
        </w:rPr>
        <w:t xml:space="preserve"> </w:t>
      </w:r>
      <w:r w:rsidRPr="00A313E4">
        <w:rPr>
          <w:rFonts w:cstheme="minorHAnsi"/>
          <w:sz w:val="24"/>
          <w:szCs w:val="24"/>
          <w:shd w:val="clear" w:color="auto" w:fill="FFFFFF"/>
        </w:rPr>
        <w:t>Professional Psychology: Research and Practice, 36</w:t>
      </w:r>
      <w:r w:rsidR="00C06EAA">
        <w:rPr>
          <w:rFonts w:cstheme="minorHAnsi"/>
          <w:sz w:val="24"/>
          <w:szCs w:val="24"/>
          <w:shd w:val="clear" w:color="auto" w:fill="FFFFFF"/>
        </w:rPr>
        <w:t>(5)</w:t>
      </w:r>
      <w:r w:rsidRPr="00A313E4">
        <w:rPr>
          <w:rFonts w:cstheme="minorHAnsi"/>
          <w:sz w:val="24"/>
          <w:szCs w:val="24"/>
          <w:shd w:val="clear" w:color="auto" w:fill="FFFFFF"/>
        </w:rPr>
        <w:t xml:space="preserve">, 544–550. doi: </w:t>
      </w:r>
      <w:r w:rsidR="00B71AF4">
        <w:rPr>
          <w:rFonts w:cstheme="minorHAnsi"/>
          <w:sz w:val="24"/>
          <w:szCs w:val="24"/>
          <w:shd w:val="clear" w:color="auto" w:fill="FFFFFF"/>
        </w:rPr>
        <w:t xml:space="preserve"> </w:t>
      </w:r>
      <w:r w:rsidRPr="00A313E4">
        <w:rPr>
          <w:rFonts w:cstheme="minorHAnsi"/>
          <w:sz w:val="24"/>
          <w:szCs w:val="24"/>
          <w:shd w:val="clear" w:color="auto" w:fill="FFFFFF"/>
        </w:rPr>
        <w:t>10.1037/0735-7028.36.5.544</w:t>
      </w:r>
    </w:p>
    <w:p w14:paraId="223BCA82" w14:textId="559070C9" w:rsidR="00A313E4" w:rsidRDefault="00A313E4" w:rsidP="00B71AF4">
      <w:pPr>
        <w:spacing w:line="360" w:lineRule="auto"/>
        <w:ind w:left="720" w:hanging="720"/>
        <w:rPr>
          <w:rFonts w:cstheme="minorHAnsi"/>
          <w:sz w:val="24"/>
          <w:szCs w:val="24"/>
          <w:shd w:val="clear" w:color="auto" w:fill="FFFFFF"/>
        </w:rPr>
      </w:pPr>
      <w:r w:rsidRPr="00A313E4">
        <w:rPr>
          <w:rFonts w:cstheme="minorHAnsi"/>
          <w:sz w:val="24"/>
          <w:szCs w:val="24"/>
          <w:shd w:val="clear" w:color="auto" w:fill="FFFFFF"/>
        </w:rPr>
        <w:t xml:space="preserve">Rupert, P. A., Stevanovic, P., &amp; Hunley, H. A. (2009). Work-family conflict and burnout among </w:t>
      </w:r>
      <w:r w:rsidR="00FB112F" w:rsidRPr="00A313E4">
        <w:rPr>
          <w:rFonts w:cstheme="minorHAnsi"/>
          <w:sz w:val="24"/>
          <w:szCs w:val="24"/>
          <w:shd w:val="clear" w:color="auto" w:fill="FFFFFF"/>
        </w:rPr>
        <w:t xml:space="preserve">practicing </w:t>
      </w:r>
      <w:r w:rsidR="00FB112F">
        <w:rPr>
          <w:rFonts w:cstheme="minorHAnsi"/>
          <w:sz w:val="24"/>
          <w:szCs w:val="24"/>
          <w:shd w:val="clear" w:color="auto" w:fill="FFFFFF"/>
        </w:rPr>
        <w:t>psychologists</w:t>
      </w:r>
      <w:r w:rsidRPr="00A313E4">
        <w:rPr>
          <w:rFonts w:cstheme="minorHAnsi"/>
          <w:sz w:val="24"/>
          <w:szCs w:val="24"/>
          <w:shd w:val="clear" w:color="auto" w:fill="FFFFFF"/>
        </w:rPr>
        <w:t>. Professional Psychology: Research and Practice, 40(1), 54.</w:t>
      </w:r>
      <w:r w:rsidR="00E34E93">
        <w:rPr>
          <w:rFonts w:cstheme="minorHAnsi"/>
          <w:sz w:val="24"/>
          <w:szCs w:val="24"/>
          <w:shd w:val="clear" w:color="auto" w:fill="FFFFFF"/>
        </w:rPr>
        <w:t xml:space="preserve"> </w:t>
      </w:r>
      <w:r w:rsidR="00E34E93" w:rsidRPr="00E34E93">
        <w:rPr>
          <w:rFonts w:cstheme="minorHAnsi"/>
          <w:sz w:val="24"/>
          <w:szCs w:val="24"/>
          <w:shd w:val="clear" w:color="auto" w:fill="FFFFFF"/>
        </w:rPr>
        <w:t>doi: 10.1037/a0012538</w:t>
      </w:r>
    </w:p>
    <w:p w14:paraId="6AD4A7B4" w14:textId="2143AE41" w:rsidR="00DC07E2" w:rsidRPr="00DC07E2" w:rsidRDefault="00DC07E2" w:rsidP="00B71AF4">
      <w:pPr>
        <w:spacing w:line="360" w:lineRule="auto"/>
        <w:ind w:left="720" w:hanging="720"/>
        <w:rPr>
          <w:rFonts w:cstheme="minorHAnsi"/>
          <w:b/>
          <w:sz w:val="24"/>
          <w:szCs w:val="24"/>
        </w:rPr>
      </w:pPr>
      <w:r w:rsidRPr="00DC07E2">
        <w:rPr>
          <w:rFonts w:cstheme="minorHAnsi"/>
          <w:sz w:val="24"/>
          <w:szCs w:val="24"/>
          <w:shd w:val="clear" w:color="auto" w:fill="FFFFFF"/>
        </w:rPr>
        <w:t xml:space="preserve">Shah, N., Cader, M., Andrews, W. P., Wijesekera, D., &amp; Stewart-Brown, S. L. (2018). Responsiveness of </w:t>
      </w:r>
      <w:r w:rsidR="00FB112F" w:rsidRPr="00DC07E2">
        <w:rPr>
          <w:rFonts w:cstheme="minorHAnsi"/>
          <w:sz w:val="24"/>
          <w:szCs w:val="24"/>
          <w:shd w:val="clear" w:color="auto" w:fill="FFFFFF"/>
        </w:rPr>
        <w:t xml:space="preserve">the </w:t>
      </w:r>
      <w:r w:rsidR="00FB112F">
        <w:rPr>
          <w:rFonts w:cstheme="minorHAnsi"/>
          <w:sz w:val="24"/>
          <w:szCs w:val="24"/>
          <w:shd w:val="clear" w:color="auto" w:fill="FFFFFF"/>
        </w:rPr>
        <w:t>Short</w:t>
      </w:r>
      <w:r w:rsidRPr="00DC07E2">
        <w:rPr>
          <w:rFonts w:cstheme="minorHAnsi"/>
          <w:sz w:val="24"/>
          <w:szCs w:val="24"/>
          <w:shd w:val="clear" w:color="auto" w:fill="FFFFFF"/>
        </w:rPr>
        <w:t xml:space="preserve"> Warwick Edinburgh Mental Well-Being Scale (SWEMWBS): evaluation a </w:t>
      </w:r>
      <w:r w:rsidR="00FB112F" w:rsidRPr="00DC07E2">
        <w:rPr>
          <w:rFonts w:cstheme="minorHAnsi"/>
          <w:sz w:val="24"/>
          <w:szCs w:val="24"/>
          <w:shd w:val="clear" w:color="auto" w:fill="FFFFFF"/>
        </w:rPr>
        <w:t xml:space="preserve">clinical </w:t>
      </w:r>
      <w:r w:rsidR="00FB112F">
        <w:rPr>
          <w:rFonts w:cstheme="minorHAnsi"/>
          <w:sz w:val="24"/>
          <w:szCs w:val="24"/>
          <w:shd w:val="clear" w:color="auto" w:fill="FFFFFF"/>
        </w:rPr>
        <w:t>sample</w:t>
      </w:r>
      <w:r w:rsidRPr="00DC07E2">
        <w:rPr>
          <w:rFonts w:cstheme="minorHAnsi"/>
          <w:sz w:val="24"/>
          <w:szCs w:val="24"/>
          <w:shd w:val="clear" w:color="auto" w:fill="FFFFFF"/>
        </w:rPr>
        <w:t>. </w:t>
      </w:r>
      <w:r w:rsidRPr="00DC07E2">
        <w:rPr>
          <w:rFonts w:cstheme="minorHAnsi"/>
          <w:i/>
          <w:iCs/>
          <w:sz w:val="24"/>
          <w:szCs w:val="24"/>
          <w:shd w:val="clear" w:color="auto" w:fill="FFFFFF"/>
        </w:rPr>
        <w:t>Health and quality of life outcomes</w:t>
      </w:r>
      <w:r w:rsidRPr="00DC07E2">
        <w:rPr>
          <w:rFonts w:cstheme="minorHAnsi"/>
          <w:sz w:val="24"/>
          <w:szCs w:val="24"/>
          <w:shd w:val="clear" w:color="auto" w:fill="FFFFFF"/>
        </w:rPr>
        <w:t>, </w:t>
      </w:r>
      <w:r w:rsidRPr="00DC07E2">
        <w:rPr>
          <w:rFonts w:cstheme="minorHAnsi"/>
          <w:i/>
          <w:iCs/>
          <w:sz w:val="24"/>
          <w:szCs w:val="24"/>
          <w:shd w:val="clear" w:color="auto" w:fill="FFFFFF"/>
        </w:rPr>
        <w:t>16</w:t>
      </w:r>
      <w:r w:rsidRPr="00DC07E2">
        <w:rPr>
          <w:rFonts w:cstheme="minorHAnsi"/>
          <w:sz w:val="24"/>
          <w:szCs w:val="24"/>
          <w:shd w:val="clear" w:color="auto" w:fill="FFFFFF"/>
        </w:rPr>
        <w:t>(1), 239. doi</w:t>
      </w:r>
      <w:r w:rsidR="00FB112F" w:rsidRPr="00DC07E2">
        <w:rPr>
          <w:rFonts w:cstheme="minorHAnsi"/>
          <w:sz w:val="24"/>
          <w:szCs w:val="24"/>
          <w:shd w:val="clear" w:color="auto" w:fill="FFFFFF"/>
        </w:rPr>
        <w:t>: 10.1186</w:t>
      </w:r>
      <w:r w:rsidRPr="00DC07E2">
        <w:rPr>
          <w:rFonts w:cstheme="minorHAnsi"/>
          <w:sz w:val="24"/>
          <w:szCs w:val="24"/>
          <w:shd w:val="clear" w:color="auto" w:fill="FFFFFF"/>
        </w:rPr>
        <w:t>/s12955-018-1060-2</w:t>
      </w:r>
    </w:p>
    <w:p w14:paraId="7B32935B" w14:textId="77777777" w:rsidR="0034217D" w:rsidRPr="006A09F6" w:rsidRDefault="0034217D" w:rsidP="00B71AF4">
      <w:pPr>
        <w:spacing w:line="360" w:lineRule="auto"/>
        <w:ind w:left="720" w:hanging="720"/>
        <w:rPr>
          <w:rFonts w:cstheme="minorHAnsi"/>
          <w:sz w:val="24"/>
          <w:szCs w:val="24"/>
          <w:shd w:val="clear" w:color="auto" w:fill="FFFFFF"/>
        </w:rPr>
      </w:pPr>
      <w:r w:rsidRPr="006A09F6">
        <w:rPr>
          <w:rFonts w:cstheme="minorHAnsi"/>
          <w:sz w:val="24"/>
          <w:szCs w:val="24"/>
          <w:shd w:val="clear" w:color="auto" w:fill="FFFFFF"/>
        </w:rPr>
        <w:lastRenderedPageBreak/>
        <w:t xml:space="preserve">Stevenson, J. &amp; Rao, M. (2014). Explaining levels of wellbeing in Black and Minority Ethnic populations </w:t>
      </w:r>
      <w:r w:rsidR="00FB112F" w:rsidRPr="006A09F6">
        <w:rPr>
          <w:rFonts w:cstheme="minorHAnsi"/>
          <w:sz w:val="24"/>
          <w:szCs w:val="24"/>
          <w:shd w:val="clear" w:color="auto" w:fill="FFFFFF"/>
        </w:rPr>
        <w:t xml:space="preserve">in </w:t>
      </w:r>
      <w:r w:rsidR="00FB112F">
        <w:rPr>
          <w:rFonts w:cstheme="minorHAnsi"/>
          <w:sz w:val="24"/>
          <w:szCs w:val="24"/>
          <w:shd w:val="clear" w:color="auto" w:fill="FFFFFF"/>
        </w:rPr>
        <w:t>England</w:t>
      </w:r>
      <w:r w:rsidRPr="006A09F6">
        <w:rPr>
          <w:rFonts w:cstheme="minorHAnsi"/>
          <w:sz w:val="24"/>
          <w:szCs w:val="24"/>
          <w:shd w:val="clear" w:color="auto" w:fill="FFFFFF"/>
        </w:rPr>
        <w:t>. London: Institute for Health and Development.</w:t>
      </w:r>
    </w:p>
    <w:p w14:paraId="5E4C0AB5" w14:textId="3C80C848" w:rsidR="0034217D" w:rsidRDefault="0034217D" w:rsidP="00B71AF4">
      <w:pPr>
        <w:autoSpaceDE w:val="0"/>
        <w:autoSpaceDN w:val="0"/>
        <w:adjustRightInd w:val="0"/>
        <w:spacing w:after="0" w:line="360" w:lineRule="auto"/>
        <w:ind w:left="720" w:hanging="720"/>
        <w:rPr>
          <w:rFonts w:cstheme="minorHAnsi"/>
          <w:sz w:val="24"/>
          <w:szCs w:val="24"/>
        </w:rPr>
      </w:pPr>
      <w:r w:rsidRPr="006A09F6">
        <w:rPr>
          <w:rFonts w:cstheme="minorHAnsi"/>
          <w:color w:val="000000"/>
          <w:sz w:val="24"/>
          <w:szCs w:val="24"/>
        </w:rPr>
        <w:t xml:space="preserve">Stewart-Brown, S., Tennant, A., Tennant, R., Platt, S., Parkinson, J., &amp; Weich, S. (2009). Internal </w:t>
      </w:r>
      <w:r w:rsidR="00FB112F" w:rsidRPr="006A09F6">
        <w:rPr>
          <w:rFonts w:cstheme="minorHAnsi"/>
          <w:color w:val="000000"/>
          <w:sz w:val="24"/>
          <w:szCs w:val="24"/>
        </w:rPr>
        <w:t xml:space="preserve">construct </w:t>
      </w:r>
      <w:r w:rsidR="00FB112F">
        <w:rPr>
          <w:rFonts w:cstheme="minorHAnsi"/>
          <w:color w:val="000000"/>
          <w:sz w:val="24"/>
          <w:szCs w:val="24"/>
        </w:rPr>
        <w:t>validity</w:t>
      </w:r>
      <w:r w:rsidRPr="006A09F6">
        <w:rPr>
          <w:rFonts w:cstheme="minorHAnsi"/>
          <w:color w:val="000000"/>
          <w:sz w:val="24"/>
          <w:szCs w:val="24"/>
        </w:rPr>
        <w:t xml:space="preserve"> of the Warwick-Edinburgh Mental Well-being Scale (WEMWBS): A Rasch analysis using </w:t>
      </w:r>
      <w:r w:rsidR="00FB112F" w:rsidRPr="006A09F6">
        <w:rPr>
          <w:rFonts w:cstheme="minorHAnsi"/>
          <w:color w:val="000000"/>
          <w:sz w:val="24"/>
          <w:szCs w:val="24"/>
        </w:rPr>
        <w:t xml:space="preserve">data </w:t>
      </w:r>
      <w:r w:rsidR="00FB112F">
        <w:rPr>
          <w:rFonts w:cstheme="minorHAnsi"/>
          <w:color w:val="000000"/>
          <w:sz w:val="24"/>
          <w:szCs w:val="24"/>
        </w:rPr>
        <w:t>from</w:t>
      </w:r>
      <w:r w:rsidRPr="006A09F6">
        <w:rPr>
          <w:rFonts w:cstheme="minorHAnsi"/>
          <w:color w:val="000000"/>
          <w:sz w:val="24"/>
          <w:szCs w:val="24"/>
        </w:rPr>
        <w:t xml:space="preserve"> the Scottish Health Education Population Survey. Health and Quality of Life Outcomes, 7(1), 1–</w:t>
      </w:r>
      <w:r w:rsidR="00B71AF4">
        <w:rPr>
          <w:rFonts w:cstheme="minorHAnsi"/>
          <w:color w:val="000000"/>
          <w:sz w:val="24"/>
          <w:szCs w:val="24"/>
        </w:rPr>
        <w:t xml:space="preserve"> </w:t>
      </w:r>
      <w:r w:rsidRPr="006A09F6">
        <w:rPr>
          <w:rFonts w:cstheme="minorHAnsi"/>
          <w:color w:val="000000"/>
          <w:sz w:val="24"/>
          <w:szCs w:val="24"/>
        </w:rPr>
        <w:t>8. doi</w:t>
      </w:r>
      <w:r w:rsidR="00FB112F" w:rsidRPr="006A09F6">
        <w:rPr>
          <w:rFonts w:cstheme="minorHAnsi"/>
          <w:color w:val="000000"/>
          <w:sz w:val="24"/>
          <w:szCs w:val="24"/>
        </w:rPr>
        <w:t>:</w:t>
      </w:r>
      <w:r w:rsidR="00FB112F" w:rsidRPr="006A09F6">
        <w:rPr>
          <w:rFonts w:cstheme="minorHAnsi"/>
          <w:sz w:val="24"/>
          <w:szCs w:val="24"/>
        </w:rPr>
        <w:t xml:space="preserve"> 10.1186</w:t>
      </w:r>
      <w:r w:rsidRPr="006A09F6">
        <w:rPr>
          <w:rFonts w:cstheme="minorHAnsi"/>
          <w:sz w:val="24"/>
          <w:szCs w:val="24"/>
        </w:rPr>
        <w:t>/1477-7525-7-15.</w:t>
      </w:r>
    </w:p>
    <w:p w14:paraId="2643BD50" w14:textId="339055BD" w:rsidR="00B54861" w:rsidRPr="006A09F6" w:rsidRDefault="00B54861" w:rsidP="00B71AF4">
      <w:pPr>
        <w:autoSpaceDE w:val="0"/>
        <w:autoSpaceDN w:val="0"/>
        <w:adjustRightInd w:val="0"/>
        <w:spacing w:after="0" w:line="360" w:lineRule="auto"/>
        <w:ind w:left="720" w:hanging="720"/>
        <w:rPr>
          <w:rFonts w:cstheme="minorHAnsi"/>
          <w:b/>
          <w:bCs/>
          <w:sz w:val="24"/>
          <w:szCs w:val="24"/>
        </w:rPr>
      </w:pPr>
      <w:r>
        <w:rPr>
          <w:rFonts w:cstheme="minorHAnsi"/>
          <w:sz w:val="24"/>
          <w:szCs w:val="24"/>
        </w:rPr>
        <w:t>Summers, E</w:t>
      </w:r>
      <w:r w:rsidR="00FD039E">
        <w:rPr>
          <w:rFonts w:cstheme="minorHAnsi"/>
          <w:sz w:val="24"/>
          <w:szCs w:val="24"/>
        </w:rPr>
        <w:t>.</w:t>
      </w:r>
      <w:r w:rsidR="006004E4">
        <w:rPr>
          <w:rFonts w:cstheme="minorHAnsi"/>
          <w:sz w:val="24"/>
          <w:szCs w:val="24"/>
        </w:rPr>
        <w:t xml:space="preserve"> M. A.</w:t>
      </w:r>
      <w:r w:rsidR="00FD039E">
        <w:rPr>
          <w:rFonts w:cstheme="minorHAnsi"/>
          <w:sz w:val="24"/>
          <w:szCs w:val="24"/>
        </w:rPr>
        <w:t>, Morris, R</w:t>
      </w:r>
      <w:r w:rsidR="006004E4">
        <w:rPr>
          <w:rFonts w:cstheme="minorHAnsi"/>
          <w:sz w:val="24"/>
          <w:szCs w:val="24"/>
        </w:rPr>
        <w:t>. C.</w:t>
      </w:r>
      <w:r w:rsidR="00FD039E">
        <w:rPr>
          <w:rFonts w:cstheme="minorHAnsi"/>
          <w:sz w:val="24"/>
          <w:szCs w:val="24"/>
        </w:rPr>
        <w:t xml:space="preserve"> &amp; B</w:t>
      </w:r>
      <w:r w:rsidR="006004E4">
        <w:rPr>
          <w:rFonts w:cstheme="minorHAnsi"/>
          <w:sz w:val="24"/>
          <w:szCs w:val="24"/>
        </w:rPr>
        <w:t>hu</w:t>
      </w:r>
      <w:r w:rsidR="00FD039E">
        <w:rPr>
          <w:rFonts w:cstheme="minorHAnsi"/>
          <w:sz w:val="24"/>
          <w:szCs w:val="24"/>
        </w:rPr>
        <w:t xml:space="preserve">tani, G. </w:t>
      </w:r>
      <w:r w:rsidR="00C80F53">
        <w:rPr>
          <w:rFonts w:cstheme="minorHAnsi"/>
          <w:sz w:val="24"/>
          <w:szCs w:val="24"/>
        </w:rPr>
        <w:t>E. (2020</w:t>
      </w:r>
      <w:r w:rsidR="006004E4">
        <w:rPr>
          <w:rFonts w:cstheme="minorHAnsi"/>
          <w:sz w:val="24"/>
          <w:szCs w:val="24"/>
        </w:rPr>
        <w:t xml:space="preserve">). </w:t>
      </w:r>
      <w:r w:rsidR="00C80F53">
        <w:rPr>
          <w:rFonts w:cstheme="minorHAnsi"/>
          <w:sz w:val="24"/>
          <w:szCs w:val="24"/>
        </w:rPr>
        <w:t>A measure to assess the workplace w</w:t>
      </w:r>
      <w:r w:rsidR="006004E4" w:rsidRPr="006004E4">
        <w:rPr>
          <w:rFonts w:cstheme="minorHAnsi"/>
          <w:sz w:val="24"/>
          <w:szCs w:val="24"/>
        </w:rPr>
        <w:t xml:space="preserve">ellbeing </w:t>
      </w:r>
      <w:r w:rsidR="00FB112F" w:rsidRPr="006004E4">
        <w:rPr>
          <w:rFonts w:cstheme="minorHAnsi"/>
          <w:sz w:val="24"/>
          <w:szCs w:val="24"/>
        </w:rPr>
        <w:t xml:space="preserve">of </w:t>
      </w:r>
      <w:r w:rsidR="00FB112F">
        <w:rPr>
          <w:rFonts w:cstheme="minorHAnsi"/>
          <w:sz w:val="24"/>
          <w:szCs w:val="24"/>
        </w:rPr>
        <w:t>psychological</w:t>
      </w:r>
      <w:r w:rsidR="00C80F53">
        <w:rPr>
          <w:rFonts w:cstheme="minorHAnsi"/>
          <w:sz w:val="24"/>
          <w:szCs w:val="24"/>
        </w:rPr>
        <w:t xml:space="preserve"> p</w:t>
      </w:r>
      <w:r w:rsidR="006004E4" w:rsidRPr="006004E4">
        <w:rPr>
          <w:rFonts w:cstheme="minorHAnsi"/>
          <w:sz w:val="24"/>
          <w:szCs w:val="24"/>
        </w:rPr>
        <w:t>ractitioners</w:t>
      </w:r>
      <w:r w:rsidR="006004E4">
        <w:rPr>
          <w:rFonts w:cstheme="minorHAnsi"/>
          <w:sz w:val="24"/>
          <w:szCs w:val="24"/>
        </w:rPr>
        <w:t>. Clini</w:t>
      </w:r>
      <w:r w:rsidR="00C80F53">
        <w:rPr>
          <w:rFonts w:cstheme="minorHAnsi"/>
          <w:sz w:val="24"/>
          <w:szCs w:val="24"/>
        </w:rPr>
        <w:t xml:space="preserve">cal Psychology &amp; Psychotherapy, 27(1), 11-23. </w:t>
      </w:r>
      <w:r w:rsidR="006004E4" w:rsidRPr="006004E4">
        <w:rPr>
          <w:rFonts w:cstheme="minorHAnsi"/>
          <w:sz w:val="24"/>
          <w:szCs w:val="24"/>
        </w:rPr>
        <w:t>doi.org/10.1002/cpp.2401</w:t>
      </w:r>
    </w:p>
    <w:p w14:paraId="0FC26DB2" w14:textId="4335F67F" w:rsidR="006A09F6" w:rsidRDefault="006A09F6" w:rsidP="00B71AF4">
      <w:pPr>
        <w:spacing w:line="360" w:lineRule="auto"/>
        <w:ind w:left="720" w:hanging="720"/>
        <w:rPr>
          <w:rFonts w:cstheme="minorHAnsi"/>
          <w:sz w:val="24"/>
          <w:szCs w:val="24"/>
        </w:rPr>
      </w:pPr>
      <w:r w:rsidRPr="006A09F6">
        <w:rPr>
          <w:rFonts w:cstheme="minorHAnsi"/>
          <w:sz w:val="24"/>
          <w:szCs w:val="24"/>
        </w:rPr>
        <w:t xml:space="preserve">Tennant, R., Hiller, L., Fishwick, R., Platt, S., Joseph, S., Weich, S., ... &amp; Stewart-Brown, S. (2007). </w:t>
      </w:r>
      <w:r w:rsidR="00FB112F" w:rsidRPr="006A09F6">
        <w:rPr>
          <w:rFonts w:cstheme="minorHAnsi"/>
          <w:sz w:val="24"/>
          <w:szCs w:val="24"/>
        </w:rPr>
        <w:t xml:space="preserve">The </w:t>
      </w:r>
      <w:r w:rsidR="00FB112F">
        <w:rPr>
          <w:rFonts w:cstheme="minorHAnsi"/>
          <w:sz w:val="24"/>
          <w:szCs w:val="24"/>
        </w:rPr>
        <w:t>Warwick</w:t>
      </w:r>
      <w:r w:rsidRPr="006A09F6">
        <w:rPr>
          <w:rFonts w:cstheme="minorHAnsi"/>
          <w:sz w:val="24"/>
          <w:szCs w:val="24"/>
        </w:rPr>
        <w:t xml:space="preserve">-Edinburgh mental well-being scale (WEMWBS): development and UK validation. </w:t>
      </w:r>
      <w:r w:rsidR="00FB112F" w:rsidRPr="006A09F6">
        <w:rPr>
          <w:rFonts w:cstheme="minorHAnsi"/>
          <w:sz w:val="24"/>
          <w:szCs w:val="24"/>
        </w:rPr>
        <w:t xml:space="preserve">Health </w:t>
      </w:r>
      <w:r w:rsidR="00FB112F">
        <w:rPr>
          <w:rFonts w:cstheme="minorHAnsi"/>
          <w:sz w:val="24"/>
          <w:szCs w:val="24"/>
        </w:rPr>
        <w:t>and</w:t>
      </w:r>
      <w:r w:rsidRPr="006A09F6">
        <w:rPr>
          <w:rFonts w:cstheme="minorHAnsi"/>
          <w:sz w:val="24"/>
          <w:szCs w:val="24"/>
        </w:rPr>
        <w:t xml:space="preserve"> Quality of Life Outcomes, 5(1), 63-76. doi:</w:t>
      </w:r>
      <w:r w:rsidRPr="006A09F6">
        <w:rPr>
          <w:sz w:val="24"/>
          <w:szCs w:val="24"/>
        </w:rPr>
        <w:t xml:space="preserve"> </w:t>
      </w:r>
      <w:r w:rsidRPr="006A09F6">
        <w:rPr>
          <w:rFonts w:cstheme="minorHAnsi"/>
          <w:sz w:val="24"/>
          <w:szCs w:val="24"/>
        </w:rPr>
        <w:t>10.1186/1477-7525-5-63</w:t>
      </w:r>
    </w:p>
    <w:p w14:paraId="30F71204" w14:textId="77777777" w:rsidR="00A10EB2" w:rsidRPr="006A09F6" w:rsidRDefault="00A10EB2" w:rsidP="00A10EB2">
      <w:pPr>
        <w:spacing w:line="360" w:lineRule="auto"/>
        <w:ind w:left="720" w:hanging="720"/>
        <w:rPr>
          <w:rFonts w:cstheme="minorHAnsi"/>
          <w:sz w:val="24"/>
          <w:szCs w:val="24"/>
        </w:rPr>
      </w:pPr>
      <w:r w:rsidRPr="00A10EB2">
        <w:rPr>
          <w:rFonts w:cstheme="minorHAnsi"/>
          <w:sz w:val="24"/>
          <w:szCs w:val="24"/>
        </w:rPr>
        <w:t>World Health Organization. (2018). International classification of diseases for mortality and morbidity statistics (11th Revision). Retrieved from https://icd.who.int/browse11/l-m/en</w:t>
      </w:r>
    </w:p>
    <w:p w14:paraId="117B00D1" w14:textId="77777777" w:rsidR="006A09F6" w:rsidRPr="006A09F6" w:rsidRDefault="006A09F6" w:rsidP="006A09F6">
      <w:pPr>
        <w:spacing w:line="360" w:lineRule="auto"/>
        <w:rPr>
          <w:sz w:val="24"/>
          <w:szCs w:val="24"/>
        </w:rPr>
      </w:pPr>
    </w:p>
    <w:p w14:paraId="36DB11D7" w14:textId="77777777" w:rsidR="006A09F6" w:rsidRDefault="006A09F6" w:rsidP="008A257D">
      <w:pPr>
        <w:spacing w:line="480" w:lineRule="auto"/>
        <w:rPr>
          <w:rFonts w:cstheme="minorHAnsi"/>
          <w:sz w:val="24"/>
          <w:szCs w:val="24"/>
          <w:highlight w:val="yellow"/>
          <w:shd w:val="clear" w:color="auto" w:fill="FFFFFF"/>
        </w:rPr>
      </w:pPr>
    </w:p>
    <w:p w14:paraId="0D483CA0" w14:textId="77777777" w:rsidR="006A09F6" w:rsidRDefault="006A09F6" w:rsidP="008A257D">
      <w:pPr>
        <w:spacing w:line="480" w:lineRule="auto"/>
        <w:rPr>
          <w:rFonts w:cstheme="minorHAnsi"/>
          <w:sz w:val="24"/>
          <w:szCs w:val="24"/>
          <w:highlight w:val="yellow"/>
          <w:shd w:val="clear" w:color="auto" w:fill="FFFFFF"/>
        </w:rPr>
      </w:pPr>
    </w:p>
    <w:p w14:paraId="274A7F99" w14:textId="77777777" w:rsidR="00DC07E2" w:rsidRPr="00CD5A2A" w:rsidRDefault="00DC07E2" w:rsidP="00CD5A2A">
      <w:pPr>
        <w:spacing w:line="480" w:lineRule="auto"/>
        <w:rPr>
          <w:rFonts w:cstheme="minorHAnsi"/>
          <w:color w:val="C00000"/>
          <w:sz w:val="24"/>
          <w:szCs w:val="24"/>
        </w:rPr>
      </w:pPr>
    </w:p>
    <w:p w14:paraId="700DD045" w14:textId="77777777" w:rsidR="00903D99" w:rsidRPr="00903D99" w:rsidRDefault="00903D99" w:rsidP="00903D99">
      <w:pPr>
        <w:autoSpaceDE w:val="0"/>
        <w:autoSpaceDN w:val="0"/>
        <w:adjustRightInd w:val="0"/>
        <w:spacing w:after="0" w:line="240" w:lineRule="auto"/>
        <w:rPr>
          <w:rFonts w:cstheme="minorHAnsi"/>
          <w:b/>
          <w:bCs/>
          <w:sz w:val="24"/>
          <w:szCs w:val="24"/>
        </w:rPr>
      </w:pPr>
    </w:p>
    <w:p w14:paraId="5CFBD00A" w14:textId="77777777" w:rsidR="00725B68" w:rsidRPr="00725B68" w:rsidRDefault="00725B68" w:rsidP="00797444">
      <w:pPr>
        <w:rPr>
          <w:sz w:val="24"/>
          <w:szCs w:val="24"/>
        </w:rPr>
      </w:pPr>
    </w:p>
    <w:p w14:paraId="4368FBE8" w14:textId="77777777" w:rsidR="00D63F5B" w:rsidRPr="0074586F" w:rsidRDefault="008504B0" w:rsidP="000F1257">
      <w:pPr>
        <w:rPr>
          <w:b/>
          <w:bCs/>
          <w:sz w:val="28"/>
          <w:szCs w:val="28"/>
        </w:rPr>
      </w:pPr>
      <w:r>
        <w:rPr>
          <w:b/>
          <w:bCs/>
          <w:sz w:val="28"/>
          <w:szCs w:val="28"/>
        </w:rPr>
        <w:br w:type="column"/>
      </w:r>
    </w:p>
    <w:tbl>
      <w:tblPr>
        <w:tblStyle w:val="TableGrid"/>
        <w:tblW w:w="10376"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230"/>
        <w:gridCol w:w="1392"/>
        <w:gridCol w:w="2073"/>
        <w:gridCol w:w="1991"/>
        <w:gridCol w:w="2138"/>
      </w:tblGrid>
      <w:tr w:rsidR="0074586F" w:rsidRPr="0074586F" w14:paraId="01198E43" w14:textId="77777777" w:rsidTr="00C80F53">
        <w:tc>
          <w:tcPr>
            <w:tcW w:w="10376" w:type="dxa"/>
            <w:gridSpan w:val="6"/>
            <w:tcBorders>
              <w:top w:val="single" w:sz="2" w:space="0" w:color="auto"/>
              <w:left w:val="nil"/>
              <w:bottom w:val="nil"/>
              <w:right w:val="nil"/>
            </w:tcBorders>
          </w:tcPr>
          <w:p w14:paraId="2D94B8D1" w14:textId="77777777" w:rsidR="0074586F" w:rsidRPr="0074586F" w:rsidRDefault="0074586F" w:rsidP="0074586F">
            <w:pPr>
              <w:tabs>
                <w:tab w:val="left" w:pos="1834"/>
              </w:tabs>
              <w:rPr>
                <w:bCs/>
                <w:szCs w:val="24"/>
                <w:lang w:val="en-GB"/>
              </w:rPr>
            </w:pPr>
            <w:r w:rsidRPr="0074586F">
              <w:rPr>
                <w:bCs/>
                <w:szCs w:val="24"/>
                <w:lang w:val="en-GB"/>
              </w:rPr>
              <w:t>Table 1</w:t>
            </w:r>
            <w:r w:rsidR="00096E78">
              <w:rPr>
                <w:bCs/>
                <w:szCs w:val="24"/>
                <w:lang w:val="en-GB"/>
              </w:rPr>
              <w:t xml:space="preserve"> </w:t>
            </w:r>
            <w:r w:rsidRPr="0074586F">
              <w:rPr>
                <w:bCs/>
                <w:szCs w:val="24"/>
                <w:lang w:val="en-GB"/>
              </w:rPr>
              <w:t>Studies of burnout in psychological practitioners</w:t>
            </w:r>
          </w:p>
          <w:p w14:paraId="3D82F2FB" w14:textId="77777777" w:rsidR="0074586F" w:rsidRPr="0074586F" w:rsidRDefault="0074586F" w:rsidP="0074586F">
            <w:pPr>
              <w:rPr>
                <w:rFonts w:cstheme="minorHAnsi"/>
                <w:sz w:val="18"/>
                <w:szCs w:val="18"/>
                <w:lang w:val="en-GB"/>
              </w:rPr>
            </w:pPr>
          </w:p>
          <w:p w14:paraId="63B064D8" w14:textId="77777777" w:rsidR="0074586F" w:rsidRPr="0074586F" w:rsidRDefault="0074586F" w:rsidP="00500904">
            <w:pPr>
              <w:jc w:val="center"/>
              <w:rPr>
                <w:rFonts w:cstheme="minorHAnsi"/>
                <w:sz w:val="18"/>
                <w:szCs w:val="18"/>
                <w:lang w:val="en-GB"/>
              </w:rPr>
            </w:pPr>
          </w:p>
        </w:tc>
      </w:tr>
      <w:tr w:rsidR="00D63F5B" w:rsidRPr="0074586F" w14:paraId="68014B11" w14:textId="77777777" w:rsidTr="0074586F">
        <w:tc>
          <w:tcPr>
            <w:tcW w:w="1552" w:type="dxa"/>
            <w:tcBorders>
              <w:top w:val="nil"/>
              <w:left w:val="nil"/>
              <w:bottom w:val="single" w:sz="4" w:space="0" w:color="auto"/>
              <w:right w:val="nil"/>
            </w:tcBorders>
            <w:hideMark/>
          </w:tcPr>
          <w:p w14:paraId="4C734102"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Authors (year)</w:t>
            </w:r>
          </w:p>
          <w:p w14:paraId="7C91CB0E" w14:textId="77777777" w:rsidR="00D63F5B" w:rsidRPr="0074586F" w:rsidRDefault="00D63F5B" w:rsidP="00500904">
            <w:pPr>
              <w:jc w:val="center"/>
              <w:rPr>
                <w:rFonts w:cstheme="minorHAnsi"/>
                <w:i/>
                <w:sz w:val="18"/>
                <w:szCs w:val="18"/>
                <w:lang w:val="en-GB"/>
              </w:rPr>
            </w:pPr>
          </w:p>
          <w:p w14:paraId="0027E1E2"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Country of study</w:t>
            </w:r>
          </w:p>
        </w:tc>
        <w:tc>
          <w:tcPr>
            <w:tcW w:w="1230" w:type="dxa"/>
            <w:tcBorders>
              <w:top w:val="nil"/>
              <w:left w:val="nil"/>
              <w:bottom w:val="single" w:sz="4" w:space="0" w:color="auto"/>
              <w:right w:val="nil"/>
            </w:tcBorders>
          </w:tcPr>
          <w:p w14:paraId="1511501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Sample size</w:t>
            </w:r>
          </w:p>
          <w:p w14:paraId="5439D2DA"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 response rate)</w:t>
            </w:r>
          </w:p>
          <w:p w14:paraId="495AD742" w14:textId="77777777" w:rsidR="00D63F5B" w:rsidRPr="0074586F" w:rsidRDefault="00D63F5B" w:rsidP="00500904">
            <w:pPr>
              <w:jc w:val="center"/>
              <w:rPr>
                <w:rFonts w:cstheme="minorHAnsi"/>
                <w:sz w:val="18"/>
                <w:szCs w:val="18"/>
                <w:lang w:val="en-GB"/>
              </w:rPr>
            </w:pPr>
          </w:p>
        </w:tc>
        <w:tc>
          <w:tcPr>
            <w:tcW w:w="1392" w:type="dxa"/>
            <w:tcBorders>
              <w:top w:val="nil"/>
              <w:left w:val="nil"/>
              <w:bottom w:val="single" w:sz="4" w:space="0" w:color="auto"/>
              <w:right w:val="nil"/>
            </w:tcBorders>
            <w:hideMark/>
          </w:tcPr>
          <w:p w14:paraId="3D00D7C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Profession</w:t>
            </w:r>
          </w:p>
          <w:p w14:paraId="64625D68"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w:t>
            </w:r>
          </w:p>
        </w:tc>
        <w:tc>
          <w:tcPr>
            <w:tcW w:w="2073" w:type="dxa"/>
            <w:tcBorders>
              <w:top w:val="nil"/>
              <w:left w:val="nil"/>
              <w:bottom w:val="single" w:sz="4" w:space="0" w:color="auto"/>
              <w:right w:val="nil"/>
            </w:tcBorders>
          </w:tcPr>
          <w:p w14:paraId="2CA64B81"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Years of</w:t>
            </w:r>
          </w:p>
          <w:p w14:paraId="02AB5CD9"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experience</w:t>
            </w:r>
          </w:p>
          <w:p w14:paraId="0315A12A" w14:textId="77777777" w:rsidR="00D63F5B" w:rsidRPr="0074586F" w:rsidRDefault="00D63F5B" w:rsidP="00500904">
            <w:pPr>
              <w:jc w:val="center"/>
              <w:rPr>
                <w:rFonts w:cstheme="minorHAnsi"/>
                <w:sz w:val="18"/>
                <w:szCs w:val="18"/>
                <w:lang w:val="en-GB"/>
              </w:rPr>
            </w:pPr>
          </w:p>
        </w:tc>
        <w:tc>
          <w:tcPr>
            <w:tcW w:w="1991" w:type="dxa"/>
            <w:tcBorders>
              <w:top w:val="nil"/>
              <w:left w:val="nil"/>
              <w:bottom w:val="single" w:sz="4" w:space="0" w:color="auto"/>
              <w:right w:val="nil"/>
            </w:tcBorders>
            <w:hideMark/>
          </w:tcPr>
          <w:p w14:paraId="6FD481CD"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Burnout measure</w:t>
            </w:r>
          </w:p>
        </w:tc>
        <w:tc>
          <w:tcPr>
            <w:tcW w:w="2138" w:type="dxa"/>
            <w:tcBorders>
              <w:top w:val="nil"/>
              <w:left w:val="nil"/>
              <w:bottom w:val="single" w:sz="4" w:space="0" w:color="auto"/>
              <w:right w:val="nil"/>
            </w:tcBorders>
          </w:tcPr>
          <w:p w14:paraId="4684997E"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Main Conclusion</w:t>
            </w:r>
          </w:p>
        </w:tc>
      </w:tr>
      <w:tr w:rsidR="00D63F5B" w:rsidRPr="0074586F" w14:paraId="22FEAA3B" w14:textId="77777777" w:rsidTr="0074586F">
        <w:trPr>
          <w:trHeight w:val="1905"/>
        </w:trPr>
        <w:tc>
          <w:tcPr>
            <w:tcW w:w="1552" w:type="dxa"/>
            <w:tcBorders>
              <w:top w:val="single" w:sz="4" w:space="0" w:color="auto"/>
              <w:left w:val="nil"/>
              <w:bottom w:val="nil"/>
              <w:right w:val="nil"/>
            </w:tcBorders>
            <w:hideMark/>
          </w:tcPr>
          <w:p w14:paraId="14A9B248"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Ackerley et al. (1988)</w:t>
            </w:r>
          </w:p>
          <w:p w14:paraId="4D29253C" w14:textId="77777777" w:rsidR="00D63F5B" w:rsidRPr="0074586F" w:rsidRDefault="00D63F5B" w:rsidP="00500904">
            <w:pPr>
              <w:jc w:val="center"/>
              <w:rPr>
                <w:rFonts w:cstheme="minorHAnsi"/>
                <w:i/>
                <w:sz w:val="18"/>
                <w:szCs w:val="18"/>
                <w:lang w:val="en-GB"/>
              </w:rPr>
            </w:pPr>
          </w:p>
          <w:p w14:paraId="3E8647AA"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USA</w:t>
            </w:r>
          </w:p>
        </w:tc>
        <w:tc>
          <w:tcPr>
            <w:tcW w:w="1230" w:type="dxa"/>
            <w:tcBorders>
              <w:top w:val="single" w:sz="4" w:space="0" w:color="auto"/>
              <w:left w:val="nil"/>
              <w:bottom w:val="nil"/>
              <w:right w:val="nil"/>
            </w:tcBorders>
          </w:tcPr>
          <w:p w14:paraId="40780891"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562 (35.4)</w:t>
            </w:r>
          </w:p>
          <w:p w14:paraId="57ED8B46" w14:textId="77777777" w:rsidR="00D63F5B" w:rsidRPr="0074586F" w:rsidRDefault="00D63F5B" w:rsidP="00500904">
            <w:pPr>
              <w:jc w:val="center"/>
              <w:rPr>
                <w:rFonts w:cstheme="minorHAnsi"/>
                <w:sz w:val="18"/>
                <w:szCs w:val="18"/>
                <w:lang w:val="en-GB"/>
              </w:rPr>
            </w:pPr>
          </w:p>
          <w:p w14:paraId="4F04EC26" w14:textId="77777777" w:rsidR="00D63F5B" w:rsidRPr="0074586F" w:rsidRDefault="00D63F5B" w:rsidP="00500904">
            <w:pPr>
              <w:jc w:val="center"/>
              <w:rPr>
                <w:rFonts w:cstheme="minorHAnsi"/>
                <w:sz w:val="18"/>
                <w:szCs w:val="18"/>
                <w:lang w:val="en-GB"/>
              </w:rPr>
            </w:pPr>
          </w:p>
        </w:tc>
        <w:tc>
          <w:tcPr>
            <w:tcW w:w="1392" w:type="dxa"/>
            <w:tcBorders>
              <w:top w:val="single" w:sz="4" w:space="0" w:color="auto"/>
              <w:left w:val="nil"/>
              <w:bottom w:val="nil"/>
              <w:right w:val="nil"/>
            </w:tcBorders>
            <w:hideMark/>
          </w:tcPr>
          <w:p w14:paraId="0AE440FB"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Licensed psychologists (100)</w:t>
            </w:r>
          </w:p>
        </w:tc>
        <w:tc>
          <w:tcPr>
            <w:tcW w:w="2073" w:type="dxa"/>
            <w:tcBorders>
              <w:top w:val="single" w:sz="4" w:space="0" w:color="auto"/>
              <w:left w:val="nil"/>
              <w:bottom w:val="nil"/>
              <w:right w:val="nil"/>
            </w:tcBorders>
          </w:tcPr>
          <w:p w14:paraId="719D821F"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M</w:t>
            </w:r>
            <w:r w:rsidRPr="0074586F">
              <w:rPr>
                <w:rFonts w:cstheme="minorHAnsi"/>
                <w:sz w:val="18"/>
                <w:szCs w:val="18"/>
                <w:lang w:val="en-GB"/>
              </w:rPr>
              <w:t xml:space="preserve"> = 18.8 years</w:t>
            </w:r>
          </w:p>
          <w:p w14:paraId="4295CE28" w14:textId="77777777" w:rsidR="00D63F5B" w:rsidRPr="0074586F" w:rsidRDefault="00D63F5B" w:rsidP="00500904">
            <w:pPr>
              <w:jc w:val="center"/>
              <w:rPr>
                <w:rFonts w:cstheme="minorHAnsi"/>
                <w:sz w:val="18"/>
                <w:szCs w:val="18"/>
                <w:lang w:val="en-GB"/>
              </w:rPr>
            </w:pPr>
          </w:p>
          <w:p w14:paraId="0812A7C8"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Range = 1-43</w:t>
            </w:r>
          </w:p>
          <w:p w14:paraId="4EBB4F90" w14:textId="77777777" w:rsidR="00D63F5B" w:rsidRPr="0074586F" w:rsidRDefault="00D63F5B" w:rsidP="00500904">
            <w:pPr>
              <w:jc w:val="center"/>
              <w:rPr>
                <w:rFonts w:cstheme="minorHAnsi"/>
                <w:sz w:val="18"/>
                <w:szCs w:val="18"/>
                <w:lang w:val="en-GB"/>
              </w:rPr>
            </w:pPr>
          </w:p>
        </w:tc>
        <w:tc>
          <w:tcPr>
            <w:tcW w:w="1991" w:type="dxa"/>
            <w:tcBorders>
              <w:top w:val="single" w:sz="4" w:space="0" w:color="auto"/>
              <w:left w:val="nil"/>
              <w:bottom w:val="nil"/>
              <w:right w:val="nil"/>
            </w:tcBorders>
          </w:tcPr>
          <w:p w14:paraId="02E83217"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MBI (1986)</w:t>
            </w:r>
          </w:p>
          <w:p w14:paraId="20D6499D" w14:textId="77777777" w:rsidR="00D63F5B" w:rsidRPr="0074586F" w:rsidRDefault="00D63F5B" w:rsidP="00500904">
            <w:pPr>
              <w:jc w:val="center"/>
              <w:rPr>
                <w:rFonts w:cstheme="minorHAnsi"/>
                <w:sz w:val="18"/>
                <w:szCs w:val="18"/>
                <w:lang w:val="en-GB"/>
              </w:rPr>
            </w:pPr>
          </w:p>
          <w:p w14:paraId="57D2DAC9" w14:textId="77777777" w:rsidR="00D63F5B" w:rsidRPr="0074586F" w:rsidRDefault="00D63F5B" w:rsidP="00500904">
            <w:pPr>
              <w:jc w:val="center"/>
              <w:rPr>
                <w:rFonts w:cstheme="minorHAnsi"/>
                <w:sz w:val="18"/>
                <w:szCs w:val="18"/>
                <w:vertAlign w:val="superscript"/>
                <w:lang w:val="en-GB"/>
              </w:rPr>
            </w:pPr>
          </w:p>
        </w:tc>
        <w:tc>
          <w:tcPr>
            <w:tcW w:w="2138" w:type="dxa"/>
            <w:tcBorders>
              <w:top w:val="single" w:sz="4" w:space="0" w:color="auto"/>
              <w:left w:val="nil"/>
              <w:bottom w:val="nil"/>
              <w:right w:val="nil"/>
            </w:tcBorders>
          </w:tcPr>
          <w:p w14:paraId="4F203E30"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Each MBI subscale showed higher burnout than the norms for mental health workers. ‘High burnout’ threshold exceeded on EE &amp; DP scales for over 1/3 of the sample</w:t>
            </w:r>
          </w:p>
        </w:tc>
      </w:tr>
      <w:tr w:rsidR="00D63F5B" w:rsidRPr="0074586F" w14:paraId="6ECE514B" w14:textId="77777777" w:rsidTr="0074586F">
        <w:tc>
          <w:tcPr>
            <w:tcW w:w="1552" w:type="dxa"/>
            <w:tcBorders>
              <w:top w:val="nil"/>
              <w:left w:val="nil"/>
              <w:bottom w:val="nil"/>
              <w:right w:val="nil"/>
            </w:tcBorders>
          </w:tcPr>
          <w:p w14:paraId="1ED55767"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Berjot et al. (2017)</w:t>
            </w:r>
          </w:p>
          <w:p w14:paraId="7986C635" w14:textId="77777777" w:rsidR="00D63F5B" w:rsidRPr="0074586F" w:rsidRDefault="00D63F5B" w:rsidP="00500904">
            <w:pPr>
              <w:jc w:val="center"/>
              <w:rPr>
                <w:rFonts w:cstheme="minorHAnsi"/>
                <w:i/>
                <w:sz w:val="18"/>
                <w:szCs w:val="18"/>
                <w:lang w:val="en-GB"/>
              </w:rPr>
            </w:pPr>
          </w:p>
          <w:p w14:paraId="426EDD82" w14:textId="77777777" w:rsidR="00D63F5B" w:rsidRPr="0074586F" w:rsidRDefault="00D63F5B" w:rsidP="00500904">
            <w:pPr>
              <w:jc w:val="center"/>
              <w:rPr>
                <w:rFonts w:cstheme="minorHAnsi"/>
                <w:b/>
                <w:i/>
                <w:sz w:val="18"/>
                <w:szCs w:val="18"/>
                <w:u w:val="single"/>
                <w:lang w:val="en-GB"/>
              </w:rPr>
            </w:pPr>
            <w:r w:rsidRPr="0074586F">
              <w:rPr>
                <w:rFonts w:cstheme="minorHAnsi"/>
                <w:i/>
                <w:sz w:val="18"/>
                <w:szCs w:val="18"/>
                <w:lang w:val="en-GB"/>
              </w:rPr>
              <w:t>France</w:t>
            </w:r>
          </w:p>
          <w:p w14:paraId="3234A09D" w14:textId="77777777" w:rsidR="00D63F5B" w:rsidRPr="0074586F" w:rsidRDefault="00D63F5B" w:rsidP="00500904">
            <w:pPr>
              <w:jc w:val="center"/>
              <w:rPr>
                <w:rFonts w:cstheme="minorHAnsi"/>
                <w:sz w:val="18"/>
                <w:szCs w:val="18"/>
                <w:lang w:val="en-GB"/>
              </w:rPr>
            </w:pPr>
          </w:p>
        </w:tc>
        <w:tc>
          <w:tcPr>
            <w:tcW w:w="1230" w:type="dxa"/>
            <w:tcBorders>
              <w:top w:val="nil"/>
              <w:left w:val="nil"/>
              <w:bottom w:val="nil"/>
              <w:right w:val="nil"/>
            </w:tcBorders>
          </w:tcPr>
          <w:p w14:paraId="28027F7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664</w:t>
            </w:r>
          </w:p>
          <w:p w14:paraId="02E04582"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(NR)</w:t>
            </w:r>
          </w:p>
          <w:p w14:paraId="70D740D3" w14:textId="77777777" w:rsidR="00D63F5B" w:rsidRPr="0074586F" w:rsidRDefault="00D63F5B" w:rsidP="00500904">
            <w:pPr>
              <w:jc w:val="center"/>
              <w:rPr>
                <w:rFonts w:cstheme="minorHAnsi"/>
                <w:sz w:val="18"/>
                <w:szCs w:val="18"/>
                <w:lang w:val="en-GB"/>
              </w:rPr>
            </w:pPr>
          </w:p>
          <w:p w14:paraId="0CDECC21" w14:textId="77777777" w:rsidR="00D63F5B" w:rsidRPr="0074586F" w:rsidRDefault="00D63F5B" w:rsidP="00500904">
            <w:pPr>
              <w:jc w:val="center"/>
              <w:rPr>
                <w:rFonts w:cstheme="minorHAnsi"/>
                <w:sz w:val="18"/>
                <w:szCs w:val="18"/>
                <w:lang w:val="en-GB"/>
              </w:rPr>
            </w:pPr>
          </w:p>
        </w:tc>
        <w:tc>
          <w:tcPr>
            <w:tcW w:w="1392" w:type="dxa"/>
            <w:tcBorders>
              <w:top w:val="nil"/>
              <w:left w:val="nil"/>
              <w:bottom w:val="nil"/>
              <w:right w:val="nil"/>
            </w:tcBorders>
            <w:hideMark/>
          </w:tcPr>
          <w:p w14:paraId="5A49C090"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Professional psychologists (100)</w:t>
            </w:r>
          </w:p>
        </w:tc>
        <w:tc>
          <w:tcPr>
            <w:tcW w:w="2073" w:type="dxa"/>
            <w:tcBorders>
              <w:top w:val="nil"/>
              <w:left w:val="nil"/>
              <w:bottom w:val="nil"/>
              <w:right w:val="nil"/>
            </w:tcBorders>
            <w:hideMark/>
          </w:tcPr>
          <w:p w14:paraId="5A6D4574"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M</w:t>
            </w:r>
            <w:r w:rsidRPr="0074586F">
              <w:rPr>
                <w:rFonts w:cstheme="minorHAnsi"/>
                <w:sz w:val="18"/>
                <w:szCs w:val="18"/>
                <w:lang w:val="en-GB"/>
              </w:rPr>
              <w:t xml:space="preserve"> = 8.01</w:t>
            </w:r>
          </w:p>
        </w:tc>
        <w:tc>
          <w:tcPr>
            <w:tcW w:w="1991" w:type="dxa"/>
            <w:tcBorders>
              <w:top w:val="nil"/>
              <w:left w:val="nil"/>
              <w:bottom w:val="nil"/>
              <w:right w:val="nil"/>
            </w:tcBorders>
          </w:tcPr>
          <w:p w14:paraId="2D0E579F"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French- Canadian version MBI-HSS (Maslach et al., 1996) French translation (Dion &amp; Tessier, 1994)</w:t>
            </w:r>
          </w:p>
          <w:p w14:paraId="1A44387E" w14:textId="77777777" w:rsidR="00D63F5B" w:rsidRPr="0074586F" w:rsidRDefault="00D63F5B" w:rsidP="00500904">
            <w:pPr>
              <w:jc w:val="center"/>
              <w:rPr>
                <w:rFonts w:cstheme="minorHAnsi"/>
                <w:sz w:val="18"/>
                <w:szCs w:val="18"/>
                <w:lang w:val="en-GB"/>
              </w:rPr>
            </w:pPr>
          </w:p>
        </w:tc>
        <w:tc>
          <w:tcPr>
            <w:tcW w:w="2138" w:type="dxa"/>
            <w:tcBorders>
              <w:top w:val="nil"/>
              <w:left w:val="nil"/>
              <w:bottom w:val="nil"/>
              <w:right w:val="nil"/>
            </w:tcBorders>
          </w:tcPr>
          <w:p w14:paraId="4638096C"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Over 60% over cut</w:t>
            </w:r>
            <w:r w:rsidR="0074586F">
              <w:rPr>
                <w:rFonts w:cstheme="minorHAnsi"/>
                <w:sz w:val="18"/>
                <w:szCs w:val="18"/>
                <w:lang w:val="en-GB"/>
              </w:rPr>
              <w:t>-</w:t>
            </w:r>
            <w:r w:rsidRPr="0074586F">
              <w:rPr>
                <w:rFonts w:cstheme="minorHAnsi"/>
                <w:sz w:val="18"/>
                <w:szCs w:val="18"/>
                <w:lang w:val="en-GB"/>
              </w:rPr>
              <w:t>off for burnout on EE &amp; DP scales</w:t>
            </w:r>
          </w:p>
        </w:tc>
      </w:tr>
      <w:tr w:rsidR="00D63F5B" w:rsidRPr="0074586F" w14:paraId="232D210A" w14:textId="77777777" w:rsidTr="0074586F">
        <w:tc>
          <w:tcPr>
            <w:tcW w:w="1552" w:type="dxa"/>
            <w:tcBorders>
              <w:top w:val="nil"/>
              <w:left w:val="nil"/>
              <w:bottom w:val="nil"/>
              <w:right w:val="nil"/>
            </w:tcBorders>
          </w:tcPr>
          <w:p w14:paraId="7C119B03"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Di Benedetto &amp; Swadling (2014)</w:t>
            </w:r>
          </w:p>
          <w:p w14:paraId="4A74AA2A" w14:textId="77777777" w:rsidR="00D63F5B" w:rsidRPr="0074586F" w:rsidRDefault="00D63F5B" w:rsidP="00500904">
            <w:pPr>
              <w:jc w:val="center"/>
              <w:rPr>
                <w:rFonts w:cstheme="minorHAnsi"/>
                <w:i/>
                <w:sz w:val="18"/>
                <w:szCs w:val="18"/>
                <w:lang w:val="en-GB"/>
              </w:rPr>
            </w:pPr>
          </w:p>
          <w:p w14:paraId="78B0F2A2" w14:textId="77777777" w:rsidR="00D63F5B" w:rsidRPr="0074586F" w:rsidRDefault="00D63F5B" w:rsidP="00500904">
            <w:pPr>
              <w:jc w:val="center"/>
              <w:rPr>
                <w:rFonts w:cstheme="minorHAnsi"/>
                <w:i/>
                <w:sz w:val="18"/>
                <w:szCs w:val="18"/>
                <w:lang w:val="en-GB"/>
              </w:rPr>
            </w:pPr>
            <w:r w:rsidRPr="0074586F">
              <w:rPr>
                <w:rFonts w:cstheme="minorHAnsi"/>
                <w:i/>
                <w:sz w:val="18"/>
                <w:szCs w:val="18"/>
                <w:lang w:val="en-GB"/>
              </w:rPr>
              <w:t>Australia</w:t>
            </w:r>
          </w:p>
          <w:p w14:paraId="375927D7" w14:textId="77777777" w:rsidR="00D63F5B" w:rsidRPr="0074586F" w:rsidRDefault="00D63F5B" w:rsidP="00500904">
            <w:pPr>
              <w:rPr>
                <w:rFonts w:cstheme="minorHAnsi"/>
                <w:sz w:val="18"/>
                <w:szCs w:val="18"/>
                <w:lang w:val="en-GB"/>
              </w:rPr>
            </w:pPr>
          </w:p>
          <w:p w14:paraId="725A27AA" w14:textId="77777777" w:rsidR="00D63F5B" w:rsidRPr="0074586F" w:rsidRDefault="00D63F5B" w:rsidP="00500904">
            <w:pPr>
              <w:rPr>
                <w:rFonts w:cstheme="minorHAnsi"/>
                <w:sz w:val="18"/>
                <w:szCs w:val="18"/>
                <w:lang w:val="en-GB"/>
              </w:rPr>
            </w:pPr>
          </w:p>
        </w:tc>
        <w:tc>
          <w:tcPr>
            <w:tcW w:w="1230" w:type="dxa"/>
            <w:tcBorders>
              <w:top w:val="nil"/>
              <w:left w:val="nil"/>
              <w:bottom w:val="nil"/>
              <w:right w:val="nil"/>
            </w:tcBorders>
          </w:tcPr>
          <w:p w14:paraId="07B08651"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167</w:t>
            </w:r>
          </w:p>
          <w:p w14:paraId="1A1D9816" w14:textId="77777777" w:rsidR="00D63F5B" w:rsidRPr="0074586F" w:rsidRDefault="00D63F5B" w:rsidP="00500904">
            <w:pPr>
              <w:jc w:val="center"/>
              <w:rPr>
                <w:rFonts w:cstheme="minorHAnsi"/>
                <w:sz w:val="18"/>
                <w:szCs w:val="18"/>
                <w:lang w:val="en-GB"/>
              </w:rPr>
            </w:pPr>
          </w:p>
          <w:p w14:paraId="7C60427B"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(NR)</w:t>
            </w:r>
          </w:p>
          <w:p w14:paraId="13E35542" w14:textId="77777777" w:rsidR="00D63F5B" w:rsidRPr="0074586F" w:rsidRDefault="00D63F5B" w:rsidP="00500904">
            <w:pPr>
              <w:jc w:val="center"/>
              <w:rPr>
                <w:rFonts w:cstheme="minorHAnsi"/>
                <w:sz w:val="18"/>
                <w:szCs w:val="18"/>
                <w:lang w:val="en-GB"/>
              </w:rPr>
            </w:pPr>
          </w:p>
        </w:tc>
        <w:tc>
          <w:tcPr>
            <w:tcW w:w="1392" w:type="dxa"/>
            <w:tcBorders>
              <w:top w:val="nil"/>
              <w:left w:val="nil"/>
              <w:bottom w:val="nil"/>
              <w:right w:val="nil"/>
            </w:tcBorders>
            <w:hideMark/>
          </w:tcPr>
          <w:p w14:paraId="134A8019"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Registered psychologists (100)</w:t>
            </w:r>
          </w:p>
        </w:tc>
        <w:tc>
          <w:tcPr>
            <w:tcW w:w="2073" w:type="dxa"/>
            <w:tcBorders>
              <w:top w:val="nil"/>
              <w:left w:val="nil"/>
              <w:bottom w:val="nil"/>
              <w:right w:val="nil"/>
            </w:tcBorders>
            <w:hideMark/>
          </w:tcPr>
          <w:p w14:paraId="2C20FE9F"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NR</w:t>
            </w:r>
          </w:p>
        </w:tc>
        <w:tc>
          <w:tcPr>
            <w:tcW w:w="1991" w:type="dxa"/>
            <w:tcBorders>
              <w:top w:val="nil"/>
              <w:left w:val="nil"/>
              <w:bottom w:val="nil"/>
              <w:right w:val="nil"/>
            </w:tcBorders>
            <w:hideMark/>
          </w:tcPr>
          <w:p w14:paraId="08D4F4CE"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CBI (Kristensen et al., 2005)</w:t>
            </w:r>
          </w:p>
        </w:tc>
        <w:tc>
          <w:tcPr>
            <w:tcW w:w="2138" w:type="dxa"/>
            <w:tcBorders>
              <w:top w:val="nil"/>
              <w:left w:val="nil"/>
              <w:bottom w:val="nil"/>
              <w:right w:val="nil"/>
            </w:tcBorders>
          </w:tcPr>
          <w:p w14:paraId="6CC02A8C"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14.4% above threshold for burnout on the overall score. Burnout negatively correlated with experience.</w:t>
            </w:r>
          </w:p>
        </w:tc>
      </w:tr>
      <w:tr w:rsidR="00D63F5B" w:rsidRPr="0074586F" w14:paraId="628F40B3" w14:textId="77777777" w:rsidTr="0074586F">
        <w:trPr>
          <w:trHeight w:val="1610"/>
        </w:trPr>
        <w:tc>
          <w:tcPr>
            <w:tcW w:w="1552" w:type="dxa"/>
            <w:tcBorders>
              <w:top w:val="nil"/>
              <w:left w:val="nil"/>
              <w:bottom w:val="nil"/>
              <w:right w:val="nil"/>
            </w:tcBorders>
            <w:hideMark/>
          </w:tcPr>
          <w:p w14:paraId="155950EE"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D’Souza et al. (2011)</w:t>
            </w:r>
          </w:p>
          <w:p w14:paraId="1E827B34" w14:textId="77777777" w:rsidR="00D63F5B" w:rsidRPr="0074586F" w:rsidRDefault="00D63F5B" w:rsidP="00500904">
            <w:pPr>
              <w:jc w:val="center"/>
              <w:rPr>
                <w:rFonts w:cstheme="minorHAnsi"/>
                <w:i/>
                <w:sz w:val="18"/>
                <w:szCs w:val="18"/>
                <w:lang w:val="en-GB"/>
              </w:rPr>
            </w:pPr>
          </w:p>
          <w:p w14:paraId="0EBD2AF9"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Australia</w:t>
            </w:r>
          </w:p>
        </w:tc>
        <w:tc>
          <w:tcPr>
            <w:tcW w:w="1230" w:type="dxa"/>
            <w:tcBorders>
              <w:top w:val="nil"/>
              <w:left w:val="nil"/>
              <w:bottom w:val="nil"/>
              <w:right w:val="nil"/>
            </w:tcBorders>
          </w:tcPr>
          <w:p w14:paraId="0A2644F6"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87</w:t>
            </w:r>
          </w:p>
          <w:p w14:paraId="7930552D" w14:textId="77777777" w:rsidR="00D63F5B" w:rsidRPr="0074586F" w:rsidRDefault="00D63F5B" w:rsidP="00500904">
            <w:pPr>
              <w:jc w:val="center"/>
              <w:rPr>
                <w:rFonts w:cstheme="minorHAnsi"/>
                <w:sz w:val="18"/>
                <w:szCs w:val="18"/>
                <w:lang w:val="en-GB"/>
              </w:rPr>
            </w:pPr>
          </w:p>
          <w:p w14:paraId="4E4087F2"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(NR)</w:t>
            </w:r>
          </w:p>
          <w:p w14:paraId="1CAC3EA2" w14:textId="77777777" w:rsidR="00D63F5B" w:rsidRPr="0074586F" w:rsidRDefault="00D63F5B" w:rsidP="00500904">
            <w:pPr>
              <w:jc w:val="center"/>
              <w:rPr>
                <w:rFonts w:cstheme="minorHAnsi"/>
                <w:sz w:val="18"/>
                <w:szCs w:val="18"/>
                <w:lang w:val="en-GB"/>
              </w:rPr>
            </w:pPr>
          </w:p>
          <w:p w14:paraId="16EBA006" w14:textId="77777777" w:rsidR="00D63F5B" w:rsidRPr="0074586F" w:rsidRDefault="00D63F5B" w:rsidP="00500904">
            <w:pPr>
              <w:jc w:val="center"/>
              <w:rPr>
                <w:rFonts w:cstheme="minorHAnsi"/>
                <w:sz w:val="18"/>
                <w:szCs w:val="18"/>
                <w:lang w:val="en-GB"/>
              </w:rPr>
            </w:pPr>
          </w:p>
        </w:tc>
        <w:tc>
          <w:tcPr>
            <w:tcW w:w="1392" w:type="dxa"/>
            <w:tcBorders>
              <w:top w:val="nil"/>
              <w:left w:val="nil"/>
              <w:bottom w:val="nil"/>
              <w:right w:val="nil"/>
            </w:tcBorders>
            <w:hideMark/>
          </w:tcPr>
          <w:p w14:paraId="6866D17B"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Clinical psychologists (100)</w:t>
            </w:r>
          </w:p>
        </w:tc>
        <w:tc>
          <w:tcPr>
            <w:tcW w:w="2073" w:type="dxa"/>
            <w:tcBorders>
              <w:top w:val="nil"/>
              <w:left w:val="nil"/>
              <w:bottom w:val="nil"/>
              <w:right w:val="nil"/>
            </w:tcBorders>
          </w:tcPr>
          <w:p w14:paraId="4B7F4A9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1-5 years (39%)</w:t>
            </w:r>
          </w:p>
          <w:p w14:paraId="6D5CE302"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6-10 years (29%)</w:t>
            </w:r>
          </w:p>
          <w:p w14:paraId="1F7DBC5D"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11-15 years (14%)</w:t>
            </w:r>
          </w:p>
          <w:p w14:paraId="35B00058"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16-20 years (6%)</w:t>
            </w:r>
          </w:p>
          <w:p w14:paraId="3C0A1187"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Over 20 years (12%)</w:t>
            </w:r>
          </w:p>
          <w:p w14:paraId="694F2E8C" w14:textId="77777777" w:rsidR="00D63F5B" w:rsidRPr="0074586F" w:rsidRDefault="00D63F5B" w:rsidP="00500904">
            <w:pPr>
              <w:jc w:val="center"/>
              <w:rPr>
                <w:rFonts w:cstheme="minorHAnsi"/>
                <w:sz w:val="18"/>
                <w:szCs w:val="18"/>
                <w:lang w:val="en-GB"/>
              </w:rPr>
            </w:pPr>
          </w:p>
        </w:tc>
        <w:tc>
          <w:tcPr>
            <w:tcW w:w="1991" w:type="dxa"/>
            <w:tcBorders>
              <w:top w:val="nil"/>
              <w:left w:val="nil"/>
              <w:bottom w:val="nil"/>
              <w:right w:val="nil"/>
            </w:tcBorders>
            <w:hideMark/>
          </w:tcPr>
          <w:p w14:paraId="1DB9AE2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CBI (Kristensen et al., 2005)</w:t>
            </w:r>
          </w:p>
        </w:tc>
        <w:tc>
          <w:tcPr>
            <w:tcW w:w="2138" w:type="dxa"/>
            <w:tcBorders>
              <w:top w:val="nil"/>
              <w:left w:val="nil"/>
              <w:bottom w:val="nil"/>
              <w:right w:val="nil"/>
            </w:tcBorders>
          </w:tcPr>
          <w:p w14:paraId="775A6986"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8% above threshold for burnout on overall score. Average of all three scales above burnout threshold Negative correlation with age.</w:t>
            </w:r>
          </w:p>
        </w:tc>
      </w:tr>
      <w:tr w:rsidR="00D63F5B" w:rsidRPr="0074586F" w14:paraId="727B70F7" w14:textId="77777777" w:rsidTr="0074586F">
        <w:tc>
          <w:tcPr>
            <w:tcW w:w="1552" w:type="dxa"/>
            <w:tcBorders>
              <w:top w:val="nil"/>
              <w:left w:val="nil"/>
              <w:bottom w:val="nil"/>
              <w:right w:val="nil"/>
            </w:tcBorders>
          </w:tcPr>
          <w:p w14:paraId="2CB1F928"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Emery et al. (2009)</w:t>
            </w:r>
          </w:p>
          <w:p w14:paraId="42B03D1C" w14:textId="77777777" w:rsidR="00D63F5B" w:rsidRPr="0074586F" w:rsidRDefault="00D63F5B" w:rsidP="00500904">
            <w:pPr>
              <w:jc w:val="center"/>
              <w:rPr>
                <w:rFonts w:cstheme="minorHAnsi"/>
                <w:i/>
                <w:sz w:val="18"/>
                <w:szCs w:val="18"/>
                <w:lang w:val="en-GB"/>
              </w:rPr>
            </w:pPr>
          </w:p>
          <w:p w14:paraId="7E25433E" w14:textId="77777777" w:rsidR="00D63F5B" w:rsidRPr="0074586F" w:rsidRDefault="00D63F5B" w:rsidP="00500904">
            <w:pPr>
              <w:jc w:val="center"/>
              <w:rPr>
                <w:rFonts w:cstheme="minorHAnsi"/>
                <w:i/>
                <w:sz w:val="18"/>
                <w:szCs w:val="18"/>
                <w:lang w:val="en-GB"/>
              </w:rPr>
            </w:pPr>
            <w:r w:rsidRPr="0074586F">
              <w:rPr>
                <w:rFonts w:cstheme="minorHAnsi"/>
                <w:i/>
                <w:sz w:val="18"/>
                <w:szCs w:val="18"/>
                <w:lang w:val="en-GB"/>
              </w:rPr>
              <w:t>Australia</w:t>
            </w:r>
          </w:p>
          <w:p w14:paraId="7691AD30" w14:textId="77777777" w:rsidR="00D63F5B" w:rsidRPr="0074586F" w:rsidRDefault="00D63F5B" w:rsidP="00500904">
            <w:pPr>
              <w:jc w:val="center"/>
              <w:rPr>
                <w:rFonts w:cstheme="minorHAnsi"/>
                <w:sz w:val="18"/>
                <w:szCs w:val="18"/>
                <w:lang w:val="en-GB"/>
              </w:rPr>
            </w:pPr>
          </w:p>
        </w:tc>
        <w:tc>
          <w:tcPr>
            <w:tcW w:w="1230" w:type="dxa"/>
            <w:tcBorders>
              <w:top w:val="nil"/>
              <w:left w:val="nil"/>
              <w:bottom w:val="nil"/>
              <w:right w:val="nil"/>
            </w:tcBorders>
          </w:tcPr>
          <w:p w14:paraId="4DADFA7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190</w:t>
            </w:r>
          </w:p>
          <w:p w14:paraId="266E2343"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(39)</w:t>
            </w:r>
          </w:p>
          <w:p w14:paraId="6A4B8320" w14:textId="77777777" w:rsidR="00D63F5B" w:rsidRPr="0074586F" w:rsidRDefault="00D63F5B" w:rsidP="00500904">
            <w:pPr>
              <w:jc w:val="center"/>
              <w:rPr>
                <w:rFonts w:cstheme="minorHAnsi"/>
                <w:sz w:val="18"/>
                <w:szCs w:val="18"/>
                <w:lang w:val="en-GB"/>
              </w:rPr>
            </w:pPr>
          </w:p>
          <w:p w14:paraId="6DF24EE5" w14:textId="77777777" w:rsidR="00D63F5B" w:rsidRPr="0074586F" w:rsidRDefault="00D63F5B" w:rsidP="00500904">
            <w:pPr>
              <w:jc w:val="center"/>
              <w:rPr>
                <w:rFonts w:cstheme="minorHAnsi"/>
                <w:sz w:val="18"/>
                <w:szCs w:val="18"/>
                <w:lang w:val="en-GB"/>
              </w:rPr>
            </w:pPr>
          </w:p>
          <w:p w14:paraId="03C99318" w14:textId="77777777" w:rsidR="00D63F5B" w:rsidRPr="0074586F" w:rsidRDefault="00D63F5B" w:rsidP="00500904">
            <w:pPr>
              <w:jc w:val="center"/>
              <w:rPr>
                <w:rFonts w:cstheme="minorHAnsi"/>
                <w:sz w:val="18"/>
                <w:szCs w:val="18"/>
                <w:lang w:val="en-GB"/>
              </w:rPr>
            </w:pPr>
          </w:p>
          <w:p w14:paraId="671CA269" w14:textId="77777777" w:rsidR="00D63F5B" w:rsidRPr="0074586F" w:rsidRDefault="00D63F5B" w:rsidP="00500904">
            <w:pPr>
              <w:jc w:val="center"/>
              <w:rPr>
                <w:rFonts w:cstheme="minorHAnsi"/>
                <w:sz w:val="18"/>
                <w:szCs w:val="18"/>
                <w:lang w:val="en-GB"/>
              </w:rPr>
            </w:pPr>
          </w:p>
        </w:tc>
        <w:tc>
          <w:tcPr>
            <w:tcW w:w="1392" w:type="dxa"/>
            <w:tcBorders>
              <w:top w:val="nil"/>
              <w:left w:val="nil"/>
              <w:bottom w:val="nil"/>
              <w:right w:val="nil"/>
            </w:tcBorders>
            <w:hideMark/>
          </w:tcPr>
          <w:p w14:paraId="508F73CE"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Clinical psychologists (100)</w:t>
            </w:r>
          </w:p>
        </w:tc>
        <w:tc>
          <w:tcPr>
            <w:tcW w:w="2073" w:type="dxa"/>
            <w:tcBorders>
              <w:top w:val="nil"/>
              <w:left w:val="nil"/>
              <w:bottom w:val="nil"/>
              <w:right w:val="nil"/>
            </w:tcBorders>
            <w:hideMark/>
          </w:tcPr>
          <w:p w14:paraId="2A5A81A0"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&lt; 5 years (31.1%)</w:t>
            </w:r>
          </w:p>
          <w:p w14:paraId="6D2B9E28"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5-9 years (24.7%)</w:t>
            </w:r>
          </w:p>
          <w:p w14:paraId="3D5F45DD"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10-14 years (13.7%)</w:t>
            </w:r>
          </w:p>
          <w:p w14:paraId="0B08075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15-19 years (10%)</w:t>
            </w:r>
          </w:p>
          <w:p w14:paraId="4E0DE566"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20+ years (20.5%)</w:t>
            </w:r>
          </w:p>
        </w:tc>
        <w:tc>
          <w:tcPr>
            <w:tcW w:w="1991" w:type="dxa"/>
            <w:tcBorders>
              <w:top w:val="nil"/>
              <w:left w:val="nil"/>
              <w:bottom w:val="nil"/>
              <w:right w:val="nil"/>
            </w:tcBorders>
            <w:hideMark/>
          </w:tcPr>
          <w:p w14:paraId="062669A0"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MBI-HSS (Maslach et al., 1996)</w:t>
            </w:r>
          </w:p>
        </w:tc>
        <w:tc>
          <w:tcPr>
            <w:tcW w:w="2138" w:type="dxa"/>
            <w:tcBorders>
              <w:top w:val="nil"/>
              <w:left w:val="nil"/>
              <w:bottom w:val="nil"/>
              <w:right w:val="nil"/>
            </w:tcBorders>
          </w:tcPr>
          <w:p w14:paraId="0AAEE45D"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Only the PA scale average was above burnout threshold. No association with age.</w:t>
            </w:r>
          </w:p>
        </w:tc>
      </w:tr>
      <w:tr w:rsidR="00D63F5B" w:rsidRPr="0074586F" w14:paraId="2C73E7C3" w14:textId="77777777" w:rsidTr="0074586F">
        <w:tc>
          <w:tcPr>
            <w:tcW w:w="1552" w:type="dxa"/>
            <w:tcBorders>
              <w:top w:val="nil"/>
              <w:left w:val="nil"/>
              <w:bottom w:val="nil"/>
              <w:right w:val="nil"/>
            </w:tcBorders>
            <w:hideMark/>
          </w:tcPr>
          <w:p w14:paraId="04A9A1E1"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Rupert &amp; Kent (2007)</w:t>
            </w:r>
          </w:p>
          <w:p w14:paraId="7AB3E8CF" w14:textId="77777777" w:rsidR="00D63F5B" w:rsidRPr="0074586F" w:rsidRDefault="00D63F5B" w:rsidP="00500904">
            <w:pPr>
              <w:jc w:val="center"/>
              <w:rPr>
                <w:rFonts w:cstheme="minorHAnsi"/>
                <w:i/>
                <w:sz w:val="18"/>
                <w:szCs w:val="18"/>
                <w:lang w:val="en-GB"/>
              </w:rPr>
            </w:pPr>
          </w:p>
          <w:p w14:paraId="62F7569E"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USA</w:t>
            </w:r>
          </w:p>
        </w:tc>
        <w:tc>
          <w:tcPr>
            <w:tcW w:w="1230" w:type="dxa"/>
            <w:tcBorders>
              <w:top w:val="nil"/>
              <w:left w:val="nil"/>
              <w:bottom w:val="nil"/>
              <w:right w:val="nil"/>
            </w:tcBorders>
          </w:tcPr>
          <w:p w14:paraId="45C2CA55"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595</w:t>
            </w:r>
          </w:p>
          <w:p w14:paraId="5CD8FE09"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(49.6)</w:t>
            </w:r>
          </w:p>
          <w:p w14:paraId="0B969356" w14:textId="77777777" w:rsidR="00D63F5B" w:rsidRPr="0074586F" w:rsidRDefault="00D63F5B" w:rsidP="00500904">
            <w:pPr>
              <w:jc w:val="center"/>
              <w:rPr>
                <w:rFonts w:cstheme="minorHAnsi"/>
                <w:sz w:val="18"/>
                <w:szCs w:val="18"/>
                <w:lang w:val="en-GB"/>
              </w:rPr>
            </w:pPr>
          </w:p>
          <w:p w14:paraId="2A9F0B95" w14:textId="77777777" w:rsidR="00D63F5B" w:rsidRPr="0074586F" w:rsidRDefault="00D63F5B" w:rsidP="00500904">
            <w:pPr>
              <w:jc w:val="center"/>
              <w:rPr>
                <w:rFonts w:cstheme="minorHAnsi"/>
                <w:sz w:val="18"/>
                <w:szCs w:val="18"/>
                <w:lang w:val="en-GB"/>
              </w:rPr>
            </w:pPr>
          </w:p>
          <w:p w14:paraId="328C1597" w14:textId="77777777" w:rsidR="00D63F5B" w:rsidRPr="0074586F" w:rsidRDefault="00D63F5B" w:rsidP="00500904">
            <w:pPr>
              <w:jc w:val="center"/>
              <w:rPr>
                <w:rFonts w:cstheme="minorHAnsi"/>
                <w:sz w:val="18"/>
                <w:szCs w:val="18"/>
                <w:lang w:val="en-GB"/>
              </w:rPr>
            </w:pPr>
          </w:p>
          <w:p w14:paraId="4325201E" w14:textId="77777777" w:rsidR="00D63F5B" w:rsidRPr="0074586F" w:rsidRDefault="00D63F5B" w:rsidP="00500904">
            <w:pPr>
              <w:jc w:val="center"/>
              <w:rPr>
                <w:rFonts w:cstheme="minorHAnsi"/>
                <w:sz w:val="18"/>
                <w:szCs w:val="18"/>
                <w:lang w:val="en-GB"/>
              </w:rPr>
            </w:pPr>
          </w:p>
        </w:tc>
        <w:tc>
          <w:tcPr>
            <w:tcW w:w="1392" w:type="dxa"/>
            <w:tcBorders>
              <w:top w:val="nil"/>
              <w:left w:val="nil"/>
              <w:bottom w:val="nil"/>
              <w:right w:val="nil"/>
            </w:tcBorders>
          </w:tcPr>
          <w:p w14:paraId="024DE5B6"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Clinical psychologists (83.2)</w:t>
            </w:r>
          </w:p>
          <w:p w14:paraId="01721D2F" w14:textId="77777777" w:rsidR="00D63F5B" w:rsidRPr="0074586F" w:rsidRDefault="00D63F5B" w:rsidP="00500904">
            <w:pPr>
              <w:jc w:val="center"/>
              <w:rPr>
                <w:rFonts w:cstheme="minorHAnsi"/>
                <w:sz w:val="18"/>
                <w:szCs w:val="18"/>
                <w:lang w:val="en-GB"/>
              </w:rPr>
            </w:pPr>
          </w:p>
          <w:p w14:paraId="11D6520C"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Counselling psychologists</w:t>
            </w:r>
          </w:p>
          <w:p w14:paraId="661642C9"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(16.8)</w:t>
            </w:r>
          </w:p>
          <w:p w14:paraId="7F0CFB14" w14:textId="77777777" w:rsidR="00D63F5B" w:rsidRPr="0074586F" w:rsidRDefault="00D63F5B" w:rsidP="00500904">
            <w:pPr>
              <w:jc w:val="center"/>
              <w:rPr>
                <w:rFonts w:cstheme="minorHAnsi"/>
                <w:sz w:val="18"/>
                <w:szCs w:val="18"/>
                <w:lang w:val="en-GB"/>
              </w:rPr>
            </w:pPr>
          </w:p>
          <w:p w14:paraId="30092D6C" w14:textId="77777777" w:rsidR="00D63F5B" w:rsidRPr="0074586F" w:rsidRDefault="00D63F5B" w:rsidP="00500904">
            <w:pPr>
              <w:jc w:val="center"/>
              <w:rPr>
                <w:rFonts w:cstheme="minorHAnsi"/>
                <w:sz w:val="18"/>
                <w:szCs w:val="18"/>
                <w:lang w:val="en-GB"/>
              </w:rPr>
            </w:pPr>
          </w:p>
        </w:tc>
        <w:tc>
          <w:tcPr>
            <w:tcW w:w="2073" w:type="dxa"/>
            <w:tcBorders>
              <w:top w:val="nil"/>
              <w:left w:val="nil"/>
              <w:bottom w:val="nil"/>
              <w:right w:val="nil"/>
            </w:tcBorders>
          </w:tcPr>
          <w:p w14:paraId="6B204526"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M</w:t>
            </w:r>
            <w:r w:rsidRPr="0074586F">
              <w:rPr>
                <w:rFonts w:cstheme="minorHAnsi"/>
                <w:sz w:val="18"/>
                <w:szCs w:val="18"/>
                <w:lang w:val="en-GB"/>
              </w:rPr>
              <w:t xml:space="preserve"> = 17.91</w:t>
            </w:r>
          </w:p>
          <w:p w14:paraId="5009B67E" w14:textId="77777777" w:rsidR="00D63F5B" w:rsidRPr="0074586F" w:rsidRDefault="00D63F5B" w:rsidP="00500904">
            <w:pPr>
              <w:jc w:val="center"/>
              <w:rPr>
                <w:rFonts w:cstheme="minorHAnsi"/>
                <w:sz w:val="18"/>
                <w:szCs w:val="18"/>
                <w:lang w:val="en-GB"/>
              </w:rPr>
            </w:pPr>
          </w:p>
          <w:p w14:paraId="1FAAEB00"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SD</w:t>
            </w:r>
            <w:r w:rsidRPr="0074586F">
              <w:rPr>
                <w:rFonts w:cstheme="minorHAnsi"/>
                <w:sz w:val="18"/>
                <w:szCs w:val="18"/>
                <w:lang w:val="en-GB"/>
              </w:rPr>
              <w:t xml:space="preserve"> = 8.07</w:t>
            </w:r>
          </w:p>
          <w:p w14:paraId="7B060FB3" w14:textId="77777777" w:rsidR="00D63F5B" w:rsidRPr="0074586F" w:rsidRDefault="00D63F5B" w:rsidP="00500904">
            <w:pPr>
              <w:jc w:val="center"/>
              <w:rPr>
                <w:rFonts w:cstheme="minorHAnsi"/>
                <w:sz w:val="18"/>
                <w:szCs w:val="18"/>
                <w:lang w:val="en-GB"/>
              </w:rPr>
            </w:pPr>
          </w:p>
          <w:p w14:paraId="329548C7" w14:textId="77777777" w:rsidR="00D63F5B" w:rsidRPr="0074586F" w:rsidRDefault="00D63F5B" w:rsidP="00500904">
            <w:pPr>
              <w:jc w:val="center"/>
              <w:rPr>
                <w:rFonts w:cstheme="minorHAnsi"/>
                <w:sz w:val="18"/>
                <w:szCs w:val="18"/>
                <w:lang w:val="en-GB"/>
              </w:rPr>
            </w:pPr>
          </w:p>
        </w:tc>
        <w:tc>
          <w:tcPr>
            <w:tcW w:w="1991" w:type="dxa"/>
            <w:tcBorders>
              <w:top w:val="nil"/>
              <w:left w:val="nil"/>
              <w:bottom w:val="nil"/>
              <w:right w:val="nil"/>
            </w:tcBorders>
          </w:tcPr>
          <w:p w14:paraId="2415D2C9"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 xml:space="preserve">MBI-HSS (Maslach et al., 1996) </w:t>
            </w:r>
          </w:p>
          <w:p w14:paraId="74443059" w14:textId="77777777" w:rsidR="00D63F5B" w:rsidRPr="0074586F" w:rsidRDefault="00D63F5B" w:rsidP="00500904">
            <w:pPr>
              <w:jc w:val="center"/>
              <w:rPr>
                <w:rFonts w:cstheme="minorHAnsi"/>
                <w:sz w:val="18"/>
                <w:szCs w:val="18"/>
                <w:lang w:val="en-GB"/>
              </w:rPr>
            </w:pPr>
          </w:p>
          <w:p w14:paraId="76FFC389" w14:textId="77777777" w:rsidR="00D63F5B" w:rsidRPr="0074586F" w:rsidRDefault="00D63F5B" w:rsidP="00500904">
            <w:pPr>
              <w:jc w:val="center"/>
              <w:rPr>
                <w:rFonts w:cstheme="minorHAnsi"/>
                <w:sz w:val="18"/>
                <w:szCs w:val="18"/>
                <w:lang w:val="en-GB"/>
              </w:rPr>
            </w:pPr>
          </w:p>
        </w:tc>
        <w:tc>
          <w:tcPr>
            <w:tcW w:w="2138" w:type="dxa"/>
            <w:tcBorders>
              <w:top w:val="nil"/>
              <w:left w:val="nil"/>
              <w:bottom w:val="nil"/>
              <w:right w:val="nil"/>
            </w:tcBorders>
          </w:tcPr>
          <w:p w14:paraId="4CFD4CB0"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Overall mean was in average burnout range for EE &amp; DP scales, low for PA scale. Negative correlation with age.</w:t>
            </w:r>
          </w:p>
        </w:tc>
      </w:tr>
      <w:tr w:rsidR="00D63F5B" w:rsidRPr="0074586F" w14:paraId="19943D53" w14:textId="77777777" w:rsidTr="0074586F">
        <w:tc>
          <w:tcPr>
            <w:tcW w:w="1552" w:type="dxa"/>
            <w:tcBorders>
              <w:top w:val="nil"/>
              <w:left w:val="nil"/>
              <w:bottom w:val="nil"/>
              <w:right w:val="nil"/>
            </w:tcBorders>
          </w:tcPr>
          <w:p w14:paraId="758EE5EC"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Rupert &amp; Morgan (2005)</w:t>
            </w:r>
          </w:p>
          <w:p w14:paraId="061796E2" w14:textId="77777777" w:rsidR="00D63F5B" w:rsidRPr="0074586F" w:rsidRDefault="00D63F5B" w:rsidP="00500904">
            <w:pPr>
              <w:jc w:val="center"/>
              <w:rPr>
                <w:rFonts w:cstheme="minorHAnsi"/>
                <w:i/>
                <w:sz w:val="18"/>
                <w:szCs w:val="18"/>
                <w:lang w:val="en-GB"/>
              </w:rPr>
            </w:pPr>
          </w:p>
          <w:p w14:paraId="5204113A" w14:textId="77777777" w:rsidR="00D63F5B" w:rsidRPr="0074586F" w:rsidRDefault="00D63F5B" w:rsidP="00500904">
            <w:pPr>
              <w:jc w:val="center"/>
              <w:rPr>
                <w:rFonts w:cstheme="minorHAnsi"/>
                <w:i/>
                <w:sz w:val="18"/>
                <w:szCs w:val="18"/>
                <w:lang w:val="en-GB"/>
              </w:rPr>
            </w:pPr>
            <w:r w:rsidRPr="0074586F">
              <w:rPr>
                <w:rFonts w:cstheme="minorHAnsi"/>
                <w:i/>
                <w:sz w:val="18"/>
                <w:szCs w:val="18"/>
                <w:lang w:val="en-GB"/>
              </w:rPr>
              <w:t>USA</w:t>
            </w:r>
          </w:p>
          <w:p w14:paraId="0115AF99" w14:textId="77777777" w:rsidR="00D63F5B" w:rsidRPr="0074586F" w:rsidRDefault="00D63F5B" w:rsidP="00500904">
            <w:pPr>
              <w:jc w:val="center"/>
              <w:rPr>
                <w:rFonts w:cstheme="minorHAnsi"/>
                <w:sz w:val="18"/>
                <w:szCs w:val="18"/>
                <w:lang w:val="en-GB"/>
              </w:rPr>
            </w:pPr>
          </w:p>
          <w:p w14:paraId="37FE25AC" w14:textId="77777777" w:rsidR="00D63F5B" w:rsidRPr="0074586F" w:rsidRDefault="00D63F5B" w:rsidP="00500904">
            <w:pPr>
              <w:jc w:val="center"/>
              <w:rPr>
                <w:rFonts w:cstheme="minorHAnsi"/>
                <w:sz w:val="18"/>
                <w:szCs w:val="18"/>
                <w:lang w:val="en-GB"/>
              </w:rPr>
            </w:pPr>
          </w:p>
        </w:tc>
        <w:tc>
          <w:tcPr>
            <w:tcW w:w="1230" w:type="dxa"/>
            <w:tcBorders>
              <w:top w:val="nil"/>
              <w:left w:val="nil"/>
              <w:bottom w:val="nil"/>
              <w:right w:val="nil"/>
            </w:tcBorders>
          </w:tcPr>
          <w:p w14:paraId="2BF80DF4"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571</w:t>
            </w:r>
          </w:p>
          <w:p w14:paraId="663C201B"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(47.6)</w:t>
            </w:r>
          </w:p>
          <w:p w14:paraId="2BA89D2D" w14:textId="77777777" w:rsidR="00D63F5B" w:rsidRPr="0074586F" w:rsidRDefault="00D63F5B" w:rsidP="00500904">
            <w:pPr>
              <w:jc w:val="center"/>
              <w:rPr>
                <w:rFonts w:cstheme="minorHAnsi"/>
                <w:sz w:val="18"/>
                <w:szCs w:val="18"/>
                <w:lang w:val="en-GB"/>
              </w:rPr>
            </w:pPr>
          </w:p>
          <w:p w14:paraId="7EA29A5D" w14:textId="77777777" w:rsidR="00D63F5B" w:rsidRPr="0074586F" w:rsidRDefault="00D63F5B" w:rsidP="00500904">
            <w:pPr>
              <w:jc w:val="center"/>
              <w:rPr>
                <w:rFonts w:cstheme="minorHAnsi"/>
                <w:sz w:val="18"/>
                <w:szCs w:val="18"/>
                <w:lang w:val="en-GB"/>
              </w:rPr>
            </w:pPr>
          </w:p>
          <w:p w14:paraId="3F08EBE1" w14:textId="77777777" w:rsidR="00D63F5B" w:rsidRPr="0074586F" w:rsidRDefault="00D63F5B" w:rsidP="00500904">
            <w:pPr>
              <w:jc w:val="center"/>
              <w:rPr>
                <w:rFonts w:cstheme="minorHAnsi"/>
                <w:sz w:val="18"/>
                <w:szCs w:val="18"/>
                <w:lang w:val="en-GB"/>
              </w:rPr>
            </w:pPr>
          </w:p>
        </w:tc>
        <w:tc>
          <w:tcPr>
            <w:tcW w:w="1392" w:type="dxa"/>
            <w:tcBorders>
              <w:top w:val="nil"/>
              <w:left w:val="nil"/>
              <w:bottom w:val="nil"/>
              <w:right w:val="nil"/>
            </w:tcBorders>
          </w:tcPr>
          <w:p w14:paraId="544DE796"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Clinical psychologists (80)</w:t>
            </w:r>
          </w:p>
          <w:p w14:paraId="4BBA3EF5" w14:textId="77777777" w:rsidR="00D63F5B" w:rsidRPr="0074586F" w:rsidRDefault="00D63F5B" w:rsidP="00500904">
            <w:pPr>
              <w:jc w:val="center"/>
              <w:rPr>
                <w:rFonts w:cstheme="minorHAnsi"/>
                <w:sz w:val="18"/>
                <w:szCs w:val="18"/>
                <w:lang w:val="en-GB"/>
              </w:rPr>
            </w:pPr>
          </w:p>
          <w:p w14:paraId="430E1233"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Counselling psychologists (20)</w:t>
            </w:r>
          </w:p>
        </w:tc>
        <w:tc>
          <w:tcPr>
            <w:tcW w:w="2073" w:type="dxa"/>
            <w:tcBorders>
              <w:top w:val="nil"/>
              <w:left w:val="nil"/>
              <w:bottom w:val="nil"/>
              <w:right w:val="nil"/>
            </w:tcBorders>
          </w:tcPr>
          <w:p w14:paraId="0DDCF62A"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M</w:t>
            </w:r>
            <w:r w:rsidRPr="0074586F">
              <w:rPr>
                <w:rFonts w:cstheme="minorHAnsi"/>
                <w:sz w:val="18"/>
                <w:szCs w:val="18"/>
                <w:lang w:val="en-GB"/>
              </w:rPr>
              <w:t xml:space="preserve"> = 16.93</w:t>
            </w:r>
          </w:p>
          <w:p w14:paraId="70DC4F3E" w14:textId="77777777" w:rsidR="00D63F5B" w:rsidRPr="0074586F" w:rsidRDefault="00D63F5B" w:rsidP="00500904">
            <w:pPr>
              <w:jc w:val="center"/>
              <w:rPr>
                <w:rFonts w:cstheme="minorHAnsi"/>
                <w:sz w:val="18"/>
                <w:szCs w:val="18"/>
                <w:lang w:val="en-GB"/>
              </w:rPr>
            </w:pPr>
          </w:p>
          <w:p w14:paraId="4ED9013F"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 xml:space="preserve">SD </w:t>
            </w:r>
            <w:r w:rsidRPr="0074586F">
              <w:rPr>
                <w:rFonts w:cstheme="minorHAnsi"/>
                <w:sz w:val="18"/>
                <w:szCs w:val="18"/>
                <w:lang w:val="en-GB"/>
              </w:rPr>
              <w:t>= 7.66</w:t>
            </w:r>
          </w:p>
        </w:tc>
        <w:tc>
          <w:tcPr>
            <w:tcW w:w="1991" w:type="dxa"/>
            <w:tcBorders>
              <w:top w:val="nil"/>
              <w:left w:val="nil"/>
              <w:bottom w:val="nil"/>
              <w:right w:val="nil"/>
            </w:tcBorders>
          </w:tcPr>
          <w:p w14:paraId="7611B450"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 xml:space="preserve">MBI-HSS (Maslach et al., 1996) </w:t>
            </w:r>
          </w:p>
          <w:p w14:paraId="203F4685" w14:textId="77777777" w:rsidR="00D63F5B" w:rsidRPr="0074586F" w:rsidRDefault="00D63F5B" w:rsidP="00500904">
            <w:pPr>
              <w:jc w:val="center"/>
              <w:rPr>
                <w:rFonts w:cstheme="minorHAnsi"/>
                <w:sz w:val="18"/>
                <w:szCs w:val="18"/>
                <w:lang w:val="en-GB"/>
              </w:rPr>
            </w:pPr>
          </w:p>
          <w:p w14:paraId="36810DB2" w14:textId="77777777" w:rsidR="00D63F5B" w:rsidRPr="0074586F" w:rsidRDefault="00D63F5B" w:rsidP="00500904">
            <w:pPr>
              <w:jc w:val="center"/>
              <w:rPr>
                <w:rFonts w:cstheme="minorHAnsi"/>
                <w:sz w:val="18"/>
                <w:szCs w:val="18"/>
                <w:lang w:val="en-GB"/>
              </w:rPr>
            </w:pPr>
          </w:p>
        </w:tc>
        <w:tc>
          <w:tcPr>
            <w:tcW w:w="2138" w:type="dxa"/>
            <w:tcBorders>
              <w:top w:val="nil"/>
              <w:left w:val="nil"/>
              <w:bottom w:val="nil"/>
              <w:right w:val="nil"/>
            </w:tcBorders>
          </w:tcPr>
          <w:p w14:paraId="0FF7340B"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Average burnout on DP &amp; EE scales, low on PA scale. Negative correlation with age.</w:t>
            </w:r>
          </w:p>
        </w:tc>
      </w:tr>
      <w:tr w:rsidR="00D63F5B" w:rsidRPr="0074586F" w14:paraId="0911F43A" w14:textId="77777777" w:rsidTr="0074586F">
        <w:tc>
          <w:tcPr>
            <w:tcW w:w="1552" w:type="dxa"/>
            <w:tcBorders>
              <w:top w:val="nil"/>
              <w:left w:val="nil"/>
              <w:bottom w:val="single" w:sz="2" w:space="0" w:color="auto"/>
              <w:right w:val="nil"/>
            </w:tcBorders>
          </w:tcPr>
          <w:p w14:paraId="67015CE3"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Rupert et al. (2009)</w:t>
            </w:r>
          </w:p>
          <w:p w14:paraId="3A555219" w14:textId="77777777" w:rsidR="00D63F5B" w:rsidRPr="0074586F" w:rsidRDefault="00D63F5B" w:rsidP="00500904">
            <w:pPr>
              <w:jc w:val="center"/>
              <w:rPr>
                <w:rFonts w:cstheme="minorHAnsi"/>
                <w:sz w:val="18"/>
                <w:szCs w:val="18"/>
                <w:lang w:val="en-GB"/>
              </w:rPr>
            </w:pPr>
          </w:p>
          <w:p w14:paraId="763B568E" w14:textId="77777777" w:rsidR="00D63F5B" w:rsidRPr="0074586F" w:rsidRDefault="00D63F5B" w:rsidP="00500904">
            <w:pPr>
              <w:jc w:val="center"/>
              <w:rPr>
                <w:rFonts w:cstheme="minorHAnsi"/>
                <w:i/>
                <w:sz w:val="18"/>
                <w:szCs w:val="18"/>
                <w:lang w:val="en-GB"/>
              </w:rPr>
            </w:pPr>
            <w:r w:rsidRPr="0074586F">
              <w:rPr>
                <w:rFonts w:cstheme="minorHAnsi"/>
                <w:i/>
                <w:sz w:val="18"/>
                <w:szCs w:val="18"/>
                <w:lang w:val="en-GB"/>
              </w:rPr>
              <w:t>USA</w:t>
            </w:r>
          </w:p>
        </w:tc>
        <w:tc>
          <w:tcPr>
            <w:tcW w:w="1230" w:type="dxa"/>
            <w:tcBorders>
              <w:top w:val="nil"/>
              <w:left w:val="nil"/>
              <w:bottom w:val="single" w:sz="2" w:space="0" w:color="auto"/>
              <w:right w:val="nil"/>
            </w:tcBorders>
            <w:hideMark/>
          </w:tcPr>
          <w:p w14:paraId="5D747EBE"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487</w:t>
            </w:r>
          </w:p>
          <w:p w14:paraId="592F3449"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(40.58)</w:t>
            </w:r>
          </w:p>
        </w:tc>
        <w:tc>
          <w:tcPr>
            <w:tcW w:w="1392" w:type="dxa"/>
            <w:tcBorders>
              <w:top w:val="nil"/>
              <w:left w:val="nil"/>
              <w:bottom w:val="single" w:sz="2" w:space="0" w:color="auto"/>
              <w:right w:val="nil"/>
            </w:tcBorders>
            <w:hideMark/>
          </w:tcPr>
          <w:p w14:paraId="02F5B8A1"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Licensed psychologists (100)</w:t>
            </w:r>
          </w:p>
        </w:tc>
        <w:tc>
          <w:tcPr>
            <w:tcW w:w="2073" w:type="dxa"/>
            <w:tcBorders>
              <w:top w:val="nil"/>
              <w:left w:val="nil"/>
              <w:bottom w:val="single" w:sz="2" w:space="0" w:color="auto"/>
              <w:right w:val="nil"/>
            </w:tcBorders>
          </w:tcPr>
          <w:p w14:paraId="27B89F61"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M</w:t>
            </w:r>
            <w:r w:rsidRPr="0074586F">
              <w:rPr>
                <w:rFonts w:cstheme="minorHAnsi"/>
                <w:sz w:val="18"/>
                <w:szCs w:val="18"/>
                <w:lang w:val="en-GB"/>
              </w:rPr>
              <w:t xml:space="preserve"> = 19.6</w:t>
            </w:r>
          </w:p>
          <w:p w14:paraId="70C70A21" w14:textId="77777777" w:rsidR="00D63F5B" w:rsidRPr="0074586F" w:rsidRDefault="00D63F5B" w:rsidP="00500904">
            <w:pPr>
              <w:jc w:val="center"/>
              <w:rPr>
                <w:rFonts w:cstheme="minorHAnsi"/>
                <w:sz w:val="18"/>
                <w:szCs w:val="18"/>
                <w:lang w:val="en-GB"/>
              </w:rPr>
            </w:pPr>
          </w:p>
          <w:p w14:paraId="1EDC862E" w14:textId="77777777" w:rsidR="00D63F5B" w:rsidRPr="0074586F" w:rsidRDefault="00D63F5B" w:rsidP="00500904">
            <w:pPr>
              <w:jc w:val="center"/>
              <w:rPr>
                <w:rFonts w:cstheme="minorHAnsi"/>
                <w:sz w:val="18"/>
                <w:szCs w:val="18"/>
                <w:lang w:val="en-GB"/>
              </w:rPr>
            </w:pPr>
            <w:r w:rsidRPr="0074586F">
              <w:rPr>
                <w:rFonts w:cstheme="minorHAnsi"/>
                <w:i/>
                <w:sz w:val="18"/>
                <w:szCs w:val="18"/>
                <w:lang w:val="en-GB"/>
              </w:rPr>
              <w:t xml:space="preserve">SD </w:t>
            </w:r>
            <w:r w:rsidRPr="0074586F">
              <w:rPr>
                <w:rFonts w:cstheme="minorHAnsi"/>
                <w:sz w:val="18"/>
                <w:szCs w:val="18"/>
                <w:lang w:val="en-GB"/>
              </w:rPr>
              <w:t>= 7.8</w:t>
            </w:r>
          </w:p>
          <w:p w14:paraId="0D1465A9" w14:textId="77777777" w:rsidR="00D63F5B" w:rsidRPr="0074586F" w:rsidRDefault="00D63F5B" w:rsidP="00500904">
            <w:pPr>
              <w:jc w:val="center"/>
              <w:rPr>
                <w:rFonts w:cstheme="minorHAnsi"/>
                <w:sz w:val="18"/>
                <w:szCs w:val="18"/>
                <w:lang w:val="en-GB"/>
              </w:rPr>
            </w:pPr>
          </w:p>
        </w:tc>
        <w:tc>
          <w:tcPr>
            <w:tcW w:w="1991" w:type="dxa"/>
            <w:tcBorders>
              <w:top w:val="nil"/>
              <w:left w:val="nil"/>
              <w:bottom w:val="single" w:sz="2" w:space="0" w:color="auto"/>
              <w:right w:val="nil"/>
            </w:tcBorders>
          </w:tcPr>
          <w:p w14:paraId="628CBACA" w14:textId="77777777" w:rsidR="00D63F5B" w:rsidRPr="0074586F" w:rsidRDefault="00D63F5B" w:rsidP="00500904">
            <w:pPr>
              <w:jc w:val="center"/>
              <w:rPr>
                <w:rFonts w:cstheme="minorHAnsi"/>
                <w:iCs/>
                <w:sz w:val="18"/>
                <w:szCs w:val="18"/>
                <w:lang w:val="en-GB"/>
              </w:rPr>
            </w:pPr>
            <w:r w:rsidRPr="0074586F">
              <w:rPr>
                <w:rFonts w:cstheme="minorHAnsi"/>
                <w:sz w:val="18"/>
                <w:szCs w:val="18"/>
                <w:lang w:val="en-GB"/>
              </w:rPr>
              <w:t>MBI-HSS (Maslach et al., 1996)</w:t>
            </w:r>
            <w:r w:rsidRPr="0074586F">
              <w:rPr>
                <w:rFonts w:cstheme="minorHAnsi"/>
                <w:iCs/>
                <w:sz w:val="18"/>
                <w:szCs w:val="18"/>
                <w:lang w:val="en-GB"/>
              </w:rPr>
              <w:t xml:space="preserve"> </w:t>
            </w:r>
          </w:p>
          <w:p w14:paraId="4BE6D2A4" w14:textId="77777777" w:rsidR="00D63F5B" w:rsidRPr="0074586F" w:rsidRDefault="00D63F5B" w:rsidP="00500904">
            <w:pPr>
              <w:jc w:val="center"/>
              <w:rPr>
                <w:rFonts w:cstheme="minorHAnsi"/>
                <w:iCs/>
                <w:sz w:val="18"/>
                <w:szCs w:val="18"/>
                <w:lang w:val="en-GB"/>
              </w:rPr>
            </w:pPr>
          </w:p>
          <w:p w14:paraId="712BAFB2" w14:textId="77777777" w:rsidR="00D63F5B" w:rsidRPr="0074586F" w:rsidRDefault="00D63F5B" w:rsidP="00500904">
            <w:pPr>
              <w:jc w:val="center"/>
              <w:rPr>
                <w:rFonts w:cstheme="minorHAnsi"/>
                <w:sz w:val="18"/>
                <w:szCs w:val="18"/>
                <w:lang w:val="en-GB"/>
              </w:rPr>
            </w:pPr>
          </w:p>
        </w:tc>
        <w:tc>
          <w:tcPr>
            <w:tcW w:w="2138" w:type="dxa"/>
            <w:tcBorders>
              <w:top w:val="nil"/>
              <w:left w:val="nil"/>
              <w:bottom w:val="single" w:sz="2" w:space="0" w:color="auto"/>
              <w:right w:val="nil"/>
            </w:tcBorders>
          </w:tcPr>
          <w:p w14:paraId="340042DD" w14:textId="77777777" w:rsidR="00D63F5B" w:rsidRPr="0074586F" w:rsidRDefault="00D63F5B" w:rsidP="00500904">
            <w:pPr>
              <w:jc w:val="center"/>
              <w:rPr>
                <w:rFonts w:cstheme="minorHAnsi"/>
                <w:sz w:val="18"/>
                <w:szCs w:val="18"/>
                <w:lang w:val="en-GB"/>
              </w:rPr>
            </w:pPr>
            <w:r w:rsidRPr="0074586F">
              <w:rPr>
                <w:rFonts w:cstheme="minorHAnsi"/>
                <w:sz w:val="18"/>
                <w:szCs w:val="18"/>
                <w:lang w:val="en-GB"/>
              </w:rPr>
              <w:t>Average burnout on DP &amp; EE scales, low on PA scale. Negative correlation with age.</w:t>
            </w:r>
          </w:p>
        </w:tc>
      </w:tr>
    </w:tbl>
    <w:p w14:paraId="10D303AE" w14:textId="77777777" w:rsidR="00D63F5B" w:rsidRPr="0074586F" w:rsidRDefault="00D63F5B" w:rsidP="00D63F5B">
      <w:pPr>
        <w:tabs>
          <w:tab w:val="left" w:pos="1834"/>
        </w:tabs>
        <w:rPr>
          <w:b/>
          <w:bCs/>
          <w:sz w:val="28"/>
          <w:szCs w:val="28"/>
        </w:rPr>
      </w:pPr>
      <w:r w:rsidRPr="0074586F">
        <w:rPr>
          <w:b/>
          <w:bCs/>
          <w:sz w:val="28"/>
          <w:szCs w:val="28"/>
        </w:rPr>
        <w:tab/>
      </w:r>
    </w:p>
    <w:p w14:paraId="0A40DCF1" w14:textId="77777777" w:rsidR="002645FC" w:rsidRPr="0074586F" w:rsidRDefault="002645FC" w:rsidP="00D63F5B">
      <w:pPr>
        <w:tabs>
          <w:tab w:val="left" w:pos="1834"/>
        </w:tabs>
        <w:rPr>
          <w:b/>
          <w:bCs/>
          <w:sz w:val="24"/>
          <w:szCs w:val="24"/>
        </w:rPr>
      </w:pPr>
    </w:p>
    <w:p w14:paraId="7568BBE6" w14:textId="77777777" w:rsidR="002645FC" w:rsidRPr="0074586F" w:rsidRDefault="002645FC" w:rsidP="00D63F5B">
      <w:pPr>
        <w:tabs>
          <w:tab w:val="left" w:pos="1834"/>
        </w:tabs>
        <w:rPr>
          <w:b/>
          <w:bCs/>
          <w:sz w:val="24"/>
          <w:szCs w:val="24"/>
        </w:rPr>
      </w:pPr>
    </w:p>
    <w:p w14:paraId="4DFD6927" w14:textId="77777777" w:rsidR="00577591" w:rsidRPr="0074586F" w:rsidRDefault="00577591" w:rsidP="00577591">
      <w:pPr>
        <w:autoSpaceDE w:val="0"/>
        <w:autoSpaceDN w:val="0"/>
        <w:adjustRightInd w:val="0"/>
        <w:spacing w:after="0" w:line="240" w:lineRule="auto"/>
        <w:rPr>
          <w:rFonts w:ascii="Times New Roman" w:hAnsi="Times New Roman" w:cs="Times New Roman"/>
          <w:sz w:val="24"/>
          <w:szCs w:val="24"/>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294"/>
        <w:gridCol w:w="561"/>
        <w:gridCol w:w="608"/>
        <w:gridCol w:w="590"/>
        <w:gridCol w:w="2460"/>
      </w:tblGrid>
      <w:tr w:rsidR="00096E78" w:rsidRPr="0074586F" w14:paraId="761E3DC4" w14:textId="77777777" w:rsidTr="00344E93">
        <w:trPr>
          <w:cantSplit/>
          <w:trHeight w:val="313"/>
        </w:trPr>
        <w:tc>
          <w:tcPr>
            <w:tcW w:w="7513" w:type="dxa"/>
            <w:gridSpan w:val="5"/>
            <w:tcBorders>
              <w:top w:val="nil"/>
              <w:left w:val="nil"/>
              <w:bottom w:val="nil"/>
              <w:right w:val="single" w:sz="8" w:space="0" w:color="E0E0E0"/>
            </w:tcBorders>
            <w:shd w:val="clear" w:color="auto" w:fill="FFFFFF"/>
            <w:vAlign w:val="bottom"/>
          </w:tcPr>
          <w:p w14:paraId="0DB7EE17" w14:textId="77777777" w:rsidR="00096E78" w:rsidRPr="00096E78" w:rsidRDefault="00096E78" w:rsidP="00096E78">
            <w:pPr>
              <w:autoSpaceDE w:val="0"/>
              <w:autoSpaceDN w:val="0"/>
              <w:adjustRightInd w:val="0"/>
              <w:spacing w:after="0" w:line="320" w:lineRule="atLeast"/>
              <w:ind w:left="60" w:right="60"/>
              <w:rPr>
                <w:rFonts w:cstheme="minorHAnsi"/>
                <w:bCs/>
                <w:szCs w:val="18"/>
              </w:rPr>
            </w:pPr>
            <w:r w:rsidRPr="00096E78">
              <w:rPr>
                <w:rFonts w:cstheme="minorHAnsi"/>
                <w:szCs w:val="18"/>
              </w:rPr>
              <w:t xml:space="preserve">Table 2 </w:t>
            </w:r>
            <w:r w:rsidRPr="00096E78">
              <w:rPr>
                <w:rFonts w:cstheme="minorHAnsi"/>
                <w:bCs/>
                <w:szCs w:val="18"/>
              </w:rPr>
              <w:t>Demographic data by gender</w:t>
            </w:r>
          </w:p>
          <w:p w14:paraId="64359190" w14:textId="77777777" w:rsidR="00096E78" w:rsidRPr="00096E78" w:rsidRDefault="00096E78" w:rsidP="00096E78">
            <w:pPr>
              <w:autoSpaceDE w:val="0"/>
              <w:autoSpaceDN w:val="0"/>
              <w:adjustRightInd w:val="0"/>
              <w:spacing w:after="0" w:line="320" w:lineRule="atLeast"/>
              <w:ind w:left="60" w:right="60"/>
              <w:rPr>
                <w:rFonts w:cstheme="minorHAnsi"/>
                <w:sz w:val="18"/>
                <w:szCs w:val="18"/>
              </w:rPr>
            </w:pPr>
          </w:p>
        </w:tc>
      </w:tr>
      <w:tr w:rsidR="006C70FA" w:rsidRPr="0074586F" w14:paraId="4279E27A" w14:textId="77777777" w:rsidTr="00A70161">
        <w:trPr>
          <w:cantSplit/>
          <w:trHeight w:val="313"/>
        </w:trPr>
        <w:tc>
          <w:tcPr>
            <w:tcW w:w="3544" w:type="dxa"/>
            <w:tcBorders>
              <w:top w:val="nil"/>
              <w:left w:val="nil"/>
              <w:bottom w:val="nil"/>
              <w:right w:val="nil"/>
            </w:tcBorders>
            <w:shd w:val="clear" w:color="auto" w:fill="FFFFFF"/>
            <w:vAlign w:val="bottom"/>
          </w:tcPr>
          <w:p w14:paraId="01347D18" w14:textId="77777777" w:rsidR="001A320F" w:rsidRPr="00096E78" w:rsidRDefault="001A320F" w:rsidP="00577591">
            <w:pPr>
              <w:autoSpaceDE w:val="0"/>
              <w:autoSpaceDN w:val="0"/>
              <w:adjustRightInd w:val="0"/>
              <w:spacing w:after="0" w:line="320" w:lineRule="atLeast"/>
              <w:ind w:left="60" w:right="60"/>
              <w:jc w:val="center"/>
              <w:rPr>
                <w:rFonts w:cstheme="minorHAnsi"/>
                <w:color w:val="264A60"/>
                <w:sz w:val="18"/>
                <w:szCs w:val="18"/>
              </w:rPr>
            </w:pPr>
          </w:p>
        </w:tc>
        <w:tc>
          <w:tcPr>
            <w:tcW w:w="704" w:type="dxa"/>
            <w:gridSpan w:val="2"/>
            <w:tcBorders>
              <w:top w:val="nil"/>
              <w:left w:val="nil"/>
              <w:bottom w:val="nil"/>
              <w:right w:val="nil"/>
            </w:tcBorders>
            <w:shd w:val="clear" w:color="auto" w:fill="FFFFFF"/>
            <w:vAlign w:val="bottom"/>
          </w:tcPr>
          <w:p w14:paraId="55AFC2FB" w14:textId="77777777" w:rsidR="001A320F" w:rsidRPr="00096E78" w:rsidRDefault="001A320F" w:rsidP="00577591">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Male</w:t>
            </w:r>
          </w:p>
        </w:tc>
        <w:tc>
          <w:tcPr>
            <w:tcW w:w="3265" w:type="dxa"/>
            <w:gridSpan w:val="2"/>
            <w:tcBorders>
              <w:top w:val="nil"/>
              <w:left w:val="nil"/>
              <w:bottom w:val="nil"/>
              <w:right w:val="nil"/>
            </w:tcBorders>
            <w:shd w:val="clear" w:color="auto" w:fill="FFFFFF"/>
            <w:vAlign w:val="bottom"/>
          </w:tcPr>
          <w:p w14:paraId="52D7F90A" w14:textId="77777777" w:rsidR="001A320F" w:rsidRPr="00096E78" w:rsidRDefault="001A320F" w:rsidP="00577591">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Female</w:t>
            </w:r>
          </w:p>
        </w:tc>
      </w:tr>
      <w:tr w:rsidR="006C70FA" w:rsidRPr="0074586F" w14:paraId="30FBEB4E" w14:textId="77777777" w:rsidTr="00A70161">
        <w:trPr>
          <w:cantSplit/>
          <w:trHeight w:val="276"/>
        </w:trPr>
        <w:tc>
          <w:tcPr>
            <w:tcW w:w="3544" w:type="dxa"/>
            <w:tcBorders>
              <w:top w:val="nil"/>
              <w:left w:val="nil"/>
              <w:bottom w:val="single" w:sz="8" w:space="0" w:color="152935"/>
              <w:right w:val="nil"/>
            </w:tcBorders>
            <w:shd w:val="clear" w:color="auto" w:fill="FFFFFF"/>
            <w:vAlign w:val="bottom"/>
          </w:tcPr>
          <w:p w14:paraId="58F24719" w14:textId="77777777" w:rsidR="001A320F" w:rsidRPr="00096E78" w:rsidRDefault="001A320F" w:rsidP="00577591">
            <w:pPr>
              <w:autoSpaceDE w:val="0"/>
              <w:autoSpaceDN w:val="0"/>
              <w:adjustRightInd w:val="0"/>
              <w:spacing w:after="0" w:line="320" w:lineRule="atLeast"/>
              <w:ind w:left="60" w:right="60"/>
              <w:jc w:val="center"/>
              <w:rPr>
                <w:rFonts w:cstheme="minorHAnsi"/>
                <w:color w:val="264A60"/>
                <w:sz w:val="18"/>
                <w:szCs w:val="18"/>
              </w:rPr>
            </w:pPr>
          </w:p>
        </w:tc>
        <w:tc>
          <w:tcPr>
            <w:tcW w:w="92" w:type="dxa"/>
            <w:tcBorders>
              <w:top w:val="nil"/>
              <w:left w:val="nil"/>
              <w:bottom w:val="nil"/>
              <w:right w:val="nil"/>
            </w:tcBorders>
            <w:shd w:val="clear" w:color="auto" w:fill="FFFFFF"/>
            <w:vAlign w:val="bottom"/>
          </w:tcPr>
          <w:p w14:paraId="619E6FAF"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Count</w:t>
            </w:r>
          </w:p>
        </w:tc>
        <w:tc>
          <w:tcPr>
            <w:tcW w:w="612" w:type="dxa"/>
            <w:tcBorders>
              <w:top w:val="nil"/>
              <w:left w:val="nil"/>
              <w:bottom w:val="nil"/>
              <w:right w:val="nil"/>
            </w:tcBorders>
            <w:shd w:val="clear" w:color="auto" w:fill="FFFFFF"/>
            <w:vAlign w:val="bottom"/>
          </w:tcPr>
          <w:p w14:paraId="162F721B"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w:t>
            </w:r>
          </w:p>
        </w:tc>
        <w:tc>
          <w:tcPr>
            <w:tcW w:w="593" w:type="dxa"/>
            <w:tcBorders>
              <w:top w:val="nil"/>
              <w:left w:val="nil"/>
              <w:bottom w:val="nil"/>
              <w:right w:val="nil"/>
            </w:tcBorders>
            <w:shd w:val="clear" w:color="auto" w:fill="FFFFFF"/>
            <w:vAlign w:val="bottom"/>
          </w:tcPr>
          <w:p w14:paraId="35392E01"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Count</w:t>
            </w:r>
          </w:p>
        </w:tc>
        <w:tc>
          <w:tcPr>
            <w:tcW w:w="2672" w:type="dxa"/>
            <w:tcBorders>
              <w:top w:val="nil"/>
              <w:left w:val="nil"/>
              <w:bottom w:val="nil"/>
              <w:right w:val="nil"/>
            </w:tcBorders>
            <w:shd w:val="clear" w:color="auto" w:fill="FFFFFF"/>
            <w:vAlign w:val="bottom"/>
          </w:tcPr>
          <w:p w14:paraId="6DA6BF0B"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 xml:space="preserve"> %</w:t>
            </w:r>
          </w:p>
        </w:tc>
      </w:tr>
      <w:tr w:rsidR="00344E93" w:rsidRPr="0074586F" w14:paraId="5AD0628A" w14:textId="77777777" w:rsidTr="00344E93">
        <w:trPr>
          <w:cantSplit/>
        </w:trPr>
        <w:tc>
          <w:tcPr>
            <w:tcW w:w="7513" w:type="dxa"/>
            <w:gridSpan w:val="5"/>
            <w:tcBorders>
              <w:top w:val="single" w:sz="8" w:space="0" w:color="152935"/>
              <w:left w:val="nil"/>
              <w:bottom w:val="nil"/>
              <w:right w:val="single" w:sz="8" w:space="0" w:color="E0E0E0"/>
            </w:tcBorders>
            <w:shd w:val="clear" w:color="auto" w:fill="FFFFFF" w:themeFill="background1"/>
          </w:tcPr>
          <w:p w14:paraId="4B7ECECD" w14:textId="77777777" w:rsidR="008772D0" w:rsidRPr="00096E78" w:rsidRDefault="008772D0"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Age</w:t>
            </w:r>
            <w:r w:rsidR="00B734D4" w:rsidRPr="00096E78">
              <w:rPr>
                <w:rFonts w:cstheme="minorHAnsi"/>
                <w:sz w:val="18"/>
                <w:szCs w:val="18"/>
              </w:rPr>
              <w:t xml:space="preserve"> by gender**</w:t>
            </w:r>
          </w:p>
        </w:tc>
      </w:tr>
      <w:tr w:rsidR="006C70FA" w:rsidRPr="0074586F" w14:paraId="4B406C2A" w14:textId="77777777" w:rsidTr="00A70161">
        <w:trPr>
          <w:cantSplit/>
        </w:trPr>
        <w:tc>
          <w:tcPr>
            <w:tcW w:w="3544" w:type="dxa"/>
            <w:tcBorders>
              <w:top w:val="nil"/>
              <w:left w:val="nil"/>
              <w:bottom w:val="nil"/>
              <w:right w:val="nil"/>
            </w:tcBorders>
            <w:shd w:val="clear" w:color="auto" w:fill="FFFFFF" w:themeFill="background1"/>
          </w:tcPr>
          <w:p w14:paraId="076140B2"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18 - 24</w:t>
            </w:r>
          </w:p>
        </w:tc>
        <w:tc>
          <w:tcPr>
            <w:tcW w:w="92" w:type="dxa"/>
            <w:tcBorders>
              <w:top w:val="nil"/>
              <w:left w:val="nil"/>
              <w:bottom w:val="nil"/>
              <w:right w:val="nil"/>
            </w:tcBorders>
            <w:shd w:val="clear" w:color="auto" w:fill="FFFFFF" w:themeFill="background1"/>
          </w:tcPr>
          <w:p w14:paraId="38FBAA1B"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w:t>
            </w:r>
          </w:p>
        </w:tc>
        <w:tc>
          <w:tcPr>
            <w:tcW w:w="612" w:type="dxa"/>
            <w:tcBorders>
              <w:top w:val="nil"/>
              <w:left w:val="nil"/>
              <w:bottom w:val="nil"/>
              <w:right w:val="nil"/>
            </w:tcBorders>
            <w:shd w:val="clear" w:color="auto" w:fill="FFFFFF" w:themeFill="background1"/>
          </w:tcPr>
          <w:p w14:paraId="29B9A58D"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0.6%</w:t>
            </w:r>
          </w:p>
        </w:tc>
        <w:tc>
          <w:tcPr>
            <w:tcW w:w="593" w:type="dxa"/>
            <w:tcBorders>
              <w:top w:val="nil"/>
              <w:left w:val="nil"/>
              <w:bottom w:val="nil"/>
              <w:right w:val="nil"/>
            </w:tcBorders>
            <w:shd w:val="clear" w:color="auto" w:fill="FFFFFF" w:themeFill="background1"/>
          </w:tcPr>
          <w:p w14:paraId="5210E099"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27</w:t>
            </w:r>
          </w:p>
        </w:tc>
        <w:tc>
          <w:tcPr>
            <w:tcW w:w="2672" w:type="dxa"/>
            <w:tcBorders>
              <w:top w:val="nil"/>
              <w:left w:val="nil"/>
              <w:bottom w:val="nil"/>
              <w:right w:val="nil"/>
            </w:tcBorders>
            <w:shd w:val="clear" w:color="auto" w:fill="FFFFFF" w:themeFill="background1"/>
          </w:tcPr>
          <w:p w14:paraId="6C852745"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2.0%</w:t>
            </w:r>
          </w:p>
        </w:tc>
      </w:tr>
      <w:tr w:rsidR="006C70FA" w:rsidRPr="0074586F" w14:paraId="5FADC550" w14:textId="77777777" w:rsidTr="00A70161">
        <w:trPr>
          <w:cantSplit/>
        </w:trPr>
        <w:tc>
          <w:tcPr>
            <w:tcW w:w="3544" w:type="dxa"/>
            <w:tcBorders>
              <w:top w:val="nil"/>
              <w:left w:val="nil"/>
              <w:bottom w:val="nil"/>
              <w:right w:val="nil"/>
            </w:tcBorders>
            <w:shd w:val="clear" w:color="auto" w:fill="FFFFFF" w:themeFill="background1"/>
          </w:tcPr>
          <w:p w14:paraId="018268E5"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25 - 34</w:t>
            </w:r>
          </w:p>
        </w:tc>
        <w:tc>
          <w:tcPr>
            <w:tcW w:w="92" w:type="dxa"/>
            <w:tcBorders>
              <w:top w:val="nil"/>
              <w:left w:val="nil"/>
              <w:bottom w:val="nil"/>
              <w:right w:val="nil"/>
            </w:tcBorders>
            <w:shd w:val="clear" w:color="auto" w:fill="FFFFFF" w:themeFill="background1"/>
          </w:tcPr>
          <w:p w14:paraId="02FEC04F"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58</w:t>
            </w:r>
          </w:p>
        </w:tc>
        <w:tc>
          <w:tcPr>
            <w:tcW w:w="612" w:type="dxa"/>
            <w:tcBorders>
              <w:top w:val="nil"/>
              <w:left w:val="nil"/>
              <w:bottom w:val="nil"/>
              <w:right w:val="nil"/>
            </w:tcBorders>
            <w:shd w:val="clear" w:color="auto" w:fill="FFFFFF" w:themeFill="background1"/>
          </w:tcPr>
          <w:p w14:paraId="02244323"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18.1%</w:t>
            </w:r>
          </w:p>
        </w:tc>
        <w:tc>
          <w:tcPr>
            <w:tcW w:w="593" w:type="dxa"/>
            <w:tcBorders>
              <w:top w:val="nil"/>
              <w:left w:val="nil"/>
              <w:bottom w:val="nil"/>
              <w:right w:val="nil"/>
            </w:tcBorders>
            <w:shd w:val="clear" w:color="auto" w:fill="FFFFFF" w:themeFill="background1"/>
          </w:tcPr>
          <w:p w14:paraId="443049AD"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401</w:t>
            </w:r>
          </w:p>
        </w:tc>
        <w:tc>
          <w:tcPr>
            <w:tcW w:w="2672" w:type="dxa"/>
            <w:tcBorders>
              <w:top w:val="nil"/>
              <w:left w:val="nil"/>
              <w:bottom w:val="nil"/>
              <w:right w:val="nil"/>
            </w:tcBorders>
            <w:shd w:val="clear" w:color="auto" w:fill="FFFFFF" w:themeFill="background1"/>
          </w:tcPr>
          <w:p w14:paraId="0B8746A4"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30.1%</w:t>
            </w:r>
          </w:p>
        </w:tc>
      </w:tr>
      <w:tr w:rsidR="006C70FA" w:rsidRPr="0074586F" w14:paraId="33C1F822" w14:textId="77777777" w:rsidTr="00A70161">
        <w:trPr>
          <w:cantSplit/>
        </w:trPr>
        <w:tc>
          <w:tcPr>
            <w:tcW w:w="3544" w:type="dxa"/>
            <w:tcBorders>
              <w:top w:val="nil"/>
              <w:left w:val="nil"/>
              <w:bottom w:val="nil"/>
              <w:right w:val="nil"/>
            </w:tcBorders>
            <w:shd w:val="clear" w:color="auto" w:fill="FFFFFF" w:themeFill="background1"/>
          </w:tcPr>
          <w:p w14:paraId="28776FB2"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35 - 44</w:t>
            </w:r>
          </w:p>
        </w:tc>
        <w:tc>
          <w:tcPr>
            <w:tcW w:w="92" w:type="dxa"/>
            <w:tcBorders>
              <w:top w:val="nil"/>
              <w:left w:val="nil"/>
              <w:bottom w:val="nil"/>
              <w:right w:val="nil"/>
            </w:tcBorders>
            <w:shd w:val="clear" w:color="auto" w:fill="FFFFFF" w:themeFill="background1"/>
          </w:tcPr>
          <w:p w14:paraId="0904CD25"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93</w:t>
            </w:r>
          </w:p>
        </w:tc>
        <w:tc>
          <w:tcPr>
            <w:tcW w:w="612" w:type="dxa"/>
            <w:tcBorders>
              <w:top w:val="nil"/>
              <w:left w:val="nil"/>
              <w:bottom w:val="nil"/>
              <w:right w:val="nil"/>
            </w:tcBorders>
            <w:shd w:val="clear" w:color="auto" w:fill="FFFFFF" w:themeFill="background1"/>
          </w:tcPr>
          <w:p w14:paraId="183EB0E0"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29.1%</w:t>
            </w:r>
          </w:p>
        </w:tc>
        <w:tc>
          <w:tcPr>
            <w:tcW w:w="593" w:type="dxa"/>
            <w:tcBorders>
              <w:top w:val="nil"/>
              <w:left w:val="nil"/>
              <w:bottom w:val="nil"/>
              <w:right w:val="nil"/>
            </w:tcBorders>
            <w:shd w:val="clear" w:color="auto" w:fill="FFFFFF" w:themeFill="background1"/>
          </w:tcPr>
          <w:p w14:paraId="38145033"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377</w:t>
            </w:r>
          </w:p>
        </w:tc>
        <w:tc>
          <w:tcPr>
            <w:tcW w:w="2672" w:type="dxa"/>
            <w:tcBorders>
              <w:top w:val="nil"/>
              <w:left w:val="nil"/>
              <w:bottom w:val="nil"/>
              <w:right w:val="nil"/>
            </w:tcBorders>
            <w:shd w:val="clear" w:color="auto" w:fill="FFFFFF" w:themeFill="background1"/>
          </w:tcPr>
          <w:p w14:paraId="7E5591A9"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28.3%</w:t>
            </w:r>
          </w:p>
        </w:tc>
      </w:tr>
      <w:tr w:rsidR="006C70FA" w:rsidRPr="0074586F" w14:paraId="40AB654F" w14:textId="77777777" w:rsidTr="00A70161">
        <w:trPr>
          <w:cantSplit/>
        </w:trPr>
        <w:tc>
          <w:tcPr>
            <w:tcW w:w="3544" w:type="dxa"/>
            <w:tcBorders>
              <w:top w:val="nil"/>
              <w:left w:val="nil"/>
              <w:bottom w:val="nil"/>
              <w:right w:val="nil"/>
            </w:tcBorders>
            <w:shd w:val="clear" w:color="auto" w:fill="FFFFFF" w:themeFill="background1"/>
          </w:tcPr>
          <w:p w14:paraId="3358EE05"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45 - 54</w:t>
            </w:r>
          </w:p>
        </w:tc>
        <w:tc>
          <w:tcPr>
            <w:tcW w:w="92" w:type="dxa"/>
            <w:tcBorders>
              <w:top w:val="nil"/>
              <w:left w:val="nil"/>
              <w:bottom w:val="nil"/>
              <w:right w:val="nil"/>
            </w:tcBorders>
            <w:shd w:val="clear" w:color="auto" w:fill="FFFFFF" w:themeFill="background1"/>
          </w:tcPr>
          <w:p w14:paraId="75AFFC19"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100</w:t>
            </w:r>
          </w:p>
        </w:tc>
        <w:tc>
          <w:tcPr>
            <w:tcW w:w="612" w:type="dxa"/>
            <w:tcBorders>
              <w:top w:val="nil"/>
              <w:left w:val="nil"/>
              <w:bottom w:val="nil"/>
              <w:right w:val="nil"/>
            </w:tcBorders>
            <w:shd w:val="clear" w:color="auto" w:fill="FFFFFF" w:themeFill="background1"/>
          </w:tcPr>
          <w:p w14:paraId="7B673374"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31.3%</w:t>
            </w:r>
          </w:p>
        </w:tc>
        <w:tc>
          <w:tcPr>
            <w:tcW w:w="593" w:type="dxa"/>
            <w:tcBorders>
              <w:top w:val="nil"/>
              <w:left w:val="nil"/>
              <w:bottom w:val="nil"/>
              <w:right w:val="nil"/>
            </w:tcBorders>
            <w:shd w:val="clear" w:color="auto" w:fill="FFFFFF" w:themeFill="background1"/>
          </w:tcPr>
          <w:p w14:paraId="412DEA64"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354</w:t>
            </w:r>
          </w:p>
        </w:tc>
        <w:tc>
          <w:tcPr>
            <w:tcW w:w="2672" w:type="dxa"/>
            <w:tcBorders>
              <w:top w:val="nil"/>
              <w:left w:val="nil"/>
              <w:bottom w:val="nil"/>
              <w:right w:val="nil"/>
            </w:tcBorders>
            <w:shd w:val="clear" w:color="auto" w:fill="FFFFFF" w:themeFill="background1"/>
          </w:tcPr>
          <w:p w14:paraId="1985E4E8"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26.5%</w:t>
            </w:r>
          </w:p>
        </w:tc>
      </w:tr>
      <w:tr w:rsidR="006C70FA" w:rsidRPr="0074586F" w14:paraId="108902DD" w14:textId="77777777" w:rsidTr="00A70161">
        <w:trPr>
          <w:cantSplit/>
        </w:trPr>
        <w:tc>
          <w:tcPr>
            <w:tcW w:w="3544" w:type="dxa"/>
            <w:tcBorders>
              <w:top w:val="nil"/>
              <w:left w:val="nil"/>
              <w:bottom w:val="nil"/>
              <w:right w:val="nil"/>
            </w:tcBorders>
            <w:shd w:val="clear" w:color="auto" w:fill="FFFFFF" w:themeFill="background1"/>
          </w:tcPr>
          <w:p w14:paraId="0A5A570D"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55 - 64</w:t>
            </w:r>
          </w:p>
        </w:tc>
        <w:tc>
          <w:tcPr>
            <w:tcW w:w="92" w:type="dxa"/>
            <w:tcBorders>
              <w:top w:val="nil"/>
              <w:left w:val="nil"/>
              <w:bottom w:val="nil"/>
              <w:right w:val="nil"/>
            </w:tcBorders>
            <w:shd w:val="clear" w:color="auto" w:fill="FFFFFF" w:themeFill="background1"/>
          </w:tcPr>
          <w:p w14:paraId="46CA4EE9"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55</w:t>
            </w:r>
          </w:p>
        </w:tc>
        <w:tc>
          <w:tcPr>
            <w:tcW w:w="612" w:type="dxa"/>
            <w:tcBorders>
              <w:top w:val="nil"/>
              <w:left w:val="nil"/>
              <w:bottom w:val="nil"/>
              <w:right w:val="nil"/>
            </w:tcBorders>
            <w:shd w:val="clear" w:color="auto" w:fill="FFFFFF" w:themeFill="background1"/>
          </w:tcPr>
          <w:p w14:paraId="5A421B88"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17.2%</w:t>
            </w:r>
          </w:p>
        </w:tc>
        <w:tc>
          <w:tcPr>
            <w:tcW w:w="593" w:type="dxa"/>
            <w:tcBorders>
              <w:top w:val="nil"/>
              <w:left w:val="nil"/>
              <w:bottom w:val="nil"/>
              <w:right w:val="nil"/>
            </w:tcBorders>
            <w:shd w:val="clear" w:color="auto" w:fill="FFFFFF" w:themeFill="background1"/>
          </w:tcPr>
          <w:p w14:paraId="352716E9"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145</w:t>
            </w:r>
          </w:p>
        </w:tc>
        <w:tc>
          <w:tcPr>
            <w:tcW w:w="2672" w:type="dxa"/>
            <w:tcBorders>
              <w:top w:val="nil"/>
              <w:left w:val="nil"/>
              <w:bottom w:val="nil"/>
              <w:right w:val="nil"/>
            </w:tcBorders>
            <w:shd w:val="clear" w:color="auto" w:fill="FFFFFF" w:themeFill="background1"/>
          </w:tcPr>
          <w:p w14:paraId="37A6AEB4"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10.9%</w:t>
            </w:r>
          </w:p>
        </w:tc>
      </w:tr>
      <w:tr w:rsidR="006C70FA" w:rsidRPr="0074586F" w14:paraId="127DD19F" w14:textId="77777777" w:rsidTr="00A70161">
        <w:trPr>
          <w:cantSplit/>
        </w:trPr>
        <w:tc>
          <w:tcPr>
            <w:tcW w:w="3544" w:type="dxa"/>
            <w:tcBorders>
              <w:top w:val="nil"/>
              <w:left w:val="nil"/>
              <w:bottom w:val="nil"/>
              <w:right w:val="nil"/>
            </w:tcBorders>
            <w:shd w:val="clear" w:color="auto" w:fill="FFFFFF" w:themeFill="background1"/>
          </w:tcPr>
          <w:p w14:paraId="733F9918"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65 - 74</w:t>
            </w:r>
          </w:p>
        </w:tc>
        <w:tc>
          <w:tcPr>
            <w:tcW w:w="92" w:type="dxa"/>
            <w:tcBorders>
              <w:top w:val="nil"/>
              <w:left w:val="nil"/>
              <w:bottom w:val="nil"/>
              <w:right w:val="nil"/>
            </w:tcBorders>
            <w:shd w:val="clear" w:color="auto" w:fill="FFFFFF" w:themeFill="background1"/>
          </w:tcPr>
          <w:p w14:paraId="69E1327D"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w:t>
            </w:r>
          </w:p>
        </w:tc>
        <w:tc>
          <w:tcPr>
            <w:tcW w:w="612" w:type="dxa"/>
            <w:tcBorders>
              <w:top w:val="nil"/>
              <w:left w:val="nil"/>
              <w:bottom w:val="nil"/>
              <w:right w:val="nil"/>
            </w:tcBorders>
            <w:shd w:val="clear" w:color="auto" w:fill="FFFFFF" w:themeFill="background1"/>
          </w:tcPr>
          <w:p w14:paraId="7F5AE084"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3.1%</w:t>
            </w:r>
          </w:p>
        </w:tc>
        <w:tc>
          <w:tcPr>
            <w:tcW w:w="593" w:type="dxa"/>
            <w:tcBorders>
              <w:top w:val="nil"/>
              <w:left w:val="nil"/>
              <w:bottom w:val="nil"/>
              <w:right w:val="nil"/>
            </w:tcBorders>
            <w:shd w:val="clear" w:color="auto" w:fill="FFFFFF" w:themeFill="background1"/>
          </w:tcPr>
          <w:p w14:paraId="5C641280"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19</w:t>
            </w:r>
          </w:p>
        </w:tc>
        <w:tc>
          <w:tcPr>
            <w:tcW w:w="2672" w:type="dxa"/>
            <w:tcBorders>
              <w:top w:val="nil"/>
              <w:left w:val="nil"/>
              <w:bottom w:val="nil"/>
              <w:right w:val="nil"/>
            </w:tcBorders>
            <w:shd w:val="clear" w:color="auto" w:fill="FFFFFF" w:themeFill="background1"/>
          </w:tcPr>
          <w:p w14:paraId="06269DBB"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1.4%</w:t>
            </w:r>
          </w:p>
        </w:tc>
      </w:tr>
      <w:tr w:rsidR="006C70FA" w:rsidRPr="0074586F" w14:paraId="6E11B3ED" w14:textId="77777777" w:rsidTr="00A70161">
        <w:trPr>
          <w:cantSplit/>
        </w:trPr>
        <w:tc>
          <w:tcPr>
            <w:tcW w:w="3544" w:type="dxa"/>
            <w:tcBorders>
              <w:top w:val="nil"/>
              <w:left w:val="nil"/>
              <w:bottom w:val="nil"/>
              <w:right w:val="nil"/>
            </w:tcBorders>
            <w:shd w:val="clear" w:color="auto" w:fill="FFFFFF" w:themeFill="background1"/>
          </w:tcPr>
          <w:p w14:paraId="7FDF8D8F"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75 or older</w:t>
            </w:r>
          </w:p>
        </w:tc>
        <w:tc>
          <w:tcPr>
            <w:tcW w:w="92" w:type="dxa"/>
            <w:tcBorders>
              <w:top w:val="nil"/>
              <w:left w:val="nil"/>
              <w:bottom w:val="nil"/>
              <w:right w:val="nil"/>
            </w:tcBorders>
            <w:shd w:val="clear" w:color="auto" w:fill="FFFFFF" w:themeFill="background1"/>
          </w:tcPr>
          <w:p w14:paraId="3E46AE1F"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w:t>
            </w:r>
          </w:p>
        </w:tc>
        <w:tc>
          <w:tcPr>
            <w:tcW w:w="612" w:type="dxa"/>
            <w:tcBorders>
              <w:top w:val="nil"/>
              <w:left w:val="nil"/>
              <w:bottom w:val="nil"/>
              <w:right w:val="nil"/>
            </w:tcBorders>
            <w:shd w:val="clear" w:color="auto" w:fill="FFFFFF" w:themeFill="background1"/>
          </w:tcPr>
          <w:p w14:paraId="3892A8D0"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0.0%</w:t>
            </w:r>
          </w:p>
        </w:tc>
        <w:tc>
          <w:tcPr>
            <w:tcW w:w="593" w:type="dxa"/>
            <w:tcBorders>
              <w:top w:val="nil"/>
              <w:left w:val="nil"/>
              <w:bottom w:val="nil"/>
              <w:right w:val="nil"/>
            </w:tcBorders>
            <w:shd w:val="clear" w:color="auto" w:fill="FFFFFF" w:themeFill="background1"/>
          </w:tcPr>
          <w:p w14:paraId="6D630D53"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w:t>
            </w:r>
          </w:p>
        </w:tc>
        <w:tc>
          <w:tcPr>
            <w:tcW w:w="2672" w:type="dxa"/>
            <w:tcBorders>
              <w:top w:val="nil"/>
              <w:left w:val="nil"/>
              <w:bottom w:val="nil"/>
              <w:right w:val="nil"/>
            </w:tcBorders>
            <w:shd w:val="clear" w:color="auto" w:fill="FFFFFF" w:themeFill="background1"/>
          </w:tcPr>
          <w:p w14:paraId="0C031A39"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0.0%</w:t>
            </w:r>
          </w:p>
        </w:tc>
      </w:tr>
      <w:tr w:rsidR="006C70FA" w:rsidRPr="0074586F" w14:paraId="512BF48F" w14:textId="77777777" w:rsidTr="00A70161">
        <w:trPr>
          <w:cantSplit/>
        </w:trPr>
        <w:tc>
          <w:tcPr>
            <w:tcW w:w="3544" w:type="dxa"/>
            <w:tcBorders>
              <w:top w:val="nil"/>
              <w:left w:val="nil"/>
              <w:bottom w:val="nil"/>
              <w:right w:val="nil"/>
            </w:tcBorders>
            <w:shd w:val="clear" w:color="auto" w:fill="FFFFFF" w:themeFill="background1"/>
          </w:tcPr>
          <w:p w14:paraId="38308648" w14:textId="77777777" w:rsidR="001A320F" w:rsidRPr="00344E93" w:rsidRDefault="001A320F" w:rsidP="00577591">
            <w:pPr>
              <w:autoSpaceDE w:val="0"/>
              <w:autoSpaceDN w:val="0"/>
              <w:adjustRightInd w:val="0"/>
              <w:spacing w:after="0" w:line="320" w:lineRule="atLeast"/>
              <w:ind w:left="60" w:right="60"/>
              <w:rPr>
                <w:color w:val="264A60"/>
                <w:sz w:val="18"/>
              </w:rPr>
            </w:pPr>
            <w:r w:rsidRPr="00344E93">
              <w:rPr>
                <w:color w:val="264A60"/>
                <w:sz w:val="18"/>
              </w:rPr>
              <w:t>Undisclosed</w:t>
            </w:r>
          </w:p>
        </w:tc>
        <w:tc>
          <w:tcPr>
            <w:tcW w:w="92" w:type="dxa"/>
            <w:tcBorders>
              <w:top w:val="nil"/>
              <w:left w:val="nil"/>
              <w:bottom w:val="nil"/>
              <w:right w:val="nil"/>
            </w:tcBorders>
            <w:shd w:val="clear" w:color="auto" w:fill="FFFFFF" w:themeFill="background1"/>
          </w:tcPr>
          <w:p w14:paraId="389C434F"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w:t>
            </w:r>
          </w:p>
        </w:tc>
        <w:tc>
          <w:tcPr>
            <w:tcW w:w="612" w:type="dxa"/>
            <w:tcBorders>
              <w:top w:val="nil"/>
              <w:left w:val="nil"/>
              <w:bottom w:val="nil"/>
              <w:right w:val="nil"/>
            </w:tcBorders>
            <w:shd w:val="clear" w:color="auto" w:fill="FFFFFF" w:themeFill="background1"/>
          </w:tcPr>
          <w:p w14:paraId="5DCF0EA8"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0.6%</w:t>
            </w:r>
          </w:p>
        </w:tc>
        <w:tc>
          <w:tcPr>
            <w:tcW w:w="593" w:type="dxa"/>
            <w:tcBorders>
              <w:top w:val="nil"/>
              <w:left w:val="nil"/>
              <w:bottom w:val="nil"/>
              <w:right w:val="nil"/>
            </w:tcBorders>
            <w:shd w:val="clear" w:color="auto" w:fill="FFFFFF" w:themeFill="background1"/>
          </w:tcPr>
          <w:p w14:paraId="6B721E84"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11</w:t>
            </w:r>
          </w:p>
        </w:tc>
        <w:tc>
          <w:tcPr>
            <w:tcW w:w="2672" w:type="dxa"/>
            <w:tcBorders>
              <w:top w:val="nil"/>
              <w:left w:val="nil"/>
              <w:bottom w:val="nil"/>
              <w:right w:val="nil"/>
            </w:tcBorders>
            <w:shd w:val="clear" w:color="auto" w:fill="FFFFFF" w:themeFill="background1"/>
          </w:tcPr>
          <w:p w14:paraId="1409A5D7"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0.8%</w:t>
            </w:r>
          </w:p>
        </w:tc>
      </w:tr>
      <w:tr w:rsidR="00344E93" w:rsidRPr="0074586F" w14:paraId="474E1BE0" w14:textId="77777777" w:rsidTr="00344E93">
        <w:trPr>
          <w:cantSplit/>
        </w:trPr>
        <w:tc>
          <w:tcPr>
            <w:tcW w:w="7513" w:type="dxa"/>
            <w:gridSpan w:val="5"/>
            <w:tcBorders>
              <w:top w:val="nil"/>
              <w:left w:val="nil"/>
              <w:bottom w:val="single" w:sz="4" w:space="0" w:color="auto"/>
              <w:right w:val="single" w:sz="8" w:space="0" w:color="E0E0E0"/>
            </w:tcBorders>
            <w:shd w:val="clear" w:color="auto" w:fill="FFFFFF" w:themeFill="background1"/>
          </w:tcPr>
          <w:p w14:paraId="1E51E86B" w14:textId="77777777" w:rsidR="00B734D4" w:rsidRPr="00096E78" w:rsidRDefault="00B734D4" w:rsidP="00B734D4">
            <w:pPr>
              <w:autoSpaceDE w:val="0"/>
              <w:autoSpaceDN w:val="0"/>
              <w:adjustRightInd w:val="0"/>
              <w:spacing w:after="0" w:line="320" w:lineRule="atLeast"/>
              <w:ind w:left="60" w:right="60"/>
              <w:rPr>
                <w:rFonts w:cstheme="minorHAnsi"/>
                <w:sz w:val="18"/>
                <w:szCs w:val="18"/>
              </w:rPr>
            </w:pPr>
            <w:r w:rsidRPr="00096E78">
              <w:rPr>
                <w:rFonts w:cstheme="minorHAnsi"/>
                <w:sz w:val="18"/>
                <w:szCs w:val="18"/>
              </w:rPr>
              <w:t>**Kruskal-Wallis Test, p&lt;.000</w:t>
            </w:r>
          </w:p>
        </w:tc>
      </w:tr>
      <w:tr w:rsidR="00344E93" w:rsidRPr="0074586F" w14:paraId="29108D6C" w14:textId="77777777" w:rsidTr="00344E93">
        <w:trPr>
          <w:cantSplit/>
        </w:trPr>
        <w:tc>
          <w:tcPr>
            <w:tcW w:w="7513" w:type="dxa"/>
            <w:gridSpan w:val="5"/>
            <w:tcBorders>
              <w:top w:val="single" w:sz="4" w:space="0" w:color="auto"/>
              <w:left w:val="nil"/>
              <w:bottom w:val="single" w:sz="4" w:space="0" w:color="auto"/>
              <w:right w:val="single" w:sz="8" w:space="0" w:color="E0E0E0"/>
            </w:tcBorders>
            <w:shd w:val="clear" w:color="auto" w:fill="FFFFFF" w:themeFill="background1"/>
          </w:tcPr>
          <w:p w14:paraId="1A903366" w14:textId="77777777" w:rsidR="008772D0" w:rsidRPr="00096E78" w:rsidRDefault="008772D0"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Contract type</w:t>
            </w:r>
            <w:r w:rsidR="00B734D4" w:rsidRPr="00096E78">
              <w:rPr>
                <w:rFonts w:cstheme="minorHAnsi"/>
                <w:sz w:val="18"/>
                <w:szCs w:val="18"/>
              </w:rPr>
              <w:t xml:space="preserve"> by gender</w:t>
            </w:r>
          </w:p>
        </w:tc>
      </w:tr>
      <w:tr w:rsidR="006C70FA" w:rsidRPr="0074586F" w14:paraId="373C2F02" w14:textId="77777777" w:rsidTr="00A70161">
        <w:trPr>
          <w:cantSplit/>
        </w:trPr>
        <w:tc>
          <w:tcPr>
            <w:tcW w:w="3544" w:type="dxa"/>
            <w:tcBorders>
              <w:top w:val="single" w:sz="4" w:space="0" w:color="auto"/>
              <w:left w:val="nil"/>
              <w:bottom w:val="nil"/>
              <w:right w:val="nil"/>
            </w:tcBorders>
            <w:shd w:val="clear" w:color="auto" w:fill="FFFFFF" w:themeFill="background1"/>
          </w:tcPr>
          <w:p w14:paraId="7B0E3901" w14:textId="77777777" w:rsidR="001A320F" w:rsidRPr="00344E93" w:rsidRDefault="001A320F" w:rsidP="001A320F">
            <w:pPr>
              <w:autoSpaceDE w:val="0"/>
              <w:autoSpaceDN w:val="0"/>
              <w:adjustRightInd w:val="0"/>
              <w:spacing w:after="0" w:line="320" w:lineRule="atLeast"/>
              <w:ind w:left="60" w:right="60"/>
              <w:rPr>
                <w:color w:val="264A60"/>
                <w:sz w:val="18"/>
              </w:rPr>
            </w:pPr>
            <w:r w:rsidRPr="00344E93">
              <w:rPr>
                <w:color w:val="264A60"/>
                <w:sz w:val="18"/>
              </w:rPr>
              <w:t>Permanent/ Open ended</w:t>
            </w:r>
          </w:p>
        </w:tc>
        <w:tc>
          <w:tcPr>
            <w:tcW w:w="92" w:type="dxa"/>
            <w:tcBorders>
              <w:top w:val="single" w:sz="4" w:space="0" w:color="auto"/>
              <w:left w:val="nil"/>
              <w:bottom w:val="nil"/>
              <w:right w:val="nil"/>
            </w:tcBorders>
            <w:shd w:val="clear" w:color="auto" w:fill="FFFFFF" w:themeFill="background1"/>
          </w:tcPr>
          <w:p w14:paraId="6BADD438"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272</w:t>
            </w:r>
          </w:p>
        </w:tc>
        <w:tc>
          <w:tcPr>
            <w:tcW w:w="612" w:type="dxa"/>
            <w:tcBorders>
              <w:top w:val="single" w:sz="4" w:space="0" w:color="auto"/>
              <w:left w:val="nil"/>
              <w:bottom w:val="nil"/>
              <w:right w:val="nil"/>
            </w:tcBorders>
            <w:shd w:val="clear" w:color="auto" w:fill="FFFFFF" w:themeFill="background1"/>
          </w:tcPr>
          <w:p w14:paraId="06B3681A"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85.0%</w:t>
            </w:r>
          </w:p>
        </w:tc>
        <w:tc>
          <w:tcPr>
            <w:tcW w:w="593" w:type="dxa"/>
            <w:tcBorders>
              <w:top w:val="single" w:sz="4" w:space="0" w:color="auto"/>
              <w:left w:val="nil"/>
              <w:bottom w:val="nil"/>
              <w:right w:val="nil"/>
            </w:tcBorders>
            <w:shd w:val="clear" w:color="auto" w:fill="FFFFFF" w:themeFill="background1"/>
          </w:tcPr>
          <w:p w14:paraId="2BAD5562"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1141</w:t>
            </w:r>
          </w:p>
        </w:tc>
        <w:tc>
          <w:tcPr>
            <w:tcW w:w="2672" w:type="dxa"/>
            <w:tcBorders>
              <w:top w:val="single" w:sz="4" w:space="0" w:color="auto"/>
              <w:left w:val="nil"/>
              <w:bottom w:val="nil"/>
              <w:right w:val="nil"/>
            </w:tcBorders>
            <w:shd w:val="clear" w:color="auto" w:fill="FFFFFF" w:themeFill="background1"/>
          </w:tcPr>
          <w:p w14:paraId="33B16353"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85.5%</w:t>
            </w:r>
          </w:p>
        </w:tc>
      </w:tr>
      <w:tr w:rsidR="006C70FA" w:rsidRPr="0074586F" w14:paraId="4E059BFB" w14:textId="77777777" w:rsidTr="00A70161">
        <w:trPr>
          <w:cantSplit/>
        </w:trPr>
        <w:tc>
          <w:tcPr>
            <w:tcW w:w="3544" w:type="dxa"/>
            <w:tcBorders>
              <w:top w:val="nil"/>
              <w:left w:val="nil"/>
              <w:bottom w:val="nil"/>
              <w:right w:val="nil"/>
            </w:tcBorders>
            <w:shd w:val="clear" w:color="auto" w:fill="FFFFFF" w:themeFill="background1"/>
          </w:tcPr>
          <w:p w14:paraId="1AE440FC" w14:textId="77777777" w:rsidR="001A320F" w:rsidRPr="00344E93" w:rsidRDefault="001A320F" w:rsidP="001A320F">
            <w:pPr>
              <w:autoSpaceDE w:val="0"/>
              <w:autoSpaceDN w:val="0"/>
              <w:adjustRightInd w:val="0"/>
              <w:spacing w:after="0" w:line="320" w:lineRule="atLeast"/>
              <w:ind w:left="60" w:right="60"/>
              <w:rPr>
                <w:color w:val="264A60"/>
                <w:sz w:val="18"/>
              </w:rPr>
            </w:pPr>
            <w:r w:rsidRPr="00344E93">
              <w:rPr>
                <w:color w:val="264A60"/>
                <w:sz w:val="18"/>
              </w:rPr>
              <w:t>Non-permanent/ Fixed-term/ Secondment</w:t>
            </w:r>
          </w:p>
        </w:tc>
        <w:tc>
          <w:tcPr>
            <w:tcW w:w="92" w:type="dxa"/>
            <w:tcBorders>
              <w:top w:val="nil"/>
              <w:left w:val="nil"/>
              <w:bottom w:val="nil"/>
              <w:right w:val="nil"/>
            </w:tcBorders>
            <w:shd w:val="clear" w:color="auto" w:fill="FFFFFF" w:themeFill="background1"/>
          </w:tcPr>
          <w:p w14:paraId="419DD48B"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32</w:t>
            </w:r>
          </w:p>
        </w:tc>
        <w:tc>
          <w:tcPr>
            <w:tcW w:w="612" w:type="dxa"/>
            <w:tcBorders>
              <w:top w:val="nil"/>
              <w:left w:val="nil"/>
              <w:bottom w:val="nil"/>
              <w:right w:val="nil"/>
            </w:tcBorders>
            <w:shd w:val="clear" w:color="auto" w:fill="FFFFFF" w:themeFill="background1"/>
          </w:tcPr>
          <w:p w14:paraId="5EEFBFE5"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10.0%</w:t>
            </w:r>
          </w:p>
        </w:tc>
        <w:tc>
          <w:tcPr>
            <w:tcW w:w="593" w:type="dxa"/>
            <w:tcBorders>
              <w:top w:val="nil"/>
              <w:left w:val="nil"/>
              <w:bottom w:val="nil"/>
              <w:right w:val="nil"/>
            </w:tcBorders>
            <w:shd w:val="clear" w:color="auto" w:fill="FFFFFF" w:themeFill="background1"/>
          </w:tcPr>
          <w:p w14:paraId="2EA1A782"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154</w:t>
            </w:r>
          </w:p>
        </w:tc>
        <w:tc>
          <w:tcPr>
            <w:tcW w:w="2672" w:type="dxa"/>
            <w:tcBorders>
              <w:top w:val="nil"/>
              <w:left w:val="nil"/>
              <w:bottom w:val="nil"/>
              <w:right w:val="nil"/>
            </w:tcBorders>
            <w:shd w:val="clear" w:color="auto" w:fill="FFFFFF" w:themeFill="background1"/>
          </w:tcPr>
          <w:p w14:paraId="0AA3EE9C"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11.5%</w:t>
            </w:r>
          </w:p>
        </w:tc>
      </w:tr>
      <w:tr w:rsidR="006C70FA" w:rsidRPr="0074586F" w14:paraId="45A50AB8" w14:textId="77777777" w:rsidTr="00A70161">
        <w:trPr>
          <w:cantSplit/>
        </w:trPr>
        <w:tc>
          <w:tcPr>
            <w:tcW w:w="3544" w:type="dxa"/>
            <w:tcBorders>
              <w:top w:val="nil"/>
              <w:left w:val="nil"/>
              <w:bottom w:val="nil"/>
              <w:right w:val="nil"/>
            </w:tcBorders>
            <w:shd w:val="clear" w:color="auto" w:fill="FFFFFF" w:themeFill="background1"/>
          </w:tcPr>
          <w:p w14:paraId="483DC6B2" w14:textId="77777777" w:rsidR="001A320F" w:rsidRPr="00344E93" w:rsidRDefault="001A320F" w:rsidP="001A320F">
            <w:pPr>
              <w:autoSpaceDE w:val="0"/>
              <w:autoSpaceDN w:val="0"/>
              <w:adjustRightInd w:val="0"/>
              <w:spacing w:after="0" w:line="320" w:lineRule="atLeast"/>
              <w:ind w:left="60" w:right="60"/>
              <w:rPr>
                <w:color w:val="264A60"/>
                <w:sz w:val="18"/>
              </w:rPr>
            </w:pPr>
            <w:r w:rsidRPr="00344E93">
              <w:rPr>
                <w:color w:val="264A60"/>
                <w:sz w:val="18"/>
              </w:rPr>
              <w:t>Self Employed/ Private Practice/ Independent</w:t>
            </w:r>
          </w:p>
        </w:tc>
        <w:tc>
          <w:tcPr>
            <w:tcW w:w="92" w:type="dxa"/>
            <w:tcBorders>
              <w:top w:val="nil"/>
              <w:left w:val="nil"/>
              <w:bottom w:val="nil"/>
              <w:right w:val="nil"/>
            </w:tcBorders>
            <w:shd w:val="clear" w:color="auto" w:fill="FFFFFF" w:themeFill="background1"/>
          </w:tcPr>
          <w:p w14:paraId="04FC84B1"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w:t>
            </w:r>
          </w:p>
        </w:tc>
        <w:tc>
          <w:tcPr>
            <w:tcW w:w="612" w:type="dxa"/>
            <w:tcBorders>
              <w:top w:val="nil"/>
              <w:left w:val="nil"/>
              <w:bottom w:val="nil"/>
              <w:right w:val="nil"/>
            </w:tcBorders>
            <w:shd w:val="clear" w:color="auto" w:fill="FFFFFF" w:themeFill="background1"/>
          </w:tcPr>
          <w:p w14:paraId="667B2E99"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1.6%</w:t>
            </w:r>
          </w:p>
        </w:tc>
        <w:tc>
          <w:tcPr>
            <w:tcW w:w="593" w:type="dxa"/>
            <w:tcBorders>
              <w:top w:val="nil"/>
              <w:left w:val="nil"/>
              <w:bottom w:val="nil"/>
              <w:right w:val="nil"/>
            </w:tcBorders>
            <w:shd w:val="clear" w:color="auto" w:fill="FFFFFF" w:themeFill="background1"/>
          </w:tcPr>
          <w:p w14:paraId="1EB79B8B"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14</w:t>
            </w:r>
          </w:p>
        </w:tc>
        <w:tc>
          <w:tcPr>
            <w:tcW w:w="2672" w:type="dxa"/>
            <w:tcBorders>
              <w:top w:val="nil"/>
              <w:left w:val="nil"/>
              <w:bottom w:val="nil"/>
              <w:right w:val="nil"/>
            </w:tcBorders>
            <w:shd w:val="clear" w:color="auto" w:fill="FFFFFF" w:themeFill="background1"/>
          </w:tcPr>
          <w:p w14:paraId="04D6F5EC"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w:t>
            </w:r>
          </w:p>
        </w:tc>
      </w:tr>
      <w:tr w:rsidR="006C70FA" w:rsidRPr="0074586F" w14:paraId="01B0A014" w14:textId="77777777" w:rsidTr="00A70161">
        <w:trPr>
          <w:cantSplit/>
        </w:trPr>
        <w:tc>
          <w:tcPr>
            <w:tcW w:w="3544" w:type="dxa"/>
            <w:tcBorders>
              <w:top w:val="nil"/>
              <w:left w:val="nil"/>
              <w:bottom w:val="single" w:sz="4" w:space="0" w:color="auto"/>
              <w:right w:val="nil"/>
            </w:tcBorders>
            <w:shd w:val="clear" w:color="auto" w:fill="FFFFFF" w:themeFill="background1"/>
          </w:tcPr>
          <w:p w14:paraId="67990038" w14:textId="77777777" w:rsidR="001A320F" w:rsidRPr="00344E93" w:rsidRDefault="001A320F" w:rsidP="001A320F">
            <w:pPr>
              <w:autoSpaceDE w:val="0"/>
              <w:autoSpaceDN w:val="0"/>
              <w:adjustRightInd w:val="0"/>
              <w:spacing w:after="0" w:line="320" w:lineRule="atLeast"/>
              <w:ind w:left="60" w:right="60"/>
              <w:rPr>
                <w:color w:val="264A60"/>
                <w:sz w:val="18"/>
              </w:rPr>
            </w:pPr>
            <w:r w:rsidRPr="00344E93">
              <w:rPr>
                <w:color w:val="264A60"/>
                <w:sz w:val="18"/>
              </w:rPr>
              <w:t>Other</w:t>
            </w:r>
          </w:p>
        </w:tc>
        <w:tc>
          <w:tcPr>
            <w:tcW w:w="92" w:type="dxa"/>
            <w:tcBorders>
              <w:top w:val="nil"/>
              <w:left w:val="nil"/>
              <w:bottom w:val="single" w:sz="4" w:space="0" w:color="auto"/>
              <w:right w:val="nil"/>
            </w:tcBorders>
            <w:shd w:val="clear" w:color="auto" w:fill="FFFFFF" w:themeFill="background1"/>
          </w:tcPr>
          <w:p w14:paraId="73AA5A34"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11</w:t>
            </w:r>
          </w:p>
        </w:tc>
        <w:tc>
          <w:tcPr>
            <w:tcW w:w="612" w:type="dxa"/>
            <w:tcBorders>
              <w:top w:val="nil"/>
              <w:left w:val="nil"/>
              <w:bottom w:val="single" w:sz="4" w:space="0" w:color="auto"/>
              <w:right w:val="nil"/>
            </w:tcBorders>
            <w:shd w:val="clear" w:color="auto" w:fill="FFFFFF" w:themeFill="background1"/>
          </w:tcPr>
          <w:p w14:paraId="69537260"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3.4%</w:t>
            </w:r>
          </w:p>
        </w:tc>
        <w:tc>
          <w:tcPr>
            <w:tcW w:w="593" w:type="dxa"/>
            <w:tcBorders>
              <w:top w:val="nil"/>
              <w:left w:val="nil"/>
              <w:bottom w:val="single" w:sz="4" w:space="0" w:color="auto"/>
              <w:right w:val="nil"/>
            </w:tcBorders>
            <w:shd w:val="clear" w:color="auto" w:fill="FFFFFF" w:themeFill="background1"/>
          </w:tcPr>
          <w:p w14:paraId="4157C5E2"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25</w:t>
            </w:r>
          </w:p>
        </w:tc>
        <w:tc>
          <w:tcPr>
            <w:tcW w:w="2672" w:type="dxa"/>
            <w:tcBorders>
              <w:top w:val="nil"/>
              <w:left w:val="nil"/>
              <w:bottom w:val="single" w:sz="4" w:space="0" w:color="auto"/>
              <w:right w:val="nil"/>
            </w:tcBorders>
            <w:shd w:val="clear" w:color="auto" w:fill="FFFFFF" w:themeFill="background1"/>
          </w:tcPr>
          <w:p w14:paraId="5F4F565A" w14:textId="77777777" w:rsidR="001A320F" w:rsidRPr="00096E78" w:rsidRDefault="001A320F" w:rsidP="001A320F">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1.9%</w:t>
            </w:r>
          </w:p>
        </w:tc>
      </w:tr>
      <w:tr w:rsidR="00344E93" w:rsidRPr="0074586F" w14:paraId="5CB5049A" w14:textId="77777777" w:rsidTr="00344E93">
        <w:trPr>
          <w:cantSplit/>
        </w:trPr>
        <w:tc>
          <w:tcPr>
            <w:tcW w:w="7513" w:type="dxa"/>
            <w:gridSpan w:val="5"/>
            <w:tcBorders>
              <w:top w:val="single" w:sz="4" w:space="0" w:color="auto"/>
              <w:left w:val="nil"/>
              <w:bottom w:val="nil"/>
              <w:right w:val="single" w:sz="8" w:space="0" w:color="E0E0E0"/>
            </w:tcBorders>
            <w:shd w:val="clear" w:color="auto" w:fill="FFFFFF" w:themeFill="background1"/>
          </w:tcPr>
          <w:p w14:paraId="6FF9C986" w14:textId="77777777" w:rsidR="008772D0" w:rsidRPr="00096E78" w:rsidRDefault="008772D0" w:rsidP="00B734D4">
            <w:pPr>
              <w:autoSpaceDE w:val="0"/>
              <w:autoSpaceDN w:val="0"/>
              <w:adjustRightInd w:val="0"/>
              <w:spacing w:after="0" w:line="320" w:lineRule="atLeast"/>
              <w:ind w:right="60"/>
              <w:jc w:val="center"/>
              <w:rPr>
                <w:rFonts w:cstheme="minorHAnsi"/>
                <w:sz w:val="18"/>
                <w:szCs w:val="18"/>
              </w:rPr>
            </w:pPr>
            <w:r w:rsidRPr="00096E78">
              <w:rPr>
                <w:rFonts w:cstheme="minorHAnsi"/>
                <w:sz w:val="18"/>
                <w:szCs w:val="18"/>
              </w:rPr>
              <w:t xml:space="preserve">Agenda for Change </w:t>
            </w:r>
            <w:r w:rsidR="00994464" w:rsidRPr="00096E78">
              <w:rPr>
                <w:rFonts w:cstheme="minorHAnsi"/>
                <w:sz w:val="18"/>
                <w:szCs w:val="18"/>
              </w:rPr>
              <w:t>s</w:t>
            </w:r>
            <w:r w:rsidRPr="00096E78">
              <w:rPr>
                <w:rFonts w:cstheme="minorHAnsi"/>
                <w:sz w:val="18"/>
                <w:szCs w:val="18"/>
              </w:rPr>
              <w:t>alary</w:t>
            </w:r>
            <w:r w:rsidR="00B734D4" w:rsidRPr="00096E78">
              <w:rPr>
                <w:rFonts w:cstheme="minorHAnsi"/>
                <w:sz w:val="18"/>
                <w:szCs w:val="18"/>
              </w:rPr>
              <w:t xml:space="preserve"> by gender*</w:t>
            </w:r>
          </w:p>
        </w:tc>
      </w:tr>
      <w:tr w:rsidR="006C70FA" w:rsidRPr="0074586F" w14:paraId="30913FBB" w14:textId="77777777" w:rsidTr="00A70161">
        <w:trPr>
          <w:cantSplit/>
        </w:trPr>
        <w:tc>
          <w:tcPr>
            <w:tcW w:w="3544" w:type="dxa"/>
            <w:tcBorders>
              <w:top w:val="nil"/>
              <w:left w:val="nil"/>
              <w:bottom w:val="nil"/>
              <w:right w:val="nil"/>
            </w:tcBorders>
            <w:shd w:val="clear" w:color="auto" w:fill="FFFFFF" w:themeFill="background1"/>
          </w:tcPr>
          <w:p w14:paraId="277E8082"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3</w:t>
            </w:r>
          </w:p>
        </w:tc>
        <w:tc>
          <w:tcPr>
            <w:tcW w:w="92" w:type="dxa"/>
            <w:tcBorders>
              <w:top w:val="nil"/>
              <w:left w:val="nil"/>
              <w:bottom w:val="nil"/>
              <w:right w:val="nil"/>
            </w:tcBorders>
            <w:shd w:val="clear" w:color="auto" w:fill="FFFFFF" w:themeFill="background1"/>
          </w:tcPr>
          <w:p w14:paraId="3B14B8AB"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w:t>
            </w:r>
          </w:p>
        </w:tc>
        <w:tc>
          <w:tcPr>
            <w:tcW w:w="612" w:type="dxa"/>
            <w:tcBorders>
              <w:top w:val="nil"/>
              <w:left w:val="nil"/>
              <w:bottom w:val="nil"/>
              <w:right w:val="nil"/>
            </w:tcBorders>
            <w:shd w:val="clear" w:color="auto" w:fill="FFFFFF" w:themeFill="background1"/>
          </w:tcPr>
          <w:p w14:paraId="24FD4FDD"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0.7%</w:t>
            </w:r>
          </w:p>
        </w:tc>
        <w:tc>
          <w:tcPr>
            <w:tcW w:w="593" w:type="dxa"/>
            <w:tcBorders>
              <w:top w:val="nil"/>
              <w:left w:val="nil"/>
              <w:bottom w:val="nil"/>
              <w:right w:val="nil"/>
            </w:tcBorders>
            <w:shd w:val="clear" w:color="auto" w:fill="FFFFFF" w:themeFill="background1"/>
          </w:tcPr>
          <w:p w14:paraId="24ED9FAA"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w:t>
            </w:r>
          </w:p>
        </w:tc>
        <w:tc>
          <w:tcPr>
            <w:tcW w:w="2672" w:type="dxa"/>
            <w:tcBorders>
              <w:top w:val="nil"/>
              <w:left w:val="nil"/>
              <w:bottom w:val="nil"/>
              <w:right w:val="nil"/>
            </w:tcBorders>
            <w:shd w:val="clear" w:color="auto" w:fill="FFFFFF" w:themeFill="background1"/>
          </w:tcPr>
          <w:p w14:paraId="4B12F015"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0.2%</w:t>
            </w:r>
          </w:p>
        </w:tc>
      </w:tr>
      <w:tr w:rsidR="006C70FA" w:rsidRPr="0074586F" w14:paraId="7E810C7A" w14:textId="77777777" w:rsidTr="00A70161">
        <w:trPr>
          <w:cantSplit/>
        </w:trPr>
        <w:tc>
          <w:tcPr>
            <w:tcW w:w="3544" w:type="dxa"/>
            <w:tcBorders>
              <w:top w:val="nil"/>
              <w:left w:val="nil"/>
              <w:bottom w:val="nil"/>
              <w:right w:val="nil"/>
            </w:tcBorders>
            <w:shd w:val="clear" w:color="auto" w:fill="FFFFFF" w:themeFill="background1"/>
          </w:tcPr>
          <w:p w14:paraId="4F46A434"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4</w:t>
            </w:r>
          </w:p>
        </w:tc>
        <w:tc>
          <w:tcPr>
            <w:tcW w:w="92" w:type="dxa"/>
            <w:tcBorders>
              <w:top w:val="nil"/>
              <w:left w:val="nil"/>
              <w:bottom w:val="nil"/>
              <w:right w:val="nil"/>
            </w:tcBorders>
            <w:shd w:val="clear" w:color="auto" w:fill="FFFFFF" w:themeFill="background1"/>
          </w:tcPr>
          <w:p w14:paraId="64162C5D"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8</w:t>
            </w:r>
          </w:p>
        </w:tc>
        <w:tc>
          <w:tcPr>
            <w:tcW w:w="612" w:type="dxa"/>
            <w:tcBorders>
              <w:top w:val="nil"/>
              <w:left w:val="nil"/>
              <w:bottom w:val="nil"/>
              <w:right w:val="nil"/>
            </w:tcBorders>
            <w:shd w:val="clear" w:color="auto" w:fill="FFFFFF" w:themeFill="background1"/>
          </w:tcPr>
          <w:p w14:paraId="41B0E4F2"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2.7%</w:t>
            </w:r>
          </w:p>
        </w:tc>
        <w:tc>
          <w:tcPr>
            <w:tcW w:w="593" w:type="dxa"/>
            <w:tcBorders>
              <w:top w:val="nil"/>
              <w:left w:val="nil"/>
              <w:bottom w:val="nil"/>
              <w:right w:val="nil"/>
            </w:tcBorders>
            <w:shd w:val="clear" w:color="auto" w:fill="FFFFFF" w:themeFill="background1"/>
          </w:tcPr>
          <w:p w14:paraId="3A4BE6BD"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49</w:t>
            </w:r>
          </w:p>
        </w:tc>
        <w:tc>
          <w:tcPr>
            <w:tcW w:w="2672" w:type="dxa"/>
            <w:tcBorders>
              <w:top w:val="nil"/>
              <w:left w:val="nil"/>
              <w:bottom w:val="nil"/>
              <w:right w:val="nil"/>
            </w:tcBorders>
            <w:shd w:val="clear" w:color="auto" w:fill="FFFFFF" w:themeFill="background1"/>
          </w:tcPr>
          <w:p w14:paraId="0CDFBDCD"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3.9%</w:t>
            </w:r>
          </w:p>
        </w:tc>
      </w:tr>
      <w:tr w:rsidR="006C70FA" w:rsidRPr="0074586F" w14:paraId="202A89E5" w14:textId="77777777" w:rsidTr="00A70161">
        <w:trPr>
          <w:cantSplit/>
        </w:trPr>
        <w:tc>
          <w:tcPr>
            <w:tcW w:w="3544" w:type="dxa"/>
            <w:tcBorders>
              <w:top w:val="nil"/>
              <w:left w:val="nil"/>
              <w:bottom w:val="nil"/>
              <w:right w:val="nil"/>
            </w:tcBorders>
            <w:shd w:val="clear" w:color="auto" w:fill="FFFFFF" w:themeFill="background1"/>
          </w:tcPr>
          <w:p w14:paraId="37C8AE90"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5</w:t>
            </w:r>
          </w:p>
        </w:tc>
        <w:tc>
          <w:tcPr>
            <w:tcW w:w="92" w:type="dxa"/>
            <w:tcBorders>
              <w:top w:val="nil"/>
              <w:left w:val="nil"/>
              <w:bottom w:val="nil"/>
              <w:right w:val="nil"/>
            </w:tcBorders>
            <w:shd w:val="clear" w:color="auto" w:fill="FFFFFF" w:themeFill="background1"/>
          </w:tcPr>
          <w:p w14:paraId="28DDA919"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23</w:t>
            </w:r>
          </w:p>
        </w:tc>
        <w:tc>
          <w:tcPr>
            <w:tcW w:w="612" w:type="dxa"/>
            <w:tcBorders>
              <w:top w:val="nil"/>
              <w:left w:val="nil"/>
              <w:bottom w:val="nil"/>
              <w:right w:val="nil"/>
            </w:tcBorders>
            <w:shd w:val="clear" w:color="auto" w:fill="FFFFFF" w:themeFill="background1"/>
          </w:tcPr>
          <w:p w14:paraId="5AACF54E"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7.7%</w:t>
            </w:r>
          </w:p>
        </w:tc>
        <w:tc>
          <w:tcPr>
            <w:tcW w:w="593" w:type="dxa"/>
            <w:tcBorders>
              <w:top w:val="nil"/>
              <w:left w:val="nil"/>
              <w:bottom w:val="nil"/>
              <w:right w:val="nil"/>
            </w:tcBorders>
            <w:shd w:val="clear" w:color="auto" w:fill="FFFFFF" w:themeFill="background1"/>
          </w:tcPr>
          <w:p w14:paraId="384B8748"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152</w:t>
            </w:r>
          </w:p>
        </w:tc>
        <w:tc>
          <w:tcPr>
            <w:tcW w:w="2672" w:type="dxa"/>
            <w:tcBorders>
              <w:top w:val="nil"/>
              <w:left w:val="nil"/>
              <w:bottom w:val="nil"/>
              <w:right w:val="nil"/>
            </w:tcBorders>
            <w:shd w:val="clear" w:color="auto" w:fill="FFFFFF" w:themeFill="background1"/>
          </w:tcPr>
          <w:p w14:paraId="449195BF"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12.0%</w:t>
            </w:r>
          </w:p>
        </w:tc>
      </w:tr>
      <w:tr w:rsidR="006C70FA" w:rsidRPr="0074586F" w14:paraId="75C1963C" w14:textId="77777777" w:rsidTr="00A70161">
        <w:trPr>
          <w:cantSplit/>
        </w:trPr>
        <w:tc>
          <w:tcPr>
            <w:tcW w:w="3544" w:type="dxa"/>
            <w:tcBorders>
              <w:top w:val="nil"/>
              <w:left w:val="nil"/>
              <w:bottom w:val="nil"/>
              <w:right w:val="nil"/>
            </w:tcBorders>
            <w:shd w:val="clear" w:color="auto" w:fill="FFFFFF" w:themeFill="background1"/>
          </w:tcPr>
          <w:p w14:paraId="1AF8D0F0"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6</w:t>
            </w:r>
          </w:p>
        </w:tc>
        <w:tc>
          <w:tcPr>
            <w:tcW w:w="92" w:type="dxa"/>
            <w:tcBorders>
              <w:top w:val="nil"/>
              <w:left w:val="nil"/>
              <w:bottom w:val="nil"/>
              <w:right w:val="nil"/>
            </w:tcBorders>
            <w:shd w:val="clear" w:color="auto" w:fill="FFFFFF" w:themeFill="background1"/>
          </w:tcPr>
          <w:p w14:paraId="56744A3F"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30</w:t>
            </w:r>
          </w:p>
        </w:tc>
        <w:tc>
          <w:tcPr>
            <w:tcW w:w="612" w:type="dxa"/>
            <w:tcBorders>
              <w:top w:val="nil"/>
              <w:left w:val="nil"/>
              <w:bottom w:val="nil"/>
              <w:right w:val="nil"/>
            </w:tcBorders>
            <w:shd w:val="clear" w:color="auto" w:fill="FFFFFF" w:themeFill="background1"/>
          </w:tcPr>
          <w:p w14:paraId="46514288"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10.0%</w:t>
            </w:r>
          </w:p>
        </w:tc>
        <w:tc>
          <w:tcPr>
            <w:tcW w:w="593" w:type="dxa"/>
            <w:tcBorders>
              <w:top w:val="nil"/>
              <w:left w:val="nil"/>
              <w:bottom w:val="nil"/>
              <w:right w:val="nil"/>
            </w:tcBorders>
            <w:shd w:val="clear" w:color="auto" w:fill="FFFFFF" w:themeFill="background1"/>
          </w:tcPr>
          <w:p w14:paraId="3672279C"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157</w:t>
            </w:r>
          </w:p>
        </w:tc>
        <w:tc>
          <w:tcPr>
            <w:tcW w:w="2672" w:type="dxa"/>
            <w:tcBorders>
              <w:top w:val="nil"/>
              <w:left w:val="nil"/>
              <w:bottom w:val="nil"/>
              <w:right w:val="nil"/>
            </w:tcBorders>
            <w:shd w:val="clear" w:color="auto" w:fill="FFFFFF" w:themeFill="background1"/>
          </w:tcPr>
          <w:p w14:paraId="54665B18"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12.4%</w:t>
            </w:r>
          </w:p>
        </w:tc>
      </w:tr>
      <w:tr w:rsidR="006C70FA" w:rsidRPr="0074586F" w14:paraId="69FC80A7" w14:textId="77777777" w:rsidTr="00A70161">
        <w:trPr>
          <w:cantSplit/>
        </w:trPr>
        <w:tc>
          <w:tcPr>
            <w:tcW w:w="3544" w:type="dxa"/>
            <w:tcBorders>
              <w:top w:val="nil"/>
              <w:left w:val="nil"/>
              <w:bottom w:val="nil"/>
              <w:right w:val="nil"/>
            </w:tcBorders>
            <w:shd w:val="clear" w:color="auto" w:fill="FFFFFF" w:themeFill="background1"/>
          </w:tcPr>
          <w:p w14:paraId="1EAD78EE"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7</w:t>
            </w:r>
          </w:p>
        </w:tc>
        <w:tc>
          <w:tcPr>
            <w:tcW w:w="92" w:type="dxa"/>
            <w:tcBorders>
              <w:top w:val="nil"/>
              <w:left w:val="nil"/>
              <w:bottom w:val="nil"/>
              <w:right w:val="nil"/>
            </w:tcBorders>
            <w:shd w:val="clear" w:color="auto" w:fill="FFFFFF" w:themeFill="background1"/>
          </w:tcPr>
          <w:p w14:paraId="00050321"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92</w:t>
            </w:r>
          </w:p>
        </w:tc>
        <w:tc>
          <w:tcPr>
            <w:tcW w:w="612" w:type="dxa"/>
            <w:tcBorders>
              <w:top w:val="nil"/>
              <w:left w:val="nil"/>
              <w:bottom w:val="nil"/>
              <w:right w:val="nil"/>
            </w:tcBorders>
            <w:shd w:val="clear" w:color="auto" w:fill="FFFFFF" w:themeFill="background1"/>
          </w:tcPr>
          <w:p w14:paraId="5B55B319"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30.8%</w:t>
            </w:r>
          </w:p>
        </w:tc>
        <w:tc>
          <w:tcPr>
            <w:tcW w:w="593" w:type="dxa"/>
            <w:tcBorders>
              <w:top w:val="nil"/>
              <w:left w:val="nil"/>
              <w:bottom w:val="nil"/>
              <w:right w:val="nil"/>
            </w:tcBorders>
            <w:shd w:val="clear" w:color="auto" w:fill="FFFFFF" w:themeFill="background1"/>
          </w:tcPr>
          <w:p w14:paraId="01C4A313"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315</w:t>
            </w:r>
          </w:p>
        </w:tc>
        <w:tc>
          <w:tcPr>
            <w:tcW w:w="2672" w:type="dxa"/>
            <w:tcBorders>
              <w:top w:val="nil"/>
              <w:left w:val="nil"/>
              <w:bottom w:val="nil"/>
              <w:right w:val="nil"/>
            </w:tcBorders>
            <w:shd w:val="clear" w:color="auto" w:fill="FFFFFF" w:themeFill="background1"/>
          </w:tcPr>
          <w:p w14:paraId="6FB0BAD5"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24.9%</w:t>
            </w:r>
          </w:p>
        </w:tc>
      </w:tr>
      <w:tr w:rsidR="006C70FA" w:rsidRPr="0074586F" w14:paraId="7748A14F" w14:textId="77777777" w:rsidTr="00A70161">
        <w:trPr>
          <w:cantSplit/>
        </w:trPr>
        <w:tc>
          <w:tcPr>
            <w:tcW w:w="3544" w:type="dxa"/>
            <w:tcBorders>
              <w:top w:val="nil"/>
              <w:left w:val="nil"/>
              <w:bottom w:val="nil"/>
              <w:right w:val="nil"/>
            </w:tcBorders>
            <w:shd w:val="clear" w:color="auto" w:fill="FFFFFF" w:themeFill="background1"/>
          </w:tcPr>
          <w:p w14:paraId="16E08094"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8a</w:t>
            </w:r>
          </w:p>
        </w:tc>
        <w:tc>
          <w:tcPr>
            <w:tcW w:w="92" w:type="dxa"/>
            <w:tcBorders>
              <w:top w:val="nil"/>
              <w:left w:val="nil"/>
              <w:bottom w:val="nil"/>
              <w:right w:val="nil"/>
            </w:tcBorders>
            <w:shd w:val="clear" w:color="auto" w:fill="FFFFFF" w:themeFill="background1"/>
          </w:tcPr>
          <w:p w14:paraId="3DB1758C"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54</w:t>
            </w:r>
          </w:p>
        </w:tc>
        <w:tc>
          <w:tcPr>
            <w:tcW w:w="612" w:type="dxa"/>
            <w:tcBorders>
              <w:top w:val="nil"/>
              <w:left w:val="nil"/>
              <w:bottom w:val="nil"/>
              <w:right w:val="nil"/>
            </w:tcBorders>
            <w:shd w:val="clear" w:color="auto" w:fill="FFFFFF" w:themeFill="background1"/>
          </w:tcPr>
          <w:p w14:paraId="5BF75626"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18.1%</w:t>
            </w:r>
          </w:p>
        </w:tc>
        <w:tc>
          <w:tcPr>
            <w:tcW w:w="593" w:type="dxa"/>
            <w:tcBorders>
              <w:top w:val="nil"/>
              <w:left w:val="nil"/>
              <w:bottom w:val="nil"/>
              <w:right w:val="nil"/>
            </w:tcBorders>
            <w:shd w:val="clear" w:color="auto" w:fill="FFFFFF" w:themeFill="background1"/>
          </w:tcPr>
          <w:p w14:paraId="3AB0C4ED"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286</w:t>
            </w:r>
          </w:p>
        </w:tc>
        <w:tc>
          <w:tcPr>
            <w:tcW w:w="2672" w:type="dxa"/>
            <w:tcBorders>
              <w:top w:val="nil"/>
              <w:left w:val="nil"/>
              <w:bottom w:val="nil"/>
              <w:right w:val="nil"/>
            </w:tcBorders>
            <w:shd w:val="clear" w:color="auto" w:fill="FFFFFF" w:themeFill="background1"/>
          </w:tcPr>
          <w:p w14:paraId="2A7F78C3"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22.6%</w:t>
            </w:r>
          </w:p>
        </w:tc>
      </w:tr>
      <w:tr w:rsidR="006C70FA" w:rsidRPr="0074586F" w14:paraId="1E7E1774" w14:textId="77777777" w:rsidTr="00A70161">
        <w:trPr>
          <w:cantSplit/>
        </w:trPr>
        <w:tc>
          <w:tcPr>
            <w:tcW w:w="3544" w:type="dxa"/>
            <w:tcBorders>
              <w:top w:val="nil"/>
              <w:left w:val="nil"/>
              <w:bottom w:val="nil"/>
              <w:right w:val="nil"/>
            </w:tcBorders>
            <w:shd w:val="clear" w:color="auto" w:fill="FFFFFF" w:themeFill="background1"/>
          </w:tcPr>
          <w:p w14:paraId="3861570D"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8b</w:t>
            </w:r>
          </w:p>
        </w:tc>
        <w:tc>
          <w:tcPr>
            <w:tcW w:w="92" w:type="dxa"/>
            <w:tcBorders>
              <w:top w:val="nil"/>
              <w:left w:val="nil"/>
              <w:bottom w:val="nil"/>
              <w:right w:val="nil"/>
            </w:tcBorders>
            <w:shd w:val="clear" w:color="auto" w:fill="FFFFFF" w:themeFill="background1"/>
          </w:tcPr>
          <w:p w14:paraId="0955513D"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27</w:t>
            </w:r>
          </w:p>
        </w:tc>
        <w:tc>
          <w:tcPr>
            <w:tcW w:w="612" w:type="dxa"/>
            <w:tcBorders>
              <w:top w:val="nil"/>
              <w:left w:val="nil"/>
              <w:bottom w:val="nil"/>
              <w:right w:val="nil"/>
            </w:tcBorders>
            <w:shd w:val="clear" w:color="auto" w:fill="FFFFFF" w:themeFill="background1"/>
          </w:tcPr>
          <w:p w14:paraId="291A3786"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9.0%</w:t>
            </w:r>
          </w:p>
        </w:tc>
        <w:tc>
          <w:tcPr>
            <w:tcW w:w="593" w:type="dxa"/>
            <w:tcBorders>
              <w:top w:val="nil"/>
              <w:left w:val="nil"/>
              <w:bottom w:val="nil"/>
              <w:right w:val="nil"/>
            </w:tcBorders>
            <w:shd w:val="clear" w:color="auto" w:fill="FFFFFF" w:themeFill="background1"/>
          </w:tcPr>
          <w:p w14:paraId="6DD0E984"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109</w:t>
            </w:r>
          </w:p>
        </w:tc>
        <w:tc>
          <w:tcPr>
            <w:tcW w:w="2672" w:type="dxa"/>
            <w:tcBorders>
              <w:top w:val="nil"/>
              <w:left w:val="nil"/>
              <w:bottom w:val="nil"/>
              <w:right w:val="nil"/>
            </w:tcBorders>
            <w:shd w:val="clear" w:color="auto" w:fill="FFFFFF" w:themeFill="background1"/>
          </w:tcPr>
          <w:p w14:paraId="029B64FE"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8.6%</w:t>
            </w:r>
          </w:p>
        </w:tc>
      </w:tr>
      <w:tr w:rsidR="006C70FA" w:rsidRPr="0074586F" w14:paraId="76C45F66" w14:textId="77777777" w:rsidTr="00A70161">
        <w:trPr>
          <w:cantSplit/>
        </w:trPr>
        <w:tc>
          <w:tcPr>
            <w:tcW w:w="3544" w:type="dxa"/>
            <w:tcBorders>
              <w:top w:val="nil"/>
              <w:left w:val="nil"/>
              <w:bottom w:val="nil"/>
              <w:right w:val="nil"/>
            </w:tcBorders>
            <w:shd w:val="clear" w:color="auto" w:fill="FFFFFF" w:themeFill="background1"/>
          </w:tcPr>
          <w:p w14:paraId="665672F1"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8c</w:t>
            </w:r>
          </w:p>
        </w:tc>
        <w:tc>
          <w:tcPr>
            <w:tcW w:w="92" w:type="dxa"/>
            <w:tcBorders>
              <w:top w:val="nil"/>
              <w:left w:val="nil"/>
              <w:bottom w:val="nil"/>
              <w:right w:val="nil"/>
            </w:tcBorders>
            <w:shd w:val="clear" w:color="auto" w:fill="FFFFFF" w:themeFill="background1"/>
          </w:tcPr>
          <w:p w14:paraId="1D846211"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35</w:t>
            </w:r>
          </w:p>
        </w:tc>
        <w:tc>
          <w:tcPr>
            <w:tcW w:w="612" w:type="dxa"/>
            <w:tcBorders>
              <w:top w:val="nil"/>
              <w:left w:val="nil"/>
              <w:bottom w:val="nil"/>
              <w:right w:val="nil"/>
            </w:tcBorders>
            <w:shd w:val="clear" w:color="auto" w:fill="FFFFFF" w:themeFill="background1"/>
          </w:tcPr>
          <w:p w14:paraId="7AB2E9D5"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11.7%</w:t>
            </w:r>
          </w:p>
        </w:tc>
        <w:tc>
          <w:tcPr>
            <w:tcW w:w="593" w:type="dxa"/>
            <w:tcBorders>
              <w:top w:val="nil"/>
              <w:left w:val="nil"/>
              <w:bottom w:val="nil"/>
              <w:right w:val="nil"/>
            </w:tcBorders>
            <w:shd w:val="clear" w:color="auto" w:fill="FFFFFF" w:themeFill="background1"/>
          </w:tcPr>
          <w:p w14:paraId="3CC19168"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136</w:t>
            </w:r>
          </w:p>
        </w:tc>
        <w:tc>
          <w:tcPr>
            <w:tcW w:w="2672" w:type="dxa"/>
            <w:tcBorders>
              <w:top w:val="nil"/>
              <w:left w:val="nil"/>
              <w:bottom w:val="nil"/>
              <w:right w:val="nil"/>
            </w:tcBorders>
            <w:shd w:val="clear" w:color="auto" w:fill="FFFFFF" w:themeFill="background1"/>
          </w:tcPr>
          <w:p w14:paraId="68F41487"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10.7%</w:t>
            </w:r>
          </w:p>
        </w:tc>
      </w:tr>
      <w:tr w:rsidR="006C70FA" w:rsidRPr="0074586F" w14:paraId="6D4F7B1F" w14:textId="77777777" w:rsidTr="00A70161">
        <w:trPr>
          <w:cantSplit/>
        </w:trPr>
        <w:tc>
          <w:tcPr>
            <w:tcW w:w="3544" w:type="dxa"/>
            <w:tcBorders>
              <w:top w:val="nil"/>
              <w:left w:val="nil"/>
              <w:bottom w:val="nil"/>
              <w:right w:val="nil"/>
            </w:tcBorders>
            <w:shd w:val="clear" w:color="auto" w:fill="FFFFFF" w:themeFill="background1"/>
          </w:tcPr>
          <w:p w14:paraId="668CBC85"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8d</w:t>
            </w:r>
          </w:p>
        </w:tc>
        <w:tc>
          <w:tcPr>
            <w:tcW w:w="92" w:type="dxa"/>
            <w:tcBorders>
              <w:top w:val="nil"/>
              <w:left w:val="nil"/>
              <w:bottom w:val="nil"/>
              <w:right w:val="nil"/>
            </w:tcBorders>
            <w:shd w:val="clear" w:color="auto" w:fill="FFFFFF" w:themeFill="background1"/>
          </w:tcPr>
          <w:p w14:paraId="40292CE2"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18</w:t>
            </w:r>
          </w:p>
        </w:tc>
        <w:tc>
          <w:tcPr>
            <w:tcW w:w="612" w:type="dxa"/>
            <w:tcBorders>
              <w:top w:val="nil"/>
              <w:left w:val="nil"/>
              <w:bottom w:val="nil"/>
              <w:right w:val="nil"/>
            </w:tcBorders>
            <w:shd w:val="clear" w:color="auto" w:fill="FFFFFF" w:themeFill="background1"/>
          </w:tcPr>
          <w:p w14:paraId="06ABA988"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6.0%</w:t>
            </w:r>
          </w:p>
        </w:tc>
        <w:tc>
          <w:tcPr>
            <w:tcW w:w="593" w:type="dxa"/>
            <w:tcBorders>
              <w:top w:val="nil"/>
              <w:left w:val="nil"/>
              <w:bottom w:val="nil"/>
              <w:right w:val="nil"/>
            </w:tcBorders>
            <w:shd w:val="clear" w:color="auto" w:fill="FFFFFF" w:themeFill="background1"/>
          </w:tcPr>
          <w:p w14:paraId="02936834"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42</w:t>
            </w:r>
          </w:p>
        </w:tc>
        <w:tc>
          <w:tcPr>
            <w:tcW w:w="2672" w:type="dxa"/>
            <w:tcBorders>
              <w:top w:val="nil"/>
              <w:left w:val="nil"/>
              <w:bottom w:val="nil"/>
              <w:right w:val="nil"/>
            </w:tcBorders>
            <w:shd w:val="clear" w:color="auto" w:fill="FFFFFF" w:themeFill="background1"/>
          </w:tcPr>
          <w:p w14:paraId="6C11434B"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3.3%</w:t>
            </w:r>
          </w:p>
        </w:tc>
      </w:tr>
      <w:tr w:rsidR="006C70FA" w:rsidRPr="0074586F" w14:paraId="1CD256EB" w14:textId="77777777" w:rsidTr="00A70161">
        <w:trPr>
          <w:cantSplit/>
        </w:trPr>
        <w:tc>
          <w:tcPr>
            <w:tcW w:w="3544" w:type="dxa"/>
            <w:tcBorders>
              <w:top w:val="nil"/>
              <w:left w:val="nil"/>
              <w:bottom w:val="nil"/>
              <w:right w:val="nil"/>
            </w:tcBorders>
            <w:shd w:val="clear" w:color="auto" w:fill="FFFFFF" w:themeFill="background1"/>
          </w:tcPr>
          <w:p w14:paraId="1D33542B"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Band 9</w:t>
            </w:r>
          </w:p>
        </w:tc>
        <w:tc>
          <w:tcPr>
            <w:tcW w:w="92" w:type="dxa"/>
            <w:tcBorders>
              <w:top w:val="nil"/>
              <w:left w:val="nil"/>
              <w:bottom w:val="nil"/>
              <w:right w:val="nil"/>
            </w:tcBorders>
            <w:shd w:val="clear" w:color="auto" w:fill="FFFFFF" w:themeFill="background1"/>
          </w:tcPr>
          <w:p w14:paraId="5530AB7E"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w:t>
            </w:r>
          </w:p>
        </w:tc>
        <w:tc>
          <w:tcPr>
            <w:tcW w:w="612" w:type="dxa"/>
            <w:tcBorders>
              <w:top w:val="nil"/>
              <w:left w:val="nil"/>
              <w:bottom w:val="nil"/>
              <w:right w:val="nil"/>
            </w:tcBorders>
            <w:shd w:val="clear" w:color="auto" w:fill="FFFFFF" w:themeFill="background1"/>
          </w:tcPr>
          <w:p w14:paraId="472FF19E"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1.7%</w:t>
            </w:r>
          </w:p>
        </w:tc>
        <w:tc>
          <w:tcPr>
            <w:tcW w:w="593" w:type="dxa"/>
            <w:tcBorders>
              <w:top w:val="nil"/>
              <w:left w:val="nil"/>
              <w:bottom w:val="nil"/>
              <w:right w:val="nil"/>
            </w:tcBorders>
            <w:shd w:val="clear" w:color="auto" w:fill="FFFFFF" w:themeFill="background1"/>
          </w:tcPr>
          <w:p w14:paraId="15550302"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6</w:t>
            </w:r>
          </w:p>
        </w:tc>
        <w:tc>
          <w:tcPr>
            <w:tcW w:w="2672" w:type="dxa"/>
            <w:tcBorders>
              <w:top w:val="nil"/>
              <w:left w:val="nil"/>
              <w:bottom w:val="nil"/>
              <w:right w:val="nil"/>
            </w:tcBorders>
            <w:shd w:val="clear" w:color="auto" w:fill="FFFFFF" w:themeFill="background1"/>
          </w:tcPr>
          <w:p w14:paraId="79611793"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0.5%</w:t>
            </w:r>
          </w:p>
        </w:tc>
      </w:tr>
      <w:tr w:rsidR="006C70FA" w:rsidRPr="0074586F" w14:paraId="72C4C444" w14:textId="77777777" w:rsidTr="00A70161">
        <w:trPr>
          <w:cantSplit/>
        </w:trPr>
        <w:tc>
          <w:tcPr>
            <w:tcW w:w="3544" w:type="dxa"/>
            <w:tcBorders>
              <w:top w:val="nil"/>
              <w:left w:val="nil"/>
              <w:bottom w:val="nil"/>
              <w:right w:val="nil"/>
            </w:tcBorders>
            <w:shd w:val="clear" w:color="auto" w:fill="FFFFFF" w:themeFill="background1"/>
          </w:tcPr>
          <w:p w14:paraId="4C5D3A3B" w14:textId="77777777" w:rsidR="008772D0" w:rsidRPr="00344E93" w:rsidRDefault="008772D0" w:rsidP="008772D0">
            <w:pPr>
              <w:autoSpaceDE w:val="0"/>
              <w:autoSpaceDN w:val="0"/>
              <w:adjustRightInd w:val="0"/>
              <w:spacing w:after="0" w:line="320" w:lineRule="atLeast"/>
              <w:ind w:left="60" w:right="60"/>
              <w:rPr>
                <w:color w:val="264A60"/>
                <w:sz w:val="18"/>
              </w:rPr>
            </w:pPr>
            <w:r w:rsidRPr="00344E93">
              <w:rPr>
                <w:color w:val="264A60"/>
                <w:sz w:val="18"/>
              </w:rPr>
              <w:t>Do not wish to disclose</w:t>
            </w:r>
          </w:p>
        </w:tc>
        <w:tc>
          <w:tcPr>
            <w:tcW w:w="92" w:type="dxa"/>
            <w:tcBorders>
              <w:top w:val="nil"/>
              <w:left w:val="nil"/>
              <w:bottom w:val="nil"/>
              <w:right w:val="nil"/>
            </w:tcBorders>
            <w:shd w:val="clear" w:color="auto" w:fill="FFFFFF" w:themeFill="background1"/>
          </w:tcPr>
          <w:p w14:paraId="2F8FC080"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w:t>
            </w:r>
          </w:p>
        </w:tc>
        <w:tc>
          <w:tcPr>
            <w:tcW w:w="612" w:type="dxa"/>
            <w:tcBorders>
              <w:top w:val="nil"/>
              <w:left w:val="nil"/>
              <w:bottom w:val="nil"/>
              <w:right w:val="nil"/>
            </w:tcBorders>
            <w:shd w:val="clear" w:color="auto" w:fill="FFFFFF" w:themeFill="background1"/>
          </w:tcPr>
          <w:p w14:paraId="38D8CAE3"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1.7%</w:t>
            </w:r>
          </w:p>
        </w:tc>
        <w:tc>
          <w:tcPr>
            <w:tcW w:w="593" w:type="dxa"/>
            <w:tcBorders>
              <w:top w:val="nil"/>
              <w:left w:val="nil"/>
              <w:bottom w:val="nil"/>
              <w:right w:val="nil"/>
            </w:tcBorders>
            <w:shd w:val="clear" w:color="auto" w:fill="FFFFFF" w:themeFill="background1"/>
          </w:tcPr>
          <w:p w14:paraId="6FEC3EE1"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12</w:t>
            </w:r>
          </w:p>
        </w:tc>
        <w:tc>
          <w:tcPr>
            <w:tcW w:w="2672" w:type="dxa"/>
            <w:tcBorders>
              <w:top w:val="nil"/>
              <w:left w:val="nil"/>
              <w:bottom w:val="nil"/>
              <w:right w:val="nil"/>
            </w:tcBorders>
            <w:shd w:val="clear" w:color="auto" w:fill="FFFFFF" w:themeFill="background1"/>
          </w:tcPr>
          <w:p w14:paraId="55352477" w14:textId="77777777" w:rsidR="008772D0" w:rsidRPr="00096E78" w:rsidRDefault="008772D0"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0.9%</w:t>
            </w:r>
          </w:p>
        </w:tc>
      </w:tr>
      <w:tr w:rsidR="00B734D4" w:rsidRPr="0074586F" w14:paraId="7F2A9E67" w14:textId="77777777" w:rsidTr="00344E93">
        <w:trPr>
          <w:cantSplit/>
        </w:trPr>
        <w:tc>
          <w:tcPr>
            <w:tcW w:w="7513" w:type="dxa"/>
            <w:gridSpan w:val="5"/>
            <w:tcBorders>
              <w:top w:val="nil"/>
              <w:left w:val="nil"/>
              <w:bottom w:val="single" w:sz="4" w:space="0" w:color="auto"/>
              <w:right w:val="nil"/>
            </w:tcBorders>
            <w:shd w:val="clear" w:color="auto" w:fill="FFFFFF" w:themeFill="background1"/>
          </w:tcPr>
          <w:p w14:paraId="01AA5925" w14:textId="77777777" w:rsidR="00B734D4" w:rsidRPr="00096E78" w:rsidRDefault="00B734D4" w:rsidP="00B734D4">
            <w:pPr>
              <w:autoSpaceDE w:val="0"/>
              <w:autoSpaceDN w:val="0"/>
              <w:adjustRightInd w:val="0"/>
              <w:spacing w:after="0" w:line="320" w:lineRule="atLeast"/>
              <w:ind w:left="60" w:right="60"/>
              <w:rPr>
                <w:rFonts w:cstheme="minorHAnsi"/>
                <w:sz w:val="18"/>
                <w:szCs w:val="18"/>
              </w:rPr>
            </w:pPr>
            <w:r w:rsidRPr="00096E78">
              <w:rPr>
                <w:rFonts w:cstheme="minorHAnsi"/>
                <w:sz w:val="18"/>
                <w:szCs w:val="18"/>
              </w:rPr>
              <w:t>*</w:t>
            </w:r>
            <w:r w:rsidRPr="008D2659">
              <w:rPr>
                <w:rFonts w:cstheme="minorHAnsi"/>
                <w:sz w:val="18"/>
                <w:szCs w:val="18"/>
              </w:rPr>
              <w:t>Kruskal-Wallis Test, p=.03</w:t>
            </w:r>
          </w:p>
        </w:tc>
      </w:tr>
      <w:tr w:rsidR="00344E93" w:rsidRPr="0074586F" w14:paraId="5F4E239E" w14:textId="77777777" w:rsidTr="00344E93">
        <w:trPr>
          <w:cantSplit/>
        </w:trPr>
        <w:tc>
          <w:tcPr>
            <w:tcW w:w="7513" w:type="dxa"/>
            <w:gridSpan w:val="5"/>
            <w:tcBorders>
              <w:top w:val="single" w:sz="4" w:space="0" w:color="auto"/>
              <w:left w:val="nil"/>
              <w:bottom w:val="nil"/>
              <w:right w:val="single" w:sz="8" w:space="0" w:color="E0E0E0"/>
            </w:tcBorders>
            <w:shd w:val="clear" w:color="auto" w:fill="FFFFFF" w:themeFill="background1"/>
          </w:tcPr>
          <w:p w14:paraId="210BDDF1" w14:textId="77777777" w:rsidR="00994464" w:rsidRPr="00096E78" w:rsidRDefault="00994464" w:rsidP="008772D0">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Years work</w:t>
            </w:r>
            <w:r w:rsidR="00786CE5" w:rsidRPr="00096E78">
              <w:rPr>
                <w:rFonts w:cstheme="minorHAnsi"/>
                <w:sz w:val="18"/>
                <w:szCs w:val="18"/>
              </w:rPr>
              <w:t>ed</w:t>
            </w:r>
            <w:r w:rsidRPr="00096E78">
              <w:rPr>
                <w:rFonts w:cstheme="minorHAnsi"/>
                <w:sz w:val="18"/>
                <w:szCs w:val="18"/>
              </w:rPr>
              <w:t xml:space="preserve"> since qualified</w:t>
            </w:r>
            <w:r w:rsidR="00B734D4" w:rsidRPr="00096E78">
              <w:rPr>
                <w:rFonts w:cstheme="minorHAnsi"/>
                <w:sz w:val="18"/>
                <w:szCs w:val="18"/>
              </w:rPr>
              <w:t xml:space="preserve"> by gender**</w:t>
            </w:r>
          </w:p>
        </w:tc>
      </w:tr>
      <w:tr w:rsidR="006C70FA" w:rsidRPr="0074586F" w14:paraId="139C56B4" w14:textId="77777777" w:rsidTr="00A70161">
        <w:trPr>
          <w:cantSplit/>
        </w:trPr>
        <w:tc>
          <w:tcPr>
            <w:tcW w:w="3544" w:type="dxa"/>
            <w:tcBorders>
              <w:top w:val="nil"/>
              <w:left w:val="nil"/>
              <w:bottom w:val="nil"/>
              <w:right w:val="nil"/>
            </w:tcBorders>
            <w:shd w:val="clear" w:color="auto" w:fill="FFFFFF" w:themeFill="background1"/>
          </w:tcPr>
          <w:p w14:paraId="53B93FA9"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Up to 5 years</w:t>
            </w:r>
          </w:p>
        </w:tc>
        <w:tc>
          <w:tcPr>
            <w:tcW w:w="92" w:type="dxa"/>
            <w:tcBorders>
              <w:top w:val="nil"/>
              <w:left w:val="nil"/>
              <w:bottom w:val="nil"/>
              <w:right w:val="nil"/>
            </w:tcBorders>
            <w:shd w:val="clear" w:color="auto" w:fill="FFFFFF" w:themeFill="background1"/>
          </w:tcPr>
          <w:p w14:paraId="04CC1961"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88</w:t>
            </w:r>
          </w:p>
        </w:tc>
        <w:tc>
          <w:tcPr>
            <w:tcW w:w="612" w:type="dxa"/>
            <w:tcBorders>
              <w:top w:val="nil"/>
              <w:left w:val="nil"/>
              <w:bottom w:val="nil"/>
              <w:right w:val="nil"/>
            </w:tcBorders>
            <w:shd w:val="clear" w:color="auto" w:fill="FFFFFF" w:themeFill="background1"/>
          </w:tcPr>
          <w:p w14:paraId="24F64FB1"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27.5%</w:t>
            </w:r>
          </w:p>
        </w:tc>
        <w:tc>
          <w:tcPr>
            <w:tcW w:w="593" w:type="dxa"/>
            <w:tcBorders>
              <w:top w:val="nil"/>
              <w:left w:val="nil"/>
              <w:bottom w:val="nil"/>
              <w:right w:val="nil"/>
            </w:tcBorders>
            <w:shd w:val="clear" w:color="auto" w:fill="FFFFFF" w:themeFill="background1"/>
          </w:tcPr>
          <w:p w14:paraId="185C0EA6"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515</w:t>
            </w:r>
          </w:p>
        </w:tc>
        <w:tc>
          <w:tcPr>
            <w:tcW w:w="2672" w:type="dxa"/>
            <w:tcBorders>
              <w:top w:val="nil"/>
              <w:left w:val="nil"/>
              <w:bottom w:val="nil"/>
              <w:right w:val="nil"/>
            </w:tcBorders>
            <w:shd w:val="clear" w:color="auto" w:fill="FFFFFF" w:themeFill="background1"/>
          </w:tcPr>
          <w:p w14:paraId="1EAAA583"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38.6%</w:t>
            </w:r>
          </w:p>
        </w:tc>
      </w:tr>
      <w:tr w:rsidR="006C70FA" w:rsidRPr="0074586F" w14:paraId="4123A266" w14:textId="77777777" w:rsidTr="00A70161">
        <w:trPr>
          <w:cantSplit/>
        </w:trPr>
        <w:tc>
          <w:tcPr>
            <w:tcW w:w="3544" w:type="dxa"/>
            <w:tcBorders>
              <w:top w:val="nil"/>
              <w:left w:val="nil"/>
              <w:bottom w:val="nil"/>
              <w:right w:val="nil"/>
            </w:tcBorders>
            <w:shd w:val="clear" w:color="auto" w:fill="FFFFFF" w:themeFill="background1"/>
          </w:tcPr>
          <w:p w14:paraId="6FB6EF22"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5 - 10 years</w:t>
            </w:r>
          </w:p>
        </w:tc>
        <w:tc>
          <w:tcPr>
            <w:tcW w:w="92" w:type="dxa"/>
            <w:tcBorders>
              <w:top w:val="nil"/>
              <w:left w:val="nil"/>
              <w:bottom w:val="nil"/>
              <w:right w:val="nil"/>
            </w:tcBorders>
            <w:shd w:val="clear" w:color="auto" w:fill="FFFFFF" w:themeFill="background1"/>
          </w:tcPr>
          <w:p w14:paraId="5800F0F3"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79</w:t>
            </w:r>
          </w:p>
        </w:tc>
        <w:tc>
          <w:tcPr>
            <w:tcW w:w="612" w:type="dxa"/>
            <w:tcBorders>
              <w:top w:val="nil"/>
              <w:left w:val="nil"/>
              <w:bottom w:val="nil"/>
              <w:right w:val="nil"/>
            </w:tcBorders>
            <w:shd w:val="clear" w:color="auto" w:fill="FFFFFF" w:themeFill="background1"/>
          </w:tcPr>
          <w:p w14:paraId="37286F06"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24.7%</w:t>
            </w:r>
          </w:p>
        </w:tc>
        <w:tc>
          <w:tcPr>
            <w:tcW w:w="593" w:type="dxa"/>
            <w:tcBorders>
              <w:top w:val="nil"/>
              <w:left w:val="nil"/>
              <w:bottom w:val="nil"/>
              <w:right w:val="nil"/>
            </w:tcBorders>
            <w:shd w:val="clear" w:color="auto" w:fill="FFFFFF" w:themeFill="background1"/>
          </w:tcPr>
          <w:p w14:paraId="2537FD5E"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308</w:t>
            </w:r>
          </w:p>
        </w:tc>
        <w:tc>
          <w:tcPr>
            <w:tcW w:w="2672" w:type="dxa"/>
            <w:tcBorders>
              <w:top w:val="nil"/>
              <w:left w:val="nil"/>
              <w:bottom w:val="nil"/>
              <w:right w:val="nil"/>
            </w:tcBorders>
            <w:shd w:val="clear" w:color="auto" w:fill="FFFFFF" w:themeFill="background1"/>
          </w:tcPr>
          <w:p w14:paraId="6FFFBDDC"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23.1%</w:t>
            </w:r>
          </w:p>
        </w:tc>
      </w:tr>
      <w:tr w:rsidR="006C70FA" w:rsidRPr="0074586F" w14:paraId="4B81D0C2" w14:textId="77777777" w:rsidTr="00A70161">
        <w:trPr>
          <w:cantSplit/>
        </w:trPr>
        <w:tc>
          <w:tcPr>
            <w:tcW w:w="3544" w:type="dxa"/>
            <w:tcBorders>
              <w:top w:val="nil"/>
              <w:left w:val="nil"/>
              <w:bottom w:val="nil"/>
              <w:right w:val="nil"/>
            </w:tcBorders>
            <w:shd w:val="clear" w:color="auto" w:fill="FFFFFF" w:themeFill="background1"/>
          </w:tcPr>
          <w:p w14:paraId="0F19F81A"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11 - 15 years</w:t>
            </w:r>
          </w:p>
        </w:tc>
        <w:tc>
          <w:tcPr>
            <w:tcW w:w="92" w:type="dxa"/>
            <w:tcBorders>
              <w:top w:val="nil"/>
              <w:left w:val="nil"/>
              <w:bottom w:val="nil"/>
              <w:right w:val="nil"/>
            </w:tcBorders>
            <w:shd w:val="clear" w:color="auto" w:fill="FFFFFF" w:themeFill="background1"/>
          </w:tcPr>
          <w:p w14:paraId="724FB723"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50</w:t>
            </w:r>
          </w:p>
        </w:tc>
        <w:tc>
          <w:tcPr>
            <w:tcW w:w="612" w:type="dxa"/>
            <w:tcBorders>
              <w:top w:val="nil"/>
              <w:left w:val="nil"/>
              <w:bottom w:val="nil"/>
              <w:right w:val="nil"/>
            </w:tcBorders>
            <w:shd w:val="clear" w:color="auto" w:fill="FFFFFF" w:themeFill="background1"/>
          </w:tcPr>
          <w:p w14:paraId="7731B4AB"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15.6%</w:t>
            </w:r>
          </w:p>
        </w:tc>
        <w:tc>
          <w:tcPr>
            <w:tcW w:w="593" w:type="dxa"/>
            <w:tcBorders>
              <w:top w:val="nil"/>
              <w:left w:val="nil"/>
              <w:bottom w:val="nil"/>
              <w:right w:val="nil"/>
            </w:tcBorders>
            <w:shd w:val="clear" w:color="auto" w:fill="FFFFFF" w:themeFill="background1"/>
          </w:tcPr>
          <w:p w14:paraId="48ED072C"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198</w:t>
            </w:r>
          </w:p>
        </w:tc>
        <w:tc>
          <w:tcPr>
            <w:tcW w:w="2672" w:type="dxa"/>
            <w:tcBorders>
              <w:top w:val="nil"/>
              <w:left w:val="nil"/>
              <w:bottom w:val="nil"/>
              <w:right w:val="nil"/>
            </w:tcBorders>
            <w:shd w:val="clear" w:color="auto" w:fill="FFFFFF" w:themeFill="background1"/>
          </w:tcPr>
          <w:p w14:paraId="4838F0FC"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14.8%</w:t>
            </w:r>
          </w:p>
        </w:tc>
      </w:tr>
      <w:tr w:rsidR="006C70FA" w:rsidRPr="0074586F" w14:paraId="3F2D1A14" w14:textId="77777777" w:rsidTr="00A70161">
        <w:trPr>
          <w:cantSplit/>
        </w:trPr>
        <w:tc>
          <w:tcPr>
            <w:tcW w:w="3544" w:type="dxa"/>
            <w:tcBorders>
              <w:top w:val="nil"/>
              <w:left w:val="nil"/>
              <w:bottom w:val="nil"/>
              <w:right w:val="nil"/>
            </w:tcBorders>
            <w:shd w:val="clear" w:color="auto" w:fill="FFFFFF" w:themeFill="background1"/>
          </w:tcPr>
          <w:p w14:paraId="4E327AD1"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16 - 20 years</w:t>
            </w:r>
          </w:p>
        </w:tc>
        <w:tc>
          <w:tcPr>
            <w:tcW w:w="92" w:type="dxa"/>
            <w:tcBorders>
              <w:top w:val="nil"/>
              <w:left w:val="nil"/>
              <w:bottom w:val="nil"/>
              <w:right w:val="nil"/>
            </w:tcBorders>
            <w:shd w:val="clear" w:color="auto" w:fill="FFFFFF" w:themeFill="background1"/>
          </w:tcPr>
          <w:p w14:paraId="019E83B0"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40</w:t>
            </w:r>
          </w:p>
        </w:tc>
        <w:tc>
          <w:tcPr>
            <w:tcW w:w="612" w:type="dxa"/>
            <w:tcBorders>
              <w:top w:val="nil"/>
              <w:left w:val="nil"/>
              <w:bottom w:val="nil"/>
              <w:right w:val="nil"/>
            </w:tcBorders>
            <w:shd w:val="clear" w:color="auto" w:fill="FFFFFF" w:themeFill="background1"/>
          </w:tcPr>
          <w:p w14:paraId="392EAFA9"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12.5%</w:t>
            </w:r>
          </w:p>
        </w:tc>
        <w:tc>
          <w:tcPr>
            <w:tcW w:w="593" w:type="dxa"/>
            <w:tcBorders>
              <w:top w:val="nil"/>
              <w:left w:val="nil"/>
              <w:bottom w:val="nil"/>
              <w:right w:val="nil"/>
            </w:tcBorders>
            <w:shd w:val="clear" w:color="auto" w:fill="FFFFFF" w:themeFill="background1"/>
          </w:tcPr>
          <w:p w14:paraId="4F15AD21"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127</w:t>
            </w:r>
          </w:p>
        </w:tc>
        <w:tc>
          <w:tcPr>
            <w:tcW w:w="2672" w:type="dxa"/>
            <w:tcBorders>
              <w:top w:val="nil"/>
              <w:left w:val="nil"/>
              <w:bottom w:val="nil"/>
              <w:right w:val="nil"/>
            </w:tcBorders>
            <w:shd w:val="clear" w:color="auto" w:fill="FFFFFF" w:themeFill="background1"/>
          </w:tcPr>
          <w:p w14:paraId="0D9F9BEA"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9.5%</w:t>
            </w:r>
          </w:p>
        </w:tc>
      </w:tr>
      <w:tr w:rsidR="006C70FA" w:rsidRPr="0074586F" w14:paraId="359CBD19" w14:textId="77777777" w:rsidTr="00A70161">
        <w:trPr>
          <w:cantSplit/>
        </w:trPr>
        <w:tc>
          <w:tcPr>
            <w:tcW w:w="3544" w:type="dxa"/>
            <w:tcBorders>
              <w:top w:val="nil"/>
              <w:left w:val="nil"/>
              <w:bottom w:val="nil"/>
              <w:right w:val="nil"/>
            </w:tcBorders>
            <w:shd w:val="clear" w:color="auto" w:fill="FFFFFF" w:themeFill="background1"/>
          </w:tcPr>
          <w:p w14:paraId="404E4257"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21 - 25 years</w:t>
            </w:r>
          </w:p>
        </w:tc>
        <w:tc>
          <w:tcPr>
            <w:tcW w:w="92" w:type="dxa"/>
            <w:tcBorders>
              <w:top w:val="nil"/>
              <w:left w:val="nil"/>
              <w:bottom w:val="nil"/>
              <w:right w:val="nil"/>
            </w:tcBorders>
            <w:shd w:val="clear" w:color="auto" w:fill="FFFFFF" w:themeFill="background1"/>
          </w:tcPr>
          <w:p w14:paraId="1553CB9D"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24</w:t>
            </w:r>
          </w:p>
        </w:tc>
        <w:tc>
          <w:tcPr>
            <w:tcW w:w="612" w:type="dxa"/>
            <w:tcBorders>
              <w:top w:val="nil"/>
              <w:left w:val="nil"/>
              <w:bottom w:val="nil"/>
              <w:right w:val="nil"/>
            </w:tcBorders>
            <w:shd w:val="clear" w:color="auto" w:fill="FFFFFF" w:themeFill="background1"/>
          </w:tcPr>
          <w:p w14:paraId="4AB70EDD"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7.5%</w:t>
            </w:r>
          </w:p>
        </w:tc>
        <w:tc>
          <w:tcPr>
            <w:tcW w:w="593" w:type="dxa"/>
            <w:tcBorders>
              <w:top w:val="nil"/>
              <w:left w:val="nil"/>
              <w:bottom w:val="nil"/>
              <w:right w:val="nil"/>
            </w:tcBorders>
            <w:shd w:val="clear" w:color="auto" w:fill="FFFFFF" w:themeFill="background1"/>
          </w:tcPr>
          <w:p w14:paraId="6BC22367"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82</w:t>
            </w:r>
          </w:p>
        </w:tc>
        <w:tc>
          <w:tcPr>
            <w:tcW w:w="2672" w:type="dxa"/>
            <w:tcBorders>
              <w:top w:val="nil"/>
              <w:left w:val="nil"/>
              <w:bottom w:val="nil"/>
              <w:right w:val="nil"/>
            </w:tcBorders>
            <w:shd w:val="clear" w:color="auto" w:fill="FFFFFF" w:themeFill="background1"/>
          </w:tcPr>
          <w:p w14:paraId="11D50E92"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6.1%</w:t>
            </w:r>
          </w:p>
        </w:tc>
      </w:tr>
      <w:tr w:rsidR="006C70FA" w:rsidRPr="0074586F" w14:paraId="35591571" w14:textId="77777777" w:rsidTr="00A70161">
        <w:trPr>
          <w:cantSplit/>
        </w:trPr>
        <w:tc>
          <w:tcPr>
            <w:tcW w:w="3544" w:type="dxa"/>
            <w:tcBorders>
              <w:top w:val="nil"/>
              <w:left w:val="nil"/>
              <w:bottom w:val="nil"/>
              <w:right w:val="nil"/>
            </w:tcBorders>
            <w:shd w:val="clear" w:color="auto" w:fill="FFFFFF" w:themeFill="background1"/>
          </w:tcPr>
          <w:p w14:paraId="590F3B8D"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26 - 30 years</w:t>
            </w:r>
          </w:p>
        </w:tc>
        <w:tc>
          <w:tcPr>
            <w:tcW w:w="92" w:type="dxa"/>
            <w:tcBorders>
              <w:top w:val="nil"/>
              <w:left w:val="nil"/>
              <w:bottom w:val="nil"/>
              <w:right w:val="nil"/>
            </w:tcBorders>
            <w:shd w:val="clear" w:color="auto" w:fill="FFFFFF" w:themeFill="background1"/>
          </w:tcPr>
          <w:p w14:paraId="386C7766"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16</w:t>
            </w:r>
          </w:p>
        </w:tc>
        <w:tc>
          <w:tcPr>
            <w:tcW w:w="612" w:type="dxa"/>
            <w:tcBorders>
              <w:top w:val="nil"/>
              <w:left w:val="nil"/>
              <w:bottom w:val="nil"/>
              <w:right w:val="nil"/>
            </w:tcBorders>
            <w:shd w:val="clear" w:color="auto" w:fill="FFFFFF" w:themeFill="background1"/>
          </w:tcPr>
          <w:p w14:paraId="342D6277"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5.0%</w:t>
            </w:r>
          </w:p>
        </w:tc>
        <w:tc>
          <w:tcPr>
            <w:tcW w:w="593" w:type="dxa"/>
            <w:tcBorders>
              <w:top w:val="nil"/>
              <w:left w:val="nil"/>
              <w:bottom w:val="nil"/>
              <w:right w:val="nil"/>
            </w:tcBorders>
            <w:shd w:val="clear" w:color="auto" w:fill="FFFFFF" w:themeFill="background1"/>
          </w:tcPr>
          <w:p w14:paraId="4C2743F9"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56</w:t>
            </w:r>
          </w:p>
        </w:tc>
        <w:tc>
          <w:tcPr>
            <w:tcW w:w="2672" w:type="dxa"/>
            <w:tcBorders>
              <w:top w:val="nil"/>
              <w:left w:val="nil"/>
              <w:bottom w:val="nil"/>
              <w:right w:val="nil"/>
            </w:tcBorders>
            <w:shd w:val="clear" w:color="auto" w:fill="FFFFFF" w:themeFill="background1"/>
          </w:tcPr>
          <w:p w14:paraId="19679202"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4.2%</w:t>
            </w:r>
          </w:p>
        </w:tc>
      </w:tr>
      <w:tr w:rsidR="006C70FA" w:rsidRPr="0074586F" w14:paraId="14FBDE7F" w14:textId="77777777" w:rsidTr="00A70161">
        <w:trPr>
          <w:cantSplit/>
        </w:trPr>
        <w:tc>
          <w:tcPr>
            <w:tcW w:w="3544" w:type="dxa"/>
            <w:tcBorders>
              <w:top w:val="nil"/>
              <w:left w:val="nil"/>
              <w:bottom w:val="nil"/>
              <w:right w:val="nil"/>
            </w:tcBorders>
            <w:shd w:val="clear" w:color="auto" w:fill="FFFFFF" w:themeFill="background1"/>
          </w:tcPr>
          <w:p w14:paraId="35986B2A"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31 - 35 years</w:t>
            </w:r>
          </w:p>
        </w:tc>
        <w:tc>
          <w:tcPr>
            <w:tcW w:w="92" w:type="dxa"/>
            <w:tcBorders>
              <w:top w:val="nil"/>
              <w:left w:val="nil"/>
              <w:bottom w:val="nil"/>
              <w:right w:val="nil"/>
            </w:tcBorders>
            <w:shd w:val="clear" w:color="auto" w:fill="FFFFFF" w:themeFill="background1"/>
          </w:tcPr>
          <w:p w14:paraId="3353FF4D"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10</w:t>
            </w:r>
          </w:p>
        </w:tc>
        <w:tc>
          <w:tcPr>
            <w:tcW w:w="612" w:type="dxa"/>
            <w:tcBorders>
              <w:top w:val="nil"/>
              <w:left w:val="nil"/>
              <w:bottom w:val="nil"/>
              <w:right w:val="nil"/>
            </w:tcBorders>
            <w:shd w:val="clear" w:color="auto" w:fill="FFFFFF" w:themeFill="background1"/>
          </w:tcPr>
          <w:p w14:paraId="38760D08"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3.1%</w:t>
            </w:r>
          </w:p>
        </w:tc>
        <w:tc>
          <w:tcPr>
            <w:tcW w:w="593" w:type="dxa"/>
            <w:tcBorders>
              <w:top w:val="nil"/>
              <w:left w:val="nil"/>
              <w:bottom w:val="nil"/>
              <w:right w:val="nil"/>
            </w:tcBorders>
            <w:shd w:val="clear" w:color="auto" w:fill="FFFFFF" w:themeFill="background1"/>
          </w:tcPr>
          <w:p w14:paraId="23DEC081"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32</w:t>
            </w:r>
          </w:p>
        </w:tc>
        <w:tc>
          <w:tcPr>
            <w:tcW w:w="2672" w:type="dxa"/>
            <w:tcBorders>
              <w:top w:val="nil"/>
              <w:left w:val="nil"/>
              <w:bottom w:val="nil"/>
              <w:right w:val="nil"/>
            </w:tcBorders>
            <w:shd w:val="clear" w:color="auto" w:fill="FFFFFF" w:themeFill="background1"/>
          </w:tcPr>
          <w:p w14:paraId="338BCB1D"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2.4%</w:t>
            </w:r>
          </w:p>
        </w:tc>
      </w:tr>
      <w:tr w:rsidR="006C70FA" w:rsidRPr="0074586F" w14:paraId="2AFE73D9" w14:textId="77777777" w:rsidTr="00A70161">
        <w:trPr>
          <w:cantSplit/>
        </w:trPr>
        <w:tc>
          <w:tcPr>
            <w:tcW w:w="3544" w:type="dxa"/>
            <w:tcBorders>
              <w:top w:val="nil"/>
              <w:left w:val="nil"/>
              <w:bottom w:val="single" w:sz="4" w:space="0" w:color="auto"/>
              <w:right w:val="nil"/>
            </w:tcBorders>
            <w:shd w:val="clear" w:color="auto" w:fill="FFFFFF" w:themeFill="background1"/>
          </w:tcPr>
          <w:p w14:paraId="1D936224" w14:textId="77777777" w:rsidR="00994464" w:rsidRPr="00344E93" w:rsidRDefault="00994464" w:rsidP="00994464">
            <w:pPr>
              <w:autoSpaceDE w:val="0"/>
              <w:autoSpaceDN w:val="0"/>
              <w:adjustRightInd w:val="0"/>
              <w:spacing w:after="0" w:line="320" w:lineRule="atLeast"/>
              <w:ind w:left="60" w:right="60"/>
              <w:rPr>
                <w:color w:val="264A60"/>
                <w:sz w:val="18"/>
              </w:rPr>
            </w:pPr>
            <w:r w:rsidRPr="00344E93">
              <w:rPr>
                <w:color w:val="264A60"/>
                <w:sz w:val="18"/>
              </w:rPr>
              <w:t>36 years or more</w:t>
            </w:r>
          </w:p>
        </w:tc>
        <w:tc>
          <w:tcPr>
            <w:tcW w:w="92" w:type="dxa"/>
            <w:tcBorders>
              <w:top w:val="nil"/>
              <w:left w:val="nil"/>
              <w:bottom w:val="single" w:sz="4" w:space="0" w:color="auto"/>
              <w:right w:val="nil"/>
            </w:tcBorders>
            <w:shd w:val="clear" w:color="auto" w:fill="FFFFFF" w:themeFill="background1"/>
          </w:tcPr>
          <w:p w14:paraId="3A28B4CD"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13</w:t>
            </w:r>
          </w:p>
        </w:tc>
        <w:tc>
          <w:tcPr>
            <w:tcW w:w="612" w:type="dxa"/>
            <w:tcBorders>
              <w:top w:val="nil"/>
              <w:left w:val="nil"/>
              <w:bottom w:val="single" w:sz="4" w:space="0" w:color="auto"/>
              <w:right w:val="nil"/>
            </w:tcBorders>
            <w:shd w:val="clear" w:color="auto" w:fill="FFFFFF" w:themeFill="background1"/>
          </w:tcPr>
          <w:p w14:paraId="46ACFF61"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4.1%</w:t>
            </w:r>
          </w:p>
        </w:tc>
        <w:tc>
          <w:tcPr>
            <w:tcW w:w="593" w:type="dxa"/>
            <w:tcBorders>
              <w:top w:val="nil"/>
              <w:left w:val="nil"/>
              <w:bottom w:val="single" w:sz="4" w:space="0" w:color="auto"/>
              <w:right w:val="nil"/>
            </w:tcBorders>
            <w:shd w:val="clear" w:color="auto" w:fill="FFFFFF" w:themeFill="background1"/>
          </w:tcPr>
          <w:p w14:paraId="75CDFD15"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16</w:t>
            </w:r>
          </w:p>
        </w:tc>
        <w:tc>
          <w:tcPr>
            <w:tcW w:w="2672" w:type="dxa"/>
            <w:tcBorders>
              <w:top w:val="nil"/>
              <w:left w:val="nil"/>
              <w:bottom w:val="single" w:sz="4" w:space="0" w:color="auto"/>
              <w:right w:val="nil"/>
            </w:tcBorders>
            <w:shd w:val="clear" w:color="auto" w:fill="FFFFFF" w:themeFill="background1"/>
          </w:tcPr>
          <w:p w14:paraId="7A730E74" w14:textId="77777777" w:rsidR="00994464" w:rsidRPr="00096E78" w:rsidRDefault="00994464" w:rsidP="00994464">
            <w:pPr>
              <w:autoSpaceDE w:val="0"/>
              <w:autoSpaceDN w:val="0"/>
              <w:adjustRightInd w:val="0"/>
              <w:spacing w:after="0" w:line="320" w:lineRule="atLeast"/>
              <w:ind w:left="60" w:right="60"/>
              <w:jc w:val="center"/>
              <w:rPr>
                <w:rFonts w:cstheme="minorHAnsi"/>
                <w:sz w:val="18"/>
                <w:szCs w:val="18"/>
              </w:rPr>
            </w:pPr>
            <w:r w:rsidRPr="00096E78">
              <w:rPr>
                <w:rFonts w:cstheme="minorHAnsi"/>
                <w:sz w:val="18"/>
                <w:szCs w:val="18"/>
              </w:rPr>
              <w:t>1.2%</w:t>
            </w:r>
          </w:p>
        </w:tc>
      </w:tr>
      <w:tr w:rsidR="006C70FA" w:rsidRPr="0074586F" w14:paraId="1FA41067" w14:textId="77777777" w:rsidTr="00A70161">
        <w:trPr>
          <w:cantSplit/>
        </w:trPr>
        <w:tc>
          <w:tcPr>
            <w:tcW w:w="7513" w:type="dxa"/>
            <w:gridSpan w:val="5"/>
            <w:tcBorders>
              <w:top w:val="single" w:sz="4" w:space="0" w:color="auto"/>
              <w:left w:val="nil"/>
              <w:bottom w:val="single" w:sz="8" w:space="0" w:color="152935"/>
              <w:right w:val="single" w:sz="8" w:space="0" w:color="E0E0E0"/>
            </w:tcBorders>
            <w:shd w:val="clear" w:color="auto" w:fill="FFFFFF" w:themeFill="background1"/>
          </w:tcPr>
          <w:p w14:paraId="7EAF2179" w14:textId="77777777" w:rsidR="00B734D4" w:rsidRPr="00096E78" w:rsidRDefault="00B734D4" w:rsidP="00B734D4">
            <w:pPr>
              <w:autoSpaceDE w:val="0"/>
              <w:autoSpaceDN w:val="0"/>
              <w:adjustRightInd w:val="0"/>
              <w:spacing w:after="0" w:line="320" w:lineRule="atLeast"/>
              <w:ind w:left="60" w:right="60"/>
              <w:rPr>
                <w:rFonts w:cstheme="minorHAnsi"/>
                <w:sz w:val="18"/>
                <w:szCs w:val="18"/>
              </w:rPr>
            </w:pPr>
            <w:r w:rsidRPr="00096E78">
              <w:rPr>
                <w:rFonts w:cstheme="minorHAnsi"/>
                <w:sz w:val="18"/>
                <w:szCs w:val="18"/>
              </w:rPr>
              <w:t>**Kruskal-Wallis Test, p&lt;.0</w:t>
            </w:r>
            <w:r w:rsidR="00B54861" w:rsidRPr="00096E78">
              <w:rPr>
                <w:rFonts w:cstheme="minorHAnsi"/>
                <w:sz w:val="18"/>
                <w:szCs w:val="18"/>
              </w:rPr>
              <w:t>00</w:t>
            </w:r>
          </w:p>
        </w:tc>
      </w:tr>
    </w:tbl>
    <w:p w14:paraId="7415F331" w14:textId="77777777" w:rsidR="008B2DF3" w:rsidRDefault="008B2DF3" w:rsidP="000F1257">
      <w:pPr>
        <w:rPr>
          <w:b/>
          <w:bCs/>
          <w:sz w:val="28"/>
          <w:szCs w:val="28"/>
        </w:rPr>
      </w:pPr>
    </w:p>
    <w:p w14:paraId="091F8C5A" w14:textId="77777777" w:rsidR="00800725" w:rsidRDefault="00F9599C" w:rsidP="000F1257">
      <w:pPr>
        <w:rPr>
          <w:b/>
          <w:bCs/>
          <w:sz w:val="28"/>
          <w:szCs w:val="28"/>
        </w:rPr>
      </w:pPr>
      <w:r>
        <w:rPr>
          <w:rFonts w:cstheme="minorHAnsi"/>
          <w:bCs/>
          <w:color w:val="010205"/>
          <w:szCs w:val="20"/>
        </w:rPr>
        <w:br w:type="column"/>
      </w:r>
      <w:r w:rsidR="00800725" w:rsidRPr="00BF4533">
        <w:rPr>
          <w:rFonts w:cstheme="minorHAnsi"/>
          <w:bCs/>
          <w:color w:val="010205"/>
          <w:szCs w:val="20"/>
        </w:rPr>
        <w:lastRenderedPageBreak/>
        <w:t>Table 3 PPWWM means by group</w:t>
      </w: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46"/>
        <w:gridCol w:w="5735"/>
        <w:gridCol w:w="982"/>
        <w:gridCol w:w="1462"/>
        <w:gridCol w:w="1636"/>
      </w:tblGrid>
      <w:tr w:rsidR="004979BE" w:rsidRPr="00096E78" w14:paraId="233931FC" w14:textId="77777777" w:rsidTr="00822E6B">
        <w:trPr>
          <w:cantSplit/>
          <w:trHeight w:val="227"/>
        </w:trPr>
        <w:tc>
          <w:tcPr>
            <w:tcW w:w="0" w:type="auto"/>
            <w:vMerge w:val="restart"/>
            <w:tcBorders>
              <w:top w:val="nil"/>
              <w:left w:val="nil"/>
              <w:bottom w:val="single" w:sz="4" w:space="0" w:color="auto"/>
              <w:right w:val="nil"/>
            </w:tcBorders>
            <w:shd w:val="clear" w:color="auto" w:fill="FFFFFF" w:themeFill="background1"/>
            <w:textDirection w:val="btLr"/>
          </w:tcPr>
          <w:p w14:paraId="1A57FB64" w14:textId="77777777" w:rsidR="004F4C61" w:rsidRDefault="00D3764A" w:rsidP="00C84583">
            <w:pPr>
              <w:autoSpaceDE w:val="0"/>
              <w:autoSpaceDN w:val="0"/>
              <w:adjustRightInd w:val="0"/>
              <w:spacing w:after="0" w:line="320" w:lineRule="atLeast"/>
              <w:ind w:left="60" w:right="60"/>
              <w:jc w:val="center"/>
              <w:rPr>
                <w:rFonts w:cstheme="minorHAnsi"/>
                <w:b/>
                <w:bCs/>
                <w:sz w:val="20"/>
                <w:szCs w:val="20"/>
              </w:rPr>
            </w:pPr>
            <w:r>
              <w:rPr>
                <w:rFonts w:cstheme="minorHAnsi"/>
                <w:b/>
                <w:bCs/>
                <w:sz w:val="20"/>
                <w:szCs w:val="20"/>
              </w:rPr>
              <w:t>PROFESSIONAL GROUP</w:t>
            </w:r>
          </w:p>
          <w:p w14:paraId="3C53E2A0" w14:textId="77777777" w:rsidR="001B5B0D" w:rsidRDefault="001B5B0D" w:rsidP="00C84583">
            <w:pPr>
              <w:autoSpaceDE w:val="0"/>
              <w:autoSpaceDN w:val="0"/>
              <w:adjustRightInd w:val="0"/>
              <w:spacing w:after="0" w:line="320" w:lineRule="atLeast"/>
              <w:ind w:left="60" w:right="60"/>
              <w:jc w:val="center"/>
              <w:rPr>
                <w:rFonts w:cstheme="minorHAnsi"/>
                <w:b/>
                <w:bCs/>
                <w:sz w:val="20"/>
                <w:szCs w:val="20"/>
              </w:rPr>
            </w:pPr>
          </w:p>
          <w:p w14:paraId="7929EFE9" w14:textId="77777777" w:rsidR="001B5B0D" w:rsidRPr="00096E78" w:rsidRDefault="001B5B0D"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single" w:sz="4" w:space="0" w:color="auto"/>
              <w:right w:val="nil"/>
            </w:tcBorders>
            <w:shd w:val="clear" w:color="auto" w:fill="FFFFFF" w:themeFill="background1"/>
          </w:tcPr>
          <w:p w14:paraId="58E5AB0A" w14:textId="77777777" w:rsidR="004F4C61" w:rsidRPr="00096E78" w:rsidRDefault="004979BE" w:rsidP="00550228">
            <w:pPr>
              <w:autoSpaceDE w:val="0"/>
              <w:autoSpaceDN w:val="0"/>
              <w:adjustRightInd w:val="0"/>
              <w:spacing w:after="0" w:line="320" w:lineRule="atLeast"/>
              <w:ind w:left="60" w:right="60"/>
              <w:jc w:val="center"/>
              <w:rPr>
                <w:rFonts w:cstheme="minorHAnsi"/>
                <w:b/>
                <w:bCs/>
                <w:sz w:val="20"/>
                <w:szCs w:val="20"/>
              </w:rPr>
            </w:pPr>
            <w:r w:rsidRPr="00096E78">
              <w:rPr>
                <w:rFonts w:cstheme="minorHAnsi"/>
                <w:b/>
                <w:bCs/>
                <w:sz w:val="20"/>
                <w:szCs w:val="20"/>
              </w:rPr>
              <w:t>CATEGORY</w:t>
            </w:r>
          </w:p>
        </w:tc>
        <w:tc>
          <w:tcPr>
            <w:tcW w:w="983" w:type="dxa"/>
            <w:tcBorders>
              <w:top w:val="nil"/>
              <w:left w:val="nil"/>
              <w:bottom w:val="single" w:sz="4" w:space="0" w:color="auto"/>
              <w:right w:val="nil"/>
            </w:tcBorders>
            <w:shd w:val="clear" w:color="auto" w:fill="FFFFFF"/>
          </w:tcPr>
          <w:p w14:paraId="7DDF7FF6" w14:textId="77777777" w:rsidR="004F4C61"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N(%)</w:t>
            </w:r>
            <w:r w:rsidR="00096E78" w:rsidRPr="00096E78">
              <w:rPr>
                <w:rFonts w:cstheme="minorHAnsi"/>
                <w:b/>
                <w:color w:val="1C1D1E"/>
                <w:sz w:val="20"/>
                <w:szCs w:val="20"/>
                <w:shd w:val="clear" w:color="auto" w:fill="FFFFFF"/>
                <w:vertAlign w:val="superscript"/>
              </w:rPr>
              <w:t>†</w:t>
            </w:r>
          </w:p>
        </w:tc>
        <w:tc>
          <w:tcPr>
            <w:tcW w:w="1408" w:type="dxa"/>
            <w:tcBorders>
              <w:top w:val="nil"/>
              <w:left w:val="nil"/>
              <w:bottom w:val="single" w:sz="4" w:space="0" w:color="auto"/>
              <w:right w:val="nil"/>
            </w:tcBorders>
            <w:shd w:val="clear" w:color="auto" w:fill="FFFFFF"/>
          </w:tcPr>
          <w:p w14:paraId="023CFEB3" w14:textId="77777777" w:rsidR="004F4C61" w:rsidRPr="00096E78" w:rsidRDefault="004F4C61"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PPWWM</w:t>
            </w:r>
            <w:r w:rsidR="004979BE" w:rsidRPr="00096E78">
              <w:rPr>
                <w:rFonts w:cstheme="minorHAnsi"/>
                <w:b/>
                <w:bCs/>
                <w:color w:val="010205"/>
                <w:sz w:val="20"/>
                <w:szCs w:val="20"/>
              </w:rPr>
              <w:t xml:space="preserve"> Mean(SD)</w:t>
            </w:r>
          </w:p>
        </w:tc>
        <w:tc>
          <w:tcPr>
            <w:tcW w:w="1639" w:type="dxa"/>
            <w:tcBorders>
              <w:top w:val="nil"/>
              <w:left w:val="nil"/>
              <w:bottom w:val="single" w:sz="4" w:space="0" w:color="auto"/>
              <w:right w:val="nil"/>
            </w:tcBorders>
            <w:shd w:val="clear" w:color="auto" w:fill="FFFFFF"/>
          </w:tcPr>
          <w:p w14:paraId="7903D617" w14:textId="77777777" w:rsidR="004F4C61" w:rsidRPr="00096E78" w:rsidRDefault="004F4C61"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SWEMWBS</w:t>
            </w:r>
            <w:r w:rsidR="004979BE" w:rsidRPr="00096E78">
              <w:rPr>
                <w:rFonts w:cstheme="minorHAnsi"/>
                <w:b/>
                <w:bCs/>
                <w:color w:val="010205"/>
                <w:sz w:val="20"/>
                <w:szCs w:val="20"/>
              </w:rPr>
              <w:t xml:space="preserve"> Mean(SD)</w:t>
            </w:r>
          </w:p>
        </w:tc>
      </w:tr>
      <w:tr w:rsidR="004979BE" w:rsidRPr="00096E78" w14:paraId="6E012238" w14:textId="77777777" w:rsidTr="00822E6B">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643F643D"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single" w:sz="4" w:space="0" w:color="auto"/>
              <w:left w:val="nil"/>
              <w:bottom w:val="nil"/>
              <w:right w:val="nil"/>
            </w:tcBorders>
            <w:shd w:val="clear" w:color="auto" w:fill="FFFFFF" w:themeFill="background1"/>
          </w:tcPr>
          <w:p w14:paraId="6EF5743D"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Clinical Psychologist</w:t>
            </w:r>
          </w:p>
        </w:tc>
        <w:tc>
          <w:tcPr>
            <w:tcW w:w="983" w:type="dxa"/>
            <w:tcBorders>
              <w:top w:val="single" w:sz="4" w:space="0" w:color="auto"/>
              <w:left w:val="nil"/>
              <w:bottom w:val="nil"/>
              <w:right w:val="nil"/>
            </w:tcBorders>
            <w:shd w:val="clear" w:color="auto" w:fill="FFFFFF"/>
          </w:tcPr>
          <w:p w14:paraId="59794092"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814(49)</w:t>
            </w:r>
          </w:p>
        </w:tc>
        <w:tc>
          <w:tcPr>
            <w:tcW w:w="1408" w:type="dxa"/>
            <w:tcBorders>
              <w:top w:val="single" w:sz="4" w:space="0" w:color="auto"/>
              <w:left w:val="nil"/>
              <w:bottom w:val="nil"/>
              <w:right w:val="nil"/>
            </w:tcBorders>
            <w:shd w:val="clear" w:color="auto" w:fill="FFFFFF"/>
          </w:tcPr>
          <w:p w14:paraId="1BAEF6FC"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90.85(16.57)</w:t>
            </w:r>
          </w:p>
        </w:tc>
        <w:tc>
          <w:tcPr>
            <w:tcW w:w="1639" w:type="dxa"/>
            <w:tcBorders>
              <w:top w:val="single" w:sz="4" w:space="0" w:color="auto"/>
              <w:left w:val="nil"/>
              <w:bottom w:val="nil"/>
              <w:right w:val="nil"/>
            </w:tcBorders>
            <w:shd w:val="clear" w:color="auto" w:fill="FFFFFF"/>
          </w:tcPr>
          <w:p w14:paraId="2245E223" w14:textId="77777777" w:rsidR="004F4C61" w:rsidRPr="00096E78" w:rsidRDefault="004F4C61" w:rsidP="00137D86">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2.08</w:t>
            </w:r>
            <w:r w:rsidRPr="00096E78">
              <w:rPr>
                <w:rFonts w:cstheme="minorHAnsi"/>
                <w:color w:val="010205"/>
                <w:sz w:val="20"/>
                <w:szCs w:val="20"/>
              </w:rPr>
              <w:t>(</w:t>
            </w:r>
            <w:r w:rsidR="00137D86" w:rsidRPr="00096E78">
              <w:rPr>
                <w:rFonts w:cstheme="minorHAnsi"/>
                <w:color w:val="010205"/>
                <w:sz w:val="20"/>
                <w:szCs w:val="20"/>
              </w:rPr>
              <w:t>3.36</w:t>
            </w:r>
            <w:r w:rsidRPr="00096E78">
              <w:rPr>
                <w:rFonts w:cstheme="minorHAnsi"/>
                <w:color w:val="010205"/>
                <w:sz w:val="20"/>
                <w:szCs w:val="20"/>
              </w:rPr>
              <w:t>)</w:t>
            </w:r>
          </w:p>
        </w:tc>
      </w:tr>
      <w:tr w:rsidR="004979BE" w:rsidRPr="00096E78" w14:paraId="7F21964F"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3C8A9F74"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2D13E834"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Counselling Psychologist</w:t>
            </w:r>
          </w:p>
        </w:tc>
        <w:tc>
          <w:tcPr>
            <w:tcW w:w="983" w:type="dxa"/>
            <w:tcBorders>
              <w:top w:val="nil"/>
              <w:left w:val="nil"/>
              <w:bottom w:val="nil"/>
              <w:right w:val="nil"/>
            </w:tcBorders>
            <w:shd w:val="clear" w:color="auto" w:fill="FFFFFF"/>
          </w:tcPr>
          <w:p w14:paraId="6FBFDC2B"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39(2)</w:t>
            </w:r>
          </w:p>
        </w:tc>
        <w:tc>
          <w:tcPr>
            <w:tcW w:w="1408" w:type="dxa"/>
            <w:tcBorders>
              <w:top w:val="nil"/>
              <w:left w:val="nil"/>
              <w:bottom w:val="nil"/>
              <w:right w:val="nil"/>
            </w:tcBorders>
            <w:shd w:val="clear" w:color="auto" w:fill="FFFFFF"/>
          </w:tcPr>
          <w:p w14:paraId="2E6E5030"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92.05(20.70)</w:t>
            </w:r>
          </w:p>
        </w:tc>
        <w:tc>
          <w:tcPr>
            <w:tcW w:w="1639" w:type="dxa"/>
            <w:tcBorders>
              <w:top w:val="nil"/>
              <w:left w:val="nil"/>
              <w:bottom w:val="nil"/>
              <w:right w:val="nil"/>
            </w:tcBorders>
            <w:shd w:val="clear" w:color="auto" w:fill="FFFFFF"/>
          </w:tcPr>
          <w:p w14:paraId="590710EF"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2.97</w:t>
            </w:r>
            <w:r w:rsidRPr="00096E78">
              <w:rPr>
                <w:rFonts w:cstheme="minorHAnsi"/>
                <w:color w:val="010205"/>
                <w:sz w:val="20"/>
                <w:szCs w:val="20"/>
              </w:rPr>
              <w:t>(4.</w:t>
            </w:r>
            <w:r w:rsidR="00137D86" w:rsidRPr="00096E78">
              <w:rPr>
                <w:rFonts w:cstheme="minorHAnsi"/>
                <w:color w:val="010205"/>
                <w:sz w:val="20"/>
                <w:szCs w:val="20"/>
              </w:rPr>
              <w:t>34</w:t>
            </w:r>
            <w:r w:rsidRPr="00096E78">
              <w:rPr>
                <w:rFonts w:cstheme="minorHAnsi"/>
                <w:color w:val="010205"/>
                <w:sz w:val="20"/>
                <w:szCs w:val="20"/>
              </w:rPr>
              <w:t>)</w:t>
            </w:r>
          </w:p>
        </w:tc>
      </w:tr>
      <w:tr w:rsidR="004979BE" w:rsidRPr="00096E78" w14:paraId="6B9DF335"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46904DB5"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29020015"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High Intensity Therapist</w:t>
            </w:r>
          </w:p>
        </w:tc>
        <w:tc>
          <w:tcPr>
            <w:tcW w:w="983" w:type="dxa"/>
            <w:tcBorders>
              <w:top w:val="nil"/>
              <w:left w:val="nil"/>
              <w:bottom w:val="nil"/>
              <w:right w:val="nil"/>
            </w:tcBorders>
            <w:shd w:val="clear" w:color="auto" w:fill="FFFFFF"/>
          </w:tcPr>
          <w:p w14:paraId="4CC9EB9D"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152(9)</w:t>
            </w:r>
          </w:p>
        </w:tc>
        <w:tc>
          <w:tcPr>
            <w:tcW w:w="1408" w:type="dxa"/>
            <w:tcBorders>
              <w:top w:val="nil"/>
              <w:left w:val="nil"/>
              <w:bottom w:val="nil"/>
              <w:right w:val="nil"/>
            </w:tcBorders>
            <w:shd w:val="clear" w:color="auto" w:fill="FFFFFF"/>
          </w:tcPr>
          <w:p w14:paraId="7960B289"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89.11(19.96)</w:t>
            </w:r>
          </w:p>
        </w:tc>
        <w:tc>
          <w:tcPr>
            <w:tcW w:w="1639" w:type="dxa"/>
            <w:tcBorders>
              <w:top w:val="nil"/>
              <w:left w:val="nil"/>
              <w:bottom w:val="nil"/>
              <w:right w:val="nil"/>
            </w:tcBorders>
            <w:shd w:val="clear" w:color="auto" w:fill="FFFFFF"/>
          </w:tcPr>
          <w:p w14:paraId="0DAE1D12"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1.69</w:t>
            </w:r>
            <w:r w:rsidRPr="00096E78">
              <w:rPr>
                <w:rFonts w:cstheme="minorHAnsi"/>
                <w:color w:val="010205"/>
                <w:sz w:val="20"/>
                <w:szCs w:val="20"/>
              </w:rPr>
              <w:t>(</w:t>
            </w:r>
            <w:r w:rsidR="00137D86" w:rsidRPr="00096E78">
              <w:rPr>
                <w:rFonts w:cstheme="minorHAnsi"/>
                <w:color w:val="010205"/>
                <w:sz w:val="20"/>
                <w:szCs w:val="20"/>
              </w:rPr>
              <w:t>4.77</w:t>
            </w:r>
            <w:r w:rsidRPr="00096E78">
              <w:rPr>
                <w:rFonts w:cstheme="minorHAnsi"/>
                <w:color w:val="010205"/>
                <w:sz w:val="20"/>
                <w:szCs w:val="20"/>
              </w:rPr>
              <w:t>)</w:t>
            </w:r>
          </w:p>
        </w:tc>
      </w:tr>
      <w:tr w:rsidR="004979BE" w:rsidRPr="00096E78" w14:paraId="33DF2ACE"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258836E2"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75AE550A"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Psychological Wellbeing Practitioner</w:t>
            </w:r>
          </w:p>
        </w:tc>
        <w:tc>
          <w:tcPr>
            <w:tcW w:w="983" w:type="dxa"/>
            <w:tcBorders>
              <w:top w:val="nil"/>
              <w:left w:val="nil"/>
              <w:bottom w:val="nil"/>
              <w:right w:val="nil"/>
            </w:tcBorders>
            <w:shd w:val="clear" w:color="auto" w:fill="FFFFFF"/>
          </w:tcPr>
          <w:p w14:paraId="3C0151C6"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226(13)</w:t>
            </w:r>
          </w:p>
        </w:tc>
        <w:tc>
          <w:tcPr>
            <w:tcW w:w="1408" w:type="dxa"/>
            <w:tcBorders>
              <w:top w:val="nil"/>
              <w:left w:val="nil"/>
              <w:bottom w:val="nil"/>
              <w:right w:val="nil"/>
            </w:tcBorders>
            <w:shd w:val="clear" w:color="auto" w:fill="FFFFFF"/>
          </w:tcPr>
          <w:p w14:paraId="19AAFD90"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94.88(18.22)</w:t>
            </w:r>
            <w:r w:rsidR="00D3764A">
              <w:rPr>
                <w:rFonts w:cstheme="minorHAnsi"/>
                <w:color w:val="010205"/>
                <w:sz w:val="20"/>
                <w:szCs w:val="20"/>
              </w:rPr>
              <w:t>*</w:t>
            </w:r>
          </w:p>
        </w:tc>
        <w:tc>
          <w:tcPr>
            <w:tcW w:w="1639" w:type="dxa"/>
            <w:tcBorders>
              <w:top w:val="nil"/>
              <w:left w:val="nil"/>
              <w:bottom w:val="nil"/>
              <w:right w:val="nil"/>
            </w:tcBorders>
            <w:shd w:val="clear" w:color="auto" w:fill="FFFFFF"/>
          </w:tcPr>
          <w:p w14:paraId="4FCE2E9D"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3.11</w:t>
            </w:r>
            <w:r w:rsidRPr="00096E78">
              <w:rPr>
                <w:rFonts w:cstheme="minorHAnsi"/>
                <w:color w:val="010205"/>
                <w:sz w:val="20"/>
                <w:szCs w:val="20"/>
              </w:rPr>
              <w:t>(4.</w:t>
            </w:r>
            <w:r w:rsidR="00137D86" w:rsidRPr="00096E78">
              <w:rPr>
                <w:rFonts w:cstheme="minorHAnsi"/>
                <w:color w:val="010205"/>
                <w:sz w:val="20"/>
                <w:szCs w:val="20"/>
              </w:rPr>
              <w:t>64</w:t>
            </w:r>
            <w:r w:rsidRPr="00096E78">
              <w:rPr>
                <w:rFonts w:cstheme="minorHAnsi"/>
                <w:color w:val="010205"/>
                <w:sz w:val="20"/>
                <w:szCs w:val="20"/>
              </w:rPr>
              <w:t>)</w:t>
            </w:r>
            <w:r w:rsidR="00BA750F">
              <w:rPr>
                <w:rFonts w:cstheme="minorHAnsi"/>
                <w:color w:val="010205"/>
                <w:sz w:val="20"/>
                <w:szCs w:val="20"/>
              </w:rPr>
              <w:t>**</w:t>
            </w:r>
          </w:p>
        </w:tc>
      </w:tr>
      <w:tr w:rsidR="004979BE" w:rsidRPr="00096E78" w14:paraId="4524CD27" w14:textId="77777777" w:rsidTr="00800725">
        <w:trPr>
          <w:cantSplit/>
          <w:trHeight w:val="188"/>
        </w:trPr>
        <w:tc>
          <w:tcPr>
            <w:tcW w:w="0" w:type="auto"/>
            <w:vMerge/>
            <w:tcBorders>
              <w:top w:val="single" w:sz="4" w:space="0" w:color="auto"/>
              <w:left w:val="nil"/>
              <w:bottom w:val="single" w:sz="4" w:space="0" w:color="auto"/>
              <w:right w:val="nil"/>
            </w:tcBorders>
            <w:shd w:val="clear" w:color="auto" w:fill="FFFFFF" w:themeFill="background1"/>
          </w:tcPr>
          <w:p w14:paraId="1379FEA6"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4A2AE9AA"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Counsellor</w:t>
            </w:r>
          </w:p>
        </w:tc>
        <w:tc>
          <w:tcPr>
            <w:tcW w:w="983" w:type="dxa"/>
            <w:tcBorders>
              <w:top w:val="nil"/>
              <w:left w:val="nil"/>
              <w:bottom w:val="nil"/>
              <w:right w:val="nil"/>
            </w:tcBorders>
            <w:shd w:val="clear" w:color="auto" w:fill="FFFFFF"/>
          </w:tcPr>
          <w:p w14:paraId="6B5303E9"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95(6)</w:t>
            </w:r>
          </w:p>
        </w:tc>
        <w:tc>
          <w:tcPr>
            <w:tcW w:w="1408" w:type="dxa"/>
            <w:tcBorders>
              <w:top w:val="nil"/>
              <w:left w:val="nil"/>
              <w:bottom w:val="nil"/>
              <w:right w:val="nil"/>
            </w:tcBorders>
            <w:shd w:val="clear" w:color="auto" w:fill="FFFFFF"/>
          </w:tcPr>
          <w:p w14:paraId="6AC9E3B9"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95.66(16.59)</w:t>
            </w:r>
            <w:r w:rsidR="00BA750F">
              <w:rPr>
                <w:rFonts w:cstheme="minorHAnsi"/>
                <w:color w:val="010205"/>
                <w:sz w:val="20"/>
                <w:szCs w:val="20"/>
              </w:rPr>
              <w:t>*</w:t>
            </w:r>
          </w:p>
        </w:tc>
        <w:tc>
          <w:tcPr>
            <w:tcW w:w="1639" w:type="dxa"/>
            <w:tcBorders>
              <w:top w:val="nil"/>
              <w:left w:val="nil"/>
              <w:bottom w:val="nil"/>
              <w:right w:val="nil"/>
            </w:tcBorders>
            <w:shd w:val="clear" w:color="auto" w:fill="FFFFFF"/>
          </w:tcPr>
          <w:p w14:paraId="5E322791" w14:textId="77777777" w:rsidR="004F4C61" w:rsidRPr="00096E78" w:rsidRDefault="00137D86" w:rsidP="00137D86">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22.88</w:t>
            </w:r>
            <w:r w:rsidR="004F4C61" w:rsidRPr="00096E78">
              <w:rPr>
                <w:rFonts w:cstheme="minorHAnsi"/>
                <w:color w:val="010205"/>
                <w:sz w:val="20"/>
                <w:szCs w:val="20"/>
              </w:rPr>
              <w:t>(3.</w:t>
            </w:r>
            <w:r w:rsidRPr="00096E78">
              <w:rPr>
                <w:rFonts w:cstheme="minorHAnsi"/>
                <w:color w:val="010205"/>
                <w:sz w:val="20"/>
                <w:szCs w:val="20"/>
              </w:rPr>
              <w:t>81</w:t>
            </w:r>
            <w:r w:rsidR="004F4C61" w:rsidRPr="00096E78">
              <w:rPr>
                <w:rFonts w:cstheme="minorHAnsi"/>
                <w:color w:val="010205"/>
                <w:sz w:val="20"/>
                <w:szCs w:val="20"/>
              </w:rPr>
              <w:t>)</w:t>
            </w:r>
          </w:p>
        </w:tc>
      </w:tr>
      <w:tr w:rsidR="004979BE" w:rsidRPr="00096E78" w14:paraId="7859983F"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2FDF2517"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1E9EA79E"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Cognitive Behaviour Therapist</w:t>
            </w:r>
          </w:p>
        </w:tc>
        <w:tc>
          <w:tcPr>
            <w:tcW w:w="983" w:type="dxa"/>
            <w:tcBorders>
              <w:top w:val="nil"/>
              <w:left w:val="nil"/>
              <w:bottom w:val="nil"/>
              <w:right w:val="nil"/>
            </w:tcBorders>
            <w:shd w:val="clear" w:color="auto" w:fill="FFFFFF"/>
          </w:tcPr>
          <w:p w14:paraId="47911E15"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148(9)</w:t>
            </w:r>
          </w:p>
        </w:tc>
        <w:tc>
          <w:tcPr>
            <w:tcW w:w="1408" w:type="dxa"/>
            <w:tcBorders>
              <w:top w:val="nil"/>
              <w:left w:val="nil"/>
              <w:bottom w:val="nil"/>
              <w:right w:val="nil"/>
            </w:tcBorders>
            <w:shd w:val="clear" w:color="auto" w:fill="FFFFFF"/>
          </w:tcPr>
          <w:p w14:paraId="253BE29F"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91.25(18.52)</w:t>
            </w:r>
          </w:p>
        </w:tc>
        <w:tc>
          <w:tcPr>
            <w:tcW w:w="1639" w:type="dxa"/>
            <w:tcBorders>
              <w:top w:val="nil"/>
              <w:left w:val="nil"/>
              <w:bottom w:val="nil"/>
              <w:right w:val="nil"/>
            </w:tcBorders>
            <w:shd w:val="clear" w:color="auto" w:fill="FFFFFF"/>
          </w:tcPr>
          <w:p w14:paraId="0571C32F"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2.07</w:t>
            </w:r>
            <w:r w:rsidRPr="00096E78">
              <w:rPr>
                <w:rFonts w:cstheme="minorHAnsi"/>
                <w:color w:val="010205"/>
                <w:sz w:val="20"/>
                <w:szCs w:val="20"/>
              </w:rPr>
              <w:t>(4.</w:t>
            </w:r>
            <w:r w:rsidR="00137D86" w:rsidRPr="00096E78">
              <w:rPr>
                <w:rFonts w:cstheme="minorHAnsi"/>
                <w:color w:val="010205"/>
                <w:sz w:val="20"/>
                <w:szCs w:val="20"/>
              </w:rPr>
              <w:t>0</w:t>
            </w:r>
            <w:r w:rsidRPr="00096E78">
              <w:rPr>
                <w:rFonts w:cstheme="minorHAnsi"/>
                <w:color w:val="010205"/>
                <w:sz w:val="20"/>
                <w:szCs w:val="20"/>
              </w:rPr>
              <w:t>7)</w:t>
            </w:r>
          </w:p>
        </w:tc>
      </w:tr>
      <w:tr w:rsidR="004979BE" w:rsidRPr="00096E78" w14:paraId="2082FE52"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20328F3E"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4EADF5CB"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Psychotherapist</w:t>
            </w:r>
          </w:p>
        </w:tc>
        <w:tc>
          <w:tcPr>
            <w:tcW w:w="983" w:type="dxa"/>
            <w:tcBorders>
              <w:top w:val="nil"/>
              <w:left w:val="nil"/>
              <w:bottom w:val="nil"/>
              <w:right w:val="nil"/>
            </w:tcBorders>
            <w:shd w:val="clear" w:color="auto" w:fill="FFFFFF"/>
          </w:tcPr>
          <w:p w14:paraId="02BB5666"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42(3)</w:t>
            </w:r>
          </w:p>
        </w:tc>
        <w:tc>
          <w:tcPr>
            <w:tcW w:w="1408" w:type="dxa"/>
            <w:tcBorders>
              <w:top w:val="nil"/>
              <w:left w:val="nil"/>
              <w:bottom w:val="nil"/>
              <w:right w:val="nil"/>
            </w:tcBorders>
            <w:shd w:val="clear" w:color="auto" w:fill="FFFFFF"/>
          </w:tcPr>
          <w:p w14:paraId="67EE3EE0"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91.05(18.15)</w:t>
            </w:r>
          </w:p>
        </w:tc>
        <w:tc>
          <w:tcPr>
            <w:tcW w:w="1639" w:type="dxa"/>
            <w:tcBorders>
              <w:top w:val="nil"/>
              <w:left w:val="nil"/>
              <w:bottom w:val="nil"/>
              <w:right w:val="nil"/>
            </w:tcBorders>
            <w:shd w:val="clear" w:color="auto" w:fill="FFFFFF"/>
          </w:tcPr>
          <w:p w14:paraId="39EEFD95" w14:textId="77777777" w:rsidR="004F4C61" w:rsidRPr="00096E78" w:rsidRDefault="004F4C61" w:rsidP="00137D86">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2.58</w:t>
            </w:r>
            <w:r w:rsidRPr="00096E78">
              <w:rPr>
                <w:rFonts w:cstheme="minorHAnsi"/>
                <w:color w:val="010205"/>
                <w:sz w:val="20"/>
                <w:szCs w:val="20"/>
              </w:rPr>
              <w:t>(</w:t>
            </w:r>
            <w:r w:rsidR="00137D86" w:rsidRPr="00096E78">
              <w:rPr>
                <w:rFonts w:cstheme="minorHAnsi"/>
                <w:color w:val="010205"/>
                <w:sz w:val="20"/>
                <w:szCs w:val="20"/>
              </w:rPr>
              <w:t>4.71)</w:t>
            </w:r>
          </w:p>
        </w:tc>
      </w:tr>
      <w:tr w:rsidR="004979BE" w:rsidRPr="00096E78" w14:paraId="3C76D3B9"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5C634450"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67409790"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Trainee Clinical Psychologist</w:t>
            </w:r>
          </w:p>
        </w:tc>
        <w:tc>
          <w:tcPr>
            <w:tcW w:w="983" w:type="dxa"/>
            <w:tcBorders>
              <w:top w:val="nil"/>
              <w:left w:val="nil"/>
              <w:bottom w:val="nil"/>
              <w:right w:val="nil"/>
            </w:tcBorders>
            <w:shd w:val="clear" w:color="auto" w:fill="FFFFFF"/>
          </w:tcPr>
          <w:p w14:paraId="34035BBC"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28(2)</w:t>
            </w:r>
          </w:p>
        </w:tc>
        <w:tc>
          <w:tcPr>
            <w:tcW w:w="1408" w:type="dxa"/>
            <w:tcBorders>
              <w:top w:val="nil"/>
              <w:left w:val="nil"/>
              <w:bottom w:val="nil"/>
              <w:right w:val="nil"/>
            </w:tcBorders>
            <w:shd w:val="clear" w:color="auto" w:fill="FFFFFF"/>
          </w:tcPr>
          <w:p w14:paraId="7FE30EC3"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96.11(14.84)</w:t>
            </w:r>
          </w:p>
        </w:tc>
        <w:tc>
          <w:tcPr>
            <w:tcW w:w="1639" w:type="dxa"/>
            <w:tcBorders>
              <w:top w:val="nil"/>
              <w:left w:val="nil"/>
              <w:bottom w:val="nil"/>
              <w:right w:val="nil"/>
            </w:tcBorders>
            <w:shd w:val="clear" w:color="auto" w:fill="FFFFFF"/>
          </w:tcPr>
          <w:p w14:paraId="44BA5C61" w14:textId="77777777" w:rsidR="004F4C61" w:rsidRPr="00096E78" w:rsidRDefault="00137D86"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20.54</w:t>
            </w:r>
            <w:r w:rsidR="004F4C61" w:rsidRPr="00096E78">
              <w:rPr>
                <w:rFonts w:cstheme="minorHAnsi"/>
                <w:color w:val="010205"/>
                <w:sz w:val="20"/>
                <w:szCs w:val="20"/>
              </w:rPr>
              <w:t>(</w:t>
            </w:r>
            <w:r w:rsidRPr="00096E78">
              <w:rPr>
                <w:rFonts w:cstheme="minorHAnsi"/>
                <w:color w:val="010205"/>
                <w:sz w:val="20"/>
                <w:szCs w:val="20"/>
              </w:rPr>
              <w:t>2.86</w:t>
            </w:r>
            <w:r w:rsidR="004F4C61" w:rsidRPr="00096E78">
              <w:rPr>
                <w:rFonts w:cstheme="minorHAnsi"/>
                <w:color w:val="010205"/>
                <w:sz w:val="20"/>
                <w:szCs w:val="20"/>
              </w:rPr>
              <w:t>)</w:t>
            </w:r>
            <w:r w:rsidR="00D3764A">
              <w:rPr>
                <w:rFonts w:cstheme="minorHAnsi"/>
                <w:color w:val="010205"/>
                <w:sz w:val="20"/>
                <w:szCs w:val="20"/>
              </w:rPr>
              <w:t>*</w:t>
            </w:r>
            <w:r w:rsidR="00BA750F">
              <w:rPr>
                <w:rFonts w:cstheme="minorHAnsi"/>
                <w:color w:val="010205"/>
                <w:sz w:val="20"/>
                <w:szCs w:val="20"/>
              </w:rPr>
              <w:t>*</w:t>
            </w:r>
          </w:p>
        </w:tc>
      </w:tr>
      <w:tr w:rsidR="004979BE" w:rsidRPr="00096E78" w14:paraId="70180AC6"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35A53BEC"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1EF88CCD"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Nurse/Mental Health Nurse</w:t>
            </w:r>
          </w:p>
        </w:tc>
        <w:tc>
          <w:tcPr>
            <w:tcW w:w="983" w:type="dxa"/>
            <w:tcBorders>
              <w:top w:val="nil"/>
              <w:left w:val="nil"/>
              <w:bottom w:val="nil"/>
              <w:right w:val="nil"/>
            </w:tcBorders>
            <w:shd w:val="clear" w:color="auto" w:fill="FFFFFF"/>
          </w:tcPr>
          <w:p w14:paraId="403E5390"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20(1)</w:t>
            </w:r>
          </w:p>
        </w:tc>
        <w:tc>
          <w:tcPr>
            <w:tcW w:w="1408" w:type="dxa"/>
            <w:tcBorders>
              <w:top w:val="nil"/>
              <w:left w:val="nil"/>
              <w:bottom w:val="nil"/>
              <w:right w:val="nil"/>
            </w:tcBorders>
            <w:shd w:val="clear" w:color="auto" w:fill="FFFFFF"/>
          </w:tcPr>
          <w:p w14:paraId="321892E8"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92.80(16.46)</w:t>
            </w:r>
          </w:p>
        </w:tc>
        <w:tc>
          <w:tcPr>
            <w:tcW w:w="1639" w:type="dxa"/>
            <w:tcBorders>
              <w:top w:val="nil"/>
              <w:left w:val="nil"/>
              <w:bottom w:val="nil"/>
              <w:right w:val="nil"/>
            </w:tcBorders>
            <w:shd w:val="clear" w:color="auto" w:fill="FFFFFF"/>
          </w:tcPr>
          <w:p w14:paraId="73C88EB7"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2</w:t>
            </w:r>
            <w:r w:rsidRPr="00096E78">
              <w:rPr>
                <w:rFonts w:cstheme="minorHAnsi"/>
                <w:color w:val="010205"/>
                <w:sz w:val="20"/>
                <w:szCs w:val="20"/>
              </w:rPr>
              <w:t>.1</w:t>
            </w:r>
            <w:r w:rsidR="00137D86" w:rsidRPr="00096E78">
              <w:rPr>
                <w:rFonts w:cstheme="minorHAnsi"/>
                <w:color w:val="010205"/>
                <w:sz w:val="20"/>
                <w:szCs w:val="20"/>
              </w:rPr>
              <w:t>3</w:t>
            </w:r>
            <w:r w:rsidRPr="00096E78">
              <w:rPr>
                <w:rFonts w:cstheme="minorHAnsi"/>
                <w:color w:val="010205"/>
                <w:sz w:val="20"/>
                <w:szCs w:val="20"/>
              </w:rPr>
              <w:t>(4.</w:t>
            </w:r>
            <w:r w:rsidR="00137D86" w:rsidRPr="00096E78">
              <w:rPr>
                <w:rFonts w:cstheme="minorHAnsi"/>
                <w:color w:val="010205"/>
                <w:sz w:val="20"/>
                <w:szCs w:val="20"/>
              </w:rPr>
              <w:t>39</w:t>
            </w:r>
            <w:r w:rsidRPr="00096E78">
              <w:rPr>
                <w:rFonts w:cstheme="minorHAnsi"/>
                <w:color w:val="010205"/>
                <w:sz w:val="20"/>
                <w:szCs w:val="20"/>
              </w:rPr>
              <w:t>)</w:t>
            </w:r>
          </w:p>
        </w:tc>
      </w:tr>
      <w:tr w:rsidR="004979BE" w:rsidRPr="00096E78" w14:paraId="350CA64B"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6562375A"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03F2676B"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Assistant Psychologist</w:t>
            </w:r>
          </w:p>
        </w:tc>
        <w:tc>
          <w:tcPr>
            <w:tcW w:w="983" w:type="dxa"/>
            <w:tcBorders>
              <w:top w:val="nil"/>
              <w:left w:val="nil"/>
              <w:bottom w:val="nil"/>
              <w:right w:val="nil"/>
            </w:tcBorders>
            <w:shd w:val="clear" w:color="auto" w:fill="FFFFFF"/>
          </w:tcPr>
          <w:p w14:paraId="057620AF"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24(1)</w:t>
            </w:r>
          </w:p>
        </w:tc>
        <w:tc>
          <w:tcPr>
            <w:tcW w:w="1408" w:type="dxa"/>
            <w:tcBorders>
              <w:top w:val="nil"/>
              <w:left w:val="nil"/>
              <w:bottom w:val="nil"/>
              <w:right w:val="nil"/>
            </w:tcBorders>
            <w:shd w:val="clear" w:color="auto" w:fill="FFFFFF"/>
          </w:tcPr>
          <w:p w14:paraId="1FD07E84"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102.58(15.51)</w:t>
            </w:r>
            <w:r w:rsidR="006D538A">
              <w:rPr>
                <w:rFonts w:cstheme="minorHAnsi"/>
                <w:color w:val="010205"/>
                <w:sz w:val="20"/>
                <w:szCs w:val="20"/>
              </w:rPr>
              <w:t>*</w:t>
            </w:r>
          </w:p>
        </w:tc>
        <w:tc>
          <w:tcPr>
            <w:tcW w:w="1639" w:type="dxa"/>
            <w:tcBorders>
              <w:top w:val="nil"/>
              <w:left w:val="nil"/>
              <w:bottom w:val="nil"/>
              <w:right w:val="nil"/>
            </w:tcBorders>
            <w:shd w:val="clear" w:color="auto" w:fill="FFFFFF"/>
          </w:tcPr>
          <w:p w14:paraId="1C92567C"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137D86" w:rsidRPr="00096E78">
              <w:rPr>
                <w:rFonts w:cstheme="minorHAnsi"/>
                <w:color w:val="010205"/>
                <w:sz w:val="20"/>
                <w:szCs w:val="20"/>
              </w:rPr>
              <w:t>0</w:t>
            </w:r>
            <w:r w:rsidRPr="00096E78">
              <w:rPr>
                <w:rFonts w:cstheme="minorHAnsi"/>
                <w:color w:val="010205"/>
                <w:sz w:val="20"/>
                <w:szCs w:val="20"/>
              </w:rPr>
              <w:t>.</w:t>
            </w:r>
            <w:r w:rsidR="00137D86" w:rsidRPr="00096E78">
              <w:rPr>
                <w:rFonts w:cstheme="minorHAnsi"/>
                <w:color w:val="010205"/>
                <w:sz w:val="20"/>
                <w:szCs w:val="20"/>
              </w:rPr>
              <w:t>88</w:t>
            </w:r>
            <w:r w:rsidRPr="00096E78">
              <w:rPr>
                <w:rFonts w:cstheme="minorHAnsi"/>
                <w:color w:val="010205"/>
                <w:sz w:val="20"/>
                <w:szCs w:val="20"/>
              </w:rPr>
              <w:t>(</w:t>
            </w:r>
            <w:r w:rsidR="00137D86" w:rsidRPr="00096E78">
              <w:rPr>
                <w:rFonts w:cstheme="minorHAnsi"/>
                <w:color w:val="010205"/>
                <w:sz w:val="20"/>
                <w:szCs w:val="20"/>
              </w:rPr>
              <w:t>3.02</w:t>
            </w:r>
            <w:r w:rsidRPr="00096E78">
              <w:rPr>
                <w:rFonts w:cstheme="minorHAnsi"/>
                <w:color w:val="010205"/>
                <w:sz w:val="20"/>
                <w:szCs w:val="20"/>
              </w:rPr>
              <w:t>)</w:t>
            </w:r>
            <w:r w:rsidR="00D3764A">
              <w:rPr>
                <w:rFonts w:cstheme="minorHAnsi"/>
                <w:color w:val="010205"/>
                <w:sz w:val="20"/>
                <w:szCs w:val="20"/>
              </w:rPr>
              <w:t>*</w:t>
            </w:r>
          </w:p>
        </w:tc>
      </w:tr>
      <w:tr w:rsidR="004979BE" w:rsidRPr="00096E78" w14:paraId="0D554CD3"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41545D85" w14:textId="77777777" w:rsidR="004F4C61" w:rsidRPr="00096E78" w:rsidRDefault="004F4C61" w:rsidP="00C84583">
            <w:pPr>
              <w:autoSpaceDE w:val="0"/>
              <w:autoSpaceDN w:val="0"/>
              <w:adjustRightInd w:val="0"/>
              <w:spacing w:after="0" w:line="320" w:lineRule="atLeast"/>
              <w:ind w:left="60" w:right="60"/>
              <w:jc w:val="center"/>
              <w:rPr>
                <w:rFonts w:cstheme="minorHAnsi"/>
                <w:sz w:val="20"/>
                <w:szCs w:val="20"/>
              </w:rPr>
            </w:pPr>
          </w:p>
        </w:tc>
        <w:tc>
          <w:tcPr>
            <w:tcW w:w="5780" w:type="dxa"/>
            <w:tcBorders>
              <w:top w:val="nil"/>
              <w:left w:val="nil"/>
              <w:bottom w:val="nil"/>
              <w:right w:val="nil"/>
            </w:tcBorders>
            <w:shd w:val="clear" w:color="auto" w:fill="FFFFFF" w:themeFill="background1"/>
          </w:tcPr>
          <w:p w14:paraId="5C947BB9" w14:textId="77777777" w:rsidR="004F4C61" w:rsidRPr="00096E78" w:rsidRDefault="004F4C61" w:rsidP="00550228">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Other</w:t>
            </w:r>
          </w:p>
        </w:tc>
        <w:tc>
          <w:tcPr>
            <w:tcW w:w="983" w:type="dxa"/>
            <w:tcBorders>
              <w:top w:val="nil"/>
              <w:left w:val="nil"/>
              <w:bottom w:val="nil"/>
              <w:right w:val="nil"/>
            </w:tcBorders>
            <w:shd w:val="clear" w:color="auto" w:fill="FFFFFF"/>
          </w:tcPr>
          <w:p w14:paraId="475B6231"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90(5)</w:t>
            </w:r>
          </w:p>
        </w:tc>
        <w:tc>
          <w:tcPr>
            <w:tcW w:w="1408" w:type="dxa"/>
            <w:tcBorders>
              <w:top w:val="nil"/>
              <w:left w:val="nil"/>
              <w:bottom w:val="nil"/>
              <w:right w:val="nil"/>
            </w:tcBorders>
            <w:shd w:val="clear" w:color="auto" w:fill="FFFFFF"/>
          </w:tcPr>
          <w:p w14:paraId="17D2C08E"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91.29(17.34)</w:t>
            </w:r>
          </w:p>
        </w:tc>
        <w:tc>
          <w:tcPr>
            <w:tcW w:w="1639" w:type="dxa"/>
            <w:tcBorders>
              <w:top w:val="nil"/>
              <w:left w:val="nil"/>
              <w:bottom w:val="nil"/>
              <w:right w:val="nil"/>
            </w:tcBorders>
            <w:shd w:val="clear" w:color="auto" w:fill="FFFFFF"/>
          </w:tcPr>
          <w:p w14:paraId="0B31B765" w14:textId="77777777" w:rsidR="004F4C61" w:rsidRPr="00096E78" w:rsidRDefault="004F4C61" w:rsidP="00550228">
            <w:pPr>
              <w:autoSpaceDE w:val="0"/>
              <w:autoSpaceDN w:val="0"/>
              <w:adjustRightInd w:val="0"/>
              <w:spacing w:after="0" w:line="320" w:lineRule="atLeast"/>
              <w:ind w:left="60" w:right="60"/>
              <w:jc w:val="center"/>
              <w:rPr>
                <w:rFonts w:cstheme="minorHAnsi"/>
                <w:color w:val="010205"/>
                <w:sz w:val="20"/>
                <w:szCs w:val="20"/>
              </w:rPr>
            </w:pPr>
            <w:r w:rsidRPr="00096E78">
              <w:rPr>
                <w:rFonts w:cstheme="minorHAnsi"/>
                <w:color w:val="010205"/>
                <w:sz w:val="20"/>
                <w:szCs w:val="20"/>
              </w:rPr>
              <w:t>2</w:t>
            </w:r>
            <w:r w:rsidR="005E386D" w:rsidRPr="00096E78">
              <w:rPr>
                <w:rFonts w:cstheme="minorHAnsi"/>
                <w:color w:val="010205"/>
                <w:sz w:val="20"/>
                <w:szCs w:val="20"/>
              </w:rPr>
              <w:t>1.92</w:t>
            </w:r>
            <w:r w:rsidRPr="00096E78">
              <w:rPr>
                <w:rFonts w:cstheme="minorHAnsi"/>
                <w:color w:val="010205"/>
                <w:sz w:val="20"/>
                <w:szCs w:val="20"/>
              </w:rPr>
              <w:t>(4.</w:t>
            </w:r>
            <w:r w:rsidR="005E386D" w:rsidRPr="00096E78">
              <w:rPr>
                <w:rFonts w:cstheme="minorHAnsi"/>
                <w:color w:val="010205"/>
                <w:sz w:val="20"/>
                <w:szCs w:val="20"/>
              </w:rPr>
              <w:t>26</w:t>
            </w:r>
            <w:r w:rsidRPr="00096E78">
              <w:rPr>
                <w:rFonts w:cstheme="minorHAnsi"/>
                <w:color w:val="010205"/>
                <w:sz w:val="20"/>
                <w:szCs w:val="20"/>
              </w:rPr>
              <w:t>)</w:t>
            </w:r>
          </w:p>
        </w:tc>
      </w:tr>
      <w:tr w:rsidR="004979BE" w:rsidRPr="00096E78" w14:paraId="57C13C5B"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1C70F7CC" w14:textId="77777777" w:rsidR="004F4C61" w:rsidRPr="00096E78" w:rsidRDefault="004F4C61"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single" w:sz="4" w:space="0" w:color="auto"/>
              <w:right w:val="nil"/>
            </w:tcBorders>
            <w:shd w:val="clear" w:color="auto" w:fill="FFFFFF" w:themeFill="background1"/>
          </w:tcPr>
          <w:p w14:paraId="34DF08FA" w14:textId="77777777" w:rsidR="004F4C61" w:rsidRPr="00096E78" w:rsidRDefault="004F4C61" w:rsidP="00550228">
            <w:pPr>
              <w:autoSpaceDE w:val="0"/>
              <w:autoSpaceDN w:val="0"/>
              <w:adjustRightInd w:val="0"/>
              <w:spacing w:after="0" w:line="320" w:lineRule="atLeast"/>
              <w:ind w:left="60" w:right="60"/>
              <w:rPr>
                <w:rFonts w:cstheme="minorHAnsi"/>
                <w:b/>
                <w:bCs/>
                <w:sz w:val="20"/>
                <w:szCs w:val="20"/>
              </w:rPr>
            </w:pPr>
            <w:r w:rsidRPr="00096E78">
              <w:rPr>
                <w:rFonts w:cstheme="minorHAnsi"/>
                <w:b/>
                <w:bCs/>
                <w:sz w:val="20"/>
                <w:szCs w:val="20"/>
              </w:rPr>
              <w:t>Total</w:t>
            </w:r>
          </w:p>
        </w:tc>
        <w:tc>
          <w:tcPr>
            <w:tcW w:w="983" w:type="dxa"/>
            <w:tcBorders>
              <w:top w:val="nil"/>
              <w:left w:val="nil"/>
              <w:bottom w:val="single" w:sz="4" w:space="0" w:color="auto"/>
              <w:right w:val="nil"/>
            </w:tcBorders>
            <w:shd w:val="clear" w:color="auto" w:fill="FFFFFF"/>
          </w:tcPr>
          <w:p w14:paraId="6B683DAD" w14:textId="77777777" w:rsidR="004F4C61" w:rsidRPr="00096E78" w:rsidRDefault="004F4C61"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1678</w:t>
            </w:r>
          </w:p>
        </w:tc>
        <w:tc>
          <w:tcPr>
            <w:tcW w:w="1408" w:type="dxa"/>
            <w:tcBorders>
              <w:top w:val="nil"/>
              <w:left w:val="nil"/>
              <w:bottom w:val="single" w:sz="4" w:space="0" w:color="auto"/>
              <w:right w:val="nil"/>
            </w:tcBorders>
            <w:shd w:val="clear" w:color="auto" w:fill="FFFFFF"/>
          </w:tcPr>
          <w:p w14:paraId="19131467" w14:textId="77777777" w:rsidR="004F4C61" w:rsidRPr="00096E78" w:rsidRDefault="004F4C61"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91.88(17.55)</w:t>
            </w:r>
            <w:r w:rsidR="00D3764A">
              <w:rPr>
                <w:rFonts w:cstheme="minorHAnsi"/>
                <w:b/>
                <w:bCs/>
                <w:color w:val="010205"/>
                <w:sz w:val="20"/>
                <w:szCs w:val="20"/>
              </w:rPr>
              <w:t>***</w:t>
            </w:r>
          </w:p>
        </w:tc>
        <w:tc>
          <w:tcPr>
            <w:tcW w:w="1639" w:type="dxa"/>
            <w:tcBorders>
              <w:top w:val="nil"/>
              <w:left w:val="nil"/>
              <w:bottom w:val="single" w:sz="4" w:space="0" w:color="auto"/>
              <w:right w:val="nil"/>
            </w:tcBorders>
            <w:shd w:val="clear" w:color="auto" w:fill="FFFFFF"/>
          </w:tcPr>
          <w:p w14:paraId="0C028551" w14:textId="77777777" w:rsidR="004F4C61" w:rsidRPr="00096E78" w:rsidRDefault="004F4C61"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2</w:t>
            </w:r>
            <w:r w:rsidR="005E386D" w:rsidRPr="00096E78">
              <w:rPr>
                <w:rFonts w:cstheme="minorHAnsi"/>
                <w:b/>
                <w:bCs/>
                <w:color w:val="010205"/>
                <w:sz w:val="20"/>
                <w:szCs w:val="20"/>
              </w:rPr>
              <w:t>2.21</w:t>
            </w:r>
            <w:r w:rsidRPr="00096E78">
              <w:rPr>
                <w:rFonts w:cstheme="minorHAnsi"/>
                <w:b/>
                <w:bCs/>
                <w:color w:val="010205"/>
                <w:sz w:val="20"/>
                <w:szCs w:val="20"/>
              </w:rPr>
              <w:t>(</w:t>
            </w:r>
            <w:r w:rsidR="005E386D" w:rsidRPr="00096E78">
              <w:rPr>
                <w:rFonts w:cstheme="minorHAnsi"/>
                <w:b/>
                <w:bCs/>
                <w:color w:val="010205"/>
                <w:sz w:val="20"/>
                <w:szCs w:val="20"/>
              </w:rPr>
              <w:t>3.92</w:t>
            </w:r>
            <w:r w:rsidRPr="00096E78">
              <w:rPr>
                <w:rFonts w:cstheme="minorHAnsi"/>
                <w:b/>
                <w:bCs/>
                <w:color w:val="010205"/>
                <w:sz w:val="20"/>
                <w:szCs w:val="20"/>
              </w:rPr>
              <w:t>)</w:t>
            </w:r>
            <w:r w:rsidR="00D3764A">
              <w:rPr>
                <w:rFonts w:cstheme="minorHAnsi"/>
                <w:b/>
                <w:bCs/>
                <w:color w:val="010205"/>
                <w:sz w:val="20"/>
                <w:szCs w:val="20"/>
              </w:rPr>
              <w:t>***</w:t>
            </w:r>
          </w:p>
        </w:tc>
      </w:tr>
      <w:tr w:rsidR="004979BE" w:rsidRPr="00096E78" w14:paraId="3E3F87F9" w14:textId="77777777" w:rsidTr="00800725">
        <w:trPr>
          <w:cantSplit/>
          <w:trHeight w:val="227"/>
        </w:trPr>
        <w:tc>
          <w:tcPr>
            <w:tcW w:w="0" w:type="auto"/>
            <w:vMerge w:val="restart"/>
            <w:tcBorders>
              <w:top w:val="single" w:sz="4" w:space="0" w:color="auto"/>
              <w:left w:val="nil"/>
              <w:bottom w:val="single" w:sz="4" w:space="0" w:color="auto"/>
              <w:right w:val="nil"/>
            </w:tcBorders>
            <w:shd w:val="clear" w:color="auto" w:fill="FFFFFF" w:themeFill="background1"/>
            <w:textDirection w:val="btLr"/>
          </w:tcPr>
          <w:p w14:paraId="2B355749" w14:textId="77777777" w:rsidR="004979BE" w:rsidRPr="00096E78" w:rsidRDefault="004979BE" w:rsidP="00C84583">
            <w:pPr>
              <w:autoSpaceDE w:val="0"/>
              <w:autoSpaceDN w:val="0"/>
              <w:adjustRightInd w:val="0"/>
              <w:spacing w:after="0" w:line="320" w:lineRule="atLeast"/>
              <w:ind w:left="60" w:right="60"/>
              <w:jc w:val="center"/>
              <w:rPr>
                <w:rFonts w:cstheme="minorHAnsi"/>
                <w:b/>
                <w:bCs/>
                <w:sz w:val="20"/>
                <w:szCs w:val="20"/>
              </w:rPr>
            </w:pPr>
            <w:r w:rsidRPr="00096E78">
              <w:rPr>
                <w:rFonts w:cstheme="minorHAnsi"/>
                <w:b/>
                <w:bCs/>
                <w:sz w:val="20"/>
                <w:szCs w:val="20"/>
              </w:rPr>
              <w:t>CONTRACT</w:t>
            </w:r>
          </w:p>
        </w:tc>
        <w:tc>
          <w:tcPr>
            <w:tcW w:w="5780" w:type="dxa"/>
            <w:tcBorders>
              <w:top w:val="single" w:sz="4" w:space="0" w:color="auto"/>
              <w:left w:val="nil"/>
              <w:bottom w:val="nil"/>
              <w:right w:val="nil"/>
            </w:tcBorders>
            <w:shd w:val="clear" w:color="auto" w:fill="FFFFFF" w:themeFill="background1"/>
          </w:tcPr>
          <w:p w14:paraId="38625866" w14:textId="77777777" w:rsidR="004979BE" w:rsidRPr="00096E78" w:rsidRDefault="004979BE" w:rsidP="00550228">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Permanent/ Open ended</w:t>
            </w:r>
          </w:p>
        </w:tc>
        <w:tc>
          <w:tcPr>
            <w:tcW w:w="983" w:type="dxa"/>
            <w:tcBorders>
              <w:top w:val="single" w:sz="4" w:space="0" w:color="auto"/>
              <w:left w:val="nil"/>
              <w:bottom w:val="nil"/>
              <w:right w:val="nil"/>
            </w:tcBorders>
            <w:shd w:val="clear" w:color="auto" w:fill="FFFFFF" w:themeFill="background1"/>
          </w:tcPr>
          <w:p w14:paraId="2FE60278" w14:textId="77777777" w:rsidR="004979BE"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1434(85)</w:t>
            </w:r>
          </w:p>
        </w:tc>
        <w:tc>
          <w:tcPr>
            <w:tcW w:w="1408" w:type="dxa"/>
            <w:tcBorders>
              <w:top w:val="single" w:sz="4" w:space="0" w:color="auto"/>
              <w:left w:val="nil"/>
              <w:bottom w:val="nil"/>
              <w:right w:val="nil"/>
            </w:tcBorders>
            <w:shd w:val="clear" w:color="auto" w:fill="FFFFFF" w:themeFill="background1"/>
          </w:tcPr>
          <w:p w14:paraId="25F97F07" w14:textId="77777777" w:rsidR="004979BE"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91.21(17.67)</w:t>
            </w:r>
          </w:p>
        </w:tc>
        <w:tc>
          <w:tcPr>
            <w:tcW w:w="1639" w:type="dxa"/>
            <w:tcBorders>
              <w:top w:val="single" w:sz="4" w:space="0" w:color="auto"/>
              <w:left w:val="nil"/>
              <w:bottom w:val="nil"/>
              <w:right w:val="nil"/>
            </w:tcBorders>
            <w:shd w:val="clear" w:color="auto" w:fill="FFFFFF" w:themeFill="background1"/>
          </w:tcPr>
          <w:p w14:paraId="6F8AE351" w14:textId="77777777" w:rsidR="004979BE" w:rsidRPr="00096E78" w:rsidRDefault="00D20C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22.19 (3.97</w:t>
            </w:r>
            <w:r w:rsidR="004979BE" w:rsidRPr="00096E78">
              <w:rPr>
                <w:rFonts w:cstheme="minorHAnsi"/>
                <w:sz w:val="20"/>
                <w:szCs w:val="20"/>
              </w:rPr>
              <w:t>)</w:t>
            </w:r>
          </w:p>
        </w:tc>
      </w:tr>
      <w:tr w:rsidR="004979BE" w:rsidRPr="00096E78" w14:paraId="5734FB36"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26502484" w14:textId="77777777" w:rsidR="004979BE" w:rsidRPr="00096E78" w:rsidRDefault="004979BE"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FFFFFF" w:themeFill="background1"/>
          </w:tcPr>
          <w:p w14:paraId="6B95933F" w14:textId="77777777" w:rsidR="004979BE" w:rsidRPr="00096E78" w:rsidRDefault="004979BE" w:rsidP="00550228">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Non-permanent/ Fixed-term/ Secondment</w:t>
            </w:r>
          </w:p>
        </w:tc>
        <w:tc>
          <w:tcPr>
            <w:tcW w:w="983" w:type="dxa"/>
            <w:tcBorders>
              <w:top w:val="nil"/>
              <w:left w:val="nil"/>
              <w:bottom w:val="nil"/>
              <w:right w:val="nil"/>
            </w:tcBorders>
            <w:shd w:val="clear" w:color="auto" w:fill="FFFFFF" w:themeFill="background1"/>
          </w:tcPr>
          <w:p w14:paraId="643EDA09" w14:textId="77777777" w:rsidR="004979BE"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189(11)</w:t>
            </w:r>
          </w:p>
        </w:tc>
        <w:tc>
          <w:tcPr>
            <w:tcW w:w="1408" w:type="dxa"/>
            <w:tcBorders>
              <w:top w:val="nil"/>
              <w:left w:val="nil"/>
              <w:bottom w:val="nil"/>
              <w:right w:val="nil"/>
            </w:tcBorders>
            <w:shd w:val="clear" w:color="auto" w:fill="FFFFFF" w:themeFill="background1"/>
          </w:tcPr>
          <w:p w14:paraId="5A3F78BD" w14:textId="77777777" w:rsidR="004979BE"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95.99(15.29)</w:t>
            </w:r>
            <w:r w:rsidR="00BF53F6">
              <w:rPr>
                <w:rFonts w:cstheme="minorHAnsi"/>
                <w:sz w:val="20"/>
                <w:szCs w:val="20"/>
              </w:rPr>
              <w:t>***</w:t>
            </w:r>
          </w:p>
        </w:tc>
        <w:tc>
          <w:tcPr>
            <w:tcW w:w="1639" w:type="dxa"/>
            <w:tcBorders>
              <w:top w:val="nil"/>
              <w:left w:val="nil"/>
              <w:bottom w:val="nil"/>
              <w:right w:val="nil"/>
            </w:tcBorders>
            <w:shd w:val="clear" w:color="auto" w:fill="FFFFFF" w:themeFill="background1"/>
          </w:tcPr>
          <w:p w14:paraId="5007D2F6" w14:textId="77777777" w:rsidR="004979BE" w:rsidRPr="00096E78" w:rsidRDefault="004979BE" w:rsidP="00D20CBE">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D20CBE" w:rsidRPr="00096E78">
              <w:rPr>
                <w:rFonts w:cstheme="minorHAnsi"/>
                <w:sz w:val="20"/>
                <w:szCs w:val="20"/>
              </w:rPr>
              <w:t>1.79</w:t>
            </w:r>
            <w:r w:rsidRPr="00096E78">
              <w:rPr>
                <w:rFonts w:cstheme="minorHAnsi"/>
                <w:sz w:val="20"/>
                <w:szCs w:val="20"/>
              </w:rPr>
              <w:t>(</w:t>
            </w:r>
            <w:r w:rsidR="00D20CBE" w:rsidRPr="00096E78">
              <w:rPr>
                <w:rFonts w:cstheme="minorHAnsi"/>
                <w:sz w:val="20"/>
                <w:szCs w:val="20"/>
              </w:rPr>
              <w:t>3.25</w:t>
            </w:r>
            <w:r w:rsidRPr="00096E78">
              <w:rPr>
                <w:rFonts w:cstheme="minorHAnsi"/>
                <w:sz w:val="20"/>
                <w:szCs w:val="20"/>
              </w:rPr>
              <w:t>)</w:t>
            </w:r>
          </w:p>
        </w:tc>
      </w:tr>
      <w:tr w:rsidR="004979BE" w:rsidRPr="00096E78" w14:paraId="27082A11"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26962A46" w14:textId="77777777" w:rsidR="004979BE" w:rsidRPr="00096E78" w:rsidRDefault="004979BE"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FFFFFF" w:themeFill="background1"/>
          </w:tcPr>
          <w:p w14:paraId="69E0893B" w14:textId="77777777" w:rsidR="004979BE" w:rsidRPr="00096E78" w:rsidRDefault="004979BE" w:rsidP="00550228">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Self Employed/ Private Practice/ Independent</w:t>
            </w:r>
          </w:p>
        </w:tc>
        <w:tc>
          <w:tcPr>
            <w:tcW w:w="983" w:type="dxa"/>
            <w:tcBorders>
              <w:top w:val="nil"/>
              <w:left w:val="nil"/>
              <w:bottom w:val="nil"/>
              <w:right w:val="nil"/>
            </w:tcBorders>
            <w:shd w:val="clear" w:color="auto" w:fill="FFFFFF" w:themeFill="background1"/>
          </w:tcPr>
          <w:p w14:paraId="65FD9969" w14:textId="77777777" w:rsidR="004979BE"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19(1)</w:t>
            </w:r>
          </w:p>
        </w:tc>
        <w:tc>
          <w:tcPr>
            <w:tcW w:w="1408" w:type="dxa"/>
            <w:tcBorders>
              <w:top w:val="nil"/>
              <w:left w:val="nil"/>
              <w:bottom w:val="nil"/>
              <w:right w:val="nil"/>
            </w:tcBorders>
            <w:shd w:val="clear" w:color="auto" w:fill="FFFFFF" w:themeFill="background1"/>
          </w:tcPr>
          <w:p w14:paraId="4CF35072" w14:textId="77777777" w:rsidR="004979BE"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103.84(17.92)</w:t>
            </w:r>
            <w:r w:rsidR="00BF53F6">
              <w:rPr>
                <w:rFonts w:cstheme="minorHAnsi"/>
                <w:sz w:val="20"/>
                <w:szCs w:val="20"/>
              </w:rPr>
              <w:t>**</w:t>
            </w:r>
          </w:p>
        </w:tc>
        <w:tc>
          <w:tcPr>
            <w:tcW w:w="1639" w:type="dxa"/>
            <w:tcBorders>
              <w:top w:val="nil"/>
              <w:left w:val="nil"/>
              <w:bottom w:val="nil"/>
              <w:right w:val="nil"/>
            </w:tcBorders>
            <w:shd w:val="clear" w:color="auto" w:fill="FFFFFF" w:themeFill="background1"/>
          </w:tcPr>
          <w:p w14:paraId="2D62168F" w14:textId="77777777" w:rsidR="004979BE" w:rsidRPr="00096E78" w:rsidRDefault="004979BE" w:rsidP="00550228">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D20CBE" w:rsidRPr="00096E78">
              <w:rPr>
                <w:rFonts w:cstheme="minorHAnsi"/>
                <w:sz w:val="20"/>
                <w:szCs w:val="20"/>
              </w:rPr>
              <w:t>5.66</w:t>
            </w:r>
            <w:r w:rsidRPr="00096E78">
              <w:rPr>
                <w:rFonts w:cstheme="minorHAnsi"/>
                <w:sz w:val="20"/>
                <w:szCs w:val="20"/>
              </w:rPr>
              <w:t>(3.</w:t>
            </w:r>
            <w:r w:rsidR="00D20CBE" w:rsidRPr="00096E78">
              <w:rPr>
                <w:rFonts w:cstheme="minorHAnsi"/>
                <w:sz w:val="20"/>
                <w:szCs w:val="20"/>
              </w:rPr>
              <w:t>90</w:t>
            </w:r>
            <w:r w:rsidRPr="00096E78">
              <w:rPr>
                <w:rFonts w:cstheme="minorHAnsi"/>
                <w:sz w:val="20"/>
                <w:szCs w:val="20"/>
              </w:rPr>
              <w:t>)</w:t>
            </w:r>
            <w:r w:rsidR="00BF53F6">
              <w:rPr>
                <w:rFonts w:cstheme="minorHAnsi"/>
                <w:sz w:val="20"/>
                <w:szCs w:val="20"/>
              </w:rPr>
              <w:t>**</w:t>
            </w:r>
          </w:p>
        </w:tc>
      </w:tr>
      <w:tr w:rsidR="002F1AFB" w:rsidRPr="00096E78" w14:paraId="0D969007"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7F4297E7"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FFFFFF" w:themeFill="background1"/>
          </w:tcPr>
          <w:p w14:paraId="38CA6EEE" w14:textId="77777777" w:rsidR="002F1AFB" w:rsidRPr="00096E78" w:rsidRDefault="002F1AFB" w:rsidP="002F1AFB">
            <w:pPr>
              <w:autoSpaceDE w:val="0"/>
              <w:autoSpaceDN w:val="0"/>
              <w:adjustRightInd w:val="0"/>
              <w:spacing w:after="0" w:line="320" w:lineRule="atLeast"/>
              <w:ind w:left="60" w:right="60"/>
              <w:rPr>
                <w:rFonts w:cstheme="minorHAnsi"/>
                <w:sz w:val="20"/>
                <w:szCs w:val="20"/>
              </w:rPr>
            </w:pPr>
            <w:r w:rsidRPr="00096E78">
              <w:rPr>
                <w:rFonts w:cstheme="minorHAnsi"/>
                <w:sz w:val="20"/>
                <w:szCs w:val="20"/>
              </w:rPr>
              <w:t>Other</w:t>
            </w:r>
          </w:p>
        </w:tc>
        <w:tc>
          <w:tcPr>
            <w:tcW w:w="983" w:type="dxa"/>
            <w:tcBorders>
              <w:top w:val="nil"/>
              <w:left w:val="nil"/>
              <w:bottom w:val="nil"/>
              <w:right w:val="nil"/>
            </w:tcBorders>
            <w:shd w:val="clear" w:color="auto" w:fill="FFFFFF" w:themeFill="background1"/>
          </w:tcPr>
          <w:p w14:paraId="490E7D99" w14:textId="77777777" w:rsidR="002F1AFB" w:rsidRPr="00096E78" w:rsidRDefault="002F1AFB" w:rsidP="002F1AFB">
            <w:pPr>
              <w:autoSpaceDE w:val="0"/>
              <w:autoSpaceDN w:val="0"/>
              <w:adjustRightInd w:val="0"/>
              <w:spacing w:after="0" w:line="320" w:lineRule="atLeast"/>
              <w:ind w:left="60" w:right="60"/>
              <w:jc w:val="center"/>
              <w:rPr>
                <w:rFonts w:cstheme="minorHAnsi"/>
                <w:sz w:val="20"/>
                <w:szCs w:val="20"/>
              </w:rPr>
            </w:pPr>
            <w:r w:rsidRPr="00096E78">
              <w:rPr>
                <w:rFonts w:cstheme="minorHAnsi"/>
                <w:sz w:val="20"/>
                <w:szCs w:val="20"/>
              </w:rPr>
              <w:t>36(2)</w:t>
            </w:r>
          </w:p>
        </w:tc>
        <w:tc>
          <w:tcPr>
            <w:tcW w:w="1408" w:type="dxa"/>
            <w:tcBorders>
              <w:top w:val="nil"/>
              <w:left w:val="nil"/>
              <w:bottom w:val="nil"/>
              <w:right w:val="nil"/>
            </w:tcBorders>
            <w:shd w:val="clear" w:color="auto" w:fill="FFFFFF" w:themeFill="background1"/>
          </w:tcPr>
          <w:p w14:paraId="4BF527F4" w14:textId="77777777" w:rsidR="002F1AFB" w:rsidRPr="00096E78" w:rsidRDefault="002F1AFB" w:rsidP="002F1AFB">
            <w:pPr>
              <w:autoSpaceDE w:val="0"/>
              <w:autoSpaceDN w:val="0"/>
              <w:adjustRightInd w:val="0"/>
              <w:spacing w:after="0" w:line="320" w:lineRule="atLeast"/>
              <w:ind w:left="60" w:right="60"/>
              <w:jc w:val="center"/>
              <w:rPr>
                <w:rFonts w:cstheme="minorHAnsi"/>
                <w:sz w:val="20"/>
                <w:szCs w:val="20"/>
              </w:rPr>
            </w:pPr>
            <w:r w:rsidRPr="00096E78">
              <w:rPr>
                <w:rFonts w:cstheme="minorHAnsi"/>
                <w:sz w:val="20"/>
                <w:szCs w:val="20"/>
              </w:rPr>
              <w:t>90.33(19.02)</w:t>
            </w:r>
          </w:p>
        </w:tc>
        <w:tc>
          <w:tcPr>
            <w:tcW w:w="1639" w:type="dxa"/>
            <w:tcBorders>
              <w:top w:val="nil"/>
              <w:left w:val="nil"/>
              <w:bottom w:val="nil"/>
              <w:right w:val="nil"/>
            </w:tcBorders>
            <w:shd w:val="clear" w:color="auto" w:fill="FFFFFF" w:themeFill="background1"/>
          </w:tcPr>
          <w:p w14:paraId="170A9F86" w14:textId="77777777" w:rsidR="002F1AFB" w:rsidRPr="00096E78" w:rsidRDefault="002F1AFB" w:rsidP="00B87245">
            <w:pPr>
              <w:autoSpaceDE w:val="0"/>
              <w:autoSpaceDN w:val="0"/>
              <w:adjustRightInd w:val="0"/>
              <w:spacing w:after="0" w:line="320" w:lineRule="atLeast"/>
              <w:ind w:left="60" w:right="60"/>
              <w:jc w:val="center"/>
              <w:rPr>
                <w:rFonts w:cstheme="minorHAnsi"/>
                <w:sz w:val="20"/>
                <w:szCs w:val="20"/>
              </w:rPr>
            </w:pPr>
            <w:r w:rsidRPr="00096E78">
              <w:rPr>
                <w:rFonts w:cstheme="minorHAnsi"/>
                <w:sz w:val="20"/>
                <w:szCs w:val="20"/>
              </w:rPr>
              <w:t>2</w:t>
            </w:r>
            <w:r w:rsidR="00B87245" w:rsidRPr="00096E78">
              <w:rPr>
                <w:rFonts w:cstheme="minorHAnsi"/>
                <w:sz w:val="20"/>
                <w:szCs w:val="20"/>
              </w:rPr>
              <w:t>3.48</w:t>
            </w:r>
            <w:r w:rsidR="00B87245" w:rsidRPr="00096E78" w:rsidDel="00B87245">
              <w:rPr>
                <w:rFonts w:cstheme="minorHAnsi"/>
                <w:sz w:val="20"/>
                <w:szCs w:val="20"/>
              </w:rPr>
              <w:t xml:space="preserve"> </w:t>
            </w:r>
            <w:r w:rsidRPr="00096E78">
              <w:rPr>
                <w:rFonts w:cstheme="minorHAnsi"/>
                <w:sz w:val="20"/>
                <w:szCs w:val="20"/>
              </w:rPr>
              <w:t>(4.</w:t>
            </w:r>
            <w:r w:rsidR="00B87245" w:rsidRPr="00096E78">
              <w:rPr>
                <w:rFonts w:cstheme="minorHAnsi"/>
                <w:sz w:val="20"/>
                <w:szCs w:val="20"/>
              </w:rPr>
              <w:t>16</w:t>
            </w:r>
            <w:r w:rsidRPr="00096E78">
              <w:rPr>
                <w:rFonts w:cstheme="minorHAnsi"/>
                <w:sz w:val="20"/>
                <w:szCs w:val="20"/>
              </w:rPr>
              <w:t>)</w:t>
            </w:r>
          </w:p>
        </w:tc>
      </w:tr>
      <w:tr w:rsidR="002F1AFB" w:rsidRPr="00096E78" w14:paraId="3CA3E931"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642026CC"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single" w:sz="4" w:space="0" w:color="auto"/>
              <w:right w:val="nil"/>
            </w:tcBorders>
            <w:shd w:val="clear" w:color="auto" w:fill="FFFFFF" w:themeFill="background1"/>
          </w:tcPr>
          <w:p w14:paraId="407D3A2C"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b/>
                <w:bCs/>
                <w:sz w:val="20"/>
                <w:szCs w:val="20"/>
              </w:rPr>
              <w:t>Total</w:t>
            </w:r>
          </w:p>
        </w:tc>
        <w:tc>
          <w:tcPr>
            <w:tcW w:w="983" w:type="dxa"/>
            <w:tcBorders>
              <w:top w:val="nil"/>
              <w:left w:val="nil"/>
              <w:bottom w:val="single" w:sz="4" w:space="0" w:color="auto"/>
              <w:right w:val="nil"/>
            </w:tcBorders>
            <w:shd w:val="clear" w:color="auto" w:fill="FFFFFF" w:themeFill="background1"/>
          </w:tcPr>
          <w:p w14:paraId="1F2D9090"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1678</w:t>
            </w:r>
          </w:p>
        </w:tc>
        <w:tc>
          <w:tcPr>
            <w:tcW w:w="1408" w:type="dxa"/>
            <w:tcBorders>
              <w:top w:val="nil"/>
              <w:left w:val="nil"/>
              <w:bottom w:val="single" w:sz="4" w:space="0" w:color="auto"/>
              <w:right w:val="nil"/>
            </w:tcBorders>
            <w:shd w:val="clear" w:color="auto" w:fill="FFFFFF" w:themeFill="background1"/>
          </w:tcPr>
          <w:p w14:paraId="320FB157"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91.88(17.55)</w:t>
            </w:r>
            <w:r w:rsidR="00BF53F6">
              <w:rPr>
                <w:rFonts w:cstheme="minorHAnsi"/>
                <w:b/>
                <w:bCs/>
                <w:sz w:val="20"/>
                <w:szCs w:val="20"/>
              </w:rPr>
              <w:t>***</w:t>
            </w:r>
          </w:p>
        </w:tc>
        <w:tc>
          <w:tcPr>
            <w:tcW w:w="1639" w:type="dxa"/>
            <w:tcBorders>
              <w:top w:val="nil"/>
              <w:left w:val="nil"/>
              <w:bottom w:val="single" w:sz="4" w:space="0" w:color="auto"/>
              <w:right w:val="nil"/>
            </w:tcBorders>
            <w:shd w:val="clear" w:color="auto" w:fill="FFFFFF" w:themeFill="background1"/>
          </w:tcPr>
          <w:p w14:paraId="1F1325F5" w14:textId="77777777" w:rsidR="002F1AFB" w:rsidRPr="00096E78" w:rsidRDefault="00D06F4C"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22.21(3.92)</w:t>
            </w:r>
            <w:r w:rsidR="00BF53F6">
              <w:rPr>
                <w:rFonts w:cstheme="minorHAnsi"/>
                <w:b/>
                <w:bCs/>
                <w:color w:val="010205"/>
                <w:sz w:val="20"/>
                <w:szCs w:val="20"/>
              </w:rPr>
              <w:t>***</w:t>
            </w:r>
          </w:p>
        </w:tc>
      </w:tr>
      <w:tr w:rsidR="002F1AFB" w:rsidRPr="00096E78" w14:paraId="40E3C386" w14:textId="77777777" w:rsidTr="00800725">
        <w:trPr>
          <w:cantSplit/>
          <w:trHeight w:val="227"/>
        </w:trPr>
        <w:tc>
          <w:tcPr>
            <w:tcW w:w="0" w:type="auto"/>
            <w:vMerge w:val="restart"/>
            <w:tcBorders>
              <w:top w:val="single" w:sz="4" w:space="0" w:color="auto"/>
              <w:left w:val="nil"/>
              <w:bottom w:val="single" w:sz="4" w:space="0" w:color="auto"/>
              <w:right w:val="nil"/>
            </w:tcBorders>
            <w:shd w:val="clear" w:color="auto" w:fill="FFFFFF" w:themeFill="background1"/>
            <w:textDirection w:val="btLr"/>
          </w:tcPr>
          <w:p w14:paraId="7735D7B0"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r w:rsidRPr="00096E78">
              <w:rPr>
                <w:rFonts w:cstheme="minorHAnsi"/>
                <w:b/>
                <w:bCs/>
                <w:sz w:val="20"/>
                <w:szCs w:val="20"/>
              </w:rPr>
              <w:t>SECTOR</w:t>
            </w:r>
          </w:p>
        </w:tc>
        <w:tc>
          <w:tcPr>
            <w:tcW w:w="5780" w:type="dxa"/>
            <w:tcBorders>
              <w:top w:val="single" w:sz="4" w:space="0" w:color="auto"/>
              <w:left w:val="nil"/>
              <w:bottom w:val="nil"/>
              <w:right w:val="nil"/>
            </w:tcBorders>
            <w:shd w:val="clear" w:color="auto" w:fill="auto"/>
          </w:tcPr>
          <w:p w14:paraId="67A06170"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NHS</w:t>
            </w:r>
          </w:p>
        </w:tc>
        <w:tc>
          <w:tcPr>
            <w:tcW w:w="983" w:type="dxa"/>
            <w:tcBorders>
              <w:top w:val="single" w:sz="4" w:space="0" w:color="auto"/>
              <w:left w:val="nil"/>
              <w:bottom w:val="nil"/>
              <w:right w:val="nil"/>
            </w:tcBorders>
            <w:shd w:val="clear" w:color="auto" w:fill="auto"/>
          </w:tcPr>
          <w:p w14:paraId="0EC6F21D"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1471(88)</w:t>
            </w:r>
          </w:p>
        </w:tc>
        <w:tc>
          <w:tcPr>
            <w:tcW w:w="1408" w:type="dxa"/>
            <w:tcBorders>
              <w:top w:val="single" w:sz="4" w:space="0" w:color="auto"/>
              <w:left w:val="nil"/>
              <w:bottom w:val="nil"/>
              <w:right w:val="nil"/>
            </w:tcBorders>
            <w:shd w:val="clear" w:color="auto" w:fill="auto"/>
          </w:tcPr>
          <w:p w14:paraId="0142EFA5"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91.20(17.61)</w:t>
            </w:r>
          </w:p>
        </w:tc>
        <w:tc>
          <w:tcPr>
            <w:tcW w:w="1639" w:type="dxa"/>
            <w:tcBorders>
              <w:top w:val="single" w:sz="4" w:space="0" w:color="auto"/>
              <w:left w:val="nil"/>
              <w:bottom w:val="nil"/>
              <w:right w:val="nil"/>
            </w:tcBorders>
            <w:shd w:val="clear" w:color="auto" w:fill="auto"/>
          </w:tcPr>
          <w:p w14:paraId="7FF04DC0" w14:textId="77777777" w:rsidR="002F1AFB" w:rsidRPr="00096E78" w:rsidRDefault="002F1AFB" w:rsidP="00F4336C">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4336C" w:rsidRPr="00096E78">
              <w:rPr>
                <w:rFonts w:cstheme="minorHAnsi"/>
                <w:sz w:val="20"/>
                <w:szCs w:val="20"/>
              </w:rPr>
              <w:t>2.10</w:t>
            </w:r>
            <w:r w:rsidRPr="00096E78">
              <w:rPr>
                <w:rFonts w:cstheme="minorHAnsi"/>
                <w:sz w:val="20"/>
                <w:szCs w:val="20"/>
              </w:rPr>
              <w:t>(</w:t>
            </w:r>
            <w:r w:rsidR="00F4336C" w:rsidRPr="00096E78">
              <w:rPr>
                <w:rFonts w:cstheme="minorHAnsi"/>
                <w:sz w:val="20"/>
                <w:szCs w:val="20"/>
              </w:rPr>
              <w:t>3.97</w:t>
            </w:r>
            <w:r w:rsidRPr="00096E78">
              <w:rPr>
                <w:rFonts w:cstheme="minorHAnsi"/>
                <w:sz w:val="20"/>
                <w:szCs w:val="20"/>
              </w:rPr>
              <w:t>)</w:t>
            </w:r>
          </w:p>
        </w:tc>
      </w:tr>
      <w:tr w:rsidR="002F1AFB" w:rsidRPr="00096E78" w14:paraId="01BA40DA"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7CD0CBF6"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712D85DD"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Private organisation/ Independent</w:t>
            </w:r>
          </w:p>
        </w:tc>
        <w:tc>
          <w:tcPr>
            <w:tcW w:w="983" w:type="dxa"/>
            <w:tcBorders>
              <w:top w:val="nil"/>
              <w:left w:val="nil"/>
              <w:bottom w:val="nil"/>
              <w:right w:val="nil"/>
            </w:tcBorders>
            <w:shd w:val="clear" w:color="auto" w:fill="auto"/>
          </w:tcPr>
          <w:p w14:paraId="7A7565E5"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56(3)</w:t>
            </w:r>
          </w:p>
        </w:tc>
        <w:tc>
          <w:tcPr>
            <w:tcW w:w="1408" w:type="dxa"/>
            <w:tcBorders>
              <w:top w:val="nil"/>
              <w:left w:val="nil"/>
              <w:bottom w:val="nil"/>
              <w:right w:val="nil"/>
            </w:tcBorders>
            <w:shd w:val="clear" w:color="auto" w:fill="auto"/>
          </w:tcPr>
          <w:p w14:paraId="04D2F0B7"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97.20(16.64)</w:t>
            </w:r>
            <w:r w:rsidR="00BF53F6">
              <w:rPr>
                <w:rFonts w:cstheme="minorHAnsi"/>
                <w:sz w:val="20"/>
                <w:szCs w:val="20"/>
              </w:rPr>
              <w:t>*</w:t>
            </w:r>
          </w:p>
        </w:tc>
        <w:tc>
          <w:tcPr>
            <w:tcW w:w="1639" w:type="dxa"/>
            <w:tcBorders>
              <w:top w:val="nil"/>
              <w:left w:val="nil"/>
              <w:bottom w:val="nil"/>
              <w:right w:val="nil"/>
            </w:tcBorders>
            <w:shd w:val="clear" w:color="auto" w:fill="auto"/>
          </w:tcPr>
          <w:p w14:paraId="2B694CF6" w14:textId="77777777" w:rsidR="002F1AFB" w:rsidRPr="00096E78" w:rsidRDefault="00F4336C"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23.09</w:t>
            </w:r>
            <w:r w:rsidR="002F1AFB" w:rsidRPr="00096E78">
              <w:rPr>
                <w:rFonts w:cstheme="minorHAnsi"/>
                <w:sz w:val="20"/>
                <w:szCs w:val="20"/>
              </w:rPr>
              <w:t>(3.</w:t>
            </w:r>
            <w:r w:rsidRPr="00096E78">
              <w:rPr>
                <w:rFonts w:cstheme="minorHAnsi"/>
                <w:sz w:val="20"/>
                <w:szCs w:val="20"/>
              </w:rPr>
              <w:t>10</w:t>
            </w:r>
            <w:r w:rsidR="002F1AFB" w:rsidRPr="00096E78">
              <w:rPr>
                <w:rFonts w:cstheme="minorHAnsi"/>
                <w:sz w:val="20"/>
                <w:szCs w:val="20"/>
              </w:rPr>
              <w:t>)</w:t>
            </w:r>
          </w:p>
        </w:tc>
      </w:tr>
      <w:tr w:rsidR="002F1AFB" w:rsidRPr="00096E78" w14:paraId="5AD180D4"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6156A99C"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54B5AB47"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Third sector/ Charitable organisation</w:t>
            </w:r>
          </w:p>
        </w:tc>
        <w:tc>
          <w:tcPr>
            <w:tcW w:w="983" w:type="dxa"/>
            <w:tcBorders>
              <w:top w:val="nil"/>
              <w:left w:val="nil"/>
              <w:bottom w:val="nil"/>
              <w:right w:val="nil"/>
            </w:tcBorders>
            <w:shd w:val="clear" w:color="auto" w:fill="auto"/>
          </w:tcPr>
          <w:p w14:paraId="587898F6"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72(4)</w:t>
            </w:r>
          </w:p>
        </w:tc>
        <w:tc>
          <w:tcPr>
            <w:tcW w:w="1408" w:type="dxa"/>
            <w:tcBorders>
              <w:top w:val="nil"/>
              <w:left w:val="nil"/>
              <w:bottom w:val="nil"/>
              <w:right w:val="nil"/>
            </w:tcBorders>
            <w:shd w:val="clear" w:color="auto" w:fill="auto"/>
          </w:tcPr>
          <w:p w14:paraId="2590EADD"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99.82(15.21)</w:t>
            </w:r>
            <w:r w:rsidR="002D295F">
              <w:rPr>
                <w:rFonts w:cstheme="minorHAnsi"/>
                <w:sz w:val="20"/>
                <w:szCs w:val="20"/>
              </w:rPr>
              <w:t>**</w:t>
            </w:r>
          </w:p>
        </w:tc>
        <w:tc>
          <w:tcPr>
            <w:tcW w:w="1639" w:type="dxa"/>
            <w:tcBorders>
              <w:top w:val="nil"/>
              <w:left w:val="nil"/>
              <w:bottom w:val="nil"/>
              <w:right w:val="nil"/>
            </w:tcBorders>
            <w:shd w:val="clear" w:color="auto" w:fill="auto"/>
          </w:tcPr>
          <w:p w14:paraId="438EDD6D" w14:textId="77777777" w:rsidR="002F1AFB" w:rsidRPr="00096E78" w:rsidRDefault="002F1AFB" w:rsidP="00F4336C">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4336C" w:rsidRPr="00096E78">
              <w:rPr>
                <w:rFonts w:cstheme="minorHAnsi"/>
                <w:sz w:val="20"/>
                <w:szCs w:val="20"/>
              </w:rPr>
              <w:t>3.12</w:t>
            </w:r>
            <w:r w:rsidRPr="00096E78">
              <w:rPr>
                <w:rFonts w:cstheme="minorHAnsi"/>
                <w:sz w:val="20"/>
                <w:szCs w:val="20"/>
              </w:rPr>
              <w:t>(4.</w:t>
            </w:r>
            <w:r w:rsidR="00F4336C" w:rsidRPr="00096E78">
              <w:rPr>
                <w:rFonts w:cstheme="minorHAnsi"/>
                <w:sz w:val="20"/>
                <w:szCs w:val="20"/>
              </w:rPr>
              <w:t>09</w:t>
            </w:r>
            <w:r w:rsidRPr="00096E78">
              <w:rPr>
                <w:rFonts w:cstheme="minorHAnsi"/>
                <w:sz w:val="20"/>
                <w:szCs w:val="20"/>
              </w:rPr>
              <w:t>)</w:t>
            </w:r>
          </w:p>
        </w:tc>
      </w:tr>
      <w:tr w:rsidR="002F1AFB" w:rsidRPr="00096E78" w14:paraId="6766DC7B"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324823E0"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14952092"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Equal NHS and non-NHS</w:t>
            </w:r>
          </w:p>
        </w:tc>
        <w:tc>
          <w:tcPr>
            <w:tcW w:w="983" w:type="dxa"/>
            <w:tcBorders>
              <w:top w:val="nil"/>
              <w:left w:val="nil"/>
              <w:bottom w:val="nil"/>
              <w:right w:val="nil"/>
            </w:tcBorders>
            <w:shd w:val="clear" w:color="auto" w:fill="auto"/>
          </w:tcPr>
          <w:p w14:paraId="380F2C80"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22(1)</w:t>
            </w:r>
          </w:p>
        </w:tc>
        <w:tc>
          <w:tcPr>
            <w:tcW w:w="1408" w:type="dxa"/>
            <w:tcBorders>
              <w:top w:val="nil"/>
              <w:left w:val="nil"/>
              <w:bottom w:val="nil"/>
              <w:right w:val="nil"/>
            </w:tcBorders>
            <w:shd w:val="clear" w:color="auto" w:fill="auto"/>
          </w:tcPr>
          <w:p w14:paraId="392AEB77"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92.09(17.43)</w:t>
            </w:r>
          </w:p>
        </w:tc>
        <w:tc>
          <w:tcPr>
            <w:tcW w:w="1639" w:type="dxa"/>
            <w:tcBorders>
              <w:top w:val="nil"/>
              <w:left w:val="nil"/>
              <w:bottom w:val="nil"/>
              <w:right w:val="nil"/>
            </w:tcBorders>
            <w:shd w:val="clear" w:color="auto" w:fill="auto"/>
          </w:tcPr>
          <w:p w14:paraId="3E97FA37"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4336C" w:rsidRPr="00096E78">
              <w:rPr>
                <w:rFonts w:cstheme="minorHAnsi"/>
                <w:sz w:val="20"/>
                <w:szCs w:val="20"/>
              </w:rPr>
              <w:t>2.71</w:t>
            </w:r>
            <w:r w:rsidRPr="00096E78">
              <w:rPr>
                <w:rFonts w:cstheme="minorHAnsi"/>
                <w:sz w:val="20"/>
                <w:szCs w:val="20"/>
              </w:rPr>
              <w:t>(</w:t>
            </w:r>
            <w:r w:rsidR="00F4336C" w:rsidRPr="00096E78">
              <w:rPr>
                <w:rFonts w:cstheme="minorHAnsi"/>
                <w:sz w:val="20"/>
                <w:szCs w:val="20"/>
              </w:rPr>
              <w:t>2.95</w:t>
            </w:r>
            <w:r w:rsidRPr="00096E78">
              <w:rPr>
                <w:rFonts w:cstheme="minorHAnsi"/>
                <w:sz w:val="20"/>
                <w:szCs w:val="20"/>
              </w:rPr>
              <w:t>)</w:t>
            </w:r>
          </w:p>
        </w:tc>
      </w:tr>
      <w:tr w:rsidR="002F1AFB" w:rsidRPr="00096E78" w14:paraId="23D33277"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702545FA"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60FA8C38"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Education</w:t>
            </w:r>
          </w:p>
        </w:tc>
        <w:tc>
          <w:tcPr>
            <w:tcW w:w="983" w:type="dxa"/>
            <w:tcBorders>
              <w:top w:val="nil"/>
              <w:left w:val="nil"/>
              <w:bottom w:val="nil"/>
              <w:right w:val="nil"/>
            </w:tcBorders>
            <w:shd w:val="clear" w:color="auto" w:fill="auto"/>
          </w:tcPr>
          <w:p w14:paraId="06E218B0"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17(1)</w:t>
            </w:r>
          </w:p>
        </w:tc>
        <w:tc>
          <w:tcPr>
            <w:tcW w:w="1408" w:type="dxa"/>
            <w:tcBorders>
              <w:top w:val="nil"/>
              <w:left w:val="nil"/>
              <w:bottom w:val="nil"/>
              <w:right w:val="nil"/>
            </w:tcBorders>
            <w:shd w:val="clear" w:color="auto" w:fill="auto"/>
          </w:tcPr>
          <w:p w14:paraId="2AD9D156"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97.00(16.64)</w:t>
            </w:r>
          </w:p>
        </w:tc>
        <w:tc>
          <w:tcPr>
            <w:tcW w:w="1639" w:type="dxa"/>
            <w:tcBorders>
              <w:top w:val="nil"/>
              <w:left w:val="nil"/>
              <w:bottom w:val="nil"/>
              <w:right w:val="nil"/>
            </w:tcBorders>
            <w:shd w:val="clear" w:color="auto" w:fill="auto"/>
          </w:tcPr>
          <w:p w14:paraId="014088F8"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4336C" w:rsidRPr="00096E78">
              <w:rPr>
                <w:rFonts w:cstheme="minorHAnsi"/>
                <w:sz w:val="20"/>
                <w:szCs w:val="20"/>
              </w:rPr>
              <w:t>3.17</w:t>
            </w:r>
            <w:r w:rsidRPr="00096E78">
              <w:rPr>
                <w:rFonts w:cstheme="minorHAnsi"/>
                <w:sz w:val="20"/>
                <w:szCs w:val="20"/>
              </w:rPr>
              <w:t>(</w:t>
            </w:r>
            <w:r w:rsidR="00F4336C" w:rsidRPr="00096E78">
              <w:rPr>
                <w:rFonts w:cstheme="minorHAnsi"/>
                <w:sz w:val="20"/>
                <w:szCs w:val="20"/>
              </w:rPr>
              <w:t>2.51</w:t>
            </w:r>
            <w:r w:rsidRPr="00096E78">
              <w:rPr>
                <w:rFonts w:cstheme="minorHAnsi"/>
                <w:sz w:val="20"/>
                <w:szCs w:val="20"/>
              </w:rPr>
              <w:t>)</w:t>
            </w:r>
          </w:p>
        </w:tc>
      </w:tr>
      <w:tr w:rsidR="002F1AFB" w:rsidRPr="00096E78" w14:paraId="7241575B"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7843C4B0"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5ADD87E3"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 xml:space="preserve">Other </w:t>
            </w:r>
          </w:p>
        </w:tc>
        <w:tc>
          <w:tcPr>
            <w:tcW w:w="983" w:type="dxa"/>
            <w:tcBorders>
              <w:top w:val="nil"/>
              <w:left w:val="nil"/>
              <w:bottom w:val="nil"/>
              <w:right w:val="nil"/>
            </w:tcBorders>
            <w:shd w:val="clear" w:color="auto" w:fill="auto"/>
          </w:tcPr>
          <w:p w14:paraId="7FB2FFEE"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40(2)</w:t>
            </w:r>
          </w:p>
        </w:tc>
        <w:tc>
          <w:tcPr>
            <w:tcW w:w="1408" w:type="dxa"/>
            <w:tcBorders>
              <w:top w:val="nil"/>
              <w:left w:val="nil"/>
              <w:bottom w:val="nil"/>
              <w:right w:val="nil"/>
            </w:tcBorders>
            <w:shd w:val="clear" w:color="auto" w:fill="auto"/>
          </w:tcPr>
          <w:p w14:paraId="11113FF4"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92.90(16.71)</w:t>
            </w:r>
          </w:p>
        </w:tc>
        <w:tc>
          <w:tcPr>
            <w:tcW w:w="1639" w:type="dxa"/>
            <w:tcBorders>
              <w:top w:val="nil"/>
              <w:left w:val="nil"/>
              <w:bottom w:val="nil"/>
              <w:right w:val="nil"/>
            </w:tcBorders>
            <w:shd w:val="clear" w:color="auto" w:fill="auto"/>
          </w:tcPr>
          <w:p w14:paraId="5DCF3C18"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4336C" w:rsidRPr="00096E78">
              <w:rPr>
                <w:rFonts w:cstheme="minorHAnsi"/>
                <w:sz w:val="20"/>
                <w:szCs w:val="20"/>
              </w:rPr>
              <w:t>2.81</w:t>
            </w:r>
            <w:r w:rsidRPr="00096E78">
              <w:rPr>
                <w:rFonts w:cstheme="minorHAnsi"/>
                <w:sz w:val="20"/>
                <w:szCs w:val="20"/>
              </w:rPr>
              <w:t>(3.</w:t>
            </w:r>
            <w:r w:rsidR="00F4336C" w:rsidRPr="00096E78">
              <w:rPr>
                <w:rFonts w:cstheme="minorHAnsi"/>
                <w:sz w:val="20"/>
                <w:szCs w:val="20"/>
              </w:rPr>
              <w:t>31</w:t>
            </w:r>
            <w:r w:rsidRPr="00096E78">
              <w:rPr>
                <w:rFonts w:cstheme="minorHAnsi"/>
                <w:sz w:val="20"/>
                <w:szCs w:val="20"/>
              </w:rPr>
              <w:t>)</w:t>
            </w:r>
          </w:p>
        </w:tc>
      </w:tr>
      <w:tr w:rsidR="002F1AFB" w:rsidRPr="00096E78" w14:paraId="75C69EB4"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4FC13AD0"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single" w:sz="4" w:space="0" w:color="auto"/>
              <w:right w:val="nil"/>
            </w:tcBorders>
            <w:shd w:val="clear" w:color="auto" w:fill="auto"/>
          </w:tcPr>
          <w:p w14:paraId="42FA2809"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b/>
                <w:bCs/>
                <w:sz w:val="20"/>
                <w:szCs w:val="20"/>
              </w:rPr>
              <w:t>Total</w:t>
            </w:r>
          </w:p>
        </w:tc>
        <w:tc>
          <w:tcPr>
            <w:tcW w:w="983" w:type="dxa"/>
            <w:tcBorders>
              <w:top w:val="nil"/>
              <w:left w:val="nil"/>
              <w:bottom w:val="single" w:sz="4" w:space="0" w:color="auto"/>
              <w:right w:val="nil"/>
            </w:tcBorders>
            <w:shd w:val="clear" w:color="auto" w:fill="auto"/>
          </w:tcPr>
          <w:p w14:paraId="11DEBF62"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1678</w:t>
            </w:r>
          </w:p>
        </w:tc>
        <w:tc>
          <w:tcPr>
            <w:tcW w:w="1408" w:type="dxa"/>
            <w:tcBorders>
              <w:top w:val="nil"/>
              <w:left w:val="nil"/>
              <w:bottom w:val="single" w:sz="4" w:space="0" w:color="auto"/>
              <w:right w:val="nil"/>
            </w:tcBorders>
            <w:shd w:val="clear" w:color="auto" w:fill="auto"/>
          </w:tcPr>
          <w:p w14:paraId="2960CB79"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91.88(17.55)</w:t>
            </w:r>
            <w:r w:rsidR="00BF53F6">
              <w:rPr>
                <w:rFonts w:cstheme="minorHAnsi"/>
                <w:b/>
                <w:bCs/>
                <w:sz w:val="20"/>
                <w:szCs w:val="20"/>
              </w:rPr>
              <w:t>***</w:t>
            </w:r>
          </w:p>
        </w:tc>
        <w:tc>
          <w:tcPr>
            <w:tcW w:w="1639" w:type="dxa"/>
            <w:tcBorders>
              <w:top w:val="nil"/>
              <w:left w:val="nil"/>
              <w:bottom w:val="single" w:sz="4" w:space="0" w:color="auto"/>
              <w:right w:val="nil"/>
            </w:tcBorders>
            <w:shd w:val="clear" w:color="auto" w:fill="auto"/>
          </w:tcPr>
          <w:p w14:paraId="016AB5A1" w14:textId="77777777" w:rsidR="002F1AFB" w:rsidRPr="00096E78" w:rsidRDefault="00D06F4C"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color w:val="010205"/>
                <w:sz w:val="20"/>
                <w:szCs w:val="20"/>
              </w:rPr>
              <w:t>22.21(3.92)</w:t>
            </w:r>
          </w:p>
        </w:tc>
      </w:tr>
      <w:tr w:rsidR="002F1AFB" w:rsidRPr="00096E78" w14:paraId="3ADE6746" w14:textId="77777777" w:rsidTr="00800725">
        <w:trPr>
          <w:cantSplit/>
          <w:trHeight w:val="227"/>
        </w:trPr>
        <w:tc>
          <w:tcPr>
            <w:tcW w:w="0" w:type="auto"/>
            <w:vMerge w:val="restart"/>
            <w:tcBorders>
              <w:top w:val="single" w:sz="4" w:space="0" w:color="auto"/>
              <w:left w:val="nil"/>
              <w:bottom w:val="single" w:sz="4" w:space="0" w:color="auto"/>
              <w:right w:val="nil"/>
            </w:tcBorders>
            <w:shd w:val="clear" w:color="auto" w:fill="FFFFFF" w:themeFill="background1"/>
            <w:textDirection w:val="btLr"/>
          </w:tcPr>
          <w:p w14:paraId="5FC34897"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r w:rsidRPr="00096E78">
              <w:rPr>
                <w:rFonts w:cstheme="minorHAnsi"/>
                <w:b/>
                <w:bCs/>
                <w:sz w:val="20"/>
                <w:szCs w:val="20"/>
              </w:rPr>
              <w:t>GENDER</w:t>
            </w:r>
          </w:p>
        </w:tc>
        <w:tc>
          <w:tcPr>
            <w:tcW w:w="5780" w:type="dxa"/>
            <w:tcBorders>
              <w:top w:val="single" w:sz="4" w:space="0" w:color="auto"/>
              <w:left w:val="nil"/>
              <w:bottom w:val="nil"/>
              <w:right w:val="nil"/>
            </w:tcBorders>
            <w:shd w:val="clear" w:color="auto" w:fill="auto"/>
          </w:tcPr>
          <w:p w14:paraId="61C4AF21"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Male</w:t>
            </w:r>
          </w:p>
        </w:tc>
        <w:tc>
          <w:tcPr>
            <w:tcW w:w="983" w:type="dxa"/>
            <w:tcBorders>
              <w:top w:val="single" w:sz="4" w:space="0" w:color="auto"/>
              <w:left w:val="nil"/>
              <w:bottom w:val="nil"/>
              <w:right w:val="nil"/>
            </w:tcBorders>
            <w:shd w:val="clear" w:color="auto" w:fill="auto"/>
          </w:tcPr>
          <w:p w14:paraId="517F82DE"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320(19)</w:t>
            </w:r>
          </w:p>
        </w:tc>
        <w:tc>
          <w:tcPr>
            <w:tcW w:w="1408" w:type="dxa"/>
            <w:tcBorders>
              <w:top w:val="single" w:sz="4" w:space="0" w:color="auto"/>
              <w:left w:val="nil"/>
              <w:bottom w:val="nil"/>
              <w:right w:val="nil"/>
            </w:tcBorders>
            <w:shd w:val="clear" w:color="auto" w:fill="auto"/>
          </w:tcPr>
          <w:p w14:paraId="23CC5E7C"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92.10(17.83)</w:t>
            </w:r>
          </w:p>
        </w:tc>
        <w:tc>
          <w:tcPr>
            <w:tcW w:w="1639" w:type="dxa"/>
            <w:tcBorders>
              <w:top w:val="single" w:sz="4" w:space="0" w:color="auto"/>
              <w:left w:val="nil"/>
              <w:bottom w:val="nil"/>
              <w:right w:val="nil"/>
            </w:tcBorders>
          </w:tcPr>
          <w:p w14:paraId="72517ABC"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4336C" w:rsidRPr="00096E78">
              <w:rPr>
                <w:rFonts w:cstheme="minorHAnsi"/>
                <w:sz w:val="20"/>
                <w:szCs w:val="20"/>
              </w:rPr>
              <w:t>2.09</w:t>
            </w:r>
            <w:r w:rsidRPr="00096E78">
              <w:rPr>
                <w:rFonts w:cstheme="minorHAnsi"/>
                <w:sz w:val="20"/>
                <w:szCs w:val="20"/>
              </w:rPr>
              <w:t>(</w:t>
            </w:r>
            <w:r w:rsidR="00F4336C" w:rsidRPr="00096E78">
              <w:rPr>
                <w:rFonts w:cstheme="minorHAnsi"/>
                <w:sz w:val="20"/>
                <w:szCs w:val="20"/>
              </w:rPr>
              <w:t>3.99</w:t>
            </w:r>
            <w:r w:rsidRPr="00096E78">
              <w:rPr>
                <w:rFonts w:cstheme="minorHAnsi"/>
                <w:sz w:val="20"/>
                <w:szCs w:val="20"/>
              </w:rPr>
              <w:t>)</w:t>
            </w:r>
          </w:p>
        </w:tc>
      </w:tr>
      <w:tr w:rsidR="002F1AFB" w:rsidRPr="00096E78" w14:paraId="47538AF4"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012CAE58"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2A290524"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Female</w:t>
            </w:r>
          </w:p>
        </w:tc>
        <w:tc>
          <w:tcPr>
            <w:tcW w:w="983" w:type="dxa"/>
            <w:tcBorders>
              <w:top w:val="nil"/>
              <w:left w:val="nil"/>
              <w:bottom w:val="nil"/>
              <w:right w:val="nil"/>
            </w:tcBorders>
            <w:shd w:val="clear" w:color="auto" w:fill="auto"/>
          </w:tcPr>
          <w:p w14:paraId="02B6FF23"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1334(81)</w:t>
            </w:r>
          </w:p>
        </w:tc>
        <w:tc>
          <w:tcPr>
            <w:tcW w:w="1408" w:type="dxa"/>
            <w:tcBorders>
              <w:top w:val="nil"/>
              <w:left w:val="nil"/>
              <w:bottom w:val="nil"/>
              <w:right w:val="nil"/>
            </w:tcBorders>
            <w:shd w:val="clear" w:color="auto" w:fill="auto"/>
          </w:tcPr>
          <w:p w14:paraId="4166A483"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91.86(17.35)</w:t>
            </w:r>
          </w:p>
        </w:tc>
        <w:tc>
          <w:tcPr>
            <w:tcW w:w="1639" w:type="dxa"/>
            <w:tcBorders>
              <w:top w:val="nil"/>
              <w:left w:val="nil"/>
              <w:bottom w:val="nil"/>
              <w:right w:val="nil"/>
            </w:tcBorders>
          </w:tcPr>
          <w:p w14:paraId="19C22008"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4336C" w:rsidRPr="00096E78">
              <w:rPr>
                <w:rFonts w:cstheme="minorHAnsi"/>
                <w:sz w:val="20"/>
                <w:szCs w:val="20"/>
              </w:rPr>
              <w:t>2.24</w:t>
            </w:r>
            <w:r w:rsidRPr="00096E78">
              <w:rPr>
                <w:rFonts w:cstheme="minorHAnsi"/>
                <w:sz w:val="20"/>
                <w:szCs w:val="20"/>
              </w:rPr>
              <w:t>(</w:t>
            </w:r>
            <w:r w:rsidR="00F4336C" w:rsidRPr="00096E78">
              <w:rPr>
                <w:rFonts w:cstheme="minorHAnsi"/>
                <w:sz w:val="20"/>
                <w:szCs w:val="20"/>
              </w:rPr>
              <w:t>3.89</w:t>
            </w:r>
            <w:r w:rsidRPr="00096E78">
              <w:rPr>
                <w:rFonts w:cstheme="minorHAnsi"/>
                <w:sz w:val="20"/>
                <w:szCs w:val="20"/>
              </w:rPr>
              <w:t>)</w:t>
            </w:r>
          </w:p>
        </w:tc>
      </w:tr>
      <w:tr w:rsidR="002F1AFB" w:rsidRPr="00096E78" w14:paraId="31E59B89"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6B068762"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single" w:sz="4" w:space="0" w:color="auto"/>
              <w:right w:val="nil"/>
            </w:tcBorders>
            <w:shd w:val="clear" w:color="auto" w:fill="auto"/>
          </w:tcPr>
          <w:p w14:paraId="7484A526"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b/>
                <w:bCs/>
                <w:sz w:val="20"/>
                <w:szCs w:val="20"/>
              </w:rPr>
              <w:t>Total</w:t>
            </w:r>
          </w:p>
        </w:tc>
        <w:tc>
          <w:tcPr>
            <w:tcW w:w="983" w:type="dxa"/>
            <w:tcBorders>
              <w:top w:val="nil"/>
              <w:left w:val="nil"/>
              <w:bottom w:val="single" w:sz="4" w:space="0" w:color="auto"/>
              <w:right w:val="nil"/>
            </w:tcBorders>
            <w:shd w:val="clear" w:color="auto" w:fill="auto"/>
          </w:tcPr>
          <w:p w14:paraId="1FC08809"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1654</w:t>
            </w:r>
          </w:p>
        </w:tc>
        <w:tc>
          <w:tcPr>
            <w:tcW w:w="1408" w:type="dxa"/>
            <w:tcBorders>
              <w:top w:val="nil"/>
              <w:left w:val="nil"/>
              <w:bottom w:val="single" w:sz="4" w:space="0" w:color="auto"/>
              <w:right w:val="nil"/>
            </w:tcBorders>
            <w:shd w:val="clear" w:color="auto" w:fill="auto"/>
          </w:tcPr>
          <w:p w14:paraId="382F8408"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91.91(17.44)</w:t>
            </w:r>
          </w:p>
        </w:tc>
        <w:tc>
          <w:tcPr>
            <w:tcW w:w="1639" w:type="dxa"/>
            <w:tcBorders>
              <w:top w:val="nil"/>
              <w:left w:val="nil"/>
              <w:bottom w:val="single" w:sz="4" w:space="0" w:color="auto"/>
              <w:right w:val="nil"/>
            </w:tcBorders>
          </w:tcPr>
          <w:p w14:paraId="11E8FAAE"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2</w:t>
            </w:r>
            <w:r w:rsidR="00C530A6" w:rsidRPr="00096E78">
              <w:rPr>
                <w:rFonts w:cstheme="minorHAnsi"/>
                <w:b/>
                <w:bCs/>
                <w:sz w:val="20"/>
                <w:szCs w:val="20"/>
              </w:rPr>
              <w:t>2.21</w:t>
            </w:r>
            <w:r w:rsidRPr="00096E78">
              <w:rPr>
                <w:rFonts w:cstheme="minorHAnsi"/>
                <w:b/>
                <w:bCs/>
                <w:sz w:val="20"/>
                <w:szCs w:val="20"/>
              </w:rPr>
              <w:t>(</w:t>
            </w:r>
            <w:r w:rsidR="00C530A6" w:rsidRPr="00096E78">
              <w:rPr>
                <w:rFonts w:cstheme="minorHAnsi"/>
                <w:b/>
                <w:bCs/>
                <w:sz w:val="20"/>
                <w:szCs w:val="20"/>
              </w:rPr>
              <w:t>3.91</w:t>
            </w:r>
            <w:r w:rsidRPr="00096E78">
              <w:rPr>
                <w:rFonts w:cstheme="minorHAnsi"/>
                <w:b/>
                <w:bCs/>
                <w:sz w:val="20"/>
                <w:szCs w:val="20"/>
              </w:rPr>
              <w:t>)</w:t>
            </w:r>
          </w:p>
        </w:tc>
      </w:tr>
      <w:tr w:rsidR="00D970E8" w:rsidRPr="00F44EFE" w14:paraId="6FD2774D" w14:textId="77777777" w:rsidTr="00800725">
        <w:trPr>
          <w:cantSplit/>
          <w:trHeight w:val="439"/>
        </w:trPr>
        <w:tc>
          <w:tcPr>
            <w:tcW w:w="0" w:type="auto"/>
            <w:vMerge w:val="restart"/>
            <w:tcBorders>
              <w:top w:val="single" w:sz="4" w:space="0" w:color="auto"/>
              <w:left w:val="nil"/>
              <w:right w:val="nil"/>
            </w:tcBorders>
            <w:shd w:val="clear" w:color="auto" w:fill="FFFFFF" w:themeFill="background1"/>
            <w:textDirection w:val="btLr"/>
          </w:tcPr>
          <w:p w14:paraId="508CA4B2" w14:textId="77777777" w:rsidR="00D970E8" w:rsidRPr="00096E78" w:rsidRDefault="00D970E8" w:rsidP="00C84583">
            <w:pPr>
              <w:autoSpaceDE w:val="0"/>
              <w:autoSpaceDN w:val="0"/>
              <w:adjustRightInd w:val="0"/>
              <w:spacing w:after="0" w:line="320" w:lineRule="atLeast"/>
              <w:ind w:left="60" w:right="60"/>
              <w:jc w:val="center"/>
              <w:rPr>
                <w:rFonts w:cstheme="minorHAnsi"/>
                <w:b/>
                <w:bCs/>
                <w:sz w:val="20"/>
                <w:szCs w:val="20"/>
              </w:rPr>
            </w:pPr>
            <w:r>
              <w:rPr>
                <w:rFonts w:cstheme="minorHAnsi"/>
                <w:b/>
                <w:bCs/>
                <w:sz w:val="20"/>
                <w:szCs w:val="20"/>
              </w:rPr>
              <w:t>SEX ORIENTTION</w:t>
            </w:r>
          </w:p>
        </w:tc>
        <w:tc>
          <w:tcPr>
            <w:tcW w:w="5780" w:type="dxa"/>
            <w:tcBorders>
              <w:top w:val="single" w:sz="4" w:space="0" w:color="auto"/>
              <w:left w:val="nil"/>
              <w:bottom w:val="nil"/>
              <w:right w:val="nil"/>
            </w:tcBorders>
            <w:shd w:val="clear" w:color="auto" w:fill="auto"/>
          </w:tcPr>
          <w:p w14:paraId="3E9716E8" w14:textId="77777777" w:rsidR="00D970E8" w:rsidRPr="00096E78" w:rsidRDefault="00D970E8" w:rsidP="002F1AFB">
            <w:pPr>
              <w:autoSpaceDE w:val="0"/>
              <w:autoSpaceDN w:val="0"/>
              <w:adjustRightInd w:val="0"/>
              <w:spacing w:after="0" w:line="320" w:lineRule="atLeast"/>
              <w:ind w:left="60" w:right="60"/>
              <w:rPr>
                <w:rFonts w:cstheme="minorHAnsi"/>
                <w:sz w:val="20"/>
                <w:szCs w:val="20"/>
              </w:rPr>
            </w:pPr>
            <w:r>
              <w:rPr>
                <w:rFonts w:cstheme="minorHAnsi"/>
                <w:sz w:val="20"/>
                <w:szCs w:val="20"/>
              </w:rPr>
              <w:t>Heterosexual</w:t>
            </w:r>
          </w:p>
        </w:tc>
        <w:tc>
          <w:tcPr>
            <w:tcW w:w="983" w:type="dxa"/>
            <w:tcBorders>
              <w:top w:val="single" w:sz="4" w:space="0" w:color="auto"/>
              <w:left w:val="nil"/>
              <w:bottom w:val="nil"/>
              <w:right w:val="nil"/>
            </w:tcBorders>
            <w:shd w:val="clear" w:color="auto" w:fill="auto"/>
          </w:tcPr>
          <w:p w14:paraId="45569EBE" w14:textId="77777777" w:rsidR="00D970E8" w:rsidRPr="00096E78" w:rsidRDefault="00F44EFE" w:rsidP="002F1AFB">
            <w:pPr>
              <w:autoSpaceDE w:val="0"/>
              <w:autoSpaceDN w:val="0"/>
              <w:adjustRightInd w:val="0"/>
              <w:spacing w:after="0" w:line="320" w:lineRule="atLeast"/>
              <w:ind w:left="60" w:right="60"/>
              <w:jc w:val="center"/>
              <w:rPr>
                <w:rFonts w:cstheme="minorHAnsi"/>
                <w:sz w:val="20"/>
                <w:szCs w:val="20"/>
              </w:rPr>
            </w:pPr>
            <w:r>
              <w:rPr>
                <w:rFonts w:cstheme="minorHAnsi"/>
                <w:sz w:val="20"/>
                <w:szCs w:val="20"/>
              </w:rPr>
              <w:t>1412</w:t>
            </w:r>
            <w:r w:rsidR="00D970E8">
              <w:rPr>
                <w:rFonts w:cstheme="minorHAnsi"/>
                <w:sz w:val="20"/>
                <w:szCs w:val="20"/>
              </w:rPr>
              <w:t>(89)</w:t>
            </w:r>
          </w:p>
        </w:tc>
        <w:tc>
          <w:tcPr>
            <w:tcW w:w="1408" w:type="dxa"/>
            <w:tcBorders>
              <w:top w:val="single" w:sz="4" w:space="0" w:color="auto"/>
              <w:left w:val="nil"/>
              <w:bottom w:val="nil"/>
              <w:right w:val="nil"/>
            </w:tcBorders>
            <w:shd w:val="clear" w:color="auto" w:fill="auto"/>
          </w:tcPr>
          <w:p w14:paraId="2714BE69" w14:textId="77777777" w:rsidR="00D970E8" w:rsidRPr="00096E78" w:rsidRDefault="006F37FD" w:rsidP="002F1AFB">
            <w:pPr>
              <w:autoSpaceDE w:val="0"/>
              <w:autoSpaceDN w:val="0"/>
              <w:adjustRightInd w:val="0"/>
              <w:spacing w:after="0" w:line="320" w:lineRule="atLeast"/>
              <w:ind w:left="60" w:right="60"/>
              <w:jc w:val="center"/>
              <w:rPr>
                <w:rFonts w:cstheme="minorHAnsi"/>
                <w:sz w:val="20"/>
                <w:szCs w:val="20"/>
              </w:rPr>
            </w:pPr>
            <w:r>
              <w:rPr>
                <w:rFonts w:cstheme="minorHAnsi"/>
                <w:sz w:val="20"/>
                <w:szCs w:val="20"/>
              </w:rPr>
              <w:t>92.06(17.50)</w:t>
            </w:r>
          </w:p>
        </w:tc>
        <w:tc>
          <w:tcPr>
            <w:tcW w:w="1639" w:type="dxa"/>
            <w:tcBorders>
              <w:top w:val="single" w:sz="4" w:space="0" w:color="auto"/>
              <w:left w:val="nil"/>
              <w:bottom w:val="nil"/>
              <w:right w:val="nil"/>
            </w:tcBorders>
            <w:shd w:val="clear" w:color="auto" w:fill="auto"/>
          </w:tcPr>
          <w:p w14:paraId="61D97E63" w14:textId="77777777" w:rsidR="00D970E8" w:rsidRPr="00F44EFE" w:rsidRDefault="00F44EFE" w:rsidP="002F1AFB">
            <w:pPr>
              <w:autoSpaceDE w:val="0"/>
              <w:autoSpaceDN w:val="0"/>
              <w:adjustRightInd w:val="0"/>
              <w:spacing w:after="0" w:line="320" w:lineRule="atLeast"/>
              <w:ind w:left="60" w:right="60"/>
              <w:jc w:val="center"/>
              <w:rPr>
                <w:rFonts w:cstheme="minorHAnsi"/>
                <w:sz w:val="20"/>
                <w:szCs w:val="20"/>
                <w:lang w:val="es-ES"/>
              </w:rPr>
            </w:pPr>
            <w:r w:rsidRPr="00F44EFE">
              <w:rPr>
                <w:rFonts w:cstheme="minorHAnsi"/>
                <w:sz w:val="20"/>
                <w:szCs w:val="20"/>
                <w:lang w:val="es-ES"/>
              </w:rPr>
              <w:t>22.29(3.91</w:t>
            </w:r>
            <w:r w:rsidR="006F37FD" w:rsidRPr="00F44EFE">
              <w:rPr>
                <w:rFonts w:cstheme="minorHAnsi"/>
                <w:sz w:val="20"/>
                <w:szCs w:val="20"/>
                <w:lang w:val="es-ES"/>
              </w:rPr>
              <w:t>)</w:t>
            </w:r>
          </w:p>
        </w:tc>
      </w:tr>
      <w:tr w:rsidR="00D970E8" w:rsidRPr="00F44EFE" w14:paraId="2150AB23" w14:textId="77777777" w:rsidTr="00800725">
        <w:trPr>
          <w:cantSplit/>
          <w:trHeight w:val="407"/>
        </w:trPr>
        <w:tc>
          <w:tcPr>
            <w:tcW w:w="0" w:type="auto"/>
            <w:vMerge/>
            <w:tcBorders>
              <w:left w:val="nil"/>
              <w:right w:val="nil"/>
            </w:tcBorders>
            <w:shd w:val="clear" w:color="auto" w:fill="FFFFFF" w:themeFill="background1"/>
            <w:textDirection w:val="btLr"/>
          </w:tcPr>
          <w:p w14:paraId="7837AEEB" w14:textId="77777777" w:rsidR="00D970E8" w:rsidRPr="00F44EFE" w:rsidRDefault="00D970E8" w:rsidP="00C84583">
            <w:pPr>
              <w:autoSpaceDE w:val="0"/>
              <w:autoSpaceDN w:val="0"/>
              <w:adjustRightInd w:val="0"/>
              <w:spacing w:after="0" w:line="320" w:lineRule="atLeast"/>
              <w:ind w:left="60" w:right="60"/>
              <w:jc w:val="center"/>
              <w:rPr>
                <w:rFonts w:cstheme="minorHAnsi"/>
                <w:b/>
                <w:bCs/>
                <w:sz w:val="20"/>
                <w:szCs w:val="20"/>
                <w:lang w:val="es-ES"/>
              </w:rPr>
            </w:pPr>
          </w:p>
        </w:tc>
        <w:tc>
          <w:tcPr>
            <w:tcW w:w="5780" w:type="dxa"/>
            <w:tcBorders>
              <w:top w:val="nil"/>
              <w:left w:val="nil"/>
              <w:bottom w:val="nil"/>
              <w:right w:val="nil"/>
            </w:tcBorders>
            <w:shd w:val="clear" w:color="auto" w:fill="auto"/>
          </w:tcPr>
          <w:p w14:paraId="0B3E6795" w14:textId="77777777" w:rsidR="00D970E8" w:rsidRPr="00F44EFE" w:rsidRDefault="00D970E8" w:rsidP="002F1AFB">
            <w:pPr>
              <w:autoSpaceDE w:val="0"/>
              <w:autoSpaceDN w:val="0"/>
              <w:adjustRightInd w:val="0"/>
              <w:spacing w:after="0" w:line="320" w:lineRule="atLeast"/>
              <w:ind w:left="60" w:right="60"/>
              <w:rPr>
                <w:rFonts w:cstheme="minorHAnsi"/>
                <w:sz w:val="20"/>
                <w:szCs w:val="20"/>
                <w:lang w:val="es-ES"/>
              </w:rPr>
            </w:pPr>
            <w:r w:rsidRPr="00F44EFE">
              <w:rPr>
                <w:rFonts w:cstheme="minorHAnsi"/>
                <w:sz w:val="20"/>
                <w:szCs w:val="20"/>
                <w:lang w:val="es-ES"/>
              </w:rPr>
              <w:t>Bisexual</w:t>
            </w:r>
          </w:p>
        </w:tc>
        <w:tc>
          <w:tcPr>
            <w:tcW w:w="983" w:type="dxa"/>
            <w:tcBorders>
              <w:top w:val="nil"/>
              <w:left w:val="nil"/>
              <w:bottom w:val="nil"/>
              <w:right w:val="nil"/>
            </w:tcBorders>
            <w:shd w:val="clear" w:color="auto" w:fill="auto"/>
          </w:tcPr>
          <w:p w14:paraId="74187C7E" w14:textId="77777777" w:rsidR="00D970E8" w:rsidRPr="00F44EFE" w:rsidRDefault="00F44EFE" w:rsidP="002F1AFB">
            <w:pPr>
              <w:autoSpaceDE w:val="0"/>
              <w:autoSpaceDN w:val="0"/>
              <w:adjustRightInd w:val="0"/>
              <w:spacing w:after="0" w:line="320" w:lineRule="atLeast"/>
              <w:ind w:left="60" w:right="60"/>
              <w:jc w:val="center"/>
              <w:rPr>
                <w:rFonts w:cstheme="minorHAnsi"/>
                <w:sz w:val="20"/>
                <w:szCs w:val="20"/>
                <w:lang w:val="es-ES"/>
              </w:rPr>
            </w:pPr>
            <w:r>
              <w:rPr>
                <w:rFonts w:cstheme="minorHAnsi"/>
                <w:sz w:val="20"/>
                <w:szCs w:val="20"/>
                <w:lang w:val="es-ES"/>
              </w:rPr>
              <w:t>81</w:t>
            </w:r>
            <w:r w:rsidR="00D970E8" w:rsidRPr="00F44EFE">
              <w:rPr>
                <w:rFonts w:cstheme="minorHAnsi"/>
                <w:sz w:val="20"/>
                <w:szCs w:val="20"/>
                <w:lang w:val="es-ES"/>
              </w:rPr>
              <w:t>(5)</w:t>
            </w:r>
          </w:p>
        </w:tc>
        <w:tc>
          <w:tcPr>
            <w:tcW w:w="1408" w:type="dxa"/>
            <w:tcBorders>
              <w:top w:val="nil"/>
              <w:left w:val="nil"/>
              <w:bottom w:val="nil"/>
              <w:right w:val="nil"/>
            </w:tcBorders>
            <w:shd w:val="clear" w:color="auto" w:fill="auto"/>
          </w:tcPr>
          <w:p w14:paraId="6A6CE4E8" w14:textId="77777777" w:rsidR="00D970E8" w:rsidRPr="00F44EFE" w:rsidRDefault="006F37FD" w:rsidP="002F1AFB">
            <w:pPr>
              <w:autoSpaceDE w:val="0"/>
              <w:autoSpaceDN w:val="0"/>
              <w:adjustRightInd w:val="0"/>
              <w:spacing w:after="0" w:line="320" w:lineRule="atLeast"/>
              <w:ind w:left="60" w:right="60"/>
              <w:jc w:val="center"/>
              <w:rPr>
                <w:rFonts w:cstheme="minorHAnsi"/>
                <w:sz w:val="20"/>
                <w:szCs w:val="20"/>
                <w:lang w:val="es-ES"/>
              </w:rPr>
            </w:pPr>
            <w:r w:rsidRPr="00F44EFE">
              <w:rPr>
                <w:rFonts w:cstheme="minorHAnsi"/>
                <w:sz w:val="20"/>
                <w:szCs w:val="20"/>
                <w:lang w:val="es-ES"/>
              </w:rPr>
              <w:t>92.75(15.51)</w:t>
            </w:r>
          </w:p>
        </w:tc>
        <w:tc>
          <w:tcPr>
            <w:tcW w:w="1639" w:type="dxa"/>
            <w:tcBorders>
              <w:top w:val="nil"/>
              <w:left w:val="nil"/>
              <w:bottom w:val="nil"/>
              <w:right w:val="nil"/>
            </w:tcBorders>
            <w:shd w:val="clear" w:color="auto" w:fill="auto"/>
          </w:tcPr>
          <w:p w14:paraId="6E96914A" w14:textId="77777777" w:rsidR="00D970E8" w:rsidRPr="00F44EFE" w:rsidRDefault="00F44EFE" w:rsidP="002F1AFB">
            <w:pPr>
              <w:autoSpaceDE w:val="0"/>
              <w:autoSpaceDN w:val="0"/>
              <w:adjustRightInd w:val="0"/>
              <w:spacing w:after="0" w:line="320" w:lineRule="atLeast"/>
              <w:ind w:left="60" w:right="60"/>
              <w:jc w:val="center"/>
              <w:rPr>
                <w:rFonts w:cstheme="minorHAnsi"/>
                <w:sz w:val="20"/>
                <w:szCs w:val="20"/>
              </w:rPr>
            </w:pPr>
            <w:r w:rsidRPr="00F44EFE">
              <w:rPr>
                <w:rFonts w:cstheme="minorHAnsi"/>
                <w:sz w:val="20"/>
                <w:szCs w:val="20"/>
              </w:rPr>
              <w:t>21.07(3.41</w:t>
            </w:r>
            <w:r w:rsidR="006F37FD" w:rsidRPr="00F44EFE">
              <w:rPr>
                <w:rFonts w:cstheme="minorHAnsi"/>
                <w:sz w:val="20"/>
                <w:szCs w:val="20"/>
              </w:rPr>
              <w:t>)</w:t>
            </w:r>
          </w:p>
        </w:tc>
      </w:tr>
      <w:tr w:rsidR="00D970E8" w:rsidRPr="00F44EFE" w14:paraId="6A44A0C5" w14:textId="77777777" w:rsidTr="00800725">
        <w:trPr>
          <w:cantSplit/>
          <w:trHeight w:val="399"/>
        </w:trPr>
        <w:tc>
          <w:tcPr>
            <w:tcW w:w="0" w:type="auto"/>
            <w:vMerge/>
            <w:tcBorders>
              <w:left w:val="nil"/>
              <w:right w:val="nil"/>
            </w:tcBorders>
            <w:shd w:val="clear" w:color="auto" w:fill="FFFFFF" w:themeFill="background1"/>
            <w:textDirection w:val="btLr"/>
          </w:tcPr>
          <w:p w14:paraId="2EC21CE1" w14:textId="77777777" w:rsidR="00D970E8" w:rsidRPr="00F44EFE" w:rsidRDefault="00D970E8"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67DAC24C" w14:textId="77777777" w:rsidR="00D970E8" w:rsidRPr="00F44EFE" w:rsidRDefault="00D970E8" w:rsidP="002F1AFB">
            <w:pPr>
              <w:autoSpaceDE w:val="0"/>
              <w:autoSpaceDN w:val="0"/>
              <w:adjustRightInd w:val="0"/>
              <w:spacing w:after="0" w:line="320" w:lineRule="atLeast"/>
              <w:ind w:left="60" w:right="60"/>
              <w:rPr>
                <w:rFonts w:cstheme="minorHAnsi"/>
                <w:sz w:val="20"/>
                <w:szCs w:val="20"/>
              </w:rPr>
            </w:pPr>
            <w:r w:rsidRPr="00F44EFE">
              <w:rPr>
                <w:rFonts w:cstheme="minorHAnsi"/>
                <w:sz w:val="20"/>
                <w:szCs w:val="20"/>
              </w:rPr>
              <w:t>Lesbian/Gay/Queer</w:t>
            </w:r>
          </w:p>
        </w:tc>
        <w:tc>
          <w:tcPr>
            <w:tcW w:w="983" w:type="dxa"/>
            <w:tcBorders>
              <w:top w:val="nil"/>
              <w:left w:val="nil"/>
              <w:bottom w:val="nil"/>
              <w:right w:val="nil"/>
            </w:tcBorders>
            <w:shd w:val="clear" w:color="auto" w:fill="auto"/>
          </w:tcPr>
          <w:p w14:paraId="4E5CC04A" w14:textId="77777777" w:rsidR="00D970E8" w:rsidRPr="00F44EFE" w:rsidRDefault="00F44EFE" w:rsidP="009448EC">
            <w:pPr>
              <w:autoSpaceDE w:val="0"/>
              <w:autoSpaceDN w:val="0"/>
              <w:adjustRightInd w:val="0"/>
              <w:spacing w:after="0" w:line="320" w:lineRule="atLeast"/>
              <w:ind w:left="60" w:right="60"/>
              <w:jc w:val="center"/>
              <w:rPr>
                <w:rFonts w:cstheme="minorHAnsi"/>
                <w:sz w:val="20"/>
                <w:szCs w:val="20"/>
              </w:rPr>
            </w:pPr>
            <w:r>
              <w:rPr>
                <w:rFonts w:cstheme="minorHAnsi"/>
                <w:sz w:val="20"/>
                <w:szCs w:val="20"/>
              </w:rPr>
              <w:t>93</w:t>
            </w:r>
            <w:r w:rsidR="009448EC">
              <w:rPr>
                <w:rFonts w:cstheme="minorHAnsi"/>
                <w:sz w:val="20"/>
                <w:szCs w:val="20"/>
              </w:rPr>
              <w:t>(6)</w:t>
            </w:r>
          </w:p>
        </w:tc>
        <w:tc>
          <w:tcPr>
            <w:tcW w:w="1408" w:type="dxa"/>
            <w:tcBorders>
              <w:top w:val="nil"/>
              <w:left w:val="nil"/>
              <w:bottom w:val="nil"/>
              <w:right w:val="nil"/>
            </w:tcBorders>
            <w:shd w:val="clear" w:color="auto" w:fill="auto"/>
          </w:tcPr>
          <w:p w14:paraId="5749B930" w14:textId="77777777" w:rsidR="00D970E8" w:rsidRPr="00F44EFE" w:rsidRDefault="006F37FD" w:rsidP="002F1AFB">
            <w:pPr>
              <w:autoSpaceDE w:val="0"/>
              <w:autoSpaceDN w:val="0"/>
              <w:adjustRightInd w:val="0"/>
              <w:spacing w:after="0" w:line="320" w:lineRule="atLeast"/>
              <w:ind w:left="60" w:right="60"/>
              <w:jc w:val="center"/>
              <w:rPr>
                <w:rFonts w:cstheme="minorHAnsi"/>
                <w:sz w:val="20"/>
                <w:szCs w:val="20"/>
              </w:rPr>
            </w:pPr>
            <w:r w:rsidRPr="00F44EFE">
              <w:rPr>
                <w:rFonts w:cstheme="minorHAnsi"/>
                <w:sz w:val="20"/>
                <w:szCs w:val="20"/>
              </w:rPr>
              <w:t>92.89(18.55)</w:t>
            </w:r>
          </w:p>
        </w:tc>
        <w:tc>
          <w:tcPr>
            <w:tcW w:w="1639" w:type="dxa"/>
            <w:tcBorders>
              <w:top w:val="nil"/>
              <w:left w:val="nil"/>
              <w:bottom w:val="nil"/>
              <w:right w:val="nil"/>
            </w:tcBorders>
            <w:shd w:val="clear" w:color="auto" w:fill="auto"/>
          </w:tcPr>
          <w:p w14:paraId="42524C44" w14:textId="77777777" w:rsidR="00D970E8" w:rsidRPr="00F44EFE" w:rsidRDefault="00F44EFE" w:rsidP="006F37FD">
            <w:pPr>
              <w:autoSpaceDE w:val="0"/>
              <w:autoSpaceDN w:val="0"/>
              <w:adjustRightInd w:val="0"/>
              <w:spacing w:after="0" w:line="320" w:lineRule="atLeast"/>
              <w:ind w:left="60" w:right="60"/>
              <w:jc w:val="center"/>
              <w:rPr>
                <w:rFonts w:cstheme="minorHAnsi"/>
                <w:sz w:val="20"/>
                <w:szCs w:val="20"/>
              </w:rPr>
            </w:pPr>
            <w:r w:rsidRPr="00F44EFE">
              <w:rPr>
                <w:rFonts w:cstheme="minorHAnsi"/>
                <w:sz w:val="20"/>
                <w:szCs w:val="20"/>
              </w:rPr>
              <w:t>22.29</w:t>
            </w:r>
            <w:r w:rsidR="006F37FD" w:rsidRPr="00F44EFE">
              <w:rPr>
                <w:rFonts w:cstheme="minorHAnsi"/>
                <w:sz w:val="20"/>
                <w:szCs w:val="20"/>
              </w:rPr>
              <w:t>(</w:t>
            </w:r>
            <w:r w:rsidRPr="00F44EFE">
              <w:rPr>
                <w:rFonts w:cstheme="minorHAnsi"/>
                <w:sz w:val="20"/>
                <w:szCs w:val="20"/>
              </w:rPr>
              <w:t>4.79</w:t>
            </w:r>
            <w:r w:rsidR="006F37FD" w:rsidRPr="00F44EFE">
              <w:rPr>
                <w:rFonts w:cstheme="minorHAnsi"/>
                <w:sz w:val="20"/>
                <w:szCs w:val="20"/>
              </w:rPr>
              <w:t>)</w:t>
            </w:r>
          </w:p>
        </w:tc>
      </w:tr>
      <w:tr w:rsidR="00D970E8" w:rsidRPr="00096E78" w14:paraId="18D16FEE" w14:textId="77777777" w:rsidTr="00800725">
        <w:trPr>
          <w:cantSplit/>
          <w:trHeight w:val="399"/>
        </w:trPr>
        <w:tc>
          <w:tcPr>
            <w:tcW w:w="0" w:type="auto"/>
            <w:vMerge/>
            <w:tcBorders>
              <w:left w:val="nil"/>
              <w:bottom w:val="single" w:sz="4" w:space="0" w:color="auto"/>
              <w:right w:val="nil"/>
            </w:tcBorders>
            <w:shd w:val="clear" w:color="auto" w:fill="FFFFFF" w:themeFill="background1"/>
            <w:textDirection w:val="btLr"/>
          </w:tcPr>
          <w:p w14:paraId="65D89E20" w14:textId="77777777" w:rsidR="00D970E8" w:rsidRPr="00F44EFE" w:rsidRDefault="00D970E8"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4237156E" w14:textId="77777777" w:rsidR="00D970E8" w:rsidRPr="00F44EFE" w:rsidRDefault="00D970E8" w:rsidP="002F1AFB">
            <w:pPr>
              <w:autoSpaceDE w:val="0"/>
              <w:autoSpaceDN w:val="0"/>
              <w:adjustRightInd w:val="0"/>
              <w:spacing w:after="0" w:line="320" w:lineRule="atLeast"/>
              <w:ind w:left="60" w:right="60"/>
              <w:rPr>
                <w:rFonts w:cstheme="minorHAnsi"/>
                <w:b/>
                <w:sz w:val="20"/>
                <w:szCs w:val="20"/>
              </w:rPr>
            </w:pPr>
            <w:r w:rsidRPr="00F44EFE">
              <w:rPr>
                <w:rFonts w:cstheme="minorHAnsi"/>
                <w:b/>
                <w:sz w:val="20"/>
                <w:szCs w:val="20"/>
              </w:rPr>
              <w:t>Total</w:t>
            </w:r>
          </w:p>
        </w:tc>
        <w:tc>
          <w:tcPr>
            <w:tcW w:w="983" w:type="dxa"/>
            <w:tcBorders>
              <w:top w:val="nil"/>
              <w:left w:val="nil"/>
              <w:bottom w:val="nil"/>
              <w:right w:val="nil"/>
            </w:tcBorders>
            <w:shd w:val="clear" w:color="auto" w:fill="auto"/>
          </w:tcPr>
          <w:p w14:paraId="563DF4B3" w14:textId="77777777" w:rsidR="00D970E8" w:rsidRPr="00F44EFE" w:rsidRDefault="009448EC" w:rsidP="002F1AFB">
            <w:pPr>
              <w:autoSpaceDE w:val="0"/>
              <w:autoSpaceDN w:val="0"/>
              <w:adjustRightInd w:val="0"/>
              <w:spacing w:after="0" w:line="320" w:lineRule="atLeast"/>
              <w:ind w:left="60" w:right="60"/>
              <w:jc w:val="center"/>
              <w:rPr>
                <w:rFonts w:cstheme="minorHAnsi"/>
                <w:b/>
                <w:sz w:val="20"/>
                <w:szCs w:val="20"/>
              </w:rPr>
            </w:pPr>
            <w:r>
              <w:rPr>
                <w:rFonts w:cstheme="minorHAnsi"/>
                <w:b/>
                <w:sz w:val="20"/>
                <w:szCs w:val="20"/>
              </w:rPr>
              <w:t>1586</w:t>
            </w:r>
          </w:p>
        </w:tc>
        <w:tc>
          <w:tcPr>
            <w:tcW w:w="1408" w:type="dxa"/>
            <w:tcBorders>
              <w:top w:val="nil"/>
              <w:left w:val="nil"/>
              <w:bottom w:val="nil"/>
              <w:right w:val="nil"/>
            </w:tcBorders>
            <w:shd w:val="clear" w:color="auto" w:fill="auto"/>
          </w:tcPr>
          <w:p w14:paraId="21E16BC5" w14:textId="77777777" w:rsidR="00D970E8" w:rsidRPr="00F44EFE" w:rsidRDefault="006F37FD" w:rsidP="002F1AFB">
            <w:pPr>
              <w:autoSpaceDE w:val="0"/>
              <w:autoSpaceDN w:val="0"/>
              <w:adjustRightInd w:val="0"/>
              <w:spacing w:after="0" w:line="320" w:lineRule="atLeast"/>
              <w:ind w:left="60" w:right="60"/>
              <w:jc w:val="center"/>
              <w:rPr>
                <w:rFonts w:cstheme="minorHAnsi"/>
                <w:b/>
                <w:sz w:val="20"/>
                <w:szCs w:val="20"/>
              </w:rPr>
            </w:pPr>
            <w:r w:rsidRPr="00F44EFE">
              <w:rPr>
                <w:rFonts w:cstheme="minorHAnsi"/>
                <w:b/>
                <w:sz w:val="20"/>
                <w:szCs w:val="20"/>
              </w:rPr>
              <w:t>92.14(17.46)</w:t>
            </w:r>
          </w:p>
        </w:tc>
        <w:tc>
          <w:tcPr>
            <w:tcW w:w="1639" w:type="dxa"/>
            <w:tcBorders>
              <w:top w:val="nil"/>
              <w:left w:val="nil"/>
              <w:bottom w:val="nil"/>
              <w:right w:val="nil"/>
            </w:tcBorders>
            <w:shd w:val="clear" w:color="auto" w:fill="auto"/>
          </w:tcPr>
          <w:p w14:paraId="5FF017E4" w14:textId="77777777" w:rsidR="00D970E8" w:rsidRPr="00F44EFE" w:rsidRDefault="00F44EFE" w:rsidP="002F1AFB">
            <w:pPr>
              <w:autoSpaceDE w:val="0"/>
              <w:autoSpaceDN w:val="0"/>
              <w:adjustRightInd w:val="0"/>
              <w:spacing w:after="0" w:line="320" w:lineRule="atLeast"/>
              <w:ind w:left="60" w:right="60"/>
              <w:jc w:val="center"/>
              <w:rPr>
                <w:rFonts w:cstheme="minorHAnsi"/>
                <w:b/>
                <w:sz w:val="20"/>
                <w:szCs w:val="20"/>
              </w:rPr>
            </w:pPr>
            <w:r w:rsidRPr="00F44EFE">
              <w:rPr>
                <w:rFonts w:cstheme="minorHAnsi"/>
                <w:b/>
                <w:sz w:val="20"/>
                <w:szCs w:val="20"/>
              </w:rPr>
              <w:t>22.23</w:t>
            </w:r>
            <w:r w:rsidR="006F37FD" w:rsidRPr="00F44EFE">
              <w:rPr>
                <w:rFonts w:cstheme="minorHAnsi"/>
                <w:b/>
                <w:sz w:val="20"/>
                <w:szCs w:val="20"/>
              </w:rPr>
              <w:t>(</w:t>
            </w:r>
            <w:r w:rsidRPr="00F44EFE">
              <w:rPr>
                <w:rFonts w:cstheme="minorHAnsi"/>
                <w:b/>
                <w:sz w:val="20"/>
                <w:szCs w:val="20"/>
              </w:rPr>
              <w:t>3.95</w:t>
            </w:r>
            <w:r w:rsidR="006F37FD" w:rsidRPr="00F44EFE">
              <w:rPr>
                <w:rFonts w:cstheme="minorHAnsi"/>
                <w:b/>
                <w:sz w:val="20"/>
                <w:szCs w:val="20"/>
              </w:rPr>
              <w:t>)</w:t>
            </w:r>
          </w:p>
        </w:tc>
      </w:tr>
      <w:tr w:rsidR="002F1AFB" w:rsidRPr="00096E78" w14:paraId="026E3177" w14:textId="77777777" w:rsidTr="00800725">
        <w:trPr>
          <w:cantSplit/>
          <w:trHeight w:val="227"/>
        </w:trPr>
        <w:tc>
          <w:tcPr>
            <w:tcW w:w="0" w:type="auto"/>
            <w:vMerge w:val="restart"/>
            <w:tcBorders>
              <w:top w:val="single" w:sz="4" w:space="0" w:color="auto"/>
              <w:left w:val="nil"/>
              <w:bottom w:val="single" w:sz="4" w:space="0" w:color="auto"/>
              <w:right w:val="nil"/>
            </w:tcBorders>
            <w:shd w:val="clear" w:color="auto" w:fill="FFFFFF" w:themeFill="background1"/>
            <w:textDirection w:val="btLr"/>
          </w:tcPr>
          <w:p w14:paraId="35BFB8BB"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r w:rsidRPr="00096E78">
              <w:rPr>
                <w:rFonts w:cstheme="minorHAnsi"/>
                <w:b/>
                <w:bCs/>
                <w:sz w:val="20"/>
                <w:szCs w:val="20"/>
              </w:rPr>
              <w:t>ETHNICITY</w:t>
            </w:r>
          </w:p>
        </w:tc>
        <w:tc>
          <w:tcPr>
            <w:tcW w:w="5780" w:type="dxa"/>
            <w:tcBorders>
              <w:top w:val="single" w:sz="4" w:space="0" w:color="auto"/>
              <w:left w:val="nil"/>
              <w:bottom w:val="nil"/>
              <w:right w:val="nil"/>
            </w:tcBorders>
            <w:shd w:val="clear" w:color="auto" w:fill="auto"/>
          </w:tcPr>
          <w:p w14:paraId="171EAB6A" w14:textId="083E40E1"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Asian or Asian British (Bangladeshi/ Indian/ Pakistani/ Any other Asian)</w:t>
            </w:r>
          </w:p>
        </w:tc>
        <w:tc>
          <w:tcPr>
            <w:tcW w:w="983" w:type="dxa"/>
            <w:tcBorders>
              <w:top w:val="single" w:sz="4" w:space="0" w:color="auto"/>
              <w:left w:val="nil"/>
              <w:bottom w:val="nil"/>
              <w:right w:val="nil"/>
            </w:tcBorders>
            <w:shd w:val="clear" w:color="auto" w:fill="auto"/>
          </w:tcPr>
          <w:p w14:paraId="0EA2ADF2"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66(4)</w:t>
            </w:r>
          </w:p>
        </w:tc>
        <w:tc>
          <w:tcPr>
            <w:tcW w:w="1408" w:type="dxa"/>
            <w:tcBorders>
              <w:top w:val="single" w:sz="4" w:space="0" w:color="auto"/>
              <w:left w:val="nil"/>
              <w:bottom w:val="nil"/>
              <w:right w:val="nil"/>
            </w:tcBorders>
            <w:shd w:val="clear" w:color="auto" w:fill="auto"/>
          </w:tcPr>
          <w:p w14:paraId="11F7C561"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97.26(20.08)</w:t>
            </w:r>
            <w:r w:rsidR="002D295F">
              <w:rPr>
                <w:rFonts w:cstheme="minorHAnsi"/>
                <w:sz w:val="20"/>
                <w:szCs w:val="20"/>
              </w:rPr>
              <w:t>*</w:t>
            </w:r>
          </w:p>
        </w:tc>
        <w:tc>
          <w:tcPr>
            <w:tcW w:w="1639" w:type="dxa"/>
            <w:tcBorders>
              <w:top w:val="single" w:sz="4" w:space="0" w:color="auto"/>
              <w:left w:val="nil"/>
              <w:bottom w:val="nil"/>
              <w:right w:val="nil"/>
            </w:tcBorders>
            <w:shd w:val="clear" w:color="auto" w:fill="auto"/>
          </w:tcPr>
          <w:p w14:paraId="695BD102" w14:textId="77777777" w:rsidR="002F1AFB" w:rsidRPr="00096E78" w:rsidRDefault="00B87245"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23.21</w:t>
            </w:r>
            <w:r w:rsidR="002F1AFB" w:rsidRPr="00096E78">
              <w:rPr>
                <w:rFonts w:cstheme="minorHAnsi"/>
                <w:sz w:val="20"/>
                <w:szCs w:val="20"/>
              </w:rPr>
              <w:t>(4.</w:t>
            </w:r>
            <w:r w:rsidRPr="00096E78">
              <w:rPr>
                <w:rFonts w:cstheme="minorHAnsi"/>
                <w:sz w:val="20"/>
                <w:szCs w:val="20"/>
              </w:rPr>
              <w:t>08</w:t>
            </w:r>
            <w:r w:rsidR="002F1AFB" w:rsidRPr="00096E78">
              <w:rPr>
                <w:rFonts w:cstheme="minorHAnsi"/>
                <w:sz w:val="20"/>
                <w:szCs w:val="20"/>
              </w:rPr>
              <w:t>)</w:t>
            </w:r>
            <w:r w:rsidR="002D295F">
              <w:rPr>
                <w:rFonts w:cstheme="minorHAnsi"/>
                <w:sz w:val="20"/>
                <w:szCs w:val="20"/>
              </w:rPr>
              <w:t>*</w:t>
            </w:r>
          </w:p>
        </w:tc>
      </w:tr>
      <w:tr w:rsidR="002F1AFB" w:rsidRPr="00096E78" w14:paraId="58AC4D27"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586C5FBF"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50A20119"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Black or Black British (African/ Caribbean/ Any other Black)</w:t>
            </w:r>
          </w:p>
        </w:tc>
        <w:tc>
          <w:tcPr>
            <w:tcW w:w="983" w:type="dxa"/>
            <w:tcBorders>
              <w:top w:val="nil"/>
              <w:left w:val="nil"/>
              <w:bottom w:val="nil"/>
              <w:right w:val="nil"/>
            </w:tcBorders>
            <w:shd w:val="clear" w:color="auto" w:fill="auto"/>
          </w:tcPr>
          <w:p w14:paraId="7210FD56"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40(2)</w:t>
            </w:r>
          </w:p>
        </w:tc>
        <w:tc>
          <w:tcPr>
            <w:tcW w:w="1408" w:type="dxa"/>
            <w:tcBorders>
              <w:top w:val="nil"/>
              <w:left w:val="nil"/>
              <w:bottom w:val="nil"/>
              <w:right w:val="nil"/>
            </w:tcBorders>
            <w:shd w:val="clear" w:color="auto" w:fill="auto"/>
          </w:tcPr>
          <w:p w14:paraId="10D3C39B"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94.28(23.10)</w:t>
            </w:r>
          </w:p>
        </w:tc>
        <w:tc>
          <w:tcPr>
            <w:tcW w:w="1639" w:type="dxa"/>
            <w:tcBorders>
              <w:top w:val="nil"/>
              <w:left w:val="nil"/>
              <w:bottom w:val="nil"/>
              <w:right w:val="nil"/>
            </w:tcBorders>
            <w:shd w:val="clear" w:color="auto" w:fill="auto"/>
          </w:tcPr>
          <w:p w14:paraId="2703D26C" w14:textId="77777777" w:rsidR="002F1AFB" w:rsidRPr="00096E78" w:rsidRDefault="00B87245"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24.01</w:t>
            </w:r>
            <w:r w:rsidR="002F1AFB" w:rsidRPr="00096E78">
              <w:rPr>
                <w:rFonts w:cstheme="minorHAnsi"/>
                <w:sz w:val="20"/>
                <w:szCs w:val="20"/>
              </w:rPr>
              <w:t>(6.</w:t>
            </w:r>
            <w:r w:rsidRPr="00096E78">
              <w:rPr>
                <w:rFonts w:cstheme="minorHAnsi"/>
                <w:sz w:val="20"/>
                <w:szCs w:val="20"/>
              </w:rPr>
              <w:t>02</w:t>
            </w:r>
            <w:r w:rsidR="002F1AFB" w:rsidRPr="00096E78">
              <w:rPr>
                <w:rFonts w:cstheme="minorHAnsi"/>
                <w:sz w:val="20"/>
                <w:szCs w:val="20"/>
              </w:rPr>
              <w:t>)</w:t>
            </w:r>
          </w:p>
        </w:tc>
      </w:tr>
      <w:tr w:rsidR="002F1AFB" w:rsidRPr="00096E78" w14:paraId="2B57850D"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6518BBCA"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00E9206F"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Mixed (Any mixed ethnicity)</w:t>
            </w:r>
          </w:p>
        </w:tc>
        <w:tc>
          <w:tcPr>
            <w:tcW w:w="983" w:type="dxa"/>
            <w:tcBorders>
              <w:top w:val="nil"/>
              <w:left w:val="nil"/>
              <w:bottom w:val="nil"/>
              <w:right w:val="nil"/>
            </w:tcBorders>
            <w:shd w:val="clear" w:color="auto" w:fill="auto"/>
          </w:tcPr>
          <w:p w14:paraId="0A8DF2F5"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51(3)</w:t>
            </w:r>
          </w:p>
        </w:tc>
        <w:tc>
          <w:tcPr>
            <w:tcW w:w="1408" w:type="dxa"/>
            <w:tcBorders>
              <w:top w:val="nil"/>
              <w:left w:val="nil"/>
              <w:bottom w:val="nil"/>
              <w:right w:val="nil"/>
            </w:tcBorders>
            <w:shd w:val="clear" w:color="auto" w:fill="auto"/>
          </w:tcPr>
          <w:p w14:paraId="02AE5010"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87.14(18.71)</w:t>
            </w:r>
          </w:p>
        </w:tc>
        <w:tc>
          <w:tcPr>
            <w:tcW w:w="1639" w:type="dxa"/>
            <w:tcBorders>
              <w:top w:val="nil"/>
              <w:left w:val="nil"/>
              <w:bottom w:val="nil"/>
              <w:right w:val="nil"/>
            </w:tcBorders>
            <w:shd w:val="clear" w:color="auto" w:fill="auto"/>
          </w:tcPr>
          <w:p w14:paraId="7442377C" w14:textId="77777777" w:rsidR="002F1AFB" w:rsidRPr="00096E78" w:rsidRDefault="002F1AFB" w:rsidP="00B87245">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B87245" w:rsidRPr="00096E78">
              <w:rPr>
                <w:rFonts w:cstheme="minorHAnsi"/>
                <w:sz w:val="20"/>
                <w:szCs w:val="20"/>
              </w:rPr>
              <w:t>2.00</w:t>
            </w:r>
            <w:r w:rsidRPr="00096E78">
              <w:rPr>
                <w:rFonts w:cstheme="minorHAnsi"/>
                <w:sz w:val="20"/>
                <w:szCs w:val="20"/>
              </w:rPr>
              <w:t>(4.</w:t>
            </w:r>
            <w:r w:rsidR="00B87245" w:rsidRPr="00096E78">
              <w:rPr>
                <w:rFonts w:cstheme="minorHAnsi"/>
                <w:sz w:val="20"/>
                <w:szCs w:val="20"/>
              </w:rPr>
              <w:t>47</w:t>
            </w:r>
            <w:r w:rsidRPr="00096E78">
              <w:rPr>
                <w:rFonts w:cstheme="minorHAnsi"/>
                <w:sz w:val="20"/>
                <w:szCs w:val="20"/>
              </w:rPr>
              <w:t>)</w:t>
            </w:r>
          </w:p>
        </w:tc>
      </w:tr>
      <w:tr w:rsidR="002F1AFB" w:rsidRPr="00096E78" w14:paraId="5E996F36"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5798135F"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002C0094"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White (British/ Irish/ Any other White ethnicity)</w:t>
            </w:r>
          </w:p>
        </w:tc>
        <w:tc>
          <w:tcPr>
            <w:tcW w:w="983" w:type="dxa"/>
            <w:tcBorders>
              <w:top w:val="nil"/>
              <w:left w:val="nil"/>
              <w:bottom w:val="nil"/>
              <w:right w:val="nil"/>
            </w:tcBorders>
            <w:shd w:val="clear" w:color="auto" w:fill="auto"/>
          </w:tcPr>
          <w:p w14:paraId="331ED1CF"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1440(89)</w:t>
            </w:r>
          </w:p>
        </w:tc>
        <w:tc>
          <w:tcPr>
            <w:tcW w:w="1408" w:type="dxa"/>
            <w:tcBorders>
              <w:top w:val="nil"/>
              <w:left w:val="nil"/>
              <w:bottom w:val="nil"/>
              <w:right w:val="nil"/>
            </w:tcBorders>
            <w:shd w:val="clear" w:color="auto" w:fill="auto"/>
          </w:tcPr>
          <w:p w14:paraId="4063B3D7"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91.79(17.03)</w:t>
            </w:r>
          </w:p>
        </w:tc>
        <w:tc>
          <w:tcPr>
            <w:tcW w:w="1639" w:type="dxa"/>
            <w:tcBorders>
              <w:top w:val="nil"/>
              <w:left w:val="nil"/>
              <w:bottom w:val="nil"/>
              <w:right w:val="nil"/>
            </w:tcBorders>
            <w:shd w:val="clear" w:color="auto" w:fill="auto"/>
          </w:tcPr>
          <w:p w14:paraId="4BF70576"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B87245" w:rsidRPr="00096E78">
              <w:rPr>
                <w:rFonts w:cstheme="minorHAnsi"/>
                <w:sz w:val="20"/>
                <w:szCs w:val="20"/>
              </w:rPr>
              <w:t>2.11</w:t>
            </w:r>
            <w:r w:rsidRPr="00096E78">
              <w:rPr>
                <w:rFonts w:cstheme="minorHAnsi"/>
                <w:sz w:val="20"/>
                <w:szCs w:val="20"/>
              </w:rPr>
              <w:t>(</w:t>
            </w:r>
            <w:r w:rsidR="00B87245" w:rsidRPr="00096E78">
              <w:rPr>
                <w:rFonts w:cstheme="minorHAnsi"/>
                <w:sz w:val="20"/>
                <w:szCs w:val="20"/>
              </w:rPr>
              <w:t>3.81</w:t>
            </w:r>
            <w:r w:rsidRPr="00096E78">
              <w:rPr>
                <w:rFonts w:cstheme="minorHAnsi"/>
                <w:sz w:val="20"/>
                <w:szCs w:val="20"/>
              </w:rPr>
              <w:t>)</w:t>
            </w:r>
          </w:p>
        </w:tc>
      </w:tr>
      <w:tr w:rsidR="002F1AFB" w:rsidRPr="00096E78" w14:paraId="4342B124"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3F4C414F"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nil"/>
              <w:right w:val="nil"/>
            </w:tcBorders>
            <w:shd w:val="clear" w:color="auto" w:fill="auto"/>
          </w:tcPr>
          <w:p w14:paraId="6B72539B"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sz w:val="20"/>
                <w:szCs w:val="20"/>
              </w:rPr>
              <w:t>Other ethnic group (Chinese/ Any other)</w:t>
            </w:r>
          </w:p>
        </w:tc>
        <w:tc>
          <w:tcPr>
            <w:tcW w:w="983" w:type="dxa"/>
            <w:tcBorders>
              <w:top w:val="nil"/>
              <w:left w:val="nil"/>
              <w:bottom w:val="nil"/>
              <w:right w:val="nil"/>
            </w:tcBorders>
            <w:shd w:val="clear" w:color="auto" w:fill="auto"/>
          </w:tcPr>
          <w:p w14:paraId="1BFE4E55"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25(2)</w:t>
            </w:r>
          </w:p>
        </w:tc>
        <w:tc>
          <w:tcPr>
            <w:tcW w:w="1408" w:type="dxa"/>
            <w:tcBorders>
              <w:top w:val="nil"/>
              <w:left w:val="nil"/>
              <w:bottom w:val="nil"/>
              <w:right w:val="nil"/>
            </w:tcBorders>
            <w:shd w:val="clear" w:color="auto" w:fill="auto"/>
          </w:tcPr>
          <w:p w14:paraId="060FD173"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94.80(18.06</w:t>
            </w:r>
            <w:r w:rsidR="00051344">
              <w:rPr>
                <w:rFonts w:cstheme="minorHAnsi"/>
                <w:sz w:val="20"/>
                <w:szCs w:val="20"/>
              </w:rPr>
              <w:t>)</w:t>
            </w:r>
          </w:p>
        </w:tc>
        <w:tc>
          <w:tcPr>
            <w:tcW w:w="1639" w:type="dxa"/>
            <w:tcBorders>
              <w:top w:val="nil"/>
              <w:left w:val="nil"/>
              <w:bottom w:val="nil"/>
              <w:right w:val="nil"/>
            </w:tcBorders>
            <w:shd w:val="clear" w:color="auto" w:fill="auto"/>
          </w:tcPr>
          <w:p w14:paraId="27E2CF98" w14:textId="77777777" w:rsidR="002F1AFB" w:rsidRPr="00096E78" w:rsidRDefault="002F1AFB" w:rsidP="00B87245">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B87245" w:rsidRPr="00096E78">
              <w:rPr>
                <w:rFonts w:cstheme="minorHAnsi"/>
                <w:sz w:val="20"/>
                <w:szCs w:val="20"/>
              </w:rPr>
              <w:t>3.16</w:t>
            </w:r>
            <w:r w:rsidR="00B87245" w:rsidRPr="00096E78" w:rsidDel="00B87245">
              <w:rPr>
                <w:rFonts w:cstheme="minorHAnsi"/>
                <w:sz w:val="20"/>
                <w:szCs w:val="20"/>
              </w:rPr>
              <w:t xml:space="preserve"> </w:t>
            </w:r>
            <w:r w:rsidRPr="00096E78">
              <w:rPr>
                <w:rFonts w:cstheme="minorHAnsi"/>
                <w:sz w:val="20"/>
                <w:szCs w:val="20"/>
              </w:rPr>
              <w:t>(4.</w:t>
            </w:r>
            <w:r w:rsidR="00B87245" w:rsidRPr="00096E78">
              <w:rPr>
                <w:rFonts w:cstheme="minorHAnsi"/>
                <w:sz w:val="20"/>
                <w:szCs w:val="20"/>
              </w:rPr>
              <w:t>44</w:t>
            </w:r>
            <w:r w:rsidRPr="00096E78">
              <w:rPr>
                <w:rFonts w:cstheme="minorHAnsi"/>
                <w:sz w:val="20"/>
                <w:szCs w:val="20"/>
              </w:rPr>
              <w:t>)</w:t>
            </w:r>
          </w:p>
        </w:tc>
      </w:tr>
      <w:tr w:rsidR="002F1AFB" w:rsidRPr="00096E78" w14:paraId="20F775F0"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extDirection w:val="btLr"/>
          </w:tcPr>
          <w:p w14:paraId="70929162"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p>
        </w:tc>
        <w:tc>
          <w:tcPr>
            <w:tcW w:w="5780" w:type="dxa"/>
            <w:tcBorders>
              <w:top w:val="nil"/>
              <w:left w:val="nil"/>
              <w:bottom w:val="single" w:sz="4" w:space="0" w:color="auto"/>
              <w:right w:val="nil"/>
            </w:tcBorders>
            <w:shd w:val="clear" w:color="auto" w:fill="auto"/>
          </w:tcPr>
          <w:p w14:paraId="41E05E9A"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b/>
                <w:bCs/>
                <w:sz w:val="20"/>
                <w:szCs w:val="20"/>
              </w:rPr>
              <w:t>Total</w:t>
            </w:r>
          </w:p>
        </w:tc>
        <w:tc>
          <w:tcPr>
            <w:tcW w:w="983" w:type="dxa"/>
            <w:tcBorders>
              <w:top w:val="nil"/>
              <w:left w:val="nil"/>
              <w:bottom w:val="single" w:sz="4" w:space="0" w:color="auto"/>
              <w:right w:val="nil"/>
            </w:tcBorders>
            <w:shd w:val="clear" w:color="auto" w:fill="auto"/>
          </w:tcPr>
          <w:p w14:paraId="579A197A"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1622</w:t>
            </w:r>
          </w:p>
        </w:tc>
        <w:tc>
          <w:tcPr>
            <w:tcW w:w="1408" w:type="dxa"/>
            <w:tcBorders>
              <w:top w:val="nil"/>
              <w:left w:val="nil"/>
              <w:bottom w:val="single" w:sz="4" w:space="0" w:color="auto"/>
              <w:right w:val="nil"/>
            </w:tcBorders>
            <w:shd w:val="clear" w:color="auto" w:fill="auto"/>
          </w:tcPr>
          <w:p w14:paraId="4DD04DDD"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91.97(17.45)</w:t>
            </w:r>
            <w:r w:rsidR="002D295F">
              <w:rPr>
                <w:rFonts w:cstheme="minorHAnsi"/>
                <w:b/>
                <w:bCs/>
                <w:sz w:val="20"/>
                <w:szCs w:val="20"/>
              </w:rPr>
              <w:t>*</w:t>
            </w:r>
          </w:p>
        </w:tc>
        <w:tc>
          <w:tcPr>
            <w:tcW w:w="1639" w:type="dxa"/>
            <w:tcBorders>
              <w:top w:val="nil"/>
              <w:left w:val="nil"/>
              <w:bottom w:val="single" w:sz="4" w:space="0" w:color="auto"/>
              <w:right w:val="nil"/>
            </w:tcBorders>
            <w:shd w:val="clear" w:color="auto" w:fill="auto"/>
          </w:tcPr>
          <w:p w14:paraId="4B47EA61"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2</w:t>
            </w:r>
            <w:r w:rsidR="00C530A6" w:rsidRPr="00096E78">
              <w:rPr>
                <w:rFonts w:cstheme="minorHAnsi"/>
                <w:b/>
                <w:bCs/>
                <w:sz w:val="20"/>
                <w:szCs w:val="20"/>
              </w:rPr>
              <w:t>2.21</w:t>
            </w:r>
            <w:r w:rsidRPr="00096E78">
              <w:rPr>
                <w:rFonts w:cstheme="minorHAnsi"/>
                <w:b/>
                <w:bCs/>
                <w:sz w:val="20"/>
                <w:szCs w:val="20"/>
              </w:rPr>
              <w:t>(</w:t>
            </w:r>
            <w:r w:rsidR="00C530A6" w:rsidRPr="00096E78">
              <w:rPr>
                <w:rFonts w:cstheme="minorHAnsi"/>
                <w:b/>
                <w:bCs/>
                <w:sz w:val="20"/>
                <w:szCs w:val="20"/>
              </w:rPr>
              <w:t>3.93</w:t>
            </w:r>
            <w:r w:rsidRPr="00096E78">
              <w:rPr>
                <w:rFonts w:cstheme="minorHAnsi"/>
                <w:b/>
                <w:bCs/>
                <w:sz w:val="20"/>
                <w:szCs w:val="20"/>
              </w:rPr>
              <w:t>)</w:t>
            </w:r>
            <w:r w:rsidR="002D295F">
              <w:rPr>
                <w:rFonts w:cstheme="minorHAnsi"/>
                <w:b/>
                <w:bCs/>
                <w:sz w:val="20"/>
                <w:szCs w:val="20"/>
              </w:rPr>
              <w:t>**</w:t>
            </w:r>
          </w:p>
        </w:tc>
      </w:tr>
      <w:tr w:rsidR="002F1AFB" w:rsidRPr="00096E78" w14:paraId="06BD0A08" w14:textId="77777777" w:rsidTr="00800725">
        <w:trPr>
          <w:cantSplit/>
          <w:trHeight w:val="227"/>
        </w:trPr>
        <w:tc>
          <w:tcPr>
            <w:tcW w:w="0" w:type="auto"/>
            <w:vMerge w:val="restart"/>
            <w:tcBorders>
              <w:top w:val="single" w:sz="4" w:space="0" w:color="auto"/>
              <w:left w:val="nil"/>
              <w:bottom w:val="single" w:sz="4" w:space="0" w:color="auto"/>
              <w:right w:val="nil"/>
            </w:tcBorders>
            <w:shd w:val="clear" w:color="auto" w:fill="FFFFFF" w:themeFill="background1"/>
            <w:textDirection w:val="btLr"/>
          </w:tcPr>
          <w:p w14:paraId="507444D7" w14:textId="77777777" w:rsidR="002F1AFB" w:rsidRPr="00096E78" w:rsidRDefault="002F1AFB" w:rsidP="00C84583">
            <w:pPr>
              <w:autoSpaceDE w:val="0"/>
              <w:autoSpaceDN w:val="0"/>
              <w:adjustRightInd w:val="0"/>
              <w:spacing w:after="0" w:line="320" w:lineRule="atLeast"/>
              <w:ind w:left="60" w:right="60"/>
              <w:jc w:val="center"/>
              <w:rPr>
                <w:rFonts w:cstheme="minorHAnsi"/>
                <w:b/>
                <w:bCs/>
                <w:sz w:val="20"/>
                <w:szCs w:val="20"/>
              </w:rPr>
            </w:pPr>
            <w:r w:rsidRPr="00096E78">
              <w:rPr>
                <w:rFonts w:cstheme="minorHAnsi"/>
                <w:b/>
                <w:bCs/>
                <w:sz w:val="20"/>
                <w:szCs w:val="20"/>
              </w:rPr>
              <w:t>DISABILITY</w:t>
            </w:r>
          </w:p>
        </w:tc>
        <w:tc>
          <w:tcPr>
            <w:tcW w:w="5780" w:type="dxa"/>
            <w:tcBorders>
              <w:top w:val="single" w:sz="4" w:space="0" w:color="auto"/>
              <w:left w:val="nil"/>
              <w:bottom w:val="nil"/>
              <w:right w:val="nil"/>
            </w:tcBorders>
            <w:shd w:val="clear" w:color="auto" w:fill="FFFFFF" w:themeFill="background1"/>
          </w:tcPr>
          <w:p w14:paraId="1781BEFB" w14:textId="77777777" w:rsidR="002F1AFB" w:rsidRPr="00096E78" w:rsidRDefault="00381D76" w:rsidP="002F1AFB">
            <w:pPr>
              <w:autoSpaceDE w:val="0"/>
              <w:autoSpaceDN w:val="0"/>
              <w:adjustRightInd w:val="0"/>
              <w:spacing w:after="0" w:line="320" w:lineRule="atLeast"/>
              <w:ind w:left="60" w:right="60"/>
              <w:rPr>
                <w:rFonts w:cstheme="minorHAnsi"/>
                <w:b/>
                <w:bCs/>
                <w:sz w:val="20"/>
                <w:szCs w:val="20"/>
              </w:rPr>
            </w:pPr>
            <w:r>
              <w:rPr>
                <w:rFonts w:cstheme="minorHAnsi"/>
                <w:sz w:val="20"/>
                <w:szCs w:val="20"/>
              </w:rPr>
              <w:t>Report Disability</w:t>
            </w:r>
          </w:p>
        </w:tc>
        <w:tc>
          <w:tcPr>
            <w:tcW w:w="983" w:type="dxa"/>
            <w:tcBorders>
              <w:top w:val="single" w:sz="4" w:space="0" w:color="auto"/>
              <w:left w:val="nil"/>
              <w:bottom w:val="nil"/>
              <w:right w:val="nil"/>
            </w:tcBorders>
            <w:shd w:val="clear" w:color="auto" w:fill="FFFFFF" w:themeFill="background1"/>
          </w:tcPr>
          <w:p w14:paraId="6788529C"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279(17)</w:t>
            </w:r>
          </w:p>
        </w:tc>
        <w:tc>
          <w:tcPr>
            <w:tcW w:w="1408" w:type="dxa"/>
            <w:tcBorders>
              <w:top w:val="single" w:sz="4" w:space="0" w:color="auto"/>
              <w:left w:val="nil"/>
              <w:bottom w:val="nil"/>
              <w:right w:val="nil"/>
            </w:tcBorders>
            <w:shd w:val="clear" w:color="auto" w:fill="FFFFFF" w:themeFill="background1"/>
          </w:tcPr>
          <w:p w14:paraId="73D62A0C"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88.24(17.08)</w:t>
            </w:r>
          </w:p>
        </w:tc>
        <w:tc>
          <w:tcPr>
            <w:tcW w:w="1639" w:type="dxa"/>
            <w:tcBorders>
              <w:top w:val="single" w:sz="4" w:space="0" w:color="auto"/>
              <w:left w:val="nil"/>
              <w:bottom w:val="nil"/>
              <w:right w:val="nil"/>
            </w:tcBorders>
            <w:shd w:val="clear" w:color="auto" w:fill="FFFFFF" w:themeFill="background1"/>
          </w:tcPr>
          <w:p w14:paraId="7A180677" w14:textId="77777777" w:rsidR="002F1AFB" w:rsidRPr="00096E78" w:rsidRDefault="002F1AFB" w:rsidP="00D06F4C">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FF4388">
              <w:rPr>
                <w:rFonts w:cstheme="minorHAnsi"/>
                <w:sz w:val="20"/>
                <w:szCs w:val="20"/>
              </w:rPr>
              <w:t>1.23</w:t>
            </w:r>
            <w:r w:rsidR="00D06F4C" w:rsidRPr="00096E78" w:rsidDel="00D06F4C">
              <w:rPr>
                <w:rFonts w:cstheme="minorHAnsi"/>
                <w:sz w:val="20"/>
                <w:szCs w:val="20"/>
              </w:rPr>
              <w:t xml:space="preserve"> </w:t>
            </w:r>
            <w:r w:rsidRPr="00096E78">
              <w:rPr>
                <w:rFonts w:cstheme="minorHAnsi"/>
                <w:sz w:val="20"/>
                <w:szCs w:val="20"/>
              </w:rPr>
              <w:t>(</w:t>
            </w:r>
            <w:r w:rsidR="00D06F4C" w:rsidRPr="00096E78">
              <w:rPr>
                <w:rFonts w:cstheme="minorHAnsi"/>
                <w:sz w:val="20"/>
                <w:szCs w:val="20"/>
              </w:rPr>
              <w:t>3.75</w:t>
            </w:r>
            <w:r w:rsidRPr="00096E78">
              <w:rPr>
                <w:rFonts w:cstheme="minorHAnsi"/>
                <w:sz w:val="20"/>
                <w:szCs w:val="20"/>
              </w:rPr>
              <w:t>)</w:t>
            </w:r>
          </w:p>
        </w:tc>
      </w:tr>
      <w:tr w:rsidR="002F1AFB" w:rsidRPr="00096E78" w14:paraId="3B45DE96" w14:textId="77777777" w:rsidTr="00800725">
        <w:trPr>
          <w:cantSplit/>
          <w:trHeight w:val="227"/>
        </w:trPr>
        <w:tc>
          <w:tcPr>
            <w:tcW w:w="0" w:type="auto"/>
            <w:vMerge/>
            <w:tcBorders>
              <w:top w:val="single" w:sz="4" w:space="0" w:color="auto"/>
              <w:left w:val="nil"/>
              <w:bottom w:val="single" w:sz="4" w:space="0" w:color="auto"/>
              <w:right w:val="nil"/>
            </w:tcBorders>
            <w:shd w:val="clear" w:color="auto" w:fill="FFFFFF" w:themeFill="background1"/>
          </w:tcPr>
          <w:p w14:paraId="1D367FB1" w14:textId="77777777" w:rsidR="002F1AFB" w:rsidRPr="00096E78" w:rsidRDefault="002F1AFB" w:rsidP="002F1AFB">
            <w:pPr>
              <w:autoSpaceDE w:val="0"/>
              <w:autoSpaceDN w:val="0"/>
              <w:adjustRightInd w:val="0"/>
              <w:spacing w:after="0" w:line="320" w:lineRule="atLeast"/>
              <w:ind w:left="60" w:right="60"/>
              <w:rPr>
                <w:rFonts w:cstheme="minorHAnsi"/>
                <w:b/>
                <w:bCs/>
                <w:sz w:val="16"/>
                <w:szCs w:val="16"/>
              </w:rPr>
            </w:pPr>
          </w:p>
        </w:tc>
        <w:tc>
          <w:tcPr>
            <w:tcW w:w="5780" w:type="dxa"/>
            <w:tcBorders>
              <w:top w:val="nil"/>
              <w:left w:val="nil"/>
              <w:bottom w:val="nil"/>
              <w:right w:val="nil"/>
            </w:tcBorders>
            <w:shd w:val="clear" w:color="auto" w:fill="FFFFFF" w:themeFill="background1"/>
          </w:tcPr>
          <w:p w14:paraId="4ECD7846" w14:textId="77777777" w:rsidR="002F1AFB" w:rsidRPr="00096E78" w:rsidRDefault="00381D76" w:rsidP="002F1AFB">
            <w:pPr>
              <w:autoSpaceDE w:val="0"/>
              <w:autoSpaceDN w:val="0"/>
              <w:adjustRightInd w:val="0"/>
              <w:spacing w:after="0" w:line="320" w:lineRule="atLeast"/>
              <w:ind w:left="60" w:right="60"/>
              <w:rPr>
                <w:rFonts w:cstheme="minorHAnsi"/>
                <w:b/>
                <w:bCs/>
                <w:sz w:val="20"/>
                <w:szCs w:val="20"/>
              </w:rPr>
            </w:pPr>
            <w:r>
              <w:rPr>
                <w:rFonts w:cstheme="minorHAnsi"/>
                <w:sz w:val="20"/>
                <w:szCs w:val="20"/>
              </w:rPr>
              <w:t>No Report of Disability</w:t>
            </w:r>
          </w:p>
        </w:tc>
        <w:tc>
          <w:tcPr>
            <w:tcW w:w="983" w:type="dxa"/>
            <w:tcBorders>
              <w:top w:val="nil"/>
              <w:left w:val="nil"/>
              <w:bottom w:val="nil"/>
              <w:right w:val="nil"/>
            </w:tcBorders>
            <w:shd w:val="clear" w:color="auto" w:fill="FFFFFF" w:themeFill="background1"/>
          </w:tcPr>
          <w:p w14:paraId="3B8C0081"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1353(83)</w:t>
            </w:r>
          </w:p>
        </w:tc>
        <w:tc>
          <w:tcPr>
            <w:tcW w:w="1408" w:type="dxa"/>
            <w:tcBorders>
              <w:top w:val="nil"/>
              <w:left w:val="nil"/>
              <w:bottom w:val="nil"/>
              <w:right w:val="nil"/>
            </w:tcBorders>
            <w:shd w:val="clear" w:color="auto" w:fill="FFFFFF" w:themeFill="background1"/>
          </w:tcPr>
          <w:p w14:paraId="04FC1DFF"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92.82(17.38)</w:t>
            </w:r>
          </w:p>
        </w:tc>
        <w:tc>
          <w:tcPr>
            <w:tcW w:w="1639" w:type="dxa"/>
            <w:tcBorders>
              <w:top w:val="nil"/>
              <w:left w:val="nil"/>
              <w:bottom w:val="nil"/>
              <w:right w:val="nil"/>
            </w:tcBorders>
            <w:shd w:val="clear" w:color="auto" w:fill="FFFFFF" w:themeFill="background1"/>
          </w:tcPr>
          <w:p w14:paraId="57177DE7"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sz w:val="20"/>
                <w:szCs w:val="20"/>
              </w:rPr>
              <w:t>2</w:t>
            </w:r>
            <w:r w:rsidR="00D06F4C" w:rsidRPr="00096E78">
              <w:rPr>
                <w:rFonts w:cstheme="minorHAnsi"/>
                <w:sz w:val="20"/>
                <w:szCs w:val="20"/>
              </w:rPr>
              <w:t>2.41</w:t>
            </w:r>
            <w:r w:rsidRPr="00096E78">
              <w:rPr>
                <w:rFonts w:cstheme="minorHAnsi"/>
                <w:sz w:val="20"/>
                <w:szCs w:val="20"/>
              </w:rPr>
              <w:t>(</w:t>
            </w:r>
            <w:r w:rsidR="00D06F4C" w:rsidRPr="00096E78">
              <w:rPr>
                <w:rFonts w:cstheme="minorHAnsi"/>
                <w:sz w:val="20"/>
                <w:szCs w:val="20"/>
              </w:rPr>
              <w:t>3.91</w:t>
            </w:r>
            <w:r w:rsidRPr="00096E78">
              <w:rPr>
                <w:rFonts w:cstheme="minorHAnsi"/>
                <w:sz w:val="20"/>
                <w:szCs w:val="20"/>
              </w:rPr>
              <w:t>)</w:t>
            </w:r>
          </w:p>
        </w:tc>
      </w:tr>
      <w:tr w:rsidR="002F1AFB" w:rsidRPr="00096E78" w14:paraId="6624D325" w14:textId="77777777" w:rsidTr="00800725">
        <w:trPr>
          <w:cantSplit/>
          <w:trHeight w:val="475"/>
        </w:trPr>
        <w:tc>
          <w:tcPr>
            <w:tcW w:w="0" w:type="auto"/>
            <w:vMerge/>
            <w:tcBorders>
              <w:top w:val="single" w:sz="4" w:space="0" w:color="auto"/>
              <w:left w:val="nil"/>
              <w:bottom w:val="single" w:sz="4" w:space="0" w:color="auto"/>
              <w:right w:val="nil"/>
            </w:tcBorders>
            <w:shd w:val="clear" w:color="auto" w:fill="FFFFFF" w:themeFill="background1"/>
          </w:tcPr>
          <w:p w14:paraId="0278E7E7" w14:textId="77777777" w:rsidR="002F1AFB" w:rsidRPr="00096E78" w:rsidRDefault="002F1AFB" w:rsidP="002F1AFB">
            <w:pPr>
              <w:autoSpaceDE w:val="0"/>
              <w:autoSpaceDN w:val="0"/>
              <w:adjustRightInd w:val="0"/>
              <w:spacing w:after="0" w:line="320" w:lineRule="atLeast"/>
              <w:ind w:left="60" w:right="60"/>
              <w:rPr>
                <w:rFonts w:cstheme="minorHAnsi"/>
                <w:b/>
                <w:bCs/>
                <w:sz w:val="16"/>
                <w:szCs w:val="16"/>
              </w:rPr>
            </w:pPr>
          </w:p>
        </w:tc>
        <w:tc>
          <w:tcPr>
            <w:tcW w:w="5780" w:type="dxa"/>
            <w:tcBorders>
              <w:top w:val="nil"/>
              <w:left w:val="nil"/>
              <w:bottom w:val="single" w:sz="4" w:space="0" w:color="auto"/>
              <w:right w:val="nil"/>
            </w:tcBorders>
            <w:shd w:val="clear" w:color="auto" w:fill="FFFFFF" w:themeFill="background1"/>
          </w:tcPr>
          <w:p w14:paraId="7365405D" w14:textId="77777777" w:rsidR="002F1AFB" w:rsidRPr="00096E78" w:rsidRDefault="002F1AFB" w:rsidP="002F1AFB">
            <w:pPr>
              <w:autoSpaceDE w:val="0"/>
              <w:autoSpaceDN w:val="0"/>
              <w:adjustRightInd w:val="0"/>
              <w:spacing w:after="0" w:line="320" w:lineRule="atLeast"/>
              <w:ind w:left="60" w:right="60"/>
              <w:rPr>
                <w:rFonts w:cstheme="minorHAnsi"/>
                <w:b/>
                <w:bCs/>
                <w:sz w:val="20"/>
                <w:szCs w:val="20"/>
              </w:rPr>
            </w:pPr>
            <w:r w:rsidRPr="00096E78">
              <w:rPr>
                <w:rFonts w:cstheme="minorHAnsi"/>
                <w:b/>
                <w:bCs/>
                <w:sz w:val="20"/>
                <w:szCs w:val="20"/>
              </w:rPr>
              <w:t>Total</w:t>
            </w:r>
          </w:p>
        </w:tc>
        <w:tc>
          <w:tcPr>
            <w:tcW w:w="983" w:type="dxa"/>
            <w:tcBorders>
              <w:top w:val="nil"/>
              <w:left w:val="nil"/>
              <w:bottom w:val="single" w:sz="4" w:space="0" w:color="auto"/>
              <w:right w:val="nil"/>
            </w:tcBorders>
            <w:shd w:val="clear" w:color="auto" w:fill="FFFFFF" w:themeFill="background1"/>
          </w:tcPr>
          <w:p w14:paraId="0E631984"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1632</w:t>
            </w:r>
          </w:p>
        </w:tc>
        <w:tc>
          <w:tcPr>
            <w:tcW w:w="1408" w:type="dxa"/>
            <w:tcBorders>
              <w:top w:val="nil"/>
              <w:left w:val="nil"/>
              <w:bottom w:val="single" w:sz="4" w:space="0" w:color="auto"/>
              <w:right w:val="nil"/>
            </w:tcBorders>
            <w:shd w:val="clear" w:color="auto" w:fill="FFFFFF" w:themeFill="background1"/>
          </w:tcPr>
          <w:p w14:paraId="0AD68C63"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92.04(17.41)</w:t>
            </w:r>
            <w:r w:rsidR="002D295F">
              <w:rPr>
                <w:rFonts w:cstheme="minorHAnsi"/>
                <w:b/>
                <w:bCs/>
                <w:sz w:val="20"/>
                <w:szCs w:val="20"/>
              </w:rPr>
              <w:t>***</w:t>
            </w:r>
          </w:p>
        </w:tc>
        <w:tc>
          <w:tcPr>
            <w:tcW w:w="1639" w:type="dxa"/>
            <w:tcBorders>
              <w:top w:val="nil"/>
              <w:left w:val="nil"/>
              <w:bottom w:val="single" w:sz="4" w:space="0" w:color="auto"/>
              <w:right w:val="nil"/>
            </w:tcBorders>
            <w:shd w:val="clear" w:color="auto" w:fill="FFFFFF" w:themeFill="background1"/>
          </w:tcPr>
          <w:p w14:paraId="63D4649D" w14:textId="77777777" w:rsidR="002F1AFB" w:rsidRPr="00096E78" w:rsidRDefault="002F1AFB" w:rsidP="002F1AFB">
            <w:pPr>
              <w:autoSpaceDE w:val="0"/>
              <w:autoSpaceDN w:val="0"/>
              <w:adjustRightInd w:val="0"/>
              <w:spacing w:after="0" w:line="320" w:lineRule="atLeast"/>
              <w:ind w:left="60" w:right="60"/>
              <w:jc w:val="center"/>
              <w:rPr>
                <w:rFonts w:cstheme="minorHAnsi"/>
                <w:b/>
                <w:bCs/>
                <w:color w:val="010205"/>
                <w:sz w:val="20"/>
                <w:szCs w:val="20"/>
              </w:rPr>
            </w:pPr>
            <w:r w:rsidRPr="00096E78">
              <w:rPr>
                <w:rFonts w:cstheme="minorHAnsi"/>
                <w:b/>
                <w:bCs/>
                <w:sz w:val="20"/>
                <w:szCs w:val="20"/>
              </w:rPr>
              <w:t>2</w:t>
            </w:r>
            <w:r w:rsidR="00C530A6" w:rsidRPr="00096E78">
              <w:rPr>
                <w:rFonts w:cstheme="minorHAnsi"/>
                <w:b/>
                <w:bCs/>
                <w:sz w:val="20"/>
                <w:szCs w:val="20"/>
              </w:rPr>
              <w:t>2.21(3.91</w:t>
            </w:r>
            <w:r w:rsidRPr="00096E78">
              <w:rPr>
                <w:rFonts w:cstheme="minorHAnsi"/>
                <w:b/>
                <w:bCs/>
                <w:sz w:val="20"/>
                <w:szCs w:val="20"/>
              </w:rPr>
              <w:t>)</w:t>
            </w:r>
            <w:r w:rsidR="002D295F">
              <w:rPr>
                <w:rFonts w:cstheme="minorHAnsi"/>
                <w:b/>
                <w:bCs/>
                <w:sz w:val="20"/>
                <w:szCs w:val="20"/>
              </w:rPr>
              <w:t>***</w:t>
            </w:r>
          </w:p>
        </w:tc>
      </w:tr>
    </w:tbl>
    <w:p w14:paraId="2DC512CD" w14:textId="77777777" w:rsidR="00550228" w:rsidRDefault="00096E78" w:rsidP="00287F18">
      <w:pPr>
        <w:rPr>
          <w:rFonts w:cstheme="minorHAnsi"/>
          <w:sz w:val="20"/>
          <w:szCs w:val="20"/>
        </w:rPr>
      </w:pPr>
      <w:r w:rsidRPr="00096E78">
        <w:rPr>
          <w:rFonts w:cstheme="minorHAnsi"/>
          <w:color w:val="1C1D1E"/>
          <w:sz w:val="20"/>
          <w:szCs w:val="20"/>
          <w:shd w:val="clear" w:color="auto" w:fill="FFFFFF"/>
          <w:vertAlign w:val="superscript"/>
        </w:rPr>
        <w:t>†</w:t>
      </w:r>
      <w:r w:rsidR="003653D2" w:rsidRPr="00096E78">
        <w:rPr>
          <w:rFonts w:cstheme="minorHAnsi"/>
          <w:sz w:val="20"/>
          <w:szCs w:val="20"/>
          <w:vertAlign w:val="superscript"/>
        </w:rPr>
        <w:t xml:space="preserve"> </w:t>
      </w:r>
      <w:r w:rsidR="003653D2" w:rsidRPr="00096E78">
        <w:rPr>
          <w:rFonts w:cstheme="minorHAnsi"/>
          <w:sz w:val="20"/>
          <w:szCs w:val="20"/>
        </w:rPr>
        <w:t>Based on the number answering the question</w:t>
      </w:r>
    </w:p>
    <w:p w14:paraId="7C6F0C93" w14:textId="77777777" w:rsidR="006A7269" w:rsidRPr="006A7269" w:rsidRDefault="006A7269" w:rsidP="006A7269">
      <w:pPr>
        <w:rPr>
          <w:rFonts w:cstheme="minorHAnsi"/>
          <w:sz w:val="20"/>
          <w:szCs w:val="20"/>
        </w:rPr>
      </w:pPr>
      <w:r w:rsidRPr="006A7269">
        <w:rPr>
          <w:rFonts w:cstheme="minorHAnsi"/>
          <w:sz w:val="20"/>
          <w:szCs w:val="20"/>
        </w:rPr>
        <w:t>*</w:t>
      </w:r>
      <w:r w:rsidR="001766B5">
        <w:rPr>
          <w:rFonts w:cstheme="minorHAnsi"/>
          <w:sz w:val="20"/>
          <w:szCs w:val="20"/>
        </w:rPr>
        <w:t xml:space="preserve"> </w:t>
      </w:r>
      <w:r w:rsidR="001766B5" w:rsidRPr="00FB112F">
        <w:rPr>
          <w:rFonts w:cstheme="minorHAnsi"/>
          <w:i/>
          <w:sz w:val="20"/>
          <w:szCs w:val="20"/>
        </w:rPr>
        <w:t>p</w:t>
      </w:r>
      <w:r w:rsidR="001766B5">
        <w:rPr>
          <w:rFonts w:cstheme="minorHAnsi"/>
          <w:sz w:val="20"/>
          <w:szCs w:val="20"/>
        </w:rPr>
        <w:t xml:space="preserve"> &lt; .05; ** </w:t>
      </w:r>
      <w:r w:rsidR="001766B5" w:rsidRPr="00FB112F">
        <w:rPr>
          <w:rFonts w:cstheme="minorHAnsi"/>
          <w:i/>
          <w:sz w:val="20"/>
          <w:szCs w:val="20"/>
        </w:rPr>
        <w:t>p</w:t>
      </w:r>
      <w:r>
        <w:rPr>
          <w:rFonts w:cstheme="minorHAnsi"/>
          <w:sz w:val="20"/>
          <w:szCs w:val="20"/>
        </w:rPr>
        <w:t xml:space="preserve"> &lt;.01; *** </w:t>
      </w:r>
      <w:r w:rsidRPr="00FB112F">
        <w:rPr>
          <w:rFonts w:cstheme="minorHAnsi"/>
          <w:i/>
          <w:sz w:val="20"/>
          <w:szCs w:val="20"/>
        </w:rPr>
        <w:t>p</w:t>
      </w:r>
      <w:r>
        <w:rPr>
          <w:rFonts w:cstheme="minorHAnsi"/>
          <w:sz w:val="20"/>
          <w:szCs w:val="20"/>
        </w:rPr>
        <w:t xml:space="preserve"> &lt;.001</w:t>
      </w:r>
      <w:r w:rsidR="001766B5">
        <w:rPr>
          <w:rFonts w:cstheme="minorHAnsi"/>
          <w:sz w:val="20"/>
          <w:szCs w:val="20"/>
        </w:rPr>
        <w:t xml:space="preserve">: For subgroups the p-values refer to differences from </w:t>
      </w:r>
      <w:r w:rsidR="00836107">
        <w:rPr>
          <w:rFonts w:cstheme="minorHAnsi"/>
          <w:sz w:val="20"/>
          <w:szCs w:val="20"/>
        </w:rPr>
        <w:t>the overall mean</w:t>
      </w:r>
      <w:r w:rsidR="001766B5">
        <w:rPr>
          <w:rFonts w:cstheme="minorHAnsi"/>
          <w:sz w:val="20"/>
          <w:szCs w:val="20"/>
        </w:rPr>
        <w:t>.</w:t>
      </w:r>
    </w:p>
    <w:p w14:paraId="4B4255E4" w14:textId="77777777" w:rsidR="00D13CE3" w:rsidRPr="0074586F" w:rsidRDefault="00D13CE3">
      <w:pPr>
        <w:rPr>
          <w:b/>
          <w:bCs/>
          <w:sz w:val="28"/>
          <w:szCs w:val="28"/>
        </w:rPr>
      </w:pPr>
      <w:r w:rsidRPr="0074586F">
        <w:rPr>
          <w:sz w:val="28"/>
          <w:szCs w:val="28"/>
        </w:rPr>
        <w:br w:type="column"/>
      </w:r>
      <w:r w:rsidRPr="0074586F">
        <w:rPr>
          <w:b/>
          <w:bCs/>
          <w:sz w:val="28"/>
          <w:szCs w:val="28"/>
        </w:rPr>
        <w:lastRenderedPageBreak/>
        <w:t xml:space="preserve"> </w:t>
      </w:r>
    </w:p>
    <w:tbl>
      <w:tblPr>
        <w:tblStyle w:val="TableGrid"/>
        <w:tblW w:w="0" w:type="auto"/>
        <w:tblLook w:val="04A0" w:firstRow="1" w:lastRow="0" w:firstColumn="1" w:lastColumn="0" w:noHBand="0" w:noVBand="1"/>
      </w:tblPr>
      <w:tblGrid>
        <w:gridCol w:w="5954"/>
        <w:gridCol w:w="1984"/>
        <w:gridCol w:w="709"/>
      </w:tblGrid>
      <w:tr w:rsidR="00BF4533" w:rsidRPr="0074586F" w14:paraId="183B0B7F" w14:textId="77777777" w:rsidTr="00BF4533">
        <w:tc>
          <w:tcPr>
            <w:tcW w:w="5954" w:type="dxa"/>
            <w:tcBorders>
              <w:top w:val="single" w:sz="4" w:space="0" w:color="auto"/>
              <w:left w:val="nil"/>
              <w:bottom w:val="nil"/>
              <w:right w:val="nil"/>
            </w:tcBorders>
          </w:tcPr>
          <w:p w14:paraId="4AE5FAA6" w14:textId="77777777" w:rsidR="00BF4533" w:rsidRPr="00C80F53" w:rsidRDefault="00BF4533" w:rsidP="00BF4533">
            <w:pPr>
              <w:spacing w:line="276" w:lineRule="auto"/>
              <w:rPr>
                <w:bCs/>
                <w:szCs w:val="24"/>
                <w:lang w:val="en-GB"/>
              </w:rPr>
            </w:pPr>
            <w:r w:rsidRPr="00BF4533">
              <w:rPr>
                <w:bCs/>
                <w:szCs w:val="24"/>
                <w:lang w:val="en-GB"/>
              </w:rPr>
              <w:t>Table 4 Significant correlations of key variables with PPWWM</w:t>
            </w:r>
          </w:p>
          <w:p w14:paraId="73CD7E94" w14:textId="77777777" w:rsidR="00BF4533" w:rsidRPr="00C80F53" w:rsidRDefault="00BF4533" w:rsidP="00BF4533">
            <w:pPr>
              <w:spacing w:line="276" w:lineRule="auto"/>
              <w:rPr>
                <w:b/>
                <w:bCs/>
                <w:sz w:val="20"/>
                <w:szCs w:val="24"/>
                <w:lang w:val="en-GB"/>
              </w:rPr>
            </w:pPr>
          </w:p>
        </w:tc>
        <w:tc>
          <w:tcPr>
            <w:tcW w:w="1984" w:type="dxa"/>
            <w:tcBorders>
              <w:top w:val="single" w:sz="4" w:space="0" w:color="auto"/>
              <w:left w:val="nil"/>
              <w:bottom w:val="nil"/>
              <w:right w:val="nil"/>
            </w:tcBorders>
          </w:tcPr>
          <w:p w14:paraId="2D7DF086" w14:textId="77777777" w:rsidR="00BF4533" w:rsidRPr="00C80F53" w:rsidRDefault="00BF4533" w:rsidP="00BF4533">
            <w:pPr>
              <w:spacing w:line="276" w:lineRule="auto"/>
              <w:jc w:val="center"/>
              <w:rPr>
                <w:b/>
                <w:bCs/>
                <w:sz w:val="20"/>
                <w:szCs w:val="24"/>
                <w:lang w:val="en-GB"/>
              </w:rPr>
            </w:pPr>
          </w:p>
        </w:tc>
        <w:tc>
          <w:tcPr>
            <w:tcW w:w="709" w:type="dxa"/>
            <w:tcBorders>
              <w:top w:val="single" w:sz="4" w:space="0" w:color="auto"/>
              <w:left w:val="nil"/>
              <w:bottom w:val="nil"/>
              <w:right w:val="nil"/>
            </w:tcBorders>
          </w:tcPr>
          <w:p w14:paraId="538108CA" w14:textId="77777777" w:rsidR="00BF4533" w:rsidRPr="00C80F53" w:rsidRDefault="00BF4533" w:rsidP="00BF4533">
            <w:pPr>
              <w:spacing w:line="276" w:lineRule="auto"/>
              <w:jc w:val="center"/>
              <w:rPr>
                <w:b/>
                <w:bCs/>
                <w:sz w:val="20"/>
                <w:szCs w:val="24"/>
                <w:lang w:val="en-GB"/>
              </w:rPr>
            </w:pPr>
          </w:p>
        </w:tc>
      </w:tr>
      <w:tr w:rsidR="00D13CE3" w:rsidRPr="0074586F" w14:paraId="7DDD1756" w14:textId="77777777" w:rsidTr="00BF4533">
        <w:tc>
          <w:tcPr>
            <w:tcW w:w="5954" w:type="dxa"/>
            <w:tcBorders>
              <w:top w:val="nil"/>
              <w:left w:val="nil"/>
              <w:bottom w:val="single" w:sz="4" w:space="0" w:color="auto"/>
              <w:right w:val="nil"/>
            </w:tcBorders>
          </w:tcPr>
          <w:p w14:paraId="2C34C002" w14:textId="77777777" w:rsidR="00D13CE3" w:rsidRPr="00BF4533" w:rsidRDefault="00D13CE3" w:rsidP="00BF4533">
            <w:pPr>
              <w:spacing w:line="276" w:lineRule="auto"/>
              <w:jc w:val="center"/>
              <w:rPr>
                <w:b/>
                <w:bCs/>
                <w:sz w:val="20"/>
                <w:szCs w:val="24"/>
                <w:lang w:val="en-GB"/>
              </w:rPr>
            </w:pPr>
            <w:r w:rsidRPr="00BF4533">
              <w:rPr>
                <w:b/>
                <w:bCs/>
                <w:sz w:val="20"/>
                <w:szCs w:val="24"/>
                <w:lang w:val="en-GB"/>
              </w:rPr>
              <w:t>Variable</w:t>
            </w:r>
          </w:p>
        </w:tc>
        <w:tc>
          <w:tcPr>
            <w:tcW w:w="1984" w:type="dxa"/>
            <w:tcBorders>
              <w:top w:val="nil"/>
              <w:left w:val="nil"/>
              <w:bottom w:val="single" w:sz="4" w:space="0" w:color="auto"/>
              <w:right w:val="nil"/>
            </w:tcBorders>
          </w:tcPr>
          <w:p w14:paraId="7EB6E164" w14:textId="77777777" w:rsidR="00D13CE3" w:rsidRPr="00BF4533" w:rsidRDefault="00D13CE3" w:rsidP="00BF4533">
            <w:pPr>
              <w:spacing w:line="276" w:lineRule="auto"/>
              <w:jc w:val="center"/>
              <w:rPr>
                <w:b/>
                <w:bCs/>
                <w:sz w:val="20"/>
                <w:szCs w:val="24"/>
                <w:lang w:val="en-GB"/>
              </w:rPr>
            </w:pPr>
            <w:r w:rsidRPr="00BF4533">
              <w:rPr>
                <w:b/>
                <w:bCs/>
                <w:sz w:val="20"/>
                <w:szCs w:val="24"/>
                <w:lang w:val="en-GB"/>
              </w:rPr>
              <w:t xml:space="preserve">Correlation </w:t>
            </w:r>
            <w:r w:rsidR="00BF4533" w:rsidRPr="00096E78">
              <w:rPr>
                <w:rFonts w:cstheme="minorHAnsi"/>
                <w:color w:val="1C1D1E"/>
                <w:sz w:val="20"/>
                <w:szCs w:val="20"/>
                <w:shd w:val="clear" w:color="auto" w:fill="FFFFFF"/>
                <w:vertAlign w:val="superscript"/>
              </w:rPr>
              <w:t>†</w:t>
            </w:r>
            <w:r w:rsidRPr="00BF4533">
              <w:rPr>
                <w:b/>
                <w:bCs/>
                <w:sz w:val="20"/>
                <w:szCs w:val="24"/>
                <w:lang w:val="en-GB"/>
              </w:rPr>
              <w:t xml:space="preserve"> </w:t>
            </w:r>
          </w:p>
        </w:tc>
        <w:tc>
          <w:tcPr>
            <w:tcW w:w="709" w:type="dxa"/>
            <w:tcBorders>
              <w:top w:val="nil"/>
              <w:left w:val="nil"/>
              <w:bottom w:val="single" w:sz="4" w:space="0" w:color="auto"/>
              <w:right w:val="nil"/>
            </w:tcBorders>
          </w:tcPr>
          <w:p w14:paraId="48F1C345" w14:textId="77777777" w:rsidR="00D13CE3" w:rsidRPr="00BF4533" w:rsidRDefault="000400C1" w:rsidP="00BF4533">
            <w:pPr>
              <w:spacing w:line="276" w:lineRule="auto"/>
              <w:jc w:val="center"/>
              <w:rPr>
                <w:b/>
                <w:bCs/>
                <w:sz w:val="20"/>
                <w:szCs w:val="24"/>
                <w:lang w:val="en-GB"/>
              </w:rPr>
            </w:pPr>
            <w:r w:rsidRPr="00BF4533">
              <w:rPr>
                <w:b/>
                <w:bCs/>
                <w:sz w:val="20"/>
                <w:szCs w:val="24"/>
                <w:lang w:val="en-GB"/>
              </w:rPr>
              <w:t>N</w:t>
            </w:r>
          </w:p>
        </w:tc>
      </w:tr>
      <w:tr w:rsidR="00D13CE3" w:rsidRPr="0074586F" w14:paraId="5663691E" w14:textId="77777777" w:rsidTr="00BF4533">
        <w:tc>
          <w:tcPr>
            <w:tcW w:w="5954" w:type="dxa"/>
            <w:tcBorders>
              <w:top w:val="single" w:sz="4" w:space="0" w:color="auto"/>
              <w:left w:val="nil"/>
              <w:bottom w:val="nil"/>
              <w:right w:val="nil"/>
            </w:tcBorders>
          </w:tcPr>
          <w:p w14:paraId="25D54650" w14:textId="77777777" w:rsidR="00D13CE3" w:rsidRPr="00BF4533" w:rsidRDefault="00D13CE3" w:rsidP="00BF4533">
            <w:pPr>
              <w:spacing w:line="276" w:lineRule="auto"/>
              <w:rPr>
                <w:sz w:val="20"/>
                <w:szCs w:val="24"/>
                <w:lang w:val="en-GB"/>
              </w:rPr>
            </w:pPr>
            <w:r w:rsidRPr="00BF4533">
              <w:rPr>
                <w:sz w:val="20"/>
                <w:szCs w:val="24"/>
                <w:lang w:val="en-GB"/>
              </w:rPr>
              <w:t>Additional unpaid hours on average per week</w:t>
            </w:r>
          </w:p>
        </w:tc>
        <w:tc>
          <w:tcPr>
            <w:tcW w:w="1984" w:type="dxa"/>
            <w:tcBorders>
              <w:top w:val="single" w:sz="4" w:space="0" w:color="auto"/>
              <w:left w:val="nil"/>
              <w:bottom w:val="nil"/>
              <w:right w:val="nil"/>
            </w:tcBorders>
          </w:tcPr>
          <w:p w14:paraId="01F73F83" w14:textId="0818D56A" w:rsidR="00D13CE3" w:rsidRPr="00BF4533" w:rsidRDefault="00D13CE3" w:rsidP="00BF4533">
            <w:pPr>
              <w:spacing w:line="276" w:lineRule="auto"/>
              <w:rPr>
                <w:sz w:val="20"/>
                <w:szCs w:val="24"/>
                <w:lang w:val="en-GB"/>
              </w:rPr>
            </w:pPr>
            <w:r w:rsidRPr="00BF4533">
              <w:rPr>
                <w:sz w:val="20"/>
                <w:szCs w:val="24"/>
                <w:lang w:val="en-GB"/>
              </w:rPr>
              <w:t xml:space="preserve"> </w:t>
            </w:r>
            <w:r w:rsidR="006736C8" w:rsidRPr="00BF4533">
              <w:rPr>
                <w:i/>
                <w:iCs/>
                <w:sz w:val="20"/>
                <w:szCs w:val="24"/>
                <w:lang w:val="en-GB"/>
              </w:rPr>
              <w:t>Tau</w:t>
            </w:r>
            <w:r w:rsidR="00917BDE" w:rsidRPr="00BF4533">
              <w:rPr>
                <w:i/>
                <w:iCs/>
                <w:sz w:val="20"/>
                <w:szCs w:val="24"/>
                <w:lang w:val="en-GB"/>
              </w:rPr>
              <w:t>-</w:t>
            </w:r>
            <w:r w:rsidR="006736C8" w:rsidRPr="00BF4533">
              <w:rPr>
                <w:i/>
                <w:iCs/>
                <w:sz w:val="20"/>
                <w:szCs w:val="24"/>
                <w:lang w:val="en-GB"/>
              </w:rPr>
              <w:t>b</w:t>
            </w:r>
            <w:r w:rsidR="006736C8" w:rsidRPr="00BF4533">
              <w:rPr>
                <w:sz w:val="20"/>
                <w:szCs w:val="24"/>
                <w:lang w:val="en-GB"/>
              </w:rPr>
              <w:t xml:space="preserve"> </w:t>
            </w:r>
            <w:r w:rsidRPr="00BF4533">
              <w:rPr>
                <w:sz w:val="20"/>
                <w:szCs w:val="24"/>
                <w:lang w:val="en-GB"/>
              </w:rPr>
              <w:t xml:space="preserve">= </w:t>
            </w:r>
            <w:r w:rsidR="00635E4F">
              <w:rPr>
                <w:sz w:val="20"/>
                <w:szCs w:val="24"/>
                <w:lang w:val="en-GB"/>
              </w:rPr>
              <w:t>-</w:t>
            </w:r>
            <w:r w:rsidR="004126EA" w:rsidRPr="00BF4533">
              <w:rPr>
                <w:sz w:val="20"/>
                <w:szCs w:val="24"/>
                <w:lang w:val="en-GB"/>
              </w:rPr>
              <w:t>.1</w:t>
            </w:r>
            <w:r w:rsidR="006736C8" w:rsidRPr="00BF4533">
              <w:rPr>
                <w:sz w:val="20"/>
                <w:szCs w:val="24"/>
                <w:lang w:val="en-GB"/>
              </w:rPr>
              <w:t>89</w:t>
            </w:r>
            <w:r w:rsidR="004126EA" w:rsidRPr="00BF4533">
              <w:rPr>
                <w:sz w:val="20"/>
                <w:szCs w:val="24"/>
                <w:lang w:val="en-GB"/>
              </w:rPr>
              <w:t>***</w:t>
            </w:r>
          </w:p>
        </w:tc>
        <w:tc>
          <w:tcPr>
            <w:tcW w:w="709" w:type="dxa"/>
            <w:tcBorders>
              <w:top w:val="single" w:sz="4" w:space="0" w:color="auto"/>
              <w:left w:val="nil"/>
              <w:bottom w:val="nil"/>
              <w:right w:val="nil"/>
            </w:tcBorders>
          </w:tcPr>
          <w:p w14:paraId="054C2CE8" w14:textId="77777777" w:rsidR="00D13CE3" w:rsidRPr="00BF4533" w:rsidRDefault="00D13CE3" w:rsidP="00BF4533">
            <w:pPr>
              <w:spacing w:line="276" w:lineRule="auto"/>
              <w:rPr>
                <w:sz w:val="20"/>
                <w:szCs w:val="24"/>
                <w:lang w:val="en-GB"/>
              </w:rPr>
            </w:pPr>
            <w:r w:rsidRPr="00BF4533">
              <w:rPr>
                <w:sz w:val="20"/>
                <w:szCs w:val="24"/>
                <w:lang w:val="en-GB"/>
              </w:rPr>
              <w:t>1</w:t>
            </w:r>
            <w:r w:rsidR="006736C8" w:rsidRPr="00BF4533">
              <w:rPr>
                <w:sz w:val="20"/>
                <w:szCs w:val="24"/>
                <w:lang w:val="en-GB"/>
              </w:rPr>
              <w:t>656</w:t>
            </w:r>
          </w:p>
        </w:tc>
      </w:tr>
      <w:tr w:rsidR="00D13CE3" w:rsidRPr="0074586F" w14:paraId="01E1A434" w14:textId="77777777" w:rsidTr="00BF4533">
        <w:tc>
          <w:tcPr>
            <w:tcW w:w="5954" w:type="dxa"/>
            <w:tcBorders>
              <w:top w:val="nil"/>
              <w:left w:val="nil"/>
              <w:bottom w:val="nil"/>
              <w:right w:val="nil"/>
            </w:tcBorders>
          </w:tcPr>
          <w:p w14:paraId="3EC49482" w14:textId="77777777" w:rsidR="00D13CE3" w:rsidRPr="00BF4533" w:rsidRDefault="00D13CE3" w:rsidP="00BF4533">
            <w:pPr>
              <w:spacing w:line="276" w:lineRule="auto"/>
              <w:rPr>
                <w:sz w:val="20"/>
                <w:szCs w:val="24"/>
                <w:lang w:val="en-GB"/>
              </w:rPr>
            </w:pPr>
            <w:r w:rsidRPr="00BF4533">
              <w:rPr>
                <w:sz w:val="20"/>
                <w:szCs w:val="24"/>
                <w:lang w:val="en-GB"/>
              </w:rPr>
              <w:t>How often in the past month have you wanted to leave the NHS</w:t>
            </w:r>
          </w:p>
        </w:tc>
        <w:tc>
          <w:tcPr>
            <w:tcW w:w="1984" w:type="dxa"/>
            <w:tcBorders>
              <w:top w:val="nil"/>
              <w:left w:val="nil"/>
              <w:bottom w:val="nil"/>
              <w:right w:val="nil"/>
            </w:tcBorders>
          </w:tcPr>
          <w:p w14:paraId="16820A02" w14:textId="77777777" w:rsidR="00D13CE3" w:rsidRPr="00BF4533" w:rsidRDefault="00D13CE3" w:rsidP="00BF4533">
            <w:pPr>
              <w:spacing w:line="276" w:lineRule="auto"/>
              <w:rPr>
                <w:sz w:val="20"/>
                <w:szCs w:val="24"/>
                <w:lang w:val="en-GB"/>
              </w:rPr>
            </w:pPr>
            <w:r w:rsidRPr="00BF4533">
              <w:rPr>
                <w:sz w:val="20"/>
                <w:szCs w:val="24"/>
                <w:lang w:val="en-GB"/>
              </w:rPr>
              <w:t xml:space="preserve"> </w:t>
            </w:r>
            <w:r w:rsidR="006736C8" w:rsidRPr="00BF4533">
              <w:rPr>
                <w:i/>
                <w:iCs/>
                <w:sz w:val="20"/>
                <w:szCs w:val="24"/>
                <w:lang w:val="en-GB"/>
              </w:rPr>
              <w:t>Tau</w:t>
            </w:r>
            <w:r w:rsidR="00917BDE" w:rsidRPr="00BF4533">
              <w:rPr>
                <w:i/>
                <w:iCs/>
                <w:sz w:val="20"/>
                <w:szCs w:val="24"/>
                <w:lang w:val="en-GB"/>
              </w:rPr>
              <w:t>-</w:t>
            </w:r>
            <w:r w:rsidR="006736C8" w:rsidRPr="00BF4533">
              <w:rPr>
                <w:i/>
                <w:iCs/>
                <w:sz w:val="20"/>
                <w:szCs w:val="24"/>
                <w:lang w:val="en-GB"/>
              </w:rPr>
              <w:t>b</w:t>
            </w:r>
            <w:r w:rsidR="006736C8" w:rsidRPr="00BF4533">
              <w:rPr>
                <w:sz w:val="20"/>
                <w:szCs w:val="24"/>
                <w:lang w:val="en-GB"/>
              </w:rPr>
              <w:t xml:space="preserve"> </w:t>
            </w:r>
            <w:r w:rsidRPr="00BF4533">
              <w:rPr>
                <w:sz w:val="20"/>
                <w:szCs w:val="24"/>
                <w:lang w:val="en-GB"/>
              </w:rPr>
              <w:t>= -.</w:t>
            </w:r>
            <w:r w:rsidR="006736C8" w:rsidRPr="00BF4533">
              <w:rPr>
                <w:sz w:val="20"/>
                <w:szCs w:val="24"/>
                <w:lang w:val="en-GB"/>
              </w:rPr>
              <w:t>511***</w:t>
            </w:r>
          </w:p>
        </w:tc>
        <w:tc>
          <w:tcPr>
            <w:tcW w:w="709" w:type="dxa"/>
            <w:tcBorders>
              <w:top w:val="nil"/>
              <w:left w:val="nil"/>
              <w:bottom w:val="nil"/>
              <w:right w:val="nil"/>
            </w:tcBorders>
          </w:tcPr>
          <w:p w14:paraId="15C6ACD8" w14:textId="77777777" w:rsidR="00D13CE3" w:rsidRPr="00BF4533" w:rsidRDefault="00D13CE3" w:rsidP="00BF4533">
            <w:pPr>
              <w:spacing w:line="276" w:lineRule="auto"/>
              <w:rPr>
                <w:sz w:val="20"/>
                <w:szCs w:val="24"/>
                <w:lang w:val="en-GB"/>
              </w:rPr>
            </w:pPr>
            <w:r w:rsidRPr="00BF4533">
              <w:rPr>
                <w:sz w:val="20"/>
                <w:szCs w:val="24"/>
                <w:lang w:val="en-GB"/>
              </w:rPr>
              <w:t>14</w:t>
            </w:r>
            <w:r w:rsidR="006736C8" w:rsidRPr="00BF4533">
              <w:rPr>
                <w:sz w:val="20"/>
                <w:szCs w:val="24"/>
                <w:lang w:val="en-GB"/>
              </w:rPr>
              <w:t>55</w:t>
            </w:r>
          </w:p>
        </w:tc>
      </w:tr>
      <w:tr w:rsidR="00D13CE3" w:rsidRPr="0074586F" w14:paraId="04E1E429" w14:textId="77777777" w:rsidTr="00BF4533">
        <w:tc>
          <w:tcPr>
            <w:tcW w:w="5954" w:type="dxa"/>
            <w:tcBorders>
              <w:top w:val="nil"/>
              <w:left w:val="nil"/>
              <w:bottom w:val="nil"/>
              <w:right w:val="nil"/>
            </w:tcBorders>
          </w:tcPr>
          <w:p w14:paraId="4865082D" w14:textId="77777777" w:rsidR="00D13CE3" w:rsidRPr="00BF4533" w:rsidRDefault="000400C1" w:rsidP="00BF4533">
            <w:pPr>
              <w:spacing w:line="276" w:lineRule="auto"/>
              <w:rPr>
                <w:sz w:val="20"/>
                <w:szCs w:val="24"/>
                <w:lang w:val="en-GB"/>
              </w:rPr>
            </w:pPr>
            <w:bookmarkStart w:id="12" w:name="_Hlk22118082"/>
            <w:r w:rsidRPr="00BF4533">
              <w:rPr>
                <w:sz w:val="20"/>
                <w:szCs w:val="24"/>
                <w:lang w:val="en-GB"/>
              </w:rPr>
              <w:t>A</w:t>
            </w:r>
            <w:r w:rsidR="00D13CE3" w:rsidRPr="00BF4533">
              <w:rPr>
                <w:sz w:val="20"/>
                <w:szCs w:val="24"/>
                <w:lang w:val="en-GB"/>
              </w:rPr>
              <w:t>ge</w:t>
            </w:r>
          </w:p>
        </w:tc>
        <w:tc>
          <w:tcPr>
            <w:tcW w:w="1984" w:type="dxa"/>
            <w:tcBorders>
              <w:top w:val="nil"/>
              <w:left w:val="nil"/>
              <w:bottom w:val="nil"/>
              <w:right w:val="nil"/>
            </w:tcBorders>
          </w:tcPr>
          <w:p w14:paraId="66F78369" w14:textId="77777777" w:rsidR="00D13CE3" w:rsidRPr="00BF4533" w:rsidRDefault="00D13CE3" w:rsidP="00BF4533">
            <w:pPr>
              <w:spacing w:line="276" w:lineRule="auto"/>
              <w:rPr>
                <w:sz w:val="20"/>
                <w:szCs w:val="24"/>
                <w:lang w:val="en-GB"/>
              </w:rPr>
            </w:pPr>
            <w:r w:rsidRPr="00BF4533">
              <w:rPr>
                <w:sz w:val="20"/>
                <w:szCs w:val="24"/>
                <w:lang w:val="en-GB"/>
              </w:rPr>
              <w:t xml:space="preserve"> </w:t>
            </w:r>
            <w:r w:rsidR="004126EA" w:rsidRPr="00BF4533">
              <w:rPr>
                <w:i/>
                <w:iCs/>
                <w:sz w:val="20"/>
                <w:szCs w:val="24"/>
                <w:lang w:val="en-GB"/>
              </w:rPr>
              <w:t>Tau</w:t>
            </w:r>
            <w:r w:rsidR="00917BDE" w:rsidRPr="00BF4533">
              <w:rPr>
                <w:i/>
                <w:iCs/>
                <w:sz w:val="20"/>
                <w:szCs w:val="24"/>
                <w:lang w:val="en-GB"/>
              </w:rPr>
              <w:t>-</w:t>
            </w:r>
            <w:r w:rsidR="004126EA" w:rsidRPr="00BF4533">
              <w:rPr>
                <w:i/>
                <w:iCs/>
                <w:sz w:val="20"/>
                <w:szCs w:val="24"/>
                <w:lang w:val="en-GB"/>
              </w:rPr>
              <w:t>b</w:t>
            </w:r>
            <w:r w:rsidR="004126EA" w:rsidRPr="00BF4533">
              <w:rPr>
                <w:sz w:val="20"/>
                <w:szCs w:val="24"/>
                <w:lang w:val="en-GB"/>
              </w:rPr>
              <w:t xml:space="preserve"> </w:t>
            </w:r>
            <w:r w:rsidRPr="00BF4533">
              <w:rPr>
                <w:sz w:val="20"/>
                <w:szCs w:val="24"/>
                <w:lang w:val="en-GB"/>
              </w:rPr>
              <w:t>= -.0</w:t>
            </w:r>
            <w:r w:rsidR="004126EA" w:rsidRPr="00BF4533">
              <w:rPr>
                <w:sz w:val="20"/>
                <w:szCs w:val="24"/>
                <w:lang w:val="en-GB"/>
              </w:rPr>
              <w:t>43*</w:t>
            </w:r>
          </w:p>
        </w:tc>
        <w:tc>
          <w:tcPr>
            <w:tcW w:w="709" w:type="dxa"/>
            <w:tcBorders>
              <w:top w:val="nil"/>
              <w:left w:val="nil"/>
              <w:bottom w:val="nil"/>
              <w:right w:val="nil"/>
            </w:tcBorders>
          </w:tcPr>
          <w:p w14:paraId="4079348D" w14:textId="77777777" w:rsidR="00D13CE3" w:rsidRPr="00BF4533" w:rsidRDefault="00D13CE3" w:rsidP="00BF4533">
            <w:pPr>
              <w:spacing w:line="276" w:lineRule="auto"/>
              <w:rPr>
                <w:sz w:val="20"/>
                <w:szCs w:val="24"/>
                <w:lang w:val="en-GB"/>
              </w:rPr>
            </w:pPr>
            <w:r w:rsidRPr="00BF4533">
              <w:rPr>
                <w:sz w:val="20"/>
                <w:szCs w:val="24"/>
                <w:lang w:val="en-GB"/>
              </w:rPr>
              <w:t>1</w:t>
            </w:r>
            <w:r w:rsidR="004126EA" w:rsidRPr="00BF4533">
              <w:rPr>
                <w:sz w:val="20"/>
                <w:szCs w:val="24"/>
                <w:lang w:val="en-GB"/>
              </w:rPr>
              <w:t>678</w:t>
            </w:r>
          </w:p>
        </w:tc>
      </w:tr>
      <w:bookmarkEnd w:id="12"/>
      <w:tr w:rsidR="004126EA" w:rsidRPr="0074586F" w14:paraId="2A340FDB" w14:textId="77777777" w:rsidTr="00BF4533">
        <w:tc>
          <w:tcPr>
            <w:tcW w:w="5954" w:type="dxa"/>
            <w:tcBorders>
              <w:top w:val="nil"/>
              <w:left w:val="nil"/>
              <w:bottom w:val="nil"/>
              <w:right w:val="nil"/>
            </w:tcBorders>
          </w:tcPr>
          <w:p w14:paraId="68FAB1B0" w14:textId="77777777" w:rsidR="004126EA" w:rsidRPr="00BF4533" w:rsidRDefault="004126EA" w:rsidP="00BF4533">
            <w:pPr>
              <w:spacing w:line="276" w:lineRule="auto"/>
              <w:rPr>
                <w:sz w:val="20"/>
                <w:szCs w:val="24"/>
                <w:lang w:val="en-GB"/>
              </w:rPr>
            </w:pPr>
            <w:r w:rsidRPr="00BF4533">
              <w:rPr>
                <w:sz w:val="20"/>
                <w:szCs w:val="24"/>
                <w:lang w:val="en-GB"/>
              </w:rPr>
              <w:t>Agenda for Change Band</w:t>
            </w:r>
          </w:p>
        </w:tc>
        <w:tc>
          <w:tcPr>
            <w:tcW w:w="1984" w:type="dxa"/>
            <w:tcBorders>
              <w:top w:val="nil"/>
              <w:left w:val="nil"/>
              <w:bottom w:val="nil"/>
              <w:right w:val="nil"/>
            </w:tcBorders>
          </w:tcPr>
          <w:p w14:paraId="747FA100" w14:textId="77777777" w:rsidR="004126EA" w:rsidRPr="00BF4533" w:rsidRDefault="004126EA" w:rsidP="00BF4533">
            <w:pPr>
              <w:spacing w:line="276" w:lineRule="auto"/>
              <w:rPr>
                <w:sz w:val="20"/>
                <w:szCs w:val="24"/>
                <w:lang w:val="en-GB"/>
              </w:rPr>
            </w:pPr>
            <w:r w:rsidRPr="00BF4533">
              <w:rPr>
                <w:sz w:val="20"/>
                <w:szCs w:val="24"/>
                <w:lang w:val="en-GB"/>
              </w:rPr>
              <w:t xml:space="preserve"> </w:t>
            </w:r>
            <w:r w:rsidRPr="00BF4533">
              <w:rPr>
                <w:i/>
                <w:iCs/>
                <w:sz w:val="20"/>
                <w:szCs w:val="24"/>
                <w:lang w:val="en-GB"/>
              </w:rPr>
              <w:t>Tau</w:t>
            </w:r>
            <w:r w:rsidR="00917BDE" w:rsidRPr="00BF4533">
              <w:rPr>
                <w:i/>
                <w:iCs/>
                <w:sz w:val="20"/>
                <w:szCs w:val="24"/>
                <w:lang w:val="en-GB"/>
              </w:rPr>
              <w:t>-</w:t>
            </w:r>
            <w:r w:rsidRPr="00BF4533">
              <w:rPr>
                <w:i/>
                <w:iCs/>
                <w:sz w:val="20"/>
                <w:szCs w:val="24"/>
                <w:lang w:val="en-GB"/>
              </w:rPr>
              <w:t>b</w:t>
            </w:r>
            <w:r w:rsidRPr="00BF4533">
              <w:rPr>
                <w:sz w:val="20"/>
                <w:szCs w:val="24"/>
                <w:lang w:val="en-GB"/>
              </w:rPr>
              <w:t xml:space="preserve"> = -.036*</w:t>
            </w:r>
          </w:p>
        </w:tc>
        <w:tc>
          <w:tcPr>
            <w:tcW w:w="709" w:type="dxa"/>
            <w:tcBorders>
              <w:top w:val="nil"/>
              <w:left w:val="nil"/>
              <w:bottom w:val="nil"/>
              <w:right w:val="nil"/>
            </w:tcBorders>
          </w:tcPr>
          <w:p w14:paraId="5F5064B3" w14:textId="77777777" w:rsidR="004126EA" w:rsidRPr="00BF4533" w:rsidRDefault="004126EA" w:rsidP="00BF4533">
            <w:pPr>
              <w:spacing w:line="276" w:lineRule="auto"/>
              <w:rPr>
                <w:sz w:val="20"/>
                <w:szCs w:val="24"/>
                <w:lang w:val="en-GB"/>
              </w:rPr>
            </w:pPr>
            <w:r w:rsidRPr="00BF4533">
              <w:rPr>
                <w:sz w:val="20"/>
                <w:szCs w:val="24"/>
                <w:lang w:val="en-GB"/>
              </w:rPr>
              <w:t>1678</w:t>
            </w:r>
          </w:p>
        </w:tc>
      </w:tr>
      <w:tr w:rsidR="004126EA" w:rsidRPr="0074586F" w14:paraId="098A97BE" w14:textId="77777777" w:rsidTr="00BF4533">
        <w:tc>
          <w:tcPr>
            <w:tcW w:w="5954" w:type="dxa"/>
            <w:tcBorders>
              <w:top w:val="nil"/>
              <w:left w:val="nil"/>
              <w:bottom w:val="nil"/>
              <w:right w:val="nil"/>
            </w:tcBorders>
          </w:tcPr>
          <w:p w14:paraId="2A50FC75" w14:textId="77777777" w:rsidR="004126EA" w:rsidRPr="00BF4533" w:rsidRDefault="004126EA" w:rsidP="00BF4533">
            <w:pPr>
              <w:spacing w:line="276" w:lineRule="auto"/>
              <w:rPr>
                <w:sz w:val="20"/>
                <w:szCs w:val="24"/>
                <w:lang w:val="en-GB"/>
              </w:rPr>
            </w:pPr>
            <w:r w:rsidRPr="00BF4533">
              <w:rPr>
                <w:sz w:val="20"/>
                <w:szCs w:val="24"/>
                <w:lang w:val="en-GB"/>
              </w:rPr>
              <w:t>Years</w:t>
            </w:r>
            <w:r w:rsidR="000E3A81" w:rsidRPr="00BF4533">
              <w:rPr>
                <w:sz w:val="20"/>
                <w:szCs w:val="24"/>
                <w:lang w:val="en-GB"/>
              </w:rPr>
              <w:t xml:space="preserve"> served</w:t>
            </w:r>
            <w:r w:rsidRPr="00BF4533">
              <w:rPr>
                <w:sz w:val="20"/>
                <w:szCs w:val="24"/>
                <w:lang w:val="en-GB"/>
              </w:rPr>
              <w:t xml:space="preserve"> in current post</w:t>
            </w:r>
          </w:p>
        </w:tc>
        <w:tc>
          <w:tcPr>
            <w:tcW w:w="1984" w:type="dxa"/>
            <w:tcBorders>
              <w:top w:val="nil"/>
              <w:left w:val="nil"/>
              <w:bottom w:val="nil"/>
              <w:right w:val="nil"/>
            </w:tcBorders>
          </w:tcPr>
          <w:p w14:paraId="7FF1DB4F" w14:textId="77777777" w:rsidR="004126EA" w:rsidRPr="00BF4533" w:rsidRDefault="004126EA" w:rsidP="00BF4533">
            <w:pPr>
              <w:spacing w:line="276" w:lineRule="auto"/>
              <w:rPr>
                <w:sz w:val="20"/>
                <w:szCs w:val="24"/>
                <w:lang w:val="en-GB"/>
              </w:rPr>
            </w:pPr>
            <w:r w:rsidRPr="00BF4533">
              <w:rPr>
                <w:sz w:val="20"/>
                <w:szCs w:val="24"/>
                <w:lang w:val="en-GB"/>
              </w:rPr>
              <w:t xml:space="preserve"> </w:t>
            </w:r>
            <w:r w:rsidRPr="00BF4533">
              <w:rPr>
                <w:i/>
                <w:iCs/>
                <w:sz w:val="20"/>
                <w:szCs w:val="24"/>
                <w:lang w:val="en-GB"/>
              </w:rPr>
              <w:t>Tau</w:t>
            </w:r>
            <w:r w:rsidR="00917BDE" w:rsidRPr="00BF4533">
              <w:rPr>
                <w:i/>
                <w:iCs/>
                <w:sz w:val="20"/>
                <w:szCs w:val="24"/>
                <w:lang w:val="en-GB"/>
              </w:rPr>
              <w:t>-</w:t>
            </w:r>
            <w:r w:rsidRPr="00BF4533">
              <w:rPr>
                <w:i/>
                <w:iCs/>
                <w:sz w:val="20"/>
                <w:szCs w:val="24"/>
                <w:lang w:val="en-GB"/>
              </w:rPr>
              <w:t>b</w:t>
            </w:r>
            <w:r w:rsidRPr="00BF4533">
              <w:rPr>
                <w:sz w:val="20"/>
                <w:szCs w:val="24"/>
                <w:lang w:val="en-GB"/>
              </w:rPr>
              <w:t xml:space="preserve"> = -.075***</w:t>
            </w:r>
          </w:p>
        </w:tc>
        <w:tc>
          <w:tcPr>
            <w:tcW w:w="709" w:type="dxa"/>
            <w:tcBorders>
              <w:top w:val="nil"/>
              <w:left w:val="nil"/>
              <w:bottom w:val="nil"/>
              <w:right w:val="nil"/>
            </w:tcBorders>
          </w:tcPr>
          <w:p w14:paraId="7C77587C" w14:textId="77777777" w:rsidR="004126EA" w:rsidRPr="00BF4533" w:rsidRDefault="004126EA" w:rsidP="00BF4533">
            <w:pPr>
              <w:spacing w:line="276" w:lineRule="auto"/>
              <w:rPr>
                <w:sz w:val="20"/>
                <w:szCs w:val="24"/>
                <w:lang w:val="en-GB"/>
              </w:rPr>
            </w:pPr>
            <w:r w:rsidRPr="00BF4533">
              <w:rPr>
                <w:sz w:val="20"/>
                <w:szCs w:val="24"/>
                <w:lang w:val="en-GB"/>
              </w:rPr>
              <w:t>1590</w:t>
            </w:r>
          </w:p>
        </w:tc>
      </w:tr>
      <w:tr w:rsidR="00CC7CA1" w:rsidRPr="0074586F" w14:paraId="148877D0" w14:textId="77777777" w:rsidTr="00BF4533">
        <w:tc>
          <w:tcPr>
            <w:tcW w:w="5954" w:type="dxa"/>
            <w:tcBorders>
              <w:top w:val="nil"/>
              <w:left w:val="nil"/>
              <w:bottom w:val="nil"/>
              <w:right w:val="nil"/>
            </w:tcBorders>
          </w:tcPr>
          <w:p w14:paraId="24EC0FE5" w14:textId="77777777" w:rsidR="00CC7CA1" w:rsidRPr="00BF4533" w:rsidRDefault="00CC7CA1" w:rsidP="00BF4533">
            <w:pPr>
              <w:spacing w:line="276" w:lineRule="auto"/>
              <w:rPr>
                <w:sz w:val="20"/>
                <w:szCs w:val="24"/>
                <w:lang w:val="en-GB"/>
              </w:rPr>
            </w:pPr>
            <w:r w:rsidRPr="00BF4533">
              <w:rPr>
                <w:sz w:val="20"/>
                <w:szCs w:val="24"/>
                <w:lang w:val="en-GB"/>
              </w:rPr>
              <w:t>Number of years since qualifying</w:t>
            </w:r>
          </w:p>
        </w:tc>
        <w:tc>
          <w:tcPr>
            <w:tcW w:w="1984" w:type="dxa"/>
            <w:tcBorders>
              <w:top w:val="nil"/>
              <w:left w:val="nil"/>
              <w:bottom w:val="nil"/>
              <w:right w:val="nil"/>
            </w:tcBorders>
          </w:tcPr>
          <w:p w14:paraId="0F2A7CB1" w14:textId="77777777" w:rsidR="00CC7CA1" w:rsidRPr="00BF4533" w:rsidRDefault="00CC7CA1" w:rsidP="00BF4533">
            <w:pPr>
              <w:spacing w:line="276" w:lineRule="auto"/>
              <w:rPr>
                <w:sz w:val="20"/>
                <w:szCs w:val="24"/>
                <w:lang w:val="en-GB"/>
              </w:rPr>
            </w:pPr>
            <w:r w:rsidRPr="00BF4533">
              <w:rPr>
                <w:sz w:val="20"/>
                <w:szCs w:val="24"/>
                <w:lang w:val="en-GB"/>
              </w:rPr>
              <w:t xml:space="preserve"> </w:t>
            </w:r>
            <w:r w:rsidRPr="00BF4533">
              <w:rPr>
                <w:i/>
                <w:iCs/>
                <w:sz w:val="20"/>
                <w:szCs w:val="24"/>
                <w:lang w:val="en-GB"/>
              </w:rPr>
              <w:t>Tau-b</w:t>
            </w:r>
            <w:r w:rsidRPr="00BF4533">
              <w:rPr>
                <w:sz w:val="20"/>
                <w:szCs w:val="24"/>
                <w:lang w:val="en-GB"/>
              </w:rPr>
              <w:t xml:space="preserve"> = -.041*</w:t>
            </w:r>
          </w:p>
        </w:tc>
        <w:tc>
          <w:tcPr>
            <w:tcW w:w="709" w:type="dxa"/>
            <w:tcBorders>
              <w:top w:val="nil"/>
              <w:left w:val="nil"/>
              <w:bottom w:val="nil"/>
              <w:right w:val="nil"/>
            </w:tcBorders>
          </w:tcPr>
          <w:p w14:paraId="6BFE4420" w14:textId="77777777" w:rsidR="00CC7CA1" w:rsidRPr="00BF4533" w:rsidRDefault="00CC7CA1" w:rsidP="00BF4533">
            <w:pPr>
              <w:spacing w:line="276" w:lineRule="auto"/>
              <w:rPr>
                <w:sz w:val="20"/>
                <w:szCs w:val="24"/>
                <w:lang w:val="en-GB"/>
              </w:rPr>
            </w:pPr>
            <w:r w:rsidRPr="00BF4533">
              <w:rPr>
                <w:sz w:val="20"/>
                <w:szCs w:val="24"/>
                <w:lang w:val="en-GB"/>
              </w:rPr>
              <w:t>1678</w:t>
            </w:r>
          </w:p>
        </w:tc>
      </w:tr>
      <w:tr w:rsidR="00CC7CA1" w:rsidRPr="0074586F" w14:paraId="4E78F24B" w14:textId="77777777" w:rsidTr="00BF4533">
        <w:tc>
          <w:tcPr>
            <w:tcW w:w="5954" w:type="dxa"/>
            <w:tcBorders>
              <w:top w:val="nil"/>
              <w:left w:val="nil"/>
              <w:bottom w:val="nil"/>
              <w:right w:val="nil"/>
            </w:tcBorders>
          </w:tcPr>
          <w:p w14:paraId="52692786" w14:textId="77777777" w:rsidR="00CC7CA1" w:rsidRPr="00BF4533" w:rsidRDefault="00CC7CA1" w:rsidP="00BF4533">
            <w:pPr>
              <w:spacing w:line="276" w:lineRule="auto"/>
              <w:rPr>
                <w:sz w:val="20"/>
                <w:szCs w:val="24"/>
                <w:lang w:val="en-GB"/>
              </w:rPr>
            </w:pPr>
            <w:r w:rsidRPr="00BF4533">
              <w:rPr>
                <w:sz w:val="20"/>
                <w:szCs w:val="24"/>
                <w:lang w:val="en-GB"/>
              </w:rPr>
              <w:t>Harassment or bullying—Service Users/Public</w:t>
            </w:r>
          </w:p>
        </w:tc>
        <w:tc>
          <w:tcPr>
            <w:tcW w:w="1984" w:type="dxa"/>
            <w:tcBorders>
              <w:top w:val="nil"/>
              <w:left w:val="nil"/>
              <w:bottom w:val="nil"/>
              <w:right w:val="nil"/>
            </w:tcBorders>
          </w:tcPr>
          <w:p w14:paraId="271E2C07" w14:textId="77777777" w:rsidR="00CC7CA1" w:rsidRPr="00BF4533" w:rsidRDefault="00CC7CA1" w:rsidP="00BF4533">
            <w:pPr>
              <w:spacing w:line="276" w:lineRule="auto"/>
              <w:rPr>
                <w:sz w:val="20"/>
                <w:szCs w:val="24"/>
                <w:lang w:val="en-GB"/>
              </w:rPr>
            </w:pPr>
            <w:r w:rsidRPr="00BF4533">
              <w:rPr>
                <w:i/>
                <w:iCs/>
                <w:sz w:val="20"/>
                <w:szCs w:val="24"/>
                <w:lang w:val="en-GB"/>
              </w:rPr>
              <w:t>Tau-b</w:t>
            </w:r>
            <w:r w:rsidRPr="00BF4533">
              <w:rPr>
                <w:sz w:val="20"/>
                <w:szCs w:val="24"/>
                <w:lang w:val="en-GB"/>
              </w:rPr>
              <w:t xml:space="preserve"> = -.147***</w:t>
            </w:r>
          </w:p>
        </w:tc>
        <w:tc>
          <w:tcPr>
            <w:tcW w:w="709" w:type="dxa"/>
            <w:tcBorders>
              <w:top w:val="nil"/>
              <w:left w:val="nil"/>
              <w:bottom w:val="nil"/>
              <w:right w:val="nil"/>
            </w:tcBorders>
          </w:tcPr>
          <w:p w14:paraId="4B8BD50B" w14:textId="77777777" w:rsidR="00CC7CA1" w:rsidRPr="00BF4533" w:rsidRDefault="00CC7CA1" w:rsidP="00BF4533">
            <w:pPr>
              <w:spacing w:line="276" w:lineRule="auto"/>
              <w:rPr>
                <w:sz w:val="20"/>
                <w:szCs w:val="24"/>
                <w:lang w:val="en-GB"/>
              </w:rPr>
            </w:pPr>
            <w:r w:rsidRPr="00BF4533">
              <w:rPr>
                <w:sz w:val="20"/>
                <w:szCs w:val="24"/>
                <w:lang w:val="en-GB"/>
              </w:rPr>
              <w:t>1678</w:t>
            </w:r>
          </w:p>
        </w:tc>
      </w:tr>
      <w:tr w:rsidR="00CC7CA1" w:rsidRPr="0074586F" w14:paraId="719DFC75" w14:textId="77777777" w:rsidTr="00BF4533">
        <w:tc>
          <w:tcPr>
            <w:tcW w:w="5954" w:type="dxa"/>
            <w:tcBorders>
              <w:top w:val="nil"/>
              <w:left w:val="nil"/>
              <w:bottom w:val="nil"/>
              <w:right w:val="nil"/>
            </w:tcBorders>
          </w:tcPr>
          <w:p w14:paraId="10F40549" w14:textId="77777777" w:rsidR="00CC7CA1" w:rsidRPr="00BF4533" w:rsidRDefault="00CC7CA1" w:rsidP="00BF4533">
            <w:pPr>
              <w:spacing w:line="276" w:lineRule="auto"/>
              <w:rPr>
                <w:sz w:val="20"/>
                <w:szCs w:val="24"/>
                <w:lang w:val="en-GB"/>
              </w:rPr>
            </w:pPr>
            <w:r w:rsidRPr="00BF4533">
              <w:rPr>
                <w:sz w:val="20"/>
                <w:szCs w:val="24"/>
                <w:lang w:val="en-GB"/>
              </w:rPr>
              <w:t>Harassment or bullying—Managers</w:t>
            </w:r>
          </w:p>
        </w:tc>
        <w:tc>
          <w:tcPr>
            <w:tcW w:w="1984" w:type="dxa"/>
            <w:tcBorders>
              <w:top w:val="nil"/>
              <w:left w:val="nil"/>
              <w:bottom w:val="nil"/>
              <w:right w:val="nil"/>
            </w:tcBorders>
          </w:tcPr>
          <w:p w14:paraId="7C7B736B" w14:textId="77777777" w:rsidR="00CC7CA1" w:rsidRPr="00BF4533" w:rsidRDefault="00CC7CA1" w:rsidP="00BF4533">
            <w:pPr>
              <w:spacing w:line="276" w:lineRule="auto"/>
              <w:rPr>
                <w:sz w:val="20"/>
                <w:szCs w:val="24"/>
                <w:lang w:val="en-GB"/>
              </w:rPr>
            </w:pPr>
            <w:r w:rsidRPr="00BF4533">
              <w:rPr>
                <w:i/>
                <w:iCs/>
                <w:sz w:val="20"/>
                <w:szCs w:val="24"/>
                <w:lang w:val="en-GB"/>
              </w:rPr>
              <w:t>Tau-b</w:t>
            </w:r>
            <w:r w:rsidRPr="00BF4533">
              <w:rPr>
                <w:sz w:val="20"/>
                <w:szCs w:val="24"/>
                <w:lang w:val="en-GB"/>
              </w:rPr>
              <w:t xml:space="preserve"> = -.319***</w:t>
            </w:r>
          </w:p>
        </w:tc>
        <w:tc>
          <w:tcPr>
            <w:tcW w:w="709" w:type="dxa"/>
            <w:tcBorders>
              <w:top w:val="nil"/>
              <w:left w:val="nil"/>
              <w:bottom w:val="nil"/>
              <w:right w:val="nil"/>
            </w:tcBorders>
          </w:tcPr>
          <w:p w14:paraId="2707CF07" w14:textId="77777777" w:rsidR="00CC7CA1" w:rsidRPr="00BF4533" w:rsidRDefault="00CC7CA1" w:rsidP="00BF4533">
            <w:pPr>
              <w:spacing w:line="276" w:lineRule="auto"/>
              <w:rPr>
                <w:sz w:val="20"/>
                <w:szCs w:val="24"/>
                <w:lang w:val="en-GB"/>
              </w:rPr>
            </w:pPr>
            <w:r w:rsidRPr="00BF4533">
              <w:rPr>
                <w:sz w:val="20"/>
                <w:szCs w:val="24"/>
                <w:lang w:val="en-GB"/>
              </w:rPr>
              <w:t>1678</w:t>
            </w:r>
          </w:p>
        </w:tc>
      </w:tr>
      <w:tr w:rsidR="00CC7CA1" w:rsidRPr="0074586F" w14:paraId="0D58B947" w14:textId="77777777" w:rsidTr="00BF4533">
        <w:tc>
          <w:tcPr>
            <w:tcW w:w="5954" w:type="dxa"/>
            <w:tcBorders>
              <w:top w:val="nil"/>
              <w:left w:val="nil"/>
              <w:bottom w:val="nil"/>
              <w:right w:val="nil"/>
            </w:tcBorders>
          </w:tcPr>
          <w:p w14:paraId="54EB0831" w14:textId="77777777" w:rsidR="00CC7CA1" w:rsidRPr="00BF4533" w:rsidRDefault="00CC7CA1" w:rsidP="00BF4533">
            <w:pPr>
              <w:spacing w:line="276" w:lineRule="auto"/>
              <w:rPr>
                <w:sz w:val="20"/>
                <w:szCs w:val="24"/>
                <w:lang w:val="en-GB"/>
              </w:rPr>
            </w:pPr>
            <w:r w:rsidRPr="00BF4533">
              <w:rPr>
                <w:sz w:val="20"/>
                <w:szCs w:val="24"/>
                <w:lang w:val="en-GB"/>
              </w:rPr>
              <w:t>Harassment or bullying—Colleagues</w:t>
            </w:r>
          </w:p>
        </w:tc>
        <w:tc>
          <w:tcPr>
            <w:tcW w:w="1984" w:type="dxa"/>
            <w:tcBorders>
              <w:top w:val="nil"/>
              <w:left w:val="nil"/>
              <w:bottom w:val="nil"/>
              <w:right w:val="nil"/>
            </w:tcBorders>
          </w:tcPr>
          <w:p w14:paraId="57A62B06" w14:textId="77777777" w:rsidR="00CC7CA1" w:rsidRPr="00BF4533" w:rsidRDefault="00CC7CA1" w:rsidP="00BF4533">
            <w:pPr>
              <w:spacing w:line="276" w:lineRule="auto"/>
              <w:rPr>
                <w:sz w:val="20"/>
                <w:szCs w:val="24"/>
                <w:lang w:val="en-GB"/>
              </w:rPr>
            </w:pPr>
            <w:r w:rsidRPr="00BF4533">
              <w:rPr>
                <w:i/>
                <w:iCs/>
                <w:sz w:val="20"/>
                <w:szCs w:val="24"/>
                <w:lang w:val="en-GB"/>
              </w:rPr>
              <w:t>Ta</w:t>
            </w:r>
            <w:r w:rsidRPr="00BF4533">
              <w:rPr>
                <w:sz w:val="20"/>
                <w:szCs w:val="24"/>
                <w:lang w:val="en-GB"/>
              </w:rPr>
              <w:t>u-b = -.165***</w:t>
            </w:r>
          </w:p>
        </w:tc>
        <w:tc>
          <w:tcPr>
            <w:tcW w:w="709" w:type="dxa"/>
            <w:tcBorders>
              <w:top w:val="nil"/>
              <w:left w:val="nil"/>
              <w:bottom w:val="nil"/>
              <w:right w:val="nil"/>
            </w:tcBorders>
          </w:tcPr>
          <w:p w14:paraId="1CCD5C40" w14:textId="77777777" w:rsidR="00CC7CA1" w:rsidRPr="00BF4533" w:rsidRDefault="00CC7CA1" w:rsidP="00BF4533">
            <w:pPr>
              <w:spacing w:line="276" w:lineRule="auto"/>
              <w:rPr>
                <w:sz w:val="20"/>
                <w:szCs w:val="24"/>
                <w:lang w:val="en-GB"/>
              </w:rPr>
            </w:pPr>
            <w:r w:rsidRPr="00BF4533">
              <w:rPr>
                <w:sz w:val="20"/>
                <w:szCs w:val="24"/>
                <w:lang w:val="en-GB"/>
              </w:rPr>
              <w:t>1678</w:t>
            </w:r>
          </w:p>
        </w:tc>
      </w:tr>
      <w:tr w:rsidR="00CC7CA1" w:rsidRPr="0074586F" w14:paraId="3CE2ED3F" w14:textId="77777777" w:rsidTr="00BF4533">
        <w:tc>
          <w:tcPr>
            <w:tcW w:w="5954" w:type="dxa"/>
            <w:tcBorders>
              <w:top w:val="nil"/>
              <w:left w:val="nil"/>
              <w:bottom w:val="nil"/>
              <w:right w:val="nil"/>
            </w:tcBorders>
          </w:tcPr>
          <w:p w14:paraId="1FC88AD9" w14:textId="77777777" w:rsidR="00CC7CA1" w:rsidRPr="00BF4533" w:rsidRDefault="00CC7CA1" w:rsidP="00BF4533">
            <w:pPr>
              <w:spacing w:line="276" w:lineRule="auto"/>
              <w:rPr>
                <w:sz w:val="20"/>
                <w:szCs w:val="24"/>
                <w:lang w:val="en-GB"/>
              </w:rPr>
            </w:pPr>
            <w:r w:rsidRPr="00BF4533">
              <w:rPr>
                <w:sz w:val="20"/>
                <w:szCs w:val="24"/>
                <w:lang w:val="en-GB"/>
              </w:rPr>
              <w:t>Time in past week felt depressed</w:t>
            </w:r>
          </w:p>
        </w:tc>
        <w:tc>
          <w:tcPr>
            <w:tcW w:w="1984" w:type="dxa"/>
            <w:tcBorders>
              <w:top w:val="nil"/>
              <w:left w:val="nil"/>
              <w:bottom w:val="nil"/>
              <w:right w:val="nil"/>
            </w:tcBorders>
          </w:tcPr>
          <w:p w14:paraId="6B836731" w14:textId="77777777" w:rsidR="00CC7CA1" w:rsidRPr="00BF4533" w:rsidRDefault="00CC7CA1" w:rsidP="00BF4533">
            <w:pPr>
              <w:spacing w:line="276" w:lineRule="auto"/>
              <w:rPr>
                <w:sz w:val="20"/>
                <w:szCs w:val="24"/>
                <w:lang w:val="en-GB"/>
              </w:rPr>
            </w:pPr>
            <w:r w:rsidRPr="00BF4533">
              <w:rPr>
                <w:i/>
                <w:iCs/>
                <w:sz w:val="20"/>
                <w:szCs w:val="24"/>
                <w:lang w:val="en-GB"/>
              </w:rPr>
              <w:t>Tau-b</w:t>
            </w:r>
            <w:r w:rsidRPr="00BF4533">
              <w:rPr>
                <w:sz w:val="20"/>
                <w:szCs w:val="24"/>
                <w:lang w:val="en-GB"/>
              </w:rPr>
              <w:t xml:space="preserve"> = -.400***</w:t>
            </w:r>
          </w:p>
        </w:tc>
        <w:tc>
          <w:tcPr>
            <w:tcW w:w="709" w:type="dxa"/>
            <w:tcBorders>
              <w:top w:val="nil"/>
              <w:left w:val="nil"/>
              <w:bottom w:val="nil"/>
              <w:right w:val="nil"/>
            </w:tcBorders>
          </w:tcPr>
          <w:p w14:paraId="2B1AC421" w14:textId="77777777" w:rsidR="00CC7CA1" w:rsidRPr="00BF4533" w:rsidRDefault="00CC7CA1" w:rsidP="00BF4533">
            <w:pPr>
              <w:spacing w:line="276" w:lineRule="auto"/>
              <w:rPr>
                <w:sz w:val="20"/>
                <w:szCs w:val="24"/>
                <w:lang w:val="en-GB"/>
              </w:rPr>
            </w:pPr>
            <w:r w:rsidRPr="00BF4533">
              <w:rPr>
                <w:sz w:val="20"/>
                <w:szCs w:val="24"/>
                <w:lang w:val="en-GB"/>
              </w:rPr>
              <w:t>1678</w:t>
            </w:r>
          </w:p>
        </w:tc>
      </w:tr>
      <w:tr w:rsidR="00CC7CA1" w:rsidRPr="0074586F" w14:paraId="0344D345" w14:textId="77777777" w:rsidTr="00BF4533">
        <w:tc>
          <w:tcPr>
            <w:tcW w:w="5954" w:type="dxa"/>
            <w:tcBorders>
              <w:top w:val="nil"/>
              <w:left w:val="nil"/>
              <w:bottom w:val="single" w:sz="4" w:space="0" w:color="auto"/>
              <w:right w:val="nil"/>
            </w:tcBorders>
          </w:tcPr>
          <w:p w14:paraId="68B459C2" w14:textId="77777777" w:rsidR="00CC7CA1" w:rsidRPr="00BF4533" w:rsidRDefault="00CC7CA1" w:rsidP="00BF4533">
            <w:pPr>
              <w:spacing w:line="276" w:lineRule="auto"/>
              <w:rPr>
                <w:sz w:val="20"/>
                <w:szCs w:val="24"/>
                <w:lang w:val="en-GB"/>
              </w:rPr>
            </w:pPr>
            <w:r w:rsidRPr="00BF4533">
              <w:rPr>
                <w:sz w:val="20"/>
                <w:szCs w:val="24"/>
                <w:lang w:val="en-GB"/>
              </w:rPr>
              <w:t>Time in the past week felt a failure</w:t>
            </w:r>
          </w:p>
        </w:tc>
        <w:tc>
          <w:tcPr>
            <w:tcW w:w="1984" w:type="dxa"/>
            <w:tcBorders>
              <w:top w:val="nil"/>
              <w:left w:val="nil"/>
              <w:bottom w:val="single" w:sz="4" w:space="0" w:color="auto"/>
              <w:right w:val="nil"/>
            </w:tcBorders>
          </w:tcPr>
          <w:p w14:paraId="69E45971" w14:textId="77777777" w:rsidR="00CC7CA1" w:rsidRPr="00BF4533" w:rsidRDefault="00CC7CA1" w:rsidP="00BF4533">
            <w:pPr>
              <w:spacing w:line="276" w:lineRule="auto"/>
              <w:rPr>
                <w:sz w:val="20"/>
                <w:szCs w:val="24"/>
                <w:lang w:val="en-GB"/>
              </w:rPr>
            </w:pPr>
            <w:r w:rsidRPr="00BF4533">
              <w:rPr>
                <w:sz w:val="20"/>
                <w:szCs w:val="24"/>
                <w:lang w:val="en-GB"/>
              </w:rPr>
              <w:t>Ta</w:t>
            </w:r>
            <w:r w:rsidRPr="00BF4533">
              <w:rPr>
                <w:i/>
                <w:iCs/>
                <w:sz w:val="20"/>
                <w:szCs w:val="24"/>
                <w:lang w:val="en-GB"/>
              </w:rPr>
              <w:t>u-b</w:t>
            </w:r>
            <w:r w:rsidRPr="00BF4533">
              <w:rPr>
                <w:sz w:val="20"/>
                <w:szCs w:val="24"/>
                <w:lang w:val="en-GB"/>
              </w:rPr>
              <w:t xml:space="preserve"> = -.352***</w:t>
            </w:r>
          </w:p>
        </w:tc>
        <w:tc>
          <w:tcPr>
            <w:tcW w:w="709" w:type="dxa"/>
            <w:tcBorders>
              <w:top w:val="nil"/>
              <w:left w:val="nil"/>
              <w:bottom w:val="single" w:sz="4" w:space="0" w:color="auto"/>
              <w:right w:val="nil"/>
            </w:tcBorders>
          </w:tcPr>
          <w:p w14:paraId="78482874" w14:textId="77777777" w:rsidR="00CC7CA1" w:rsidRPr="00BF4533" w:rsidRDefault="00CC7CA1" w:rsidP="00BF4533">
            <w:pPr>
              <w:spacing w:line="276" w:lineRule="auto"/>
              <w:rPr>
                <w:sz w:val="20"/>
                <w:szCs w:val="24"/>
                <w:lang w:val="en-GB"/>
              </w:rPr>
            </w:pPr>
            <w:r w:rsidRPr="00BF4533">
              <w:rPr>
                <w:sz w:val="20"/>
                <w:szCs w:val="24"/>
                <w:lang w:val="en-GB"/>
              </w:rPr>
              <w:t>1678</w:t>
            </w:r>
          </w:p>
        </w:tc>
      </w:tr>
    </w:tbl>
    <w:p w14:paraId="0269AB8D" w14:textId="77777777" w:rsidR="008504B0" w:rsidRPr="00315B4D" w:rsidRDefault="00BF4533">
      <w:pPr>
        <w:rPr>
          <w:sz w:val="20"/>
        </w:rPr>
      </w:pPr>
      <w:r w:rsidRPr="00315B4D">
        <w:rPr>
          <w:rFonts w:cstheme="minorHAnsi"/>
          <w:color w:val="1C1D1E"/>
          <w:sz w:val="18"/>
          <w:szCs w:val="20"/>
          <w:shd w:val="clear" w:color="auto" w:fill="FFFFFF"/>
          <w:vertAlign w:val="superscript"/>
        </w:rPr>
        <w:t>†</w:t>
      </w:r>
      <w:r w:rsidR="00D13CE3" w:rsidRPr="00315B4D">
        <w:rPr>
          <w:sz w:val="24"/>
          <w:szCs w:val="28"/>
          <w:vertAlign w:val="superscript"/>
        </w:rPr>
        <w:t xml:space="preserve"> </w:t>
      </w:r>
      <w:r w:rsidR="00D13CE3" w:rsidRPr="00315B4D">
        <w:rPr>
          <w:sz w:val="20"/>
        </w:rPr>
        <w:t>All correlations used bootstrapping with 2000 iterations and were two-tailed.</w:t>
      </w:r>
    </w:p>
    <w:p w14:paraId="2AE6FD85" w14:textId="77777777" w:rsidR="0015528B" w:rsidRPr="00315B4D" w:rsidRDefault="004126EA">
      <w:pPr>
        <w:rPr>
          <w:sz w:val="20"/>
        </w:rPr>
      </w:pPr>
      <w:r w:rsidRPr="00315B4D">
        <w:rPr>
          <w:sz w:val="20"/>
        </w:rPr>
        <w:t>* p&lt;.05</w:t>
      </w:r>
      <w:r w:rsidR="00042323" w:rsidRPr="00315B4D">
        <w:rPr>
          <w:sz w:val="20"/>
        </w:rPr>
        <w:t xml:space="preserve">    </w:t>
      </w:r>
      <w:r w:rsidRPr="00315B4D">
        <w:rPr>
          <w:sz w:val="20"/>
        </w:rPr>
        <w:t>*** p&lt;.0001</w:t>
      </w:r>
      <w:bookmarkStart w:id="13" w:name="_Hlk22204754"/>
    </w:p>
    <w:p w14:paraId="7A9891C1" w14:textId="77777777" w:rsidR="0015528B" w:rsidRPr="0074586F" w:rsidRDefault="0015528B">
      <w:r w:rsidRPr="0074586F">
        <w:br w:type="page"/>
      </w:r>
    </w:p>
    <w:p w14:paraId="4A1C8562" w14:textId="77777777" w:rsidR="00A1360C" w:rsidRPr="0074586F" w:rsidRDefault="00A1360C">
      <w:pPr>
        <w:sectPr w:rsidR="00A1360C" w:rsidRPr="0074586F" w:rsidSect="00A1360C">
          <w:headerReference w:type="default" r:id="rId9"/>
          <w:footerReference w:type="default" r:id="rId10"/>
          <w:pgSz w:w="11906" w:h="16838"/>
          <w:pgMar w:top="720" w:right="720" w:bottom="720" w:left="720" w:header="708" w:footer="708" w:gutter="0"/>
          <w:cols w:space="708"/>
          <w:docGrid w:linePitch="360"/>
        </w:sectPr>
      </w:pPr>
    </w:p>
    <w:p w14:paraId="4335EC93" w14:textId="77777777" w:rsidR="0015528B" w:rsidRPr="0074586F" w:rsidRDefault="0015528B">
      <w:pPr>
        <w:rPr>
          <w:b/>
          <w:bCs/>
          <w:sz w:val="24"/>
          <w:szCs w:val="24"/>
        </w:rPr>
      </w:pPr>
    </w:p>
    <w:tbl>
      <w:tblPr>
        <w:tblpPr w:leftFromText="142" w:rightFromText="142" w:topFromText="284" w:vertAnchor="text" w:horzAnchor="margin" w:tblpY="-66"/>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5807"/>
        <w:gridCol w:w="851"/>
        <w:gridCol w:w="850"/>
        <w:gridCol w:w="851"/>
        <w:gridCol w:w="850"/>
        <w:gridCol w:w="851"/>
        <w:gridCol w:w="4677"/>
      </w:tblGrid>
      <w:tr w:rsidR="00BF4533" w:rsidRPr="0074586F" w14:paraId="4B52B891" w14:textId="77777777" w:rsidTr="00831DA1">
        <w:trPr>
          <w:cantSplit/>
          <w:trHeight w:val="227"/>
        </w:trPr>
        <w:tc>
          <w:tcPr>
            <w:tcW w:w="5807" w:type="dxa"/>
            <w:tcBorders>
              <w:bottom w:val="nil"/>
            </w:tcBorders>
            <w:shd w:val="clear" w:color="auto" w:fill="auto"/>
          </w:tcPr>
          <w:p w14:paraId="06C1936E" w14:textId="77777777" w:rsidR="00BF4533" w:rsidRPr="00BF4533" w:rsidRDefault="00BF4533" w:rsidP="00BF4533">
            <w:pPr>
              <w:spacing w:after="0" w:line="240" w:lineRule="auto"/>
              <w:ind w:right="60"/>
              <w:rPr>
                <w:rFonts w:cstheme="minorHAnsi"/>
                <w:bCs/>
                <w:sz w:val="20"/>
                <w:szCs w:val="20"/>
              </w:rPr>
            </w:pPr>
            <w:r w:rsidRPr="00BF4533">
              <w:rPr>
                <w:rFonts w:cstheme="minorHAnsi"/>
                <w:bCs/>
                <w:szCs w:val="20"/>
              </w:rPr>
              <w:t>Table 5 Factor Structure</w:t>
            </w:r>
          </w:p>
        </w:tc>
        <w:tc>
          <w:tcPr>
            <w:tcW w:w="851" w:type="dxa"/>
            <w:tcBorders>
              <w:bottom w:val="nil"/>
            </w:tcBorders>
            <w:shd w:val="clear" w:color="auto" w:fill="auto"/>
          </w:tcPr>
          <w:p w14:paraId="4B419623" w14:textId="77777777" w:rsidR="00BF4533" w:rsidRPr="0074586F" w:rsidRDefault="00BF4533" w:rsidP="00A1360C">
            <w:pPr>
              <w:spacing w:after="0" w:line="240" w:lineRule="auto"/>
              <w:ind w:right="60"/>
              <w:jc w:val="center"/>
              <w:rPr>
                <w:rFonts w:cstheme="minorHAnsi"/>
                <w:b/>
                <w:bCs/>
                <w:sz w:val="20"/>
                <w:szCs w:val="20"/>
              </w:rPr>
            </w:pPr>
          </w:p>
        </w:tc>
        <w:tc>
          <w:tcPr>
            <w:tcW w:w="850" w:type="dxa"/>
            <w:tcBorders>
              <w:bottom w:val="nil"/>
            </w:tcBorders>
            <w:shd w:val="clear" w:color="auto" w:fill="auto"/>
          </w:tcPr>
          <w:p w14:paraId="2E2998E1" w14:textId="77777777" w:rsidR="00BF4533" w:rsidRPr="0074586F" w:rsidRDefault="00BF4533" w:rsidP="00A1360C">
            <w:pPr>
              <w:spacing w:after="0" w:line="240" w:lineRule="auto"/>
              <w:ind w:right="60"/>
              <w:jc w:val="center"/>
              <w:rPr>
                <w:rFonts w:cstheme="minorHAnsi"/>
                <w:b/>
                <w:bCs/>
                <w:sz w:val="20"/>
                <w:szCs w:val="20"/>
              </w:rPr>
            </w:pPr>
          </w:p>
        </w:tc>
        <w:tc>
          <w:tcPr>
            <w:tcW w:w="851" w:type="dxa"/>
            <w:tcBorders>
              <w:bottom w:val="nil"/>
            </w:tcBorders>
            <w:shd w:val="clear" w:color="auto" w:fill="auto"/>
          </w:tcPr>
          <w:p w14:paraId="0CDAB341" w14:textId="77777777" w:rsidR="00BF4533" w:rsidRPr="0074586F" w:rsidRDefault="00BF4533" w:rsidP="00A1360C">
            <w:pPr>
              <w:spacing w:after="0" w:line="240" w:lineRule="auto"/>
              <w:ind w:right="60"/>
              <w:jc w:val="center"/>
              <w:rPr>
                <w:rFonts w:cstheme="minorHAnsi"/>
                <w:b/>
                <w:bCs/>
                <w:sz w:val="20"/>
                <w:szCs w:val="20"/>
              </w:rPr>
            </w:pPr>
          </w:p>
        </w:tc>
        <w:tc>
          <w:tcPr>
            <w:tcW w:w="850" w:type="dxa"/>
            <w:tcBorders>
              <w:bottom w:val="nil"/>
            </w:tcBorders>
            <w:shd w:val="clear" w:color="auto" w:fill="auto"/>
          </w:tcPr>
          <w:p w14:paraId="3D1B6AFA" w14:textId="77777777" w:rsidR="00BF4533" w:rsidRPr="0074586F" w:rsidRDefault="00BF4533" w:rsidP="00A1360C">
            <w:pPr>
              <w:spacing w:after="0" w:line="240" w:lineRule="auto"/>
              <w:ind w:right="60"/>
              <w:jc w:val="center"/>
              <w:rPr>
                <w:rFonts w:cstheme="minorHAnsi"/>
                <w:b/>
                <w:bCs/>
                <w:sz w:val="20"/>
                <w:szCs w:val="20"/>
              </w:rPr>
            </w:pPr>
          </w:p>
        </w:tc>
        <w:tc>
          <w:tcPr>
            <w:tcW w:w="851" w:type="dxa"/>
            <w:tcBorders>
              <w:bottom w:val="nil"/>
            </w:tcBorders>
            <w:shd w:val="clear" w:color="auto" w:fill="auto"/>
          </w:tcPr>
          <w:p w14:paraId="5FE3D2A8" w14:textId="77777777" w:rsidR="00BF4533" w:rsidRPr="0074586F" w:rsidRDefault="00BF4533" w:rsidP="00A1360C">
            <w:pPr>
              <w:spacing w:after="0" w:line="240" w:lineRule="auto"/>
              <w:ind w:right="60"/>
              <w:jc w:val="center"/>
              <w:rPr>
                <w:rFonts w:cstheme="minorHAnsi"/>
                <w:b/>
                <w:bCs/>
                <w:sz w:val="20"/>
                <w:szCs w:val="20"/>
              </w:rPr>
            </w:pPr>
          </w:p>
        </w:tc>
        <w:tc>
          <w:tcPr>
            <w:tcW w:w="4677" w:type="dxa"/>
            <w:tcBorders>
              <w:bottom w:val="nil"/>
            </w:tcBorders>
            <w:shd w:val="clear" w:color="auto" w:fill="auto"/>
          </w:tcPr>
          <w:p w14:paraId="42156F11" w14:textId="77777777" w:rsidR="00BF4533" w:rsidRPr="0074586F" w:rsidRDefault="00BF4533" w:rsidP="00A1360C">
            <w:pPr>
              <w:spacing w:after="0" w:line="240" w:lineRule="auto"/>
              <w:ind w:right="60"/>
              <w:jc w:val="center"/>
              <w:rPr>
                <w:rFonts w:eastAsia="Times New Roman" w:cstheme="minorHAnsi"/>
                <w:b/>
                <w:bCs/>
                <w:sz w:val="18"/>
              </w:rPr>
            </w:pPr>
          </w:p>
        </w:tc>
      </w:tr>
      <w:tr w:rsidR="0015528B" w:rsidRPr="0074586F" w14:paraId="5565FD06" w14:textId="77777777" w:rsidTr="00831DA1">
        <w:trPr>
          <w:cantSplit/>
          <w:trHeight w:val="227"/>
        </w:trPr>
        <w:tc>
          <w:tcPr>
            <w:tcW w:w="5807" w:type="dxa"/>
            <w:tcBorders>
              <w:top w:val="nil"/>
              <w:bottom w:val="single" w:sz="4" w:space="0" w:color="auto"/>
            </w:tcBorders>
            <w:shd w:val="clear" w:color="auto" w:fill="auto"/>
          </w:tcPr>
          <w:p w14:paraId="3F7F60E7" w14:textId="77777777" w:rsidR="003653D2" w:rsidRPr="0074586F" w:rsidRDefault="003653D2" w:rsidP="00A1360C">
            <w:pPr>
              <w:spacing w:after="0" w:line="240" w:lineRule="auto"/>
              <w:ind w:right="60"/>
              <w:jc w:val="center"/>
              <w:rPr>
                <w:rFonts w:cstheme="minorHAnsi"/>
                <w:b/>
                <w:bCs/>
                <w:sz w:val="20"/>
                <w:szCs w:val="20"/>
              </w:rPr>
            </w:pPr>
            <w:bookmarkStart w:id="14" w:name="_Hlk22204667"/>
            <w:r w:rsidRPr="0074586F">
              <w:rPr>
                <w:rFonts w:cstheme="minorHAnsi"/>
                <w:b/>
                <w:bCs/>
                <w:sz w:val="20"/>
                <w:szCs w:val="20"/>
              </w:rPr>
              <w:t>Item</w:t>
            </w:r>
          </w:p>
        </w:tc>
        <w:tc>
          <w:tcPr>
            <w:tcW w:w="851" w:type="dxa"/>
            <w:tcBorders>
              <w:top w:val="nil"/>
              <w:bottom w:val="single" w:sz="4" w:space="0" w:color="auto"/>
            </w:tcBorders>
            <w:shd w:val="clear" w:color="auto" w:fill="auto"/>
          </w:tcPr>
          <w:p w14:paraId="14B549AC" w14:textId="77777777" w:rsidR="003653D2" w:rsidRPr="0074586F" w:rsidRDefault="003653D2" w:rsidP="00A1360C">
            <w:pPr>
              <w:spacing w:after="0" w:line="240" w:lineRule="auto"/>
              <w:ind w:right="60"/>
              <w:jc w:val="center"/>
              <w:rPr>
                <w:rFonts w:cstheme="minorHAnsi"/>
                <w:b/>
                <w:bCs/>
                <w:sz w:val="20"/>
                <w:szCs w:val="20"/>
              </w:rPr>
            </w:pPr>
            <w:r w:rsidRPr="0074586F">
              <w:rPr>
                <w:rFonts w:cstheme="minorHAnsi"/>
                <w:b/>
                <w:bCs/>
                <w:sz w:val="20"/>
                <w:szCs w:val="20"/>
              </w:rPr>
              <w:t>Factor 1</w:t>
            </w:r>
          </w:p>
        </w:tc>
        <w:tc>
          <w:tcPr>
            <w:tcW w:w="850" w:type="dxa"/>
            <w:tcBorders>
              <w:top w:val="nil"/>
              <w:bottom w:val="single" w:sz="4" w:space="0" w:color="auto"/>
            </w:tcBorders>
            <w:shd w:val="clear" w:color="auto" w:fill="auto"/>
          </w:tcPr>
          <w:p w14:paraId="09D81777" w14:textId="77777777" w:rsidR="003653D2" w:rsidRPr="0074586F" w:rsidRDefault="003653D2" w:rsidP="00A1360C">
            <w:pPr>
              <w:spacing w:after="0" w:line="240" w:lineRule="auto"/>
              <w:ind w:right="60"/>
              <w:jc w:val="center"/>
              <w:rPr>
                <w:rFonts w:cstheme="minorHAnsi"/>
                <w:b/>
                <w:bCs/>
                <w:sz w:val="20"/>
                <w:szCs w:val="20"/>
              </w:rPr>
            </w:pPr>
            <w:r w:rsidRPr="0074586F">
              <w:rPr>
                <w:rFonts w:cstheme="minorHAnsi"/>
                <w:b/>
                <w:bCs/>
                <w:sz w:val="20"/>
                <w:szCs w:val="20"/>
              </w:rPr>
              <w:t>Factor 2</w:t>
            </w:r>
          </w:p>
        </w:tc>
        <w:tc>
          <w:tcPr>
            <w:tcW w:w="851" w:type="dxa"/>
            <w:tcBorders>
              <w:top w:val="nil"/>
              <w:bottom w:val="single" w:sz="4" w:space="0" w:color="auto"/>
            </w:tcBorders>
            <w:shd w:val="clear" w:color="auto" w:fill="auto"/>
          </w:tcPr>
          <w:p w14:paraId="4208EAC0" w14:textId="77777777" w:rsidR="003653D2" w:rsidRPr="0074586F" w:rsidRDefault="003653D2" w:rsidP="00A1360C">
            <w:pPr>
              <w:spacing w:after="0" w:line="240" w:lineRule="auto"/>
              <w:ind w:right="60"/>
              <w:jc w:val="center"/>
              <w:rPr>
                <w:rFonts w:cstheme="minorHAnsi"/>
                <w:b/>
                <w:bCs/>
                <w:sz w:val="20"/>
                <w:szCs w:val="20"/>
              </w:rPr>
            </w:pPr>
            <w:r w:rsidRPr="0074586F">
              <w:rPr>
                <w:rFonts w:cstheme="minorHAnsi"/>
                <w:b/>
                <w:bCs/>
                <w:sz w:val="20"/>
                <w:szCs w:val="20"/>
              </w:rPr>
              <w:t>Factor 3</w:t>
            </w:r>
          </w:p>
        </w:tc>
        <w:tc>
          <w:tcPr>
            <w:tcW w:w="850" w:type="dxa"/>
            <w:tcBorders>
              <w:top w:val="nil"/>
              <w:bottom w:val="single" w:sz="4" w:space="0" w:color="auto"/>
            </w:tcBorders>
            <w:shd w:val="clear" w:color="auto" w:fill="auto"/>
          </w:tcPr>
          <w:p w14:paraId="6B229C44" w14:textId="77777777" w:rsidR="003653D2" w:rsidRPr="0074586F" w:rsidRDefault="003653D2" w:rsidP="00A1360C">
            <w:pPr>
              <w:spacing w:after="0" w:line="240" w:lineRule="auto"/>
              <w:ind w:right="60"/>
              <w:jc w:val="center"/>
              <w:rPr>
                <w:rFonts w:cstheme="minorHAnsi"/>
                <w:b/>
                <w:bCs/>
                <w:sz w:val="20"/>
                <w:szCs w:val="20"/>
              </w:rPr>
            </w:pPr>
            <w:r w:rsidRPr="0074586F">
              <w:rPr>
                <w:rFonts w:cstheme="minorHAnsi"/>
                <w:b/>
                <w:bCs/>
                <w:sz w:val="20"/>
                <w:szCs w:val="20"/>
              </w:rPr>
              <w:t>Factor 4</w:t>
            </w:r>
          </w:p>
        </w:tc>
        <w:tc>
          <w:tcPr>
            <w:tcW w:w="851" w:type="dxa"/>
            <w:tcBorders>
              <w:top w:val="nil"/>
              <w:bottom w:val="single" w:sz="4" w:space="0" w:color="auto"/>
            </w:tcBorders>
            <w:shd w:val="clear" w:color="auto" w:fill="auto"/>
          </w:tcPr>
          <w:p w14:paraId="29D1D8B6" w14:textId="77777777" w:rsidR="003653D2" w:rsidRPr="0074586F" w:rsidRDefault="003653D2" w:rsidP="00A1360C">
            <w:pPr>
              <w:spacing w:after="0" w:line="240" w:lineRule="auto"/>
              <w:ind w:right="60"/>
              <w:jc w:val="center"/>
              <w:rPr>
                <w:rFonts w:cstheme="minorHAnsi"/>
                <w:b/>
                <w:bCs/>
                <w:sz w:val="20"/>
                <w:szCs w:val="20"/>
              </w:rPr>
            </w:pPr>
            <w:r w:rsidRPr="0074586F">
              <w:rPr>
                <w:rFonts w:cstheme="minorHAnsi"/>
                <w:b/>
                <w:bCs/>
                <w:sz w:val="20"/>
                <w:szCs w:val="20"/>
              </w:rPr>
              <w:t>Factor 5</w:t>
            </w:r>
          </w:p>
        </w:tc>
        <w:tc>
          <w:tcPr>
            <w:tcW w:w="4677" w:type="dxa"/>
            <w:tcBorders>
              <w:top w:val="nil"/>
              <w:bottom w:val="single" w:sz="4" w:space="0" w:color="auto"/>
            </w:tcBorders>
            <w:shd w:val="clear" w:color="auto" w:fill="auto"/>
          </w:tcPr>
          <w:p w14:paraId="72738944" w14:textId="77777777" w:rsidR="003653D2" w:rsidRPr="0074586F" w:rsidRDefault="003653D2" w:rsidP="00A1360C">
            <w:pPr>
              <w:spacing w:after="0" w:line="240" w:lineRule="auto"/>
              <w:ind w:right="60"/>
              <w:jc w:val="center"/>
              <w:rPr>
                <w:rFonts w:eastAsia="Times New Roman" w:cstheme="minorHAnsi"/>
                <w:b/>
                <w:bCs/>
                <w:sz w:val="18"/>
              </w:rPr>
            </w:pPr>
            <w:r w:rsidRPr="0074586F">
              <w:rPr>
                <w:rFonts w:eastAsia="Times New Roman" w:cstheme="minorHAnsi"/>
                <w:b/>
                <w:bCs/>
                <w:sz w:val="18"/>
              </w:rPr>
              <w:t>PPWWM Dimension / Construct</w:t>
            </w:r>
          </w:p>
        </w:tc>
      </w:tr>
      <w:tr w:rsidR="003653D2" w:rsidRPr="0074586F" w14:paraId="15ADF363" w14:textId="77777777" w:rsidTr="00831DA1">
        <w:trPr>
          <w:cantSplit/>
          <w:trHeight w:val="227"/>
        </w:trPr>
        <w:tc>
          <w:tcPr>
            <w:tcW w:w="14737" w:type="dxa"/>
            <w:gridSpan w:val="7"/>
            <w:tcBorders>
              <w:top w:val="single" w:sz="4" w:space="0" w:color="auto"/>
              <w:bottom w:val="single" w:sz="4" w:space="0" w:color="auto"/>
            </w:tcBorders>
            <w:shd w:val="clear" w:color="auto" w:fill="FFFFFF"/>
          </w:tcPr>
          <w:p w14:paraId="44A8AAD1" w14:textId="77777777" w:rsidR="003653D2" w:rsidRPr="0074586F" w:rsidRDefault="003653D2" w:rsidP="00A1360C">
            <w:pPr>
              <w:spacing w:after="0" w:line="240" w:lineRule="auto"/>
              <w:ind w:right="60"/>
              <w:jc w:val="center"/>
              <w:rPr>
                <w:rFonts w:cstheme="minorHAnsi"/>
                <w:b/>
                <w:bCs/>
                <w:sz w:val="16"/>
                <w:szCs w:val="16"/>
              </w:rPr>
            </w:pPr>
            <w:r w:rsidRPr="0074586F">
              <w:rPr>
                <w:rFonts w:cstheme="minorHAnsi"/>
                <w:b/>
                <w:bCs/>
                <w:sz w:val="16"/>
                <w:szCs w:val="16"/>
              </w:rPr>
              <w:t>Factor 1: Professional and organisational satisfaction</w:t>
            </w:r>
          </w:p>
        </w:tc>
      </w:tr>
      <w:tr w:rsidR="0015528B" w:rsidRPr="0074586F" w14:paraId="5965FF87" w14:textId="77777777" w:rsidTr="00831DA1">
        <w:trPr>
          <w:cantSplit/>
          <w:trHeight w:val="227"/>
        </w:trPr>
        <w:tc>
          <w:tcPr>
            <w:tcW w:w="5807" w:type="dxa"/>
            <w:tcBorders>
              <w:top w:val="single" w:sz="4" w:space="0" w:color="auto"/>
            </w:tcBorders>
            <w:shd w:val="clear" w:color="auto" w:fill="FFFFFF"/>
          </w:tcPr>
          <w:p w14:paraId="4D5EE02D"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7.</w:t>
            </w:r>
            <w:r w:rsidRPr="0074586F">
              <w:rPr>
                <w:sz w:val="16"/>
                <w:szCs w:val="16"/>
              </w:rPr>
              <w:t xml:space="preserve"> </w:t>
            </w:r>
            <w:r w:rsidRPr="0074586F">
              <w:rPr>
                <w:rFonts w:cstheme="minorHAnsi"/>
                <w:sz w:val="16"/>
                <w:szCs w:val="16"/>
              </w:rPr>
              <w:t>I feel I can balance less fulfilling aspects of my job with more enjoyable aspects</w:t>
            </w:r>
          </w:p>
        </w:tc>
        <w:tc>
          <w:tcPr>
            <w:tcW w:w="851" w:type="dxa"/>
            <w:tcBorders>
              <w:top w:val="single" w:sz="4" w:space="0" w:color="auto"/>
            </w:tcBorders>
            <w:shd w:val="clear" w:color="auto" w:fill="FFFFFF"/>
            <w:vAlign w:val="center"/>
          </w:tcPr>
          <w:p w14:paraId="4BCAF590"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.43</w:t>
            </w:r>
          </w:p>
        </w:tc>
        <w:tc>
          <w:tcPr>
            <w:tcW w:w="850" w:type="dxa"/>
            <w:tcBorders>
              <w:top w:val="single" w:sz="4" w:space="0" w:color="auto"/>
            </w:tcBorders>
            <w:shd w:val="clear" w:color="auto" w:fill="FFFFFF"/>
            <w:vAlign w:val="center"/>
          </w:tcPr>
          <w:p w14:paraId="443B7FA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.25</w:t>
            </w:r>
          </w:p>
        </w:tc>
        <w:tc>
          <w:tcPr>
            <w:tcW w:w="851" w:type="dxa"/>
            <w:tcBorders>
              <w:top w:val="single" w:sz="4" w:space="0" w:color="auto"/>
            </w:tcBorders>
            <w:shd w:val="clear" w:color="auto" w:fill="FFFFFF"/>
            <w:vAlign w:val="center"/>
          </w:tcPr>
          <w:p w14:paraId="399C6064"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.38</w:t>
            </w:r>
          </w:p>
        </w:tc>
        <w:tc>
          <w:tcPr>
            <w:tcW w:w="850" w:type="dxa"/>
            <w:tcBorders>
              <w:top w:val="single" w:sz="4" w:space="0" w:color="auto"/>
            </w:tcBorders>
            <w:shd w:val="clear" w:color="auto" w:fill="FFFFFF"/>
            <w:vAlign w:val="center"/>
          </w:tcPr>
          <w:p w14:paraId="3F2A9D71"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.33</w:t>
            </w:r>
          </w:p>
        </w:tc>
        <w:tc>
          <w:tcPr>
            <w:tcW w:w="851" w:type="dxa"/>
            <w:tcBorders>
              <w:top w:val="single" w:sz="4" w:space="0" w:color="auto"/>
            </w:tcBorders>
            <w:shd w:val="clear" w:color="auto" w:fill="FFFFFF"/>
            <w:vAlign w:val="center"/>
          </w:tcPr>
          <w:p w14:paraId="60E6CBF8"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.12</w:t>
            </w:r>
          </w:p>
        </w:tc>
        <w:tc>
          <w:tcPr>
            <w:tcW w:w="4677" w:type="dxa"/>
            <w:tcBorders>
              <w:top w:val="single" w:sz="4" w:space="0" w:color="auto"/>
            </w:tcBorders>
            <w:shd w:val="clear" w:color="auto" w:fill="FFFFFF"/>
          </w:tcPr>
          <w:p w14:paraId="112BD3B8"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Positive and negative job aspects/Work control and autonomy</w:t>
            </w:r>
          </w:p>
        </w:tc>
      </w:tr>
      <w:tr w:rsidR="0015528B" w:rsidRPr="0074586F" w14:paraId="2558BFC2" w14:textId="77777777" w:rsidTr="00831DA1">
        <w:trPr>
          <w:cantSplit/>
          <w:trHeight w:val="227"/>
        </w:trPr>
        <w:tc>
          <w:tcPr>
            <w:tcW w:w="5807" w:type="dxa"/>
            <w:shd w:val="clear" w:color="auto" w:fill="FFFFFF"/>
          </w:tcPr>
          <w:p w14:paraId="3908B509"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8</w:t>
            </w:r>
            <w:r w:rsidRPr="0074586F">
              <w:rPr>
                <w:rFonts w:eastAsia="Times New Roman" w:cstheme="minorHAnsi"/>
                <w:sz w:val="16"/>
                <w:szCs w:val="16"/>
              </w:rPr>
              <w:t>. I cannot see how the service/ organisation in which I work can ever be delivered effectively</w:t>
            </w:r>
          </w:p>
        </w:tc>
        <w:tc>
          <w:tcPr>
            <w:tcW w:w="851" w:type="dxa"/>
            <w:shd w:val="clear" w:color="auto" w:fill="FFFFFF"/>
            <w:vAlign w:val="center"/>
          </w:tcPr>
          <w:p w14:paraId="1E15EFB1"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.64</w:t>
            </w:r>
          </w:p>
        </w:tc>
        <w:tc>
          <w:tcPr>
            <w:tcW w:w="850" w:type="dxa"/>
            <w:shd w:val="clear" w:color="auto" w:fill="FFFFFF"/>
            <w:vAlign w:val="center"/>
          </w:tcPr>
          <w:p w14:paraId="4A990F79"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.06</w:t>
            </w:r>
          </w:p>
        </w:tc>
        <w:tc>
          <w:tcPr>
            <w:tcW w:w="851" w:type="dxa"/>
            <w:shd w:val="clear" w:color="auto" w:fill="FFFFFF"/>
            <w:vAlign w:val="center"/>
          </w:tcPr>
          <w:p w14:paraId="6CF37B4F"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.13</w:t>
            </w:r>
          </w:p>
        </w:tc>
        <w:tc>
          <w:tcPr>
            <w:tcW w:w="850" w:type="dxa"/>
            <w:shd w:val="clear" w:color="auto" w:fill="FFFFFF"/>
            <w:vAlign w:val="center"/>
          </w:tcPr>
          <w:p w14:paraId="53CE642F"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.13</w:t>
            </w:r>
          </w:p>
        </w:tc>
        <w:tc>
          <w:tcPr>
            <w:tcW w:w="851" w:type="dxa"/>
            <w:shd w:val="clear" w:color="auto" w:fill="FFFFFF"/>
            <w:vAlign w:val="center"/>
          </w:tcPr>
          <w:p w14:paraId="2FE63ADD"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.17</w:t>
            </w:r>
          </w:p>
        </w:tc>
        <w:tc>
          <w:tcPr>
            <w:tcW w:w="4677" w:type="dxa"/>
            <w:shd w:val="clear" w:color="auto" w:fill="FFFFFF"/>
          </w:tcPr>
          <w:p w14:paraId="2E6CF752"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Organisational context/Organisational hopefulness-hopelessness</w:t>
            </w:r>
          </w:p>
        </w:tc>
      </w:tr>
      <w:tr w:rsidR="0015528B" w:rsidRPr="0074586F" w14:paraId="72CA9EC0" w14:textId="77777777" w:rsidTr="00831DA1">
        <w:trPr>
          <w:cantSplit/>
          <w:trHeight w:val="227"/>
        </w:trPr>
        <w:tc>
          <w:tcPr>
            <w:tcW w:w="5807" w:type="dxa"/>
            <w:shd w:val="clear" w:color="auto" w:fill="FFFFFF"/>
          </w:tcPr>
          <w:p w14:paraId="58C14D71"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10.</w:t>
            </w:r>
            <w:r w:rsidRPr="0074586F">
              <w:rPr>
                <w:rFonts w:eastAsia="Times New Roman" w:cstheme="minorHAnsi"/>
                <w:sz w:val="16"/>
                <w:szCs w:val="16"/>
              </w:rPr>
              <w:t xml:space="preserve"> I am enabled to manage and organise my workload and diary</w:t>
            </w:r>
          </w:p>
        </w:tc>
        <w:tc>
          <w:tcPr>
            <w:tcW w:w="851" w:type="dxa"/>
            <w:shd w:val="clear" w:color="auto" w:fill="FFFFFF"/>
            <w:vAlign w:val="center"/>
          </w:tcPr>
          <w:p w14:paraId="0AC4CB56"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.40</w:t>
            </w:r>
          </w:p>
        </w:tc>
        <w:tc>
          <w:tcPr>
            <w:tcW w:w="850" w:type="dxa"/>
            <w:shd w:val="clear" w:color="auto" w:fill="FFFFFF"/>
            <w:vAlign w:val="center"/>
          </w:tcPr>
          <w:p w14:paraId="3AB94935"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.37</w:t>
            </w:r>
          </w:p>
        </w:tc>
        <w:tc>
          <w:tcPr>
            <w:tcW w:w="851" w:type="dxa"/>
            <w:shd w:val="clear" w:color="auto" w:fill="FFFFFF"/>
            <w:vAlign w:val="center"/>
          </w:tcPr>
          <w:p w14:paraId="713A3B1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.18</w:t>
            </w:r>
          </w:p>
        </w:tc>
        <w:tc>
          <w:tcPr>
            <w:tcW w:w="850" w:type="dxa"/>
            <w:shd w:val="clear" w:color="auto" w:fill="FFFFFF"/>
            <w:vAlign w:val="center"/>
          </w:tcPr>
          <w:p w14:paraId="61FA9E9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.37</w:t>
            </w:r>
          </w:p>
        </w:tc>
        <w:tc>
          <w:tcPr>
            <w:tcW w:w="851" w:type="dxa"/>
            <w:shd w:val="clear" w:color="auto" w:fill="FFFFFF"/>
            <w:vAlign w:val="center"/>
          </w:tcPr>
          <w:p w14:paraId="66A3567B"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-.05</w:t>
            </w:r>
          </w:p>
        </w:tc>
        <w:tc>
          <w:tcPr>
            <w:tcW w:w="4677" w:type="dxa"/>
            <w:shd w:val="clear" w:color="auto" w:fill="FFFFFF"/>
          </w:tcPr>
          <w:p w14:paraId="2339930A"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Positive and negative job aspects/Work control and autonomy</w:t>
            </w:r>
          </w:p>
        </w:tc>
      </w:tr>
      <w:tr w:rsidR="0015528B" w:rsidRPr="0074586F" w14:paraId="730547B3" w14:textId="77777777" w:rsidTr="00831DA1">
        <w:trPr>
          <w:cantSplit/>
          <w:trHeight w:val="227"/>
        </w:trPr>
        <w:tc>
          <w:tcPr>
            <w:tcW w:w="5807" w:type="dxa"/>
            <w:shd w:val="clear" w:color="auto" w:fill="FFFFFF"/>
          </w:tcPr>
          <w:p w14:paraId="62392DD3"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12.</w:t>
            </w:r>
            <w:r w:rsidRPr="0074586F">
              <w:rPr>
                <w:rFonts w:eastAsia="Times New Roman" w:cstheme="minorHAnsi"/>
                <w:sz w:val="16"/>
                <w:szCs w:val="16"/>
              </w:rPr>
              <w:t xml:space="preserve"> I feel confident the service/ organisation in which I work can adapt to meet future service demands</w:t>
            </w:r>
          </w:p>
        </w:tc>
        <w:tc>
          <w:tcPr>
            <w:tcW w:w="851" w:type="dxa"/>
            <w:shd w:val="clear" w:color="auto" w:fill="FFFFFF"/>
            <w:vAlign w:val="center"/>
          </w:tcPr>
          <w:p w14:paraId="469FDE14"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.66</w:t>
            </w:r>
          </w:p>
        </w:tc>
        <w:tc>
          <w:tcPr>
            <w:tcW w:w="850" w:type="dxa"/>
            <w:shd w:val="clear" w:color="auto" w:fill="FFFFFF"/>
            <w:vAlign w:val="center"/>
          </w:tcPr>
          <w:p w14:paraId="7E178AB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.21</w:t>
            </w:r>
          </w:p>
        </w:tc>
        <w:tc>
          <w:tcPr>
            <w:tcW w:w="851" w:type="dxa"/>
            <w:shd w:val="clear" w:color="auto" w:fill="FFFFFF"/>
            <w:vAlign w:val="center"/>
          </w:tcPr>
          <w:p w14:paraId="68318C6F"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.16</w:t>
            </w:r>
          </w:p>
        </w:tc>
        <w:tc>
          <w:tcPr>
            <w:tcW w:w="850" w:type="dxa"/>
            <w:shd w:val="clear" w:color="auto" w:fill="FFFFFF"/>
            <w:vAlign w:val="center"/>
          </w:tcPr>
          <w:p w14:paraId="4FE5653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.18</w:t>
            </w:r>
          </w:p>
        </w:tc>
        <w:tc>
          <w:tcPr>
            <w:tcW w:w="851" w:type="dxa"/>
            <w:shd w:val="clear" w:color="auto" w:fill="FFFFFF"/>
            <w:vAlign w:val="center"/>
          </w:tcPr>
          <w:p w14:paraId="2E683E6E"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.16</w:t>
            </w:r>
          </w:p>
        </w:tc>
        <w:tc>
          <w:tcPr>
            <w:tcW w:w="4677" w:type="dxa"/>
            <w:shd w:val="clear" w:color="auto" w:fill="FFFFFF"/>
          </w:tcPr>
          <w:p w14:paraId="702FC0D3"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Organisational context/Organisational hopefulness-hopelessness</w:t>
            </w:r>
          </w:p>
        </w:tc>
      </w:tr>
      <w:tr w:rsidR="0015528B" w:rsidRPr="0074586F" w14:paraId="74A9EEA0" w14:textId="77777777" w:rsidTr="00831DA1">
        <w:trPr>
          <w:cantSplit/>
          <w:trHeight w:val="227"/>
        </w:trPr>
        <w:tc>
          <w:tcPr>
            <w:tcW w:w="5807" w:type="dxa"/>
            <w:shd w:val="clear" w:color="auto" w:fill="FFFFFF"/>
          </w:tcPr>
          <w:p w14:paraId="2C9C9158"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18.</w:t>
            </w:r>
            <w:r w:rsidRPr="0074586F">
              <w:rPr>
                <w:rFonts w:eastAsia="Times New Roman" w:cstheme="minorHAnsi"/>
                <w:sz w:val="16"/>
                <w:szCs w:val="16"/>
              </w:rPr>
              <w:t xml:space="preserve"> I do not feel included in service/ organisational decisions that affect me</w:t>
            </w:r>
          </w:p>
        </w:tc>
        <w:tc>
          <w:tcPr>
            <w:tcW w:w="851" w:type="dxa"/>
            <w:shd w:val="clear" w:color="auto" w:fill="FFFFFF"/>
            <w:vAlign w:val="center"/>
          </w:tcPr>
          <w:p w14:paraId="0D80A56E"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.59</w:t>
            </w:r>
          </w:p>
        </w:tc>
        <w:tc>
          <w:tcPr>
            <w:tcW w:w="850" w:type="dxa"/>
            <w:shd w:val="clear" w:color="auto" w:fill="FFFFFF"/>
            <w:vAlign w:val="center"/>
          </w:tcPr>
          <w:p w14:paraId="1B5712E1"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.12</w:t>
            </w:r>
          </w:p>
        </w:tc>
        <w:tc>
          <w:tcPr>
            <w:tcW w:w="851" w:type="dxa"/>
            <w:shd w:val="clear" w:color="auto" w:fill="FFFFFF"/>
            <w:vAlign w:val="center"/>
          </w:tcPr>
          <w:p w14:paraId="767BF1C4"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.21</w:t>
            </w:r>
          </w:p>
        </w:tc>
        <w:tc>
          <w:tcPr>
            <w:tcW w:w="850" w:type="dxa"/>
            <w:shd w:val="clear" w:color="auto" w:fill="FFFFFF"/>
            <w:vAlign w:val="center"/>
          </w:tcPr>
          <w:p w14:paraId="0BF6D69B"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-.08</w:t>
            </w:r>
          </w:p>
        </w:tc>
        <w:tc>
          <w:tcPr>
            <w:tcW w:w="851" w:type="dxa"/>
            <w:shd w:val="clear" w:color="auto" w:fill="FFFFFF"/>
            <w:vAlign w:val="center"/>
          </w:tcPr>
          <w:p w14:paraId="1793A917"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.13</w:t>
            </w:r>
          </w:p>
        </w:tc>
        <w:tc>
          <w:tcPr>
            <w:tcW w:w="4677" w:type="dxa"/>
            <w:shd w:val="clear" w:color="auto" w:fill="FFFFFF"/>
          </w:tcPr>
          <w:p w14:paraId="16CA945A"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Organisational context/Organisational engagement</w:t>
            </w:r>
          </w:p>
        </w:tc>
      </w:tr>
      <w:tr w:rsidR="0015528B" w:rsidRPr="0074586F" w14:paraId="5F640735" w14:textId="77777777" w:rsidTr="00831DA1">
        <w:trPr>
          <w:cantSplit/>
          <w:trHeight w:val="227"/>
        </w:trPr>
        <w:tc>
          <w:tcPr>
            <w:tcW w:w="5807" w:type="dxa"/>
            <w:tcBorders>
              <w:bottom w:val="nil"/>
            </w:tcBorders>
            <w:shd w:val="clear" w:color="auto" w:fill="FFFFFF"/>
          </w:tcPr>
          <w:p w14:paraId="3634573A"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23.</w:t>
            </w:r>
            <w:r w:rsidRPr="0074586F">
              <w:rPr>
                <w:rFonts w:eastAsia="Times New Roman" w:cstheme="minorHAnsi"/>
                <w:sz w:val="16"/>
                <w:szCs w:val="16"/>
              </w:rPr>
              <w:t xml:space="preserve"> I am expected to reach unrealistic or unattainable targets</w:t>
            </w:r>
          </w:p>
        </w:tc>
        <w:tc>
          <w:tcPr>
            <w:tcW w:w="851" w:type="dxa"/>
            <w:tcBorders>
              <w:bottom w:val="nil"/>
            </w:tcBorders>
            <w:shd w:val="clear" w:color="auto" w:fill="FFFFFF"/>
            <w:vAlign w:val="center"/>
          </w:tcPr>
          <w:p w14:paraId="11032384"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.64</w:t>
            </w:r>
          </w:p>
        </w:tc>
        <w:tc>
          <w:tcPr>
            <w:tcW w:w="850" w:type="dxa"/>
            <w:tcBorders>
              <w:bottom w:val="nil"/>
            </w:tcBorders>
            <w:shd w:val="clear" w:color="auto" w:fill="FFFFFF"/>
            <w:vAlign w:val="center"/>
          </w:tcPr>
          <w:p w14:paraId="40763175"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.21</w:t>
            </w:r>
          </w:p>
        </w:tc>
        <w:tc>
          <w:tcPr>
            <w:tcW w:w="851" w:type="dxa"/>
            <w:tcBorders>
              <w:bottom w:val="nil"/>
            </w:tcBorders>
            <w:shd w:val="clear" w:color="auto" w:fill="FFFFFF"/>
            <w:vAlign w:val="center"/>
          </w:tcPr>
          <w:p w14:paraId="11541951"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.06</w:t>
            </w:r>
          </w:p>
        </w:tc>
        <w:tc>
          <w:tcPr>
            <w:tcW w:w="850" w:type="dxa"/>
            <w:tcBorders>
              <w:bottom w:val="nil"/>
            </w:tcBorders>
            <w:shd w:val="clear" w:color="auto" w:fill="FFFFFF"/>
            <w:vAlign w:val="center"/>
          </w:tcPr>
          <w:p w14:paraId="625BFAA9"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.26</w:t>
            </w:r>
          </w:p>
        </w:tc>
        <w:tc>
          <w:tcPr>
            <w:tcW w:w="851" w:type="dxa"/>
            <w:tcBorders>
              <w:bottom w:val="nil"/>
            </w:tcBorders>
            <w:shd w:val="clear" w:color="auto" w:fill="FFFFFF"/>
            <w:vAlign w:val="center"/>
          </w:tcPr>
          <w:p w14:paraId="7DAC151C"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.14</w:t>
            </w:r>
          </w:p>
        </w:tc>
        <w:tc>
          <w:tcPr>
            <w:tcW w:w="4677" w:type="dxa"/>
            <w:tcBorders>
              <w:bottom w:val="nil"/>
            </w:tcBorders>
            <w:shd w:val="clear" w:color="auto" w:fill="FFFFFF"/>
          </w:tcPr>
          <w:p w14:paraId="4DB2CCB4"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Organisational context/Organisational targets</w:t>
            </w:r>
          </w:p>
        </w:tc>
      </w:tr>
      <w:tr w:rsidR="0015528B" w:rsidRPr="0074586F" w14:paraId="417DC49E" w14:textId="77777777" w:rsidTr="00831DA1">
        <w:trPr>
          <w:cantSplit/>
          <w:trHeight w:val="227"/>
        </w:trPr>
        <w:tc>
          <w:tcPr>
            <w:tcW w:w="5807" w:type="dxa"/>
            <w:tcBorders>
              <w:top w:val="nil"/>
              <w:bottom w:val="single" w:sz="4" w:space="0" w:color="auto"/>
            </w:tcBorders>
            <w:shd w:val="clear" w:color="auto" w:fill="FFFFFF"/>
          </w:tcPr>
          <w:p w14:paraId="1B7552B9"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25.</w:t>
            </w:r>
            <w:r w:rsidRPr="0074586F">
              <w:rPr>
                <w:rFonts w:eastAsia="Times New Roman" w:cstheme="minorHAnsi"/>
                <w:sz w:val="16"/>
                <w:szCs w:val="16"/>
              </w:rPr>
              <w:t xml:space="preserve"> I feel service/ organisational targets are meaningful</w:t>
            </w:r>
          </w:p>
        </w:tc>
        <w:tc>
          <w:tcPr>
            <w:tcW w:w="851" w:type="dxa"/>
            <w:tcBorders>
              <w:top w:val="nil"/>
              <w:bottom w:val="single" w:sz="4" w:space="0" w:color="auto"/>
            </w:tcBorders>
            <w:shd w:val="clear" w:color="auto" w:fill="FFFFFF"/>
            <w:vAlign w:val="center"/>
          </w:tcPr>
          <w:p w14:paraId="7EF34E35"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.71</w:t>
            </w:r>
          </w:p>
        </w:tc>
        <w:tc>
          <w:tcPr>
            <w:tcW w:w="850" w:type="dxa"/>
            <w:tcBorders>
              <w:top w:val="nil"/>
              <w:bottom w:val="single" w:sz="4" w:space="0" w:color="auto"/>
            </w:tcBorders>
            <w:shd w:val="clear" w:color="auto" w:fill="FFFFFF"/>
            <w:vAlign w:val="center"/>
          </w:tcPr>
          <w:p w14:paraId="570C40A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.09</w:t>
            </w:r>
          </w:p>
        </w:tc>
        <w:tc>
          <w:tcPr>
            <w:tcW w:w="851" w:type="dxa"/>
            <w:tcBorders>
              <w:top w:val="nil"/>
              <w:bottom w:val="single" w:sz="4" w:space="0" w:color="auto"/>
            </w:tcBorders>
            <w:shd w:val="clear" w:color="auto" w:fill="FFFFFF"/>
            <w:vAlign w:val="center"/>
          </w:tcPr>
          <w:p w14:paraId="0C1890F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.14</w:t>
            </w:r>
          </w:p>
        </w:tc>
        <w:tc>
          <w:tcPr>
            <w:tcW w:w="850" w:type="dxa"/>
            <w:tcBorders>
              <w:top w:val="nil"/>
              <w:bottom w:val="single" w:sz="4" w:space="0" w:color="auto"/>
            </w:tcBorders>
            <w:shd w:val="clear" w:color="auto" w:fill="FFFFFF"/>
            <w:vAlign w:val="center"/>
          </w:tcPr>
          <w:p w14:paraId="257D64B0"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.14</w:t>
            </w:r>
          </w:p>
        </w:tc>
        <w:tc>
          <w:tcPr>
            <w:tcW w:w="851" w:type="dxa"/>
            <w:tcBorders>
              <w:top w:val="nil"/>
              <w:bottom w:val="single" w:sz="4" w:space="0" w:color="auto"/>
            </w:tcBorders>
            <w:shd w:val="clear" w:color="auto" w:fill="FFFFFF"/>
            <w:vAlign w:val="center"/>
          </w:tcPr>
          <w:p w14:paraId="568C866F"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.15</w:t>
            </w:r>
          </w:p>
        </w:tc>
        <w:tc>
          <w:tcPr>
            <w:tcW w:w="4677" w:type="dxa"/>
            <w:tcBorders>
              <w:top w:val="nil"/>
              <w:bottom w:val="single" w:sz="4" w:space="0" w:color="auto"/>
            </w:tcBorders>
            <w:shd w:val="clear" w:color="auto" w:fill="FFFFFF"/>
          </w:tcPr>
          <w:p w14:paraId="680E29A3" w14:textId="77777777" w:rsidR="003653D2" w:rsidRDefault="003653D2" w:rsidP="00A1360C">
            <w:pPr>
              <w:spacing w:after="0" w:line="240" w:lineRule="auto"/>
              <w:ind w:right="60"/>
              <w:jc w:val="center"/>
              <w:rPr>
                <w:rFonts w:eastAsia="Times New Roman" w:cstheme="minorHAnsi"/>
                <w:bCs/>
                <w:sz w:val="16"/>
                <w:szCs w:val="16"/>
              </w:rPr>
            </w:pPr>
            <w:r w:rsidRPr="0074586F">
              <w:rPr>
                <w:rFonts w:eastAsia="Times New Roman" w:cstheme="minorHAnsi"/>
                <w:bCs/>
                <w:sz w:val="16"/>
                <w:szCs w:val="16"/>
              </w:rPr>
              <w:t>Organisational context/Organisational targets</w:t>
            </w:r>
          </w:p>
          <w:p w14:paraId="02603FD7" w14:textId="77777777" w:rsidR="00831DA1" w:rsidRPr="0074586F" w:rsidRDefault="00831DA1" w:rsidP="00A1360C">
            <w:pPr>
              <w:spacing w:after="0" w:line="240" w:lineRule="auto"/>
              <w:ind w:right="60"/>
              <w:jc w:val="center"/>
              <w:rPr>
                <w:rFonts w:cstheme="minorHAnsi"/>
                <w:color w:val="000000"/>
                <w:sz w:val="16"/>
                <w:szCs w:val="16"/>
              </w:rPr>
            </w:pPr>
          </w:p>
        </w:tc>
      </w:tr>
      <w:tr w:rsidR="003653D2" w:rsidRPr="0074586F" w14:paraId="62B5D468" w14:textId="77777777" w:rsidTr="00831DA1">
        <w:trPr>
          <w:cantSplit/>
          <w:trHeight w:val="227"/>
        </w:trPr>
        <w:tc>
          <w:tcPr>
            <w:tcW w:w="14737" w:type="dxa"/>
            <w:gridSpan w:val="7"/>
            <w:tcBorders>
              <w:top w:val="single" w:sz="4" w:space="0" w:color="auto"/>
              <w:bottom w:val="single" w:sz="4" w:space="0" w:color="auto"/>
            </w:tcBorders>
            <w:shd w:val="clear" w:color="auto" w:fill="FFFFFF"/>
          </w:tcPr>
          <w:p w14:paraId="10ECAD02" w14:textId="77777777" w:rsidR="003653D2" w:rsidRPr="0074586F" w:rsidRDefault="003653D2" w:rsidP="00A1360C">
            <w:pPr>
              <w:spacing w:after="0" w:line="240" w:lineRule="auto"/>
              <w:ind w:right="60"/>
              <w:jc w:val="center"/>
              <w:rPr>
                <w:rFonts w:cstheme="minorHAnsi"/>
                <w:b/>
                <w:bCs/>
                <w:sz w:val="16"/>
                <w:szCs w:val="16"/>
              </w:rPr>
            </w:pPr>
            <w:r w:rsidRPr="0074586F">
              <w:rPr>
                <w:rFonts w:cstheme="minorHAnsi"/>
                <w:b/>
                <w:bCs/>
                <w:sz w:val="16"/>
                <w:szCs w:val="16"/>
              </w:rPr>
              <w:t>Factor 2: Support and flexibility</w:t>
            </w:r>
          </w:p>
        </w:tc>
      </w:tr>
      <w:tr w:rsidR="0015528B" w:rsidRPr="0074586F" w14:paraId="71F2CDB6" w14:textId="77777777" w:rsidTr="00831DA1">
        <w:trPr>
          <w:cantSplit/>
          <w:trHeight w:val="227"/>
        </w:trPr>
        <w:tc>
          <w:tcPr>
            <w:tcW w:w="5807" w:type="dxa"/>
            <w:tcBorders>
              <w:top w:val="single" w:sz="4" w:space="0" w:color="auto"/>
            </w:tcBorders>
            <w:shd w:val="clear" w:color="auto" w:fill="FFFFFF"/>
          </w:tcPr>
          <w:p w14:paraId="74A279D6"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w:t>
            </w:r>
            <w:r w:rsidRPr="0074586F">
              <w:rPr>
                <w:rFonts w:eastAsia="Times New Roman" w:cstheme="minorHAnsi"/>
                <w:sz w:val="16"/>
                <w:szCs w:val="16"/>
              </w:rPr>
              <w:t xml:space="preserve"> I do not feel there is always someone there for me when I need personal support</w:t>
            </w:r>
          </w:p>
        </w:tc>
        <w:tc>
          <w:tcPr>
            <w:tcW w:w="851" w:type="dxa"/>
            <w:tcBorders>
              <w:top w:val="single" w:sz="4" w:space="0" w:color="auto"/>
            </w:tcBorders>
            <w:shd w:val="clear" w:color="auto" w:fill="FFFFFF"/>
            <w:vAlign w:val="center"/>
          </w:tcPr>
          <w:p w14:paraId="182901B4"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.15</w:t>
            </w:r>
          </w:p>
        </w:tc>
        <w:tc>
          <w:tcPr>
            <w:tcW w:w="850" w:type="dxa"/>
            <w:tcBorders>
              <w:top w:val="single" w:sz="4" w:space="0" w:color="auto"/>
            </w:tcBorders>
            <w:shd w:val="clear" w:color="auto" w:fill="FFFFFF"/>
            <w:vAlign w:val="center"/>
          </w:tcPr>
          <w:p w14:paraId="78330CB6"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.43</w:t>
            </w:r>
          </w:p>
        </w:tc>
        <w:tc>
          <w:tcPr>
            <w:tcW w:w="851" w:type="dxa"/>
            <w:tcBorders>
              <w:top w:val="single" w:sz="4" w:space="0" w:color="auto"/>
            </w:tcBorders>
            <w:shd w:val="clear" w:color="auto" w:fill="FFFFFF"/>
            <w:vAlign w:val="center"/>
          </w:tcPr>
          <w:p w14:paraId="597B9668"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.24</w:t>
            </w:r>
          </w:p>
        </w:tc>
        <w:tc>
          <w:tcPr>
            <w:tcW w:w="850" w:type="dxa"/>
            <w:tcBorders>
              <w:top w:val="single" w:sz="4" w:space="0" w:color="auto"/>
            </w:tcBorders>
            <w:shd w:val="clear" w:color="auto" w:fill="FFFFFF"/>
            <w:vAlign w:val="center"/>
          </w:tcPr>
          <w:p w14:paraId="7545EA05"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.17</w:t>
            </w:r>
          </w:p>
        </w:tc>
        <w:tc>
          <w:tcPr>
            <w:tcW w:w="851" w:type="dxa"/>
            <w:tcBorders>
              <w:top w:val="single" w:sz="4" w:space="0" w:color="auto"/>
            </w:tcBorders>
            <w:shd w:val="clear" w:color="auto" w:fill="FFFFFF"/>
            <w:vAlign w:val="center"/>
          </w:tcPr>
          <w:p w14:paraId="162FC4A5"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.15</w:t>
            </w:r>
          </w:p>
        </w:tc>
        <w:tc>
          <w:tcPr>
            <w:tcW w:w="4677" w:type="dxa"/>
            <w:tcBorders>
              <w:top w:val="single" w:sz="4" w:space="0" w:color="auto"/>
            </w:tcBorders>
            <w:shd w:val="clear" w:color="auto" w:fill="FFFFFF"/>
          </w:tcPr>
          <w:p w14:paraId="4197A71D" w14:textId="77777777" w:rsidR="003653D2" w:rsidRPr="0074586F" w:rsidRDefault="003653D2" w:rsidP="00A1360C">
            <w:pPr>
              <w:spacing w:after="0" w:line="240" w:lineRule="auto"/>
              <w:jc w:val="center"/>
              <w:rPr>
                <w:rFonts w:cstheme="minorHAnsi"/>
                <w:color w:val="000000"/>
                <w:sz w:val="16"/>
                <w:szCs w:val="16"/>
              </w:rPr>
            </w:pPr>
            <w:r w:rsidRPr="0074586F">
              <w:rPr>
                <w:rFonts w:eastAsia="Times New Roman" w:cstheme="minorHAnsi"/>
                <w:bCs/>
                <w:sz w:val="16"/>
                <w:szCs w:val="16"/>
              </w:rPr>
              <w:t>Personal support-lack of support/Family support</w:t>
            </w:r>
          </w:p>
        </w:tc>
      </w:tr>
      <w:tr w:rsidR="0015528B" w:rsidRPr="0074586F" w14:paraId="30310214" w14:textId="77777777" w:rsidTr="00831DA1">
        <w:trPr>
          <w:cantSplit/>
          <w:trHeight w:val="227"/>
        </w:trPr>
        <w:tc>
          <w:tcPr>
            <w:tcW w:w="5807" w:type="dxa"/>
            <w:shd w:val="clear" w:color="auto" w:fill="FFFFFF"/>
          </w:tcPr>
          <w:p w14:paraId="0ACAB894"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4.</w:t>
            </w:r>
            <w:r w:rsidRPr="0074586F">
              <w:rPr>
                <w:rFonts w:eastAsia="Times New Roman" w:cstheme="minorHAnsi"/>
                <w:sz w:val="16"/>
                <w:szCs w:val="16"/>
              </w:rPr>
              <w:t xml:space="preserve"> Flexible working arrangements are supported in my service/organisation</w:t>
            </w:r>
          </w:p>
        </w:tc>
        <w:tc>
          <w:tcPr>
            <w:tcW w:w="851" w:type="dxa"/>
            <w:shd w:val="clear" w:color="auto" w:fill="FFFFFF"/>
            <w:vAlign w:val="center"/>
          </w:tcPr>
          <w:p w14:paraId="1E17CA2D"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.34</w:t>
            </w:r>
          </w:p>
        </w:tc>
        <w:tc>
          <w:tcPr>
            <w:tcW w:w="850" w:type="dxa"/>
            <w:shd w:val="clear" w:color="auto" w:fill="FFFFFF"/>
            <w:vAlign w:val="center"/>
          </w:tcPr>
          <w:p w14:paraId="11B3F3F9"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.37</w:t>
            </w:r>
          </w:p>
        </w:tc>
        <w:tc>
          <w:tcPr>
            <w:tcW w:w="851" w:type="dxa"/>
            <w:shd w:val="clear" w:color="auto" w:fill="FFFFFF"/>
            <w:vAlign w:val="center"/>
          </w:tcPr>
          <w:p w14:paraId="3FA33FD8"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.26</w:t>
            </w:r>
          </w:p>
        </w:tc>
        <w:tc>
          <w:tcPr>
            <w:tcW w:w="850" w:type="dxa"/>
            <w:shd w:val="clear" w:color="auto" w:fill="FFFFFF"/>
            <w:vAlign w:val="center"/>
          </w:tcPr>
          <w:p w14:paraId="74D517A2"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-.11</w:t>
            </w:r>
          </w:p>
        </w:tc>
        <w:tc>
          <w:tcPr>
            <w:tcW w:w="851" w:type="dxa"/>
            <w:shd w:val="clear" w:color="auto" w:fill="FFFFFF"/>
            <w:vAlign w:val="center"/>
          </w:tcPr>
          <w:p w14:paraId="2DF89DB6"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-.08</w:t>
            </w:r>
          </w:p>
        </w:tc>
        <w:tc>
          <w:tcPr>
            <w:tcW w:w="4677" w:type="dxa"/>
            <w:shd w:val="clear" w:color="auto" w:fill="FFFFFF"/>
          </w:tcPr>
          <w:p w14:paraId="35C70C56"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Positive and negative job aspects /Work-life balance</w:t>
            </w:r>
          </w:p>
        </w:tc>
      </w:tr>
      <w:tr w:rsidR="0015528B" w:rsidRPr="0074586F" w14:paraId="244118BE" w14:textId="77777777" w:rsidTr="00831DA1">
        <w:trPr>
          <w:cantSplit/>
          <w:trHeight w:val="227"/>
        </w:trPr>
        <w:tc>
          <w:tcPr>
            <w:tcW w:w="5807" w:type="dxa"/>
            <w:shd w:val="clear" w:color="auto" w:fill="FFFFFF"/>
          </w:tcPr>
          <w:p w14:paraId="63299401"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5.</w:t>
            </w:r>
            <w:r w:rsidRPr="0074586F">
              <w:rPr>
                <w:rFonts w:eastAsia="Times New Roman" w:cstheme="minorHAnsi"/>
                <w:sz w:val="16"/>
                <w:szCs w:val="16"/>
              </w:rPr>
              <w:t xml:space="preserve"> I feel supported by my line-manager to take positive risks without fear of reproach</w:t>
            </w:r>
          </w:p>
        </w:tc>
        <w:tc>
          <w:tcPr>
            <w:tcW w:w="851" w:type="dxa"/>
            <w:shd w:val="clear" w:color="auto" w:fill="FFFFFF"/>
            <w:vAlign w:val="center"/>
          </w:tcPr>
          <w:p w14:paraId="4D1FC2EE"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.38</w:t>
            </w:r>
          </w:p>
        </w:tc>
        <w:tc>
          <w:tcPr>
            <w:tcW w:w="850" w:type="dxa"/>
            <w:shd w:val="clear" w:color="auto" w:fill="FFFFFF"/>
            <w:vAlign w:val="center"/>
          </w:tcPr>
          <w:p w14:paraId="5685F2C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.60</w:t>
            </w:r>
          </w:p>
        </w:tc>
        <w:tc>
          <w:tcPr>
            <w:tcW w:w="851" w:type="dxa"/>
            <w:shd w:val="clear" w:color="auto" w:fill="FFFFFF"/>
            <w:vAlign w:val="center"/>
          </w:tcPr>
          <w:p w14:paraId="6BBEF58F"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.30</w:t>
            </w:r>
          </w:p>
        </w:tc>
        <w:tc>
          <w:tcPr>
            <w:tcW w:w="850" w:type="dxa"/>
            <w:shd w:val="clear" w:color="auto" w:fill="FFFFFF"/>
            <w:vAlign w:val="center"/>
          </w:tcPr>
          <w:p w14:paraId="17DF5D2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-.08</w:t>
            </w:r>
          </w:p>
        </w:tc>
        <w:tc>
          <w:tcPr>
            <w:tcW w:w="851" w:type="dxa"/>
            <w:shd w:val="clear" w:color="auto" w:fill="FFFFFF"/>
            <w:vAlign w:val="center"/>
          </w:tcPr>
          <w:p w14:paraId="6F061BF3"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-.02</w:t>
            </w:r>
          </w:p>
        </w:tc>
        <w:tc>
          <w:tcPr>
            <w:tcW w:w="4677" w:type="dxa"/>
            <w:shd w:val="clear" w:color="auto" w:fill="FFFFFF"/>
          </w:tcPr>
          <w:p w14:paraId="586B379B"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Personal support-lack of support/Line management</w:t>
            </w:r>
          </w:p>
        </w:tc>
      </w:tr>
      <w:tr w:rsidR="0015528B" w:rsidRPr="0074586F" w14:paraId="74CC8459" w14:textId="77777777" w:rsidTr="00831DA1">
        <w:trPr>
          <w:cantSplit/>
          <w:trHeight w:val="227"/>
        </w:trPr>
        <w:tc>
          <w:tcPr>
            <w:tcW w:w="5807" w:type="dxa"/>
            <w:shd w:val="clear" w:color="auto" w:fill="FFFFFF"/>
          </w:tcPr>
          <w:p w14:paraId="705EE5EC"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9.</w:t>
            </w:r>
            <w:r w:rsidRPr="0074586F">
              <w:rPr>
                <w:rFonts w:eastAsia="Times New Roman" w:cstheme="minorHAnsi"/>
                <w:sz w:val="16"/>
                <w:szCs w:val="16"/>
              </w:rPr>
              <w:t xml:space="preserve"> The clinical supervision I receive is containing and safe</w:t>
            </w:r>
          </w:p>
        </w:tc>
        <w:tc>
          <w:tcPr>
            <w:tcW w:w="851" w:type="dxa"/>
            <w:shd w:val="clear" w:color="auto" w:fill="FFFFFF"/>
            <w:vAlign w:val="center"/>
          </w:tcPr>
          <w:p w14:paraId="03A771B8"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.00</w:t>
            </w:r>
          </w:p>
        </w:tc>
        <w:tc>
          <w:tcPr>
            <w:tcW w:w="850" w:type="dxa"/>
            <w:shd w:val="clear" w:color="auto" w:fill="FFFFFF"/>
            <w:vAlign w:val="center"/>
          </w:tcPr>
          <w:p w14:paraId="49C2515F"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.78</w:t>
            </w:r>
          </w:p>
        </w:tc>
        <w:tc>
          <w:tcPr>
            <w:tcW w:w="851" w:type="dxa"/>
            <w:shd w:val="clear" w:color="auto" w:fill="FFFFFF"/>
            <w:vAlign w:val="center"/>
          </w:tcPr>
          <w:p w14:paraId="3EB885D3"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.11</w:t>
            </w:r>
          </w:p>
        </w:tc>
        <w:tc>
          <w:tcPr>
            <w:tcW w:w="850" w:type="dxa"/>
            <w:shd w:val="clear" w:color="auto" w:fill="FFFFFF"/>
            <w:vAlign w:val="center"/>
          </w:tcPr>
          <w:p w14:paraId="47F2C119"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.27</w:t>
            </w:r>
          </w:p>
        </w:tc>
        <w:tc>
          <w:tcPr>
            <w:tcW w:w="851" w:type="dxa"/>
            <w:shd w:val="clear" w:color="auto" w:fill="FFFFFF"/>
            <w:vAlign w:val="center"/>
          </w:tcPr>
          <w:p w14:paraId="46E6C6EE"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.19</w:t>
            </w:r>
          </w:p>
        </w:tc>
        <w:tc>
          <w:tcPr>
            <w:tcW w:w="4677" w:type="dxa"/>
            <w:shd w:val="clear" w:color="auto" w:fill="FFFFFF"/>
          </w:tcPr>
          <w:p w14:paraId="1E6A730D" w14:textId="77777777" w:rsidR="003653D2" w:rsidRPr="0074586F" w:rsidRDefault="003653D2" w:rsidP="00A1360C">
            <w:pPr>
              <w:spacing w:after="0" w:line="240" w:lineRule="auto"/>
              <w:jc w:val="center"/>
              <w:rPr>
                <w:rFonts w:cstheme="minorHAnsi"/>
                <w:color w:val="000000"/>
                <w:sz w:val="16"/>
                <w:szCs w:val="16"/>
              </w:rPr>
            </w:pPr>
            <w:r w:rsidRPr="0074586F">
              <w:rPr>
                <w:rFonts w:eastAsia="Times New Roman" w:cstheme="minorHAnsi"/>
                <w:bCs/>
                <w:sz w:val="16"/>
                <w:szCs w:val="16"/>
              </w:rPr>
              <w:t>Personal support-lack of support/Clinical supervision</w:t>
            </w:r>
          </w:p>
        </w:tc>
      </w:tr>
      <w:tr w:rsidR="0015528B" w:rsidRPr="0074586F" w14:paraId="65AF992E" w14:textId="77777777" w:rsidTr="00831DA1">
        <w:trPr>
          <w:cantSplit/>
          <w:trHeight w:val="227"/>
        </w:trPr>
        <w:tc>
          <w:tcPr>
            <w:tcW w:w="5807" w:type="dxa"/>
            <w:shd w:val="clear" w:color="auto" w:fill="FFFFFF"/>
          </w:tcPr>
          <w:p w14:paraId="64FE473C"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13.</w:t>
            </w:r>
            <w:r w:rsidRPr="0074586F">
              <w:rPr>
                <w:rFonts w:eastAsia="Times New Roman" w:cstheme="minorHAnsi"/>
                <w:sz w:val="16"/>
                <w:szCs w:val="16"/>
              </w:rPr>
              <w:t xml:space="preserve"> Clinical supervision meets my support needs</w:t>
            </w:r>
          </w:p>
        </w:tc>
        <w:tc>
          <w:tcPr>
            <w:tcW w:w="851" w:type="dxa"/>
            <w:shd w:val="clear" w:color="auto" w:fill="FFFFFF"/>
            <w:vAlign w:val="center"/>
          </w:tcPr>
          <w:p w14:paraId="09FFC136"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.08</w:t>
            </w:r>
          </w:p>
        </w:tc>
        <w:tc>
          <w:tcPr>
            <w:tcW w:w="850" w:type="dxa"/>
            <w:shd w:val="clear" w:color="auto" w:fill="FFFFFF"/>
            <w:vAlign w:val="center"/>
          </w:tcPr>
          <w:p w14:paraId="33A3E41F"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.75</w:t>
            </w:r>
          </w:p>
        </w:tc>
        <w:tc>
          <w:tcPr>
            <w:tcW w:w="851" w:type="dxa"/>
            <w:shd w:val="clear" w:color="auto" w:fill="FFFFFF"/>
            <w:vAlign w:val="center"/>
          </w:tcPr>
          <w:p w14:paraId="3173593F"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.10</w:t>
            </w:r>
          </w:p>
        </w:tc>
        <w:tc>
          <w:tcPr>
            <w:tcW w:w="850" w:type="dxa"/>
            <w:shd w:val="clear" w:color="auto" w:fill="FFFFFF"/>
            <w:vAlign w:val="center"/>
          </w:tcPr>
          <w:p w14:paraId="31339383"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.35</w:t>
            </w:r>
          </w:p>
        </w:tc>
        <w:tc>
          <w:tcPr>
            <w:tcW w:w="851" w:type="dxa"/>
            <w:shd w:val="clear" w:color="auto" w:fill="FFFFFF"/>
            <w:vAlign w:val="center"/>
          </w:tcPr>
          <w:p w14:paraId="22AEE953"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.22</w:t>
            </w:r>
          </w:p>
        </w:tc>
        <w:tc>
          <w:tcPr>
            <w:tcW w:w="4677" w:type="dxa"/>
            <w:shd w:val="clear" w:color="auto" w:fill="FFFFFF"/>
          </w:tcPr>
          <w:p w14:paraId="2B39DBBD" w14:textId="77777777" w:rsidR="003653D2" w:rsidRPr="0074586F" w:rsidRDefault="003653D2" w:rsidP="00A1360C">
            <w:pPr>
              <w:spacing w:after="0" w:line="240" w:lineRule="auto"/>
              <w:jc w:val="center"/>
              <w:rPr>
                <w:rFonts w:cstheme="minorHAnsi"/>
                <w:color w:val="000000"/>
                <w:sz w:val="16"/>
                <w:szCs w:val="16"/>
              </w:rPr>
            </w:pPr>
            <w:r w:rsidRPr="0074586F">
              <w:rPr>
                <w:rFonts w:eastAsia="Times New Roman" w:cstheme="minorHAnsi"/>
                <w:bCs/>
                <w:sz w:val="16"/>
                <w:szCs w:val="16"/>
              </w:rPr>
              <w:t>Personal support-lack of support/Clinical supervision</w:t>
            </w:r>
          </w:p>
        </w:tc>
      </w:tr>
      <w:tr w:rsidR="0015528B" w:rsidRPr="0074586F" w14:paraId="41137064" w14:textId="77777777" w:rsidTr="00831DA1">
        <w:trPr>
          <w:cantSplit/>
          <w:trHeight w:val="227"/>
        </w:trPr>
        <w:tc>
          <w:tcPr>
            <w:tcW w:w="5807" w:type="dxa"/>
            <w:shd w:val="clear" w:color="auto" w:fill="FFFFFF"/>
          </w:tcPr>
          <w:p w14:paraId="1C946A68"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20.</w:t>
            </w:r>
            <w:r w:rsidRPr="0074586F">
              <w:rPr>
                <w:rFonts w:eastAsia="Times New Roman" w:cstheme="minorHAnsi"/>
                <w:sz w:val="16"/>
                <w:szCs w:val="16"/>
              </w:rPr>
              <w:t xml:space="preserve"> My line-manager is approachable and responsive</w:t>
            </w:r>
          </w:p>
        </w:tc>
        <w:tc>
          <w:tcPr>
            <w:tcW w:w="851" w:type="dxa"/>
            <w:shd w:val="clear" w:color="auto" w:fill="FFFFFF"/>
            <w:vAlign w:val="center"/>
          </w:tcPr>
          <w:p w14:paraId="04C2D274"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.24</w:t>
            </w:r>
          </w:p>
        </w:tc>
        <w:tc>
          <w:tcPr>
            <w:tcW w:w="850" w:type="dxa"/>
            <w:shd w:val="clear" w:color="auto" w:fill="FFFFFF"/>
            <w:vAlign w:val="center"/>
          </w:tcPr>
          <w:p w14:paraId="4110683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.62</w:t>
            </w:r>
          </w:p>
        </w:tc>
        <w:tc>
          <w:tcPr>
            <w:tcW w:w="851" w:type="dxa"/>
            <w:shd w:val="clear" w:color="auto" w:fill="FFFFFF"/>
            <w:vAlign w:val="center"/>
          </w:tcPr>
          <w:p w14:paraId="2D7B933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.31</w:t>
            </w:r>
          </w:p>
        </w:tc>
        <w:tc>
          <w:tcPr>
            <w:tcW w:w="850" w:type="dxa"/>
            <w:shd w:val="clear" w:color="auto" w:fill="FFFFFF"/>
            <w:vAlign w:val="center"/>
          </w:tcPr>
          <w:p w14:paraId="78CAD75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-.04</w:t>
            </w:r>
          </w:p>
        </w:tc>
        <w:tc>
          <w:tcPr>
            <w:tcW w:w="851" w:type="dxa"/>
            <w:shd w:val="clear" w:color="auto" w:fill="FFFFFF"/>
            <w:vAlign w:val="center"/>
          </w:tcPr>
          <w:p w14:paraId="18B49102"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-.01</w:t>
            </w:r>
          </w:p>
        </w:tc>
        <w:tc>
          <w:tcPr>
            <w:tcW w:w="4677" w:type="dxa"/>
            <w:shd w:val="clear" w:color="auto" w:fill="FFFFFF"/>
          </w:tcPr>
          <w:p w14:paraId="622BB033"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Personal support-lack of support/Management</w:t>
            </w:r>
          </w:p>
        </w:tc>
      </w:tr>
      <w:tr w:rsidR="0015528B" w:rsidRPr="0074586F" w14:paraId="514DB684" w14:textId="77777777" w:rsidTr="00831DA1">
        <w:trPr>
          <w:cantSplit/>
          <w:trHeight w:val="227"/>
        </w:trPr>
        <w:tc>
          <w:tcPr>
            <w:tcW w:w="5807" w:type="dxa"/>
            <w:shd w:val="clear" w:color="auto" w:fill="FFFFFF"/>
          </w:tcPr>
          <w:p w14:paraId="21CB7A55"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21.</w:t>
            </w:r>
            <w:r w:rsidRPr="0074586F">
              <w:rPr>
                <w:rFonts w:eastAsia="Times New Roman" w:cstheme="minorHAnsi"/>
                <w:sz w:val="16"/>
                <w:szCs w:val="16"/>
              </w:rPr>
              <w:t xml:space="preserve"> My continuing professional development needs are supported</w:t>
            </w:r>
          </w:p>
        </w:tc>
        <w:tc>
          <w:tcPr>
            <w:tcW w:w="851" w:type="dxa"/>
            <w:shd w:val="clear" w:color="auto" w:fill="FFFFFF"/>
            <w:vAlign w:val="center"/>
          </w:tcPr>
          <w:p w14:paraId="1620C5BB"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.50</w:t>
            </w:r>
          </w:p>
        </w:tc>
        <w:tc>
          <w:tcPr>
            <w:tcW w:w="850" w:type="dxa"/>
            <w:shd w:val="clear" w:color="auto" w:fill="FFFFFF"/>
            <w:vAlign w:val="center"/>
          </w:tcPr>
          <w:p w14:paraId="024E48E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.50</w:t>
            </w:r>
          </w:p>
        </w:tc>
        <w:tc>
          <w:tcPr>
            <w:tcW w:w="851" w:type="dxa"/>
            <w:shd w:val="clear" w:color="auto" w:fill="FFFFFF"/>
            <w:vAlign w:val="center"/>
          </w:tcPr>
          <w:p w14:paraId="104FF268"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.15</w:t>
            </w:r>
          </w:p>
        </w:tc>
        <w:tc>
          <w:tcPr>
            <w:tcW w:w="850" w:type="dxa"/>
            <w:shd w:val="clear" w:color="auto" w:fill="FFFFFF"/>
            <w:vAlign w:val="center"/>
          </w:tcPr>
          <w:p w14:paraId="66133881"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-.03</w:t>
            </w:r>
          </w:p>
        </w:tc>
        <w:tc>
          <w:tcPr>
            <w:tcW w:w="851" w:type="dxa"/>
            <w:shd w:val="clear" w:color="auto" w:fill="FFFFFF"/>
            <w:vAlign w:val="center"/>
          </w:tcPr>
          <w:p w14:paraId="0A6B8A9A"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.07</w:t>
            </w:r>
          </w:p>
        </w:tc>
        <w:tc>
          <w:tcPr>
            <w:tcW w:w="4677" w:type="dxa"/>
            <w:shd w:val="clear" w:color="auto" w:fill="FFFFFF"/>
          </w:tcPr>
          <w:p w14:paraId="5AB0F256" w14:textId="77777777" w:rsidR="003653D2" w:rsidRPr="0074586F" w:rsidRDefault="003653D2" w:rsidP="00A1360C">
            <w:pPr>
              <w:spacing w:after="0" w:line="240" w:lineRule="auto"/>
              <w:ind w:right="60"/>
              <w:jc w:val="center"/>
              <w:rPr>
                <w:rFonts w:eastAsia="Times New Roman" w:cstheme="minorHAnsi"/>
                <w:bCs/>
                <w:sz w:val="16"/>
                <w:szCs w:val="16"/>
              </w:rPr>
            </w:pPr>
            <w:r w:rsidRPr="0074586F">
              <w:rPr>
                <w:rFonts w:eastAsia="Times New Roman" w:cstheme="minorHAnsi"/>
                <w:bCs/>
                <w:sz w:val="16"/>
                <w:szCs w:val="16"/>
              </w:rPr>
              <w:t>Positive and negative job aspects/Opportunities to learn</w:t>
            </w:r>
          </w:p>
        </w:tc>
      </w:tr>
      <w:tr w:rsidR="0015528B" w:rsidRPr="0074586F" w14:paraId="427B3514" w14:textId="77777777" w:rsidTr="00831DA1">
        <w:trPr>
          <w:cantSplit/>
          <w:trHeight w:val="227"/>
        </w:trPr>
        <w:tc>
          <w:tcPr>
            <w:tcW w:w="5807" w:type="dxa"/>
            <w:tcBorders>
              <w:bottom w:val="single" w:sz="4" w:space="0" w:color="auto"/>
            </w:tcBorders>
            <w:shd w:val="clear" w:color="auto" w:fill="FFFFFF"/>
          </w:tcPr>
          <w:p w14:paraId="2D5FC7A9"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22.</w:t>
            </w:r>
            <w:r w:rsidRPr="0074586F">
              <w:rPr>
                <w:rFonts w:eastAsia="Times New Roman" w:cstheme="minorHAnsi"/>
                <w:sz w:val="16"/>
                <w:szCs w:val="16"/>
              </w:rPr>
              <w:t xml:space="preserve"> I am encouraged and supported to develop my skill-set and knowledge</w:t>
            </w:r>
          </w:p>
        </w:tc>
        <w:tc>
          <w:tcPr>
            <w:tcW w:w="851" w:type="dxa"/>
            <w:tcBorders>
              <w:bottom w:val="single" w:sz="4" w:space="0" w:color="auto"/>
            </w:tcBorders>
            <w:shd w:val="clear" w:color="auto" w:fill="FFFFFF"/>
            <w:vAlign w:val="center"/>
          </w:tcPr>
          <w:p w14:paraId="4E7B72D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.53</w:t>
            </w:r>
          </w:p>
        </w:tc>
        <w:tc>
          <w:tcPr>
            <w:tcW w:w="850" w:type="dxa"/>
            <w:tcBorders>
              <w:bottom w:val="single" w:sz="4" w:space="0" w:color="auto"/>
            </w:tcBorders>
            <w:shd w:val="clear" w:color="auto" w:fill="FFFFFF"/>
            <w:vAlign w:val="center"/>
          </w:tcPr>
          <w:p w14:paraId="70F170C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.53</w:t>
            </w:r>
          </w:p>
        </w:tc>
        <w:tc>
          <w:tcPr>
            <w:tcW w:w="851" w:type="dxa"/>
            <w:tcBorders>
              <w:bottom w:val="single" w:sz="4" w:space="0" w:color="auto"/>
            </w:tcBorders>
            <w:shd w:val="clear" w:color="auto" w:fill="FFFFFF"/>
            <w:vAlign w:val="center"/>
          </w:tcPr>
          <w:p w14:paraId="798077D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.22</w:t>
            </w:r>
          </w:p>
        </w:tc>
        <w:tc>
          <w:tcPr>
            <w:tcW w:w="850" w:type="dxa"/>
            <w:tcBorders>
              <w:bottom w:val="single" w:sz="4" w:space="0" w:color="auto"/>
            </w:tcBorders>
            <w:shd w:val="clear" w:color="auto" w:fill="FFFFFF"/>
            <w:vAlign w:val="center"/>
          </w:tcPr>
          <w:p w14:paraId="5082E63F"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-.04</w:t>
            </w:r>
          </w:p>
        </w:tc>
        <w:tc>
          <w:tcPr>
            <w:tcW w:w="851" w:type="dxa"/>
            <w:tcBorders>
              <w:bottom w:val="single" w:sz="4" w:space="0" w:color="auto"/>
            </w:tcBorders>
            <w:shd w:val="clear" w:color="auto" w:fill="FFFFFF"/>
            <w:vAlign w:val="center"/>
          </w:tcPr>
          <w:p w14:paraId="48C7E90F"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.09</w:t>
            </w:r>
          </w:p>
        </w:tc>
        <w:tc>
          <w:tcPr>
            <w:tcW w:w="4677" w:type="dxa"/>
            <w:tcBorders>
              <w:bottom w:val="single" w:sz="4" w:space="0" w:color="auto"/>
            </w:tcBorders>
            <w:shd w:val="clear" w:color="auto" w:fill="FFFFFF"/>
          </w:tcPr>
          <w:p w14:paraId="3844CD0D" w14:textId="77777777" w:rsidR="003653D2" w:rsidRPr="0074586F" w:rsidRDefault="003653D2" w:rsidP="00A1360C">
            <w:pPr>
              <w:spacing w:after="0" w:line="240" w:lineRule="auto"/>
              <w:ind w:right="60"/>
              <w:jc w:val="center"/>
              <w:rPr>
                <w:rFonts w:eastAsia="Times New Roman" w:cstheme="minorHAnsi"/>
                <w:bCs/>
                <w:sz w:val="16"/>
                <w:szCs w:val="16"/>
              </w:rPr>
            </w:pPr>
            <w:r w:rsidRPr="0074586F">
              <w:rPr>
                <w:rFonts w:eastAsia="Times New Roman" w:cstheme="minorHAnsi"/>
                <w:bCs/>
                <w:sz w:val="16"/>
                <w:szCs w:val="16"/>
              </w:rPr>
              <w:t>Positive and negative job aspects/Opportunities to learn</w:t>
            </w:r>
          </w:p>
        </w:tc>
      </w:tr>
      <w:tr w:rsidR="003653D2" w:rsidRPr="0074586F" w14:paraId="7CE67AFD" w14:textId="77777777" w:rsidTr="00831DA1">
        <w:trPr>
          <w:cantSplit/>
          <w:trHeight w:val="227"/>
        </w:trPr>
        <w:tc>
          <w:tcPr>
            <w:tcW w:w="14737" w:type="dxa"/>
            <w:gridSpan w:val="7"/>
            <w:tcBorders>
              <w:top w:val="single" w:sz="4" w:space="0" w:color="auto"/>
              <w:bottom w:val="single" w:sz="4" w:space="0" w:color="auto"/>
            </w:tcBorders>
            <w:shd w:val="clear" w:color="auto" w:fill="FFFFFF"/>
          </w:tcPr>
          <w:p w14:paraId="0BB01371" w14:textId="77777777" w:rsidR="003653D2" w:rsidRPr="0074586F" w:rsidRDefault="003653D2" w:rsidP="00A1360C">
            <w:pPr>
              <w:spacing w:after="0" w:line="240" w:lineRule="auto"/>
              <w:ind w:right="60"/>
              <w:jc w:val="center"/>
              <w:rPr>
                <w:rFonts w:cstheme="minorHAnsi"/>
                <w:b/>
                <w:bCs/>
                <w:sz w:val="16"/>
                <w:szCs w:val="16"/>
              </w:rPr>
            </w:pPr>
            <w:r w:rsidRPr="0074586F">
              <w:rPr>
                <w:rFonts w:cstheme="minorHAnsi"/>
                <w:b/>
                <w:bCs/>
                <w:sz w:val="16"/>
                <w:szCs w:val="16"/>
              </w:rPr>
              <w:t>Factor 3: Professional Role</w:t>
            </w:r>
          </w:p>
        </w:tc>
      </w:tr>
      <w:tr w:rsidR="0015528B" w:rsidRPr="0074586F" w14:paraId="319A05B3" w14:textId="77777777" w:rsidTr="00831DA1">
        <w:trPr>
          <w:cantSplit/>
          <w:trHeight w:val="227"/>
        </w:trPr>
        <w:tc>
          <w:tcPr>
            <w:tcW w:w="5807" w:type="dxa"/>
            <w:tcBorders>
              <w:top w:val="single" w:sz="4" w:space="0" w:color="auto"/>
            </w:tcBorders>
            <w:shd w:val="clear" w:color="auto" w:fill="FFFFFF"/>
          </w:tcPr>
          <w:p w14:paraId="31092ACE"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w:t>
            </w:r>
            <w:r w:rsidRPr="0074586F">
              <w:rPr>
                <w:rFonts w:eastAsia="Times New Roman" w:cstheme="minorHAnsi"/>
                <w:sz w:val="16"/>
                <w:szCs w:val="16"/>
              </w:rPr>
              <w:t xml:space="preserve"> I feel I can seek support from my colleagues</w:t>
            </w:r>
          </w:p>
        </w:tc>
        <w:tc>
          <w:tcPr>
            <w:tcW w:w="851" w:type="dxa"/>
            <w:tcBorders>
              <w:top w:val="single" w:sz="4" w:space="0" w:color="auto"/>
            </w:tcBorders>
            <w:shd w:val="clear" w:color="auto" w:fill="FFFFFF"/>
            <w:vAlign w:val="center"/>
          </w:tcPr>
          <w:p w14:paraId="47BBF415"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-.01</w:t>
            </w:r>
          </w:p>
        </w:tc>
        <w:tc>
          <w:tcPr>
            <w:tcW w:w="850" w:type="dxa"/>
            <w:tcBorders>
              <w:top w:val="single" w:sz="4" w:space="0" w:color="auto"/>
            </w:tcBorders>
            <w:shd w:val="clear" w:color="auto" w:fill="FFFFFF"/>
            <w:vAlign w:val="center"/>
          </w:tcPr>
          <w:p w14:paraId="108F9BE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.35</w:t>
            </w:r>
          </w:p>
        </w:tc>
        <w:tc>
          <w:tcPr>
            <w:tcW w:w="851" w:type="dxa"/>
            <w:tcBorders>
              <w:top w:val="single" w:sz="4" w:space="0" w:color="auto"/>
            </w:tcBorders>
            <w:shd w:val="clear" w:color="auto" w:fill="FFFFFF"/>
            <w:vAlign w:val="center"/>
          </w:tcPr>
          <w:p w14:paraId="705CB15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.68</w:t>
            </w:r>
          </w:p>
        </w:tc>
        <w:tc>
          <w:tcPr>
            <w:tcW w:w="850" w:type="dxa"/>
            <w:tcBorders>
              <w:top w:val="single" w:sz="4" w:space="0" w:color="auto"/>
            </w:tcBorders>
            <w:shd w:val="clear" w:color="auto" w:fill="FFFFFF"/>
            <w:vAlign w:val="center"/>
          </w:tcPr>
          <w:p w14:paraId="2F0BB72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.09</w:t>
            </w:r>
          </w:p>
        </w:tc>
        <w:tc>
          <w:tcPr>
            <w:tcW w:w="851" w:type="dxa"/>
            <w:tcBorders>
              <w:top w:val="single" w:sz="4" w:space="0" w:color="auto"/>
            </w:tcBorders>
            <w:shd w:val="clear" w:color="auto" w:fill="FFFFFF"/>
            <w:vAlign w:val="center"/>
          </w:tcPr>
          <w:p w14:paraId="6F7D8876"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.11</w:t>
            </w:r>
          </w:p>
        </w:tc>
        <w:tc>
          <w:tcPr>
            <w:tcW w:w="4677" w:type="dxa"/>
            <w:tcBorders>
              <w:top w:val="single" w:sz="4" w:space="0" w:color="auto"/>
            </w:tcBorders>
            <w:shd w:val="clear" w:color="auto" w:fill="FFFFFF"/>
          </w:tcPr>
          <w:p w14:paraId="3DE91366"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Personal support-lack of support/Colleagues</w:t>
            </w:r>
          </w:p>
        </w:tc>
      </w:tr>
      <w:tr w:rsidR="0015528B" w:rsidRPr="0074586F" w14:paraId="37F533AC" w14:textId="77777777" w:rsidTr="00831DA1">
        <w:trPr>
          <w:cantSplit/>
          <w:trHeight w:val="227"/>
        </w:trPr>
        <w:tc>
          <w:tcPr>
            <w:tcW w:w="5807" w:type="dxa"/>
            <w:shd w:val="clear" w:color="auto" w:fill="FFFFFF"/>
          </w:tcPr>
          <w:p w14:paraId="7CD96F1A"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3.</w:t>
            </w:r>
            <w:r w:rsidRPr="0074586F">
              <w:rPr>
                <w:rFonts w:eastAsia="Times New Roman" w:cstheme="minorHAnsi"/>
                <w:sz w:val="16"/>
                <w:szCs w:val="16"/>
              </w:rPr>
              <w:t xml:space="preserve"> I feel a sense of belonging to the service/ organisation in which I work</w:t>
            </w:r>
          </w:p>
        </w:tc>
        <w:tc>
          <w:tcPr>
            <w:tcW w:w="851" w:type="dxa"/>
            <w:shd w:val="clear" w:color="auto" w:fill="FFFFFF"/>
            <w:vAlign w:val="center"/>
          </w:tcPr>
          <w:p w14:paraId="3C8838C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.40</w:t>
            </w:r>
          </w:p>
        </w:tc>
        <w:tc>
          <w:tcPr>
            <w:tcW w:w="850" w:type="dxa"/>
            <w:shd w:val="clear" w:color="auto" w:fill="FFFFFF"/>
            <w:vAlign w:val="center"/>
          </w:tcPr>
          <w:p w14:paraId="50F7C9CB"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.25</w:t>
            </w:r>
          </w:p>
        </w:tc>
        <w:tc>
          <w:tcPr>
            <w:tcW w:w="851" w:type="dxa"/>
            <w:shd w:val="clear" w:color="auto" w:fill="FFFFFF"/>
            <w:vAlign w:val="center"/>
          </w:tcPr>
          <w:p w14:paraId="4D0548D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.59</w:t>
            </w:r>
          </w:p>
        </w:tc>
        <w:tc>
          <w:tcPr>
            <w:tcW w:w="850" w:type="dxa"/>
            <w:shd w:val="clear" w:color="auto" w:fill="FFFFFF"/>
            <w:vAlign w:val="center"/>
          </w:tcPr>
          <w:p w14:paraId="5EC91123"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-.02</w:t>
            </w:r>
          </w:p>
        </w:tc>
        <w:tc>
          <w:tcPr>
            <w:tcW w:w="851" w:type="dxa"/>
            <w:shd w:val="clear" w:color="auto" w:fill="FFFFFF"/>
            <w:vAlign w:val="center"/>
          </w:tcPr>
          <w:p w14:paraId="62A35729"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.12</w:t>
            </w:r>
          </w:p>
        </w:tc>
        <w:tc>
          <w:tcPr>
            <w:tcW w:w="4677" w:type="dxa"/>
            <w:shd w:val="clear" w:color="auto" w:fill="FFFFFF"/>
          </w:tcPr>
          <w:p w14:paraId="2F53ABDE"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Organisational context/Organisational engagement</w:t>
            </w:r>
          </w:p>
        </w:tc>
      </w:tr>
      <w:tr w:rsidR="0015528B" w:rsidRPr="0074586F" w14:paraId="1713509A" w14:textId="77777777" w:rsidTr="00831DA1">
        <w:trPr>
          <w:cantSplit/>
          <w:trHeight w:val="227"/>
        </w:trPr>
        <w:tc>
          <w:tcPr>
            <w:tcW w:w="5807" w:type="dxa"/>
            <w:shd w:val="clear" w:color="auto" w:fill="FFFFFF"/>
          </w:tcPr>
          <w:p w14:paraId="54CC2706"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6.</w:t>
            </w:r>
            <w:r w:rsidRPr="0074586F">
              <w:rPr>
                <w:rFonts w:eastAsia="Times New Roman" w:cstheme="minorHAnsi"/>
                <w:sz w:val="16"/>
                <w:szCs w:val="16"/>
              </w:rPr>
              <w:t xml:space="preserve"> I work in an environment where my colleagues are caring and supportive towards each other</w:t>
            </w:r>
          </w:p>
        </w:tc>
        <w:tc>
          <w:tcPr>
            <w:tcW w:w="851" w:type="dxa"/>
            <w:shd w:val="clear" w:color="auto" w:fill="FFFFFF"/>
            <w:vAlign w:val="center"/>
          </w:tcPr>
          <w:p w14:paraId="3701ED58"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.06</w:t>
            </w:r>
          </w:p>
        </w:tc>
        <w:tc>
          <w:tcPr>
            <w:tcW w:w="850" w:type="dxa"/>
            <w:shd w:val="clear" w:color="auto" w:fill="FFFFFF"/>
            <w:vAlign w:val="center"/>
          </w:tcPr>
          <w:p w14:paraId="5FFB0C7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.32</w:t>
            </w:r>
          </w:p>
        </w:tc>
        <w:tc>
          <w:tcPr>
            <w:tcW w:w="851" w:type="dxa"/>
            <w:shd w:val="clear" w:color="auto" w:fill="FFFFFF"/>
            <w:vAlign w:val="center"/>
          </w:tcPr>
          <w:p w14:paraId="3D1A9769"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.70</w:t>
            </w:r>
          </w:p>
        </w:tc>
        <w:tc>
          <w:tcPr>
            <w:tcW w:w="850" w:type="dxa"/>
            <w:shd w:val="clear" w:color="auto" w:fill="FFFFFF"/>
            <w:vAlign w:val="center"/>
          </w:tcPr>
          <w:p w14:paraId="402F70F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.05</w:t>
            </w:r>
          </w:p>
        </w:tc>
        <w:tc>
          <w:tcPr>
            <w:tcW w:w="851" w:type="dxa"/>
            <w:shd w:val="clear" w:color="auto" w:fill="FFFFFF"/>
            <w:vAlign w:val="center"/>
          </w:tcPr>
          <w:p w14:paraId="770E4537"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.12</w:t>
            </w:r>
          </w:p>
        </w:tc>
        <w:tc>
          <w:tcPr>
            <w:tcW w:w="4677" w:type="dxa"/>
            <w:shd w:val="clear" w:color="auto" w:fill="FFFFFF"/>
          </w:tcPr>
          <w:p w14:paraId="79824EBB"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Personal support-lack of support/Colleagues</w:t>
            </w:r>
          </w:p>
        </w:tc>
      </w:tr>
      <w:tr w:rsidR="0015528B" w:rsidRPr="0074586F" w14:paraId="35EC0EA4" w14:textId="77777777" w:rsidTr="00831DA1">
        <w:trPr>
          <w:cantSplit/>
          <w:trHeight w:val="227"/>
        </w:trPr>
        <w:tc>
          <w:tcPr>
            <w:tcW w:w="5807" w:type="dxa"/>
            <w:shd w:val="clear" w:color="auto" w:fill="FFFFFF"/>
          </w:tcPr>
          <w:p w14:paraId="5B07D060"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11.</w:t>
            </w:r>
            <w:r w:rsidRPr="0074586F">
              <w:rPr>
                <w:rFonts w:eastAsia="Times New Roman" w:cstheme="minorHAnsi"/>
                <w:sz w:val="16"/>
                <w:szCs w:val="16"/>
              </w:rPr>
              <w:t xml:space="preserve"> I am clear of my role in relation to other professionals with whom I work</w:t>
            </w:r>
          </w:p>
        </w:tc>
        <w:tc>
          <w:tcPr>
            <w:tcW w:w="851" w:type="dxa"/>
            <w:shd w:val="clear" w:color="auto" w:fill="FFFFFF"/>
            <w:vAlign w:val="center"/>
          </w:tcPr>
          <w:p w14:paraId="55D1E810"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.32</w:t>
            </w:r>
          </w:p>
        </w:tc>
        <w:tc>
          <w:tcPr>
            <w:tcW w:w="850" w:type="dxa"/>
            <w:shd w:val="clear" w:color="auto" w:fill="FFFFFF"/>
            <w:vAlign w:val="center"/>
          </w:tcPr>
          <w:p w14:paraId="70C08AF2"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.13</w:t>
            </w:r>
          </w:p>
        </w:tc>
        <w:tc>
          <w:tcPr>
            <w:tcW w:w="851" w:type="dxa"/>
            <w:shd w:val="clear" w:color="auto" w:fill="FFFFFF"/>
            <w:vAlign w:val="center"/>
          </w:tcPr>
          <w:p w14:paraId="259F5DA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.47</w:t>
            </w:r>
          </w:p>
        </w:tc>
        <w:tc>
          <w:tcPr>
            <w:tcW w:w="850" w:type="dxa"/>
            <w:shd w:val="clear" w:color="auto" w:fill="FFFFFF"/>
            <w:vAlign w:val="center"/>
          </w:tcPr>
          <w:p w14:paraId="6DD88D55"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.25</w:t>
            </w:r>
          </w:p>
        </w:tc>
        <w:tc>
          <w:tcPr>
            <w:tcW w:w="851" w:type="dxa"/>
            <w:shd w:val="clear" w:color="auto" w:fill="FFFFFF"/>
            <w:vAlign w:val="center"/>
          </w:tcPr>
          <w:p w14:paraId="27B2E287"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.01</w:t>
            </w:r>
          </w:p>
        </w:tc>
        <w:tc>
          <w:tcPr>
            <w:tcW w:w="4677" w:type="dxa"/>
            <w:shd w:val="clear" w:color="auto" w:fill="FFFFFF"/>
          </w:tcPr>
          <w:p w14:paraId="14A91735"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Inter-professional Agents/Role clarity</w:t>
            </w:r>
          </w:p>
        </w:tc>
      </w:tr>
      <w:tr w:rsidR="0015528B" w:rsidRPr="0074586F" w14:paraId="747602CB" w14:textId="77777777" w:rsidTr="00831DA1">
        <w:trPr>
          <w:cantSplit/>
          <w:trHeight w:val="227"/>
        </w:trPr>
        <w:tc>
          <w:tcPr>
            <w:tcW w:w="5807" w:type="dxa"/>
            <w:shd w:val="clear" w:color="auto" w:fill="FFFFFF"/>
          </w:tcPr>
          <w:p w14:paraId="3BFA80DF"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14.</w:t>
            </w:r>
            <w:r w:rsidRPr="0074586F">
              <w:rPr>
                <w:rFonts w:eastAsia="Times New Roman" w:cstheme="minorHAnsi"/>
                <w:sz w:val="16"/>
                <w:szCs w:val="16"/>
              </w:rPr>
              <w:t xml:space="preserve"> My colleagues have realistic expectations of my professional role</w:t>
            </w:r>
          </w:p>
        </w:tc>
        <w:tc>
          <w:tcPr>
            <w:tcW w:w="851" w:type="dxa"/>
            <w:shd w:val="clear" w:color="auto" w:fill="FFFFFF"/>
            <w:vAlign w:val="center"/>
          </w:tcPr>
          <w:p w14:paraId="142EB5F1"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.33</w:t>
            </w:r>
          </w:p>
        </w:tc>
        <w:tc>
          <w:tcPr>
            <w:tcW w:w="850" w:type="dxa"/>
            <w:shd w:val="clear" w:color="auto" w:fill="FFFFFF"/>
            <w:vAlign w:val="center"/>
          </w:tcPr>
          <w:p w14:paraId="5F06AA9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.23</w:t>
            </w:r>
          </w:p>
        </w:tc>
        <w:tc>
          <w:tcPr>
            <w:tcW w:w="851" w:type="dxa"/>
            <w:shd w:val="clear" w:color="auto" w:fill="FFFFFF"/>
            <w:vAlign w:val="center"/>
          </w:tcPr>
          <w:p w14:paraId="1DCBBDC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.50</w:t>
            </w:r>
          </w:p>
        </w:tc>
        <w:tc>
          <w:tcPr>
            <w:tcW w:w="850" w:type="dxa"/>
            <w:shd w:val="clear" w:color="auto" w:fill="FFFFFF"/>
            <w:vAlign w:val="center"/>
          </w:tcPr>
          <w:p w14:paraId="2C3D0B82"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.31</w:t>
            </w:r>
          </w:p>
        </w:tc>
        <w:tc>
          <w:tcPr>
            <w:tcW w:w="851" w:type="dxa"/>
            <w:shd w:val="clear" w:color="auto" w:fill="FFFFFF"/>
            <w:vAlign w:val="center"/>
          </w:tcPr>
          <w:p w14:paraId="3CEF503F"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.15</w:t>
            </w:r>
          </w:p>
        </w:tc>
        <w:tc>
          <w:tcPr>
            <w:tcW w:w="4677" w:type="dxa"/>
            <w:shd w:val="clear" w:color="auto" w:fill="FFFFFF"/>
          </w:tcPr>
          <w:p w14:paraId="43E64871"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Inter-professional Agents/Role clarity</w:t>
            </w:r>
          </w:p>
        </w:tc>
      </w:tr>
      <w:tr w:rsidR="0015528B" w:rsidRPr="0074586F" w14:paraId="1394E7CD" w14:textId="77777777" w:rsidTr="00831DA1">
        <w:trPr>
          <w:cantSplit/>
          <w:trHeight w:val="227"/>
        </w:trPr>
        <w:tc>
          <w:tcPr>
            <w:tcW w:w="5807" w:type="dxa"/>
            <w:shd w:val="clear" w:color="auto" w:fill="FFFFFF"/>
          </w:tcPr>
          <w:p w14:paraId="6E562D97"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16.</w:t>
            </w:r>
            <w:r w:rsidRPr="0074586F">
              <w:rPr>
                <w:rFonts w:eastAsia="Times New Roman" w:cstheme="minorHAnsi"/>
                <w:sz w:val="16"/>
                <w:szCs w:val="16"/>
              </w:rPr>
              <w:t xml:space="preserve"> My colleagues value my professional contribution</w:t>
            </w:r>
          </w:p>
        </w:tc>
        <w:tc>
          <w:tcPr>
            <w:tcW w:w="851" w:type="dxa"/>
            <w:shd w:val="clear" w:color="auto" w:fill="FFFFFF"/>
            <w:vAlign w:val="center"/>
          </w:tcPr>
          <w:p w14:paraId="7B1FDFD4"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.14</w:t>
            </w:r>
          </w:p>
        </w:tc>
        <w:tc>
          <w:tcPr>
            <w:tcW w:w="850" w:type="dxa"/>
            <w:shd w:val="clear" w:color="auto" w:fill="FFFFFF"/>
            <w:vAlign w:val="center"/>
          </w:tcPr>
          <w:p w14:paraId="10DAD07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.12</w:t>
            </w:r>
          </w:p>
        </w:tc>
        <w:tc>
          <w:tcPr>
            <w:tcW w:w="851" w:type="dxa"/>
            <w:shd w:val="clear" w:color="auto" w:fill="FFFFFF"/>
            <w:vAlign w:val="center"/>
          </w:tcPr>
          <w:p w14:paraId="357C0FDE"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.73</w:t>
            </w:r>
          </w:p>
        </w:tc>
        <w:tc>
          <w:tcPr>
            <w:tcW w:w="850" w:type="dxa"/>
            <w:shd w:val="clear" w:color="auto" w:fill="FFFFFF"/>
            <w:vAlign w:val="center"/>
          </w:tcPr>
          <w:p w14:paraId="737978AF"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.19</w:t>
            </w:r>
          </w:p>
        </w:tc>
        <w:tc>
          <w:tcPr>
            <w:tcW w:w="851" w:type="dxa"/>
            <w:shd w:val="clear" w:color="auto" w:fill="FFFFFF"/>
            <w:vAlign w:val="center"/>
          </w:tcPr>
          <w:p w14:paraId="1617C4E4"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.12</w:t>
            </w:r>
          </w:p>
        </w:tc>
        <w:tc>
          <w:tcPr>
            <w:tcW w:w="4677" w:type="dxa"/>
            <w:shd w:val="clear" w:color="auto" w:fill="FFFFFF"/>
          </w:tcPr>
          <w:p w14:paraId="28E92749"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Positive and negative job aspects /Feeling valued</w:t>
            </w:r>
          </w:p>
        </w:tc>
      </w:tr>
      <w:tr w:rsidR="0015528B" w:rsidRPr="0074586F" w14:paraId="250C39E1" w14:textId="77777777" w:rsidTr="00831DA1">
        <w:trPr>
          <w:cantSplit/>
          <w:trHeight w:val="227"/>
        </w:trPr>
        <w:tc>
          <w:tcPr>
            <w:tcW w:w="5807" w:type="dxa"/>
            <w:tcBorders>
              <w:bottom w:val="single" w:sz="4" w:space="0" w:color="auto"/>
            </w:tcBorders>
            <w:shd w:val="clear" w:color="auto" w:fill="FFFFFF"/>
          </w:tcPr>
          <w:p w14:paraId="528D5380"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26</w:t>
            </w:r>
            <w:r w:rsidRPr="0074586F">
              <w:rPr>
                <w:rFonts w:eastAsia="Times New Roman" w:cstheme="minorHAnsi"/>
                <w:sz w:val="16"/>
                <w:szCs w:val="16"/>
              </w:rPr>
              <w:t xml:space="preserve"> My specific skills as a psychological practitioner add value to the team/ service/ organisation</w:t>
            </w:r>
          </w:p>
        </w:tc>
        <w:tc>
          <w:tcPr>
            <w:tcW w:w="851" w:type="dxa"/>
            <w:tcBorders>
              <w:bottom w:val="single" w:sz="4" w:space="0" w:color="auto"/>
            </w:tcBorders>
            <w:shd w:val="clear" w:color="auto" w:fill="FFFFFF"/>
            <w:vAlign w:val="center"/>
          </w:tcPr>
          <w:p w14:paraId="12C93FE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.25</w:t>
            </w:r>
          </w:p>
        </w:tc>
        <w:tc>
          <w:tcPr>
            <w:tcW w:w="850" w:type="dxa"/>
            <w:tcBorders>
              <w:bottom w:val="single" w:sz="4" w:space="0" w:color="auto"/>
            </w:tcBorders>
            <w:shd w:val="clear" w:color="auto" w:fill="FFFFFF"/>
            <w:vAlign w:val="center"/>
          </w:tcPr>
          <w:p w14:paraId="4DA531B2"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.01</w:t>
            </w:r>
          </w:p>
        </w:tc>
        <w:tc>
          <w:tcPr>
            <w:tcW w:w="851" w:type="dxa"/>
            <w:tcBorders>
              <w:bottom w:val="single" w:sz="4" w:space="0" w:color="auto"/>
            </w:tcBorders>
            <w:shd w:val="clear" w:color="auto" w:fill="FFFFFF"/>
            <w:vAlign w:val="center"/>
          </w:tcPr>
          <w:p w14:paraId="55705D05"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.55</w:t>
            </w:r>
          </w:p>
        </w:tc>
        <w:tc>
          <w:tcPr>
            <w:tcW w:w="850" w:type="dxa"/>
            <w:tcBorders>
              <w:bottom w:val="single" w:sz="4" w:space="0" w:color="auto"/>
            </w:tcBorders>
            <w:shd w:val="clear" w:color="auto" w:fill="FFFFFF"/>
            <w:vAlign w:val="center"/>
          </w:tcPr>
          <w:p w14:paraId="52AD5D1C"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.18</w:t>
            </w:r>
          </w:p>
        </w:tc>
        <w:tc>
          <w:tcPr>
            <w:tcW w:w="851" w:type="dxa"/>
            <w:tcBorders>
              <w:bottom w:val="single" w:sz="4" w:space="0" w:color="auto"/>
            </w:tcBorders>
            <w:shd w:val="clear" w:color="auto" w:fill="FFFFFF"/>
            <w:vAlign w:val="center"/>
          </w:tcPr>
          <w:p w14:paraId="5FD9E246"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-.02</w:t>
            </w:r>
          </w:p>
        </w:tc>
        <w:tc>
          <w:tcPr>
            <w:tcW w:w="4677" w:type="dxa"/>
            <w:tcBorders>
              <w:bottom w:val="single" w:sz="4" w:space="0" w:color="auto"/>
            </w:tcBorders>
            <w:shd w:val="clear" w:color="auto" w:fill="FFFFFF"/>
          </w:tcPr>
          <w:p w14:paraId="44CA6EDF"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Positive and negative job aspects /Feeling valued</w:t>
            </w:r>
          </w:p>
        </w:tc>
      </w:tr>
      <w:tr w:rsidR="003653D2" w:rsidRPr="0074586F" w14:paraId="04F45377" w14:textId="77777777" w:rsidTr="00831DA1">
        <w:trPr>
          <w:cantSplit/>
          <w:trHeight w:val="227"/>
        </w:trPr>
        <w:tc>
          <w:tcPr>
            <w:tcW w:w="14737" w:type="dxa"/>
            <w:gridSpan w:val="7"/>
            <w:tcBorders>
              <w:top w:val="single" w:sz="4" w:space="0" w:color="auto"/>
              <w:bottom w:val="single" w:sz="4" w:space="0" w:color="auto"/>
            </w:tcBorders>
            <w:shd w:val="clear" w:color="auto" w:fill="FFFFFF"/>
          </w:tcPr>
          <w:p w14:paraId="6115308C" w14:textId="77777777" w:rsidR="003653D2" w:rsidRPr="0074586F" w:rsidRDefault="003653D2" w:rsidP="00A1360C">
            <w:pPr>
              <w:spacing w:after="0" w:line="240" w:lineRule="auto"/>
              <w:ind w:right="60"/>
              <w:jc w:val="center"/>
              <w:rPr>
                <w:rFonts w:cstheme="minorHAnsi"/>
                <w:b/>
                <w:bCs/>
                <w:sz w:val="16"/>
                <w:szCs w:val="16"/>
              </w:rPr>
            </w:pPr>
            <w:r w:rsidRPr="0074586F">
              <w:rPr>
                <w:rFonts w:cstheme="minorHAnsi"/>
                <w:b/>
                <w:bCs/>
                <w:sz w:val="16"/>
                <w:szCs w:val="16"/>
              </w:rPr>
              <w:t>Factor 4: Physical Environment</w:t>
            </w:r>
          </w:p>
        </w:tc>
      </w:tr>
      <w:tr w:rsidR="0015528B" w:rsidRPr="0074586F" w14:paraId="7458D72B" w14:textId="77777777" w:rsidTr="00831DA1">
        <w:trPr>
          <w:cantSplit/>
          <w:trHeight w:val="227"/>
        </w:trPr>
        <w:tc>
          <w:tcPr>
            <w:tcW w:w="5807" w:type="dxa"/>
            <w:tcBorders>
              <w:top w:val="single" w:sz="4" w:space="0" w:color="auto"/>
            </w:tcBorders>
            <w:shd w:val="clear" w:color="auto" w:fill="FFFFFF"/>
          </w:tcPr>
          <w:p w14:paraId="2C329F39"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15.</w:t>
            </w:r>
            <w:r w:rsidRPr="0074586F">
              <w:rPr>
                <w:rFonts w:eastAsia="Times New Roman" w:cstheme="minorHAnsi"/>
                <w:sz w:val="16"/>
                <w:szCs w:val="16"/>
              </w:rPr>
              <w:t xml:space="preserve"> The physical environment and facilities in my workplace enable me to work efficiently and effectively</w:t>
            </w:r>
          </w:p>
        </w:tc>
        <w:tc>
          <w:tcPr>
            <w:tcW w:w="851" w:type="dxa"/>
            <w:tcBorders>
              <w:top w:val="single" w:sz="4" w:space="0" w:color="auto"/>
            </w:tcBorders>
            <w:shd w:val="clear" w:color="auto" w:fill="FFFFFF"/>
            <w:vAlign w:val="center"/>
          </w:tcPr>
          <w:p w14:paraId="2D1320E1"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.30</w:t>
            </w:r>
          </w:p>
        </w:tc>
        <w:tc>
          <w:tcPr>
            <w:tcW w:w="850" w:type="dxa"/>
            <w:tcBorders>
              <w:top w:val="single" w:sz="4" w:space="0" w:color="auto"/>
            </w:tcBorders>
            <w:shd w:val="clear" w:color="auto" w:fill="FFFFFF"/>
            <w:vAlign w:val="center"/>
          </w:tcPr>
          <w:p w14:paraId="51E1230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.17</w:t>
            </w:r>
          </w:p>
        </w:tc>
        <w:tc>
          <w:tcPr>
            <w:tcW w:w="851" w:type="dxa"/>
            <w:tcBorders>
              <w:top w:val="single" w:sz="4" w:space="0" w:color="auto"/>
            </w:tcBorders>
            <w:shd w:val="clear" w:color="auto" w:fill="FFFFFF"/>
            <w:vAlign w:val="center"/>
          </w:tcPr>
          <w:p w14:paraId="450A2587"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.19</w:t>
            </w:r>
          </w:p>
        </w:tc>
        <w:tc>
          <w:tcPr>
            <w:tcW w:w="850" w:type="dxa"/>
            <w:tcBorders>
              <w:top w:val="single" w:sz="4" w:space="0" w:color="auto"/>
            </w:tcBorders>
            <w:shd w:val="clear" w:color="auto" w:fill="FFFFFF"/>
            <w:vAlign w:val="center"/>
          </w:tcPr>
          <w:p w14:paraId="314E7F4A" w14:textId="77777777" w:rsidR="003653D2" w:rsidRPr="0074586F" w:rsidRDefault="003653D2" w:rsidP="00A1360C">
            <w:pPr>
              <w:spacing w:after="0" w:line="240" w:lineRule="auto"/>
              <w:ind w:left="60" w:right="60"/>
              <w:jc w:val="center"/>
              <w:rPr>
                <w:rFonts w:cstheme="minorHAnsi"/>
                <w:sz w:val="16"/>
                <w:szCs w:val="16"/>
              </w:rPr>
            </w:pPr>
            <w:r w:rsidRPr="0074586F">
              <w:rPr>
                <w:rFonts w:cstheme="minorHAnsi"/>
                <w:sz w:val="16"/>
                <w:szCs w:val="16"/>
              </w:rPr>
              <w:t>.08</w:t>
            </w:r>
          </w:p>
        </w:tc>
        <w:tc>
          <w:tcPr>
            <w:tcW w:w="851" w:type="dxa"/>
            <w:tcBorders>
              <w:top w:val="single" w:sz="4" w:space="0" w:color="auto"/>
            </w:tcBorders>
            <w:shd w:val="clear" w:color="auto" w:fill="FFFFFF"/>
            <w:vAlign w:val="center"/>
          </w:tcPr>
          <w:p w14:paraId="2B760C28" w14:textId="77777777" w:rsidR="003653D2" w:rsidRPr="0074586F" w:rsidRDefault="003653D2" w:rsidP="00A1360C">
            <w:pPr>
              <w:spacing w:after="0" w:line="240" w:lineRule="auto"/>
              <w:ind w:right="60"/>
              <w:jc w:val="center"/>
              <w:rPr>
                <w:rFonts w:cstheme="minorHAnsi"/>
                <w:sz w:val="16"/>
                <w:szCs w:val="16"/>
              </w:rPr>
            </w:pPr>
            <w:r w:rsidRPr="0074586F">
              <w:rPr>
                <w:rFonts w:cstheme="minorHAnsi"/>
                <w:sz w:val="16"/>
                <w:szCs w:val="16"/>
              </w:rPr>
              <w:t>.81</w:t>
            </w:r>
          </w:p>
        </w:tc>
        <w:tc>
          <w:tcPr>
            <w:tcW w:w="4677" w:type="dxa"/>
            <w:tcBorders>
              <w:top w:val="single" w:sz="4" w:space="0" w:color="auto"/>
            </w:tcBorders>
            <w:shd w:val="clear" w:color="auto" w:fill="FFFFFF"/>
          </w:tcPr>
          <w:p w14:paraId="6ABD1EF0" w14:textId="77777777" w:rsidR="003653D2" w:rsidRPr="0074586F" w:rsidRDefault="003653D2" w:rsidP="00A1360C">
            <w:pPr>
              <w:spacing w:after="0" w:line="240" w:lineRule="auto"/>
              <w:ind w:right="60"/>
              <w:jc w:val="center"/>
              <w:rPr>
                <w:rFonts w:cstheme="minorHAnsi"/>
                <w:color w:val="000000"/>
                <w:sz w:val="16"/>
                <w:szCs w:val="16"/>
              </w:rPr>
            </w:pPr>
            <w:r w:rsidRPr="0074586F">
              <w:rPr>
                <w:rFonts w:eastAsia="Times New Roman" w:cstheme="minorHAnsi"/>
                <w:bCs/>
                <w:sz w:val="16"/>
                <w:szCs w:val="16"/>
              </w:rPr>
              <w:t>Positive and negative job aspects /Physical environment and facilities</w:t>
            </w:r>
          </w:p>
        </w:tc>
      </w:tr>
      <w:tr w:rsidR="0015528B" w:rsidRPr="0074586F" w14:paraId="3D749F40" w14:textId="77777777" w:rsidTr="00831DA1">
        <w:trPr>
          <w:cantSplit/>
          <w:trHeight w:val="227"/>
        </w:trPr>
        <w:tc>
          <w:tcPr>
            <w:tcW w:w="5807" w:type="dxa"/>
            <w:tcBorders>
              <w:bottom w:val="single" w:sz="4" w:space="0" w:color="auto"/>
            </w:tcBorders>
            <w:shd w:val="clear" w:color="auto" w:fill="FFFFFF"/>
          </w:tcPr>
          <w:p w14:paraId="0F4381BD"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24.</w:t>
            </w:r>
            <w:r w:rsidRPr="0074586F">
              <w:rPr>
                <w:rFonts w:eastAsia="Times New Roman" w:cstheme="minorHAnsi"/>
                <w:sz w:val="16"/>
                <w:szCs w:val="16"/>
              </w:rPr>
              <w:t xml:space="preserve"> The physical environment and/ or facilities in my workplace adversely affect my workplace wellbeing</w:t>
            </w:r>
          </w:p>
        </w:tc>
        <w:tc>
          <w:tcPr>
            <w:tcW w:w="851" w:type="dxa"/>
            <w:tcBorders>
              <w:bottom w:val="single" w:sz="4" w:space="0" w:color="auto"/>
            </w:tcBorders>
            <w:shd w:val="clear" w:color="auto" w:fill="FFFFFF"/>
            <w:vAlign w:val="center"/>
          </w:tcPr>
          <w:p w14:paraId="2BD4DF8A"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.26</w:t>
            </w:r>
          </w:p>
        </w:tc>
        <w:tc>
          <w:tcPr>
            <w:tcW w:w="850" w:type="dxa"/>
            <w:tcBorders>
              <w:bottom w:val="single" w:sz="4" w:space="0" w:color="auto"/>
            </w:tcBorders>
            <w:shd w:val="clear" w:color="auto" w:fill="FFFFFF"/>
            <w:vAlign w:val="center"/>
          </w:tcPr>
          <w:p w14:paraId="20908D99"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.13</w:t>
            </w:r>
          </w:p>
        </w:tc>
        <w:tc>
          <w:tcPr>
            <w:tcW w:w="851" w:type="dxa"/>
            <w:tcBorders>
              <w:bottom w:val="single" w:sz="4" w:space="0" w:color="auto"/>
            </w:tcBorders>
            <w:shd w:val="clear" w:color="auto" w:fill="FFFFFF"/>
            <w:vAlign w:val="center"/>
          </w:tcPr>
          <w:p w14:paraId="6494DF9A"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.11</w:t>
            </w:r>
          </w:p>
        </w:tc>
        <w:tc>
          <w:tcPr>
            <w:tcW w:w="850" w:type="dxa"/>
            <w:tcBorders>
              <w:bottom w:val="single" w:sz="4" w:space="0" w:color="auto"/>
            </w:tcBorders>
            <w:shd w:val="clear" w:color="auto" w:fill="FFFFFF"/>
            <w:vAlign w:val="center"/>
          </w:tcPr>
          <w:p w14:paraId="3E52F98D"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.07</w:t>
            </w:r>
          </w:p>
        </w:tc>
        <w:tc>
          <w:tcPr>
            <w:tcW w:w="851" w:type="dxa"/>
            <w:tcBorders>
              <w:bottom w:val="single" w:sz="4" w:space="0" w:color="auto"/>
            </w:tcBorders>
            <w:shd w:val="clear" w:color="auto" w:fill="FFFFFF"/>
            <w:vAlign w:val="center"/>
          </w:tcPr>
          <w:p w14:paraId="103C7190"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.85</w:t>
            </w:r>
          </w:p>
        </w:tc>
        <w:tc>
          <w:tcPr>
            <w:tcW w:w="4677" w:type="dxa"/>
            <w:tcBorders>
              <w:bottom w:val="single" w:sz="4" w:space="0" w:color="auto"/>
            </w:tcBorders>
            <w:shd w:val="clear" w:color="auto" w:fill="FFFFFF"/>
          </w:tcPr>
          <w:p w14:paraId="79DD64E5" w14:textId="77777777" w:rsidR="003653D2" w:rsidRPr="0074586F" w:rsidRDefault="003653D2" w:rsidP="00A1360C">
            <w:pPr>
              <w:spacing w:after="0" w:line="240" w:lineRule="auto"/>
              <w:jc w:val="center"/>
              <w:rPr>
                <w:rFonts w:cstheme="minorHAnsi"/>
                <w:color w:val="000000"/>
                <w:sz w:val="16"/>
                <w:szCs w:val="16"/>
              </w:rPr>
            </w:pPr>
            <w:r w:rsidRPr="0074586F">
              <w:rPr>
                <w:rFonts w:eastAsia="Times New Roman" w:cstheme="minorHAnsi"/>
                <w:bCs/>
                <w:sz w:val="16"/>
                <w:szCs w:val="16"/>
              </w:rPr>
              <w:t>Positive and negative job aspects /Physical environment and facilities</w:t>
            </w:r>
          </w:p>
        </w:tc>
      </w:tr>
      <w:tr w:rsidR="003653D2" w:rsidRPr="0074586F" w14:paraId="4155EF03" w14:textId="77777777" w:rsidTr="00831DA1">
        <w:trPr>
          <w:cantSplit/>
          <w:trHeight w:val="227"/>
        </w:trPr>
        <w:tc>
          <w:tcPr>
            <w:tcW w:w="14737" w:type="dxa"/>
            <w:gridSpan w:val="7"/>
            <w:tcBorders>
              <w:top w:val="single" w:sz="4" w:space="0" w:color="auto"/>
              <w:bottom w:val="single" w:sz="4" w:space="0" w:color="auto"/>
            </w:tcBorders>
            <w:shd w:val="clear" w:color="auto" w:fill="FFFFFF"/>
          </w:tcPr>
          <w:p w14:paraId="3E0E300B" w14:textId="77777777" w:rsidR="003653D2" w:rsidRPr="0074586F" w:rsidRDefault="003653D2" w:rsidP="00A1360C">
            <w:pPr>
              <w:spacing w:after="0" w:line="240" w:lineRule="auto"/>
              <w:jc w:val="center"/>
              <w:rPr>
                <w:rFonts w:cstheme="minorHAnsi"/>
                <w:b/>
                <w:bCs/>
                <w:sz w:val="16"/>
                <w:szCs w:val="16"/>
              </w:rPr>
            </w:pPr>
            <w:r w:rsidRPr="0074586F">
              <w:rPr>
                <w:rFonts w:cstheme="minorHAnsi"/>
                <w:b/>
                <w:bCs/>
                <w:sz w:val="16"/>
                <w:szCs w:val="16"/>
              </w:rPr>
              <w:t>Factor 5: External Personal</w:t>
            </w:r>
          </w:p>
        </w:tc>
      </w:tr>
      <w:tr w:rsidR="0015528B" w:rsidRPr="0074586F" w14:paraId="4D7C219A" w14:textId="77777777" w:rsidTr="00831DA1">
        <w:trPr>
          <w:cantSplit/>
          <w:trHeight w:val="227"/>
        </w:trPr>
        <w:tc>
          <w:tcPr>
            <w:tcW w:w="5807" w:type="dxa"/>
            <w:tcBorders>
              <w:top w:val="single" w:sz="4" w:space="0" w:color="auto"/>
            </w:tcBorders>
            <w:shd w:val="clear" w:color="auto" w:fill="FFFFFF"/>
          </w:tcPr>
          <w:p w14:paraId="18BF17D7"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17.</w:t>
            </w:r>
            <w:r w:rsidRPr="0074586F">
              <w:rPr>
                <w:rFonts w:eastAsia="Times New Roman" w:cstheme="minorHAnsi"/>
                <w:sz w:val="16"/>
                <w:szCs w:val="16"/>
              </w:rPr>
              <w:t xml:space="preserve"> I have a good work/ life balance</w:t>
            </w:r>
          </w:p>
        </w:tc>
        <w:tc>
          <w:tcPr>
            <w:tcW w:w="851" w:type="dxa"/>
            <w:tcBorders>
              <w:top w:val="single" w:sz="4" w:space="0" w:color="auto"/>
            </w:tcBorders>
            <w:shd w:val="clear" w:color="auto" w:fill="FFFFFF"/>
            <w:vAlign w:val="center"/>
          </w:tcPr>
          <w:p w14:paraId="76024D19"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.29</w:t>
            </w:r>
          </w:p>
        </w:tc>
        <w:tc>
          <w:tcPr>
            <w:tcW w:w="850" w:type="dxa"/>
            <w:tcBorders>
              <w:top w:val="single" w:sz="4" w:space="0" w:color="auto"/>
            </w:tcBorders>
            <w:shd w:val="clear" w:color="auto" w:fill="FFFFFF"/>
            <w:vAlign w:val="center"/>
          </w:tcPr>
          <w:p w14:paraId="5154A88C"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.15</w:t>
            </w:r>
          </w:p>
        </w:tc>
        <w:tc>
          <w:tcPr>
            <w:tcW w:w="851" w:type="dxa"/>
            <w:tcBorders>
              <w:top w:val="single" w:sz="4" w:space="0" w:color="auto"/>
            </w:tcBorders>
            <w:shd w:val="clear" w:color="auto" w:fill="FFFFFF"/>
            <w:vAlign w:val="center"/>
          </w:tcPr>
          <w:p w14:paraId="37D2F56D"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.20</w:t>
            </w:r>
          </w:p>
        </w:tc>
        <w:tc>
          <w:tcPr>
            <w:tcW w:w="850" w:type="dxa"/>
            <w:tcBorders>
              <w:top w:val="single" w:sz="4" w:space="0" w:color="auto"/>
            </w:tcBorders>
            <w:shd w:val="clear" w:color="auto" w:fill="FFFFFF"/>
            <w:vAlign w:val="center"/>
          </w:tcPr>
          <w:p w14:paraId="331E2606"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.65</w:t>
            </w:r>
          </w:p>
        </w:tc>
        <w:tc>
          <w:tcPr>
            <w:tcW w:w="851" w:type="dxa"/>
            <w:tcBorders>
              <w:top w:val="single" w:sz="4" w:space="0" w:color="auto"/>
            </w:tcBorders>
            <w:shd w:val="clear" w:color="auto" w:fill="FFFFFF"/>
            <w:vAlign w:val="center"/>
          </w:tcPr>
          <w:p w14:paraId="26A57C56"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.04</w:t>
            </w:r>
          </w:p>
        </w:tc>
        <w:tc>
          <w:tcPr>
            <w:tcW w:w="4677" w:type="dxa"/>
            <w:tcBorders>
              <w:top w:val="single" w:sz="4" w:space="0" w:color="auto"/>
            </w:tcBorders>
            <w:shd w:val="clear" w:color="auto" w:fill="FFFFFF"/>
          </w:tcPr>
          <w:p w14:paraId="359FC603" w14:textId="77777777" w:rsidR="003653D2" w:rsidRPr="0074586F" w:rsidRDefault="003653D2" w:rsidP="00A1360C">
            <w:pPr>
              <w:spacing w:after="0" w:line="240" w:lineRule="auto"/>
              <w:jc w:val="center"/>
              <w:rPr>
                <w:rFonts w:cstheme="minorHAnsi"/>
                <w:color w:val="000000"/>
                <w:sz w:val="16"/>
                <w:szCs w:val="16"/>
              </w:rPr>
            </w:pPr>
            <w:r w:rsidRPr="0074586F">
              <w:rPr>
                <w:rFonts w:eastAsia="Times New Roman" w:cstheme="minorHAnsi"/>
                <w:bCs/>
                <w:sz w:val="16"/>
                <w:szCs w:val="16"/>
              </w:rPr>
              <w:t>Positive and negative job aspects /Work-life balance</w:t>
            </w:r>
          </w:p>
        </w:tc>
      </w:tr>
      <w:tr w:rsidR="0015528B" w:rsidRPr="0074586F" w14:paraId="1EFB3C97" w14:textId="77777777" w:rsidTr="00831DA1">
        <w:trPr>
          <w:cantSplit/>
          <w:trHeight w:val="227"/>
        </w:trPr>
        <w:tc>
          <w:tcPr>
            <w:tcW w:w="5807" w:type="dxa"/>
            <w:shd w:val="clear" w:color="auto" w:fill="FFFFFF"/>
          </w:tcPr>
          <w:p w14:paraId="2E21F9D9" w14:textId="77777777" w:rsidR="003653D2" w:rsidRPr="0074586F" w:rsidRDefault="003653D2" w:rsidP="00A1360C">
            <w:pPr>
              <w:spacing w:after="0" w:line="240" w:lineRule="auto"/>
              <w:ind w:left="60" w:right="60"/>
              <w:rPr>
                <w:rFonts w:cstheme="minorHAnsi"/>
                <w:sz w:val="16"/>
                <w:szCs w:val="16"/>
              </w:rPr>
            </w:pPr>
            <w:r w:rsidRPr="0074586F">
              <w:rPr>
                <w:rFonts w:cstheme="minorHAnsi"/>
                <w:sz w:val="16"/>
                <w:szCs w:val="16"/>
              </w:rPr>
              <w:t>19.</w:t>
            </w:r>
            <w:r w:rsidRPr="0074586F">
              <w:rPr>
                <w:rFonts w:eastAsia="Times New Roman" w:cstheme="minorHAnsi"/>
                <w:sz w:val="16"/>
                <w:szCs w:val="16"/>
              </w:rPr>
              <w:t xml:space="preserve"> The personal support I receive from family and/or friends meets my needs</w:t>
            </w:r>
          </w:p>
        </w:tc>
        <w:tc>
          <w:tcPr>
            <w:tcW w:w="851" w:type="dxa"/>
            <w:shd w:val="clear" w:color="auto" w:fill="FFFFFF"/>
            <w:vAlign w:val="center"/>
          </w:tcPr>
          <w:p w14:paraId="687AB8B2"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-.00</w:t>
            </w:r>
          </w:p>
        </w:tc>
        <w:tc>
          <w:tcPr>
            <w:tcW w:w="850" w:type="dxa"/>
            <w:shd w:val="clear" w:color="auto" w:fill="FFFFFF"/>
            <w:vAlign w:val="center"/>
          </w:tcPr>
          <w:p w14:paraId="470C6DB7"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.03</w:t>
            </w:r>
          </w:p>
        </w:tc>
        <w:tc>
          <w:tcPr>
            <w:tcW w:w="851" w:type="dxa"/>
            <w:shd w:val="clear" w:color="auto" w:fill="FFFFFF"/>
            <w:vAlign w:val="center"/>
          </w:tcPr>
          <w:p w14:paraId="42D9D248"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.17</w:t>
            </w:r>
          </w:p>
        </w:tc>
        <w:tc>
          <w:tcPr>
            <w:tcW w:w="850" w:type="dxa"/>
            <w:shd w:val="clear" w:color="auto" w:fill="FFFFFF"/>
            <w:vAlign w:val="center"/>
          </w:tcPr>
          <w:p w14:paraId="3964F4F7"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.71</w:t>
            </w:r>
          </w:p>
        </w:tc>
        <w:tc>
          <w:tcPr>
            <w:tcW w:w="851" w:type="dxa"/>
            <w:shd w:val="clear" w:color="auto" w:fill="FFFFFF"/>
            <w:vAlign w:val="center"/>
          </w:tcPr>
          <w:p w14:paraId="71167547" w14:textId="77777777" w:rsidR="003653D2" w:rsidRPr="0074586F" w:rsidRDefault="003653D2" w:rsidP="00A1360C">
            <w:pPr>
              <w:spacing w:after="0" w:line="240" w:lineRule="auto"/>
              <w:jc w:val="center"/>
              <w:rPr>
                <w:rFonts w:cstheme="minorHAnsi"/>
                <w:sz w:val="16"/>
                <w:szCs w:val="16"/>
              </w:rPr>
            </w:pPr>
            <w:r w:rsidRPr="0074586F">
              <w:rPr>
                <w:rFonts w:cstheme="minorHAnsi"/>
                <w:sz w:val="16"/>
                <w:szCs w:val="16"/>
              </w:rPr>
              <w:t>.07</w:t>
            </w:r>
          </w:p>
        </w:tc>
        <w:tc>
          <w:tcPr>
            <w:tcW w:w="4677" w:type="dxa"/>
            <w:shd w:val="clear" w:color="auto" w:fill="FFFFFF"/>
          </w:tcPr>
          <w:p w14:paraId="059E24ED" w14:textId="77777777" w:rsidR="003653D2" w:rsidRPr="0074586F" w:rsidRDefault="003653D2" w:rsidP="00A1360C">
            <w:pPr>
              <w:spacing w:after="0" w:line="240" w:lineRule="auto"/>
              <w:jc w:val="center"/>
              <w:rPr>
                <w:rFonts w:cstheme="minorHAnsi"/>
                <w:color w:val="000000"/>
                <w:sz w:val="16"/>
                <w:szCs w:val="16"/>
              </w:rPr>
            </w:pPr>
            <w:r w:rsidRPr="0074586F">
              <w:rPr>
                <w:rFonts w:eastAsia="Times New Roman" w:cstheme="minorHAnsi"/>
                <w:bCs/>
                <w:sz w:val="16"/>
                <w:szCs w:val="16"/>
              </w:rPr>
              <w:t>Personal support-lack of support/Family support</w:t>
            </w:r>
          </w:p>
        </w:tc>
      </w:tr>
      <w:bookmarkEnd w:id="14"/>
    </w:tbl>
    <w:p w14:paraId="275031F1" w14:textId="77777777" w:rsidR="00215426" w:rsidRPr="0074586F" w:rsidRDefault="00215426">
      <w:pPr>
        <w:rPr>
          <w:b/>
          <w:bCs/>
          <w:sz w:val="24"/>
          <w:szCs w:val="24"/>
        </w:rPr>
      </w:pPr>
    </w:p>
    <w:p w14:paraId="4A98B029" w14:textId="77777777" w:rsidR="00215426" w:rsidRPr="0074586F" w:rsidRDefault="00215426">
      <w:pPr>
        <w:rPr>
          <w:b/>
          <w:bCs/>
          <w:sz w:val="24"/>
          <w:szCs w:val="24"/>
        </w:rPr>
      </w:pPr>
    </w:p>
    <w:bookmarkEnd w:id="13"/>
    <w:p w14:paraId="5EAAE4EB" w14:textId="77777777" w:rsidR="00A1360C" w:rsidRPr="0074586F" w:rsidRDefault="00A1360C">
      <w:pPr>
        <w:rPr>
          <w:b/>
          <w:bCs/>
          <w:sz w:val="28"/>
          <w:szCs w:val="28"/>
        </w:rPr>
      </w:pPr>
    </w:p>
    <w:p w14:paraId="5D1CE4E9" w14:textId="77777777" w:rsidR="00A1360C" w:rsidRPr="0074586F" w:rsidRDefault="00A1360C">
      <w:pPr>
        <w:rPr>
          <w:b/>
          <w:bCs/>
          <w:sz w:val="28"/>
          <w:szCs w:val="28"/>
        </w:rPr>
      </w:pPr>
    </w:p>
    <w:p w14:paraId="38869ACF" w14:textId="77777777" w:rsidR="00A1360C" w:rsidRPr="0074586F" w:rsidRDefault="00A1360C">
      <w:pPr>
        <w:rPr>
          <w:b/>
          <w:bCs/>
          <w:sz w:val="28"/>
          <w:szCs w:val="28"/>
        </w:rPr>
      </w:pPr>
    </w:p>
    <w:p w14:paraId="1EEDBAB6" w14:textId="77777777" w:rsidR="0015528B" w:rsidRPr="0074586F" w:rsidRDefault="0015528B">
      <w:pPr>
        <w:rPr>
          <w:b/>
          <w:bCs/>
          <w:sz w:val="24"/>
          <w:szCs w:val="24"/>
        </w:rPr>
      </w:pPr>
    </w:p>
    <w:p w14:paraId="2120A4D9" w14:textId="77777777" w:rsidR="0015528B" w:rsidRPr="0074586F" w:rsidRDefault="0015528B">
      <w:pPr>
        <w:rPr>
          <w:b/>
          <w:bCs/>
          <w:sz w:val="24"/>
          <w:szCs w:val="24"/>
        </w:rPr>
      </w:pPr>
    </w:p>
    <w:p w14:paraId="7C60CC4E" w14:textId="77777777" w:rsidR="0015528B" w:rsidRPr="0074586F" w:rsidRDefault="0015528B">
      <w:pPr>
        <w:rPr>
          <w:b/>
          <w:bCs/>
          <w:sz w:val="24"/>
          <w:szCs w:val="24"/>
        </w:rPr>
      </w:pPr>
    </w:p>
    <w:p w14:paraId="288AC45F" w14:textId="77777777" w:rsidR="0015528B" w:rsidRPr="0074586F" w:rsidRDefault="0015528B">
      <w:pPr>
        <w:rPr>
          <w:b/>
          <w:bCs/>
          <w:sz w:val="24"/>
          <w:szCs w:val="24"/>
        </w:rPr>
      </w:pPr>
    </w:p>
    <w:p w14:paraId="6E9C4A0C" w14:textId="77777777" w:rsidR="00D13CE3" w:rsidRPr="0074586F" w:rsidRDefault="008D663B">
      <w:pPr>
        <w:rPr>
          <w:b/>
          <w:bCs/>
          <w:sz w:val="28"/>
          <w:szCs w:val="28"/>
        </w:rPr>
      </w:pPr>
      <w:r w:rsidRPr="0074586F">
        <w:rPr>
          <w:b/>
          <w:bCs/>
          <w:sz w:val="28"/>
          <w:szCs w:val="28"/>
        </w:rPr>
        <w:br w:type="column"/>
      </w:r>
    </w:p>
    <w:p w14:paraId="7CD1B0E2" w14:textId="77777777" w:rsidR="00315B4D" w:rsidRPr="00315B4D" w:rsidRDefault="00315B4D" w:rsidP="00315B4D">
      <w:pPr>
        <w:rPr>
          <w:bCs/>
          <w:sz w:val="20"/>
          <w:szCs w:val="24"/>
        </w:rPr>
      </w:pPr>
      <w:r w:rsidRPr="00315B4D">
        <w:rPr>
          <w:bCs/>
          <w:szCs w:val="28"/>
        </w:rPr>
        <w:t>Figure 1. Distribution of the PPWWM</w:t>
      </w:r>
    </w:p>
    <w:p w14:paraId="137BB821" w14:textId="77777777" w:rsidR="00FB7173" w:rsidRPr="0074586F" w:rsidRDefault="00FB7173">
      <w:pPr>
        <w:rPr>
          <w:b/>
          <w:bCs/>
          <w:sz w:val="28"/>
          <w:szCs w:val="28"/>
        </w:rPr>
      </w:pPr>
    </w:p>
    <w:p w14:paraId="0C537E5E" w14:textId="77777777" w:rsidR="00FB7173" w:rsidRPr="0074586F" w:rsidRDefault="00FB7173" w:rsidP="00FB7173">
      <w:pPr>
        <w:autoSpaceDE w:val="0"/>
        <w:autoSpaceDN w:val="0"/>
        <w:adjustRightInd w:val="0"/>
        <w:spacing w:after="0" w:line="240" w:lineRule="auto"/>
        <w:rPr>
          <w:rFonts w:ascii="Times New Roman" w:hAnsi="Times New Roman" w:cs="Times New Roman"/>
          <w:sz w:val="24"/>
          <w:szCs w:val="24"/>
        </w:rPr>
      </w:pPr>
      <w:r w:rsidRPr="0074586F">
        <w:rPr>
          <w:rFonts w:ascii="Times New Roman" w:hAnsi="Times New Roman" w:cs="Times New Roman"/>
          <w:noProof/>
          <w:sz w:val="24"/>
          <w:szCs w:val="24"/>
          <w:lang w:eastAsia="en-GB"/>
        </w:rPr>
        <w:drawing>
          <wp:inline distT="0" distB="0" distL="0" distR="0" wp14:anchorId="028C4159" wp14:editId="50F278B4">
            <wp:extent cx="5915025" cy="35064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3506470"/>
                    </a:xfrm>
                    <a:prstGeom prst="rect">
                      <a:avLst/>
                    </a:prstGeom>
                    <a:noFill/>
                    <a:ln>
                      <a:noFill/>
                    </a:ln>
                  </pic:spPr>
                </pic:pic>
              </a:graphicData>
            </a:graphic>
          </wp:inline>
        </w:drawing>
      </w:r>
    </w:p>
    <w:p w14:paraId="7A238E59" w14:textId="77777777" w:rsidR="00B50C9F" w:rsidRDefault="00B50C9F">
      <w:pPr>
        <w:rPr>
          <w:bCs/>
          <w:sz w:val="28"/>
          <w:szCs w:val="28"/>
        </w:rPr>
      </w:pPr>
    </w:p>
    <w:p w14:paraId="4118E0FF" w14:textId="77777777" w:rsidR="00A2457A" w:rsidRPr="00B50C9F" w:rsidRDefault="00B50C9F">
      <w:pPr>
        <w:rPr>
          <w:bCs/>
          <w:sz w:val="28"/>
          <w:szCs w:val="28"/>
        </w:rPr>
      </w:pPr>
      <w:r w:rsidRPr="00B50C9F">
        <w:rPr>
          <w:bCs/>
          <w:sz w:val="28"/>
          <w:szCs w:val="28"/>
        </w:rPr>
        <w:t>Note: Can be printed in grey-scale</w:t>
      </w:r>
    </w:p>
    <w:p w14:paraId="727C696E" w14:textId="77777777" w:rsidR="00D55223" w:rsidRDefault="00741772" w:rsidP="00F9599C">
      <w:pPr>
        <w:rPr>
          <w:b/>
          <w:bCs/>
          <w:sz w:val="24"/>
          <w:szCs w:val="24"/>
        </w:rPr>
      </w:pPr>
      <w:r>
        <w:rPr>
          <w:b/>
          <w:bCs/>
          <w:sz w:val="24"/>
          <w:szCs w:val="24"/>
        </w:rPr>
        <w:br w:type="column"/>
      </w:r>
      <w:r w:rsidR="00F9599C">
        <w:rPr>
          <w:b/>
          <w:bCs/>
          <w:sz w:val="24"/>
          <w:szCs w:val="24"/>
        </w:rPr>
        <w:lastRenderedPageBreak/>
        <w:t xml:space="preserve"> </w:t>
      </w:r>
    </w:p>
    <w:p w14:paraId="29E59627" w14:textId="77777777" w:rsidR="00D55223" w:rsidRPr="0074586F" w:rsidRDefault="00D55223">
      <w:pPr>
        <w:rPr>
          <w:b/>
          <w:bCs/>
          <w:sz w:val="24"/>
          <w:szCs w:val="24"/>
        </w:rPr>
      </w:pPr>
    </w:p>
    <w:sectPr w:rsidR="00D55223" w:rsidRPr="0074586F" w:rsidSect="00A245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968F7" w14:textId="77777777" w:rsidR="005110A7" w:rsidRDefault="005110A7" w:rsidP="002F7C3F">
      <w:pPr>
        <w:spacing w:after="0" w:line="240" w:lineRule="auto"/>
      </w:pPr>
      <w:r>
        <w:separator/>
      </w:r>
    </w:p>
  </w:endnote>
  <w:endnote w:type="continuationSeparator" w:id="0">
    <w:p w14:paraId="6F538174" w14:textId="77777777" w:rsidR="005110A7" w:rsidRDefault="005110A7" w:rsidP="002F7C3F">
      <w:pPr>
        <w:spacing w:after="0" w:line="240" w:lineRule="auto"/>
      </w:pPr>
      <w:r>
        <w:continuationSeparator/>
      </w:r>
    </w:p>
  </w:endnote>
  <w:endnote w:type="continuationNotice" w:id="1">
    <w:p w14:paraId="533751F6" w14:textId="77777777" w:rsidR="005110A7" w:rsidRDefault="00511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E684" w14:textId="77777777" w:rsidR="005110A7" w:rsidRDefault="0051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4DC9" w14:textId="77777777" w:rsidR="005110A7" w:rsidRDefault="005110A7" w:rsidP="002F7C3F">
      <w:pPr>
        <w:spacing w:after="0" w:line="240" w:lineRule="auto"/>
      </w:pPr>
      <w:r>
        <w:separator/>
      </w:r>
    </w:p>
  </w:footnote>
  <w:footnote w:type="continuationSeparator" w:id="0">
    <w:p w14:paraId="6A593BC4" w14:textId="77777777" w:rsidR="005110A7" w:rsidRDefault="005110A7" w:rsidP="002F7C3F">
      <w:pPr>
        <w:spacing w:after="0" w:line="240" w:lineRule="auto"/>
      </w:pPr>
      <w:r>
        <w:continuationSeparator/>
      </w:r>
    </w:p>
  </w:footnote>
  <w:footnote w:type="continuationNotice" w:id="1">
    <w:p w14:paraId="0FAC48CC" w14:textId="77777777" w:rsidR="005110A7" w:rsidRDefault="00511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8FDE" w14:textId="77777777" w:rsidR="005110A7" w:rsidRDefault="00511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2057"/>
    <w:multiLevelType w:val="hybridMultilevel"/>
    <w:tmpl w:val="CF9A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64D9D"/>
    <w:multiLevelType w:val="multilevel"/>
    <w:tmpl w:val="83188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B04BC"/>
    <w:multiLevelType w:val="hybridMultilevel"/>
    <w:tmpl w:val="C206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11124"/>
    <w:multiLevelType w:val="hybridMultilevel"/>
    <w:tmpl w:val="966AF626"/>
    <w:lvl w:ilvl="0" w:tplc="2C644F2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45"/>
    <w:rsid w:val="00002705"/>
    <w:rsid w:val="000057E5"/>
    <w:rsid w:val="00010187"/>
    <w:rsid w:val="000116F2"/>
    <w:rsid w:val="00022C00"/>
    <w:rsid w:val="000306C4"/>
    <w:rsid w:val="000400C1"/>
    <w:rsid w:val="00042323"/>
    <w:rsid w:val="00043259"/>
    <w:rsid w:val="0004410F"/>
    <w:rsid w:val="000449D4"/>
    <w:rsid w:val="00045F12"/>
    <w:rsid w:val="00051344"/>
    <w:rsid w:val="00061368"/>
    <w:rsid w:val="00061E3F"/>
    <w:rsid w:val="000657E9"/>
    <w:rsid w:val="00067F38"/>
    <w:rsid w:val="0007239D"/>
    <w:rsid w:val="000746C5"/>
    <w:rsid w:val="00076C75"/>
    <w:rsid w:val="000962A4"/>
    <w:rsid w:val="00096C51"/>
    <w:rsid w:val="00096E78"/>
    <w:rsid w:val="000B631B"/>
    <w:rsid w:val="000C36FA"/>
    <w:rsid w:val="000C5946"/>
    <w:rsid w:val="000C6001"/>
    <w:rsid w:val="000D04F8"/>
    <w:rsid w:val="000E18DF"/>
    <w:rsid w:val="000E3A81"/>
    <w:rsid w:val="000E456F"/>
    <w:rsid w:val="000E5621"/>
    <w:rsid w:val="000F1257"/>
    <w:rsid w:val="000F3E23"/>
    <w:rsid w:val="000F5B6D"/>
    <w:rsid w:val="001028A3"/>
    <w:rsid w:val="00105E47"/>
    <w:rsid w:val="001104CC"/>
    <w:rsid w:val="00111581"/>
    <w:rsid w:val="00120FA8"/>
    <w:rsid w:val="001317AF"/>
    <w:rsid w:val="001324AB"/>
    <w:rsid w:val="001343F8"/>
    <w:rsid w:val="00135356"/>
    <w:rsid w:val="00137D86"/>
    <w:rsid w:val="00142C1F"/>
    <w:rsid w:val="00142DD7"/>
    <w:rsid w:val="001473F1"/>
    <w:rsid w:val="0015110E"/>
    <w:rsid w:val="00153C9B"/>
    <w:rsid w:val="0015528B"/>
    <w:rsid w:val="00165B4E"/>
    <w:rsid w:val="0017201B"/>
    <w:rsid w:val="001766B5"/>
    <w:rsid w:val="001A148D"/>
    <w:rsid w:val="001A320F"/>
    <w:rsid w:val="001A5027"/>
    <w:rsid w:val="001B5B0D"/>
    <w:rsid w:val="001C053D"/>
    <w:rsid w:val="001D1319"/>
    <w:rsid w:val="001D18F5"/>
    <w:rsid w:val="001E1328"/>
    <w:rsid w:val="001E479F"/>
    <w:rsid w:val="001F5DD3"/>
    <w:rsid w:val="002005A0"/>
    <w:rsid w:val="0020461C"/>
    <w:rsid w:val="00215426"/>
    <w:rsid w:val="00223F05"/>
    <w:rsid w:val="00233EFF"/>
    <w:rsid w:val="002435CA"/>
    <w:rsid w:val="002467ED"/>
    <w:rsid w:val="002503AD"/>
    <w:rsid w:val="0025512C"/>
    <w:rsid w:val="00256432"/>
    <w:rsid w:val="002645FC"/>
    <w:rsid w:val="0026535F"/>
    <w:rsid w:val="00273032"/>
    <w:rsid w:val="0027369A"/>
    <w:rsid w:val="00287296"/>
    <w:rsid w:val="00287F18"/>
    <w:rsid w:val="002924B7"/>
    <w:rsid w:val="00294007"/>
    <w:rsid w:val="00295D9A"/>
    <w:rsid w:val="002A26DC"/>
    <w:rsid w:val="002A5019"/>
    <w:rsid w:val="002A6121"/>
    <w:rsid w:val="002B691E"/>
    <w:rsid w:val="002B6D05"/>
    <w:rsid w:val="002C1806"/>
    <w:rsid w:val="002C264B"/>
    <w:rsid w:val="002C78BC"/>
    <w:rsid w:val="002D2317"/>
    <w:rsid w:val="002D295F"/>
    <w:rsid w:val="002D2A5A"/>
    <w:rsid w:val="002D5CE4"/>
    <w:rsid w:val="002D6685"/>
    <w:rsid w:val="002E40B3"/>
    <w:rsid w:val="002E58D6"/>
    <w:rsid w:val="002E7B14"/>
    <w:rsid w:val="002F03E5"/>
    <w:rsid w:val="002F044A"/>
    <w:rsid w:val="002F0DBC"/>
    <w:rsid w:val="002F1AFB"/>
    <w:rsid w:val="002F2408"/>
    <w:rsid w:val="002F3DB0"/>
    <w:rsid w:val="002F7C3F"/>
    <w:rsid w:val="00302038"/>
    <w:rsid w:val="00302426"/>
    <w:rsid w:val="00305D7E"/>
    <w:rsid w:val="00310341"/>
    <w:rsid w:val="003120F0"/>
    <w:rsid w:val="00314527"/>
    <w:rsid w:val="00315B2A"/>
    <w:rsid w:val="00315B4D"/>
    <w:rsid w:val="00320208"/>
    <w:rsid w:val="0034217D"/>
    <w:rsid w:val="003441AB"/>
    <w:rsid w:val="00344E93"/>
    <w:rsid w:val="00351674"/>
    <w:rsid w:val="00356D63"/>
    <w:rsid w:val="00356DC7"/>
    <w:rsid w:val="003653D2"/>
    <w:rsid w:val="00365B33"/>
    <w:rsid w:val="00374A7D"/>
    <w:rsid w:val="00381D76"/>
    <w:rsid w:val="0038452E"/>
    <w:rsid w:val="00393EA5"/>
    <w:rsid w:val="00394F52"/>
    <w:rsid w:val="003A25D3"/>
    <w:rsid w:val="003C0285"/>
    <w:rsid w:val="003C500A"/>
    <w:rsid w:val="003D0036"/>
    <w:rsid w:val="003D34EB"/>
    <w:rsid w:val="003D774B"/>
    <w:rsid w:val="003E20DC"/>
    <w:rsid w:val="003F2889"/>
    <w:rsid w:val="003F2EDA"/>
    <w:rsid w:val="00405A32"/>
    <w:rsid w:val="004126EA"/>
    <w:rsid w:val="004150E1"/>
    <w:rsid w:val="00416AAD"/>
    <w:rsid w:val="0043652D"/>
    <w:rsid w:val="00437238"/>
    <w:rsid w:val="00453002"/>
    <w:rsid w:val="004556F3"/>
    <w:rsid w:val="00457B8F"/>
    <w:rsid w:val="004628E6"/>
    <w:rsid w:val="004643C5"/>
    <w:rsid w:val="00471EF9"/>
    <w:rsid w:val="00475DCB"/>
    <w:rsid w:val="00475E1C"/>
    <w:rsid w:val="004767BD"/>
    <w:rsid w:val="00477605"/>
    <w:rsid w:val="0048556B"/>
    <w:rsid w:val="00486A96"/>
    <w:rsid w:val="0049309D"/>
    <w:rsid w:val="004979BE"/>
    <w:rsid w:val="004A57ED"/>
    <w:rsid w:val="004A64FB"/>
    <w:rsid w:val="004B0BEC"/>
    <w:rsid w:val="004B4076"/>
    <w:rsid w:val="004B62F2"/>
    <w:rsid w:val="004B6FB1"/>
    <w:rsid w:val="004C4DB1"/>
    <w:rsid w:val="004C65D9"/>
    <w:rsid w:val="004C7E83"/>
    <w:rsid w:val="004F4C61"/>
    <w:rsid w:val="00500904"/>
    <w:rsid w:val="00503BCD"/>
    <w:rsid w:val="00505691"/>
    <w:rsid w:val="00506A1B"/>
    <w:rsid w:val="005110A7"/>
    <w:rsid w:val="0052067F"/>
    <w:rsid w:val="005208E7"/>
    <w:rsid w:val="00531954"/>
    <w:rsid w:val="00531BF5"/>
    <w:rsid w:val="00532250"/>
    <w:rsid w:val="00532F74"/>
    <w:rsid w:val="005422D6"/>
    <w:rsid w:val="00550228"/>
    <w:rsid w:val="00551910"/>
    <w:rsid w:val="005724EF"/>
    <w:rsid w:val="00573D6F"/>
    <w:rsid w:val="00575FE4"/>
    <w:rsid w:val="00577591"/>
    <w:rsid w:val="00584483"/>
    <w:rsid w:val="005863B9"/>
    <w:rsid w:val="0059759D"/>
    <w:rsid w:val="005A1370"/>
    <w:rsid w:val="005A1BCE"/>
    <w:rsid w:val="005A35E8"/>
    <w:rsid w:val="005A51E0"/>
    <w:rsid w:val="005A6E92"/>
    <w:rsid w:val="005B0D75"/>
    <w:rsid w:val="005B2771"/>
    <w:rsid w:val="005C2BE7"/>
    <w:rsid w:val="005E386D"/>
    <w:rsid w:val="005E5ED8"/>
    <w:rsid w:val="006004E4"/>
    <w:rsid w:val="00605C08"/>
    <w:rsid w:val="00605EED"/>
    <w:rsid w:val="00613DCE"/>
    <w:rsid w:val="006150EF"/>
    <w:rsid w:val="006201E7"/>
    <w:rsid w:val="006305AE"/>
    <w:rsid w:val="00631326"/>
    <w:rsid w:val="00632AF6"/>
    <w:rsid w:val="00635E4F"/>
    <w:rsid w:val="00641273"/>
    <w:rsid w:val="00646EBC"/>
    <w:rsid w:val="00647D7B"/>
    <w:rsid w:val="00650577"/>
    <w:rsid w:val="0065104E"/>
    <w:rsid w:val="006602C7"/>
    <w:rsid w:val="0066151E"/>
    <w:rsid w:val="006665AE"/>
    <w:rsid w:val="0066796B"/>
    <w:rsid w:val="00667A6C"/>
    <w:rsid w:val="00667B65"/>
    <w:rsid w:val="00672B10"/>
    <w:rsid w:val="006736C8"/>
    <w:rsid w:val="006737C0"/>
    <w:rsid w:val="0067475F"/>
    <w:rsid w:val="0067628F"/>
    <w:rsid w:val="00680E40"/>
    <w:rsid w:val="00685F6C"/>
    <w:rsid w:val="00694817"/>
    <w:rsid w:val="00695918"/>
    <w:rsid w:val="00696E8B"/>
    <w:rsid w:val="006A09F6"/>
    <w:rsid w:val="006A7269"/>
    <w:rsid w:val="006B0F5D"/>
    <w:rsid w:val="006B1FC9"/>
    <w:rsid w:val="006C70FA"/>
    <w:rsid w:val="006C745F"/>
    <w:rsid w:val="006D538A"/>
    <w:rsid w:val="006F37FD"/>
    <w:rsid w:val="006F422E"/>
    <w:rsid w:val="006F57D5"/>
    <w:rsid w:val="006F5D1C"/>
    <w:rsid w:val="00704317"/>
    <w:rsid w:val="007072FA"/>
    <w:rsid w:val="007116A9"/>
    <w:rsid w:val="00723E01"/>
    <w:rsid w:val="0072473C"/>
    <w:rsid w:val="00724F6F"/>
    <w:rsid w:val="00725B68"/>
    <w:rsid w:val="00730901"/>
    <w:rsid w:val="0073234A"/>
    <w:rsid w:val="0073489D"/>
    <w:rsid w:val="00741772"/>
    <w:rsid w:val="0074586F"/>
    <w:rsid w:val="007629E3"/>
    <w:rsid w:val="00762E7A"/>
    <w:rsid w:val="0076633E"/>
    <w:rsid w:val="00766A3C"/>
    <w:rsid w:val="007703FB"/>
    <w:rsid w:val="007717D0"/>
    <w:rsid w:val="00771AE0"/>
    <w:rsid w:val="00771EF8"/>
    <w:rsid w:val="007734E9"/>
    <w:rsid w:val="00777069"/>
    <w:rsid w:val="00786CE5"/>
    <w:rsid w:val="007911CC"/>
    <w:rsid w:val="007968FE"/>
    <w:rsid w:val="00797444"/>
    <w:rsid w:val="007A46E2"/>
    <w:rsid w:val="007B5983"/>
    <w:rsid w:val="007B6EE0"/>
    <w:rsid w:val="007C0FA5"/>
    <w:rsid w:val="007C14B8"/>
    <w:rsid w:val="007C48C6"/>
    <w:rsid w:val="007C5EB3"/>
    <w:rsid w:val="007D0598"/>
    <w:rsid w:val="007D1968"/>
    <w:rsid w:val="007D471B"/>
    <w:rsid w:val="007E6207"/>
    <w:rsid w:val="007F2B39"/>
    <w:rsid w:val="007F4F03"/>
    <w:rsid w:val="007F6E2F"/>
    <w:rsid w:val="00800725"/>
    <w:rsid w:val="00805D21"/>
    <w:rsid w:val="00805DE4"/>
    <w:rsid w:val="00807B4F"/>
    <w:rsid w:val="00810A1E"/>
    <w:rsid w:val="00821F21"/>
    <w:rsid w:val="00822E6B"/>
    <w:rsid w:val="00824877"/>
    <w:rsid w:val="00831DA1"/>
    <w:rsid w:val="008326EE"/>
    <w:rsid w:val="00836107"/>
    <w:rsid w:val="008504B0"/>
    <w:rsid w:val="00851D58"/>
    <w:rsid w:val="00854D5C"/>
    <w:rsid w:val="00857BF6"/>
    <w:rsid w:val="00860916"/>
    <w:rsid w:val="00864310"/>
    <w:rsid w:val="00871B91"/>
    <w:rsid w:val="00875F73"/>
    <w:rsid w:val="008762BB"/>
    <w:rsid w:val="008772D0"/>
    <w:rsid w:val="008879E4"/>
    <w:rsid w:val="00896F26"/>
    <w:rsid w:val="00897646"/>
    <w:rsid w:val="008A257D"/>
    <w:rsid w:val="008B0EBB"/>
    <w:rsid w:val="008B2DF3"/>
    <w:rsid w:val="008B5879"/>
    <w:rsid w:val="008C0DFE"/>
    <w:rsid w:val="008C19A4"/>
    <w:rsid w:val="008D160C"/>
    <w:rsid w:val="008D2659"/>
    <w:rsid w:val="008D663B"/>
    <w:rsid w:val="008E5D26"/>
    <w:rsid w:val="008E7085"/>
    <w:rsid w:val="008F69E6"/>
    <w:rsid w:val="0090304E"/>
    <w:rsid w:val="00903D99"/>
    <w:rsid w:val="00907E30"/>
    <w:rsid w:val="00912A2C"/>
    <w:rsid w:val="00913451"/>
    <w:rsid w:val="00914062"/>
    <w:rsid w:val="009154BC"/>
    <w:rsid w:val="00917BDE"/>
    <w:rsid w:val="009272A6"/>
    <w:rsid w:val="00936278"/>
    <w:rsid w:val="009367A3"/>
    <w:rsid w:val="009375A5"/>
    <w:rsid w:val="0094224C"/>
    <w:rsid w:val="00942A83"/>
    <w:rsid w:val="0094436F"/>
    <w:rsid w:val="009448EC"/>
    <w:rsid w:val="009458BE"/>
    <w:rsid w:val="00945A1C"/>
    <w:rsid w:val="00952EDC"/>
    <w:rsid w:val="00954984"/>
    <w:rsid w:val="00965191"/>
    <w:rsid w:val="0097071F"/>
    <w:rsid w:val="009713FE"/>
    <w:rsid w:val="00982735"/>
    <w:rsid w:val="00986865"/>
    <w:rsid w:val="00986924"/>
    <w:rsid w:val="009914E9"/>
    <w:rsid w:val="00993B04"/>
    <w:rsid w:val="0099437C"/>
    <w:rsid w:val="00994464"/>
    <w:rsid w:val="00997268"/>
    <w:rsid w:val="009A388B"/>
    <w:rsid w:val="009A4D9A"/>
    <w:rsid w:val="009C105A"/>
    <w:rsid w:val="009C349D"/>
    <w:rsid w:val="009C47EE"/>
    <w:rsid w:val="009C4829"/>
    <w:rsid w:val="009C6ECB"/>
    <w:rsid w:val="009D2331"/>
    <w:rsid w:val="009D5E34"/>
    <w:rsid w:val="009E1EDE"/>
    <w:rsid w:val="009F34DA"/>
    <w:rsid w:val="009F34F0"/>
    <w:rsid w:val="009F4C19"/>
    <w:rsid w:val="009F51DC"/>
    <w:rsid w:val="009F5FB1"/>
    <w:rsid w:val="00A10EB2"/>
    <w:rsid w:val="00A1360C"/>
    <w:rsid w:val="00A14ECB"/>
    <w:rsid w:val="00A160E6"/>
    <w:rsid w:val="00A2341B"/>
    <w:rsid w:val="00A24065"/>
    <w:rsid w:val="00A2457A"/>
    <w:rsid w:val="00A26640"/>
    <w:rsid w:val="00A26B10"/>
    <w:rsid w:val="00A313E4"/>
    <w:rsid w:val="00A3741D"/>
    <w:rsid w:val="00A41D83"/>
    <w:rsid w:val="00A505D6"/>
    <w:rsid w:val="00A56C7E"/>
    <w:rsid w:val="00A607A0"/>
    <w:rsid w:val="00A617EA"/>
    <w:rsid w:val="00A63AA0"/>
    <w:rsid w:val="00A70161"/>
    <w:rsid w:val="00A72F59"/>
    <w:rsid w:val="00A86BB6"/>
    <w:rsid w:val="00A93FE7"/>
    <w:rsid w:val="00AA78C0"/>
    <w:rsid w:val="00AB6B5F"/>
    <w:rsid w:val="00AC4E15"/>
    <w:rsid w:val="00AC5193"/>
    <w:rsid w:val="00AC678A"/>
    <w:rsid w:val="00AD244F"/>
    <w:rsid w:val="00AD32A9"/>
    <w:rsid w:val="00AD6BBE"/>
    <w:rsid w:val="00AE1074"/>
    <w:rsid w:val="00AE2293"/>
    <w:rsid w:val="00AE2BC8"/>
    <w:rsid w:val="00AE468E"/>
    <w:rsid w:val="00AE7587"/>
    <w:rsid w:val="00AF3766"/>
    <w:rsid w:val="00AF681B"/>
    <w:rsid w:val="00B00D94"/>
    <w:rsid w:val="00B02245"/>
    <w:rsid w:val="00B113DB"/>
    <w:rsid w:val="00B21081"/>
    <w:rsid w:val="00B430E2"/>
    <w:rsid w:val="00B50C9F"/>
    <w:rsid w:val="00B54861"/>
    <w:rsid w:val="00B57E89"/>
    <w:rsid w:val="00B63DD4"/>
    <w:rsid w:val="00B71AF4"/>
    <w:rsid w:val="00B71D73"/>
    <w:rsid w:val="00B734D4"/>
    <w:rsid w:val="00B754F6"/>
    <w:rsid w:val="00B813D5"/>
    <w:rsid w:val="00B866C1"/>
    <w:rsid w:val="00B87245"/>
    <w:rsid w:val="00B91F01"/>
    <w:rsid w:val="00B93F11"/>
    <w:rsid w:val="00BA750F"/>
    <w:rsid w:val="00BB3A61"/>
    <w:rsid w:val="00BC3D81"/>
    <w:rsid w:val="00BC5F3A"/>
    <w:rsid w:val="00BD0DA7"/>
    <w:rsid w:val="00BD474F"/>
    <w:rsid w:val="00BD4B88"/>
    <w:rsid w:val="00BD5ACB"/>
    <w:rsid w:val="00BE169E"/>
    <w:rsid w:val="00BE48A9"/>
    <w:rsid w:val="00BE54F1"/>
    <w:rsid w:val="00BE7952"/>
    <w:rsid w:val="00BF0838"/>
    <w:rsid w:val="00BF1D96"/>
    <w:rsid w:val="00BF3EDF"/>
    <w:rsid w:val="00BF4533"/>
    <w:rsid w:val="00BF4664"/>
    <w:rsid w:val="00BF53F6"/>
    <w:rsid w:val="00C009C1"/>
    <w:rsid w:val="00C04CFE"/>
    <w:rsid w:val="00C06EAA"/>
    <w:rsid w:val="00C074E8"/>
    <w:rsid w:val="00C10037"/>
    <w:rsid w:val="00C11F87"/>
    <w:rsid w:val="00C22625"/>
    <w:rsid w:val="00C530A6"/>
    <w:rsid w:val="00C62358"/>
    <w:rsid w:val="00C62CC3"/>
    <w:rsid w:val="00C633CD"/>
    <w:rsid w:val="00C64FD4"/>
    <w:rsid w:val="00C73EDE"/>
    <w:rsid w:val="00C80F53"/>
    <w:rsid w:val="00C828A6"/>
    <w:rsid w:val="00C84583"/>
    <w:rsid w:val="00C84C48"/>
    <w:rsid w:val="00C84C78"/>
    <w:rsid w:val="00C9677D"/>
    <w:rsid w:val="00C9678E"/>
    <w:rsid w:val="00CA17D5"/>
    <w:rsid w:val="00CA6DC9"/>
    <w:rsid w:val="00CB28FC"/>
    <w:rsid w:val="00CC75AD"/>
    <w:rsid w:val="00CC7CA1"/>
    <w:rsid w:val="00CD5A2A"/>
    <w:rsid w:val="00CE2518"/>
    <w:rsid w:val="00CF2B97"/>
    <w:rsid w:val="00D0133F"/>
    <w:rsid w:val="00D01BD9"/>
    <w:rsid w:val="00D04EA3"/>
    <w:rsid w:val="00D06F4C"/>
    <w:rsid w:val="00D106EC"/>
    <w:rsid w:val="00D13CE3"/>
    <w:rsid w:val="00D16114"/>
    <w:rsid w:val="00D16E97"/>
    <w:rsid w:val="00D20CBE"/>
    <w:rsid w:val="00D23F7F"/>
    <w:rsid w:val="00D24F8E"/>
    <w:rsid w:val="00D3687E"/>
    <w:rsid w:val="00D3764A"/>
    <w:rsid w:val="00D41912"/>
    <w:rsid w:val="00D55223"/>
    <w:rsid w:val="00D63F5B"/>
    <w:rsid w:val="00D75EE5"/>
    <w:rsid w:val="00D8151D"/>
    <w:rsid w:val="00D82C9B"/>
    <w:rsid w:val="00D82D06"/>
    <w:rsid w:val="00D84F57"/>
    <w:rsid w:val="00D8514B"/>
    <w:rsid w:val="00D90414"/>
    <w:rsid w:val="00D92CE8"/>
    <w:rsid w:val="00D970E8"/>
    <w:rsid w:val="00DA174A"/>
    <w:rsid w:val="00DA706A"/>
    <w:rsid w:val="00DB3EAA"/>
    <w:rsid w:val="00DC07E2"/>
    <w:rsid w:val="00DD44DD"/>
    <w:rsid w:val="00DE07CE"/>
    <w:rsid w:val="00DE3D81"/>
    <w:rsid w:val="00DE42DE"/>
    <w:rsid w:val="00DF0D1E"/>
    <w:rsid w:val="00DF5F74"/>
    <w:rsid w:val="00E06B8C"/>
    <w:rsid w:val="00E1210C"/>
    <w:rsid w:val="00E12F40"/>
    <w:rsid w:val="00E15D95"/>
    <w:rsid w:val="00E22D2B"/>
    <w:rsid w:val="00E23FAC"/>
    <w:rsid w:val="00E34E93"/>
    <w:rsid w:val="00E4332F"/>
    <w:rsid w:val="00E534AF"/>
    <w:rsid w:val="00E75B8B"/>
    <w:rsid w:val="00E75D99"/>
    <w:rsid w:val="00E80FFA"/>
    <w:rsid w:val="00E82013"/>
    <w:rsid w:val="00EA1361"/>
    <w:rsid w:val="00EA49C8"/>
    <w:rsid w:val="00EB72DC"/>
    <w:rsid w:val="00EC0E23"/>
    <w:rsid w:val="00EC0ED2"/>
    <w:rsid w:val="00ED5BDC"/>
    <w:rsid w:val="00ED742C"/>
    <w:rsid w:val="00ED7ACC"/>
    <w:rsid w:val="00EE09D5"/>
    <w:rsid w:val="00EE3BCA"/>
    <w:rsid w:val="00EE4CD5"/>
    <w:rsid w:val="00EE6280"/>
    <w:rsid w:val="00EF3C60"/>
    <w:rsid w:val="00EF586A"/>
    <w:rsid w:val="00F067A4"/>
    <w:rsid w:val="00F13B1A"/>
    <w:rsid w:val="00F143C2"/>
    <w:rsid w:val="00F14C26"/>
    <w:rsid w:val="00F20576"/>
    <w:rsid w:val="00F20CDD"/>
    <w:rsid w:val="00F32660"/>
    <w:rsid w:val="00F36365"/>
    <w:rsid w:val="00F4336C"/>
    <w:rsid w:val="00F44EFE"/>
    <w:rsid w:val="00F4630B"/>
    <w:rsid w:val="00F54A04"/>
    <w:rsid w:val="00F621CC"/>
    <w:rsid w:val="00F75AF2"/>
    <w:rsid w:val="00F766A2"/>
    <w:rsid w:val="00F92B6D"/>
    <w:rsid w:val="00F9599C"/>
    <w:rsid w:val="00FA40EF"/>
    <w:rsid w:val="00FB112F"/>
    <w:rsid w:val="00FB7173"/>
    <w:rsid w:val="00FB76B9"/>
    <w:rsid w:val="00FC4A03"/>
    <w:rsid w:val="00FD039E"/>
    <w:rsid w:val="00FD7E84"/>
    <w:rsid w:val="00FE7315"/>
    <w:rsid w:val="00FF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43FB"/>
  <w15:docId w15:val="{D540304A-36C7-43B0-A591-9E40F04B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23"/>
  </w:style>
  <w:style w:type="paragraph" w:styleId="Heading2">
    <w:name w:val="heading 2"/>
    <w:basedOn w:val="Normal"/>
    <w:next w:val="Normal"/>
    <w:link w:val="Heading2Char"/>
    <w:uiPriority w:val="9"/>
    <w:unhideWhenUsed/>
    <w:qFormat/>
    <w:rsid w:val="002F7C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CE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6EA"/>
    <w:pPr>
      <w:ind w:left="720"/>
      <w:contextualSpacing/>
    </w:pPr>
  </w:style>
  <w:style w:type="paragraph" w:styleId="Header">
    <w:name w:val="header"/>
    <w:basedOn w:val="Normal"/>
    <w:link w:val="HeaderChar"/>
    <w:uiPriority w:val="99"/>
    <w:unhideWhenUsed/>
    <w:rsid w:val="002F7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C3F"/>
  </w:style>
  <w:style w:type="paragraph" w:styleId="Footer">
    <w:name w:val="footer"/>
    <w:basedOn w:val="Normal"/>
    <w:link w:val="FooterChar"/>
    <w:uiPriority w:val="99"/>
    <w:unhideWhenUsed/>
    <w:rsid w:val="002F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C3F"/>
  </w:style>
  <w:style w:type="character" w:customStyle="1" w:styleId="Heading2Char">
    <w:name w:val="Heading 2 Char"/>
    <w:basedOn w:val="DefaultParagraphFont"/>
    <w:link w:val="Heading2"/>
    <w:uiPriority w:val="9"/>
    <w:rsid w:val="002F7C3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C6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8A"/>
    <w:rPr>
      <w:rFonts w:ascii="Segoe UI" w:hAnsi="Segoe UI" w:cs="Segoe UI"/>
      <w:sz w:val="18"/>
      <w:szCs w:val="18"/>
    </w:rPr>
  </w:style>
  <w:style w:type="character" w:styleId="Hyperlink">
    <w:name w:val="Hyperlink"/>
    <w:basedOn w:val="DefaultParagraphFont"/>
    <w:uiPriority w:val="99"/>
    <w:unhideWhenUsed/>
    <w:rsid w:val="00E80FFA"/>
    <w:rPr>
      <w:color w:val="0563C1" w:themeColor="hyperlink"/>
      <w:u w:val="single"/>
    </w:rPr>
  </w:style>
  <w:style w:type="character" w:customStyle="1" w:styleId="UnresolvedMention1">
    <w:name w:val="Unresolved Mention1"/>
    <w:basedOn w:val="DefaultParagraphFont"/>
    <w:uiPriority w:val="99"/>
    <w:semiHidden/>
    <w:unhideWhenUsed/>
    <w:rsid w:val="00E80FFA"/>
    <w:rPr>
      <w:color w:val="605E5C"/>
      <w:shd w:val="clear" w:color="auto" w:fill="E1DFDD"/>
    </w:rPr>
  </w:style>
  <w:style w:type="character" w:styleId="CommentReference">
    <w:name w:val="annotation reference"/>
    <w:basedOn w:val="DefaultParagraphFont"/>
    <w:uiPriority w:val="99"/>
    <w:semiHidden/>
    <w:unhideWhenUsed/>
    <w:rsid w:val="00500904"/>
    <w:rPr>
      <w:sz w:val="16"/>
      <w:szCs w:val="16"/>
    </w:rPr>
  </w:style>
  <w:style w:type="paragraph" w:styleId="CommentText">
    <w:name w:val="annotation text"/>
    <w:basedOn w:val="Normal"/>
    <w:link w:val="CommentTextChar"/>
    <w:uiPriority w:val="99"/>
    <w:semiHidden/>
    <w:unhideWhenUsed/>
    <w:rsid w:val="00500904"/>
    <w:pPr>
      <w:spacing w:line="240" w:lineRule="auto"/>
    </w:pPr>
    <w:rPr>
      <w:sz w:val="20"/>
      <w:szCs w:val="20"/>
    </w:rPr>
  </w:style>
  <w:style w:type="character" w:customStyle="1" w:styleId="CommentTextChar">
    <w:name w:val="Comment Text Char"/>
    <w:basedOn w:val="DefaultParagraphFont"/>
    <w:link w:val="CommentText"/>
    <w:uiPriority w:val="99"/>
    <w:semiHidden/>
    <w:rsid w:val="00500904"/>
    <w:rPr>
      <w:sz w:val="20"/>
      <w:szCs w:val="20"/>
    </w:rPr>
  </w:style>
  <w:style w:type="paragraph" w:styleId="CommentSubject">
    <w:name w:val="annotation subject"/>
    <w:basedOn w:val="CommentText"/>
    <w:next w:val="CommentText"/>
    <w:link w:val="CommentSubjectChar"/>
    <w:uiPriority w:val="99"/>
    <w:semiHidden/>
    <w:unhideWhenUsed/>
    <w:rsid w:val="00500904"/>
    <w:rPr>
      <w:b/>
      <w:bCs/>
    </w:rPr>
  </w:style>
  <w:style w:type="character" w:customStyle="1" w:styleId="CommentSubjectChar">
    <w:name w:val="Comment Subject Char"/>
    <w:basedOn w:val="CommentTextChar"/>
    <w:link w:val="CommentSubject"/>
    <w:uiPriority w:val="99"/>
    <w:semiHidden/>
    <w:rsid w:val="00500904"/>
    <w:rPr>
      <w:b/>
      <w:bCs/>
      <w:sz w:val="20"/>
      <w:szCs w:val="20"/>
    </w:rPr>
  </w:style>
  <w:style w:type="character" w:styleId="Emphasis">
    <w:name w:val="Emphasis"/>
    <w:basedOn w:val="DefaultParagraphFont"/>
    <w:uiPriority w:val="20"/>
    <w:qFormat/>
    <w:rsid w:val="00584483"/>
    <w:rPr>
      <w:i/>
      <w:iCs/>
    </w:rPr>
  </w:style>
  <w:style w:type="character" w:styleId="FollowedHyperlink">
    <w:name w:val="FollowedHyperlink"/>
    <w:basedOn w:val="DefaultParagraphFont"/>
    <w:uiPriority w:val="99"/>
    <w:semiHidden/>
    <w:unhideWhenUsed/>
    <w:rsid w:val="00777069"/>
    <w:rPr>
      <w:color w:val="954F72" w:themeColor="followedHyperlink"/>
      <w:u w:val="single"/>
    </w:rPr>
  </w:style>
  <w:style w:type="paragraph" w:styleId="Revision">
    <w:name w:val="Revision"/>
    <w:hidden/>
    <w:uiPriority w:val="99"/>
    <w:semiHidden/>
    <w:rsid w:val="006C7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30085">
      <w:bodyDiv w:val="1"/>
      <w:marLeft w:val="0"/>
      <w:marRight w:val="0"/>
      <w:marTop w:val="0"/>
      <w:marBottom w:val="0"/>
      <w:divBdr>
        <w:top w:val="none" w:sz="0" w:space="0" w:color="auto"/>
        <w:left w:val="none" w:sz="0" w:space="0" w:color="auto"/>
        <w:bottom w:val="none" w:sz="0" w:space="0" w:color="auto"/>
        <w:right w:val="none" w:sz="0" w:space="0" w:color="auto"/>
      </w:divBdr>
    </w:div>
    <w:div w:id="1241283468">
      <w:bodyDiv w:val="1"/>
      <w:marLeft w:val="0"/>
      <w:marRight w:val="0"/>
      <w:marTop w:val="0"/>
      <w:marBottom w:val="0"/>
      <w:divBdr>
        <w:top w:val="none" w:sz="0" w:space="0" w:color="auto"/>
        <w:left w:val="none" w:sz="0" w:space="0" w:color="auto"/>
        <w:bottom w:val="none" w:sz="0" w:space="0" w:color="auto"/>
        <w:right w:val="none" w:sz="0" w:space="0" w:color="auto"/>
      </w:divBdr>
    </w:div>
    <w:div w:id="1628465866">
      <w:bodyDiv w:val="1"/>
      <w:marLeft w:val="0"/>
      <w:marRight w:val="0"/>
      <w:marTop w:val="0"/>
      <w:marBottom w:val="0"/>
      <w:divBdr>
        <w:top w:val="none" w:sz="0" w:space="0" w:color="auto"/>
        <w:left w:val="none" w:sz="0" w:space="0" w:color="auto"/>
        <w:bottom w:val="none" w:sz="0" w:space="0" w:color="auto"/>
        <w:right w:val="none" w:sz="0" w:space="0" w:color="auto"/>
      </w:divBdr>
    </w:div>
    <w:div w:id="20219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staffsurveys.com/Page/1064/Latest-Results/2018-Resul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1889-E2D6-400F-AEAE-19A45C49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8189</Words>
  <Characters>46679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Morris</dc:creator>
  <cp:lastModifiedBy>Reg Morris</cp:lastModifiedBy>
  <cp:revision>5</cp:revision>
  <cp:lastPrinted>2020-02-19T12:02:00Z</cp:lastPrinted>
  <dcterms:created xsi:type="dcterms:W3CDTF">2020-08-27T13:32:00Z</dcterms:created>
  <dcterms:modified xsi:type="dcterms:W3CDTF">2020-08-27T14:17:00Z</dcterms:modified>
</cp:coreProperties>
</file>