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418" w:rsidRDefault="00A24418" w:rsidP="00E2670D">
      <w:pPr>
        <w:jc w:val="center"/>
        <w:rPr>
          <w:b/>
          <w:i/>
          <w:sz w:val="32"/>
          <w:szCs w:val="32"/>
          <w:u w:val="single"/>
        </w:rPr>
      </w:pPr>
      <w:bookmarkStart w:id="0" w:name="_GoBack"/>
      <w:bookmarkEnd w:id="0"/>
    </w:p>
    <w:p w:rsidR="00A24418" w:rsidRDefault="00A24418" w:rsidP="00E2670D">
      <w:pPr>
        <w:jc w:val="center"/>
        <w:rPr>
          <w:b/>
          <w:i/>
          <w:sz w:val="32"/>
          <w:szCs w:val="32"/>
          <w:u w:val="single"/>
        </w:rPr>
      </w:pPr>
    </w:p>
    <w:p w:rsidR="00D62120" w:rsidRPr="00E2670D" w:rsidRDefault="001255BE" w:rsidP="00E2670D">
      <w:pPr>
        <w:jc w:val="center"/>
        <w:rPr>
          <w:b/>
          <w:i/>
          <w:sz w:val="32"/>
          <w:szCs w:val="32"/>
          <w:u w:val="single"/>
        </w:rPr>
      </w:pPr>
      <w:r>
        <w:rPr>
          <w:b/>
          <w:i/>
          <w:sz w:val="32"/>
          <w:szCs w:val="32"/>
          <w:u w:val="single"/>
        </w:rPr>
        <w:t>Big Bankruptcies</w:t>
      </w:r>
      <w:r w:rsidR="00B669E6" w:rsidRPr="00E2670D">
        <w:rPr>
          <w:b/>
          <w:i/>
          <w:sz w:val="32"/>
          <w:szCs w:val="32"/>
          <w:u w:val="single"/>
        </w:rPr>
        <w:t xml:space="preserve">: </w:t>
      </w:r>
      <w:r>
        <w:rPr>
          <w:b/>
          <w:i/>
          <w:sz w:val="32"/>
          <w:szCs w:val="32"/>
          <w:u w:val="single"/>
        </w:rPr>
        <w:t xml:space="preserve">Evidencing </w:t>
      </w:r>
      <w:r w:rsidR="004B0102">
        <w:rPr>
          <w:b/>
          <w:i/>
          <w:sz w:val="32"/>
          <w:szCs w:val="32"/>
          <w:u w:val="single"/>
        </w:rPr>
        <w:t xml:space="preserve">“Insolvency” </w:t>
      </w:r>
      <w:r w:rsidR="00B669E6" w:rsidRPr="00E2670D">
        <w:rPr>
          <w:b/>
          <w:i/>
          <w:sz w:val="32"/>
          <w:szCs w:val="32"/>
          <w:u w:val="single"/>
        </w:rPr>
        <w:t xml:space="preserve">Eternal </w:t>
      </w:r>
      <w:r w:rsidR="00E2670D" w:rsidRPr="00E2670D">
        <w:rPr>
          <w:b/>
          <w:i/>
          <w:sz w:val="32"/>
          <w:szCs w:val="32"/>
          <w:u w:val="single"/>
        </w:rPr>
        <w:t>Recurrence</w:t>
      </w:r>
      <w:r w:rsidR="00A24418">
        <w:rPr>
          <w:b/>
          <w:i/>
          <w:sz w:val="32"/>
          <w:szCs w:val="32"/>
          <w:u w:val="single"/>
        </w:rPr>
        <w:t xml:space="preserve">, </w:t>
      </w:r>
      <w:r w:rsidR="00E2670D" w:rsidRPr="00E2670D">
        <w:rPr>
          <w:b/>
          <w:i/>
          <w:sz w:val="32"/>
          <w:szCs w:val="32"/>
          <w:u w:val="single"/>
        </w:rPr>
        <w:t>Bankruptcy Tourism</w:t>
      </w:r>
      <w:r w:rsidR="00462C89">
        <w:rPr>
          <w:b/>
          <w:i/>
          <w:sz w:val="32"/>
          <w:szCs w:val="32"/>
          <w:u w:val="single"/>
        </w:rPr>
        <w:t xml:space="preserve"> and</w:t>
      </w:r>
      <w:r>
        <w:rPr>
          <w:b/>
          <w:i/>
          <w:sz w:val="32"/>
          <w:szCs w:val="32"/>
          <w:u w:val="single"/>
        </w:rPr>
        <w:t xml:space="preserve"> the Failure of Limited Liability </w:t>
      </w:r>
    </w:p>
    <w:p w:rsidR="00E2670D" w:rsidRDefault="00E2670D"/>
    <w:p w:rsidR="00E2670D" w:rsidRDefault="00E2670D"/>
    <w:p w:rsidR="00E2670D" w:rsidRDefault="00E2670D" w:rsidP="00E2670D">
      <w:pPr>
        <w:jc w:val="center"/>
        <w:rPr>
          <w:rFonts w:cstheme="minorHAnsi"/>
        </w:rPr>
      </w:pPr>
    </w:p>
    <w:p w:rsidR="00E2670D" w:rsidRPr="00B11955" w:rsidRDefault="00E2670D" w:rsidP="00E2670D">
      <w:pPr>
        <w:jc w:val="center"/>
        <w:rPr>
          <w:rFonts w:cstheme="minorHAnsi"/>
        </w:rPr>
      </w:pPr>
      <w:r w:rsidRPr="00B11955">
        <w:rPr>
          <w:rFonts w:cstheme="minorHAnsi"/>
        </w:rPr>
        <w:t>By</w:t>
      </w:r>
    </w:p>
    <w:p w:rsidR="00E2670D" w:rsidRPr="00B11955" w:rsidRDefault="00E2670D" w:rsidP="00E2670D">
      <w:pPr>
        <w:jc w:val="center"/>
        <w:rPr>
          <w:rFonts w:cstheme="minorHAnsi"/>
        </w:rPr>
      </w:pPr>
    </w:p>
    <w:p w:rsidR="001F40FD" w:rsidRDefault="00E2670D" w:rsidP="001F40FD">
      <w:pPr>
        <w:jc w:val="center"/>
        <w:rPr>
          <w:rFonts w:cstheme="minorHAnsi"/>
        </w:rPr>
      </w:pPr>
      <w:proofErr w:type="spellStart"/>
      <w:r>
        <w:rPr>
          <w:rFonts w:cstheme="minorHAnsi"/>
        </w:rPr>
        <w:t>Dr.</w:t>
      </w:r>
      <w:proofErr w:type="spellEnd"/>
      <w:r w:rsidRPr="00B11955">
        <w:rPr>
          <w:rFonts w:cstheme="minorHAnsi"/>
        </w:rPr>
        <w:t xml:space="preserve"> John Tribe</w:t>
      </w:r>
    </w:p>
    <w:p w:rsidR="001F40FD" w:rsidRDefault="001F40FD" w:rsidP="001F40FD">
      <w:pPr>
        <w:jc w:val="center"/>
        <w:rPr>
          <w:rFonts w:cstheme="minorHAnsi"/>
        </w:rPr>
      </w:pPr>
    </w:p>
    <w:p w:rsidR="001F40FD" w:rsidRDefault="001F40FD" w:rsidP="001F40FD">
      <w:pPr>
        <w:jc w:val="center"/>
        <w:rPr>
          <w:rFonts w:ascii="Arial" w:hAnsi="Arial" w:cs="Arial"/>
          <w:sz w:val="20"/>
          <w:szCs w:val="20"/>
        </w:rPr>
      </w:pPr>
      <w:r>
        <w:rPr>
          <w:rFonts w:ascii="Arial" w:hAnsi="Arial" w:cs="Arial"/>
          <w:sz w:val="20"/>
          <w:szCs w:val="20"/>
        </w:rPr>
        <w:t xml:space="preserve">Member of the Editorial Board, Corporate Rescue &amp; Insolvency (LexisNexis). </w:t>
      </w:r>
    </w:p>
    <w:p w:rsidR="001F40FD" w:rsidRDefault="001F40FD" w:rsidP="001F40FD">
      <w:pPr>
        <w:jc w:val="center"/>
        <w:rPr>
          <w:rFonts w:ascii="Arial" w:hAnsi="Arial" w:cs="Arial"/>
          <w:sz w:val="20"/>
          <w:szCs w:val="20"/>
        </w:rPr>
      </w:pPr>
      <w:r w:rsidRPr="005C20C0">
        <w:rPr>
          <w:rFonts w:ascii="Arial" w:hAnsi="Arial" w:cs="Arial"/>
          <w:sz w:val="20"/>
          <w:szCs w:val="20"/>
        </w:rPr>
        <w:t xml:space="preserve">Senior Lecturer in Law, University of Liverpool &amp; Academic Associate, Exchange Chambers. </w:t>
      </w:r>
    </w:p>
    <w:p w:rsidR="001F40FD" w:rsidRPr="00B11955" w:rsidRDefault="001F40FD" w:rsidP="001F40FD">
      <w:pPr>
        <w:jc w:val="center"/>
        <w:rPr>
          <w:rFonts w:cstheme="minorHAnsi"/>
        </w:rPr>
      </w:pPr>
      <w:r>
        <w:rPr>
          <w:rFonts w:ascii="Arial" w:hAnsi="Arial" w:cs="Arial"/>
          <w:sz w:val="20"/>
          <w:szCs w:val="20"/>
        </w:rPr>
        <w:t xml:space="preserve">This paper was delivered as an annual Insolvency Practitioners’ Association (IPA) lecture in November 2020. </w:t>
      </w:r>
    </w:p>
    <w:p w:rsidR="00E2670D" w:rsidRDefault="00E2670D"/>
    <w:p w:rsidR="00E2670D" w:rsidRDefault="00E2670D"/>
    <w:p w:rsidR="00E2670D" w:rsidRDefault="00E2670D"/>
    <w:p w:rsidR="00E305F7" w:rsidRDefault="00E305F7"/>
    <w:p w:rsidR="00E2670D" w:rsidRPr="00E2670D" w:rsidRDefault="00E2670D">
      <w:pPr>
        <w:rPr>
          <w:b/>
          <w:u w:val="single"/>
        </w:rPr>
      </w:pPr>
      <w:r w:rsidRPr="00E2670D">
        <w:rPr>
          <w:b/>
          <w:u w:val="single"/>
        </w:rPr>
        <w:t xml:space="preserve">Introduction </w:t>
      </w:r>
    </w:p>
    <w:p w:rsidR="00E2670D" w:rsidRDefault="00E2670D"/>
    <w:p w:rsidR="00E2670D" w:rsidRDefault="00E2670D" w:rsidP="00A24418">
      <w:pPr>
        <w:spacing w:line="360" w:lineRule="auto"/>
        <w:jc w:val="both"/>
      </w:pPr>
      <w:r>
        <w:t xml:space="preserve">Bankruptcies which feature </w:t>
      </w:r>
      <w:r w:rsidR="00D62120">
        <w:t>incredibly</w:t>
      </w:r>
      <w:r w:rsidR="00572861">
        <w:t xml:space="preserve"> </w:t>
      </w:r>
      <w:r w:rsidR="00E45C44">
        <w:t>large,</w:t>
      </w:r>
      <w:r>
        <w:t xml:space="preserve"> </w:t>
      </w:r>
      <w:r w:rsidR="00E45C44">
        <w:t xml:space="preserve">almost </w:t>
      </w:r>
      <w:r w:rsidR="00572861">
        <w:t>telephone number size</w:t>
      </w:r>
      <w:r w:rsidR="00A837BD">
        <w:t xml:space="preserve"> figures</w:t>
      </w:r>
      <w:r w:rsidR="00E45C44">
        <w:t xml:space="preserve"> of indebtedness, </w:t>
      </w:r>
      <w:r w:rsidR="00A837BD">
        <w:t>are news</w:t>
      </w:r>
      <w:r w:rsidR="00E45C44">
        <w:t>worthy. They</w:t>
      </w:r>
      <w:r w:rsidR="00A24418">
        <w:t xml:space="preserve"> invariably catch the attention of the </w:t>
      </w:r>
      <w:r w:rsidR="00DD61CE">
        <w:t xml:space="preserve">reading public through the </w:t>
      </w:r>
      <w:r w:rsidR="00A24418">
        <w:t>popular press</w:t>
      </w:r>
      <w:r w:rsidR="005C4384">
        <w:t>,</w:t>
      </w:r>
      <w:r w:rsidR="00A837BD">
        <w:t xml:space="preserve"> </w:t>
      </w:r>
      <w:r w:rsidR="00A24418">
        <w:t xml:space="preserve">as well as insolvency specialists. </w:t>
      </w:r>
      <w:r>
        <w:t xml:space="preserve"> </w:t>
      </w:r>
      <w:r w:rsidR="00A837BD">
        <w:t xml:space="preserve">At first blush </w:t>
      </w:r>
      <w:r>
        <w:t xml:space="preserve">It might appear prurient or sensationalist </w:t>
      </w:r>
      <w:r w:rsidR="00A837BD">
        <w:t>to mull on big bankruptcies for their own sake.</w:t>
      </w:r>
      <w:r w:rsidR="00E45C44">
        <w:t xml:space="preserve"> What can they really teach us about the bankruptcy system and how it is used? </w:t>
      </w:r>
      <w:proofErr w:type="gramStart"/>
      <w:r w:rsidR="00E45C44">
        <w:t>Surely</w:t>
      </w:r>
      <w:proofErr w:type="gramEnd"/>
      <w:r w:rsidR="00E45C44">
        <w:t xml:space="preserve"> they are just noteworthy because of </w:t>
      </w:r>
      <w:r w:rsidR="00D62120">
        <w:t xml:space="preserve">the </w:t>
      </w:r>
      <w:r w:rsidR="00E45C44">
        <w:t xml:space="preserve">size </w:t>
      </w:r>
      <w:r w:rsidR="002A7D2F">
        <w:t xml:space="preserve">of </w:t>
      </w:r>
      <w:r w:rsidR="00D62120">
        <w:t xml:space="preserve">the </w:t>
      </w:r>
      <w:r w:rsidR="002A7D2F">
        <w:t xml:space="preserve">figures involved </w:t>
      </w:r>
      <w:r w:rsidR="00E45C44">
        <w:t xml:space="preserve">and </w:t>
      </w:r>
      <w:r w:rsidR="00243282">
        <w:t>for no other reason</w:t>
      </w:r>
      <w:r w:rsidR="00DD61CE">
        <w:t>,</w:t>
      </w:r>
      <w:r w:rsidR="00243282">
        <w:t xml:space="preserve"> other than being salacious</w:t>
      </w:r>
      <w:r w:rsidR="00E45C44">
        <w:t>.</w:t>
      </w:r>
      <w:r w:rsidR="00A837BD">
        <w:t xml:space="preserve"> However, this relatively unusual type of bankruptcy</w:t>
      </w:r>
      <w:r>
        <w:t xml:space="preserve"> </w:t>
      </w:r>
      <w:r w:rsidR="00E45C44">
        <w:t xml:space="preserve">does have the capacity to </w:t>
      </w:r>
      <w:r>
        <w:t>teach us a number of interesting le</w:t>
      </w:r>
      <w:r w:rsidR="00E45C44">
        <w:t>ssons about the substance of</w:t>
      </w:r>
      <w:r>
        <w:t xml:space="preserve"> personal insolvency law, and bankruptcy</w:t>
      </w:r>
      <w:r w:rsidR="00E45C44">
        <w:t xml:space="preserve"> law</w:t>
      </w:r>
      <w:r>
        <w:t xml:space="preserve"> in particular. </w:t>
      </w:r>
      <w:r w:rsidR="00A26F92">
        <w:t>Relief, rehabilitation and the nature of discharge are the most obvious qualities</w:t>
      </w:r>
      <w:r w:rsidR="002A7D2F">
        <w:t xml:space="preserve"> which big bankruptcies shine a light on</w:t>
      </w:r>
      <w:r w:rsidR="00A26F92">
        <w:t xml:space="preserve">. But there are more.  </w:t>
      </w:r>
    </w:p>
    <w:p w:rsidR="00A837BD" w:rsidRDefault="00A837BD" w:rsidP="00A24418">
      <w:pPr>
        <w:spacing w:line="360" w:lineRule="auto"/>
        <w:jc w:val="both"/>
      </w:pPr>
    </w:p>
    <w:p w:rsidR="00F143A1" w:rsidRDefault="00A837BD" w:rsidP="00A24418">
      <w:pPr>
        <w:spacing w:line="360" w:lineRule="auto"/>
        <w:jc w:val="both"/>
      </w:pPr>
      <w:r>
        <w:t>Big bankruptcies are also instructive because the</w:t>
      </w:r>
      <w:r w:rsidR="00DD3AB3">
        <w:t xml:space="preserve">y </w:t>
      </w:r>
      <w:r w:rsidR="002A7D2F">
        <w:t xml:space="preserve">highlight </w:t>
      </w:r>
      <w:r>
        <w:t>certain trends and weaknesses in our general system of transacting business, in particular personal guarantees and limited liability</w:t>
      </w:r>
      <w:r w:rsidR="00A26F92">
        <w:t xml:space="preserve"> within the capitalist system</w:t>
      </w:r>
      <w:r>
        <w:t xml:space="preserve">. </w:t>
      </w:r>
      <w:r w:rsidR="00A26F92">
        <w:t>Big bankruptcies show</w:t>
      </w:r>
      <w:r w:rsidR="00DD3AB3">
        <w:t xml:space="preserve"> some fissures in capitalism, at least in terms of how transactions are secured and confidence is ma</w:t>
      </w:r>
      <w:r w:rsidR="001F40FD">
        <w:t>intained in the</w:t>
      </w:r>
      <w:r w:rsidR="00F143A1">
        <w:t xml:space="preserve"> credit market place. </w:t>
      </w:r>
      <w:r w:rsidR="00A26F92">
        <w:t>Ultimately, big bankruptcies demonstrate that</w:t>
      </w:r>
      <w:r w:rsidR="00CE147C">
        <w:t xml:space="preserve"> limited liability and personal </w:t>
      </w:r>
      <w:r w:rsidR="00A26F92">
        <w:t>guarantees can operate in a</w:t>
      </w:r>
      <w:r w:rsidR="00CE147C">
        <w:t xml:space="preserve"> dysfunctional </w:t>
      </w:r>
      <w:r w:rsidR="00A26F92">
        <w:t xml:space="preserve">manner. </w:t>
      </w:r>
    </w:p>
    <w:p w:rsidR="00F143A1" w:rsidRDefault="00F143A1" w:rsidP="00A24418">
      <w:pPr>
        <w:spacing w:line="360" w:lineRule="auto"/>
        <w:jc w:val="both"/>
      </w:pPr>
    </w:p>
    <w:p w:rsidR="00CE147C" w:rsidRDefault="00A26F92" w:rsidP="00A24418">
      <w:pPr>
        <w:spacing w:line="360" w:lineRule="auto"/>
        <w:jc w:val="both"/>
      </w:pPr>
      <w:r>
        <w:t xml:space="preserve">Big bankruptcies </w:t>
      </w:r>
      <w:r w:rsidR="00F143A1">
        <w:t xml:space="preserve">also </w:t>
      </w:r>
      <w:r>
        <w:t xml:space="preserve">show that </w:t>
      </w:r>
      <w:r w:rsidR="00CE147C">
        <w:t xml:space="preserve">bankruptcy </w:t>
      </w:r>
      <w:r w:rsidR="00A938EA">
        <w:t>can operate in a</w:t>
      </w:r>
      <w:r w:rsidR="00CE147C">
        <w:t xml:space="preserve"> pre-1869 sense, i.</w:t>
      </w:r>
      <w:r>
        <w:t xml:space="preserve">e. </w:t>
      </w:r>
      <w:r w:rsidR="00A938EA">
        <w:t xml:space="preserve">as </w:t>
      </w:r>
      <w:r>
        <w:t>a form of limited liability</w:t>
      </w:r>
      <w:r w:rsidR="00A938EA">
        <w:t xml:space="preserve"> for business bankruptcies. This is</w:t>
      </w:r>
      <w:r>
        <w:t xml:space="preserve"> particularly</w:t>
      </w:r>
      <w:r w:rsidR="00A938EA">
        <w:t xml:space="preserve"> true</w:t>
      </w:r>
      <w:r>
        <w:t xml:space="preserve"> for those overwhelmed with astronomical quantities of debt where personal guarantees</w:t>
      </w:r>
      <w:r w:rsidR="00A938EA">
        <w:t xml:space="preserve"> cause </w:t>
      </w:r>
      <w:r>
        <w:t>juristic person’s indebtedness to fall on the sho</w:t>
      </w:r>
      <w:r w:rsidR="00A938EA">
        <w:t>ulders of a natural person. T</w:t>
      </w:r>
      <w:r w:rsidR="00A85B09">
        <w:t xml:space="preserve">hat individual </w:t>
      </w:r>
      <w:r>
        <w:t>cannot cope in a financial sense. They are deluged</w:t>
      </w:r>
      <w:r w:rsidR="00A85B09">
        <w:t xml:space="preserve"> with the debt of another</w:t>
      </w:r>
      <w:r w:rsidR="00C30A01">
        <w:t>, albeit an artificial person, a legal fiction</w:t>
      </w:r>
      <w:r>
        <w:t>.</w:t>
      </w:r>
      <w:r w:rsidR="00C30A01">
        <w:t xml:space="preserve"> Bankruptcy provides the tool</w:t>
      </w:r>
      <w:r w:rsidR="00A938EA">
        <w:t xml:space="preserve"> of relief where limited liability has failed or where market conditions demand a personal guarantee.</w:t>
      </w:r>
      <w:r w:rsidR="00F143A1">
        <w:t xml:space="preserve"> In so doing big bankruptcies also highlight the phenomenon of insolvency “eternal recurrence.”</w:t>
      </w:r>
      <w:r>
        <w:t xml:space="preserve"> </w:t>
      </w:r>
      <w:r w:rsidR="00F143A1">
        <w:t>That is the cyclical recurrence of patterns of behaviour and use throughout insolvency history.</w:t>
      </w:r>
    </w:p>
    <w:p w:rsidR="00A26F92" w:rsidRDefault="00A26F92" w:rsidP="00A24418">
      <w:pPr>
        <w:spacing w:line="360" w:lineRule="auto"/>
        <w:jc w:val="both"/>
      </w:pPr>
    </w:p>
    <w:p w:rsidR="00A26F92" w:rsidRDefault="00A26F92" w:rsidP="00A24418">
      <w:pPr>
        <w:spacing w:line="360" w:lineRule="auto"/>
        <w:jc w:val="both"/>
      </w:pPr>
      <w:r>
        <w:t>This essay is divided into three main parts. Part one demonstrates tha</w:t>
      </w:r>
      <w:r w:rsidR="00766305">
        <w:t>t big bankruptcies evidence</w:t>
      </w:r>
      <w:r w:rsidR="00902380">
        <w:t xml:space="preserve"> </w:t>
      </w:r>
      <w:r w:rsidRPr="00A26F92">
        <w:t>bankruptcy</w:t>
      </w:r>
      <w:r w:rsidR="00766305">
        <w:t xml:space="preserve"> law</w:t>
      </w:r>
      <w:r>
        <w:t xml:space="preserve"> performing its proper function as a relief and rehabilitation system. </w:t>
      </w:r>
    </w:p>
    <w:p w:rsidR="00A26F92" w:rsidRDefault="00A26F92" w:rsidP="00A24418">
      <w:pPr>
        <w:spacing w:line="360" w:lineRule="auto"/>
        <w:jc w:val="both"/>
      </w:pPr>
    </w:p>
    <w:p w:rsidR="00A26F92" w:rsidRDefault="00154D42" w:rsidP="00A24418">
      <w:pPr>
        <w:spacing w:line="360" w:lineRule="auto"/>
        <w:jc w:val="both"/>
      </w:pPr>
      <w:r>
        <w:t>Part t</w:t>
      </w:r>
      <w:r w:rsidR="00A26F92">
        <w:t>wo opens a window</w:t>
      </w:r>
      <w:r w:rsidR="00902380">
        <w:t xml:space="preserve"> on the past</w:t>
      </w:r>
      <w:r w:rsidR="00A26F92">
        <w:t>. It shows further e</w:t>
      </w:r>
      <w:r w:rsidR="00A26F92" w:rsidRPr="00A26F92">
        <w:t xml:space="preserve">vidence of </w:t>
      </w:r>
      <w:r w:rsidR="00902380">
        <w:t>Nietzsche’s “eternal r</w:t>
      </w:r>
      <w:r w:rsidR="00A26F92">
        <w:t>ecurrence</w:t>
      </w:r>
      <w:r w:rsidR="00902380">
        <w:t>” operating in insolvency l</w:t>
      </w:r>
      <w:r w:rsidR="00A26F92">
        <w:t xml:space="preserve">aw. </w:t>
      </w:r>
      <w:r w:rsidR="00902380">
        <w:t>E</w:t>
      </w:r>
      <w:r w:rsidR="00A26F92">
        <w:t>ternal recurrence applied to insolvenc</w:t>
      </w:r>
      <w:r w:rsidR="00902380">
        <w:t>y law demonstrates</w:t>
      </w:r>
      <w:r w:rsidR="00A26F92">
        <w:t xml:space="preserve"> cyclical patterns of behaviour over time. In this instance bankruptcy operating as a form of </w:t>
      </w:r>
      <w:r w:rsidR="00902380">
        <w:t xml:space="preserve">limited liability for business bankrupts. Bankruptcy </w:t>
      </w:r>
      <w:r w:rsidR="00766305">
        <w:t xml:space="preserve">law </w:t>
      </w:r>
      <w:r w:rsidR="00902380">
        <w:t xml:space="preserve">caps their exposure in the same way limited liability caps the exposure of shareholders or those who have guaranteed the private limited company’s exposure to creditors. </w:t>
      </w:r>
    </w:p>
    <w:p w:rsidR="00A26F92" w:rsidRDefault="00A26F92" w:rsidP="00A24418">
      <w:pPr>
        <w:spacing w:line="360" w:lineRule="auto"/>
        <w:jc w:val="both"/>
      </w:pPr>
    </w:p>
    <w:p w:rsidR="00902380" w:rsidRDefault="00A26F92" w:rsidP="00A24418">
      <w:pPr>
        <w:spacing w:line="360" w:lineRule="auto"/>
        <w:jc w:val="both"/>
      </w:pPr>
      <w:r>
        <w:t>Part three</w:t>
      </w:r>
      <w:r w:rsidR="00154D42">
        <w:t xml:space="preserve"> shines a</w:t>
      </w:r>
      <w:r w:rsidR="0092074A">
        <w:t xml:space="preserve"> </w:t>
      </w:r>
      <w:r w:rsidR="00154D42">
        <w:t xml:space="preserve">light </w:t>
      </w:r>
      <w:r w:rsidR="0092074A">
        <w:t xml:space="preserve">on </w:t>
      </w:r>
      <w:r w:rsidR="00154D42">
        <w:t xml:space="preserve">big bankruptcies and attempts to </w:t>
      </w:r>
      <w:r w:rsidR="0092074A">
        <w:t>highlight the drivers of the p</w:t>
      </w:r>
      <w:r w:rsidR="00154D42" w:rsidRPr="00154D42">
        <w:t>henomenon and</w:t>
      </w:r>
      <w:r w:rsidR="0092074A">
        <w:t xml:space="preserve"> outline the ramifications for the way we do business. </w:t>
      </w:r>
      <w:r w:rsidR="00902380">
        <w:t xml:space="preserve">Personal guarantees and bankruptcy tourism are identified as two of the main drivers behind big bankruptcies. </w:t>
      </w:r>
    </w:p>
    <w:p w:rsidR="00902380" w:rsidRDefault="00902380" w:rsidP="00A24418">
      <w:pPr>
        <w:spacing w:line="360" w:lineRule="auto"/>
        <w:jc w:val="both"/>
      </w:pPr>
    </w:p>
    <w:p w:rsidR="00A26F92" w:rsidRDefault="00902380" w:rsidP="00A24418">
      <w:pPr>
        <w:spacing w:line="360" w:lineRule="auto"/>
        <w:jc w:val="both"/>
      </w:pPr>
      <w:r>
        <w:t xml:space="preserve">A conclusion then follows which asks </w:t>
      </w:r>
      <w:r w:rsidR="0092074A">
        <w:t xml:space="preserve">whether big bankruptcies highlight </w:t>
      </w:r>
      <w:r>
        <w:t xml:space="preserve">further cracks in capitalism and the various tools we use to transact business. </w:t>
      </w:r>
    </w:p>
    <w:p w:rsidR="000233AF" w:rsidRDefault="000233AF" w:rsidP="00A24418">
      <w:pPr>
        <w:spacing w:line="360" w:lineRule="auto"/>
        <w:jc w:val="both"/>
      </w:pPr>
    </w:p>
    <w:p w:rsidR="000233AF" w:rsidRDefault="000233AF">
      <w:r>
        <w:br w:type="page"/>
      </w:r>
    </w:p>
    <w:p w:rsidR="000233AF" w:rsidRDefault="000233AF" w:rsidP="000233AF">
      <w:pPr>
        <w:spacing w:line="360" w:lineRule="auto"/>
      </w:pPr>
    </w:p>
    <w:p w:rsidR="000233AF" w:rsidRPr="00DD3AB3" w:rsidRDefault="007B1976" w:rsidP="007B1976">
      <w:pPr>
        <w:pStyle w:val="ListParagraph"/>
        <w:numPr>
          <w:ilvl w:val="0"/>
          <w:numId w:val="3"/>
        </w:numPr>
        <w:spacing w:line="360" w:lineRule="auto"/>
        <w:rPr>
          <w:b/>
          <w:u w:val="single"/>
        </w:rPr>
      </w:pPr>
      <w:r>
        <w:rPr>
          <w:b/>
          <w:u w:val="single"/>
        </w:rPr>
        <w:t>Are big bankruptcies indicative of</w:t>
      </w:r>
      <w:r w:rsidR="000233AF" w:rsidRPr="00DD3AB3">
        <w:rPr>
          <w:b/>
          <w:u w:val="single"/>
        </w:rPr>
        <w:t xml:space="preserve"> bankruptcy performing its proper function? </w:t>
      </w:r>
    </w:p>
    <w:p w:rsidR="000233AF" w:rsidRDefault="000233AF" w:rsidP="000233AF">
      <w:pPr>
        <w:spacing w:line="360" w:lineRule="auto"/>
        <w:jc w:val="both"/>
      </w:pPr>
    </w:p>
    <w:p w:rsidR="00476A5E" w:rsidRDefault="000233AF" w:rsidP="00B80F1E">
      <w:pPr>
        <w:spacing w:line="360" w:lineRule="auto"/>
        <w:jc w:val="both"/>
      </w:pPr>
      <w:r>
        <w:t xml:space="preserve">In 2021 it is perhaps now trite to say that bankruptcy offers a relief and rehabilitation function. Recent work has clearly demonstrated that bankruptcy provides a relief mechanism in this credit </w:t>
      </w:r>
      <w:r w:rsidR="007B1976">
        <w:t>biased</w:t>
      </w:r>
      <w:r>
        <w:t xml:space="preserve"> world</w:t>
      </w:r>
      <w:r w:rsidR="007B1976">
        <w:t xml:space="preserve"> which is based on debt</w:t>
      </w:r>
      <w:r>
        <w:t xml:space="preserve"> (e.g. Spooner,</w:t>
      </w:r>
      <w:r w:rsidR="00B80F1E">
        <w:t xml:space="preserve"> J (2019) </w:t>
      </w:r>
      <w:r w:rsidR="00B80F1E" w:rsidRPr="00B80F1E">
        <w:rPr>
          <w:i/>
        </w:rPr>
        <w:t>Bankruptcy - the Case for Relief in an Economy of Debt</w:t>
      </w:r>
      <w:r w:rsidR="00B80F1E">
        <w:t>, CUP</w:t>
      </w:r>
      <w:r>
        <w:t xml:space="preserve">; </w:t>
      </w:r>
      <w:r w:rsidR="00B80F1E">
        <w:t xml:space="preserve">See also: </w:t>
      </w:r>
      <w:r>
        <w:t>Ramsay,</w:t>
      </w:r>
      <w:r w:rsidR="00B80F1E">
        <w:t xml:space="preserve"> I (2017</w:t>
      </w:r>
      <w:r>
        <w:t>)</w:t>
      </w:r>
      <w:r w:rsidR="00B80F1E">
        <w:t xml:space="preserve"> </w:t>
      </w:r>
      <w:r w:rsidR="00B80F1E" w:rsidRPr="00B80F1E">
        <w:rPr>
          <w:i/>
        </w:rPr>
        <w:t>Personal Insolvency in the 21st Century: A Comparative Study of the US and Europe</w:t>
      </w:r>
      <w:r w:rsidR="00B80F1E">
        <w:rPr>
          <w:i/>
        </w:rPr>
        <w:t xml:space="preserve">, </w:t>
      </w:r>
      <w:r w:rsidR="00B80F1E">
        <w:t>Hart, Bloomsbury)</w:t>
      </w:r>
      <w:r>
        <w:t xml:space="preserve">. We have moved on from bankruptcy performing some kind of punitive or deterrent function. Although some parts of the popular press still hold on to this view of insolvency, particularly on the corporate side of the subject, wheeling out the same old hackneyed tropes again and again. </w:t>
      </w:r>
      <w:r w:rsidR="007B1976">
        <w:t>This is erroneous. S</w:t>
      </w:r>
      <w:r>
        <w:t xml:space="preserve">erious research and scholarship </w:t>
      </w:r>
      <w:proofErr w:type="gramStart"/>
      <w:r>
        <w:t>demonstrates</w:t>
      </w:r>
      <w:proofErr w:type="gramEnd"/>
      <w:r>
        <w:t xml:space="preserve"> a different</w:t>
      </w:r>
      <w:r w:rsidR="00564C9F">
        <w:t xml:space="preserve"> picture</w:t>
      </w:r>
      <w:r w:rsidR="007B1976">
        <w:t xml:space="preserve"> of the function of bankruptcy</w:t>
      </w:r>
      <w:r w:rsidR="00476A5E">
        <w:t xml:space="preserve">. </w:t>
      </w:r>
      <w:r w:rsidR="007B1976">
        <w:t>These n</w:t>
      </w:r>
      <w:r w:rsidR="00476A5E">
        <w:t xml:space="preserve">egative views of bankruptcy reflect </w:t>
      </w:r>
      <w:r w:rsidR="007B1976">
        <w:t>its long, and on occasion quasi-</w:t>
      </w:r>
      <w:r w:rsidR="00476A5E">
        <w:t xml:space="preserve">criminal history. To </w:t>
      </w:r>
      <w:r w:rsidR="007B1976">
        <w:t xml:space="preserve">continue to </w:t>
      </w:r>
      <w:r w:rsidR="00476A5E">
        <w:t xml:space="preserve">view bankruptcy in this </w:t>
      </w:r>
      <w:r w:rsidR="007B1976">
        <w:t xml:space="preserve">punitive </w:t>
      </w:r>
      <w:r w:rsidR="00476A5E">
        <w:t>manner</w:t>
      </w:r>
      <w:r w:rsidR="005C4384">
        <w:t>,</w:t>
      </w:r>
      <w:r w:rsidR="00476A5E">
        <w:t xml:space="preserve"> following the reforms introduced by the Enterprise Act 2002</w:t>
      </w:r>
      <w:r w:rsidR="005C4384">
        <w:t>,</w:t>
      </w:r>
      <w:r w:rsidR="00476A5E">
        <w:t xml:space="preserve"> is to completely miss the point of those reforms and subsequent scholarship that has sought to expl</w:t>
      </w:r>
      <w:r w:rsidR="007B1976">
        <w:t xml:space="preserve">ain the purpose of the reforms and the nature of the bankruptcy jurisdiction. </w:t>
      </w:r>
    </w:p>
    <w:p w:rsidR="000233AF" w:rsidRDefault="00476A5E" w:rsidP="000233AF">
      <w:pPr>
        <w:spacing w:line="360" w:lineRule="auto"/>
        <w:jc w:val="both"/>
      </w:pPr>
      <w:r>
        <w:t> </w:t>
      </w:r>
    </w:p>
    <w:p w:rsidR="000233AF" w:rsidRDefault="000233AF" w:rsidP="000233AF">
      <w:pPr>
        <w:spacing w:line="360" w:lineRule="auto"/>
        <w:jc w:val="both"/>
      </w:pPr>
      <w:r>
        <w:t>Perhaps the greatest indicators of this push towards bankruptcy being a true fresh start relief and rehabilitation mechanism are the reforms that led to the online debto</w:t>
      </w:r>
      <w:r w:rsidR="00402389">
        <w:t>rs’ petition mechanisms and</w:t>
      </w:r>
      <w:r>
        <w:t xml:space="preserve"> the adjudicator</w:t>
      </w:r>
      <w:r w:rsidR="00402389">
        <w:t xml:space="preserve"> system</w:t>
      </w:r>
      <w:r>
        <w:t xml:space="preserve"> (</w:t>
      </w:r>
      <w:r w:rsidR="004A69BA">
        <w:t>o</w:t>
      </w:r>
      <w:r w:rsidR="007B1976">
        <w:t xml:space="preserve">n this mechanism see: </w:t>
      </w:r>
      <w:proofErr w:type="spellStart"/>
      <w:r w:rsidR="005A3F2E" w:rsidRPr="005A3F2E">
        <w:rPr>
          <w:i/>
        </w:rPr>
        <w:t>Budniok</w:t>
      </w:r>
      <w:proofErr w:type="spellEnd"/>
      <w:r w:rsidR="005A3F2E" w:rsidRPr="005A3F2E">
        <w:rPr>
          <w:i/>
        </w:rPr>
        <w:t xml:space="preserve"> v. Adjudicator, Insolvency Service</w:t>
      </w:r>
      <w:r w:rsidR="005A3F2E" w:rsidRPr="005A3F2E">
        <w:t xml:space="preserve"> [2017] EWHC 368 (Ch)</w:t>
      </w:r>
      <w:r>
        <w:t xml:space="preserve">). </w:t>
      </w:r>
      <w:r w:rsidR="005A3F2E">
        <w:t>Government policy has been focused</w:t>
      </w:r>
      <w:r w:rsidR="00402389">
        <w:t xml:space="preserve"> on making the bankruptcy system</w:t>
      </w:r>
      <w:r>
        <w:t xml:space="preserve"> more accessible and user friendly</w:t>
      </w:r>
      <w:r w:rsidR="005A3F2E">
        <w:t xml:space="preserve"> for debtors</w:t>
      </w:r>
      <w:r>
        <w:t xml:space="preserve">. </w:t>
      </w:r>
      <w:r w:rsidR="00402389">
        <w:t xml:space="preserve">This policy direction is </w:t>
      </w:r>
      <w:r>
        <w:t xml:space="preserve">pushing us as far away from the Tudor roots of the jurisdiction as terminology allows.  </w:t>
      </w:r>
    </w:p>
    <w:p w:rsidR="000233AF" w:rsidRDefault="000233AF" w:rsidP="000233AF">
      <w:pPr>
        <w:spacing w:line="360" w:lineRule="auto"/>
        <w:jc w:val="both"/>
      </w:pPr>
    </w:p>
    <w:p w:rsidR="000233AF" w:rsidRDefault="000233AF" w:rsidP="000233AF">
      <w:pPr>
        <w:spacing w:line="360" w:lineRule="auto"/>
        <w:jc w:val="both"/>
      </w:pPr>
      <w:r>
        <w:t xml:space="preserve">This </w:t>
      </w:r>
      <w:r w:rsidR="005A3F2E">
        <w:t xml:space="preserve">view of bankruptcy </w:t>
      </w:r>
      <w:r>
        <w:t>means that those facing bankruptcy in the last decade or so have the clearest example of a rehabilitation and relief mechanism that has existed in English and Welsh law. In other words, we are currently at a high point in debtor friendliness</w:t>
      </w:r>
      <w:r w:rsidR="00151808">
        <w:t xml:space="preserve"> and relief and rehabilitation approaches</w:t>
      </w:r>
      <w:r>
        <w:t xml:space="preserve">. </w:t>
      </w:r>
      <w:proofErr w:type="gramStart"/>
      <w:r>
        <w:t>So</w:t>
      </w:r>
      <w:proofErr w:type="gramEnd"/>
      <w:r>
        <w:t xml:space="preserve"> what does</w:t>
      </w:r>
      <w:r w:rsidR="005A3F2E">
        <w:t xml:space="preserve"> this mean for big bankruptcies and what do they mean for the </w:t>
      </w:r>
      <w:r w:rsidR="00151808">
        <w:t xml:space="preserve">bankruptcy </w:t>
      </w:r>
      <w:r w:rsidR="005A3F2E">
        <w:t>jurisdiction?</w:t>
      </w:r>
      <w:r>
        <w:t xml:space="preserve"> Table One</w:t>
      </w:r>
      <w:r w:rsidR="00151808">
        <w:t xml:space="preserve"> (below)</w:t>
      </w:r>
      <w:r>
        <w:t xml:space="preserve"> outlines some of the big bankruptcies in English and Welsh law that have been witnessed over the last forty years or so. </w:t>
      </w:r>
    </w:p>
    <w:p w:rsidR="000233AF" w:rsidRDefault="000233AF" w:rsidP="00A24418">
      <w:pPr>
        <w:spacing w:line="360" w:lineRule="auto"/>
        <w:jc w:val="both"/>
      </w:pPr>
    </w:p>
    <w:p w:rsidR="00E2670D" w:rsidRDefault="00E2670D" w:rsidP="00A24418">
      <w:pPr>
        <w:spacing w:line="360" w:lineRule="auto"/>
        <w:jc w:val="both"/>
      </w:pPr>
    </w:p>
    <w:p w:rsidR="00E2670D" w:rsidRDefault="00E2670D" w:rsidP="00E2670D">
      <w:pPr>
        <w:spacing w:line="360" w:lineRule="auto"/>
      </w:pPr>
    </w:p>
    <w:p w:rsidR="00E2670D" w:rsidRDefault="00E2670D" w:rsidP="00C252AF"/>
    <w:p w:rsidR="00E2670D" w:rsidRDefault="00E2670D" w:rsidP="00E23D3A">
      <w:pPr>
        <w:rPr>
          <w:b/>
          <w:sz w:val="22"/>
          <w:szCs w:val="22"/>
          <w:u w:val="single"/>
        </w:rPr>
      </w:pPr>
      <w:r w:rsidRPr="00A24418">
        <w:rPr>
          <w:b/>
          <w:sz w:val="22"/>
          <w:szCs w:val="22"/>
          <w:u w:val="single"/>
        </w:rPr>
        <w:t>Table O</w:t>
      </w:r>
      <w:r w:rsidR="00C92C93">
        <w:rPr>
          <w:b/>
          <w:sz w:val="22"/>
          <w:szCs w:val="22"/>
          <w:u w:val="single"/>
        </w:rPr>
        <w:t xml:space="preserve">ne: Big Bankruptcies by GBP and </w:t>
      </w:r>
      <w:r w:rsidRPr="00A24418">
        <w:rPr>
          <w:b/>
          <w:sz w:val="22"/>
          <w:szCs w:val="22"/>
          <w:u w:val="single"/>
        </w:rPr>
        <w:t>Year</w:t>
      </w:r>
      <w:r w:rsidR="00C92C93">
        <w:rPr>
          <w:b/>
          <w:sz w:val="22"/>
          <w:szCs w:val="22"/>
          <w:u w:val="single"/>
        </w:rPr>
        <w:t xml:space="preserve"> in </w:t>
      </w:r>
      <w:r w:rsidR="00E23D3A">
        <w:rPr>
          <w:b/>
          <w:sz w:val="22"/>
          <w:szCs w:val="22"/>
          <w:u w:val="single"/>
        </w:rPr>
        <w:t xml:space="preserve">England &amp; Wales under the </w:t>
      </w:r>
      <w:r w:rsidR="00CE147C">
        <w:rPr>
          <w:b/>
          <w:sz w:val="22"/>
          <w:szCs w:val="22"/>
          <w:u w:val="single"/>
        </w:rPr>
        <w:t>Insolvency Act 1986 and its predecessors</w:t>
      </w:r>
    </w:p>
    <w:p w:rsidR="00C92C93" w:rsidRPr="00A24418" w:rsidRDefault="00C92C93" w:rsidP="00E23D3A">
      <w:pPr>
        <w:rPr>
          <w:b/>
          <w:sz w:val="22"/>
          <w:szCs w:val="22"/>
          <w:u w:val="single"/>
        </w:rPr>
      </w:pPr>
    </w:p>
    <w:tbl>
      <w:tblPr>
        <w:tblStyle w:val="TableGrid"/>
        <w:tblW w:w="8847" w:type="dxa"/>
        <w:tblLook w:val="04A0" w:firstRow="1" w:lastRow="0" w:firstColumn="1" w:lastColumn="0" w:noHBand="0" w:noVBand="1"/>
      </w:tblPr>
      <w:tblGrid>
        <w:gridCol w:w="2428"/>
        <w:gridCol w:w="1641"/>
        <w:gridCol w:w="2302"/>
        <w:gridCol w:w="2476"/>
      </w:tblGrid>
      <w:tr w:rsidR="003879E7" w:rsidTr="003879E7">
        <w:trPr>
          <w:trHeight w:val="381"/>
        </w:trPr>
        <w:tc>
          <w:tcPr>
            <w:tcW w:w="2428" w:type="dxa"/>
            <w:shd w:val="pct20" w:color="auto" w:fill="auto"/>
          </w:tcPr>
          <w:p w:rsidR="003879E7" w:rsidRPr="000233AF" w:rsidRDefault="003879E7" w:rsidP="00C92C93">
            <w:pPr>
              <w:jc w:val="center"/>
              <w:rPr>
                <w:b/>
                <w:sz w:val="22"/>
                <w:szCs w:val="22"/>
              </w:rPr>
            </w:pPr>
            <w:r w:rsidRPr="000233AF">
              <w:rPr>
                <w:b/>
                <w:sz w:val="22"/>
                <w:szCs w:val="22"/>
              </w:rPr>
              <w:t>Bankrupt</w:t>
            </w:r>
          </w:p>
        </w:tc>
        <w:tc>
          <w:tcPr>
            <w:tcW w:w="1641" w:type="dxa"/>
            <w:shd w:val="pct20" w:color="auto" w:fill="auto"/>
          </w:tcPr>
          <w:p w:rsidR="003879E7" w:rsidRPr="000233AF" w:rsidRDefault="003879E7" w:rsidP="00C92C93">
            <w:pPr>
              <w:jc w:val="center"/>
              <w:rPr>
                <w:b/>
                <w:sz w:val="22"/>
                <w:szCs w:val="22"/>
              </w:rPr>
            </w:pPr>
            <w:r w:rsidRPr="000233AF">
              <w:rPr>
                <w:b/>
                <w:sz w:val="22"/>
                <w:szCs w:val="22"/>
              </w:rPr>
              <w:t>Year</w:t>
            </w:r>
          </w:p>
        </w:tc>
        <w:tc>
          <w:tcPr>
            <w:tcW w:w="2302" w:type="dxa"/>
            <w:shd w:val="pct20" w:color="auto" w:fill="auto"/>
          </w:tcPr>
          <w:p w:rsidR="003879E7" w:rsidRPr="000233AF" w:rsidRDefault="003879E7" w:rsidP="00C92C93">
            <w:pPr>
              <w:jc w:val="center"/>
              <w:rPr>
                <w:b/>
                <w:sz w:val="22"/>
                <w:szCs w:val="22"/>
              </w:rPr>
            </w:pPr>
            <w:r w:rsidRPr="000233AF">
              <w:rPr>
                <w:b/>
                <w:sz w:val="22"/>
                <w:szCs w:val="22"/>
              </w:rPr>
              <w:t>Relevant Statute</w:t>
            </w:r>
          </w:p>
        </w:tc>
        <w:tc>
          <w:tcPr>
            <w:tcW w:w="2476" w:type="dxa"/>
            <w:shd w:val="pct20" w:color="auto" w:fill="auto"/>
          </w:tcPr>
          <w:p w:rsidR="003879E7" w:rsidRPr="000233AF" w:rsidRDefault="003879E7" w:rsidP="00C92C93">
            <w:pPr>
              <w:jc w:val="center"/>
              <w:rPr>
                <w:b/>
                <w:sz w:val="22"/>
                <w:szCs w:val="22"/>
              </w:rPr>
            </w:pPr>
            <w:r w:rsidRPr="000233AF">
              <w:rPr>
                <w:b/>
                <w:sz w:val="22"/>
                <w:szCs w:val="22"/>
              </w:rPr>
              <w:t>Amount (GBP - £)</w:t>
            </w:r>
          </w:p>
        </w:tc>
      </w:tr>
      <w:tr w:rsidR="00FB60C0" w:rsidTr="003879E7">
        <w:trPr>
          <w:trHeight w:val="483"/>
        </w:trPr>
        <w:tc>
          <w:tcPr>
            <w:tcW w:w="2428" w:type="dxa"/>
          </w:tcPr>
          <w:p w:rsidR="00FB60C0" w:rsidRPr="000233AF" w:rsidRDefault="00FB60C0" w:rsidP="00C92C93">
            <w:pPr>
              <w:jc w:val="center"/>
              <w:rPr>
                <w:sz w:val="22"/>
                <w:szCs w:val="22"/>
              </w:rPr>
            </w:pPr>
            <w:r>
              <w:rPr>
                <w:sz w:val="22"/>
                <w:szCs w:val="22"/>
              </w:rPr>
              <w:t>Boris Becker</w:t>
            </w:r>
          </w:p>
        </w:tc>
        <w:tc>
          <w:tcPr>
            <w:tcW w:w="1641" w:type="dxa"/>
          </w:tcPr>
          <w:p w:rsidR="00FB60C0" w:rsidRPr="000233AF" w:rsidRDefault="00FB60C0" w:rsidP="00C92C93">
            <w:pPr>
              <w:jc w:val="center"/>
              <w:rPr>
                <w:sz w:val="22"/>
                <w:szCs w:val="22"/>
              </w:rPr>
            </w:pPr>
            <w:r>
              <w:rPr>
                <w:sz w:val="22"/>
                <w:szCs w:val="22"/>
              </w:rPr>
              <w:t>2017</w:t>
            </w:r>
          </w:p>
        </w:tc>
        <w:tc>
          <w:tcPr>
            <w:tcW w:w="2302" w:type="dxa"/>
          </w:tcPr>
          <w:p w:rsidR="00FB60C0" w:rsidRPr="000233AF" w:rsidRDefault="00FB60C0" w:rsidP="00C92C93">
            <w:pPr>
              <w:jc w:val="center"/>
              <w:rPr>
                <w:sz w:val="22"/>
                <w:szCs w:val="22"/>
              </w:rPr>
            </w:pPr>
            <w:r>
              <w:rPr>
                <w:sz w:val="22"/>
                <w:szCs w:val="22"/>
              </w:rPr>
              <w:t>Insolvency Act 1986</w:t>
            </w:r>
          </w:p>
        </w:tc>
        <w:tc>
          <w:tcPr>
            <w:tcW w:w="2476" w:type="dxa"/>
          </w:tcPr>
          <w:p w:rsidR="00FB60C0" w:rsidRPr="000233AF" w:rsidRDefault="00FB60C0" w:rsidP="00C92C93">
            <w:pPr>
              <w:jc w:val="center"/>
              <w:rPr>
                <w:sz w:val="22"/>
                <w:szCs w:val="22"/>
              </w:rPr>
            </w:pPr>
            <w:r>
              <w:rPr>
                <w:sz w:val="22"/>
                <w:szCs w:val="22"/>
              </w:rPr>
              <w:t>4.5m</w:t>
            </w:r>
          </w:p>
        </w:tc>
      </w:tr>
      <w:tr w:rsidR="00FB60C0" w:rsidTr="003879E7">
        <w:trPr>
          <w:trHeight w:val="483"/>
        </w:trPr>
        <w:tc>
          <w:tcPr>
            <w:tcW w:w="2428" w:type="dxa"/>
          </w:tcPr>
          <w:p w:rsidR="00FB60C0" w:rsidRPr="000233AF" w:rsidRDefault="00FB60C0" w:rsidP="00C92C93">
            <w:pPr>
              <w:jc w:val="center"/>
              <w:rPr>
                <w:sz w:val="22"/>
                <w:szCs w:val="22"/>
              </w:rPr>
            </w:pPr>
            <w:r w:rsidRPr="000233AF">
              <w:rPr>
                <w:sz w:val="22"/>
                <w:szCs w:val="22"/>
              </w:rPr>
              <w:t>Chris Eubank</w:t>
            </w:r>
          </w:p>
        </w:tc>
        <w:tc>
          <w:tcPr>
            <w:tcW w:w="1641" w:type="dxa"/>
          </w:tcPr>
          <w:p w:rsidR="00FB60C0" w:rsidRPr="000233AF" w:rsidRDefault="00FB60C0" w:rsidP="00C92C93">
            <w:pPr>
              <w:jc w:val="center"/>
              <w:rPr>
                <w:sz w:val="22"/>
                <w:szCs w:val="22"/>
              </w:rPr>
            </w:pPr>
            <w:r w:rsidRPr="000233AF">
              <w:rPr>
                <w:sz w:val="22"/>
                <w:szCs w:val="22"/>
              </w:rPr>
              <w:t>2005</w:t>
            </w:r>
          </w:p>
        </w:tc>
        <w:tc>
          <w:tcPr>
            <w:tcW w:w="2302" w:type="dxa"/>
          </w:tcPr>
          <w:p w:rsidR="00FB60C0" w:rsidRPr="000233AF" w:rsidRDefault="00FB60C0" w:rsidP="00C92C93">
            <w:pPr>
              <w:jc w:val="center"/>
              <w:rPr>
                <w:sz w:val="22"/>
                <w:szCs w:val="22"/>
              </w:rPr>
            </w:pPr>
            <w:r w:rsidRPr="000233AF">
              <w:rPr>
                <w:sz w:val="22"/>
                <w:szCs w:val="22"/>
              </w:rPr>
              <w:t>Insolvency Act 1986</w:t>
            </w:r>
          </w:p>
        </w:tc>
        <w:tc>
          <w:tcPr>
            <w:tcW w:w="2476" w:type="dxa"/>
          </w:tcPr>
          <w:p w:rsidR="00FB60C0" w:rsidRPr="000233AF" w:rsidRDefault="00FB60C0" w:rsidP="00C92C93">
            <w:pPr>
              <w:jc w:val="center"/>
              <w:rPr>
                <w:sz w:val="22"/>
                <w:szCs w:val="22"/>
              </w:rPr>
            </w:pPr>
            <w:r w:rsidRPr="000233AF">
              <w:rPr>
                <w:sz w:val="22"/>
                <w:szCs w:val="22"/>
              </w:rPr>
              <w:t>1,300,000</w:t>
            </w:r>
          </w:p>
        </w:tc>
      </w:tr>
      <w:tr w:rsidR="00FB60C0" w:rsidTr="003879E7">
        <w:trPr>
          <w:trHeight w:val="483"/>
        </w:trPr>
        <w:tc>
          <w:tcPr>
            <w:tcW w:w="2428" w:type="dxa"/>
          </w:tcPr>
          <w:p w:rsidR="00FB60C0" w:rsidRPr="000233AF" w:rsidRDefault="00FB60C0" w:rsidP="00C92C93">
            <w:pPr>
              <w:jc w:val="center"/>
              <w:rPr>
                <w:sz w:val="22"/>
                <w:szCs w:val="22"/>
              </w:rPr>
            </w:pPr>
            <w:r w:rsidRPr="000233AF">
              <w:rPr>
                <w:sz w:val="22"/>
                <w:szCs w:val="22"/>
              </w:rPr>
              <w:t>David Haigh</w:t>
            </w:r>
          </w:p>
        </w:tc>
        <w:tc>
          <w:tcPr>
            <w:tcW w:w="1641" w:type="dxa"/>
          </w:tcPr>
          <w:p w:rsidR="00FB60C0" w:rsidRPr="000233AF" w:rsidRDefault="00FB60C0" w:rsidP="00C92C93">
            <w:pPr>
              <w:jc w:val="center"/>
              <w:rPr>
                <w:sz w:val="22"/>
                <w:szCs w:val="22"/>
              </w:rPr>
            </w:pPr>
            <w:r w:rsidRPr="000233AF">
              <w:rPr>
                <w:sz w:val="22"/>
                <w:szCs w:val="22"/>
              </w:rPr>
              <w:t>2020</w:t>
            </w:r>
          </w:p>
        </w:tc>
        <w:tc>
          <w:tcPr>
            <w:tcW w:w="2302" w:type="dxa"/>
          </w:tcPr>
          <w:p w:rsidR="00FB60C0" w:rsidRPr="000233AF" w:rsidRDefault="00FB60C0" w:rsidP="00C92C93">
            <w:pPr>
              <w:jc w:val="center"/>
              <w:rPr>
                <w:sz w:val="22"/>
                <w:szCs w:val="22"/>
              </w:rPr>
            </w:pPr>
            <w:r w:rsidRPr="000233AF">
              <w:rPr>
                <w:sz w:val="22"/>
                <w:szCs w:val="22"/>
              </w:rPr>
              <w:t>No bankruptcy order</w:t>
            </w:r>
          </w:p>
        </w:tc>
        <w:tc>
          <w:tcPr>
            <w:tcW w:w="2476" w:type="dxa"/>
          </w:tcPr>
          <w:p w:rsidR="00FB60C0" w:rsidRPr="000233AF" w:rsidRDefault="00FB60C0" w:rsidP="00C92C93">
            <w:pPr>
              <w:jc w:val="center"/>
              <w:rPr>
                <w:sz w:val="22"/>
                <w:szCs w:val="22"/>
              </w:rPr>
            </w:pPr>
            <w:r w:rsidRPr="000233AF">
              <w:rPr>
                <w:sz w:val="22"/>
                <w:szCs w:val="22"/>
              </w:rPr>
              <w:t>4m</w:t>
            </w:r>
          </w:p>
        </w:tc>
      </w:tr>
      <w:tr w:rsidR="00FB60C0" w:rsidTr="003879E7">
        <w:trPr>
          <w:trHeight w:val="483"/>
        </w:trPr>
        <w:tc>
          <w:tcPr>
            <w:tcW w:w="2428" w:type="dxa"/>
          </w:tcPr>
          <w:p w:rsidR="00FB60C0" w:rsidRPr="000233AF" w:rsidRDefault="00FB60C0" w:rsidP="00C92C93">
            <w:pPr>
              <w:jc w:val="center"/>
              <w:rPr>
                <w:sz w:val="22"/>
                <w:szCs w:val="22"/>
              </w:rPr>
            </w:pPr>
            <w:r w:rsidRPr="000233AF">
              <w:rPr>
                <w:sz w:val="22"/>
                <w:szCs w:val="22"/>
              </w:rPr>
              <w:t>Jim Davidson</w:t>
            </w:r>
          </w:p>
        </w:tc>
        <w:tc>
          <w:tcPr>
            <w:tcW w:w="1641" w:type="dxa"/>
          </w:tcPr>
          <w:p w:rsidR="00FB60C0" w:rsidRPr="000233AF" w:rsidRDefault="00FB60C0" w:rsidP="00C92C93">
            <w:pPr>
              <w:jc w:val="center"/>
              <w:rPr>
                <w:sz w:val="22"/>
                <w:szCs w:val="22"/>
              </w:rPr>
            </w:pPr>
            <w:r w:rsidRPr="000233AF">
              <w:rPr>
                <w:sz w:val="22"/>
                <w:szCs w:val="22"/>
              </w:rPr>
              <w:t>2006</w:t>
            </w:r>
          </w:p>
        </w:tc>
        <w:tc>
          <w:tcPr>
            <w:tcW w:w="2302" w:type="dxa"/>
          </w:tcPr>
          <w:p w:rsidR="00FB60C0" w:rsidRPr="000233AF" w:rsidRDefault="00FB60C0" w:rsidP="00C92C93">
            <w:pPr>
              <w:jc w:val="center"/>
              <w:rPr>
                <w:sz w:val="22"/>
                <w:szCs w:val="22"/>
              </w:rPr>
            </w:pPr>
            <w:r w:rsidRPr="000233AF">
              <w:rPr>
                <w:sz w:val="22"/>
                <w:szCs w:val="22"/>
              </w:rPr>
              <w:t>Insolvency Act 1986</w:t>
            </w:r>
          </w:p>
        </w:tc>
        <w:tc>
          <w:tcPr>
            <w:tcW w:w="2476" w:type="dxa"/>
          </w:tcPr>
          <w:p w:rsidR="00FB60C0" w:rsidRPr="000233AF" w:rsidRDefault="00FB60C0" w:rsidP="00C92C93">
            <w:pPr>
              <w:jc w:val="center"/>
              <w:rPr>
                <w:sz w:val="22"/>
                <w:szCs w:val="22"/>
              </w:rPr>
            </w:pPr>
            <w:r w:rsidRPr="000233AF">
              <w:rPr>
                <w:sz w:val="22"/>
                <w:szCs w:val="22"/>
              </w:rPr>
              <w:t>700,000</w:t>
            </w:r>
          </w:p>
        </w:tc>
      </w:tr>
      <w:tr w:rsidR="00FB60C0" w:rsidTr="003879E7">
        <w:trPr>
          <w:trHeight w:val="483"/>
        </w:trPr>
        <w:tc>
          <w:tcPr>
            <w:tcW w:w="2428" w:type="dxa"/>
          </w:tcPr>
          <w:p w:rsidR="00FB60C0" w:rsidRPr="000233AF" w:rsidRDefault="00FB60C0" w:rsidP="00C92C93">
            <w:pPr>
              <w:jc w:val="center"/>
              <w:rPr>
                <w:sz w:val="22"/>
                <w:szCs w:val="22"/>
              </w:rPr>
            </w:pPr>
            <w:r w:rsidRPr="000233AF">
              <w:rPr>
                <w:sz w:val="22"/>
                <w:szCs w:val="22"/>
              </w:rPr>
              <w:t>Jimmie Nicol</w:t>
            </w:r>
          </w:p>
          <w:p w:rsidR="00FB60C0" w:rsidRPr="000233AF" w:rsidRDefault="00FB60C0" w:rsidP="00C419B3">
            <w:pPr>
              <w:jc w:val="center"/>
              <w:rPr>
                <w:sz w:val="22"/>
                <w:szCs w:val="22"/>
              </w:rPr>
            </w:pPr>
            <w:r w:rsidRPr="000233AF">
              <w:rPr>
                <w:sz w:val="22"/>
                <w:szCs w:val="22"/>
              </w:rPr>
              <w:t>(1914/1926 Bankruptcy Act)</w:t>
            </w:r>
          </w:p>
        </w:tc>
        <w:tc>
          <w:tcPr>
            <w:tcW w:w="1641" w:type="dxa"/>
          </w:tcPr>
          <w:p w:rsidR="00FB60C0" w:rsidRPr="000233AF" w:rsidRDefault="00FB60C0" w:rsidP="00C92C93">
            <w:pPr>
              <w:jc w:val="center"/>
              <w:rPr>
                <w:sz w:val="22"/>
                <w:szCs w:val="22"/>
              </w:rPr>
            </w:pPr>
            <w:r w:rsidRPr="000233AF">
              <w:rPr>
                <w:sz w:val="22"/>
                <w:szCs w:val="22"/>
              </w:rPr>
              <w:t>1965</w:t>
            </w:r>
          </w:p>
        </w:tc>
        <w:tc>
          <w:tcPr>
            <w:tcW w:w="2302" w:type="dxa"/>
          </w:tcPr>
          <w:p w:rsidR="00FB60C0" w:rsidRPr="000233AF" w:rsidRDefault="00FB60C0" w:rsidP="00C92C93">
            <w:pPr>
              <w:jc w:val="center"/>
              <w:rPr>
                <w:sz w:val="22"/>
                <w:szCs w:val="22"/>
              </w:rPr>
            </w:pPr>
            <w:r w:rsidRPr="000233AF">
              <w:rPr>
                <w:sz w:val="22"/>
                <w:szCs w:val="22"/>
              </w:rPr>
              <w:t>Bankruptcy Act 1925</w:t>
            </w:r>
          </w:p>
        </w:tc>
        <w:tc>
          <w:tcPr>
            <w:tcW w:w="2476" w:type="dxa"/>
          </w:tcPr>
          <w:p w:rsidR="00FB60C0" w:rsidRPr="000233AF" w:rsidRDefault="00FB60C0" w:rsidP="00C92C93">
            <w:pPr>
              <w:jc w:val="center"/>
              <w:rPr>
                <w:sz w:val="22"/>
                <w:szCs w:val="22"/>
              </w:rPr>
            </w:pPr>
            <w:r w:rsidRPr="000233AF">
              <w:rPr>
                <w:sz w:val="22"/>
                <w:szCs w:val="22"/>
              </w:rPr>
              <w:t>4066</w:t>
            </w:r>
          </w:p>
        </w:tc>
      </w:tr>
      <w:tr w:rsidR="00FB60C0" w:rsidTr="003879E7">
        <w:trPr>
          <w:trHeight w:val="483"/>
        </w:trPr>
        <w:tc>
          <w:tcPr>
            <w:tcW w:w="2428" w:type="dxa"/>
          </w:tcPr>
          <w:p w:rsidR="00FB60C0" w:rsidRPr="000233AF" w:rsidRDefault="00FB60C0" w:rsidP="00C92C93">
            <w:pPr>
              <w:jc w:val="center"/>
              <w:rPr>
                <w:sz w:val="22"/>
                <w:szCs w:val="22"/>
              </w:rPr>
            </w:pPr>
            <w:r w:rsidRPr="000233AF">
              <w:rPr>
                <w:sz w:val="22"/>
                <w:szCs w:val="22"/>
              </w:rPr>
              <w:t>John Ignatius Quinn (Sean Quinn)</w:t>
            </w:r>
          </w:p>
        </w:tc>
        <w:tc>
          <w:tcPr>
            <w:tcW w:w="1641" w:type="dxa"/>
          </w:tcPr>
          <w:p w:rsidR="00FB60C0" w:rsidRPr="000233AF" w:rsidRDefault="00FB60C0" w:rsidP="00C92C93">
            <w:pPr>
              <w:jc w:val="center"/>
              <w:rPr>
                <w:sz w:val="22"/>
                <w:szCs w:val="22"/>
              </w:rPr>
            </w:pPr>
            <w:r w:rsidRPr="000233AF">
              <w:rPr>
                <w:sz w:val="22"/>
                <w:szCs w:val="22"/>
              </w:rPr>
              <w:t>2012</w:t>
            </w:r>
          </w:p>
        </w:tc>
        <w:tc>
          <w:tcPr>
            <w:tcW w:w="2302" w:type="dxa"/>
          </w:tcPr>
          <w:p w:rsidR="00FB60C0" w:rsidRPr="000233AF" w:rsidRDefault="00FB60C0" w:rsidP="00C92C93">
            <w:pPr>
              <w:jc w:val="center"/>
              <w:rPr>
                <w:sz w:val="22"/>
                <w:szCs w:val="22"/>
              </w:rPr>
            </w:pPr>
            <w:r w:rsidRPr="000233AF">
              <w:rPr>
                <w:sz w:val="22"/>
                <w:szCs w:val="22"/>
              </w:rPr>
              <w:t>Insolvency Act 1986</w:t>
            </w:r>
          </w:p>
        </w:tc>
        <w:tc>
          <w:tcPr>
            <w:tcW w:w="2476" w:type="dxa"/>
          </w:tcPr>
          <w:p w:rsidR="00FB60C0" w:rsidRPr="000233AF" w:rsidRDefault="00FB60C0" w:rsidP="00C92C93">
            <w:pPr>
              <w:jc w:val="center"/>
              <w:rPr>
                <w:sz w:val="22"/>
                <w:szCs w:val="22"/>
              </w:rPr>
            </w:pPr>
            <w:r w:rsidRPr="00770913">
              <w:rPr>
                <w:sz w:val="22"/>
                <w:szCs w:val="22"/>
              </w:rPr>
              <w:t>€253,951,810.67</w:t>
            </w:r>
          </w:p>
        </w:tc>
      </w:tr>
      <w:tr w:rsidR="00FB60C0" w:rsidTr="003879E7">
        <w:trPr>
          <w:trHeight w:val="483"/>
        </w:trPr>
        <w:tc>
          <w:tcPr>
            <w:tcW w:w="2428" w:type="dxa"/>
          </w:tcPr>
          <w:p w:rsidR="00FB60C0" w:rsidRPr="000233AF" w:rsidRDefault="00FB60C0" w:rsidP="00C92C93">
            <w:pPr>
              <w:jc w:val="center"/>
              <w:rPr>
                <w:sz w:val="22"/>
                <w:szCs w:val="22"/>
              </w:rPr>
            </w:pPr>
            <w:r w:rsidRPr="000233AF">
              <w:rPr>
                <w:sz w:val="22"/>
                <w:szCs w:val="22"/>
              </w:rPr>
              <w:t>Karen Millen</w:t>
            </w:r>
          </w:p>
        </w:tc>
        <w:tc>
          <w:tcPr>
            <w:tcW w:w="1641" w:type="dxa"/>
          </w:tcPr>
          <w:p w:rsidR="00FB60C0" w:rsidRPr="000233AF" w:rsidRDefault="00FB60C0" w:rsidP="00C92C93">
            <w:pPr>
              <w:jc w:val="center"/>
              <w:rPr>
                <w:sz w:val="22"/>
                <w:szCs w:val="22"/>
              </w:rPr>
            </w:pPr>
            <w:r w:rsidRPr="000233AF">
              <w:rPr>
                <w:sz w:val="22"/>
                <w:szCs w:val="22"/>
              </w:rPr>
              <w:t>2016</w:t>
            </w:r>
          </w:p>
        </w:tc>
        <w:tc>
          <w:tcPr>
            <w:tcW w:w="2302" w:type="dxa"/>
          </w:tcPr>
          <w:p w:rsidR="00FB60C0" w:rsidRPr="000233AF" w:rsidRDefault="00FB60C0" w:rsidP="00C92C93">
            <w:pPr>
              <w:jc w:val="center"/>
              <w:rPr>
                <w:sz w:val="22"/>
                <w:szCs w:val="22"/>
              </w:rPr>
            </w:pPr>
            <w:r w:rsidRPr="000233AF">
              <w:rPr>
                <w:sz w:val="22"/>
                <w:szCs w:val="22"/>
              </w:rPr>
              <w:t>Insolvency Act 1986</w:t>
            </w:r>
          </w:p>
        </w:tc>
        <w:tc>
          <w:tcPr>
            <w:tcW w:w="2476" w:type="dxa"/>
          </w:tcPr>
          <w:p w:rsidR="00FB60C0" w:rsidRPr="000233AF" w:rsidRDefault="00FB60C0" w:rsidP="00C92C93">
            <w:pPr>
              <w:jc w:val="center"/>
              <w:rPr>
                <w:sz w:val="22"/>
                <w:szCs w:val="22"/>
              </w:rPr>
            </w:pPr>
            <w:r w:rsidRPr="000233AF">
              <w:rPr>
                <w:sz w:val="22"/>
                <w:szCs w:val="22"/>
              </w:rPr>
              <w:t>6m</w:t>
            </w:r>
          </w:p>
        </w:tc>
      </w:tr>
      <w:tr w:rsidR="00FB60C0" w:rsidTr="003879E7">
        <w:trPr>
          <w:trHeight w:val="483"/>
        </w:trPr>
        <w:tc>
          <w:tcPr>
            <w:tcW w:w="2428" w:type="dxa"/>
          </w:tcPr>
          <w:p w:rsidR="00FB60C0" w:rsidRPr="000233AF" w:rsidRDefault="00FB60C0" w:rsidP="00C92C93">
            <w:pPr>
              <w:jc w:val="center"/>
              <w:rPr>
                <w:sz w:val="22"/>
                <w:szCs w:val="22"/>
              </w:rPr>
            </w:pPr>
            <w:r w:rsidRPr="000233AF">
              <w:rPr>
                <w:sz w:val="22"/>
                <w:szCs w:val="22"/>
              </w:rPr>
              <w:t>Kevin Maxwell</w:t>
            </w:r>
          </w:p>
        </w:tc>
        <w:tc>
          <w:tcPr>
            <w:tcW w:w="1641" w:type="dxa"/>
          </w:tcPr>
          <w:p w:rsidR="00FB60C0" w:rsidRPr="000233AF" w:rsidRDefault="00FB60C0" w:rsidP="00C92C93">
            <w:pPr>
              <w:jc w:val="center"/>
              <w:rPr>
                <w:sz w:val="22"/>
                <w:szCs w:val="22"/>
              </w:rPr>
            </w:pPr>
            <w:r w:rsidRPr="000233AF">
              <w:rPr>
                <w:sz w:val="22"/>
                <w:szCs w:val="22"/>
              </w:rPr>
              <w:t>1992</w:t>
            </w:r>
          </w:p>
        </w:tc>
        <w:tc>
          <w:tcPr>
            <w:tcW w:w="2302" w:type="dxa"/>
          </w:tcPr>
          <w:p w:rsidR="00FB60C0" w:rsidRPr="000233AF" w:rsidRDefault="00FB60C0" w:rsidP="00C92C93">
            <w:pPr>
              <w:jc w:val="center"/>
              <w:rPr>
                <w:sz w:val="22"/>
                <w:szCs w:val="22"/>
              </w:rPr>
            </w:pPr>
            <w:r w:rsidRPr="000233AF">
              <w:rPr>
                <w:sz w:val="22"/>
                <w:szCs w:val="22"/>
              </w:rPr>
              <w:t>Insolvency Act 1986</w:t>
            </w:r>
          </w:p>
        </w:tc>
        <w:tc>
          <w:tcPr>
            <w:tcW w:w="2476" w:type="dxa"/>
          </w:tcPr>
          <w:p w:rsidR="00FB60C0" w:rsidRPr="000233AF" w:rsidRDefault="00FB60C0" w:rsidP="00C92C93">
            <w:pPr>
              <w:jc w:val="center"/>
              <w:rPr>
                <w:sz w:val="22"/>
                <w:szCs w:val="22"/>
              </w:rPr>
            </w:pPr>
            <w:r w:rsidRPr="000233AF">
              <w:rPr>
                <w:sz w:val="22"/>
                <w:szCs w:val="22"/>
              </w:rPr>
              <w:t>406</w:t>
            </w:r>
            <w:r>
              <w:rPr>
                <w:sz w:val="22"/>
                <w:szCs w:val="22"/>
              </w:rPr>
              <w:t>.5</w:t>
            </w:r>
            <w:r w:rsidRPr="000233AF">
              <w:rPr>
                <w:sz w:val="22"/>
                <w:szCs w:val="22"/>
              </w:rPr>
              <w:t>m</w:t>
            </w:r>
          </w:p>
        </w:tc>
      </w:tr>
      <w:tr w:rsidR="00FB60C0" w:rsidTr="003879E7">
        <w:trPr>
          <w:trHeight w:val="483"/>
        </w:trPr>
        <w:tc>
          <w:tcPr>
            <w:tcW w:w="2428" w:type="dxa"/>
          </w:tcPr>
          <w:p w:rsidR="00FB60C0" w:rsidRPr="000233AF" w:rsidRDefault="00FB60C0" w:rsidP="00C92C93">
            <w:pPr>
              <w:jc w:val="center"/>
              <w:rPr>
                <w:sz w:val="22"/>
                <w:szCs w:val="22"/>
              </w:rPr>
            </w:pPr>
            <w:r w:rsidRPr="000233AF">
              <w:rPr>
                <w:sz w:val="22"/>
                <w:szCs w:val="22"/>
              </w:rPr>
              <w:t>Oscar Wilde</w:t>
            </w:r>
          </w:p>
          <w:p w:rsidR="00FB60C0" w:rsidRPr="000233AF" w:rsidRDefault="00FB60C0" w:rsidP="00C92C93">
            <w:pPr>
              <w:jc w:val="center"/>
              <w:rPr>
                <w:sz w:val="22"/>
                <w:szCs w:val="22"/>
              </w:rPr>
            </w:pPr>
            <w:r w:rsidRPr="000233AF">
              <w:rPr>
                <w:sz w:val="22"/>
                <w:szCs w:val="22"/>
              </w:rPr>
              <w:t>(1883 Bankruptcy Act)</w:t>
            </w:r>
          </w:p>
        </w:tc>
        <w:tc>
          <w:tcPr>
            <w:tcW w:w="1641" w:type="dxa"/>
          </w:tcPr>
          <w:p w:rsidR="00FB60C0" w:rsidRPr="000233AF" w:rsidRDefault="00FB60C0" w:rsidP="00C92C93">
            <w:pPr>
              <w:jc w:val="center"/>
              <w:rPr>
                <w:sz w:val="22"/>
                <w:szCs w:val="22"/>
              </w:rPr>
            </w:pPr>
            <w:r w:rsidRPr="000233AF">
              <w:rPr>
                <w:sz w:val="22"/>
                <w:szCs w:val="22"/>
              </w:rPr>
              <w:t>1895</w:t>
            </w:r>
          </w:p>
        </w:tc>
        <w:tc>
          <w:tcPr>
            <w:tcW w:w="2302" w:type="dxa"/>
          </w:tcPr>
          <w:p w:rsidR="00FB60C0" w:rsidRPr="000233AF" w:rsidRDefault="00FB60C0" w:rsidP="00C92C93">
            <w:pPr>
              <w:jc w:val="center"/>
              <w:rPr>
                <w:sz w:val="22"/>
                <w:szCs w:val="22"/>
              </w:rPr>
            </w:pPr>
            <w:r w:rsidRPr="000233AF">
              <w:rPr>
                <w:sz w:val="22"/>
                <w:szCs w:val="22"/>
              </w:rPr>
              <w:t>Bankruptcy Act 1883</w:t>
            </w:r>
          </w:p>
        </w:tc>
        <w:tc>
          <w:tcPr>
            <w:tcW w:w="2476" w:type="dxa"/>
          </w:tcPr>
          <w:p w:rsidR="00FB60C0" w:rsidRPr="000233AF" w:rsidRDefault="00FB60C0" w:rsidP="00C92C93">
            <w:pPr>
              <w:jc w:val="center"/>
              <w:rPr>
                <w:sz w:val="22"/>
                <w:szCs w:val="22"/>
              </w:rPr>
            </w:pPr>
            <w:r w:rsidRPr="000233AF">
              <w:rPr>
                <w:sz w:val="22"/>
                <w:szCs w:val="22"/>
              </w:rPr>
              <w:t>3591</w:t>
            </w:r>
          </w:p>
        </w:tc>
      </w:tr>
      <w:tr w:rsidR="00FB60C0" w:rsidTr="003879E7">
        <w:trPr>
          <w:trHeight w:val="483"/>
        </w:trPr>
        <w:tc>
          <w:tcPr>
            <w:tcW w:w="2428" w:type="dxa"/>
          </w:tcPr>
          <w:p w:rsidR="00FB60C0" w:rsidRPr="000233AF" w:rsidRDefault="00FB60C0" w:rsidP="00C92C93">
            <w:pPr>
              <w:jc w:val="center"/>
              <w:rPr>
                <w:sz w:val="22"/>
                <w:szCs w:val="22"/>
              </w:rPr>
            </w:pPr>
            <w:r w:rsidRPr="000233AF">
              <w:rPr>
                <w:sz w:val="22"/>
                <w:szCs w:val="22"/>
              </w:rPr>
              <w:t>Patrick Hegarty</w:t>
            </w:r>
          </w:p>
        </w:tc>
        <w:tc>
          <w:tcPr>
            <w:tcW w:w="1641" w:type="dxa"/>
          </w:tcPr>
          <w:p w:rsidR="00FB60C0" w:rsidRPr="000233AF" w:rsidRDefault="00FB60C0" w:rsidP="00C92C93">
            <w:pPr>
              <w:jc w:val="center"/>
              <w:rPr>
                <w:sz w:val="22"/>
                <w:szCs w:val="22"/>
              </w:rPr>
            </w:pPr>
            <w:r w:rsidRPr="000233AF">
              <w:rPr>
                <w:sz w:val="22"/>
                <w:szCs w:val="22"/>
              </w:rPr>
              <w:t>2010</w:t>
            </w:r>
          </w:p>
        </w:tc>
        <w:tc>
          <w:tcPr>
            <w:tcW w:w="2302" w:type="dxa"/>
          </w:tcPr>
          <w:p w:rsidR="00FB60C0" w:rsidRPr="000233AF" w:rsidRDefault="00FB60C0" w:rsidP="00C252AF">
            <w:pPr>
              <w:rPr>
                <w:sz w:val="22"/>
                <w:szCs w:val="22"/>
              </w:rPr>
            </w:pPr>
            <w:r>
              <w:rPr>
                <w:sz w:val="22"/>
                <w:szCs w:val="22"/>
              </w:rPr>
              <w:t>(Sequestration)</w:t>
            </w:r>
          </w:p>
        </w:tc>
        <w:tc>
          <w:tcPr>
            <w:tcW w:w="2476" w:type="dxa"/>
          </w:tcPr>
          <w:p w:rsidR="00FB60C0" w:rsidRPr="000233AF" w:rsidRDefault="00FB60C0" w:rsidP="00C92C93">
            <w:pPr>
              <w:jc w:val="center"/>
              <w:rPr>
                <w:sz w:val="22"/>
                <w:szCs w:val="22"/>
              </w:rPr>
            </w:pPr>
            <w:r w:rsidRPr="000233AF">
              <w:rPr>
                <w:sz w:val="22"/>
                <w:szCs w:val="22"/>
              </w:rPr>
              <w:t>500m</w:t>
            </w:r>
          </w:p>
        </w:tc>
      </w:tr>
      <w:tr w:rsidR="00FB60C0" w:rsidTr="003879E7">
        <w:trPr>
          <w:trHeight w:val="483"/>
        </w:trPr>
        <w:tc>
          <w:tcPr>
            <w:tcW w:w="2428" w:type="dxa"/>
          </w:tcPr>
          <w:p w:rsidR="00FB60C0" w:rsidRPr="000233AF" w:rsidRDefault="00FB60C0" w:rsidP="00C92C93">
            <w:pPr>
              <w:jc w:val="center"/>
              <w:rPr>
                <w:sz w:val="22"/>
                <w:szCs w:val="22"/>
              </w:rPr>
            </w:pPr>
            <w:r w:rsidRPr="000233AF">
              <w:rPr>
                <w:sz w:val="22"/>
                <w:szCs w:val="22"/>
              </w:rPr>
              <w:t xml:space="preserve">Rajendra </w:t>
            </w:r>
            <w:proofErr w:type="spellStart"/>
            <w:r w:rsidRPr="000233AF">
              <w:rPr>
                <w:sz w:val="22"/>
                <w:szCs w:val="22"/>
              </w:rPr>
              <w:t>Sethia</w:t>
            </w:r>
            <w:proofErr w:type="spellEnd"/>
          </w:p>
        </w:tc>
        <w:tc>
          <w:tcPr>
            <w:tcW w:w="1641" w:type="dxa"/>
          </w:tcPr>
          <w:p w:rsidR="00FB60C0" w:rsidRPr="000233AF" w:rsidRDefault="00FB60C0" w:rsidP="00C92C93">
            <w:pPr>
              <w:jc w:val="center"/>
              <w:rPr>
                <w:sz w:val="22"/>
                <w:szCs w:val="22"/>
              </w:rPr>
            </w:pPr>
            <w:r w:rsidRPr="000233AF">
              <w:rPr>
                <w:sz w:val="22"/>
                <w:szCs w:val="22"/>
              </w:rPr>
              <w:t>1979</w:t>
            </w:r>
          </w:p>
        </w:tc>
        <w:tc>
          <w:tcPr>
            <w:tcW w:w="2302" w:type="dxa"/>
          </w:tcPr>
          <w:p w:rsidR="00FB60C0" w:rsidRPr="000233AF" w:rsidRDefault="00FB60C0" w:rsidP="00C92C93">
            <w:pPr>
              <w:jc w:val="center"/>
              <w:rPr>
                <w:sz w:val="22"/>
                <w:szCs w:val="22"/>
              </w:rPr>
            </w:pPr>
            <w:r w:rsidRPr="000233AF">
              <w:rPr>
                <w:sz w:val="22"/>
                <w:szCs w:val="22"/>
              </w:rPr>
              <w:t>Bankruptcy Act 1975</w:t>
            </w:r>
          </w:p>
        </w:tc>
        <w:tc>
          <w:tcPr>
            <w:tcW w:w="2476" w:type="dxa"/>
          </w:tcPr>
          <w:p w:rsidR="00FB60C0" w:rsidRPr="000233AF" w:rsidRDefault="00FB60C0" w:rsidP="00C92C93">
            <w:pPr>
              <w:jc w:val="center"/>
              <w:rPr>
                <w:sz w:val="22"/>
                <w:szCs w:val="22"/>
              </w:rPr>
            </w:pPr>
            <w:r w:rsidRPr="000233AF">
              <w:rPr>
                <w:sz w:val="22"/>
                <w:szCs w:val="22"/>
              </w:rPr>
              <w:t>140m</w:t>
            </w:r>
          </w:p>
        </w:tc>
      </w:tr>
      <w:tr w:rsidR="00FB60C0" w:rsidTr="003879E7">
        <w:trPr>
          <w:trHeight w:val="483"/>
        </w:trPr>
        <w:tc>
          <w:tcPr>
            <w:tcW w:w="2428" w:type="dxa"/>
          </w:tcPr>
          <w:p w:rsidR="00FB60C0" w:rsidRPr="000233AF" w:rsidRDefault="00FB60C0" w:rsidP="00C92C93">
            <w:pPr>
              <w:jc w:val="center"/>
              <w:rPr>
                <w:sz w:val="22"/>
                <w:szCs w:val="22"/>
              </w:rPr>
            </w:pPr>
            <w:r>
              <w:rPr>
                <w:sz w:val="22"/>
                <w:szCs w:val="22"/>
              </w:rPr>
              <w:t xml:space="preserve">Vijay </w:t>
            </w:r>
            <w:proofErr w:type="spellStart"/>
            <w:r>
              <w:rPr>
                <w:sz w:val="22"/>
                <w:szCs w:val="22"/>
              </w:rPr>
              <w:t>Mallya</w:t>
            </w:r>
            <w:proofErr w:type="spellEnd"/>
          </w:p>
        </w:tc>
        <w:tc>
          <w:tcPr>
            <w:tcW w:w="1641" w:type="dxa"/>
          </w:tcPr>
          <w:p w:rsidR="00FB60C0" w:rsidRPr="000233AF" w:rsidRDefault="00FB60C0" w:rsidP="00C92C93">
            <w:pPr>
              <w:jc w:val="center"/>
              <w:rPr>
                <w:sz w:val="22"/>
                <w:szCs w:val="22"/>
              </w:rPr>
            </w:pPr>
            <w:r>
              <w:rPr>
                <w:sz w:val="22"/>
                <w:szCs w:val="22"/>
              </w:rPr>
              <w:t>2020</w:t>
            </w:r>
          </w:p>
        </w:tc>
        <w:tc>
          <w:tcPr>
            <w:tcW w:w="2302" w:type="dxa"/>
          </w:tcPr>
          <w:p w:rsidR="00FB60C0" w:rsidRPr="000233AF" w:rsidRDefault="00FB60C0" w:rsidP="00C92C93">
            <w:pPr>
              <w:jc w:val="center"/>
              <w:rPr>
                <w:sz w:val="22"/>
                <w:szCs w:val="22"/>
              </w:rPr>
            </w:pPr>
            <w:r>
              <w:rPr>
                <w:sz w:val="22"/>
                <w:szCs w:val="22"/>
              </w:rPr>
              <w:t>Insolvency Act 1986</w:t>
            </w:r>
          </w:p>
        </w:tc>
        <w:tc>
          <w:tcPr>
            <w:tcW w:w="2476" w:type="dxa"/>
          </w:tcPr>
          <w:p w:rsidR="00FB60C0" w:rsidRPr="000233AF" w:rsidRDefault="00FB60C0" w:rsidP="00C92C93">
            <w:pPr>
              <w:jc w:val="center"/>
              <w:rPr>
                <w:sz w:val="22"/>
                <w:szCs w:val="22"/>
              </w:rPr>
            </w:pPr>
            <w:r>
              <w:rPr>
                <w:sz w:val="22"/>
                <w:szCs w:val="22"/>
              </w:rPr>
              <w:t>1bn</w:t>
            </w:r>
          </w:p>
        </w:tc>
      </w:tr>
      <w:tr w:rsidR="00FB60C0" w:rsidTr="003879E7">
        <w:trPr>
          <w:trHeight w:val="483"/>
        </w:trPr>
        <w:tc>
          <w:tcPr>
            <w:tcW w:w="2428" w:type="dxa"/>
          </w:tcPr>
          <w:p w:rsidR="00FB60C0" w:rsidRPr="000233AF" w:rsidRDefault="00FB60C0" w:rsidP="00C92C93">
            <w:pPr>
              <w:jc w:val="center"/>
              <w:rPr>
                <w:sz w:val="22"/>
                <w:szCs w:val="22"/>
              </w:rPr>
            </w:pPr>
            <w:r w:rsidRPr="00084358">
              <w:rPr>
                <w:sz w:val="22"/>
                <w:szCs w:val="22"/>
              </w:rPr>
              <w:t xml:space="preserve">Vladimir Abramovich </w:t>
            </w:r>
            <w:proofErr w:type="spellStart"/>
            <w:r w:rsidRPr="00084358">
              <w:rPr>
                <w:sz w:val="22"/>
                <w:szCs w:val="22"/>
              </w:rPr>
              <w:t>Kekhman</w:t>
            </w:r>
            <w:proofErr w:type="spellEnd"/>
          </w:p>
        </w:tc>
        <w:tc>
          <w:tcPr>
            <w:tcW w:w="1641" w:type="dxa"/>
          </w:tcPr>
          <w:p w:rsidR="00FB60C0" w:rsidRPr="000233AF" w:rsidRDefault="00FB60C0" w:rsidP="00C92C93">
            <w:pPr>
              <w:jc w:val="center"/>
              <w:rPr>
                <w:sz w:val="22"/>
                <w:szCs w:val="22"/>
              </w:rPr>
            </w:pPr>
            <w:r>
              <w:rPr>
                <w:sz w:val="22"/>
                <w:szCs w:val="22"/>
              </w:rPr>
              <w:t>2015</w:t>
            </w:r>
          </w:p>
        </w:tc>
        <w:tc>
          <w:tcPr>
            <w:tcW w:w="2302" w:type="dxa"/>
          </w:tcPr>
          <w:p w:rsidR="00FB60C0" w:rsidRPr="000233AF" w:rsidRDefault="00FB60C0" w:rsidP="00C92C93">
            <w:pPr>
              <w:jc w:val="center"/>
              <w:rPr>
                <w:sz w:val="22"/>
                <w:szCs w:val="22"/>
              </w:rPr>
            </w:pPr>
            <w:r w:rsidRPr="000233AF">
              <w:rPr>
                <w:sz w:val="22"/>
                <w:szCs w:val="22"/>
              </w:rPr>
              <w:t>Insolvency Act 1986</w:t>
            </w:r>
          </w:p>
        </w:tc>
        <w:tc>
          <w:tcPr>
            <w:tcW w:w="2476" w:type="dxa"/>
          </w:tcPr>
          <w:p w:rsidR="00FB60C0" w:rsidRPr="000233AF" w:rsidRDefault="00FB60C0" w:rsidP="00C92C93">
            <w:pPr>
              <w:jc w:val="center"/>
              <w:rPr>
                <w:sz w:val="22"/>
                <w:szCs w:val="22"/>
              </w:rPr>
            </w:pPr>
            <w:r>
              <w:rPr>
                <w:sz w:val="22"/>
                <w:szCs w:val="22"/>
              </w:rPr>
              <w:t>316</w:t>
            </w:r>
            <w:r w:rsidRPr="000233AF">
              <w:rPr>
                <w:sz w:val="22"/>
                <w:szCs w:val="22"/>
              </w:rPr>
              <w:t>m</w:t>
            </w:r>
          </w:p>
        </w:tc>
      </w:tr>
      <w:tr w:rsidR="00FB60C0" w:rsidTr="003879E7">
        <w:trPr>
          <w:trHeight w:val="483"/>
        </w:trPr>
        <w:tc>
          <w:tcPr>
            <w:tcW w:w="2428" w:type="dxa"/>
          </w:tcPr>
          <w:p w:rsidR="00FB60C0" w:rsidRPr="000233AF" w:rsidRDefault="00FB60C0" w:rsidP="00C92C93">
            <w:pPr>
              <w:jc w:val="center"/>
              <w:rPr>
                <w:sz w:val="22"/>
                <w:szCs w:val="22"/>
              </w:rPr>
            </w:pPr>
            <w:r w:rsidRPr="000233AF">
              <w:rPr>
                <w:sz w:val="22"/>
                <w:szCs w:val="22"/>
              </w:rPr>
              <w:t>William Roche</w:t>
            </w:r>
          </w:p>
        </w:tc>
        <w:tc>
          <w:tcPr>
            <w:tcW w:w="1641" w:type="dxa"/>
          </w:tcPr>
          <w:p w:rsidR="00FB60C0" w:rsidRPr="000233AF" w:rsidRDefault="00FB60C0" w:rsidP="00C92C93">
            <w:pPr>
              <w:jc w:val="center"/>
              <w:rPr>
                <w:sz w:val="22"/>
                <w:szCs w:val="22"/>
              </w:rPr>
            </w:pPr>
            <w:r w:rsidRPr="000233AF">
              <w:rPr>
                <w:sz w:val="22"/>
                <w:szCs w:val="22"/>
              </w:rPr>
              <w:t>1999</w:t>
            </w:r>
          </w:p>
        </w:tc>
        <w:tc>
          <w:tcPr>
            <w:tcW w:w="2302" w:type="dxa"/>
          </w:tcPr>
          <w:p w:rsidR="00FB60C0" w:rsidRPr="000233AF" w:rsidRDefault="00FB60C0" w:rsidP="00C92C93">
            <w:pPr>
              <w:jc w:val="center"/>
              <w:rPr>
                <w:sz w:val="22"/>
                <w:szCs w:val="22"/>
              </w:rPr>
            </w:pPr>
            <w:r w:rsidRPr="000233AF">
              <w:rPr>
                <w:sz w:val="22"/>
                <w:szCs w:val="22"/>
              </w:rPr>
              <w:t>Insolvency Act 1986</w:t>
            </w:r>
          </w:p>
        </w:tc>
        <w:tc>
          <w:tcPr>
            <w:tcW w:w="2476" w:type="dxa"/>
          </w:tcPr>
          <w:p w:rsidR="00FB60C0" w:rsidRPr="000233AF" w:rsidRDefault="00FB60C0" w:rsidP="00C92C93">
            <w:pPr>
              <w:jc w:val="center"/>
              <w:rPr>
                <w:sz w:val="22"/>
                <w:szCs w:val="22"/>
              </w:rPr>
            </w:pPr>
            <w:r w:rsidRPr="000233AF">
              <w:rPr>
                <w:sz w:val="22"/>
                <w:szCs w:val="22"/>
              </w:rPr>
              <w:t>300,000</w:t>
            </w:r>
          </w:p>
        </w:tc>
      </w:tr>
      <w:tr w:rsidR="00FB60C0" w:rsidTr="003879E7">
        <w:trPr>
          <w:trHeight w:val="483"/>
        </w:trPr>
        <w:tc>
          <w:tcPr>
            <w:tcW w:w="2428" w:type="dxa"/>
          </w:tcPr>
          <w:p w:rsidR="00FB60C0" w:rsidRPr="000233AF" w:rsidRDefault="00FB60C0" w:rsidP="00C92C93">
            <w:pPr>
              <w:jc w:val="center"/>
              <w:rPr>
                <w:sz w:val="22"/>
                <w:szCs w:val="22"/>
              </w:rPr>
            </w:pPr>
            <w:r w:rsidRPr="000233AF">
              <w:rPr>
                <w:sz w:val="22"/>
                <w:szCs w:val="22"/>
              </w:rPr>
              <w:t>Willie Stern</w:t>
            </w:r>
          </w:p>
        </w:tc>
        <w:tc>
          <w:tcPr>
            <w:tcW w:w="1641" w:type="dxa"/>
          </w:tcPr>
          <w:p w:rsidR="00FB60C0" w:rsidRPr="000233AF" w:rsidRDefault="00FB60C0" w:rsidP="00C92C93">
            <w:pPr>
              <w:jc w:val="center"/>
              <w:rPr>
                <w:sz w:val="22"/>
                <w:szCs w:val="22"/>
              </w:rPr>
            </w:pPr>
            <w:r>
              <w:rPr>
                <w:sz w:val="22"/>
                <w:szCs w:val="22"/>
              </w:rPr>
              <w:t>1978</w:t>
            </w:r>
          </w:p>
        </w:tc>
        <w:tc>
          <w:tcPr>
            <w:tcW w:w="2302" w:type="dxa"/>
          </w:tcPr>
          <w:p w:rsidR="00FB60C0" w:rsidRPr="000233AF" w:rsidRDefault="00FB60C0" w:rsidP="00C92C93">
            <w:pPr>
              <w:jc w:val="center"/>
              <w:rPr>
                <w:sz w:val="22"/>
                <w:szCs w:val="22"/>
              </w:rPr>
            </w:pPr>
            <w:r w:rsidRPr="000233AF">
              <w:rPr>
                <w:sz w:val="22"/>
                <w:szCs w:val="22"/>
              </w:rPr>
              <w:t>Bankruptcy Act</w:t>
            </w:r>
          </w:p>
        </w:tc>
        <w:tc>
          <w:tcPr>
            <w:tcW w:w="2476" w:type="dxa"/>
          </w:tcPr>
          <w:p w:rsidR="00FB60C0" w:rsidRPr="000233AF" w:rsidRDefault="00FB60C0" w:rsidP="00C92C93">
            <w:pPr>
              <w:jc w:val="center"/>
              <w:rPr>
                <w:sz w:val="22"/>
                <w:szCs w:val="22"/>
              </w:rPr>
            </w:pPr>
            <w:r w:rsidRPr="000233AF">
              <w:rPr>
                <w:sz w:val="22"/>
                <w:szCs w:val="22"/>
              </w:rPr>
              <w:t>118m</w:t>
            </w:r>
          </w:p>
        </w:tc>
      </w:tr>
      <w:tr w:rsidR="00FB60C0" w:rsidTr="003879E7">
        <w:trPr>
          <w:trHeight w:val="483"/>
        </w:trPr>
        <w:tc>
          <w:tcPr>
            <w:tcW w:w="2428" w:type="dxa"/>
          </w:tcPr>
          <w:p w:rsidR="00FB60C0" w:rsidRPr="000233AF" w:rsidRDefault="00FB60C0" w:rsidP="00C92C93">
            <w:pPr>
              <w:jc w:val="center"/>
              <w:rPr>
                <w:sz w:val="22"/>
                <w:szCs w:val="22"/>
              </w:rPr>
            </w:pPr>
            <w:r w:rsidRPr="000233AF">
              <w:rPr>
                <w:sz w:val="22"/>
                <w:szCs w:val="22"/>
              </w:rPr>
              <w:t>Willie Thorne</w:t>
            </w:r>
          </w:p>
        </w:tc>
        <w:tc>
          <w:tcPr>
            <w:tcW w:w="1641" w:type="dxa"/>
          </w:tcPr>
          <w:p w:rsidR="00FB60C0" w:rsidRPr="000233AF" w:rsidRDefault="00FB60C0" w:rsidP="00C92C93">
            <w:pPr>
              <w:jc w:val="center"/>
              <w:rPr>
                <w:sz w:val="22"/>
                <w:szCs w:val="22"/>
              </w:rPr>
            </w:pPr>
            <w:r w:rsidRPr="000233AF">
              <w:rPr>
                <w:sz w:val="22"/>
                <w:szCs w:val="22"/>
              </w:rPr>
              <w:t>2015</w:t>
            </w:r>
          </w:p>
        </w:tc>
        <w:tc>
          <w:tcPr>
            <w:tcW w:w="2302" w:type="dxa"/>
          </w:tcPr>
          <w:p w:rsidR="00FB60C0" w:rsidRPr="000233AF" w:rsidRDefault="00FB60C0" w:rsidP="00C92C93">
            <w:pPr>
              <w:jc w:val="center"/>
              <w:rPr>
                <w:sz w:val="22"/>
                <w:szCs w:val="22"/>
              </w:rPr>
            </w:pPr>
            <w:r w:rsidRPr="000233AF">
              <w:rPr>
                <w:sz w:val="22"/>
                <w:szCs w:val="22"/>
              </w:rPr>
              <w:t>Insolvency Act 1986</w:t>
            </w:r>
          </w:p>
        </w:tc>
        <w:tc>
          <w:tcPr>
            <w:tcW w:w="2476" w:type="dxa"/>
          </w:tcPr>
          <w:p w:rsidR="00FB60C0" w:rsidRPr="000233AF" w:rsidRDefault="00FB60C0" w:rsidP="00C92C93">
            <w:pPr>
              <w:jc w:val="center"/>
              <w:rPr>
                <w:sz w:val="22"/>
                <w:szCs w:val="22"/>
              </w:rPr>
            </w:pPr>
            <w:r w:rsidRPr="000233AF">
              <w:rPr>
                <w:sz w:val="22"/>
                <w:szCs w:val="22"/>
              </w:rPr>
              <w:t>601,204</w:t>
            </w:r>
          </w:p>
        </w:tc>
      </w:tr>
    </w:tbl>
    <w:p w:rsidR="00E2670D" w:rsidRDefault="00E2670D" w:rsidP="00E2670D">
      <w:pPr>
        <w:spacing w:line="360" w:lineRule="auto"/>
      </w:pPr>
    </w:p>
    <w:p w:rsidR="00E2670D" w:rsidRDefault="00E2670D" w:rsidP="00E2670D">
      <w:pPr>
        <w:spacing w:line="360" w:lineRule="auto"/>
      </w:pPr>
    </w:p>
    <w:p w:rsidR="00E2670D" w:rsidRDefault="000233AF" w:rsidP="000233AF">
      <w:pPr>
        <w:spacing w:line="360" w:lineRule="auto"/>
        <w:jc w:val="both"/>
      </w:pPr>
      <w:r>
        <w:t>These big bankruptcies, particular</w:t>
      </w:r>
      <w:r w:rsidR="005A3F2E">
        <w:t>ly</w:t>
      </w:r>
      <w:r>
        <w:t xml:space="preserve"> the more recent ones (e.g. Quinn, </w:t>
      </w:r>
      <w:proofErr w:type="spellStart"/>
      <w:r>
        <w:t>Kekhman</w:t>
      </w:r>
      <w:proofErr w:type="spellEnd"/>
      <w:r w:rsidR="00C252AF">
        <w:t xml:space="preserve">, </w:t>
      </w:r>
      <w:r w:rsidR="00151808">
        <w:t xml:space="preserve">and </w:t>
      </w:r>
      <w:r w:rsidR="00C252AF">
        <w:t>Millen</w:t>
      </w:r>
      <w:r w:rsidR="00151808">
        <w:t>)</w:t>
      </w:r>
      <w:r w:rsidR="005A3F2E">
        <w:t xml:space="preserve"> </w:t>
      </w:r>
      <w:r>
        <w:t>demonstrate that the bankruptcy jurisdiction in England and Wales has been used to</w:t>
      </w:r>
      <w:r w:rsidR="00F52985">
        <w:t xml:space="preserve"> fulfil its relief and rehabilitation functions, particularly by those that arguably need it most. That is, those faced with insurmountable debt obligations. Sums so vast that </w:t>
      </w:r>
      <w:r w:rsidR="00D10C5B">
        <w:t>there</w:t>
      </w:r>
      <w:r w:rsidR="00C13181">
        <w:t xml:space="preserve"> is very little</w:t>
      </w:r>
      <w:r w:rsidR="00D10C5B">
        <w:t>,</w:t>
      </w:r>
      <w:r w:rsidR="00C13181">
        <w:t xml:space="preserve"> if any</w:t>
      </w:r>
      <w:r w:rsidR="00D10C5B">
        <w:t>,</w:t>
      </w:r>
      <w:r w:rsidR="00C13181">
        <w:t xml:space="preserve"> chance of fulfilling those obligations. In these </w:t>
      </w:r>
      <w:proofErr w:type="gramStart"/>
      <w:r w:rsidR="00C13181">
        <w:t>cases</w:t>
      </w:r>
      <w:proofErr w:type="gramEnd"/>
      <w:r w:rsidR="00C13181">
        <w:t xml:space="preserve"> bankrupt</w:t>
      </w:r>
      <w:r w:rsidR="00D10C5B">
        <w:t>cy serves as a relief mechanism</w:t>
      </w:r>
      <w:r w:rsidR="00C13181">
        <w:t xml:space="preserve"> absolving those individuals from the debt responsibilities. </w:t>
      </w:r>
      <w:r w:rsidR="00D10C5B">
        <w:t xml:space="preserve">Relief and rehabilitation follow </w:t>
      </w:r>
      <w:r w:rsidR="00151808">
        <w:t xml:space="preserve">from </w:t>
      </w:r>
      <w:r w:rsidR="00D10C5B">
        <w:t>discharge</w:t>
      </w:r>
      <w:r w:rsidR="00151808">
        <w:t xml:space="preserve"> for the indebtedness</w:t>
      </w:r>
      <w:r w:rsidR="00D10C5B">
        <w:t xml:space="preserve">. Without the </w:t>
      </w:r>
      <w:r w:rsidR="00151808">
        <w:t xml:space="preserve">bankruptcy </w:t>
      </w:r>
      <w:r w:rsidR="00D10C5B">
        <w:t xml:space="preserve">procedure individuals would be saddled with enormous debt which is neither good for their mental health, nor their ability to get on with their lives, in a personal or business sense. </w:t>
      </w:r>
    </w:p>
    <w:p w:rsidR="00D10C5B" w:rsidRDefault="00D10C5B" w:rsidP="000233AF">
      <w:pPr>
        <w:spacing w:line="360" w:lineRule="auto"/>
        <w:jc w:val="both"/>
      </w:pPr>
    </w:p>
    <w:p w:rsidR="00D10C5B" w:rsidRDefault="00D10C5B" w:rsidP="000233AF">
      <w:pPr>
        <w:spacing w:line="360" w:lineRule="auto"/>
        <w:jc w:val="both"/>
      </w:pPr>
      <w:proofErr w:type="gramStart"/>
      <w:r>
        <w:t>So</w:t>
      </w:r>
      <w:proofErr w:type="gramEnd"/>
      <w:r>
        <w:t xml:space="preserve"> it c</w:t>
      </w:r>
      <w:r w:rsidR="00151808">
        <w:t>ould be said that big bankruptcies</w:t>
      </w:r>
      <w:r>
        <w:t xml:space="preserve"> evidence the epitome of the jurisdiction both in terms of indebtedness and relief figures but also in terms of rehabilitative effect. </w:t>
      </w:r>
    </w:p>
    <w:p w:rsidR="00B86085" w:rsidRDefault="00B86085" w:rsidP="00E2670D">
      <w:pPr>
        <w:spacing w:line="360" w:lineRule="auto"/>
      </w:pPr>
    </w:p>
    <w:p w:rsidR="00E2670D" w:rsidRDefault="00E2670D" w:rsidP="00E2670D">
      <w:pPr>
        <w:spacing w:line="360" w:lineRule="auto"/>
      </w:pPr>
    </w:p>
    <w:p w:rsidR="00E2670D" w:rsidRDefault="00E2670D" w:rsidP="00E2670D">
      <w:pPr>
        <w:spacing w:line="360" w:lineRule="auto"/>
      </w:pPr>
    </w:p>
    <w:p w:rsidR="00DD3AB3" w:rsidRDefault="00DD3AB3">
      <w:pPr>
        <w:rPr>
          <w:u w:val="single"/>
        </w:rPr>
      </w:pPr>
      <w:r>
        <w:rPr>
          <w:u w:val="single"/>
        </w:rPr>
        <w:br w:type="page"/>
      </w:r>
    </w:p>
    <w:p w:rsidR="00E2670D" w:rsidRPr="00E2670D" w:rsidRDefault="00E2670D" w:rsidP="00E2670D">
      <w:pPr>
        <w:spacing w:line="360" w:lineRule="auto"/>
        <w:rPr>
          <w:u w:val="single"/>
        </w:rPr>
      </w:pPr>
    </w:p>
    <w:p w:rsidR="00E2670D" w:rsidRPr="00E63A4B" w:rsidRDefault="00E2670D" w:rsidP="00E63A4B">
      <w:pPr>
        <w:pStyle w:val="ListParagraph"/>
        <w:numPr>
          <w:ilvl w:val="0"/>
          <w:numId w:val="3"/>
        </w:numPr>
        <w:spacing w:line="360" w:lineRule="auto"/>
        <w:rPr>
          <w:b/>
          <w:u w:val="single"/>
        </w:rPr>
      </w:pPr>
      <w:r w:rsidRPr="00E63A4B">
        <w:rPr>
          <w:b/>
          <w:u w:val="single"/>
        </w:rPr>
        <w:t>Further Evidence of Nietzsche’s Eternal Recurrence Operating in Insolvency Law?</w:t>
      </w:r>
    </w:p>
    <w:p w:rsidR="00E2670D" w:rsidRDefault="00E2670D" w:rsidP="00E2670D">
      <w:pPr>
        <w:spacing w:line="360" w:lineRule="auto"/>
      </w:pPr>
    </w:p>
    <w:p w:rsidR="00E2670D" w:rsidRDefault="00E63A4B" w:rsidP="00C13181">
      <w:pPr>
        <w:spacing w:line="360" w:lineRule="auto"/>
        <w:jc w:val="both"/>
      </w:pPr>
      <w:r>
        <w:t>T</w:t>
      </w:r>
      <w:r w:rsidR="00E2670D">
        <w:t xml:space="preserve">he first part of this essay </w:t>
      </w:r>
      <w:r>
        <w:t xml:space="preserve">briefly </w:t>
      </w:r>
      <w:r w:rsidR="00E2670D">
        <w:t xml:space="preserve">examined </w:t>
      </w:r>
      <w:r w:rsidR="00D246A5">
        <w:t xml:space="preserve">the </w:t>
      </w:r>
      <w:r w:rsidR="00E2670D">
        <w:t>bankru</w:t>
      </w:r>
      <w:r w:rsidR="00D246A5">
        <w:t xml:space="preserve">ptcy jurisdiction’s </w:t>
      </w:r>
      <w:r>
        <w:t>modern function. T</w:t>
      </w:r>
      <w:r w:rsidR="00E2670D">
        <w:t xml:space="preserve">his part of the essay looks at its function in historical perspective. </w:t>
      </w:r>
      <w:r w:rsidR="00C13181">
        <w:t>This is because big bankruptcies highlight a recurrent theme in English and Welsh law and this theme taps on to an interesting thought experiment that has been deployed in English and Welsh insolv</w:t>
      </w:r>
      <w:r w:rsidR="00FB0846">
        <w:t>ency law, namely, the use</w:t>
      </w:r>
      <w:r w:rsidR="00C13181">
        <w:t xml:space="preserve"> of Nietzsche’s eternal recurrence in an insolvency setting (</w:t>
      </w:r>
      <w:r w:rsidR="004A31C8">
        <w:t xml:space="preserve">see: </w:t>
      </w:r>
      <w:r w:rsidR="00C13181">
        <w:t>Tribe, J</w:t>
      </w:r>
      <w:r>
        <w:t xml:space="preserve">. </w:t>
      </w:r>
      <w:r w:rsidRPr="00E63A4B">
        <w:rPr>
          <w:i/>
        </w:rPr>
        <w:t>Nietzsche’s Eternal Recurrence and the Renaissance of English and Welsh Insolvency Law Reform</w:t>
      </w:r>
      <w:r>
        <w:t xml:space="preserve"> (2020) Legal Studies, Vol.40, Issue 3</w:t>
      </w:r>
      <w:r w:rsidRPr="00E63A4B">
        <w:t>, pp. 419-441</w:t>
      </w:r>
      <w:r w:rsidR="00C13181">
        <w:t xml:space="preserve">). </w:t>
      </w:r>
    </w:p>
    <w:p w:rsidR="00C13181" w:rsidRDefault="00C13181" w:rsidP="00C13181">
      <w:pPr>
        <w:spacing w:line="360" w:lineRule="auto"/>
        <w:jc w:val="both"/>
      </w:pPr>
    </w:p>
    <w:p w:rsidR="00C13181" w:rsidRDefault="00C13181" w:rsidP="00C13181">
      <w:pPr>
        <w:spacing w:line="360" w:lineRule="auto"/>
        <w:jc w:val="both"/>
      </w:pPr>
      <w:r>
        <w:t>Nietzsche’s eternal recurrence was an aphorism</w:t>
      </w:r>
      <w:r w:rsidR="0044191F">
        <w:t>, or thought experiment,</w:t>
      </w:r>
      <w:r>
        <w:t xml:space="preserve"> which first appeared in his book the </w:t>
      </w:r>
      <w:r w:rsidRPr="00C13181">
        <w:rPr>
          <w:i/>
        </w:rPr>
        <w:t>Gay Science</w:t>
      </w:r>
      <w:r>
        <w:t xml:space="preserve"> (1882). Nietzsche was</w:t>
      </w:r>
      <w:r w:rsidR="0044191F">
        <w:t xml:space="preserve">, </w:t>
      </w:r>
      <w:r w:rsidR="0044191F" w:rsidRPr="0044191F">
        <w:rPr>
          <w:i/>
        </w:rPr>
        <w:t>inter alia</w:t>
      </w:r>
      <w:r w:rsidR="0044191F">
        <w:t>,</w:t>
      </w:r>
      <w:r>
        <w:t xml:space="preserve"> suggesting an alterna</w:t>
      </w:r>
      <w:r w:rsidR="0044191F">
        <w:t>tive to a</w:t>
      </w:r>
      <w:r>
        <w:t xml:space="preserve"> Chris</w:t>
      </w:r>
      <w:r w:rsidR="00BD3B0A">
        <w:t xml:space="preserve">tian God </w:t>
      </w:r>
      <w:r w:rsidR="0044191F">
        <w:t xml:space="preserve">and an afterlife </w:t>
      </w:r>
      <w:r w:rsidR="00FC303D">
        <w:t>when he suggested the aphorism</w:t>
      </w:r>
      <w:r w:rsidR="00BD3B0A">
        <w:t xml:space="preserve">: </w:t>
      </w:r>
    </w:p>
    <w:p w:rsidR="000720FA" w:rsidRDefault="000720FA" w:rsidP="00C13181">
      <w:pPr>
        <w:spacing w:line="360" w:lineRule="auto"/>
        <w:jc w:val="both"/>
      </w:pPr>
    </w:p>
    <w:p w:rsidR="000720FA" w:rsidRDefault="000720FA" w:rsidP="00CF5E0E">
      <w:pPr>
        <w:ind w:left="720"/>
        <w:jc w:val="both"/>
      </w:pPr>
      <w:r w:rsidRPr="00CF5E0E">
        <w:rPr>
          <w:i/>
          <w:sz w:val="22"/>
          <w:szCs w:val="22"/>
        </w:rPr>
        <w:t xml:space="preserve">“What if some day or night a demon were to steal into your loneliest loneliness and say to you: ‘This life as you now live it and have lived it you will have to live once again and innumerable times again; and there will be nothing new in it, but every pain and every joy and every thought and sigh and </w:t>
      </w:r>
      <w:r w:rsidRPr="00BD3B0A">
        <w:rPr>
          <w:b/>
          <w:i/>
          <w:sz w:val="22"/>
          <w:szCs w:val="22"/>
        </w:rPr>
        <w:t>everything unspeakably small or great in your life must return to you, all in the same succession and sequence</w:t>
      </w:r>
      <w:r w:rsidRPr="00CF5E0E">
        <w:rPr>
          <w:i/>
          <w:sz w:val="22"/>
          <w:szCs w:val="22"/>
        </w:rPr>
        <w:t xml:space="preserve"> – even this spider and this moonlight between the trees, and even this moment and I myself. The eternal hour glass of existence is turned over again and again, and you with it, speck of dust!” Would you not throw yourself down and gnash your teeth and curse the demon who spoke thus?”</w:t>
      </w:r>
      <w:r>
        <w:t xml:space="preserve"> (Nietzsche </w:t>
      </w:r>
      <w:r w:rsidRPr="00BD3B0A">
        <w:rPr>
          <w:i/>
        </w:rPr>
        <w:t>Gay Science</w:t>
      </w:r>
      <w:r>
        <w:t>, para.341, p.194.</w:t>
      </w:r>
      <w:r w:rsidR="00BD3B0A">
        <w:t xml:space="preserve"> Author’s bold emphasis</w:t>
      </w:r>
      <w:r>
        <w:t>)</w:t>
      </w:r>
    </w:p>
    <w:p w:rsidR="000720FA" w:rsidRDefault="000720FA" w:rsidP="000720FA">
      <w:pPr>
        <w:spacing w:line="360" w:lineRule="auto"/>
        <w:jc w:val="both"/>
      </w:pPr>
    </w:p>
    <w:p w:rsidR="00BD3B0A" w:rsidRDefault="00BD3B0A" w:rsidP="004E7645">
      <w:pPr>
        <w:spacing w:line="360" w:lineRule="auto"/>
        <w:jc w:val="both"/>
      </w:pPr>
      <w:r>
        <w:t>Whilst there is an o</w:t>
      </w:r>
      <w:r w:rsidRPr="00BD3B0A">
        <w:t>bvious disparity between Nietzsche describing time as infinite</w:t>
      </w:r>
      <w:r w:rsidR="0044191F">
        <w:t>,</w:t>
      </w:r>
      <w:r w:rsidRPr="00BD3B0A">
        <w:t xml:space="preserve"> whereas insolvency law is a temporal mini-blip</w:t>
      </w:r>
      <w:r w:rsidR="0044191F">
        <w:t>,</w:t>
      </w:r>
      <w:r>
        <w:t xml:space="preserve"> eternal re</w:t>
      </w:r>
      <w:r w:rsidR="0044191F">
        <w:t xml:space="preserve">currence </w:t>
      </w:r>
      <w:r w:rsidR="004E7645">
        <w:t>can be used</w:t>
      </w:r>
      <w:r w:rsidR="00FC303D">
        <w:t xml:space="preserve"> in an insolvency context</w:t>
      </w:r>
      <w:r w:rsidR="004E7645">
        <w:t xml:space="preserve"> to aid analysis and critique. Insolvency eternal recurrence can be defined</w:t>
      </w:r>
      <w:r w:rsidR="00FC303D">
        <w:t xml:space="preserve"> in three ways. First,</w:t>
      </w:r>
      <w:r w:rsidR="004E7645">
        <w:t xml:space="preserve"> as “Narrow Eternal Recurrence”. Examples of this might include recurrent themes in our subject such as super priority financing, miscreant director provisions (wrongful trading (s.214IA86), s.174CA06)), etc.</w:t>
      </w:r>
      <w:r w:rsidR="00820FE6">
        <w:t xml:space="preserve"> Secondly there is</w:t>
      </w:r>
      <w:r w:rsidR="004E7645">
        <w:t xml:space="preserve"> “Broad Eternal Recurrence”</w:t>
      </w:r>
      <w:r w:rsidR="00820FE6">
        <w:t>. This</w:t>
      </w:r>
      <w:r w:rsidR="004E7645">
        <w:t xml:space="preserve"> takes in wider conc</w:t>
      </w:r>
      <w:r w:rsidR="00A61BB9">
        <w:t>ep</w:t>
      </w:r>
      <w:r w:rsidR="004E7645">
        <w:t xml:space="preserve">ts within the subject of insolvency. These can include collectivisation, </w:t>
      </w:r>
      <w:proofErr w:type="spellStart"/>
      <w:r w:rsidR="004E7645" w:rsidRPr="004E7645">
        <w:rPr>
          <w:i/>
        </w:rPr>
        <w:t>pari</w:t>
      </w:r>
      <w:proofErr w:type="spellEnd"/>
      <w:r w:rsidR="004E7645" w:rsidRPr="004E7645">
        <w:rPr>
          <w:i/>
        </w:rPr>
        <w:t xml:space="preserve"> </w:t>
      </w:r>
      <w:proofErr w:type="spellStart"/>
      <w:r w:rsidR="004E7645" w:rsidRPr="004E7645">
        <w:rPr>
          <w:i/>
        </w:rPr>
        <w:t>passu</w:t>
      </w:r>
      <w:proofErr w:type="spellEnd"/>
      <w:r w:rsidR="004E7645">
        <w:t xml:space="preserve"> distribution, property definitions, rescue, and, rehabilitation. Finally, “Deep Eternal Recurrence” within the context of insolvency can include credit use generally, the debtor friendliness or creditor friendliness of a regime, etc. </w:t>
      </w:r>
    </w:p>
    <w:p w:rsidR="00BD3B0A" w:rsidRDefault="00BD3B0A" w:rsidP="000720FA">
      <w:pPr>
        <w:spacing w:line="360" w:lineRule="auto"/>
        <w:jc w:val="both"/>
      </w:pPr>
    </w:p>
    <w:p w:rsidR="000720FA" w:rsidRDefault="000720FA" w:rsidP="000720FA">
      <w:pPr>
        <w:spacing w:line="360" w:lineRule="auto"/>
        <w:jc w:val="both"/>
      </w:pPr>
      <w:r>
        <w:t xml:space="preserve">Bankruptcy operating as </w:t>
      </w:r>
      <w:r w:rsidR="00CF5E0E">
        <w:t xml:space="preserve">a discharge mechanism for business persons (as opposed to consumer debtors) is another example of </w:t>
      </w:r>
      <w:r w:rsidR="00E130E0">
        <w:t xml:space="preserve">broad </w:t>
      </w:r>
      <w:r w:rsidR="00CF5E0E">
        <w:t xml:space="preserve">insolvency eternal recurrence. This is because bankruptcy operated in this </w:t>
      </w:r>
      <w:r w:rsidR="00E130E0">
        <w:t xml:space="preserve">business focused </w:t>
      </w:r>
      <w:r w:rsidR="00CF5E0E">
        <w:t xml:space="preserve">manner before the advent of </w:t>
      </w:r>
      <w:proofErr w:type="gramStart"/>
      <w:r w:rsidR="00CF5E0E">
        <w:t>general purpose</w:t>
      </w:r>
      <w:proofErr w:type="gramEnd"/>
      <w:r w:rsidR="00CF5E0E">
        <w:t xml:space="preserve"> limited liability</w:t>
      </w:r>
      <w:r w:rsidR="00E130E0">
        <w:t>.  The bankruptcy jurisdiction was introduced</w:t>
      </w:r>
      <w:r w:rsidR="00CF5E0E">
        <w:t xml:space="preserve"> in 1542</w:t>
      </w:r>
      <w:r w:rsidR="00DE2C34">
        <w:t xml:space="preserve"> in addition to</w:t>
      </w:r>
      <w:r w:rsidR="00E130E0">
        <w:t xml:space="preserve"> the parallel imprisonment for debt jurisdiction</w:t>
      </w:r>
      <w:r w:rsidR="00DE2C34">
        <w:t xml:space="preserve"> </w:t>
      </w:r>
      <w:r w:rsidR="00C95DF8">
        <w:t>(see:</w:t>
      </w:r>
      <w:r w:rsidR="00DE2C34">
        <w:t xml:space="preserve"> </w:t>
      </w:r>
      <w:r w:rsidR="00DE2C34" w:rsidRPr="00DE2C34">
        <w:t>Cadw</w:t>
      </w:r>
      <w:r w:rsidR="00DE2C34">
        <w:t>allader, FJJ (1965)</w:t>
      </w:r>
      <w:r w:rsidR="00DE2C34" w:rsidRPr="00DE2C34">
        <w:t xml:space="preserve"> </w:t>
      </w:r>
      <w:r w:rsidR="00DE2C34" w:rsidRPr="00DE2C34">
        <w:rPr>
          <w:i/>
        </w:rPr>
        <w:t>In pursuit of the merchant debtor and bankrupt: 1066-1732</w:t>
      </w:r>
      <w:r w:rsidR="00DE2C34" w:rsidRPr="00DE2C34">
        <w:t>. Unpublished Ph.D. th</w:t>
      </w:r>
      <w:r w:rsidR="00035C75">
        <w:t>esis. University College London</w:t>
      </w:r>
      <w:r w:rsidR="00DE2C34">
        <w:t>)</w:t>
      </w:r>
      <w:r w:rsidR="00E130E0">
        <w:t>. From 1571 to</w:t>
      </w:r>
      <w:r w:rsidR="00CF5E0E">
        <w:t xml:space="preserve"> </w:t>
      </w:r>
      <w:r w:rsidR="00035C75">
        <w:t xml:space="preserve">the </w:t>
      </w:r>
      <w:r w:rsidR="00E130E0">
        <w:t xml:space="preserve">Limited Liability Act </w:t>
      </w:r>
      <w:r w:rsidR="00CF5E0E">
        <w:t>1855</w:t>
      </w:r>
      <w:r w:rsidR="00E130E0">
        <w:t xml:space="preserve"> (the advent of </w:t>
      </w:r>
      <w:proofErr w:type="gramStart"/>
      <w:r w:rsidR="00E130E0">
        <w:t>general purpose</w:t>
      </w:r>
      <w:proofErr w:type="gramEnd"/>
      <w:r w:rsidR="00E130E0">
        <w:t xml:space="preserve"> limited liability) the bankruptcy jurisdiction</w:t>
      </w:r>
      <w:r w:rsidR="00CF5E0E">
        <w:t xml:space="preserve"> was only available to traders, i.e. those transacting business. The term “trader” was also very narrowly defined.</w:t>
      </w:r>
      <w:r w:rsidR="00E130E0">
        <w:t xml:space="preserve"> This continued to be the case </w:t>
      </w:r>
      <w:r w:rsidR="00C95DF8">
        <w:t>up until the Debtors’ Act 1869 (see:</w:t>
      </w:r>
      <w:r w:rsidR="00DE2C34">
        <w:t xml:space="preserve"> Duffy, IPH (1985)</w:t>
      </w:r>
      <w:r w:rsidR="00DE2C34" w:rsidRPr="00DE2C34">
        <w:t xml:space="preserve"> </w:t>
      </w:r>
      <w:r w:rsidR="00DE2C34" w:rsidRPr="00DE2C34">
        <w:rPr>
          <w:i/>
        </w:rPr>
        <w:t>Bankruptcy and Insolvency in London during the Industrial Revolution</w:t>
      </w:r>
      <w:r w:rsidR="00DE2C34" w:rsidRPr="00DE2C34">
        <w:t>. Garland Publishin</w:t>
      </w:r>
      <w:r w:rsidR="00DE2C34">
        <w:t>g, Inc. New York &amp; London</w:t>
      </w:r>
      <w:r w:rsidR="00C95DF8">
        <w:t xml:space="preserve">). </w:t>
      </w:r>
      <w:r w:rsidR="00E130E0">
        <w:t xml:space="preserve">By this stage of commercial </w:t>
      </w:r>
      <w:proofErr w:type="gramStart"/>
      <w:r w:rsidR="00E130E0">
        <w:t>development</w:t>
      </w:r>
      <w:proofErr w:type="gramEnd"/>
      <w:r w:rsidR="00E130E0">
        <w:t xml:space="preserve"> the </w:t>
      </w:r>
      <w:r w:rsidR="00691B3A">
        <w:t>private limited company had become the primary legal fiction through which business was undertaken. There was less need for a separate insolvency jurisdiction that would be available for business r</w:t>
      </w:r>
      <w:r w:rsidR="00C95DF8">
        <w:t xml:space="preserve">elated debt. Bankruptcy became </w:t>
      </w:r>
      <w:r w:rsidR="00691B3A">
        <w:t>more widely available for debtors,</w:t>
      </w:r>
      <w:r w:rsidR="00035C75">
        <w:t xml:space="preserve"> including non-trader debtors,</w:t>
      </w:r>
      <w:r w:rsidR="00691B3A">
        <w:t xml:space="preserve"> following the Bankruptcy Act 1883</w:t>
      </w:r>
      <w:r w:rsidR="00DE2C34">
        <w:t xml:space="preserve"> (see</w:t>
      </w:r>
      <w:r w:rsidR="00035C75">
        <w:t xml:space="preserve"> further</w:t>
      </w:r>
      <w:r w:rsidR="00DE2C34">
        <w:t>: Lester, VM (1995)</w:t>
      </w:r>
      <w:r w:rsidR="00DE2C34" w:rsidRPr="00DE2C34">
        <w:t xml:space="preserve"> </w:t>
      </w:r>
      <w:r w:rsidR="00DE2C34" w:rsidRPr="00DE2C34">
        <w:rPr>
          <w:i/>
        </w:rPr>
        <w:t>Victorian Insolvency</w:t>
      </w:r>
      <w:r w:rsidR="00DE2C34">
        <w:t>. Clarendon Press, Oxford</w:t>
      </w:r>
      <w:r w:rsidR="00C95DF8">
        <w:t>)</w:t>
      </w:r>
      <w:r w:rsidR="00691B3A">
        <w:t xml:space="preserve">. </w:t>
      </w:r>
    </w:p>
    <w:p w:rsidR="00691B3A" w:rsidRDefault="00691B3A" w:rsidP="000720FA">
      <w:pPr>
        <w:spacing w:line="360" w:lineRule="auto"/>
        <w:jc w:val="both"/>
      </w:pPr>
    </w:p>
    <w:p w:rsidR="00691B3A" w:rsidRDefault="00691B3A" w:rsidP="000720FA">
      <w:pPr>
        <w:spacing w:line="360" w:lineRule="auto"/>
        <w:jc w:val="both"/>
      </w:pPr>
      <w:r>
        <w:t>The theme of debtor relief for business related debt and business</w:t>
      </w:r>
      <w:r w:rsidR="00035C75">
        <w:t xml:space="preserve"> persons through bankruptcy </w:t>
      </w:r>
      <w:r>
        <w:t>exist</w:t>
      </w:r>
      <w:r w:rsidR="00035C75">
        <w:t>ed</w:t>
      </w:r>
      <w:r>
        <w:t xml:space="preserve"> between 1571 and 1869. It is this theme that modern big bankruptcies are revisiting, namely, the ability of the bankruptcy jurisdiction to provide relief and rehabilitation to business people as</w:t>
      </w:r>
      <w:r w:rsidR="00035C75">
        <w:t xml:space="preserve"> a result of business activity and the over indebtedness that flows from that activity. </w:t>
      </w:r>
    </w:p>
    <w:p w:rsidR="00E2670D" w:rsidRDefault="00E2670D" w:rsidP="00E2670D">
      <w:pPr>
        <w:spacing w:line="360" w:lineRule="auto"/>
      </w:pPr>
    </w:p>
    <w:p w:rsidR="00E2670D" w:rsidRDefault="00E2670D" w:rsidP="00E2670D">
      <w:pPr>
        <w:spacing w:line="360" w:lineRule="auto"/>
      </w:pPr>
    </w:p>
    <w:p w:rsidR="00DD3AB3" w:rsidRDefault="00DD3AB3">
      <w:r>
        <w:br w:type="page"/>
      </w:r>
    </w:p>
    <w:p w:rsidR="00E2670D" w:rsidRDefault="00E2670D" w:rsidP="00E2670D">
      <w:pPr>
        <w:spacing w:line="360" w:lineRule="auto"/>
      </w:pPr>
    </w:p>
    <w:p w:rsidR="00E2670D" w:rsidRPr="00DD3AB3" w:rsidRDefault="00E2670D" w:rsidP="00E63A4B">
      <w:pPr>
        <w:pStyle w:val="ListParagraph"/>
        <w:numPr>
          <w:ilvl w:val="0"/>
          <w:numId w:val="3"/>
        </w:numPr>
        <w:spacing w:line="360" w:lineRule="auto"/>
        <w:rPr>
          <w:b/>
          <w:u w:val="single"/>
        </w:rPr>
      </w:pPr>
      <w:r w:rsidRPr="00DD3AB3">
        <w:rPr>
          <w:b/>
          <w:u w:val="single"/>
        </w:rPr>
        <w:t>Drivers of the Phenomenon</w:t>
      </w:r>
      <w:r w:rsidR="00DD3AB3">
        <w:rPr>
          <w:b/>
          <w:u w:val="single"/>
        </w:rPr>
        <w:t xml:space="preserve"> and Cracks in Capitalism? </w:t>
      </w:r>
    </w:p>
    <w:p w:rsidR="00E2670D" w:rsidRDefault="00E2670D" w:rsidP="00E2670D">
      <w:pPr>
        <w:spacing w:line="360" w:lineRule="auto"/>
      </w:pPr>
    </w:p>
    <w:p w:rsidR="00132E0B" w:rsidRPr="004F350F" w:rsidRDefault="00132E0B" w:rsidP="004F350F">
      <w:pPr>
        <w:spacing w:line="360" w:lineRule="auto"/>
        <w:jc w:val="both"/>
        <w:rPr>
          <w:i/>
        </w:rPr>
      </w:pPr>
      <w:r>
        <w:t xml:space="preserve">This section of the paper examines what drives big bankruptcies and what flows from these drivers and their effects in terms of policy development. </w:t>
      </w:r>
      <w:r w:rsidR="00DA7327">
        <w:t xml:space="preserve">Here we focus on personal </w:t>
      </w:r>
      <w:r w:rsidR="00D11A92">
        <w:t>guarantees</w:t>
      </w:r>
      <w:r w:rsidR="00DA7327">
        <w:t xml:space="preserve"> and bankruptcy tourism, although there are other drivers such as, </w:t>
      </w:r>
      <w:r w:rsidR="00DA7327" w:rsidRPr="00BC55E0">
        <w:rPr>
          <w:i/>
        </w:rPr>
        <w:t>inter alia</w:t>
      </w:r>
      <w:r w:rsidR="00DA7327">
        <w:t>, “rash and hazardous” property speculation (</w:t>
      </w:r>
      <w:r w:rsidR="008E3D16">
        <w:t xml:space="preserve">as well as personal guarantees, </w:t>
      </w:r>
      <w:r w:rsidR="00DA7327">
        <w:t xml:space="preserve">see: </w:t>
      </w:r>
      <w:r w:rsidR="00DA7327" w:rsidRPr="00DA7327">
        <w:rPr>
          <w:i/>
        </w:rPr>
        <w:t>Re Stern (A Bankrupt) Ex p. Keyser Ullman</w:t>
      </w:r>
      <w:r w:rsidR="00DA7327" w:rsidRPr="00DA7327">
        <w:t xml:space="preserve"> [1982] 1 W.L.R. 860</w:t>
      </w:r>
      <w:r w:rsidR="00BC55E0">
        <w:t xml:space="preserve">), </w:t>
      </w:r>
      <w:r w:rsidR="00DA7327">
        <w:t>pension fraud (see:</w:t>
      </w:r>
      <w:r w:rsidR="004F350F">
        <w:t xml:space="preserve"> </w:t>
      </w:r>
      <w:r w:rsidR="004F350F" w:rsidRPr="004F350F">
        <w:rPr>
          <w:i/>
        </w:rPr>
        <w:t>Bishopsgate Investment Management Ltd. (In Provisional Liquidation) v</w:t>
      </w:r>
      <w:r w:rsidR="004F350F">
        <w:rPr>
          <w:i/>
        </w:rPr>
        <w:t>.</w:t>
      </w:r>
      <w:r w:rsidR="004F350F" w:rsidRPr="004F350F">
        <w:rPr>
          <w:i/>
        </w:rPr>
        <w:t xml:space="preserve"> Maxwell and Another </w:t>
      </w:r>
      <w:r w:rsidR="004F350F">
        <w:t>[1993] Ch.1</w:t>
      </w:r>
      <w:r w:rsidR="00D11A92">
        <w:t>)</w:t>
      </w:r>
      <w:r w:rsidR="00025266">
        <w:t>, fraud (</w:t>
      </w:r>
      <w:r w:rsidR="00025266" w:rsidRPr="00025266">
        <w:rPr>
          <w:i/>
        </w:rPr>
        <w:t>In re Jokai Tea Holdings Ltd.</w:t>
      </w:r>
      <w:r w:rsidR="00025266" w:rsidRPr="00025266">
        <w:t xml:space="preserve"> [1992] 1 W.L.R. 1196</w:t>
      </w:r>
      <w:r w:rsidR="00025266">
        <w:t>),</w:t>
      </w:r>
      <w:r w:rsidR="00D11A92">
        <w:t xml:space="preserve"> and </w:t>
      </w:r>
      <w:r w:rsidR="0032355A">
        <w:t xml:space="preserve">enormous lending activity by banks (see: </w:t>
      </w:r>
      <w:r w:rsidR="0032355A" w:rsidRPr="0032355A">
        <w:rPr>
          <w:i/>
        </w:rPr>
        <w:t xml:space="preserve">State Bank of India &amp; </w:t>
      </w:r>
      <w:proofErr w:type="spellStart"/>
      <w:r w:rsidR="0032355A" w:rsidRPr="0032355A">
        <w:rPr>
          <w:i/>
        </w:rPr>
        <w:t>Ors</w:t>
      </w:r>
      <w:proofErr w:type="spellEnd"/>
      <w:r w:rsidR="0032355A" w:rsidRPr="0032355A">
        <w:rPr>
          <w:i/>
        </w:rPr>
        <w:t xml:space="preserve"> v. </w:t>
      </w:r>
      <w:proofErr w:type="spellStart"/>
      <w:r w:rsidR="0032355A" w:rsidRPr="0032355A">
        <w:rPr>
          <w:i/>
        </w:rPr>
        <w:t>Mallya</w:t>
      </w:r>
      <w:proofErr w:type="spellEnd"/>
      <w:r w:rsidR="0032355A">
        <w:t xml:space="preserve"> </w:t>
      </w:r>
      <w:r w:rsidR="0032355A" w:rsidRPr="0032355A">
        <w:t>[2020] EWHC 1981 (Ch)</w:t>
      </w:r>
      <w:r w:rsidR="0032355A">
        <w:t>).</w:t>
      </w:r>
    </w:p>
    <w:p w:rsidR="00132E0B" w:rsidRDefault="00132E0B" w:rsidP="00E2670D">
      <w:pPr>
        <w:spacing w:line="360" w:lineRule="auto"/>
      </w:pPr>
    </w:p>
    <w:p w:rsidR="00132E0B" w:rsidRDefault="00132E0B" w:rsidP="00996E74">
      <w:pPr>
        <w:spacing w:line="360" w:lineRule="auto"/>
        <w:jc w:val="both"/>
        <w:rPr>
          <w:u w:val="single"/>
        </w:rPr>
      </w:pPr>
    </w:p>
    <w:p w:rsidR="00D42DA7" w:rsidRPr="00D42DA7" w:rsidRDefault="00D42DA7" w:rsidP="00996E74">
      <w:pPr>
        <w:spacing w:line="360" w:lineRule="auto"/>
        <w:jc w:val="both"/>
        <w:rPr>
          <w:u w:val="single"/>
        </w:rPr>
      </w:pPr>
      <w:r w:rsidRPr="00D42DA7">
        <w:rPr>
          <w:u w:val="single"/>
        </w:rPr>
        <w:t>Personal Guarantees</w:t>
      </w:r>
    </w:p>
    <w:p w:rsidR="00D42DA7" w:rsidRDefault="00D42DA7" w:rsidP="00996E74">
      <w:pPr>
        <w:spacing w:line="360" w:lineRule="auto"/>
        <w:jc w:val="both"/>
      </w:pPr>
    </w:p>
    <w:p w:rsidR="00C13181" w:rsidRDefault="007A0288" w:rsidP="00996E74">
      <w:pPr>
        <w:spacing w:line="360" w:lineRule="auto"/>
        <w:jc w:val="both"/>
      </w:pPr>
      <w:r>
        <w:t>V</w:t>
      </w:r>
      <w:r w:rsidR="00F80D6F">
        <w:t>ast debt responsibility, flowing from</w:t>
      </w:r>
      <w:r w:rsidR="00C13181">
        <w:t xml:space="preserve"> </w:t>
      </w:r>
      <w:r w:rsidR="00B86CF1">
        <w:t xml:space="preserve">big or </w:t>
      </w:r>
      <w:r w:rsidR="00C13181">
        <w:t>mega-bankruptcies, largely stem</w:t>
      </w:r>
      <w:r w:rsidR="00F80D6F">
        <w:t>s</w:t>
      </w:r>
      <w:r w:rsidR="00C13181">
        <w:t xml:space="preserve"> from pers</w:t>
      </w:r>
      <w:r w:rsidR="004451C0">
        <w:t xml:space="preserve">onal guarantees given to </w:t>
      </w:r>
      <w:r w:rsidR="00996E74">
        <w:t>lenders to guarantee</w:t>
      </w:r>
      <w:r w:rsidR="00C13181">
        <w:t xml:space="preserve"> the exposure of a company</w:t>
      </w:r>
      <w:r w:rsidR="004451C0">
        <w:t xml:space="preserve"> which has borrowed</w:t>
      </w:r>
      <w:r w:rsidR="00996E74">
        <w:t xml:space="preserve"> from t</w:t>
      </w:r>
      <w:r w:rsidR="00120351">
        <w:t>hose creditors</w:t>
      </w:r>
      <w:r w:rsidR="00996E74">
        <w:t>.</w:t>
      </w:r>
      <w:r w:rsidR="00F80D6F">
        <w:t xml:space="preserve"> These guarantees</w:t>
      </w:r>
      <w:r w:rsidR="006D2E7D">
        <w:t xml:space="preserve"> have been provided by individuals</w:t>
      </w:r>
      <w:r w:rsidR="00F80D6F">
        <w:t xml:space="preserve"> as</w:t>
      </w:r>
      <w:r w:rsidR="006D2E7D">
        <w:t>sociated with the debtor company</w:t>
      </w:r>
      <w:r w:rsidR="00F80D6F">
        <w:t>.</w:t>
      </w:r>
      <w:r w:rsidR="003245CB">
        <w:t xml:space="preserve"> This was the c</w:t>
      </w:r>
      <w:r w:rsidR="00084358">
        <w:t xml:space="preserve">ase with </w:t>
      </w:r>
      <w:proofErr w:type="spellStart"/>
      <w:r w:rsidR="00084358">
        <w:t>Kekhman</w:t>
      </w:r>
      <w:proofErr w:type="spellEnd"/>
      <w:r w:rsidR="00084358">
        <w:t xml:space="preserve">, who owed </w:t>
      </w:r>
      <w:r w:rsidR="00084358" w:rsidRPr="00084358">
        <w:t>£86m under English law guarantees</w:t>
      </w:r>
      <w:r w:rsidR="00084358">
        <w:t xml:space="preserve"> but whose total indebtedness was</w:t>
      </w:r>
      <w:r w:rsidR="00084358" w:rsidRPr="00084358">
        <w:t xml:space="preserve"> £316m</w:t>
      </w:r>
      <w:r w:rsidR="00120351" w:rsidRPr="00C40854">
        <w:rPr>
          <w:color w:val="FF0000"/>
        </w:rPr>
        <w:t xml:space="preserve"> </w:t>
      </w:r>
      <w:r w:rsidR="00120351">
        <w:t>(see</w:t>
      </w:r>
      <w:r w:rsidR="00B86CF1">
        <w:t>:</w:t>
      </w:r>
      <w:r w:rsidR="00054F18">
        <w:t xml:space="preserve"> </w:t>
      </w:r>
      <w:r w:rsidR="00084358" w:rsidRPr="00084358">
        <w:rPr>
          <w:i/>
        </w:rPr>
        <w:t xml:space="preserve">JSC Bank of Moscow v. </w:t>
      </w:r>
      <w:proofErr w:type="spellStart"/>
      <w:r w:rsidR="00084358" w:rsidRPr="00084358">
        <w:rPr>
          <w:i/>
        </w:rPr>
        <w:t>Kekhman</w:t>
      </w:r>
      <w:proofErr w:type="spellEnd"/>
      <w:r w:rsidR="00084358" w:rsidRPr="00084358">
        <w:rPr>
          <w:i/>
        </w:rPr>
        <w:t xml:space="preserve"> and others </w:t>
      </w:r>
      <w:r w:rsidR="00054F18" w:rsidRPr="00054F18">
        <w:t>[2015] EWHC 396 (Ch)</w:t>
      </w:r>
      <w:r w:rsidR="00054F18">
        <w:t>;</w:t>
      </w:r>
      <w:r w:rsidR="00B86CF1">
        <w:t xml:space="preserve"> Tribe, J. </w:t>
      </w:r>
      <w:r w:rsidR="00120351">
        <w:t>(2015)</w:t>
      </w:r>
      <w:r w:rsidR="00B86CF1" w:rsidRPr="00B86CF1">
        <w:t xml:space="preserve"> </w:t>
      </w:r>
      <w:r w:rsidR="00B86CF1" w:rsidRPr="00120351">
        <w:rPr>
          <w:i/>
        </w:rPr>
        <w:t xml:space="preserve">The </w:t>
      </w:r>
      <w:proofErr w:type="spellStart"/>
      <w:r w:rsidR="00B86CF1" w:rsidRPr="00120351">
        <w:rPr>
          <w:i/>
        </w:rPr>
        <w:t>Kekhman</w:t>
      </w:r>
      <w:proofErr w:type="spellEnd"/>
      <w:r w:rsidR="00B86CF1" w:rsidRPr="00120351">
        <w:rPr>
          <w:i/>
        </w:rPr>
        <w:t xml:space="preserve"> quintessence: what is English personal insolvency law for?</w:t>
      </w:r>
      <w:r w:rsidR="00C20D93">
        <w:t xml:space="preserve"> </w:t>
      </w:r>
      <w:r w:rsidR="00B86CF1">
        <w:t>NBILJ</w:t>
      </w:r>
      <w:r w:rsidR="00B86CF1" w:rsidRPr="00B86CF1">
        <w:t>, 3(18), 331-367</w:t>
      </w:r>
      <w:r w:rsidR="00084358">
        <w:t>) and Sean Quinn</w:t>
      </w:r>
      <w:r w:rsidR="00770913">
        <w:t xml:space="preserve"> who owed €253,951,810.67</w:t>
      </w:r>
      <w:r w:rsidR="004628BD">
        <w:t xml:space="preserve"> to his creditors</w:t>
      </w:r>
      <w:r w:rsidR="00084358">
        <w:t xml:space="preserve"> (</w:t>
      </w:r>
      <w:r w:rsidR="00084358" w:rsidRPr="00084358">
        <w:rPr>
          <w:i/>
        </w:rPr>
        <w:t>Irish Bank Resolution Corp Ltd v. Quinn</w:t>
      </w:r>
      <w:r w:rsidR="00084358" w:rsidRPr="00084358">
        <w:t xml:space="preserve"> [2012] </w:t>
      </w:r>
      <w:proofErr w:type="spellStart"/>
      <w:r w:rsidR="00084358" w:rsidRPr="00084358">
        <w:t>NICh</w:t>
      </w:r>
      <w:proofErr w:type="spellEnd"/>
      <w:r w:rsidR="00084358" w:rsidRPr="00084358">
        <w:t xml:space="preserve"> 1</w:t>
      </w:r>
      <w:r w:rsidR="00084358">
        <w:t>, see further below)</w:t>
      </w:r>
      <w:r w:rsidR="00120351">
        <w:t xml:space="preserve">. </w:t>
      </w:r>
      <w:r w:rsidR="004628BD">
        <w:t>Personal guarantees have become ubiquitous, particularly in the small and medium sized enterprise</w:t>
      </w:r>
      <w:r w:rsidR="004451C0">
        <w:t xml:space="preserve"> (SME)</w:t>
      </w:r>
      <w:r w:rsidR="004628BD">
        <w:t xml:space="preserve"> market. But </w:t>
      </w:r>
      <w:r w:rsidR="004451C0">
        <w:t>personal guarantees do not only exist in the SME market</w:t>
      </w:r>
      <w:r w:rsidR="00C20D93">
        <w:t>, as</w:t>
      </w:r>
      <w:r w:rsidR="004628BD">
        <w:t xml:space="preserve"> some of the mega-bankruptcies demonstrate. </w:t>
      </w:r>
      <w:r w:rsidR="004451C0">
        <w:t>They also exist, spectre like, behind some very large enterprises.</w:t>
      </w:r>
    </w:p>
    <w:p w:rsidR="00996E74" w:rsidRDefault="00996E74" w:rsidP="00996E74">
      <w:pPr>
        <w:spacing w:line="360" w:lineRule="auto"/>
        <w:jc w:val="both"/>
      </w:pPr>
    </w:p>
    <w:p w:rsidR="00996E74" w:rsidRDefault="00996E74" w:rsidP="00D42DA7">
      <w:pPr>
        <w:spacing w:line="360" w:lineRule="auto"/>
        <w:jc w:val="both"/>
      </w:pPr>
      <w:r>
        <w:t xml:space="preserve">The </w:t>
      </w:r>
      <w:r w:rsidR="00120351">
        <w:t xml:space="preserve">use of a </w:t>
      </w:r>
      <w:r>
        <w:t>personal guarantee totally undermines the concept of limited liability. It does this by shifting responsibility for the company’s indebtedness from the company itself, as a separate legal juristic per</w:t>
      </w:r>
      <w:r w:rsidR="00120351">
        <w:t xml:space="preserve">son, and its </w:t>
      </w:r>
      <w:r w:rsidR="00470627">
        <w:t xml:space="preserve">(limited liability) </w:t>
      </w:r>
      <w:r w:rsidR="00120351">
        <w:t>shareholder owners</w:t>
      </w:r>
      <w:r>
        <w:t xml:space="preserve"> to another person, </w:t>
      </w:r>
      <w:r w:rsidR="00120351">
        <w:t xml:space="preserve">namely, </w:t>
      </w:r>
      <w:r>
        <w:t xml:space="preserve">the </w:t>
      </w:r>
      <w:r w:rsidR="005661E1">
        <w:t xml:space="preserve">individual </w:t>
      </w:r>
      <w:r>
        <w:t>guarantor. That guarantor may be a director of the company. The guarantor may also be a shareholder in the company. This is particularly true where the companies ar</w:t>
      </w:r>
      <w:r w:rsidR="004628BD">
        <w:t xml:space="preserve">e small closely held companies where </w:t>
      </w:r>
      <w:r>
        <w:t>sha</w:t>
      </w:r>
      <w:r w:rsidR="004628BD">
        <w:t>res are held by a small group of</w:t>
      </w:r>
      <w:r>
        <w:t xml:space="preserve"> individuals. </w:t>
      </w:r>
      <w:r w:rsidR="00120351">
        <w:t xml:space="preserve">But the main point is that it is now a given individual who is responsible for the company’s indebtedness. That indebtedness is overwhelming for the company, hence why the personal guarantee is being called upon, but it can be even more financially </w:t>
      </w:r>
      <w:proofErr w:type="gramStart"/>
      <w:r w:rsidR="004628BD">
        <w:t>significant  for</w:t>
      </w:r>
      <w:proofErr w:type="gramEnd"/>
      <w:r w:rsidR="004628BD">
        <w:t xml:space="preserve"> the individual who is now swamped with debt. </w:t>
      </w:r>
      <w:r w:rsidR="00120351">
        <w:t xml:space="preserve"> </w:t>
      </w:r>
    </w:p>
    <w:p w:rsidR="00996E74" w:rsidRDefault="00996E74" w:rsidP="00D42DA7">
      <w:pPr>
        <w:spacing w:line="360" w:lineRule="auto"/>
        <w:jc w:val="both"/>
      </w:pPr>
    </w:p>
    <w:p w:rsidR="00120351" w:rsidRDefault="00D42DA7" w:rsidP="00120351">
      <w:pPr>
        <w:spacing w:line="360" w:lineRule="auto"/>
        <w:jc w:val="both"/>
      </w:pPr>
      <w:r>
        <w:t>Personal g</w:t>
      </w:r>
      <w:r w:rsidR="00E2670D">
        <w:t xml:space="preserve">uarantees </w:t>
      </w:r>
      <w:r>
        <w:t xml:space="preserve">cause a failure of </w:t>
      </w:r>
      <w:r w:rsidR="00E2670D">
        <w:t>limited liability</w:t>
      </w:r>
      <w:r>
        <w:t xml:space="preserve"> because they shift liability to another individual</w:t>
      </w:r>
      <w:r w:rsidR="00120351">
        <w:t xml:space="preserve"> and away from the company and shareholders</w:t>
      </w:r>
      <w:r>
        <w:t xml:space="preserve">. The personal guarantee undermines the bedrock of capitalism, the limited </w:t>
      </w:r>
      <w:r w:rsidR="0074229E">
        <w:t>liability</w:t>
      </w:r>
      <w:r>
        <w:t xml:space="preserve"> company</w:t>
      </w:r>
      <w:r w:rsidR="00120351">
        <w:t>, which is based on the separation of ownership and control solidified by portions of shares which are finite in terms of exposure for each shareholder</w:t>
      </w:r>
      <w:r>
        <w:t>.</w:t>
      </w:r>
      <w:r w:rsidR="00120351">
        <w:t xml:space="preserve"> </w:t>
      </w:r>
      <w:r w:rsidR="009D086D">
        <w:t>Shareholders</w:t>
      </w:r>
      <w:r w:rsidR="00120351">
        <w:t xml:space="preserve"> are (generally) only exposed to the extent of their individual investment, i.e. the value of their shares (on shares see further: </w:t>
      </w:r>
      <w:proofErr w:type="spellStart"/>
      <w:r w:rsidR="00120351">
        <w:t>Milman</w:t>
      </w:r>
      <w:proofErr w:type="spellEnd"/>
      <w:r w:rsidR="00120351">
        <w:t xml:space="preserve">, D (2018) </w:t>
      </w:r>
      <w:r w:rsidR="00120351" w:rsidRPr="00120351">
        <w:rPr>
          <w:i/>
        </w:rPr>
        <w:t>The Company Share: Legal Regulation and Public Policy</w:t>
      </w:r>
      <w:r w:rsidR="00120351">
        <w:t>. Edward Elgar).</w:t>
      </w:r>
      <w:r>
        <w:t xml:space="preserve"> </w:t>
      </w:r>
      <w:r w:rsidR="00E2670D">
        <w:t xml:space="preserve"> </w:t>
      </w:r>
      <w:r w:rsidR="004628BD">
        <w:t xml:space="preserve">The demand for the personal guarantee makes the </w:t>
      </w:r>
      <w:r w:rsidR="00183BDF">
        <w:t xml:space="preserve">existence of the limited liability structure superfluous. Like a house of </w:t>
      </w:r>
      <w:proofErr w:type="gramStart"/>
      <w:r w:rsidR="00183BDF">
        <w:t>cards</w:t>
      </w:r>
      <w:proofErr w:type="gramEnd"/>
      <w:r w:rsidR="00183BDF">
        <w:t xml:space="preserve"> it falls away in the gusts of creditor exposure. </w:t>
      </w:r>
      <w:r w:rsidR="00481EF9">
        <w:t xml:space="preserve">It is in effect a straw man, a true fiction, that is undermined and brushed aside </w:t>
      </w:r>
      <w:r w:rsidR="005661E1">
        <w:t xml:space="preserve">in the pursuit </w:t>
      </w:r>
      <w:r w:rsidR="00481EF9">
        <w:t>of payment, from whomever can potentially pay. Often</w:t>
      </w:r>
      <w:r w:rsidR="004559EA">
        <w:t>-</w:t>
      </w:r>
      <w:r w:rsidR="00481EF9">
        <w:t xml:space="preserve">times, as this entire paper demonstrates, that other is hardly in a position to make good the gargantuan exposure. </w:t>
      </w:r>
      <w:r w:rsidR="00183BDF">
        <w:t xml:space="preserve"> </w:t>
      </w:r>
      <w:r w:rsidR="004628BD">
        <w:t xml:space="preserve"> </w:t>
      </w:r>
    </w:p>
    <w:p w:rsidR="00120351" w:rsidRDefault="00120351" w:rsidP="00D42DA7">
      <w:pPr>
        <w:spacing w:line="360" w:lineRule="auto"/>
        <w:jc w:val="both"/>
      </w:pPr>
    </w:p>
    <w:p w:rsidR="00E2670D" w:rsidRDefault="00D42DA7" w:rsidP="00D42DA7">
      <w:pPr>
        <w:spacing w:line="360" w:lineRule="auto"/>
        <w:jc w:val="both"/>
      </w:pPr>
      <w:r>
        <w:t>The personal guarantee</w:t>
      </w:r>
      <w:r w:rsidR="00422216">
        <w:t xml:space="preserve"> bolsters </w:t>
      </w:r>
      <w:r>
        <w:t>creditors. It demonstrates how creditor friendly the regime is when one of capitalism</w:t>
      </w:r>
      <w:r w:rsidR="004559EA">
        <w:t>’s</w:t>
      </w:r>
      <w:r>
        <w:t xml:space="preserve"> sacred cows can be sacrificed in the interests of creditors. This is no afterthought either. </w:t>
      </w:r>
      <w:proofErr w:type="gramStart"/>
      <w:r>
        <w:t>Typically</w:t>
      </w:r>
      <w:proofErr w:type="gramEnd"/>
      <w:r>
        <w:t xml:space="preserve"> personal </w:t>
      </w:r>
      <w:r w:rsidR="0074229E">
        <w:t>guarantees</w:t>
      </w:r>
      <w:r w:rsidR="005661E1">
        <w:t xml:space="preserve"> are provided in solvent periods</w:t>
      </w:r>
      <w:r>
        <w:t xml:space="preserve"> when no hint of insolvency is on the horizon. </w:t>
      </w:r>
      <w:r w:rsidR="005661E1">
        <w:t>In this way personal guarantees</w:t>
      </w:r>
      <w:r w:rsidR="00422216">
        <w:t xml:space="preserve"> perform a belt and braces function for the creditor. </w:t>
      </w:r>
    </w:p>
    <w:p w:rsidR="00B90977" w:rsidRDefault="00B90977" w:rsidP="00D42DA7">
      <w:pPr>
        <w:spacing w:line="360" w:lineRule="auto"/>
        <w:jc w:val="both"/>
      </w:pPr>
    </w:p>
    <w:p w:rsidR="00B90977" w:rsidRDefault="005661E1" w:rsidP="00B90977">
      <w:pPr>
        <w:spacing w:line="360" w:lineRule="auto"/>
        <w:jc w:val="both"/>
      </w:pPr>
      <w:r>
        <w:t xml:space="preserve">There has been some recent variation to this personal guarantee axiom during 2020. </w:t>
      </w:r>
      <w:r w:rsidR="00B90977">
        <w:t xml:space="preserve">Whilst the COVID pandemic has reduced the requirement for personal guarantees because of the Coronavirus Business Interruption Loan Scheme (CBILS) the personal </w:t>
      </w:r>
      <w:r w:rsidR="00D52FC8">
        <w:t>guarantee</w:t>
      </w:r>
      <w:r w:rsidR="00B90977">
        <w:t xml:space="preserve"> system may make a comeback when CBILS ends and when Her Majesty’s Revenue &amp; Customs (HMRC) becomes a preferential creditor again when the Finance Act 2020 comes into force</w:t>
      </w:r>
      <w:r>
        <w:t xml:space="preserve"> in late 2020</w:t>
      </w:r>
      <w:r w:rsidR="00B90977">
        <w:t xml:space="preserve">. </w:t>
      </w:r>
      <w:r>
        <w:t xml:space="preserve">This wholesale policy reversal, an unacceptable </w:t>
      </w:r>
      <w:r w:rsidRPr="005661E1">
        <w:rPr>
          <w:i/>
        </w:rPr>
        <w:t>volte-face</w:t>
      </w:r>
      <w:r>
        <w:t xml:space="preserve"> for some sectors of the insolvency industry, will mean that l</w:t>
      </w:r>
      <w:r w:rsidR="00B90977">
        <w:t>enders</w:t>
      </w:r>
      <w:r>
        <w:t xml:space="preserve"> will be keen to increase their use of </w:t>
      </w:r>
      <w:r w:rsidR="00B90977">
        <w:t>personal guarantees given that their floating charges will rank below HMRC.</w:t>
      </w:r>
    </w:p>
    <w:p w:rsidR="00E2670D" w:rsidRPr="00422216" w:rsidRDefault="00E2670D" w:rsidP="00E2670D">
      <w:pPr>
        <w:spacing w:line="360" w:lineRule="auto"/>
        <w:rPr>
          <w:rFonts w:cstheme="minorHAnsi"/>
        </w:rPr>
      </w:pPr>
    </w:p>
    <w:p w:rsidR="00E2670D" w:rsidRPr="00422216" w:rsidRDefault="00E2670D" w:rsidP="00E2670D">
      <w:pPr>
        <w:spacing w:line="360" w:lineRule="auto"/>
        <w:rPr>
          <w:rFonts w:cstheme="minorHAnsi"/>
        </w:rPr>
      </w:pPr>
    </w:p>
    <w:p w:rsidR="00E2670D" w:rsidRPr="00422216" w:rsidRDefault="00E2670D" w:rsidP="00E2670D">
      <w:pPr>
        <w:spacing w:line="360" w:lineRule="auto"/>
        <w:rPr>
          <w:rFonts w:cstheme="minorHAnsi"/>
          <w:u w:val="single"/>
        </w:rPr>
      </w:pPr>
      <w:r w:rsidRPr="00422216">
        <w:rPr>
          <w:rFonts w:cstheme="minorHAnsi"/>
          <w:u w:val="single"/>
        </w:rPr>
        <w:t>Bankruptcy tourism</w:t>
      </w:r>
    </w:p>
    <w:p w:rsidR="00905E5A" w:rsidRPr="00422216" w:rsidRDefault="00905E5A" w:rsidP="00476A5E">
      <w:pPr>
        <w:spacing w:line="360" w:lineRule="auto"/>
        <w:jc w:val="both"/>
        <w:rPr>
          <w:rFonts w:cstheme="minorHAnsi"/>
        </w:rPr>
      </w:pPr>
    </w:p>
    <w:p w:rsidR="00905E5A" w:rsidRPr="00422216" w:rsidRDefault="00905E5A" w:rsidP="00476A5E">
      <w:pPr>
        <w:spacing w:line="360" w:lineRule="auto"/>
        <w:jc w:val="both"/>
        <w:rPr>
          <w:rFonts w:cstheme="minorHAnsi"/>
        </w:rPr>
      </w:pPr>
      <w:r w:rsidRPr="00422216">
        <w:rPr>
          <w:rFonts w:cstheme="minorHAnsi"/>
        </w:rPr>
        <w:t>B</w:t>
      </w:r>
      <w:r w:rsidR="00476A5E" w:rsidRPr="00422216">
        <w:rPr>
          <w:rFonts w:cstheme="minorHAnsi"/>
        </w:rPr>
        <w:t xml:space="preserve">ankruptcy tourism </w:t>
      </w:r>
      <w:r w:rsidRPr="00422216">
        <w:rPr>
          <w:rFonts w:cstheme="minorHAnsi"/>
        </w:rPr>
        <w:t>has been a feature of English and Welsh insolvency law</w:t>
      </w:r>
      <w:r w:rsidR="007D5DF9">
        <w:rPr>
          <w:rFonts w:cstheme="minorHAnsi"/>
        </w:rPr>
        <w:t xml:space="preserve"> over the last couple of decades</w:t>
      </w:r>
      <w:r w:rsidR="00027437">
        <w:rPr>
          <w:rFonts w:cstheme="minorHAnsi"/>
        </w:rPr>
        <w:t xml:space="preserve"> (e.g.</w:t>
      </w:r>
      <w:r w:rsidRPr="00422216">
        <w:rPr>
          <w:rFonts w:cstheme="minorHAnsi"/>
        </w:rPr>
        <w:t xml:space="preserve"> </w:t>
      </w:r>
      <w:proofErr w:type="spellStart"/>
      <w:r w:rsidRPr="00422216">
        <w:rPr>
          <w:rFonts w:cstheme="minorHAnsi"/>
          <w:i/>
        </w:rPr>
        <w:t>Stojevic</w:t>
      </w:r>
      <w:proofErr w:type="spellEnd"/>
      <w:r w:rsidRPr="00422216">
        <w:rPr>
          <w:rFonts w:cstheme="minorHAnsi"/>
          <w:i/>
        </w:rPr>
        <w:t xml:space="preserve"> v. Official Receiver</w:t>
      </w:r>
      <w:r w:rsidRPr="00422216">
        <w:rPr>
          <w:rFonts w:cstheme="minorHAnsi"/>
        </w:rPr>
        <w:t xml:space="preserve"> [2007] BPIR 141; </w:t>
      </w:r>
      <w:r w:rsidRPr="00422216">
        <w:rPr>
          <w:rFonts w:cstheme="minorHAnsi"/>
          <w:i/>
        </w:rPr>
        <w:t>Steinhardt v. Eichler</w:t>
      </w:r>
      <w:r w:rsidRPr="00422216">
        <w:rPr>
          <w:rFonts w:cstheme="minorHAnsi"/>
        </w:rPr>
        <w:t xml:space="preserve"> [2011] BPIR 1293</w:t>
      </w:r>
      <w:r w:rsidR="00232063">
        <w:rPr>
          <w:rFonts w:cstheme="minorHAnsi"/>
        </w:rPr>
        <w:t xml:space="preserve">; Briggs, J (2010) </w:t>
      </w:r>
      <w:r w:rsidR="00232063" w:rsidRPr="00232063">
        <w:rPr>
          <w:rFonts w:cstheme="minorHAnsi"/>
          <w:i/>
        </w:rPr>
        <w:t>Debtor forum shopping</w:t>
      </w:r>
      <w:r w:rsidR="00232063">
        <w:rPr>
          <w:rFonts w:cstheme="minorHAnsi"/>
        </w:rPr>
        <w:t xml:space="preserve">. </w:t>
      </w:r>
      <w:proofErr w:type="spellStart"/>
      <w:r w:rsidR="00232063" w:rsidRPr="00232063">
        <w:rPr>
          <w:rFonts w:cstheme="minorHAnsi"/>
        </w:rPr>
        <w:t>Insolv</w:t>
      </w:r>
      <w:proofErr w:type="spellEnd"/>
      <w:r w:rsidR="00232063" w:rsidRPr="00232063">
        <w:rPr>
          <w:rFonts w:cstheme="minorHAnsi"/>
        </w:rPr>
        <w:t>. Int, 23(2), 28-30</w:t>
      </w:r>
      <w:r w:rsidRPr="00422216">
        <w:rPr>
          <w:rFonts w:cstheme="minorHAnsi"/>
        </w:rPr>
        <w:t xml:space="preserve">). Amongst those indebted individuals searching for a better outcome are those that fall under the big bankruptcy </w:t>
      </w:r>
      <w:r w:rsidR="00027437">
        <w:rPr>
          <w:rFonts w:cstheme="minorHAnsi"/>
        </w:rPr>
        <w:t>umbrella</w:t>
      </w:r>
      <w:r w:rsidRPr="00422216">
        <w:rPr>
          <w:rFonts w:cstheme="minorHAnsi"/>
        </w:rPr>
        <w:t>. Bankruptcy tourism account</w:t>
      </w:r>
      <w:r w:rsidR="007D5DF9">
        <w:rPr>
          <w:rFonts w:cstheme="minorHAnsi"/>
        </w:rPr>
        <w:t>s</w:t>
      </w:r>
      <w:r w:rsidRPr="00422216">
        <w:rPr>
          <w:rFonts w:cstheme="minorHAnsi"/>
        </w:rPr>
        <w:t xml:space="preserve"> for some of the big ba</w:t>
      </w:r>
      <w:r w:rsidR="007D5DF9">
        <w:rPr>
          <w:rFonts w:cstheme="minorHAnsi"/>
        </w:rPr>
        <w:t>nkruptcies that have passed through the English and Welsh courts.</w:t>
      </w:r>
    </w:p>
    <w:p w:rsidR="00905E5A" w:rsidRPr="00422216" w:rsidRDefault="00905E5A" w:rsidP="00476A5E">
      <w:pPr>
        <w:spacing w:line="360" w:lineRule="auto"/>
        <w:jc w:val="both"/>
        <w:rPr>
          <w:rFonts w:cstheme="minorHAnsi"/>
        </w:rPr>
      </w:pPr>
    </w:p>
    <w:p w:rsidR="00905E5A" w:rsidRPr="00422216" w:rsidRDefault="00476A5E" w:rsidP="00476A5E">
      <w:pPr>
        <w:spacing w:line="360" w:lineRule="auto"/>
        <w:jc w:val="both"/>
        <w:rPr>
          <w:rFonts w:cstheme="minorHAnsi"/>
        </w:rPr>
      </w:pPr>
      <w:r w:rsidRPr="00422216">
        <w:rPr>
          <w:rFonts w:cstheme="minorHAnsi"/>
        </w:rPr>
        <w:t>Whilst this form of “Delaware Effect” has its advantages and proponents, there are those who view such forum shopping developments in insolvencies with an international flavour with suspicion.</w:t>
      </w:r>
      <w:r w:rsidR="00232063">
        <w:rPr>
          <w:rFonts w:cstheme="minorHAnsi"/>
        </w:rPr>
        <w:t xml:space="preserve"> Some</w:t>
      </w:r>
      <w:r w:rsidRPr="00422216">
        <w:rPr>
          <w:rFonts w:cstheme="minorHAnsi"/>
        </w:rPr>
        <w:t xml:space="preserve"> </w:t>
      </w:r>
      <w:r w:rsidR="00232063">
        <w:rPr>
          <w:rFonts w:cstheme="minorHAnsi"/>
        </w:rPr>
        <w:t xml:space="preserve">rather extreme </w:t>
      </w:r>
      <w:r w:rsidRPr="00422216">
        <w:rPr>
          <w:rFonts w:cstheme="minorHAnsi"/>
        </w:rPr>
        <w:t>commentators have likened our position to that of a “bankruptcy brothel.”</w:t>
      </w:r>
      <w:r w:rsidR="00232063">
        <w:rPr>
          <w:rFonts w:cstheme="minorHAnsi"/>
        </w:rPr>
        <w:t xml:space="preserve"> </w:t>
      </w:r>
      <w:r w:rsidR="00232063" w:rsidRPr="00232063">
        <w:rPr>
          <w:rFonts w:cstheme="minorHAnsi"/>
          <w:i/>
        </w:rPr>
        <w:t>(“London becomes bankruptcy capital of Europe.”</w:t>
      </w:r>
      <w:r w:rsidR="00232063">
        <w:rPr>
          <w:rFonts w:cstheme="minorHAnsi"/>
        </w:rPr>
        <w:t xml:space="preserve"> Daily Mail, 6th March 2010).</w:t>
      </w:r>
      <w:r w:rsidR="00027437">
        <w:rPr>
          <w:rFonts w:cstheme="minorHAnsi"/>
        </w:rPr>
        <w:t xml:space="preserve"> Put in less excitable and </w:t>
      </w:r>
      <w:r w:rsidR="00232063">
        <w:rPr>
          <w:rFonts w:cstheme="minorHAnsi"/>
        </w:rPr>
        <w:t xml:space="preserve">more factual </w:t>
      </w:r>
      <w:r w:rsidR="00027437">
        <w:rPr>
          <w:rFonts w:cstheme="minorHAnsi"/>
        </w:rPr>
        <w:t>and measured terms</w:t>
      </w:r>
      <w:r w:rsidRPr="00422216">
        <w:rPr>
          <w:rFonts w:cstheme="minorHAnsi"/>
        </w:rPr>
        <w:t>, debtors choose or favour one jurisdiction over another and attempt to argue that they are located in that favourable jurisdiction so as to get the benefits of the insolvency laws in that more favourable jurisdiction.</w:t>
      </w:r>
    </w:p>
    <w:p w:rsidR="00905E5A" w:rsidRPr="00422216" w:rsidRDefault="00905E5A" w:rsidP="00476A5E">
      <w:pPr>
        <w:spacing w:line="360" w:lineRule="auto"/>
        <w:jc w:val="both"/>
        <w:rPr>
          <w:rFonts w:cstheme="minorHAnsi"/>
        </w:rPr>
      </w:pPr>
    </w:p>
    <w:p w:rsidR="00476A5E" w:rsidRPr="00422216" w:rsidRDefault="00232063" w:rsidP="00476A5E">
      <w:pPr>
        <w:spacing w:line="360" w:lineRule="auto"/>
        <w:jc w:val="both"/>
        <w:rPr>
          <w:rFonts w:cstheme="minorHAnsi"/>
        </w:rPr>
      </w:pPr>
      <w:r>
        <w:rPr>
          <w:rFonts w:cstheme="minorHAnsi"/>
        </w:rPr>
        <w:t>Bankruptcy tourism has involved</w:t>
      </w:r>
      <w:r w:rsidR="008A5885">
        <w:rPr>
          <w:rFonts w:cstheme="minorHAnsi"/>
        </w:rPr>
        <w:t xml:space="preserve">, </w:t>
      </w:r>
      <w:r w:rsidR="008A5885" w:rsidRPr="008A5885">
        <w:rPr>
          <w:rFonts w:cstheme="minorHAnsi"/>
          <w:i/>
        </w:rPr>
        <w:t>inter alia</w:t>
      </w:r>
      <w:r w:rsidR="008A5885">
        <w:rPr>
          <w:rFonts w:cstheme="minorHAnsi"/>
        </w:rPr>
        <w:t>,</w:t>
      </w:r>
      <w:r>
        <w:rPr>
          <w:rFonts w:cstheme="minorHAnsi"/>
        </w:rPr>
        <w:t xml:space="preserve"> </w:t>
      </w:r>
      <w:r w:rsidR="008A5885">
        <w:rPr>
          <w:rFonts w:cstheme="minorHAnsi"/>
        </w:rPr>
        <w:t xml:space="preserve">Irish debtors, </w:t>
      </w:r>
      <w:r w:rsidR="00476A5E" w:rsidRPr="00422216">
        <w:rPr>
          <w:rFonts w:cstheme="minorHAnsi"/>
        </w:rPr>
        <w:t>German debtors</w:t>
      </w:r>
      <w:r w:rsidR="00877702">
        <w:rPr>
          <w:rFonts w:cstheme="minorHAnsi"/>
        </w:rPr>
        <w:t>,</w:t>
      </w:r>
      <w:r w:rsidR="008A5885">
        <w:rPr>
          <w:rFonts w:cstheme="minorHAnsi"/>
        </w:rPr>
        <w:t xml:space="preserve"> and Russian debtors</w:t>
      </w:r>
      <w:r w:rsidR="00390E04">
        <w:rPr>
          <w:rFonts w:cstheme="minorHAnsi"/>
        </w:rPr>
        <w:t>,</w:t>
      </w:r>
      <w:r w:rsidR="00476A5E" w:rsidRPr="00422216">
        <w:rPr>
          <w:rFonts w:cstheme="minorHAnsi"/>
        </w:rPr>
        <w:t xml:space="preserve"> attempting to argue that their centre of main interests (COMI) is </w:t>
      </w:r>
      <w:r w:rsidR="008A5885">
        <w:rPr>
          <w:rFonts w:cstheme="minorHAnsi"/>
        </w:rPr>
        <w:t xml:space="preserve">located in </w:t>
      </w:r>
      <w:r w:rsidR="00476A5E" w:rsidRPr="00422216">
        <w:rPr>
          <w:rFonts w:cstheme="minorHAnsi"/>
        </w:rPr>
        <w:t>England and Wales</w:t>
      </w:r>
      <w:r>
        <w:rPr>
          <w:rFonts w:cstheme="minorHAnsi"/>
        </w:rPr>
        <w:t xml:space="preserve"> (See: </w:t>
      </w:r>
      <w:r w:rsidR="00877702">
        <w:rPr>
          <w:rFonts w:cstheme="minorHAnsi"/>
        </w:rPr>
        <w:t>Hickey, S (2013)</w:t>
      </w:r>
      <w:r w:rsidRPr="00232063">
        <w:rPr>
          <w:rFonts w:cstheme="minorHAnsi"/>
        </w:rPr>
        <w:t xml:space="preserve"> </w:t>
      </w:r>
      <w:r w:rsidRPr="00232063">
        <w:rPr>
          <w:rFonts w:cstheme="minorHAnsi"/>
          <w:i/>
        </w:rPr>
        <w:t>Ireland's 'bankruptcy tourists' face tougher treatment in English courts</w:t>
      </w:r>
      <w:r w:rsidRPr="00232063">
        <w:rPr>
          <w:rFonts w:cstheme="minorHAnsi"/>
        </w:rPr>
        <w:t>. Th</w:t>
      </w:r>
      <w:r w:rsidR="00877702">
        <w:rPr>
          <w:rFonts w:cstheme="minorHAnsi"/>
        </w:rPr>
        <w:t>e Observer, Sunday 3 March</w:t>
      </w:r>
      <w:r w:rsidR="00BF39A8">
        <w:rPr>
          <w:rFonts w:cstheme="minorHAnsi"/>
        </w:rPr>
        <w:t xml:space="preserve">; </w:t>
      </w:r>
      <w:r w:rsidR="00BF39A8" w:rsidRPr="00BF39A8">
        <w:rPr>
          <w:rFonts w:cstheme="minorHAnsi"/>
        </w:rPr>
        <w:t>Hickey, S</w:t>
      </w:r>
      <w:r w:rsidR="00877702">
        <w:rPr>
          <w:rFonts w:cstheme="minorHAnsi"/>
        </w:rPr>
        <w:t xml:space="preserve"> (2013)</w:t>
      </w:r>
      <w:r w:rsidR="00BF39A8" w:rsidRPr="00BF39A8">
        <w:rPr>
          <w:rFonts w:cstheme="minorHAnsi"/>
        </w:rPr>
        <w:t xml:space="preserve">. </w:t>
      </w:r>
      <w:r w:rsidR="00BF39A8" w:rsidRPr="00BF39A8">
        <w:rPr>
          <w:rFonts w:cstheme="minorHAnsi"/>
          <w:i/>
        </w:rPr>
        <w:t>O'Donnell makes fresh bid for bankruptcy in UK</w:t>
      </w:r>
      <w:r w:rsidR="00BF39A8" w:rsidRPr="00BF39A8">
        <w:rPr>
          <w:rFonts w:cstheme="minorHAnsi"/>
        </w:rPr>
        <w:t>. Ir</w:t>
      </w:r>
      <w:r w:rsidR="00877702">
        <w:rPr>
          <w:rFonts w:cstheme="minorHAnsi"/>
        </w:rPr>
        <w:t>ish Independent, 6th March</w:t>
      </w:r>
      <w:r>
        <w:rPr>
          <w:rFonts w:cstheme="minorHAnsi"/>
        </w:rPr>
        <w:t>)</w:t>
      </w:r>
      <w:r w:rsidR="00476A5E" w:rsidRPr="00422216">
        <w:rPr>
          <w:rFonts w:cstheme="minorHAnsi"/>
        </w:rPr>
        <w:t>.</w:t>
      </w:r>
      <w:r w:rsidR="00533705">
        <w:rPr>
          <w:rFonts w:cstheme="minorHAnsi"/>
        </w:rPr>
        <w:t xml:space="preserve"> </w:t>
      </w:r>
      <w:r w:rsidR="00476A5E" w:rsidRPr="00422216">
        <w:rPr>
          <w:rFonts w:cstheme="minorHAnsi"/>
        </w:rPr>
        <w:t>Specific marketing activity in those countries may have caused this upsurge</w:t>
      </w:r>
      <w:r w:rsidR="00877702">
        <w:rPr>
          <w:rFonts w:cstheme="minorHAnsi"/>
        </w:rPr>
        <w:t xml:space="preserve"> in bankruptcy tourism</w:t>
      </w:r>
      <w:r w:rsidR="00476A5E" w:rsidRPr="00422216">
        <w:rPr>
          <w:rFonts w:cstheme="minorHAnsi"/>
        </w:rPr>
        <w:t xml:space="preserve">. The marketing material often extolled the virtues of other more </w:t>
      </w:r>
      <w:r w:rsidR="00877702">
        <w:rPr>
          <w:rFonts w:cstheme="minorHAnsi"/>
        </w:rPr>
        <w:t>“</w:t>
      </w:r>
      <w:r w:rsidR="00476A5E" w:rsidRPr="00422216">
        <w:rPr>
          <w:rFonts w:cstheme="minorHAnsi"/>
        </w:rPr>
        <w:t>liberal</w:t>
      </w:r>
      <w:r w:rsidR="00877702">
        <w:rPr>
          <w:rFonts w:cstheme="minorHAnsi"/>
        </w:rPr>
        <w:t>”</w:t>
      </w:r>
      <w:r w:rsidR="00476A5E" w:rsidRPr="00422216">
        <w:rPr>
          <w:rFonts w:cstheme="minorHAnsi"/>
        </w:rPr>
        <w:t xml:space="preserve"> bankruptcy regimes than the debtor’s home jurisdiction.</w:t>
      </w:r>
      <w:r w:rsidR="00533705">
        <w:rPr>
          <w:rFonts w:cstheme="minorHAnsi"/>
        </w:rPr>
        <w:t xml:space="preserve"> (</w:t>
      </w:r>
      <w:r w:rsidR="00877702">
        <w:rPr>
          <w:rFonts w:cstheme="minorHAnsi"/>
        </w:rPr>
        <w:t>e.g.</w:t>
      </w:r>
      <w:r w:rsidR="00533705" w:rsidRPr="00533705">
        <w:rPr>
          <w:rFonts w:cstheme="minorHAnsi"/>
        </w:rPr>
        <w:t xml:space="preserve"> </w:t>
      </w:r>
      <w:r w:rsidR="00533705" w:rsidRPr="00533705">
        <w:rPr>
          <w:rFonts w:cstheme="minorHAnsi"/>
          <w:i/>
        </w:rPr>
        <w:t>Re Eichler (No.2)</w:t>
      </w:r>
      <w:r w:rsidR="00533705">
        <w:rPr>
          <w:rFonts w:cstheme="minorHAnsi"/>
        </w:rPr>
        <w:t xml:space="preserve"> [2011] BPIR 1293, para</w:t>
      </w:r>
      <w:r w:rsidR="00877702">
        <w:rPr>
          <w:rFonts w:cstheme="minorHAnsi"/>
        </w:rPr>
        <w:t>s 47 &amp;</w:t>
      </w:r>
      <w:r w:rsidR="00533705" w:rsidRPr="00533705">
        <w:rPr>
          <w:rFonts w:cstheme="minorHAnsi"/>
        </w:rPr>
        <w:t xml:space="preserve"> 48, which mentions International Networks Solutions Ltd, a company offering England and Wales based debt relief solutions</w:t>
      </w:r>
      <w:r w:rsidR="00533705">
        <w:rPr>
          <w:rFonts w:cstheme="minorHAnsi"/>
        </w:rPr>
        <w:t>)</w:t>
      </w:r>
      <w:r w:rsidR="00533705" w:rsidRPr="00533705">
        <w:rPr>
          <w:rFonts w:cstheme="minorHAnsi"/>
        </w:rPr>
        <w:t>.</w:t>
      </w:r>
    </w:p>
    <w:p w:rsidR="00905E5A" w:rsidRPr="00422216" w:rsidRDefault="00905E5A" w:rsidP="00476A5E">
      <w:pPr>
        <w:spacing w:line="360" w:lineRule="auto"/>
        <w:jc w:val="both"/>
        <w:rPr>
          <w:rFonts w:cstheme="minorHAnsi"/>
        </w:rPr>
      </w:pPr>
    </w:p>
    <w:p w:rsidR="00476A5E" w:rsidRPr="00422216" w:rsidRDefault="00905E5A" w:rsidP="00476A5E">
      <w:pPr>
        <w:spacing w:line="360" w:lineRule="auto"/>
        <w:jc w:val="both"/>
        <w:rPr>
          <w:rFonts w:cstheme="minorHAnsi"/>
        </w:rPr>
      </w:pPr>
      <w:r w:rsidRPr="00422216">
        <w:rPr>
          <w:rFonts w:cstheme="minorHAnsi"/>
        </w:rPr>
        <w:t xml:space="preserve">In terms of big </w:t>
      </w:r>
      <w:proofErr w:type="gramStart"/>
      <w:r w:rsidRPr="00422216">
        <w:rPr>
          <w:rFonts w:cstheme="minorHAnsi"/>
        </w:rPr>
        <w:t>bankruptcies</w:t>
      </w:r>
      <w:proofErr w:type="gramEnd"/>
      <w:r w:rsidRPr="00422216">
        <w:rPr>
          <w:rFonts w:cstheme="minorHAnsi"/>
        </w:rPr>
        <w:t xml:space="preserve"> the case of </w:t>
      </w:r>
      <w:r w:rsidR="00476A5E" w:rsidRPr="00533705">
        <w:rPr>
          <w:rFonts w:cstheme="minorHAnsi"/>
          <w:i/>
        </w:rPr>
        <w:t>Irish Bank Resolution Corp v</w:t>
      </w:r>
      <w:r w:rsidR="00533705" w:rsidRPr="00533705">
        <w:rPr>
          <w:rFonts w:cstheme="minorHAnsi"/>
          <w:i/>
        </w:rPr>
        <w:t>.</w:t>
      </w:r>
      <w:r w:rsidR="00476A5E" w:rsidRPr="00533705">
        <w:rPr>
          <w:rFonts w:cstheme="minorHAnsi"/>
          <w:i/>
        </w:rPr>
        <w:t xml:space="preserve"> Quinn</w:t>
      </w:r>
      <w:r w:rsidR="00533705">
        <w:rPr>
          <w:rFonts w:cstheme="minorHAnsi"/>
        </w:rPr>
        <w:t xml:space="preserve"> (</w:t>
      </w:r>
      <w:r w:rsidR="00533705" w:rsidRPr="00533705">
        <w:rPr>
          <w:rFonts w:cstheme="minorHAnsi"/>
        </w:rPr>
        <w:t xml:space="preserve">[2012] </w:t>
      </w:r>
      <w:proofErr w:type="spellStart"/>
      <w:r w:rsidR="00533705">
        <w:rPr>
          <w:rFonts w:cstheme="minorHAnsi"/>
        </w:rPr>
        <w:t>NICh</w:t>
      </w:r>
      <w:proofErr w:type="spellEnd"/>
      <w:r w:rsidR="00533705">
        <w:rPr>
          <w:rFonts w:cstheme="minorHAnsi"/>
        </w:rPr>
        <w:t xml:space="preserve"> 1; [2012] B.C.C. 608. See: </w:t>
      </w:r>
      <w:r w:rsidR="00533705" w:rsidRPr="00533705">
        <w:rPr>
          <w:rFonts w:cstheme="minorHAnsi"/>
        </w:rPr>
        <w:t>Swift, S</w:t>
      </w:r>
      <w:r w:rsidR="00533705">
        <w:rPr>
          <w:rFonts w:cstheme="minorHAnsi"/>
        </w:rPr>
        <w:t xml:space="preserve"> (2012)</w:t>
      </w:r>
      <w:r w:rsidR="00533705" w:rsidRPr="00533705">
        <w:rPr>
          <w:rFonts w:cstheme="minorHAnsi"/>
        </w:rPr>
        <w:t xml:space="preserve"> </w:t>
      </w:r>
      <w:r w:rsidR="00533705" w:rsidRPr="00533705">
        <w:rPr>
          <w:rFonts w:cstheme="minorHAnsi"/>
          <w:i/>
        </w:rPr>
        <w:t xml:space="preserve">Forum shopping in personal insolvency - a question of </w:t>
      </w:r>
      <w:proofErr w:type="spellStart"/>
      <w:r w:rsidR="00E077F4">
        <w:rPr>
          <w:rFonts w:cstheme="minorHAnsi"/>
          <w:i/>
        </w:rPr>
        <w:t>ascertain</w:t>
      </w:r>
      <w:r w:rsidR="00E077F4" w:rsidRPr="00533705">
        <w:rPr>
          <w:rFonts w:cstheme="minorHAnsi"/>
          <w:i/>
        </w:rPr>
        <w:t>ability</w:t>
      </w:r>
      <w:proofErr w:type="spellEnd"/>
      <w:r w:rsidR="00533705" w:rsidRPr="00533705">
        <w:rPr>
          <w:rFonts w:cstheme="minorHAnsi"/>
          <w:i/>
        </w:rPr>
        <w:t>?</w:t>
      </w:r>
      <w:r w:rsidR="00533705" w:rsidRPr="00533705">
        <w:rPr>
          <w:rFonts w:cstheme="minorHAnsi"/>
        </w:rPr>
        <w:t xml:space="preserve"> C.R. &amp; I,5(4), 137-138</w:t>
      </w:r>
      <w:r w:rsidR="00533705">
        <w:rPr>
          <w:rFonts w:cstheme="minorHAnsi"/>
        </w:rPr>
        <w:t>) is instructive.</w:t>
      </w:r>
    </w:p>
    <w:p w:rsidR="00533705" w:rsidRDefault="00533705" w:rsidP="00476A5E">
      <w:pPr>
        <w:spacing w:line="360" w:lineRule="auto"/>
        <w:jc w:val="both"/>
        <w:rPr>
          <w:rFonts w:cstheme="minorHAnsi"/>
        </w:rPr>
      </w:pPr>
    </w:p>
    <w:p w:rsidR="00476A5E" w:rsidRPr="00422216" w:rsidRDefault="00476A5E" w:rsidP="00476A5E">
      <w:pPr>
        <w:spacing w:line="360" w:lineRule="auto"/>
        <w:jc w:val="both"/>
        <w:rPr>
          <w:rFonts w:cstheme="minorHAnsi"/>
        </w:rPr>
      </w:pPr>
      <w:r w:rsidRPr="00422216">
        <w:rPr>
          <w:rFonts w:cstheme="minorHAnsi"/>
        </w:rPr>
        <w:t>The Quinn case</w:t>
      </w:r>
      <w:r w:rsidR="00533705">
        <w:rPr>
          <w:rFonts w:cstheme="minorHAnsi"/>
        </w:rPr>
        <w:t xml:space="preserve"> involved a </w:t>
      </w:r>
      <w:proofErr w:type="gramStart"/>
      <w:r w:rsidR="00533705">
        <w:rPr>
          <w:rFonts w:cstheme="minorHAnsi"/>
        </w:rPr>
        <w:t>high profile</w:t>
      </w:r>
      <w:proofErr w:type="gramEnd"/>
      <w:r w:rsidR="00533705">
        <w:rPr>
          <w:rFonts w:cstheme="minorHAnsi"/>
        </w:rPr>
        <w:t xml:space="preserve"> Irish debtor engaging in bankruptcy tourism. The case can also be classified as a big bankruptcy as </w:t>
      </w:r>
      <w:r w:rsidR="00877702" w:rsidRPr="00877702">
        <w:rPr>
          <w:rFonts w:cstheme="minorHAnsi"/>
        </w:rPr>
        <w:t>€253,951,810.67</w:t>
      </w:r>
      <w:r w:rsidR="00877702">
        <w:rPr>
          <w:rFonts w:cstheme="minorHAnsi"/>
        </w:rPr>
        <w:t xml:space="preserve"> </w:t>
      </w:r>
      <w:r w:rsidR="00606461">
        <w:rPr>
          <w:rFonts w:cstheme="minorHAnsi"/>
        </w:rPr>
        <w:t>were</w:t>
      </w:r>
      <w:r w:rsidR="00533705">
        <w:rPr>
          <w:rFonts w:cstheme="minorHAnsi"/>
        </w:rPr>
        <w:t xml:space="preserve"> owed by the debtor to his creditors. </w:t>
      </w:r>
      <w:r w:rsidRPr="00422216">
        <w:rPr>
          <w:rFonts w:cstheme="minorHAnsi"/>
        </w:rPr>
        <w:t>The case involved a property developer, John Ignatius Quinn (commonly known as Sean Quinn)</w:t>
      </w:r>
      <w:r w:rsidR="00606461">
        <w:rPr>
          <w:rFonts w:cstheme="minorHAnsi"/>
        </w:rPr>
        <w:t xml:space="preserve">, </w:t>
      </w:r>
      <w:r w:rsidR="00533705">
        <w:rPr>
          <w:rFonts w:cstheme="minorHAnsi"/>
        </w:rPr>
        <w:t xml:space="preserve">who was </w:t>
      </w:r>
      <w:r w:rsidRPr="00422216">
        <w:rPr>
          <w:rFonts w:cstheme="minorHAnsi"/>
        </w:rPr>
        <w:t>based in the Republic of Ireland</w:t>
      </w:r>
      <w:r w:rsidR="00606461">
        <w:rPr>
          <w:rFonts w:cstheme="minorHAnsi"/>
        </w:rPr>
        <w:t xml:space="preserve">. </w:t>
      </w:r>
      <w:proofErr w:type="gramStart"/>
      <w:r w:rsidR="00606461">
        <w:rPr>
          <w:rFonts w:cstheme="minorHAnsi"/>
        </w:rPr>
        <w:t xml:space="preserve">He </w:t>
      </w:r>
      <w:r w:rsidRPr="00422216">
        <w:rPr>
          <w:rFonts w:cstheme="minorHAnsi"/>
        </w:rPr>
        <w:t xml:space="preserve"> attempted</w:t>
      </w:r>
      <w:proofErr w:type="gramEnd"/>
      <w:r w:rsidR="00606461">
        <w:rPr>
          <w:rFonts w:cstheme="minorHAnsi"/>
        </w:rPr>
        <w:t xml:space="preserve"> to assert th</w:t>
      </w:r>
      <w:r w:rsidR="00877702">
        <w:rPr>
          <w:rFonts w:cstheme="minorHAnsi"/>
        </w:rPr>
        <w:t>at his COMI</w:t>
      </w:r>
      <w:r w:rsidRPr="00422216">
        <w:rPr>
          <w:rFonts w:cstheme="minorHAnsi"/>
        </w:rPr>
        <w:t xml:space="preserve"> was in Northern Ireland. This would enable him to gain access to the more liberal bankruptcy provisions north of the border. Discharge would come automatically after 12 months, instead of the Republic of Ireland’s then </w:t>
      </w:r>
      <w:proofErr w:type="gramStart"/>
      <w:r w:rsidRPr="00422216">
        <w:rPr>
          <w:rFonts w:cstheme="minorHAnsi"/>
        </w:rPr>
        <w:t>more lengthy</w:t>
      </w:r>
      <w:proofErr w:type="gramEnd"/>
      <w:r w:rsidRPr="00422216">
        <w:rPr>
          <w:rFonts w:cstheme="minorHAnsi"/>
        </w:rPr>
        <w:t xml:space="preserve"> twelve years. The Master in Bankruptcy made a bankruptcy order in November 2011.</w:t>
      </w:r>
    </w:p>
    <w:p w:rsidR="00476A5E" w:rsidRPr="00422216" w:rsidRDefault="00476A5E" w:rsidP="00476A5E">
      <w:pPr>
        <w:spacing w:line="360" w:lineRule="auto"/>
        <w:jc w:val="both"/>
        <w:rPr>
          <w:rFonts w:cstheme="minorHAnsi"/>
        </w:rPr>
      </w:pPr>
    </w:p>
    <w:p w:rsidR="00606461" w:rsidRDefault="00476A5E" w:rsidP="00476A5E">
      <w:pPr>
        <w:spacing w:line="360" w:lineRule="auto"/>
        <w:jc w:val="both"/>
        <w:rPr>
          <w:rFonts w:cstheme="minorHAnsi"/>
        </w:rPr>
      </w:pPr>
      <w:r w:rsidRPr="00422216">
        <w:rPr>
          <w:rFonts w:cstheme="minorHAnsi"/>
        </w:rPr>
        <w:t>The annulment applicant creditor</w:t>
      </w:r>
      <w:r w:rsidR="00606461">
        <w:rPr>
          <w:rFonts w:cstheme="minorHAnsi"/>
        </w:rPr>
        <w:t>,</w:t>
      </w:r>
      <w:r w:rsidRPr="00422216">
        <w:rPr>
          <w:rFonts w:cstheme="minorHAnsi"/>
        </w:rPr>
        <w:t xml:space="preserve"> the Irish Bank Resolution Corporation (formerly known as Allied Irish Bank)</w:t>
      </w:r>
      <w:r w:rsidR="00606461">
        <w:rPr>
          <w:rFonts w:cstheme="minorHAnsi"/>
        </w:rPr>
        <w:t>,</w:t>
      </w:r>
      <w:r w:rsidRPr="00422216">
        <w:rPr>
          <w:rFonts w:cstheme="minorHAnsi"/>
        </w:rPr>
        <w:t xml:space="preserve"> contended that the Northern Irish court lacked jurisdiction pursuant to article 3(1) of the </w:t>
      </w:r>
      <w:r w:rsidR="00877702">
        <w:rPr>
          <w:rFonts w:cstheme="minorHAnsi"/>
        </w:rPr>
        <w:t xml:space="preserve">European Insolvency </w:t>
      </w:r>
      <w:r w:rsidRPr="00422216">
        <w:rPr>
          <w:rFonts w:cstheme="minorHAnsi"/>
        </w:rPr>
        <w:t xml:space="preserve">Regulation </w:t>
      </w:r>
      <w:r w:rsidR="00606461">
        <w:rPr>
          <w:rFonts w:cstheme="minorHAnsi"/>
        </w:rPr>
        <w:t>because Quinn’s</w:t>
      </w:r>
      <w:r w:rsidRPr="00422216">
        <w:rPr>
          <w:rFonts w:cstheme="minorHAnsi"/>
        </w:rPr>
        <w:t xml:space="preserve"> COMI was not in Northern Ireland at the date of the bankruptcy or</w:t>
      </w:r>
      <w:r w:rsidR="00606461">
        <w:rPr>
          <w:rFonts w:cstheme="minorHAnsi"/>
        </w:rPr>
        <w:t>der (</w:t>
      </w:r>
      <w:r w:rsidRPr="00422216">
        <w:rPr>
          <w:rFonts w:cstheme="minorHAnsi"/>
        </w:rPr>
        <w:t>November 2011</w:t>
      </w:r>
      <w:r w:rsidR="00606461">
        <w:rPr>
          <w:rFonts w:cstheme="minorHAnsi"/>
        </w:rPr>
        <w:t>). The bank</w:t>
      </w:r>
      <w:r w:rsidRPr="00422216">
        <w:rPr>
          <w:rFonts w:cstheme="minorHAnsi"/>
        </w:rPr>
        <w:t xml:space="preserve"> asserted that Quinn’s thirty years of residence, various company interests</w:t>
      </w:r>
      <w:r w:rsidR="00606461">
        <w:rPr>
          <w:rFonts w:cstheme="minorHAnsi"/>
        </w:rPr>
        <w:t>,</w:t>
      </w:r>
      <w:r w:rsidRPr="00422216">
        <w:rPr>
          <w:rFonts w:cstheme="minorHAnsi"/>
        </w:rPr>
        <w:t xml:space="preserve"> and tax payment arrangements all indicated that his COMI was in the Republic. They claimed that the bankruptcy order had been obtained through misrepresentation and non-disclosure. Quinn claimed that his COMI was in Northern Ireland because since May 2011 he has been working from an office in Northern Ireland most days of the week.  </w:t>
      </w:r>
    </w:p>
    <w:p w:rsidR="00606461" w:rsidRDefault="00606461" w:rsidP="00476A5E">
      <w:pPr>
        <w:spacing w:line="360" w:lineRule="auto"/>
        <w:jc w:val="both"/>
        <w:rPr>
          <w:rFonts w:cstheme="minorHAnsi"/>
        </w:rPr>
      </w:pPr>
    </w:p>
    <w:p w:rsidR="00476A5E" w:rsidRDefault="00476A5E" w:rsidP="00476A5E">
      <w:pPr>
        <w:spacing w:line="360" w:lineRule="auto"/>
        <w:jc w:val="both"/>
        <w:rPr>
          <w:rFonts w:cstheme="minorHAnsi"/>
        </w:rPr>
      </w:pPr>
      <w:r w:rsidRPr="00422216">
        <w:rPr>
          <w:rFonts w:cstheme="minorHAnsi"/>
        </w:rPr>
        <w:t xml:space="preserve">Sitting in the High Court in Belfast </w:t>
      </w:r>
      <w:proofErr w:type="spellStart"/>
      <w:r w:rsidRPr="00422216">
        <w:rPr>
          <w:rFonts w:cstheme="minorHAnsi"/>
        </w:rPr>
        <w:t>Deeny</w:t>
      </w:r>
      <w:proofErr w:type="spellEnd"/>
      <w:r w:rsidRPr="00422216">
        <w:rPr>
          <w:rFonts w:cstheme="minorHAnsi"/>
        </w:rPr>
        <w:t xml:space="preserve">, J annulled the bankruptcy order. He held that Quinn’s COMI was not in Northern Ireland. After reviewing the evidence </w:t>
      </w:r>
      <w:proofErr w:type="spellStart"/>
      <w:r w:rsidRPr="00422216">
        <w:rPr>
          <w:rFonts w:cstheme="minorHAnsi"/>
        </w:rPr>
        <w:t>Deeny</w:t>
      </w:r>
      <w:proofErr w:type="spellEnd"/>
      <w:r w:rsidRPr="00422216">
        <w:rPr>
          <w:rFonts w:cstheme="minorHAnsi"/>
        </w:rPr>
        <w:t xml:space="preserve">, J concluded that Quinn’s business activities in the commercial offices in Northern Ireland were not sufficiently proven to allow a finding of business COMI in that jurisdiction. Quinn’s supposed interests in forestry and litigation in Northern Ireland were insufficient. </w:t>
      </w:r>
      <w:r w:rsidR="00877702">
        <w:rPr>
          <w:rFonts w:cstheme="minorHAnsi"/>
        </w:rPr>
        <w:t xml:space="preserve"> The judge noted</w:t>
      </w:r>
      <w:r w:rsidRPr="00422216">
        <w:rPr>
          <w:rFonts w:cstheme="minorHAnsi"/>
        </w:rPr>
        <w:t xml:space="preserve"> that </w:t>
      </w:r>
      <w:r w:rsidR="00606461">
        <w:rPr>
          <w:rFonts w:cstheme="minorHAnsi"/>
        </w:rPr>
        <w:t xml:space="preserve">the </w:t>
      </w:r>
      <w:r w:rsidRPr="00422216">
        <w:rPr>
          <w:rFonts w:cstheme="minorHAnsi"/>
        </w:rPr>
        <w:t>disparity between length of discharge might provide a “temptation” to debtors to seek to assert their COMI in the countr</w:t>
      </w:r>
      <w:r w:rsidR="00606461">
        <w:rPr>
          <w:rFonts w:cstheme="minorHAnsi"/>
        </w:rPr>
        <w:t>y with the most liberal regime.</w:t>
      </w:r>
    </w:p>
    <w:p w:rsidR="00877702" w:rsidRDefault="00877702" w:rsidP="00476A5E">
      <w:pPr>
        <w:spacing w:line="360" w:lineRule="auto"/>
        <w:jc w:val="both"/>
        <w:rPr>
          <w:rFonts w:cstheme="minorHAnsi"/>
        </w:rPr>
      </w:pPr>
    </w:p>
    <w:p w:rsidR="00877702" w:rsidRPr="00422216" w:rsidRDefault="00877702" w:rsidP="00476A5E">
      <w:pPr>
        <w:spacing w:line="360" w:lineRule="auto"/>
        <w:jc w:val="both"/>
        <w:rPr>
          <w:rFonts w:cstheme="minorHAnsi"/>
        </w:rPr>
      </w:pPr>
      <w:r>
        <w:rPr>
          <w:rFonts w:cstheme="minorHAnsi"/>
        </w:rPr>
        <w:t xml:space="preserve">The Quinn bankruptcy, and the </w:t>
      </w:r>
      <w:proofErr w:type="spellStart"/>
      <w:r>
        <w:rPr>
          <w:rFonts w:cstheme="minorHAnsi"/>
        </w:rPr>
        <w:t>Kekhman</w:t>
      </w:r>
      <w:proofErr w:type="spellEnd"/>
      <w:r>
        <w:rPr>
          <w:rFonts w:cstheme="minorHAnsi"/>
        </w:rPr>
        <w:t xml:space="preserve"> bankruptcy</w:t>
      </w:r>
      <w:r w:rsidR="004E2435">
        <w:rPr>
          <w:rFonts w:cstheme="minorHAnsi"/>
        </w:rPr>
        <w:t>,</w:t>
      </w:r>
      <w:r>
        <w:rPr>
          <w:rFonts w:cstheme="minorHAnsi"/>
        </w:rPr>
        <w:t xml:space="preserve"> which featured similar themes in terms of massive over-indebtedness and an attempt to locate COMI in a different jurisdiction, highlight why England and Wales is attractive in bankruptcy jurisdiction terms. The relatively short period before automatic discharge occurs makes the jurisdiction attractive, particularly to those international business people who find themselves overwhelmed with debt. In this wa</w:t>
      </w:r>
      <w:r w:rsidR="004E2435">
        <w:rPr>
          <w:rFonts w:cstheme="minorHAnsi"/>
        </w:rPr>
        <w:t>y</w:t>
      </w:r>
      <w:r>
        <w:rPr>
          <w:rFonts w:cstheme="minorHAnsi"/>
        </w:rPr>
        <w:t xml:space="preserve"> bankruptcy law is providing its proper relief and reh</w:t>
      </w:r>
      <w:r w:rsidR="00DF1A42">
        <w:rPr>
          <w:rFonts w:cstheme="minorHAnsi"/>
        </w:rPr>
        <w:t xml:space="preserve">abilitation functions, perhaps </w:t>
      </w:r>
      <w:r>
        <w:rPr>
          <w:rFonts w:cstheme="minorHAnsi"/>
        </w:rPr>
        <w:t xml:space="preserve">even beyond borders, in a certain sense. </w:t>
      </w:r>
    </w:p>
    <w:p w:rsidR="00DD3AB3" w:rsidRPr="00422216" w:rsidRDefault="00DD3AB3" w:rsidP="00E2670D">
      <w:pPr>
        <w:spacing w:line="360" w:lineRule="auto"/>
        <w:rPr>
          <w:rFonts w:cstheme="minorHAnsi"/>
        </w:rPr>
      </w:pPr>
    </w:p>
    <w:p w:rsidR="00DD3AB3" w:rsidRPr="00422216" w:rsidRDefault="00DD3AB3" w:rsidP="00E2670D">
      <w:pPr>
        <w:spacing w:line="360" w:lineRule="auto"/>
        <w:rPr>
          <w:rFonts w:cstheme="minorHAnsi"/>
        </w:rPr>
      </w:pPr>
    </w:p>
    <w:p w:rsidR="00DD3AB3" w:rsidRPr="00422216" w:rsidRDefault="00DD3AB3">
      <w:pPr>
        <w:rPr>
          <w:rFonts w:cstheme="minorHAnsi"/>
        </w:rPr>
      </w:pPr>
      <w:r w:rsidRPr="00422216">
        <w:rPr>
          <w:rFonts w:cstheme="minorHAnsi"/>
        </w:rPr>
        <w:br w:type="page"/>
      </w:r>
    </w:p>
    <w:p w:rsidR="00DD3AB3" w:rsidRDefault="00DD3AB3" w:rsidP="00E2670D">
      <w:pPr>
        <w:spacing w:line="360" w:lineRule="auto"/>
      </w:pPr>
    </w:p>
    <w:p w:rsidR="00DD3AB3" w:rsidRDefault="00DD3AB3" w:rsidP="00E2670D">
      <w:pPr>
        <w:spacing w:line="360" w:lineRule="auto"/>
        <w:rPr>
          <w:b/>
          <w:u w:val="single"/>
        </w:rPr>
      </w:pPr>
      <w:r w:rsidRPr="00DD3AB3">
        <w:rPr>
          <w:b/>
          <w:u w:val="single"/>
        </w:rPr>
        <w:t xml:space="preserve">Conclusion </w:t>
      </w:r>
    </w:p>
    <w:p w:rsidR="00CB11F2" w:rsidRDefault="00CB11F2" w:rsidP="00E2670D">
      <w:pPr>
        <w:spacing w:line="360" w:lineRule="auto"/>
        <w:rPr>
          <w:b/>
          <w:u w:val="single"/>
        </w:rPr>
      </w:pPr>
    </w:p>
    <w:p w:rsidR="00E305F7" w:rsidRDefault="00C9506F" w:rsidP="00E305F7">
      <w:pPr>
        <w:spacing w:line="360" w:lineRule="auto"/>
        <w:jc w:val="both"/>
      </w:pPr>
      <w:r w:rsidRPr="00C9506F">
        <w:t>Big bankruptcies demonstrate</w:t>
      </w:r>
      <w:r w:rsidR="00E305F7">
        <w:t xml:space="preserve"> the relief and rehabilitation functions of the bankruptcy jurisdiction on a grand s</w:t>
      </w:r>
      <w:r w:rsidR="00FF42F6">
        <w:t>cale. But the issues they raise</w:t>
      </w:r>
      <w:r w:rsidR="00E305F7">
        <w:t xml:space="preserve"> in</w:t>
      </w:r>
      <w:r w:rsidR="00FF42F6">
        <w:t xml:space="preserve"> terms of pressure, stress and strain</w:t>
      </w:r>
      <w:r w:rsidR="00E305F7">
        <w:t xml:space="preserve"> are not novel to those expos</w:t>
      </w:r>
      <w:r w:rsidR="00FF42F6">
        <w:t>ed to multi-</w:t>
      </w:r>
      <w:proofErr w:type="gramStart"/>
      <w:r w:rsidR="00FF42F6">
        <w:t>million pound</w:t>
      </w:r>
      <w:proofErr w:type="gramEnd"/>
      <w:r w:rsidR="00FF42F6">
        <w:t xml:space="preserve"> indebtedness</w:t>
      </w:r>
      <w:r w:rsidR="00E305F7">
        <w:t xml:space="preserve">. The effects of indebtedness trickle down the insolvency scale to the most modest of debtors. </w:t>
      </w:r>
      <w:r w:rsidR="00FF42F6">
        <w:t xml:space="preserve">What is good for the mega-bankrupt is good for the average bankrupt. </w:t>
      </w:r>
    </w:p>
    <w:p w:rsidR="00E305F7" w:rsidRDefault="00E305F7" w:rsidP="00E305F7">
      <w:pPr>
        <w:spacing w:line="360" w:lineRule="auto"/>
        <w:jc w:val="both"/>
      </w:pPr>
    </w:p>
    <w:p w:rsidR="00E305F7" w:rsidRDefault="00AC0811" w:rsidP="00E305F7">
      <w:pPr>
        <w:spacing w:line="360" w:lineRule="auto"/>
        <w:jc w:val="both"/>
      </w:pPr>
      <w:r>
        <w:t>What big bankruptcies teach us</w:t>
      </w:r>
      <w:r w:rsidR="00E305F7">
        <w:t xml:space="preserve"> is that limited liability can be undermined with the use of </w:t>
      </w:r>
      <w:r w:rsidR="00FF42F6">
        <w:t xml:space="preserve">the </w:t>
      </w:r>
      <w:r w:rsidR="00E305F7">
        <w:t xml:space="preserve">personal guarantee. </w:t>
      </w:r>
      <w:r w:rsidR="00FF42F6">
        <w:t xml:space="preserve">Limited liability means </w:t>
      </w:r>
      <w:r w:rsidR="002F1EF4">
        <w:t>little</w:t>
      </w:r>
      <w:r w:rsidR="00FF42F6">
        <w:t xml:space="preserve"> if a personal guarantee sits behind the scenes. This guarantee may have facilitated some form of trading, but it falls to be dealt with by the bankruptcy system if things go array. If that bankruptcy system, as within En</w:t>
      </w:r>
      <w:r w:rsidR="00013DC6">
        <w:t>gland and Wales, promotes relief</w:t>
      </w:r>
      <w:r w:rsidR="00FF42F6">
        <w:t xml:space="preserve"> and rehabilitation perhaps that is no bad thing. </w:t>
      </w:r>
    </w:p>
    <w:p w:rsidR="00E305F7" w:rsidRDefault="00E305F7" w:rsidP="00E305F7">
      <w:pPr>
        <w:spacing w:line="360" w:lineRule="auto"/>
        <w:jc w:val="both"/>
      </w:pPr>
    </w:p>
    <w:p w:rsidR="00E2670D" w:rsidRDefault="00E305F7" w:rsidP="00BF39A8">
      <w:pPr>
        <w:spacing w:line="360" w:lineRule="auto"/>
        <w:jc w:val="both"/>
      </w:pPr>
      <w:r>
        <w:t xml:space="preserve">Finally, big bankruptcies demonstrate that insolvency eternal recurrence is extant in English and Welsh bankruptcy law and the proverb </w:t>
      </w:r>
      <w:r w:rsidRPr="00E305F7">
        <w:rPr>
          <w:i/>
        </w:rPr>
        <w:t xml:space="preserve">plus </w:t>
      </w:r>
      <w:proofErr w:type="spellStart"/>
      <w:r w:rsidRPr="00E305F7">
        <w:rPr>
          <w:i/>
        </w:rPr>
        <w:t>ça</w:t>
      </w:r>
      <w:proofErr w:type="spellEnd"/>
      <w:r w:rsidRPr="00E305F7">
        <w:rPr>
          <w:i/>
        </w:rPr>
        <w:t xml:space="preserve"> change, plus </w:t>
      </w:r>
      <w:proofErr w:type="spellStart"/>
      <w:r w:rsidRPr="00E305F7">
        <w:rPr>
          <w:i/>
        </w:rPr>
        <w:t>c'est</w:t>
      </w:r>
      <w:proofErr w:type="spellEnd"/>
      <w:r w:rsidRPr="00E305F7">
        <w:rPr>
          <w:i/>
        </w:rPr>
        <w:t xml:space="preserve"> la </w:t>
      </w:r>
      <w:proofErr w:type="spellStart"/>
      <w:r w:rsidRPr="00E305F7">
        <w:rPr>
          <w:i/>
        </w:rPr>
        <w:t>même</w:t>
      </w:r>
      <w:proofErr w:type="spellEnd"/>
      <w:r w:rsidRPr="00E305F7">
        <w:rPr>
          <w:i/>
        </w:rPr>
        <w:t xml:space="preserve"> chose</w:t>
      </w:r>
      <w:r>
        <w:t xml:space="preserve"> is true for bankruptcy in terms of its use and functions in the realm of business. </w:t>
      </w:r>
    </w:p>
    <w:p w:rsidR="00E2670D" w:rsidRDefault="00E2670D"/>
    <w:p w:rsidR="00E2670D" w:rsidRDefault="00E2670D"/>
    <w:p w:rsidR="00E2670D" w:rsidRDefault="00E2670D"/>
    <w:sectPr w:rsidR="00E2670D" w:rsidSect="007E504B">
      <w:headerReference w:type="default" r:id="rId7"/>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E0A" w:rsidRDefault="00611E0A" w:rsidP="00E2670D">
      <w:r>
        <w:separator/>
      </w:r>
    </w:p>
  </w:endnote>
  <w:endnote w:type="continuationSeparator" w:id="0">
    <w:p w:rsidR="00611E0A" w:rsidRDefault="00611E0A" w:rsidP="00E26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65207195"/>
      <w:docPartObj>
        <w:docPartGallery w:val="Page Numbers (Bottom of Page)"/>
        <w:docPartUnique/>
      </w:docPartObj>
    </w:sdtPr>
    <w:sdtEndPr>
      <w:rPr>
        <w:rStyle w:val="PageNumber"/>
      </w:rPr>
    </w:sdtEndPr>
    <w:sdtContent>
      <w:p w:rsidR="00D62120" w:rsidRDefault="00D62120" w:rsidP="00D621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D62120" w:rsidRDefault="00D62120" w:rsidP="00E267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39702132"/>
      <w:docPartObj>
        <w:docPartGallery w:val="Page Numbers (Bottom of Page)"/>
        <w:docPartUnique/>
      </w:docPartObj>
    </w:sdtPr>
    <w:sdtEndPr>
      <w:rPr>
        <w:rStyle w:val="PageNumber"/>
      </w:rPr>
    </w:sdtEndPr>
    <w:sdtContent>
      <w:p w:rsidR="00D62120" w:rsidRDefault="00D62120" w:rsidP="00D621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D62120" w:rsidRDefault="00D62120" w:rsidP="00E2670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E0A" w:rsidRDefault="00611E0A" w:rsidP="00E2670D">
      <w:r>
        <w:separator/>
      </w:r>
    </w:p>
  </w:footnote>
  <w:footnote w:type="continuationSeparator" w:id="0">
    <w:p w:rsidR="00611E0A" w:rsidRDefault="00611E0A" w:rsidP="00E26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120" w:rsidRPr="00A24418" w:rsidRDefault="00D62120">
    <w:pPr>
      <w:pStyle w:val="Header"/>
      <w:rPr>
        <w:i/>
        <w:sz w:val="20"/>
        <w:szCs w:val="20"/>
      </w:rPr>
    </w:pPr>
    <w:r w:rsidRPr="00A24418">
      <w:rPr>
        <w:i/>
        <w:sz w:val="20"/>
        <w:szCs w:val="20"/>
      </w:rPr>
      <w:t>Corporate Rescue &amp; Insolvency (2021)</w:t>
    </w:r>
    <w:r>
      <w:rPr>
        <w:i/>
        <w:sz w:val="20"/>
        <w:szCs w:val="20"/>
      </w:rPr>
      <w:t xml:space="preserve"> – </w:t>
    </w:r>
    <w:proofErr w:type="gramStart"/>
    <w:r>
      <w:rPr>
        <w:i/>
        <w:sz w:val="20"/>
        <w:szCs w:val="20"/>
      </w:rPr>
      <w:t>3700 word</w:t>
    </w:r>
    <w:proofErr w:type="gramEnd"/>
    <w:r>
      <w:rPr>
        <w:i/>
        <w:sz w:val="20"/>
        <w:szCs w:val="20"/>
      </w:rPr>
      <w:t xml:space="preserve"> limit – 30</w:t>
    </w:r>
    <w:r w:rsidRPr="00EF70A8">
      <w:rPr>
        <w:i/>
        <w:sz w:val="20"/>
        <w:szCs w:val="20"/>
        <w:vertAlign w:val="superscript"/>
      </w:rPr>
      <w:t>th</w:t>
    </w:r>
    <w:r>
      <w:rPr>
        <w:i/>
        <w:sz w:val="20"/>
        <w:szCs w:val="20"/>
      </w:rPr>
      <w:t xml:space="preserve"> November deadline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8733B"/>
    <w:multiLevelType w:val="hybridMultilevel"/>
    <w:tmpl w:val="7E342140"/>
    <w:lvl w:ilvl="0" w:tplc="94563D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044533"/>
    <w:multiLevelType w:val="hybridMultilevel"/>
    <w:tmpl w:val="D9F65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855AF4"/>
    <w:multiLevelType w:val="hybridMultilevel"/>
    <w:tmpl w:val="4B0C77C6"/>
    <w:lvl w:ilvl="0" w:tplc="2C0062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9E6"/>
    <w:rsid w:val="00013DC6"/>
    <w:rsid w:val="000233AF"/>
    <w:rsid w:val="00025266"/>
    <w:rsid w:val="00027437"/>
    <w:rsid w:val="00035C75"/>
    <w:rsid w:val="00054F18"/>
    <w:rsid w:val="000720FA"/>
    <w:rsid w:val="00084358"/>
    <w:rsid w:val="00120351"/>
    <w:rsid w:val="001255BE"/>
    <w:rsid w:val="00132E0B"/>
    <w:rsid w:val="00151808"/>
    <w:rsid w:val="00154D42"/>
    <w:rsid w:val="00183BDF"/>
    <w:rsid w:val="001B5E72"/>
    <w:rsid w:val="001C1EF9"/>
    <w:rsid w:val="001F40FD"/>
    <w:rsid w:val="00232063"/>
    <w:rsid w:val="00243282"/>
    <w:rsid w:val="00262DB9"/>
    <w:rsid w:val="002A7D2F"/>
    <w:rsid w:val="002F1EF4"/>
    <w:rsid w:val="0032355A"/>
    <w:rsid w:val="00323A77"/>
    <w:rsid w:val="003245CB"/>
    <w:rsid w:val="003747C4"/>
    <w:rsid w:val="003879E7"/>
    <w:rsid w:val="00390E04"/>
    <w:rsid w:val="003D6E7F"/>
    <w:rsid w:val="00402389"/>
    <w:rsid w:val="00422216"/>
    <w:rsid w:val="004356D7"/>
    <w:rsid w:val="0044191F"/>
    <w:rsid w:val="004451C0"/>
    <w:rsid w:val="004559EA"/>
    <w:rsid w:val="004628BD"/>
    <w:rsid w:val="00462C89"/>
    <w:rsid w:val="00470627"/>
    <w:rsid w:val="00476A5E"/>
    <w:rsid w:val="00481EF9"/>
    <w:rsid w:val="004A31C8"/>
    <w:rsid w:val="004A69BA"/>
    <w:rsid w:val="004B0102"/>
    <w:rsid w:val="004E2435"/>
    <w:rsid w:val="004E32F7"/>
    <w:rsid w:val="004E7645"/>
    <w:rsid w:val="004F350F"/>
    <w:rsid w:val="004F5BB5"/>
    <w:rsid w:val="00533705"/>
    <w:rsid w:val="00533D50"/>
    <w:rsid w:val="00540F2B"/>
    <w:rsid w:val="00564C9F"/>
    <w:rsid w:val="005661E1"/>
    <w:rsid w:val="00572861"/>
    <w:rsid w:val="005A3F2E"/>
    <w:rsid w:val="005C4384"/>
    <w:rsid w:val="00606461"/>
    <w:rsid w:val="00611E0A"/>
    <w:rsid w:val="00633554"/>
    <w:rsid w:val="00651551"/>
    <w:rsid w:val="00691B3A"/>
    <w:rsid w:val="006A42A6"/>
    <w:rsid w:val="006A7136"/>
    <w:rsid w:val="006D2E7D"/>
    <w:rsid w:val="006E1F5E"/>
    <w:rsid w:val="0074229E"/>
    <w:rsid w:val="00766305"/>
    <w:rsid w:val="00770913"/>
    <w:rsid w:val="007717F9"/>
    <w:rsid w:val="0077789C"/>
    <w:rsid w:val="00787030"/>
    <w:rsid w:val="007A0288"/>
    <w:rsid w:val="007B1976"/>
    <w:rsid w:val="007D5DF9"/>
    <w:rsid w:val="007D5FB2"/>
    <w:rsid w:val="007D639B"/>
    <w:rsid w:val="007E504B"/>
    <w:rsid w:val="007F31E0"/>
    <w:rsid w:val="00810687"/>
    <w:rsid w:val="00820FE6"/>
    <w:rsid w:val="00852215"/>
    <w:rsid w:val="00857518"/>
    <w:rsid w:val="00877702"/>
    <w:rsid w:val="008A5885"/>
    <w:rsid w:val="008E3D16"/>
    <w:rsid w:val="00902380"/>
    <w:rsid w:val="00903A97"/>
    <w:rsid w:val="00905E5A"/>
    <w:rsid w:val="0092074A"/>
    <w:rsid w:val="009749B2"/>
    <w:rsid w:val="00996E74"/>
    <w:rsid w:val="009D086D"/>
    <w:rsid w:val="00A24418"/>
    <w:rsid w:val="00A26F92"/>
    <w:rsid w:val="00A34AD8"/>
    <w:rsid w:val="00A61BB9"/>
    <w:rsid w:val="00A837BD"/>
    <w:rsid w:val="00A85B09"/>
    <w:rsid w:val="00A938EA"/>
    <w:rsid w:val="00AC0811"/>
    <w:rsid w:val="00AD5A73"/>
    <w:rsid w:val="00B669E6"/>
    <w:rsid w:val="00B80F1E"/>
    <w:rsid w:val="00B86085"/>
    <w:rsid w:val="00B86CF1"/>
    <w:rsid w:val="00B90977"/>
    <w:rsid w:val="00BB09EF"/>
    <w:rsid w:val="00BC55E0"/>
    <w:rsid w:val="00BD3B0A"/>
    <w:rsid w:val="00BD741D"/>
    <w:rsid w:val="00BF2FC2"/>
    <w:rsid w:val="00BF39A8"/>
    <w:rsid w:val="00C13181"/>
    <w:rsid w:val="00C20D93"/>
    <w:rsid w:val="00C252AF"/>
    <w:rsid w:val="00C30A01"/>
    <w:rsid w:val="00C40854"/>
    <w:rsid w:val="00C419B3"/>
    <w:rsid w:val="00C92C93"/>
    <w:rsid w:val="00C9506F"/>
    <w:rsid w:val="00C95DF8"/>
    <w:rsid w:val="00CB11F2"/>
    <w:rsid w:val="00CB6617"/>
    <w:rsid w:val="00CE147C"/>
    <w:rsid w:val="00CF5E0E"/>
    <w:rsid w:val="00D10C5B"/>
    <w:rsid w:val="00D11A92"/>
    <w:rsid w:val="00D246A5"/>
    <w:rsid w:val="00D42DA7"/>
    <w:rsid w:val="00D52FC8"/>
    <w:rsid w:val="00D62120"/>
    <w:rsid w:val="00D821ED"/>
    <w:rsid w:val="00DA1AED"/>
    <w:rsid w:val="00DA7327"/>
    <w:rsid w:val="00DB75A0"/>
    <w:rsid w:val="00DD3AB3"/>
    <w:rsid w:val="00DD61CE"/>
    <w:rsid w:val="00DE2C34"/>
    <w:rsid w:val="00DF1A42"/>
    <w:rsid w:val="00E077F4"/>
    <w:rsid w:val="00E130E0"/>
    <w:rsid w:val="00E23D3A"/>
    <w:rsid w:val="00E2670D"/>
    <w:rsid w:val="00E305F7"/>
    <w:rsid w:val="00E42F3D"/>
    <w:rsid w:val="00E45C44"/>
    <w:rsid w:val="00E63A4B"/>
    <w:rsid w:val="00EE2C03"/>
    <w:rsid w:val="00EF70A8"/>
    <w:rsid w:val="00F05F46"/>
    <w:rsid w:val="00F143A1"/>
    <w:rsid w:val="00F16C5E"/>
    <w:rsid w:val="00F2769B"/>
    <w:rsid w:val="00F52985"/>
    <w:rsid w:val="00F80D6F"/>
    <w:rsid w:val="00F95A81"/>
    <w:rsid w:val="00FB0846"/>
    <w:rsid w:val="00FB60C0"/>
    <w:rsid w:val="00FC303D"/>
    <w:rsid w:val="00FF2421"/>
    <w:rsid w:val="00FF4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001FEA-8C89-164E-92C5-A2137AE83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670D"/>
    <w:rPr>
      <w:color w:val="0563C1" w:themeColor="hyperlink"/>
      <w:u w:val="single"/>
    </w:rPr>
  </w:style>
  <w:style w:type="paragraph" w:styleId="FootnoteText">
    <w:name w:val="footnote text"/>
    <w:basedOn w:val="Normal"/>
    <w:link w:val="FootnoteTextChar"/>
    <w:unhideWhenUsed/>
    <w:rsid w:val="00E2670D"/>
    <w:rPr>
      <w:lang w:val="en-US"/>
    </w:rPr>
  </w:style>
  <w:style w:type="character" w:customStyle="1" w:styleId="FootnoteTextChar">
    <w:name w:val="Footnote Text Char"/>
    <w:basedOn w:val="DefaultParagraphFont"/>
    <w:link w:val="FootnoteText"/>
    <w:rsid w:val="00E2670D"/>
    <w:rPr>
      <w:lang w:val="en-US"/>
    </w:rPr>
  </w:style>
  <w:style w:type="character" w:styleId="FootnoteReference">
    <w:name w:val="footnote reference"/>
    <w:basedOn w:val="DefaultParagraphFont"/>
    <w:unhideWhenUsed/>
    <w:rsid w:val="00E2670D"/>
    <w:rPr>
      <w:vertAlign w:val="superscript"/>
    </w:rPr>
  </w:style>
  <w:style w:type="paragraph" w:styleId="Footer">
    <w:name w:val="footer"/>
    <w:basedOn w:val="Normal"/>
    <w:link w:val="FooterChar"/>
    <w:uiPriority w:val="99"/>
    <w:unhideWhenUsed/>
    <w:rsid w:val="00E2670D"/>
    <w:pPr>
      <w:tabs>
        <w:tab w:val="center" w:pos="4680"/>
        <w:tab w:val="right" w:pos="9360"/>
      </w:tabs>
    </w:pPr>
  </w:style>
  <w:style w:type="character" w:customStyle="1" w:styleId="FooterChar">
    <w:name w:val="Footer Char"/>
    <w:basedOn w:val="DefaultParagraphFont"/>
    <w:link w:val="Footer"/>
    <w:uiPriority w:val="99"/>
    <w:rsid w:val="00E2670D"/>
  </w:style>
  <w:style w:type="character" w:styleId="PageNumber">
    <w:name w:val="page number"/>
    <w:basedOn w:val="DefaultParagraphFont"/>
    <w:uiPriority w:val="99"/>
    <w:semiHidden/>
    <w:unhideWhenUsed/>
    <w:rsid w:val="00E2670D"/>
  </w:style>
  <w:style w:type="table" w:styleId="TableGrid">
    <w:name w:val="Table Grid"/>
    <w:basedOn w:val="TableNormal"/>
    <w:uiPriority w:val="39"/>
    <w:rsid w:val="00A24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4418"/>
    <w:pPr>
      <w:tabs>
        <w:tab w:val="center" w:pos="4680"/>
        <w:tab w:val="right" w:pos="9360"/>
      </w:tabs>
    </w:pPr>
  </w:style>
  <w:style w:type="character" w:customStyle="1" w:styleId="HeaderChar">
    <w:name w:val="Header Char"/>
    <w:basedOn w:val="DefaultParagraphFont"/>
    <w:link w:val="Header"/>
    <w:uiPriority w:val="99"/>
    <w:rsid w:val="00A24418"/>
  </w:style>
  <w:style w:type="paragraph" w:styleId="ListParagraph">
    <w:name w:val="List Paragraph"/>
    <w:basedOn w:val="Normal"/>
    <w:uiPriority w:val="34"/>
    <w:qFormat/>
    <w:rsid w:val="00DD3A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3490</Words>
  <Characters>19896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Tribe</dc:creator>
  <cp:keywords/>
  <dc:description/>
  <cp:lastModifiedBy>Bryson, Jayne</cp:lastModifiedBy>
  <cp:revision>2</cp:revision>
  <cp:lastPrinted>2020-09-21T15:33:00Z</cp:lastPrinted>
  <dcterms:created xsi:type="dcterms:W3CDTF">2020-11-19T16:44:00Z</dcterms:created>
  <dcterms:modified xsi:type="dcterms:W3CDTF">2020-11-19T16:44:00Z</dcterms:modified>
</cp:coreProperties>
</file>