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243395" w14:textId="706964EF" w:rsidR="00CF02BE" w:rsidRPr="00EE434C" w:rsidRDefault="00204D8D" w:rsidP="00CB479D">
      <w:pPr>
        <w:spacing w:line="240" w:lineRule="auto"/>
        <w:ind w:right="95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HEART RATE VARIABILITY</w:t>
      </w:r>
      <w:r w:rsidR="00EE434C">
        <w:rPr>
          <w:rFonts w:ascii="Times New Roman" w:hAnsi="Times New Roman" w:cs="Times New Roman"/>
        </w:rPr>
        <w:t xml:space="preserve"> </w:t>
      </w:r>
      <w:r w:rsidR="0048039A">
        <w:rPr>
          <w:rFonts w:ascii="Times New Roman" w:hAnsi="Times New Roman" w:cs="Times New Roman"/>
        </w:rPr>
        <w:t xml:space="preserve">AND HEART MURMURS </w:t>
      </w:r>
      <w:r w:rsidR="00EE434C">
        <w:rPr>
          <w:rFonts w:ascii="Times New Roman" w:hAnsi="Times New Roman" w:cs="Times New Roman"/>
        </w:rPr>
        <w:t>IN MATURE CATS</w:t>
      </w:r>
      <w:r w:rsidR="00844626">
        <w:rPr>
          <w:rFonts w:ascii="Times New Roman" w:hAnsi="Times New Roman" w:cs="Times New Roman"/>
        </w:rPr>
        <w:t xml:space="preserve"> DURING CLINICAL EXAMINATION</w:t>
      </w:r>
    </w:p>
    <w:p w14:paraId="5CDBCA2C" w14:textId="2A9D6F5C" w:rsidR="00601D22" w:rsidRPr="00D513EC" w:rsidRDefault="00EE434C" w:rsidP="00D513EC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  <w:vertAlign w:val="superscript"/>
        </w:rPr>
      </w:pPr>
      <w:r w:rsidRPr="00D513EC">
        <w:rPr>
          <w:rFonts w:ascii="Times New Roman" w:hAnsi="Times New Roman" w:cs="Times New Roman"/>
          <w:sz w:val="18"/>
          <w:szCs w:val="18"/>
          <w:u w:val="single"/>
        </w:rPr>
        <w:t>Nathalie J. Dowgray</w:t>
      </w:r>
      <w:r w:rsidRPr="00D513EC">
        <w:rPr>
          <w:rFonts w:ascii="Times New Roman" w:hAnsi="Times New Roman" w:cs="Times New Roman"/>
          <w:sz w:val="18"/>
          <w:szCs w:val="18"/>
          <w:u w:val="single"/>
          <w:vertAlign w:val="superscript"/>
        </w:rPr>
        <w:t>1</w:t>
      </w:r>
      <w:r w:rsidRPr="00D513EC">
        <w:rPr>
          <w:rFonts w:ascii="Times New Roman" w:hAnsi="Times New Roman" w:cs="Times New Roman"/>
          <w:sz w:val="18"/>
          <w:szCs w:val="18"/>
        </w:rPr>
        <w:t>, Gina L Pinchbeck</w:t>
      </w:r>
      <w:r w:rsidRPr="00D513EC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D513EC">
        <w:rPr>
          <w:rFonts w:ascii="Times New Roman" w:hAnsi="Times New Roman" w:cs="Times New Roman"/>
          <w:sz w:val="18"/>
          <w:szCs w:val="18"/>
        </w:rPr>
        <w:t>, Eithne J. Comerford</w:t>
      </w:r>
      <w:r w:rsidRPr="00D513EC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="003A237F">
        <w:rPr>
          <w:rFonts w:ascii="Times New Roman" w:hAnsi="Times New Roman" w:cs="Times New Roman"/>
          <w:sz w:val="18"/>
          <w:szCs w:val="18"/>
          <w:vertAlign w:val="superscript"/>
        </w:rPr>
        <w:t>,3</w:t>
      </w:r>
      <w:r w:rsidRPr="00D513EC">
        <w:rPr>
          <w:rFonts w:ascii="Times New Roman" w:hAnsi="Times New Roman" w:cs="Times New Roman"/>
          <w:sz w:val="18"/>
          <w:szCs w:val="18"/>
        </w:rPr>
        <w:t>,</w:t>
      </w:r>
      <w:r w:rsidR="00FD32D9" w:rsidRPr="00D513EC">
        <w:rPr>
          <w:rFonts w:ascii="Times New Roman" w:hAnsi="Times New Roman" w:cs="Times New Roman"/>
          <w:sz w:val="18"/>
          <w:szCs w:val="18"/>
        </w:rPr>
        <w:t xml:space="preserve"> Kelly J. Eyre</w:t>
      </w:r>
      <w:r w:rsidR="00FD32D9" w:rsidRPr="00D513EC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="00FD32D9" w:rsidRPr="00D513EC">
        <w:rPr>
          <w:rFonts w:ascii="Times New Roman" w:hAnsi="Times New Roman" w:cs="Times New Roman"/>
          <w:sz w:val="18"/>
          <w:szCs w:val="18"/>
        </w:rPr>
        <w:t>,</w:t>
      </w:r>
      <w:r w:rsidR="00750867">
        <w:rPr>
          <w:rFonts w:ascii="Times New Roman" w:hAnsi="Times New Roman" w:cs="Times New Roman"/>
          <w:sz w:val="18"/>
          <w:szCs w:val="18"/>
        </w:rPr>
        <w:t xml:space="preserve"> </w:t>
      </w:r>
      <w:r w:rsidR="00115D58">
        <w:rPr>
          <w:rFonts w:ascii="Times New Roman" w:hAnsi="Times New Roman" w:cs="Times New Roman"/>
          <w:sz w:val="18"/>
          <w:szCs w:val="18"/>
        </w:rPr>
        <w:t>Y</w:t>
      </w:r>
      <w:r w:rsidR="000808B7">
        <w:rPr>
          <w:rFonts w:ascii="Times New Roman" w:hAnsi="Times New Roman" w:cs="Times New Roman"/>
          <w:sz w:val="18"/>
          <w:szCs w:val="18"/>
        </w:rPr>
        <w:t>.Becca</w:t>
      </w:r>
      <w:r w:rsidR="00204D8D">
        <w:rPr>
          <w:rFonts w:ascii="Times New Roman" w:hAnsi="Times New Roman" w:cs="Times New Roman"/>
          <w:sz w:val="18"/>
          <w:szCs w:val="18"/>
        </w:rPr>
        <w:t xml:space="preserve"> Leung</w:t>
      </w:r>
      <w:r w:rsidR="003A237F">
        <w:rPr>
          <w:rFonts w:ascii="Times New Roman" w:hAnsi="Times New Roman" w:cs="Times New Roman"/>
          <w:sz w:val="18"/>
          <w:szCs w:val="18"/>
          <w:vertAlign w:val="superscript"/>
        </w:rPr>
        <w:t>4</w:t>
      </w:r>
      <w:r w:rsidR="00FD32D9" w:rsidRPr="00D513EC">
        <w:rPr>
          <w:rFonts w:ascii="Times New Roman" w:hAnsi="Times New Roman" w:cs="Times New Roman"/>
          <w:sz w:val="18"/>
          <w:szCs w:val="18"/>
        </w:rPr>
        <w:t xml:space="preserve">, </w:t>
      </w:r>
      <w:r w:rsidRPr="00D513EC">
        <w:rPr>
          <w:rFonts w:ascii="Times New Roman" w:hAnsi="Times New Roman" w:cs="Times New Roman"/>
          <w:sz w:val="18"/>
          <w:szCs w:val="18"/>
        </w:rPr>
        <w:t>Alexander J. German</w:t>
      </w:r>
      <w:r w:rsidRPr="00D513EC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="003A237F">
        <w:rPr>
          <w:rFonts w:ascii="Times New Roman" w:hAnsi="Times New Roman" w:cs="Times New Roman"/>
          <w:sz w:val="18"/>
          <w:szCs w:val="18"/>
          <w:vertAlign w:val="superscript"/>
        </w:rPr>
        <w:t>,3</w:t>
      </w:r>
    </w:p>
    <w:p w14:paraId="76E7DB2A" w14:textId="6D880467" w:rsidR="00EE434C" w:rsidRPr="00D513EC" w:rsidRDefault="00EE434C" w:rsidP="00601D22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D513EC">
        <w:rPr>
          <w:rFonts w:ascii="Times New Roman" w:hAnsi="Times New Roman" w:cs="Times New Roman"/>
          <w:sz w:val="16"/>
          <w:szCs w:val="16"/>
          <w:vertAlign w:val="superscript"/>
        </w:rPr>
        <w:t>1</w:t>
      </w:r>
      <w:r w:rsidRPr="00D513EC">
        <w:rPr>
          <w:rFonts w:ascii="Times New Roman" w:hAnsi="Times New Roman" w:cs="Times New Roman"/>
          <w:sz w:val="16"/>
          <w:szCs w:val="16"/>
        </w:rPr>
        <w:t xml:space="preserve"> Institute of Ageing and Chronic Disease</w:t>
      </w:r>
      <w:r w:rsidR="003A237F">
        <w:rPr>
          <w:rFonts w:ascii="Times New Roman" w:hAnsi="Times New Roman" w:cs="Times New Roman"/>
          <w:sz w:val="16"/>
          <w:szCs w:val="16"/>
        </w:rPr>
        <w:t>,</w:t>
      </w:r>
      <w:r w:rsidRPr="00D513EC">
        <w:rPr>
          <w:rFonts w:ascii="Times New Roman" w:hAnsi="Times New Roman" w:cs="Times New Roman"/>
          <w:sz w:val="16"/>
          <w:szCs w:val="16"/>
        </w:rPr>
        <w:t xml:space="preserve"> University of Liverpool, UK</w:t>
      </w:r>
    </w:p>
    <w:p w14:paraId="37CFCAA7" w14:textId="161DD47D" w:rsidR="00EE434C" w:rsidRDefault="00EE434C" w:rsidP="00601D22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D513EC">
        <w:rPr>
          <w:rFonts w:ascii="Times New Roman" w:hAnsi="Times New Roman" w:cs="Times New Roman"/>
          <w:sz w:val="16"/>
          <w:szCs w:val="16"/>
          <w:vertAlign w:val="superscript"/>
        </w:rPr>
        <w:t>2</w:t>
      </w:r>
      <w:r w:rsidRPr="00D513EC">
        <w:rPr>
          <w:rFonts w:ascii="Times New Roman" w:hAnsi="Times New Roman" w:cs="Times New Roman"/>
          <w:sz w:val="16"/>
          <w:szCs w:val="16"/>
        </w:rPr>
        <w:t xml:space="preserve"> Institute of Infection and Global Health</w:t>
      </w:r>
      <w:r w:rsidR="003A237F">
        <w:rPr>
          <w:rFonts w:ascii="Times New Roman" w:hAnsi="Times New Roman" w:cs="Times New Roman"/>
          <w:sz w:val="16"/>
          <w:szCs w:val="16"/>
        </w:rPr>
        <w:t>,</w:t>
      </w:r>
      <w:r w:rsidRPr="00D513EC">
        <w:rPr>
          <w:rFonts w:ascii="Times New Roman" w:hAnsi="Times New Roman" w:cs="Times New Roman"/>
          <w:sz w:val="16"/>
          <w:szCs w:val="16"/>
        </w:rPr>
        <w:t xml:space="preserve"> University of Liverpool, UK</w:t>
      </w:r>
    </w:p>
    <w:p w14:paraId="1FA7D3E6" w14:textId="0104939C" w:rsidR="003A237F" w:rsidRPr="00D513EC" w:rsidRDefault="003A237F" w:rsidP="00601D22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>3</w:t>
      </w:r>
      <w:r>
        <w:rPr>
          <w:rFonts w:ascii="Times New Roman" w:hAnsi="Times New Roman" w:cs="Times New Roman"/>
          <w:sz w:val="16"/>
          <w:szCs w:val="16"/>
        </w:rPr>
        <w:t xml:space="preserve"> Institute of Veterinary Science, </w:t>
      </w:r>
      <w:r w:rsidRPr="00D513EC">
        <w:rPr>
          <w:rFonts w:ascii="Times New Roman" w:hAnsi="Times New Roman" w:cs="Times New Roman"/>
          <w:sz w:val="16"/>
          <w:szCs w:val="16"/>
        </w:rPr>
        <w:t>University of Liverpool, UK</w:t>
      </w:r>
    </w:p>
    <w:p w14:paraId="399E2DD4" w14:textId="116D76A3" w:rsidR="00FD32D9" w:rsidRPr="00D513EC" w:rsidRDefault="00FD32D9" w:rsidP="00601D22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3A237F">
        <w:rPr>
          <w:rFonts w:ascii="Times New Roman" w:hAnsi="Times New Roman" w:cs="Times New Roman"/>
          <w:sz w:val="16"/>
          <w:szCs w:val="16"/>
          <w:vertAlign w:val="superscript"/>
        </w:rPr>
        <w:t>3</w:t>
      </w:r>
      <w:r w:rsidR="003A237F">
        <w:rPr>
          <w:rFonts w:ascii="Times New Roman" w:hAnsi="Times New Roman" w:cs="Times New Roman"/>
          <w:sz w:val="16"/>
          <w:szCs w:val="16"/>
          <w:vertAlign w:val="superscript"/>
        </w:rPr>
        <w:t>,4</w:t>
      </w:r>
      <w:r w:rsidR="003A237F">
        <w:rPr>
          <w:rFonts w:ascii="Times New Roman" w:hAnsi="Times New Roman" w:cs="Times New Roman"/>
          <w:sz w:val="16"/>
          <w:szCs w:val="16"/>
        </w:rPr>
        <w:t xml:space="preserve"> R</w:t>
      </w:r>
      <w:r w:rsidRPr="00D513EC">
        <w:rPr>
          <w:rFonts w:ascii="Times New Roman" w:hAnsi="Times New Roman" w:cs="Times New Roman"/>
          <w:sz w:val="16"/>
          <w:szCs w:val="16"/>
        </w:rPr>
        <w:t>oyal Canin Research Centre, Aimargues, France</w:t>
      </w:r>
    </w:p>
    <w:p w14:paraId="0450EA99" w14:textId="77777777" w:rsidR="00601D22" w:rsidRPr="00FD32D9" w:rsidRDefault="00601D22" w:rsidP="00601D22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14:paraId="500B8EC6" w14:textId="495A0683" w:rsidR="00460409" w:rsidRPr="006C5EE8" w:rsidRDefault="00CB479D" w:rsidP="00DB44F9">
      <w:pPr>
        <w:spacing w:line="240" w:lineRule="auto"/>
        <w:contextualSpacing/>
        <w:rPr>
          <w:rFonts w:ascii="Times New Roman" w:hAnsi="Times New Roman" w:cs="Times New Roman"/>
        </w:rPr>
      </w:pPr>
      <w:r w:rsidRPr="006C5EE8">
        <w:rPr>
          <w:rFonts w:ascii="Times New Roman" w:hAnsi="Times New Roman" w:cs="Times New Roman"/>
        </w:rPr>
        <w:tab/>
      </w:r>
      <w:r w:rsidR="00BA1F8C">
        <w:rPr>
          <w:rFonts w:ascii="Times New Roman" w:hAnsi="Times New Roman" w:cs="Times New Roman"/>
        </w:rPr>
        <w:t xml:space="preserve">The aim of this study </w:t>
      </w:r>
      <w:r w:rsidR="00A637A7">
        <w:rPr>
          <w:rFonts w:ascii="Times New Roman" w:hAnsi="Times New Roman" w:cs="Times New Roman"/>
        </w:rPr>
        <w:t>wa</w:t>
      </w:r>
      <w:r w:rsidR="00BA1F8C">
        <w:rPr>
          <w:rFonts w:ascii="Times New Roman" w:hAnsi="Times New Roman" w:cs="Times New Roman"/>
        </w:rPr>
        <w:t xml:space="preserve">s to determine best practice for auscultation of the feline heart during clinical examination. Data </w:t>
      </w:r>
      <w:r w:rsidR="0024520E">
        <w:rPr>
          <w:rFonts w:ascii="Times New Roman" w:hAnsi="Times New Roman" w:cs="Times New Roman"/>
        </w:rPr>
        <w:t>were</w:t>
      </w:r>
      <w:r w:rsidR="005571C3">
        <w:rPr>
          <w:rFonts w:ascii="Times New Roman" w:hAnsi="Times New Roman" w:cs="Times New Roman"/>
        </w:rPr>
        <w:t xml:space="preserve"> collected f</w:t>
      </w:r>
      <w:r w:rsidR="00BA1F8C">
        <w:rPr>
          <w:rFonts w:ascii="Times New Roman" w:hAnsi="Times New Roman" w:cs="Times New Roman"/>
        </w:rPr>
        <w:t>r</w:t>
      </w:r>
      <w:r w:rsidR="005571C3">
        <w:rPr>
          <w:rFonts w:ascii="Times New Roman" w:hAnsi="Times New Roman" w:cs="Times New Roman"/>
        </w:rPr>
        <w:t>o</w:t>
      </w:r>
      <w:r w:rsidR="00BA1F8C">
        <w:rPr>
          <w:rFonts w:ascii="Times New Roman" w:hAnsi="Times New Roman" w:cs="Times New Roman"/>
        </w:rPr>
        <w:t xml:space="preserve">m enrolment examinations at the University of Liverpool’s Feline Healthy Ageing Clinic. </w:t>
      </w:r>
      <w:r w:rsidR="00A637A7">
        <w:rPr>
          <w:rFonts w:ascii="Times New Roman" w:hAnsi="Times New Roman" w:cs="Times New Roman"/>
        </w:rPr>
        <w:t xml:space="preserve"> </w:t>
      </w:r>
      <w:r w:rsidR="00BA1F8C">
        <w:rPr>
          <w:rFonts w:ascii="Times New Roman" w:hAnsi="Times New Roman" w:cs="Times New Roman"/>
        </w:rPr>
        <w:t xml:space="preserve">Enrolled cats were aged between 7 and 10 years. </w:t>
      </w:r>
      <w:r w:rsidR="00844626" w:rsidRPr="006C5EE8">
        <w:rPr>
          <w:rFonts w:ascii="Times New Roman" w:hAnsi="Times New Roman" w:cs="Times New Roman"/>
        </w:rPr>
        <w:t xml:space="preserve">The heart </w:t>
      </w:r>
      <w:r w:rsidR="00631466" w:rsidRPr="006C5EE8">
        <w:rPr>
          <w:rFonts w:ascii="Times New Roman" w:hAnsi="Times New Roman" w:cs="Times New Roman"/>
        </w:rPr>
        <w:t xml:space="preserve">rate (HR) </w:t>
      </w:r>
      <w:r w:rsidR="0024520E">
        <w:rPr>
          <w:rFonts w:ascii="Times New Roman" w:hAnsi="Times New Roman" w:cs="Times New Roman"/>
        </w:rPr>
        <w:t xml:space="preserve">and the presence of a heart murmur </w:t>
      </w:r>
      <w:r w:rsidR="00631466" w:rsidRPr="006C5EE8">
        <w:rPr>
          <w:rFonts w:ascii="Times New Roman" w:hAnsi="Times New Roman" w:cs="Times New Roman"/>
        </w:rPr>
        <w:t xml:space="preserve">was </w:t>
      </w:r>
      <w:r w:rsidR="00BA1F8C">
        <w:rPr>
          <w:rFonts w:ascii="Times New Roman" w:hAnsi="Times New Roman" w:cs="Times New Roman"/>
        </w:rPr>
        <w:t>recorded</w:t>
      </w:r>
      <w:r w:rsidR="00204D8D" w:rsidRPr="006C5EE8">
        <w:rPr>
          <w:rFonts w:ascii="Times New Roman" w:hAnsi="Times New Roman" w:cs="Times New Roman"/>
        </w:rPr>
        <w:t xml:space="preserve"> on three occasions during the enrolment </w:t>
      </w:r>
      <w:r w:rsidR="0024520E">
        <w:rPr>
          <w:rFonts w:ascii="Times New Roman" w:hAnsi="Times New Roman" w:cs="Times New Roman"/>
        </w:rPr>
        <w:t>examination</w:t>
      </w:r>
      <w:r w:rsidR="00796820">
        <w:rPr>
          <w:rFonts w:ascii="Times New Roman" w:hAnsi="Times New Roman" w:cs="Times New Roman"/>
        </w:rPr>
        <w:t xml:space="preserve">. </w:t>
      </w:r>
      <w:r w:rsidR="0024520E">
        <w:rPr>
          <w:rFonts w:ascii="Times New Roman" w:hAnsi="Times New Roman" w:cs="Times New Roman"/>
        </w:rPr>
        <w:t>S</w:t>
      </w:r>
      <w:r w:rsidR="00BA1F8C">
        <w:rPr>
          <w:rFonts w:ascii="Times New Roman" w:hAnsi="Times New Roman" w:cs="Times New Roman"/>
        </w:rPr>
        <w:t xml:space="preserve">hortly after </w:t>
      </w:r>
      <w:r w:rsidR="00A637A7">
        <w:rPr>
          <w:rFonts w:ascii="Times New Roman" w:hAnsi="Times New Roman" w:cs="Times New Roman"/>
        </w:rPr>
        <w:t>the start of</w:t>
      </w:r>
      <w:r w:rsidR="00BA1F8C">
        <w:rPr>
          <w:rFonts w:ascii="Times New Roman" w:hAnsi="Times New Roman" w:cs="Times New Roman"/>
        </w:rPr>
        <w:t xml:space="preserve"> the appointment</w:t>
      </w:r>
      <w:r w:rsidR="00A72BEF">
        <w:rPr>
          <w:rFonts w:ascii="Times New Roman" w:hAnsi="Times New Roman" w:cs="Times New Roman"/>
        </w:rPr>
        <w:t xml:space="preserve"> (HR1)</w:t>
      </w:r>
      <w:r w:rsidR="00204D8D" w:rsidRPr="006C5EE8">
        <w:rPr>
          <w:rFonts w:ascii="Times New Roman" w:hAnsi="Times New Roman" w:cs="Times New Roman"/>
        </w:rPr>
        <w:t>, during the clinical examination</w:t>
      </w:r>
      <w:r w:rsidR="00A72BEF">
        <w:rPr>
          <w:rFonts w:ascii="Times New Roman" w:hAnsi="Times New Roman" w:cs="Times New Roman"/>
        </w:rPr>
        <w:t xml:space="preserve"> (HR2)</w:t>
      </w:r>
      <w:r w:rsidR="00204D8D" w:rsidRPr="006C5EE8">
        <w:rPr>
          <w:rFonts w:ascii="Times New Roman" w:hAnsi="Times New Roman" w:cs="Times New Roman"/>
        </w:rPr>
        <w:t xml:space="preserve"> and at the end of </w:t>
      </w:r>
      <w:r w:rsidR="00EF2059">
        <w:rPr>
          <w:rFonts w:ascii="Times New Roman" w:hAnsi="Times New Roman" w:cs="Times New Roman"/>
        </w:rPr>
        <w:t>an</w:t>
      </w:r>
      <w:r w:rsidR="00EF2059" w:rsidRPr="006C5EE8">
        <w:rPr>
          <w:rFonts w:ascii="Times New Roman" w:hAnsi="Times New Roman" w:cs="Times New Roman"/>
        </w:rPr>
        <w:t xml:space="preserve"> </w:t>
      </w:r>
      <w:r w:rsidR="00204D8D" w:rsidRPr="006C5EE8">
        <w:rPr>
          <w:rFonts w:ascii="Times New Roman" w:hAnsi="Times New Roman" w:cs="Times New Roman"/>
        </w:rPr>
        <w:t>orthopaedic assessment</w:t>
      </w:r>
      <w:r w:rsidR="00A72BEF">
        <w:rPr>
          <w:rFonts w:ascii="Times New Roman" w:hAnsi="Times New Roman" w:cs="Times New Roman"/>
        </w:rPr>
        <w:t xml:space="preserve"> (HR3)</w:t>
      </w:r>
      <w:r w:rsidR="00204D8D" w:rsidRPr="006C5EE8">
        <w:rPr>
          <w:rFonts w:ascii="Times New Roman" w:hAnsi="Times New Roman" w:cs="Times New Roman"/>
        </w:rPr>
        <w:t>.</w:t>
      </w:r>
    </w:p>
    <w:p w14:paraId="335AD855" w14:textId="1E923662" w:rsidR="00A72BEF" w:rsidRDefault="00CB479D" w:rsidP="0024520E">
      <w:pPr>
        <w:spacing w:line="240" w:lineRule="auto"/>
        <w:contextualSpacing/>
        <w:rPr>
          <w:rFonts w:ascii="Times New Roman" w:hAnsi="Times New Roman" w:cs="Times New Roman"/>
        </w:rPr>
      </w:pPr>
      <w:r w:rsidRPr="006C5EE8">
        <w:rPr>
          <w:rFonts w:ascii="Times New Roman" w:hAnsi="Times New Roman" w:cs="Times New Roman"/>
        </w:rPr>
        <w:tab/>
      </w:r>
      <w:r w:rsidR="00A637A7">
        <w:rPr>
          <w:rFonts w:ascii="Times New Roman" w:hAnsi="Times New Roman" w:cs="Times New Roman"/>
        </w:rPr>
        <w:t xml:space="preserve">Results from </w:t>
      </w:r>
      <w:r w:rsidR="00A637A7" w:rsidRPr="006C5EE8">
        <w:rPr>
          <w:rFonts w:ascii="Times New Roman" w:hAnsi="Times New Roman" w:cs="Times New Roman"/>
        </w:rPr>
        <w:t>all three-time points</w:t>
      </w:r>
      <w:r w:rsidR="00A637A7">
        <w:rPr>
          <w:rFonts w:ascii="Times New Roman" w:hAnsi="Times New Roman" w:cs="Times New Roman"/>
        </w:rPr>
        <w:t xml:space="preserve"> were available from </w:t>
      </w:r>
      <w:r w:rsidR="0024520E">
        <w:rPr>
          <w:rFonts w:ascii="Times New Roman" w:hAnsi="Times New Roman" w:cs="Times New Roman"/>
        </w:rPr>
        <w:t>169</w:t>
      </w:r>
      <w:r w:rsidR="00844626" w:rsidRPr="006C5EE8">
        <w:rPr>
          <w:rFonts w:ascii="Times New Roman" w:hAnsi="Times New Roman" w:cs="Times New Roman"/>
        </w:rPr>
        <w:t xml:space="preserve"> cats</w:t>
      </w:r>
      <w:r w:rsidR="00FC1A23">
        <w:rPr>
          <w:rFonts w:ascii="Times New Roman" w:hAnsi="Times New Roman" w:cs="Times New Roman"/>
        </w:rPr>
        <w:t xml:space="preserve"> following the removal of 6 cats diagnosed with hyperthyroidism.</w:t>
      </w:r>
      <w:r w:rsidR="00FC1A23" w:rsidRPr="006C5EE8">
        <w:rPr>
          <w:rFonts w:ascii="Times New Roman" w:hAnsi="Times New Roman" w:cs="Times New Roman"/>
        </w:rPr>
        <w:t xml:space="preserve"> The</w:t>
      </w:r>
      <w:r w:rsidR="00A72BEF">
        <w:rPr>
          <w:rFonts w:ascii="Times New Roman" w:hAnsi="Times New Roman" w:cs="Times New Roman"/>
        </w:rPr>
        <w:t xml:space="preserve"> overall</w:t>
      </w:r>
      <w:r w:rsidR="00183EE2" w:rsidRPr="006C5EE8">
        <w:rPr>
          <w:rFonts w:ascii="Times New Roman" w:hAnsi="Times New Roman" w:cs="Times New Roman"/>
        </w:rPr>
        <w:t xml:space="preserve"> prevalence of</w:t>
      </w:r>
      <w:r w:rsidR="00A72BEF">
        <w:rPr>
          <w:rFonts w:ascii="Times New Roman" w:hAnsi="Times New Roman" w:cs="Times New Roman"/>
        </w:rPr>
        <w:t xml:space="preserve"> cats with heart murmurs detected on at least one of the three occasions </w:t>
      </w:r>
      <w:r w:rsidR="00BD2B79">
        <w:rPr>
          <w:rFonts w:ascii="Times New Roman" w:hAnsi="Times New Roman" w:cs="Times New Roman"/>
        </w:rPr>
        <w:t>was</w:t>
      </w:r>
      <w:r w:rsidR="00183EE2" w:rsidRPr="006C5EE8">
        <w:rPr>
          <w:rFonts w:ascii="Times New Roman" w:hAnsi="Times New Roman" w:cs="Times New Roman"/>
        </w:rPr>
        <w:t xml:space="preserve"> </w:t>
      </w:r>
      <w:r w:rsidR="00BD2B79">
        <w:rPr>
          <w:rFonts w:ascii="Times New Roman" w:hAnsi="Times New Roman" w:cs="Times New Roman"/>
        </w:rPr>
        <w:t>30</w:t>
      </w:r>
      <w:r w:rsidR="00183EE2" w:rsidRPr="006C5EE8">
        <w:rPr>
          <w:rFonts w:ascii="Times New Roman" w:hAnsi="Times New Roman" w:cs="Times New Roman"/>
        </w:rPr>
        <w:t>% (50/169).</w:t>
      </w:r>
    </w:p>
    <w:p w14:paraId="7A3431C9" w14:textId="77777777" w:rsidR="002474B2" w:rsidRDefault="00A72BEF" w:rsidP="0027125F">
      <w:pPr>
        <w:spacing w:line="240" w:lineRule="auto"/>
        <w:contextualSpacing/>
        <w:rPr>
          <w:rFonts w:ascii="Times New Roman" w:hAnsi="Times New Roman" w:cs="Times New Roman"/>
        </w:rPr>
      </w:pPr>
      <w:r w:rsidRPr="00A72BEF">
        <w:t xml:space="preserve"> </w:t>
      </w:r>
      <w:r w:rsidR="002474B2">
        <w:tab/>
      </w:r>
      <w:r w:rsidRPr="00A72BEF">
        <w:rPr>
          <w:rFonts w:ascii="Times New Roman" w:hAnsi="Times New Roman" w:cs="Times New Roman"/>
        </w:rPr>
        <w:t xml:space="preserve">The proportion of cats with murmurs was 64% </w:t>
      </w:r>
      <w:r>
        <w:rPr>
          <w:rFonts w:ascii="Times New Roman" w:hAnsi="Times New Roman" w:cs="Times New Roman"/>
        </w:rPr>
        <w:t xml:space="preserve">(32/50) </w:t>
      </w:r>
      <w:r w:rsidRPr="00A72BEF">
        <w:rPr>
          <w:rFonts w:ascii="Times New Roman" w:hAnsi="Times New Roman" w:cs="Times New Roman"/>
        </w:rPr>
        <w:t xml:space="preserve">at HR1, 54% </w:t>
      </w:r>
      <w:r>
        <w:rPr>
          <w:rFonts w:ascii="Times New Roman" w:hAnsi="Times New Roman" w:cs="Times New Roman"/>
        </w:rPr>
        <w:t xml:space="preserve">(27/50) </w:t>
      </w:r>
      <w:r w:rsidRPr="00A72BEF">
        <w:rPr>
          <w:rFonts w:ascii="Times New Roman" w:hAnsi="Times New Roman" w:cs="Times New Roman"/>
        </w:rPr>
        <w:t>at HR2 and 60% at HR3. 26% (13/50) of the cats had murmurs present on 3/3 occasions, 26% (13/50) had murmurs present on 2/3 occasions and 48% (24/50) of the cats only had a murmur present on 1/3 occasions</w:t>
      </w:r>
      <w:r>
        <w:rPr>
          <w:rFonts w:ascii="Times New Roman" w:hAnsi="Times New Roman" w:cs="Times New Roman"/>
        </w:rPr>
        <w:t>.</w:t>
      </w:r>
      <w:r w:rsidR="00183EE2" w:rsidRPr="006C5EE8">
        <w:rPr>
          <w:rFonts w:ascii="Times New Roman" w:hAnsi="Times New Roman" w:cs="Times New Roman"/>
        </w:rPr>
        <w:t xml:space="preserve"> </w:t>
      </w:r>
    </w:p>
    <w:p w14:paraId="6131A419" w14:textId="3527747A" w:rsidR="003A1AC7" w:rsidRDefault="004C1E01" w:rsidP="001156DE">
      <w:pPr>
        <w:spacing w:line="240" w:lineRule="auto"/>
        <w:ind w:firstLine="720"/>
        <w:contextualSpacing/>
        <w:rPr>
          <w:rFonts w:ascii="Times New Roman" w:hAnsi="Times New Roman" w:cs="Times New Roman"/>
          <w:color w:val="000000" w:themeColor="text1"/>
        </w:rPr>
      </w:pPr>
      <w:r w:rsidRPr="006C5EE8">
        <w:rPr>
          <w:rFonts w:ascii="Times New Roman" w:hAnsi="Times New Roman" w:cs="Times New Roman"/>
        </w:rPr>
        <w:t>HR was normal</w:t>
      </w:r>
      <w:r w:rsidR="00BD2B79">
        <w:rPr>
          <w:rFonts w:ascii="Times New Roman" w:hAnsi="Times New Roman" w:cs="Times New Roman"/>
        </w:rPr>
        <w:t>ly</w:t>
      </w:r>
      <w:r w:rsidRPr="006C5EE8">
        <w:rPr>
          <w:rFonts w:ascii="Times New Roman" w:hAnsi="Times New Roman" w:cs="Times New Roman"/>
        </w:rPr>
        <w:t xml:space="preserve"> distributed</w:t>
      </w:r>
      <w:r w:rsidR="00BD2B79">
        <w:rPr>
          <w:rFonts w:ascii="Times New Roman" w:hAnsi="Times New Roman" w:cs="Times New Roman"/>
        </w:rPr>
        <w:t xml:space="preserve">, and there were no </w:t>
      </w:r>
      <w:r w:rsidR="00183EE2" w:rsidRPr="006C5EE8">
        <w:rPr>
          <w:rFonts w:ascii="Times New Roman" w:hAnsi="Times New Roman" w:cs="Times New Roman"/>
        </w:rPr>
        <w:t>difference</w:t>
      </w:r>
      <w:r w:rsidR="008D02B7">
        <w:rPr>
          <w:rFonts w:ascii="Times New Roman" w:hAnsi="Times New Roman" w:cs="Times New Roman"/>
        </w:rPr>
        <w:t>s</w:t>
      </w:r>
      <w:r w:rsidR="00183EE2" w:rsidRPr="006C5EE8">
        <w:rPr>
          <w:rFonts w:ascii="Times New Roman" w:hAnsi="Times New Roman" w:cs="Times New Roman"/>
        </w:rPr>
        <w:t xml:space="preserve"> in HR </w:t>
      </w:r>
      <w:r w:rsidRPr="006C5EE8">
        <w:rPr>
          <w:rFonts w:ascii="Times New Roman" w:hAnsi="Times New Roman" w:cs="Times New Roman"/>
        </w:rPr>
        <w:t xml:space="preserve">between the </w:t>
      </w:r>
      <w:r w:rsidR="008D02B7">
        <w:rPr>
          <w:rFonts w:ascii="Times New Roman" w:hAnsi="Times New Roman" w:cs="Times New Roman"/>
        </w:rPr>
        <w:t>cats with and without a heart murmur</w:t>
      </w:r>
      <w:r w:rsidRPr="006C5EE8">
        <w:rPr>
          <w:rFonts w:ascii="Times New Roman" w:hAnsi="Times New Roman" w:cs="Times New Roman"/>
        </w:rPr>
        <w:t xml:space="preserve"> </w:t>
      </w:r>
      <w:r w:rsidR="004F6415">
        <w:rPr>
          <w:rFonts w:ascii="Times New Roman" w:hAnsi="Times New Roman" w:cs="Times New Roman"/>
        </w:rPr>
        <w:t xml:space="preserve">at each time point </w:t>
      </w:r>
      <w:r w:rsidRPr="006C5EE8">
        <w:rPr>
          <w:rFonts w:ascii="Times New Roman" w:hAnsi="Times New Roman" w:cs="Times New Roman"/>
        </w:rPr>
        <w:t>(</w:t>
      </w:r>
      <w:r w:rsidR="00C12E26">
        <w:rPr>
          <w:rFonts w:ascii="Times New Roman" w:hAnsi="Times New Roman" w:cs="Times New Roman"/>
        </w:rPr>
        <w:t xml:space="preserve">2- sample T </w:t>
      </w:r>
      <w:r w:rsidRPr="006C5EE8">
        <w:rPr>
          <w:rFonts w:ascii="Times New Roman" w:hAnsi="Times New Roman" w:cs="Times New Roman"/>
        </w:rPr>
        <w:t>test</w:t>
      </w:r>
      <w:r w:rsidR="008A782A">
        <w:rPr>
          <w:rFonts w:ascii="Times New Roman" w:hAnsi="Times New Roman" w:cs="Times New Roman"/>
        </w:rPr>
        <w:t>, HR1</w:t>
      </w:r>
      <w:r w:rsidRPr="006C5EE8">
        <w:rPr>
          <w:rFonts w:ascii="Times New Roman" w:hAnsi="Times New Roman" w:cs="Times New Roman"/>
        </w:rPr>
        <w:t>p=0.65,</w:t>
      </w:r>
      <w:r w:rsidR="008A782A">
        <w:rPr>
          <w:rFonts w:ascii="Times New Roman" w:hAnsi="Times New Roman" w:cs="Times New Roman"/>
        </w:rPr>
        <w:t xml:space="preserve"> HR2 p=</w:t>
      </w:r>
      <w:r w:rsidRPr="006C5EE8">
        <w:rPr>
          <w:rFonts w:ascii="Times New Roman" w:hAnsi="Times New Roman" w:cs="Times New Roman"/>
        </w:rPr>
        <w:t xml:space="preserve"> 0.24, </w:t>
      </w:r>
      <w:r w:rsidR="008A782A">
        <w:rPr>
          <w:rFonts w:ascii="Times New Roman" w:hAnsi="Times New Roman" w:cs="Times New Roman"/>
        </w:rPr>
        <w:t>HR3 p=</w:t>
      </w:r>
      <w:r w:rsidRPr="006C5EE8">
        <w:rPr>
          <w:rFonts w:ascii="Times New Roman" w:hAnsi="Times New Roman" w:cs="Times New Roman"/>
        </w:rPr>
        <w:t xml:space="preserve">0.53). </w:t>
      </w:r>
      <w:r w:rsidR="00FC1A23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FC1A23">
        <w:rPr>
          <w:rFonts w:ascii="Times New Roman" w:hAnsi="Times New Roman" w:cs="Times New Roman"/>
        </w:rPr>
        <w:t>Heart rate was not associated with the grade of murmur (</w:t>
      </w:r>
      <w:r w:rsidR="00C12E26">
        <w:rPr>
          <w:rFonts w:ascii="Times New Roman" w:hAnsi="Times New Roman" w:cs="Times New Roman"/>
        </w:rPr>
        <w:t>r</w:t>
      </w:r>
      <w:r w:rsidR="00854D6A">
        <w:rPr>
          <w:rFonts w:ascii="Times New Roman" w:hAnsi="Times New Roman" w:cs="Times New Roman"/>
        </w:rPr>
        <w:t>epeat</w:t>
      </w:r>
      <w:r w:rsidR="00C12E26">
        <w:rPr>
          <w:rFonts w:ascii="Times New Roman" w:hAnsi="Times New Roman" w:cs="Times New Roman"/>
        </w:rPr>
        <w:t>ed</w:t>
      </w:r>
      <w:r w:rsidR="00854D6A">
        <w:rPr>
          <w:rFonts w:ascii="Times New Roman" w:hAnsi="Times New Roman" w:cs="Times New Roman"/>
        </w:rPr>
        <w:t xml:space="preserve"> measures </w:t>
      </w:r>
      <w:r w:rsidR="00FC1A23">
        <w:rPr>
          <w:rFonts w:ascii="Times New Roman" w:hAnsi="Times New Roman" w:cs="Times New Roman"/>
        </w:rPr>
        <w:t xml:space="preserve">ANOVA, </w:t>
      </w:r>
      <w:r w:rsidR="00FC1A23" w:rsidRPr="00E21686">
        <w:rPr>
          <w:rFonts w:ascii="Times New Roman" w:hAnsi="Times New Roman" w:cs="Times New Roman"/>
          <w:color w:val="000000" w:themeColor="text1"/>
        </w:rPr>
        <w:t>p=0.</w:t>
      </w:r>
      <w:r w:rsidR="00854D6A">
        <w:rPr>
          <w:rFonts w:ascii="Times New Roman" w:hAnsi="Times New Roman" w:cs="Times New Roman"/>
          <w:color w:val="000000" w:themeColor="text1"/>
        </w:rPr>
        <w:t>53</w:t>
      </w:r>
      <w:r w:rsidR="00FC1A23">
        <w:rPr>
          <w:rFonts w:ascii="Times New Roman" w:hAnsi="Times New Roman" w:cs="Times New Roman"/>
          <w:color w:val="000000" w:themeColor="text1"/>
        </w:rPr>
        <w:t>).</w:t>
      </w:r>
    </w:p>
    <w:p w14:paraId="3232EDD7" w14:textId="2AE0BBDB" w:rsidR="00F01BB6" w:rsidRDefault="00FC1A23" w:rsidP="0024520E">
      <w:pPr>
        <w:spacing w:line="240" w:lineRule="auto"/>
        <w:contextualSpacing/>
        <w:rPr>
          <w:rFonts w:ascii="Times New Roman" w:hAnsi="Times New Roman" w:cs="Times New Roman"/>
        </w:rPr>
      </w:pPr>
      <w:r w:rsidRPr="0024520E">
        <w:rPr>
          <w:rFonts w:ascii="Times New Roman" w:hAnsi="Times New Roman" w:cs="Times New Roman"/>
          <w:color w:val="000000" w:themeColor="text1"/>
        </w:rPr>
        <w:t xml:space="preserve"> </w:t>
      </w:r>
      <w:r w:rsidR="002474B2"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>In cats with a heart murmur</w:t>
      </w:r>
      <w:r w:rsidR="000808B7">
        <w:rPr>
          <w:rFonts w:ascii="Times New Roman" w:hAnsi="Times New Roman" w:cs="Times New Roman"/>
          <w:color w:val="000000" w:themeColor="text1"/>
        </w:rPr>
        <w:t>,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481EA5">
        <w:rPr>
          <w:rFonts w:ascii="Times New Roman" w:hAnsi="Times New Roman" w:cs="Times New Roman"/>
          <w:color w:val="000000" w:themeColor="text1"/>
        </w:rPr>
        <w:t xml:space="preserve">on repeat measures ANOVA there was a significant difference in heart rates across differences time points (p=0.02), following </w:t>
      </w:r>
      <w:r w:rsidR="008A782A">
        <w:rPr>
          <w:rFonts w:ascii="Times New Roman" w:hAnsi="Times New Roman" w:cs="Times New Roman"/>
          <w:color w:val="000000" w:themeColor="text1"/>
        </w:rPr>
        <w:t>post-hoc testing H</w:t>
      </w:r>
      <w:r w:rsidR="00481EA5">
        <w:rPr>
          <w:rFonts w:ascii="Times New Roman" w:hAnsi="Times New Roman" w:cs="Times New Roman"/>
          <w:color w:val="000000" w:themeColor="text1"/>
        </w:rPr>
        <w:t>R3 was significantly lower than HR1 (p=0.03</w:t>
      </w:r>
      <w:r>
        <w:rPr>
          <w:rFonts w:ascii="Times New Roman" w:hAnsi="Times New Roman" w:cs="Times New Roman"/>
          <w:color w:val="000000" w:themeColor="text1"/>
        </w:rPr>
        <w:t>). In ‘Healthy Cats’ there was a</w:t>
      </w:r>
      <w:r w:rsidR="00481EA5">
        <w:rPr>
          <w:rFonts w:ascii="Times New Roman" w:hAnsi="Times New Roman" w:cs="Times New Roman"/>
          <w:color w:val="000000" w:themeColor="text1"/>
        </w:rPr>
        <w:t>lso</w:t>
      </w:r>
      <w:r>
        <w:rPr>
          <w:rFonts w:ascii="Times New Roman" w:hAnsi="Times New Roman" w:cs="Times New Roman"/>
          <w:color w:val="000000" w:themeColor="text1"/>
        </w:rPr>
        <w:t xml:space="preserve"> significant difference in heart rate across the different time points (p = 0.00</w:t>
      </w:r>
      <w:r w:rsidR="00481EA5">
        <w:rPr>
          <w:rFonts w:ascii="Times New Roman" w:hAnsi="Times New Roman" w:cs="Times New Roman"/>
          <w:color w:val="000000" w:themeColor="text1"/>
        </w:rPr>
        <w:t>01</w:t>
      </w:r>
      <w:r>
        <w:rPr>
          <w:rFonts w:ascii="Times New Roman" w:hAnsi="Times New Roman" w:cs="Times New Roman"/>
          <w:color w:val="000000" w:themeColor="text1"/>
        </w:rPr>
        <w:t xml:space="preserve">) following </w:t>
      </w:r>
      <w:r w:rsidR="008A782A">
        <w:rPr>
          <w:rFonts w:ascii="Times New Roman" w:hAnsi="Times New Roman" w:cs="Times New Roman"/>
          <w:color w:val="000000" w:themeColor="text1"/>
        </w:rPr>
        <w:t>post-hoc testing</w:t>
      </w:r>
      <w:r>
        <w:rPr>
          <w:rFonts w:ascii="Times New Roman" w:hAnsi="Times New Roman" w:cs="Times New Roman"/>
          <w:color w:val="000000" w:themeColor="text1"/>
        </w:rPr>
        <w:t>, HR2</w:t>
      </w:r>
      <w:r w:rsidR="00481EA5">
        <w:rPr>
          <w:rFonts w:ascii="Times New Roman" w:hAnsi="Times New Roman" w:cs="Times New Roman"/>
          <w:color w:val="000000" w:themeColor="text1"/>
        </w:rPr>
        <w:t xml:space="preserve"> and HR3</w:t>
      </w:r>
      <w:r>
        <w:rPr>
          <w:rFonts w:ascii="Times New Roman" w:hAnsi="Times New Roman" w:cs="Times New Roman"/>
          <w:color w:val="000000" w:themeColor="text1"/>
        </w:rPr>
        <w:t xml:space="preserve"> w</w:t>
      </w:r>
      <w:r w:rsidR="00481EA5">
        <w:rPr>
          <w:rFonts w:ascii="Times New Roman" w:hAnsi="Times New Roman" w:cs="Times New Roman"/>
          <w:color w:val="000000" w:themeColor="text1"/>
        </w:rPr>
        <w:t xml:space="preserve">ere </w:t>
      </w:r>
      <w:r>
        <w:rPr>
          <w:rFonts w:ascii="Times New Roman" w:hAnsi="Times New Roman" w:cs="Times New Roman"/>
          <w:color w:val="000000" w:themeColor="text1"/>
        </w:rPr>
        <w:t xml:space="preserve">significantly </w:t>
      </w:r>
      <w:r w:rsidR="00481EA5">
        <w:rPr>
          <w:rFonts w:ascii="Times New Roman" w:hAnsi="Times New Roman" w:cs="Times New Roman"/>
          <w:color w:val="000000" w:themeColor="text1"/>
        </w:rPr>
        <w:t xml:space="preserve">lower </w:t>
      </w:r>
      <w:r>
        <w:rPr>
          <w:rFonts w:ascii="Times New Roman" w:hAnsi="Times New Roman" w:cs="Times New Roman"/>
          <w:color w:val="000000" w:themeColor="text1"/>
        </w:rPr>
        <w:t>than HR1 (p=</w:t>
      </w:r>
      <w:r w:rsidR="00481EA5">
        <w:rPr>
          <w:rFonts w:ascii="Times New Roman" w:hAnsi="Times New Roman" w:cs="Times New Roman"/>
          <w:color w:val="000000" w:themeColor="text1"/>
        </w:rPr>
        <w:t>0.00005, p=0.012</w:t>
      </w:r>
      <w:r>
        <w:rPr>
          <w:rFonts w:ascii="Times New Roman" w:hAnsi="Times New Roman" w:cs="Times New Roman"/>
          <w:color w:val="000000" w:themeColor="text1"/>
        </w:rPr>
        <w:t>)</w:t>
      </w:r>
      <w:r w:rsidR="00FC67FA">
        <w:rPr>
          <w:rFonts w:ascii="Times New Roman" w:hAnsi="Times New Roman" w:cs="Times New Roman"/>
          <w:color w:val="000000" w:themeColor="text1"/>
        </w:rPr>
        <w:t>.</w:t>
      </w:r>
    </w:p>
    <w:p w14:paraId="158517DD" w14:textId="0A938FD6" w:rsidR="00F01BB6" w:rsidRDefault="004C1E01" w:rsidP="001156DE">
      <w:pPr>
        <w:spacing w:line="240" w:lineRule="auto"/>
        <w:ind w:firstLine="720"/>
        <w:contextualSpacing/>
        <w:rPr>
          <w:rFonts w:ascii="Times New Roman" w:hAnsi="Times New Roman" w:cs="Times New Roman"/>
        </w:rPr>
      </w:pPr>
      <w:r w:rsidRPr="006C5EE8">
        <w:rPr>
          <w:rFonts w:ascii="Times New Roman" w:hAnsi="Times New Roman" w:cs="Times New Roman"/>
        </w:rPr>
        <w:t>Co-efficient of variation (CoV) and variation around the mean (Var) was calculated</w:t>
      </w:r>
      <w:r w:rsidR="0024520E">
        <w:rPr>
          <w:rFonts w:ascii="Times New Roman" w:hAnsi="Times New Roman" w:cs="Times New Roman"/>
        </w:rPr>
        <w:t xml:space="preserve"> for each cat</w:t>
      </w:r>
      <w:r w:rsidRPr="006C5EE8">
        <w:rPr>
          <w:rFonts w:ascii="Times New Roman" w:hAnsi="Times New Roman" w:cs="Times New Roman"/>
        </w:rPr>
        <w:t>,</w:t>
      </w:r>
      <w:r w:rsidR="00A72BEF">
        <w:rPr>
          <w:rFonts w:ascii="Times New Roman" w:hAnsi="Times New Roman" w:cs="Times New Roman"/>
        </w:rPr>
        <w:t xml:space="preserve"> </w:t>
      </w:r>
      <w:r w:rsidR="008D02B7">
        <w:rPr>
          <w:rFonts w:ascii="Times New Roman" w:hAnsi="Times New Roman" w:cs="Times New Roman"/>
        </w:rPr>
        <w:t xml:space="preserve">these </w:t>
      </w:r>
      <w:r w:rsidRPr="006C5EE8">
        <w:rPr>
          <w:rFonts w:ascii="Times New Roman" w:hAnsi="Times New Roman" w:cs="Times New Roman"/>
        </w:rPr>
        <w:t xml:space="preserve">were not normally distributed. CoV </w:t>
      </w:r>
      <w:r w:rsidR="0024520E">
        <w:rPr>
          <w:rFonts w:ascii="Times New Roman" w:hAnsi="Times New Roman" w:cs="Times New Roman"/>
        </w:rPr>
        <w:t>(</w:t>
      </w:r>
      <w:r w:rsidR="0024520E" w:rsidRPr="006C5EE8">
        <w:rPr>
          <w:rFonts w:ascii="Times New Roman" w:hAnsi="Times New Roman" w:cs="Times New Roman"/>
        </w:rPr>
        <w:t>p=0.02*</w:t>
      </w:r>
      <w:r w:rsidR="0024520E">
        <w:rPr>
          <w:rFonts w:ascii="Times New Roman" w:hAnsi="Times New Roman" w:cs="Times New Roman"/>
        </w:rPr>
        <w:t>) and Var (</w:t>
      </w:r>
      <w:r w:rsidR="0024520E" w:rsidRPr="006C5EE8">
        <w:rPr>
          <w:rFonts w:ascii="Times New Roman" w:hAnsi="Times New Roman" w:cs="Times New Roman"/>
        </w:rPr>
        <w:t>p=0.02*</w:t>
      </w:r>
      <w:r w:rsidR="0024520E">
        <w:rPr>
          <w:rFonts w:ascii="Times New Roman" w:hAnsi="Times New Roman" w:cs="Times New Roman"/>
        </w:rPr>
        <w:t>) were</w:t>
      </w:r>
      <w:r w:rsidRPr="006C5EE8">
        <w:rPr>
          <w:rFonts w:ascii="Times New Roman" w:hAnsi="Times New Roman" w:cs="Times New Roman"/>
        </w:rPr>
        <w:t xml:space="preserve"> significantly </w:t>
      </w:r>
      <w:r w:rsidR="00096D55">
        <w:rPr>
          <w:rFonts w:ascii="Times New Roman" w:hAnsi="Times New Roman" w:cs="Times New Roman"/>
        </w:rPr>
        <w:t xml:space="preserve">less </w:t>
      </w:r>
      <w:r w:rsidRPr="006C5EE8">
        <w:rPr>
          <w:rFonts w:ascii="Times New Roman" w:hAnsi="Times New Roman" w:cs="Times New Roman"/>
        </w:rPr>
        <w:t xml:space="preserve">in cats with a heart murmur </w:t>
      </w:r>
      <w:r w:rsidR="0024520E">
        <w:rPr>
          <w:rFonts w:ascii="Times New Roman" w:hAnsi="Times New Roman" w:cs="Times New Roman"/>
        </w:rPr>
        <w:t>(</w:t>
      </w:r>
      <w:r w:rsidRPr="006C5EE8">
        <w:rPr>
          <w:rFonts w:ascii="Times New Roman" w:hAnsi="Times New Roman" w:cs="Times New Roman"/>
        </w:rPr>
        <w:t>Wilcoxon rank sum test)</w:t>
      </w:r>
      <w:r w:rsidR="0024520E">
        <w:rPr>
          <w:rFonts w:ascii="Times New Roman" w:hAnsi="Times New Roman" w:cs="Times New Roman"/>
        </w:rPr>
        <w:t>.</w:t>
      </w:r>
      <w:r w:rsidR="008D02B7">
        <w:rPr>
          <w:rFonts w:ascii="Times New Roman" w:hAnsi="Times New Roman" w:cs="Times New Roman"/>
        </w:rPr>
        <w:t xml:space="preserve"> </w:t>
      </w:r>
    </w:p>
    <w:p w14:paraId="208206EE" w14:textId="02C5BD16" w:rsidR="001A6E9F" w:rsidRDefault="00A201B9" w:rsidP="008772B0">
      <w:pPr>
        <w:spacing w:line="240" w:lineRule="auto"/>
        <w:ind w:firstLine="720"/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There was marked variability in feline HR </w:t>
      </w:r>
      <w:r w:rsidR="00F01BB6">
        <w:rPr>
          <w:rFonts w:ascii="Times New Roman" w:hAnsi="Times New Roman" w:cs="Times New Roman"/>
        </w:rPr>
        <w:t xml:space="preserve">and the detection of heart murmurs </w:t>
      </w:r>
      <w:r>
        <w:rPr>
          <w:rFonts w:ascii="Times New Roman" w:hAnsi="Times New Roman" w:cs="Times New Roman"/>
        </w:rPr>
        <w:t xml:space="preserve">at different points during the </w:t>
      </w:r>
      <w:r w:rsidR="00DB44F9">
        <w:rPr>
          <w:rFonts w:ascii="Times New Roman" w:hAnsi="Times New Roman" w:cs="Times New Roman"/>
        </w:rPr>
        <w:t>appointment</w:t>
      </w:r>
      <w:r w:rsidR="000808B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24520E">
        <w:rPr>
          <w:rFonts w:ascii="Times New Roman" w:hAnsi="Times New Roman" w:cs="Times New Roman"/>
        </w:rPr>
        <w:t>Auscultation</w:t>
      </w:r>
      <w:r w:rsidR="0024520E">
        <w:rPr>
          <w:rFonts w:ascii="Times New Roman" w:hAnsi="Times New Roman" w:cs="Times New Roman"/>
          <w:color w:val="000000" w:themeColor="text1"/>
        </w:rPr>
        <w:t xml:space="preserve"> of the feline heart should be performed on a </w:t>
      </w:r>
      <w:r w:rsidR="00DB44F9">
        <w:rPr>
          <w:rFonts w:ascii="Times New Roman" w:hAnsi="Times New Roman" w:cs="Times New Roman"/>
          <w:color w:val="000000" w:themeColor="text1"/>
        </w:rPr>
        <w:t>number of occasions during an appointment to maximise the chance of identifying hear murmurs d</w:t>
      </w:r>
      <w:r w:rsidR="0024520E">
        <w:rPr>
          <w:rFonts w:ascii="Times New Roman" w:hAnsi="Times New Roman" w:cs="Times New Roman"/>
          <w:color w:val="000000" w:themeColor="text1"/>
        </w:rPr>
        <w:t>uring</w:t>
      </w:r>
      <w:r w:rsidR="00FD542B">
        <w:rPr>
          <w:rFonts w:ascii="Times New Roman" w:hAnsi="Times New Roman" w:cs="Times New Roman"/>
          <w:color w:val="000000" w:themeColor="text1"/>
        </w:rPr>
        <w:t xml:space="preserve"> a clinical</w:t>
      </w:r>
      <w:r w:rsidR="0024520E">
        <w:rPr>
          <w:rFonts w:ascii="Times New Roman" w:hAnsi="Times New Roman" w:cs="Times New Roman"/>
          <w:color w:val="000000" w:themeColor="text1"/>
        </w:rPr>
        <w:t xml:space="preserve"> examination. Variation in heart rate is considered </w:t>
      </w:r>
      <w:r w:rsidR="001A6E9F">
        <w:rPr>
          <w:rFonts w:ascii="Times New Roman" w:hAnsi="Times New Roman" w:cs="Times New Roman"/>
          <w:color w:val="000000" w:themeColor="text1"/>
        </w:rPr>
        <w:t xml:space="preserve">a </w:t>
      </w:r>
      <w:r w:rsidR="0024520E">
        <w:rPr>
          <w:rFonts w:ascii="Times New Roman" w:hAnsi="Times New Roman" w:cs="Times New Roman"/>
          <w:color w:val="000000" w:themeColor="text1"/>
        </w:rPr>
        <w:t>sign of healthy heart</w:t>
      </w:r>
      <w:r w:rsidR="001A6E9F">
        <w:rPr>
          <w:rFonts w:ascii="Times New Roman" w:hAnsi="Times New Roman" w:cs="Times New Roman"/>
          <w:color w:val="000000" w:themeColor="text1"/>
        </w:rPr>
        <w:t xml:space="preserve"> but, given that </w:t>
      </w:r>
      <w:r w:rsidR="0024520E">
        <w:rPr>
          <w:rFonts w:ascii="Times New Roman" w:hAnsi="Times New Roman" w:cs="Times New Roman"/>
          <w:color w:val="000000" w:themeColor="text1"/>
        </w:rPr>
        <w:t>echocardiography</w:t>
      </w:r>
      <w:r w:rsidR="00DB44F9">
        <w:rPr>
          <w:rFonts w:ascii="Times New Roman" w:hAnsi="Times New Roman" w:cs="Times New Roman"/>
          <w:color w:val="000000" w:themeColor="text1"/>
        </w:rPr>
        <w:t xml:space="preserve"> was not performed</w:t>
      </w:r>
      <w:r w:rsidR="001A6E9F">
        <w:rPr>
          <w:rFonts w:ascii="Times New Roman" w:hAnsi="Times New Roman" w:cs="Times New Roman"/>
          <w:color w:val="000000" w:themeColor="text1"/>
        </w:rPr>
        <w:t>,</w:t>
      </w:r>
      <w:r w:rsidR="0024520E">
        <w:rPr>
          <w:rFonts w:ascii="Times New Roman" w:hAnsi="Times New Roman" w:cs="Times New Roman"/>
          <w:color w:val="000000" w:themeColor="text1"/>
        </w:rPr>
        <w:t xml:space="preserve"> </w:t>
      </w:r>
      <w:r w:rsidR="001A6E9F">
        <w:rPr>
          <w:rFonts w:ascii="Times New Roman" w:hAnsi="Times New Roman" w:cs="Times New Roman"/>
          <w:color w:val="000000" w:themeColor="text1"/>
        </w:rPr>
        <w:t>the significance of the group differences identified requires further study.</w:t>
      </w:r>
    </w:p>
    <w:p w14:paraId="50ABEF6C" w14:textId="6F0CE25D" w:rsidR="008772B0" w:rsidRDefault="008772B0" w:rsidP="008772B0">
      <w:pPr>
        <w:spacing w:line="240" w:lineRule="auto"/>
        <w:ind w:firstLine="720"/>
        <w:contextualSpacing/>
        <w:rPr>
          <w:rFonts w:ascii="Times New Roman" w:hAnsi="Times New Roman" w:cs="Times New Roman"/>
          <w:color w:val="000000" w:themeColor="text1"/>
        </w:rPr>
      </w:pPr>
    </w:p>
    <w:p w14:paraId="5C550BB6" w14:textId="7DF1C290" w:rsidR="008772B0" w:rsidRPr="008772B0" w:rsidRDefault="008772B0" w:rsidP="008772B0">
      <w:pPr>
        <w:spacing w:line="240" w:lineRule="auto"/>
        <w:ind w:firstLine="720"/>
        <w:contextualSpacing/>
        <w:rPr>
          <w:rFonts w:ascii="Times New Roman" w:hAnsi="Times New Roman" w:cs="Times New Roman"/>
          <w:color w:val="000000" w:themeColor="text1"/>
        </w:rPr>
      </w:pPr>
    </w:p>
    <w:p w14:paraId="40421970" w14:textId="77777777" w:rsidR="00844626" w:rsidRPr="008772B0" w:rsidRDefault="00844626" w:rsidP="00DE1A5C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TableGrid"/>
        <w:tblW w:w="8359" w:type="dxa"/>
        <w:jc w:val="center"/>
        <w:tblLook w:val="04A0" w:firstRow="1" w:lastRow="0" w:firstColumn="1" w:lastColumn="0" w:noHBand="0" w:noVBand="1"/>
      </w:tblPr>
      <w:tblGrid>
        <w:gridCol w:w="1696"/>
        <w:gridCol w:w="851"/>
        <w:gridCol w:w="709"/>
        <w:gridCol w:w="708"/>
        <w:gridCol w:w="851"/>
        <w:gridCol w:w="1701"/>
        <w:gridCol w:w="1843"/>
      </w:tblGrid>
      <w:tr w:rsidR="00A37FFC" w:rsidRPr="008772B0" w14:paraId="33E215BA" w14:textId="520FC01B" w:rsidTr="00FD542B">
        <w:trPr>
          <w:jc w:val="center"/>
        </w:trPr>
        <w:tc>
          <w:tcPr>
            <w:tcW w:w="1696" w:type="dxa"/>
          </w:tcPr>
          <w:p w14:paraId="5C119304" w14:textId="5FCE4E2A" w:rsidR="00A37FFC" w:rsidRPr="008772B0" w:rsidRDefault="00A37FFC" w:rsidP="00DE1A5C">
            <w:pPr>
              <w:jc w:val="center"/>
              <w:rPr>
                <w:b/>
              </w:rPr>
            </w:pPr>
            <w:r w:rsidRPr="008772B0">
              <w:rPr>
                <w:b/>
              </w:rPr>
              <w:lastRenderedPageBreak/>
              <w:t>‘Healthy cats’</w:t>
            </w:r>
          </w:p>
        </w:tc>
        <w:tc>
          <w:tcPr>
            <w:tcW w:w="851" w:type="dxa"/>
          </w:tcPr>
          <w:p w14:paraId="2941F678" w14:textId="5E1968E9" w:rsidR="00A37FFC" w:rsidRPr="008772B0" w:rsidRDefault="00A37FFC" w:rsidP="00DE1A5C">
            <w:pPr>
              <w:jc w:val="center"/>
              <w:rPr>
                <w:b/>
              </w:rPr>
            </w:pPr>
            <w:r w:rsidRPr="008772B0">
              <w:rPr>
                <w:b/>
              </w:rPr>
              <w:t>Mean</w:t>
            </w:r>
          </w:p>
        </w:tc>
        <w:tc>
          <w:tcPr>
            <w:tcW w:w="709" w:type="dxa"/>
          </w:tcPr>
          <w:p w14:paraId="2512D7A7" w14:textId="1EE129A0" w:rsidR="00A37FFC" w:rsidRPr="008772B0" w:rsidRDefault="00A37FFC" w:rsidP="00DE1A5C">
            <w:pPr>
              <w:jc w:val="center"/>
              <w:rPr>
                <w:b/>
              </w:rPr>
            </w:pPr>
            <w:r w:rsidRPr="008772B0">
              <w:rPr>
                <w:b/>
              </w:rPr>
              <w:t>Min</w:t>
            </w:r>
          </w:p>
        </w:tc>
        <w:tc>
          <w:tcPr>
            <w:tcW w:w="708" w:type="dxa"/>
          </w:tcPr>
          <w:p w14:paraId="010805AD" w14:textId="5F0512CD" w:rsidR="00A37FFC" w:rsidRPr="008772B0" w:rsidRDefault="00A37FFC" w:rsidP="00DE1A5C">
            <w:pPr>
              <w:jc w:val="center"/>
              <w:rPr>
                <w:b/>
              </w:rPr>
            </w:pPr>
            <w:r w:rsidRPr="008772B0">
              <w:rPr>
                <w:b/>
              </w:rPr>
              <w:t>Max</w:t>
            </w:r>
          </w:p>
        </w:tc>
        <w:tc>
          <w:tcPr>
            <w:tcW w:w="851" w:type="dxa"/>
          </w:tcPr>
          <w:p w14:paraId="2BCE6543" w14:textId="58BCCFB4" w:rsidR="00A37FFC" w:rsidRPr="008772B0" w:rsidRDefault="00A37FFC" w:rsidP="00DE1A5C">
            <w:pPr>
              <w:jc w:val="center"/>
              <w:rPr>
                <w:b/>
              </w:rPr>
            </w:pPr>
            <w:r w:rsidRPr="008772B0">
              <w:rPr>
                <w:b/>
              </w:rPr>
              <w:t>SD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1D8355E" w14:textId="77811CE8" w:rsidR="00A37FFC" w:rsidRPr="008772B0" w:rsidRDefault="00A37FFC" w:rsidP="00DE1A5C">
            <w:pPr>
              <w:jc w:val="center"/>
              <w:rPr>
                <w:b/>
              </w:rPr>
            </w:pPr>
            <w:r w:rsidRPr="008772B0">
              <w:rPr>
                <w:b/>
              </w:rPr>
              <w:t>Median CoV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149B90E" w14:textId="6803B2D6" w:rsidR="00A37FFC" w:rsidRPr="008772B0" w:rsidRDefault="004F6415" w:rsidP="00DE1A5C">
            <w:pPr>
              <w:jc w:val="center"/>
              <w:rPr>
                <w:b/>
              </w:rPr>
            </w:pPr>
            <w:r w:rsidRPr="008772B0">
              <w:rPr>
                <w:b/>
              </w:rPr>
              <w:t>Median Var</w:t>
            </w:r>
          </w:p>
        </w:tc>
      </w:tr>
      <w:tr w:rsidR="00A37FFC" w:rsidRPr="008772B0" w14:paraId="3196FE2D" w14:textId="444D217B" w:rsidTr="00FD542B">
        <w:trPr>
          <w:jc w:val="center"/>
        </w:trPr>
        <w:tc>
          <w:tcPr>
            <w:tcW w:w="1696" w:type="dxa"/>
          </w:tcPr>
          <w:p w14:paraId="03684462" w14:textId="77777777" w:rsidR="00A37FFC" w:rsidRPr="008772B0" w:rsidRDefault="00A37FFC" w:rsidP="00DE1A5C">
            <w:pPr>
              <w:jc w:val="center"/>
            </w:pPr>
            <w:r w:rsidRPr="008772B0">
              <w:t>HR1</w:t>
            </w:r>
          </w:p>
        </w:tc>
        <w:tc>
          <w:tcPr>
            <w:tcW w:w="851" w:type="dxa"/>
          </w:tcPr>
          <w:p w14:paraId="521425D6" w14:textId="310E86D5" w:rsidR="00A37FFC" w:rsidRPr="008772B0" w:rsidRDefault="00183EE2" w:rsidP="00DE1A5C">
            <w:pPr>
              <w:jc w:val="center"/>
            </w:pPr>
            <w:r w:rsidRPr="008772B0">
              <w:t>187</w:t>
            </w:r>
          </w:p>
        </w:tc>
        <w:tc>
          <w:tcPr>
            <w:tcW w:w="709" w:type="dxa"/>
          </w:tcPr>
          <w:p w14:paraId="14BFEC0A" w14:textId="4567668D" w:rsidR="00A37FFC" w:rsidRPr="008772B0" w:rsidRDefault="00183EE2" w:rsidP="00DE1A5C">
            <w:pPr>
              <w:jc w:val="center"/>
            </w:pPr>
            <w:r w:rsidRPr="008772B0">
              <w:t>126</w:t>
            </w:r>
          </w:p>
        </w:tc>
        <w:tc>
          <w:tcPr>
            <w:tcW w:w="708" w:type="dxa"/>
          </w:tcPr>
          <w:p w14:paraId="1E49EDB8" w14:textId="6009D449" w:rsidR="00A37FFC" w:rsidRPr="008772B0" w:rsidRDefault="00183EE2" w:rsidP="00DE1A5C">
            <w:pPr>
              <w:jc w:val="center"/>
            </w:pPr>
            <w:r w:rsidRPr="008772B0">
              <w:t>246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5317F18" w14:textId="6D062CC0" w:rsidR="00A37FFC" w:rsidRPr="008772B0" w:rsidRDefault="00183EE2" w:rsidP="00DE1A5C">
            <w:pPr>
              <w:jc w:val="center"/>
            </w:pPr>
            <w:r w:rsidRPr="008772B0">
              <w:t>23.6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BEA1F2" w14:textId="77777777" w:rsidR="00A37FFC" w:rsidRPr="008772B0" w:rsidRDefault="00A37FFC" w:rsidP="00DE1A5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0A4BE4" w14:textId="77777777" w:rsidR="00A37FFC" w:rsidRPr="008772B0" w:rsidRDefault="00A37FFC" w:rsidP="00DE1A5C">
            <w:pPr>
              <w:jc w:val="center"/>
            </w:pPr>
          </w:p>
        </w:tc>
      </w:tr>
      <w:tr w:rsidR="00A37FFC" w:rsidRPr="008772B0" w14:paraId="2CB2F320" w14:textId="4C0E4C5C" w:rsidTr="00FD542B">
        <w:trPr>
          <w:jc w:val="center"/>
        </w:trPr>
        <w:tc>
          <w:tcPr>
            <w:tcW w:w="1696" w:type="dxa"/>
          </w:tcPr>
          <w:p w14:paraId="08A1D31A" w14:textId="77777777" w:rsidR="00A37FFC" w:rsidRPr="008772B0" w:rsidRDefault="00A37FFC" w:rsidP="00DE1A5C">
            <w:pPr>
              <w:jc w:val="center"/>
            </w:pPr>
            <w:r w:rsidRPr="008772B0">
              <w:t>HR2</w:t>
            </w:r>
          </w:p>
        </w:tc>
        <w:tc>
          <w:tcPr>
            <w:tcW w:w="851" w:type="dxa"/>
          </w:tcPr>
          <w:p w14:paraId="432C3C40" w14:textId="2EC99239" w:rsidR="00A37FFC" w:rsidRPr="008772B0" w:rsidRDefault="00183EE2" w:rsidP="00DE1A5C">
            <w:pPr>
              <w:jc w:val="center"/>
            </w:pPr>
            <w:r w:rsidRPr="008772B0">
              <w:t>176</w:t>
            </w:r>
          </w:p>
        </w:tc>
        <w:tc>
          <w:tcPr>
            <w:tcW w:w="709" w:type="dxa"/>
          </w:tcPr>
          <w:p w14:paraId="705DB487" w14:textId="55459141" w:rsidR="00A37FFC" w:rsidRPr="008772B0" w:rsidRDefault="00183EE2" w:rsidP="00DE1A5C">
            <w:pPr>
              <w:jc w:val="center"/>
            </w:pPr>
            <w:r w:rsidRPr="008772B0">
              <w:t>104</w:t>
            </w:r>
          </w:p>
        </w:tc>
        <w:tc>
          <w:tcPr>
            <w:tcW w:w="708" w:type="dxa"/>
          </w:tcPr>
          <w:p w14:paraId="13E3395E" w14:textId="67159731" w:rsidR="00A37FFC" w:rsidRPr="008772B0" w:rsidRDefault="00183EE2" w:rsidP="00DE1A5C">
            <w:pPr>
              <w:jc w:val="center"/>
            </w:pPr>
            <w:r w:rsidRPr="008772B0">
              <w:t>192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F1C83F3" w14:textId="411CAC6A" w:rsidR="00A37FFC" w:rsidRPr="008772B0" w:rsidRDefault="00183EE2" w:rsidP="00DE1A5C">
            <w:pPr>
              <w:jc w:val="center"/>
            </w:pPr>
            <w:r w:rsidRPr="008772B0">
              <w:t>27.4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BFD602" w14:textId="1D041A81" w:rsidR="00A37FFC" w:rsidRPr="008772B0" w:rsidRDefault="004C1E01" w:rsidP="00DE1A5C">
            <w:pPr>
              <w:jc w:val="center"/>
            </w:pPr>
            <w:r w:rsidRPr="008772B0">
              <w:t>7.4 (IQR 3.6-8.9)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9439CA" w14:textId="60F0DD08" w:rsidR="00A37FFC" w:rsidRPr="008772B0" w:rsidRDefault="004C1E01" w:rsidP="00CB479D">
            <w:pPr>
              <w:jc w:val="center"/>
            </w:pPr>
            <w:r w:rsidRPr="008772B0">
              <w:t>165</w:t>
            </w:r>
            <w:r w:rsidR="00CB479D" w:rsidRPr="008772B0">
              <w:t xml:space="preserve">  (IQR </w:t>
            </w:r>
            <w:r w:rsidRPr="008772B0">
              <w:t>84-48</w:t>
            </w:r>
            <w:r w:rsidR="00CB479D" w:rsidRPr="008772B0">
              <w:t>3)</w:t>
            </w:r>
          </w:p>
        </w:tc>
      </w:tr>
      <w:tr w:rsidR="00A37FFC" w:rsidRPr="008772B0" w14:paraId="3E516BE5" w14:textId="6079E873" w:rsidTr="0094171B">
        <w:trPr>
          <w:jc w:val="center"/>
        </w:trPr>
        <w:tc>
          <w:tcPr>
            <w:tcW w:w="1696" w:type="dxa"/>
            <w:tcBorders>
              <w:bottom w:val="single" w:sz="4" w:space="0" w:color="auto"/>
            </w:tcBorders>
          </w:tcPr>
          <w:p w14:paraId="6825CA98" w14:textId="77777777" w:rsidR="00A37FFC" w:rsidRPr="008772B0" w:rsidRDefault="00A37FFC" w:rsidP="00DE1A5C">
            <w:pPr>
              <w:jc w:val="center"/>
            </w:pPr>
            <w:r w:rsidRPr="008772B0">
              <w:t>HR3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CDA1D5C" w14:textId="3009B25A" w:rsidR="00A37FFC" w:rsidRPr="008772B0" w:rsidRDefault="00183EE2" w:rsidP="00DE1A5C">
            <w:pPr>
              <w:jc w:val="center"/>
            </w:pPr>
            <w:r w:rsidRPr="008772B0">
              <w:t>179.8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6FF3647" w14:textId="5C343BF4" w:rsidR="00A37FFC" w:rsidRPr="008772B0" w:rsidRDefault="00183EE2" w:rsidP="00DE1A5C">
            <w:pPr>
              <w:jc w:val="center"/>
            </w:pPr>
            <w:r w:rsidRPr="008772B0">
              <w:t>130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D732176" w14:textId="5169E59F" w:rsidR="00A37FFC" w:rsidRPr="008772B0" w:rsidRDefault="00183EE2" w:rsidP="00DE1A5C">
            <w:pPr>
              <w:jc w:val="center"/>
            </w:pPr>
            <w:r w:rsidRPr="008772B0">
              <w:t>198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14:paraId="04D78A0E" w14:textId="744EFE37" w:rsidR="00A37FFC" w:rsidRPr="008772B0" w:rsidRDefault="00183EE2" w:rsidP="00DE1A5C">
            <w:pPr>
              <w:jc w:val="center"/>
            </w:pPr>
            <w:r w:rsidRPr="008772B0">
              <w:t>25.1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EB45" w14:textId="77777777" w:rsidR="00A37FFC" w:rsidRPr="008772B0" w:rsidRDefault="00A37FFC" w:rsidP="00DE1A5C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7D76" w14:textId="77777777" w:rsidR="00A37FFC" w:rsidRPr="008772B0" w:rsidRDefault="00A37FFC" w:rsidP="00DE1A5C">
            <w:pPr>
              <w:jc w:val="center"/>
            </w:pPr>
          </w:p>
        </w:tc>
      </w:tr>
      <w:tr w:rsidR="00A37FFC" w:rsidRPr="008772B0" w14:paraId="40563277" w14:textId="48F4F11B" w:rsidTr="0094171B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6A9F40" w14:textId="56C90E66" w:rsidR="00A37FFC" w:rsidRPr="008772B0" w:rsidRDefault="00A37FFC" w:rsidP="00DE1A5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6C3DAE" w14:textId="77777777" w:rsidR="00A37FFC" w:rsidRPr="008772B0" w:rsidRDefault="00A37FFC" w:rsidP="00DE1A5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871778" w14:textId="77777777" w:rsidR="00A37FFC" w:rsidRPr="008772B0" w:rsidRDefault="00A37FFC" w:rsidP="00DE1A5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9C5FF0" w14:textId="77777777" w:rsidR="00A37FFC" w:rsidRPr="008772B0" w:rsidRDefault="00A37FFC" w:rsidP="00DE1A5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195214" w14:textId="77777777" w:rsidR="00A37FFC" w:rsidRPr="008772B0" w:rsidRDefault="00A37FFC" w:rsidP="00DE1A5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620B7B" w14:textId="77777777" w:rsidR="00A37FFC" w:rsidRPr="008772B0" w:rsidRDefault="00A37FFC" w:rsidP="00DE1A5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D27F75" w14:textId="77777777" w:rsidR="00A37FFC" w:rsidRPr="008772B0" w:rsidRDefault="00A37FFC" w:rsidP="00DE1A5C">
            <w:pPr>
              <w:jc w:val="center"/>
            </w:pPr>
          </w:p>
        </w:tc>
      </w:tr>
      <w:tr w:rsidR="00A37FFC" w:rsidRPr="008772B0" w14:paraId="5D0A5300" w14:textId="6170A5DC" w:rsidTr="0094171B">
        <w:trPr>
          <w:jc w:val="center"/>
        </w:trPr>
        <w:tc>
          <w:tcPr>
            <w:tcW w:w="1696" w:type="dxa"/>
            <w:tcBorders>
              <w:top w:val="single" w:sz="4" w:space="0" w:color="auto"/>
            </w:tcBorders>
          </w:tcPr>
          <w:p w14:paraId="0374E47C" w14:textId="4B635D40" w:rsidR="00A37FFC" w:rsidRPr="008772B0" w:rsidRDefault="00A37FFC" w:rsidP="00183EE2">
            <w:pPr>
              <w:jc w:val="center"/>
              <w:rPr>
                <w:b/>
              </w:rPr>
            </w:pPr>
            <w:r w:rsidRPr="008772B0">
              <w:rPr>
                <w:b/>
              </w:rPr>
              <w:t>‘</w:t>
            </w:r>
            <w:r w:rsidR="00183EE2" w:rsidRPr="008772B0">
              <w:rPr>
                <w:b/>
              </w:rPr>
              <w:t>Cats with a murmur’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66E2CDC" w14:textId="574BD393" w:rsidR="00A37FFC" w:rsidRPr="008772B0" w:rsidRDefault="00A37FFC" w:rsidP="00DE1A5C">
            <w:pPr>
              <w:jc w:val="center"/>
              <w:rPr>
                <w:b/>
              </w:rPr>
            </w:pPr>
            <w:r w:rsidRPr="008772B0">
              <w:rPr>
                <w:b/>
              </w:rPr>
              <w:t>Mean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BBBB629" w14:textId="2D835F5A" w:rsidR="00A37FFC" w:rsidRPr="008772B0" w:rsidRDefault="00A37FFC" w:rsidP="00DE1A5C">
            <w:pPr>
              <w:jc w:val="center"/>
              <w:rPr>
                <w:b/>
              </w:rPr>
            </w:pPr>
            <w:r w:rsidRPr="008772B0">
              <w:rPr>
                <w:b/>
              </w:rPr>
              <w:t>Min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2B480C40" w14:textId="77777777" w:rsidR="00A37FFC" w:rsidRPr="008772B0" w:rsidRDefault="00A37FFC" w:rsidP="00DE1A5C">
            <w:pPr>
              <w:jc w:val="center"/>
              <w:rPr>
                <w:b/>
              </w:rPr>
            </w:pPr>
            <w:r w:rsidRPr="008772B0">
              <w:rPr>
                <w:b/>
              </w:rPr>
              <w:t>Max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60AC66D" w14:textId="33DFC45D" w:rsidR="00A37FFC" w:rsidRPr="008772B0" w:rsidRDefault="00A37FFC" w:rsidP="00DE1A5C">
            <w:pPr>
              <w:jc w:val="center"/>
              <w:rPr>
                <w:b/>
              </w:rPr>
            </w:pPr>
            <w:r w:rsidRPr="008772B0">
              <w:rPr>
                <w:b/>
              </w:rPr>
              <w:t>SD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F21A524" w14:textId="3F375C54" w:rsidR="00A37FFC" w:rsidRPr="008772B0" w:rsidRDefault="00A37FFC" w:rsidP="00DE1A5C">
            <w:pPr>
              <w:jc w:val="center"/>
              <w:rPr>
                <w:b/>
              </w:rPr>
            </w:pPr>
            <w:r w:rsidRPr="008772B0">
              <w:rPr>
                <w:b/>
              </w:rPr>
              <w:t>Median CoV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997DA97" w14:textId="5B3EB911" w:rsidR="00A37FFC" w:rsidRPr="008772B0" w:rsidRDefault="004F6415" w:rsidP="004F6415">
            <w:pPr>
              <w:jc w:val="center"/>
              <w:rPr>
                <w:b/>
              </w:rPr>
            </w:pPr>
            <w:r w:rsidRPr="008772B0">
              <w:rPr>
                <w:b/>
              </w:rPr>
              <w:t>Median Var</w:t>
            </w:r>
          </w:p>
        </w:tc>
      </w:tr>
      <w:tr w:rsidR="00183EE2" w:rsidRPr="008772B0" w14:paraId="496F51B7" w14:textId="11A99B64" w:rsidTr="00FD542B">
        <w:trPr>
          <w:jc w:val="center"/>
        </w:trPr>
        <w:tc>
          <w:tcPr>
            <w:tcW w:w="1696" w:type="dxa"/>
          </w:tcPr>
          <w:p w14:paraId="701F1FA2" w14:textId="77777777" w:rsidR="00183EE2" w:rsidRPr="008772B0" w:rsidRDefault="00183EE2" w:rsidP="00183EE2">
            <w:pPr>
              <w:jc w:val="center"/>
            </w:pPr>
            <w:r w:rsidRPr="008772B0">
              <w:t>HR1</w:t>
            </w:r>
          </w:p>
        </w:tc>
        <w:tc>
          <w:tcPr>
            <w:tcW w:w="851" w:type="dxa"/>
          </w:tcPr>
          <w:p w14:paraId="750D749F" w14:textId="2A147F70" w:rsidR="00183EE2" w:rsidRPr="008772B0" w:rsidRDefault="00183EE2" w:rsidP="00183EE2">
            <w:pPr>
              <w:jc w:val="center"/>
            </w:pPr>
            <w:r w:rsidRPr="008772B0">
              <w:t>188.6</w:t>
            </w:r>
          </w:p>
        </w:tc>
        <w:tc>
          <w:tcPr>
            <w:tcW w:w="709" w:type="dxa"/>
          </w:tcPr>
          <w:p w14:paraId="203FF1D2" w14:textId="482D5951" w:rsidR="00183EE2" w:rsidRPr="008772B0" w:rsidRDefault="00183EE2" w:rsidP="00183EE2">
            <w:pPr>
              <w:jc w:val="center"/>
            </w:pPr>
            <w:r w:rsidRPr="008772B0">
              <w:t>150</w:t>
            </w:r>
          </w:p>
        </w:tc>
        <w:tc>
          <w:tcPr>
            <w:tcW w:w="708" w:type="dxa"/>
          </w:tcPr>
          <w:p w14:paraId="502CDB15" w14:textId="37F73622" w:rsidR="00183EE2" w:rsidRPr="008772B0" w:rsidRDefault="00183EE2" w:rsidP="00183EE2">
            <w:pPr>
              <w:jc w:val="center"/>
            </w:pPr>
            <w:r w:rsidRPr="008772B0">
              <w:t>246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3DD8DA4" w14:textId="28CA1F9B" w:rsidR="00183EE2" w:rsidRPr="008772B0" w:rsidRDefault="00183EE2" w:rsidP="00183EE2">
            <w:pPr>
              <w:jc w:val="center"/>
            </w:pPr>
            <w:r w:rsidRPr="008772B0">
              <w:t>19.1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289A8C" w14:textId="77777777" w:rsidR="00183EE2" w:rsidRPr="008772B0" w:rsidRDefault="00183EE2" w:rsidP="00183EE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BAF836" w14:textId="77777777" w:rsidR="00183EE2" w:rsidRPr="008772B0" w:rsidRDefault="00183EE2" w:rsidP="00183EE2">
            <w:pPr>
              <w:jc w:val="center"/>
            </w:pPr>
          </w:p>
        </w:tc>
      </w:tr>
      <w:tr w:rsidR="00183EE2" w:rsidRPr="008772B0" w14:paraId="69169434" w14:textId="49D101E3" w:rsidTr="00FD542B">
        <w:trPr>
          <w:jc w:val="center"/>
        </w:trPr>
        <w:tc>
          <w:tcPr>
            <w:tcW w:w="1696" w:type="dxa"/>
          </w:tcPr>
          <w:p w14:paraId="4E9EA59B" w14:textId="77777777" w:rsidR="00183EE2" w:rsidRPr="008772B0" w:rsidRDefault="00183EE2" w:rsidP="00183EE2">
            <w:pPr>
              <w:jc w:val="center"/>
            </w:pPr>
            <w:r w:rsidRPr="008772B0">
              <w:t>HR2</w:t>
            </w:r>
          </w:p>
        </w:tc>
        <w:tc>
          <w:tcPr>
            <w:tcW w:w="851" w:type="dxa"/>
          </w:tcPr>
          <w:p w14:paraId="37441A21" w14:textId="55ADD9CE" w:rsidR="00183EE2" w:rsidRPr="008772B0" w:rsidRDefault="00183EE2" w:rsidP="00183EE2">
            <w:pPr>
              <w:jc w:val="center"/>
            </w:pPr>
            <w:r w:rsidRPr="008772B0">
              <w:t>181.8</w:t>
            </w:r>
          </w:p>
        </w:tc>
        <w:tc>
          <w:tcPr>
            <w:tcW w:w="709" w:type="dxa"/>
          </w:tcPr>
          <w:p w14:paraId="4AAB3044" w14:textId="7C2701DD" w:rsidR="00183EE2" w:rsidRPr="008772B0" w:rsidRDefault="00183EE2" w:rsidP="00183EE2">
            <w:pPr>
              <w:jc w:val="center"/>
            </w:pPr>
            <w:r w:rsidRPr="008772B0">
              <w:t>130</w:t>
            </w:r>
          </w:p>
        </w:tc>
        <w:tc>
          <w:tcPr>
            <w:tcW w:w="708" w:type="dxa"/>
          </w:tcPr>
          <w:p w14:paraId="24677719" w14:textId="564A17D5" w:rsidR="00183EE2" w:rsidRPr="008772B0" w:rsidRDefault="00183EE2" w:rsidP="00183EE2">
            <w:pPr>
              <w:jc w:val="center"/>
            </w:pPr>
            <w:r w:rsidRPr="008772B0">
              <w:t>240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050BE1E" w14:textId="3779D1EF" w:rsidR="00183EE2" w:rsidRPr="008772B0" w:rsidRDefault="00183EE2" w:rsidP="00183EE2">
            <w:pPr>
              <w:jc w:val="center"/>
            </w:pPr>
            <w:r w:rsidRPr="008772B0">
              <w:t>23.4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70E7B5" w14:textId="5FDE34C1" w:rsidR="00183EE2" w:rsidRPr="008772B0" w:rsidRDefault="004C1E01" w:rsidP="00183EE2">
            <w:pPr>
              <w:jc w:val="center"/>
            </w:pPr>
            <w:r w:rsidRPr="008772B0">
              <w:t>6.5 (IQR 5-12.6)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424C3C" w14:textId="44B9C377" w:rsidR="00183EE2" w:rsidRPr="008772B0" w:rsidRDefault="004C1E01" w:rsidP="00183EE2">
            <w:pPr>
              <w:jc w:val="center"/>
            </w:pPr>
            <w:r w:rsidRPr="008772B0">
              <w:t>138 (IQR 48-259</w:t>
            </w:r>
            <w:r w:rsidR="00183EE2" w:rsidRPr="008772B0">
              <w:t>)</w:t>
            </w:r>
          </w:p>
        </w:tc>
      </w:tr>
      <w:tr w:rsidR="00183EE2" w:rsidRPr="008772B0" w14:paraId="3FE10923" w14:textId="747393C7" w:rsidTr="00FD542B">
        <w:trPr>
          <w:jc w:val="center"/>
        </w:trPr>
        <w:tc>
          <w:tcPr>
            <w:tcW w:w="1696" w:type="dxa"/>
          </w:tcPr>
          <w:p w14:paraId="224075FE" w14:textId="77777777" w:rsidR="00183EE2" w:rsidRPr="008772B0" w:rsidRDefault="00183EE2" w:rsidP="00183EE2">
            <w:pPr>
              <w:jc w:val="center"/>
            </w:pPr>
            <w:r w:rsidRPr="008772B0">
              <w:t>HR3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DFB68B8" w14:textId="3CA98B69" w:rsidR="00183EE2" w:rsidRPr="008772B0" w:rsidRDefault="00183EE2" w:rsidP="00183EE2">
            <w:pPr>
              <w:jc w:val="center"/>
            </w:pPr>
            <w:r w:rsidRPr="008772B0">
              <w:t>181.9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0ED0D58" w14:textId="35784D52" w:rsidR="00183EE2" w:rsidRPr="008772B0" w:rsidRDefault="00183EE2" w:rsidP="00183EE2">
            <w:pPr>
              <w:jc w:val="center"/>
            </w:pPr>
            <w:r w:rsidRPr="008772B0">
              <w:t>140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125D325" w14:textId="6E61572D" w:rsidR="00183EE2" w:rsidRPr="008772B0" w:rsidRDefault="00183EE2" w:rsidP="00183EE2">
            <w:pPr>
              <w:jc w:val="center"/>
            </w:pPr>
            <w:r w:rsidRPr="008772B0">
              <w:t>192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321F4AE" w14:textId="389A39E7" w:rsidR="00183EE2" w:rsidRPr="008772B0" w:rsidRDefault="00183EE2" w:rsidP="00183EE2">
            <w:pPr>
              <w:jc w:val="center"/>
            </w:pPr>
            <w:r w:rsidRPr="008772B0">
              <w:t>18.3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9654" w14:textId="77777777" w:rsidR="00183EE2" w:rsidRPr="008772B0" w:rsidRDefault="00183EE2" w:rsidP="00183EE2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2E69" w14:textId="77777777" w:rsidR="00183EE2" w:rsidRPr="008772B0" w:rsidRDefault="00183EE2" w:rsidP="00183EE2">
            <w:pPr>
              <w:jc w:val="center"/>
            </w:pPr>
          </w:p>
        </w:tc>
      </w:tr>
    </w:tbl>
    <w:p w14:paraId="63180F9D" w14:textId="77777777" w:rsidR="0024520E" w:rsidRDefault="0024520E" w:rsidP="00204D8D">
      <w:pPr>
        <w:spacing w:line="240" w:lineRule="auto"/>
        <w:contextualSpacing/>
        <w:rPr>
          <w:rFonts w:ascii="Times New Roman" w:hAnsi="Times New Roman" w:cs="Times New Roman"/>
          <w:color w:val="000000" w:themeColor="text1"/>
        </w:rPr>
      </w:pPr>
    </w:p>
    <w:p w14:paraId="2298B777" w14:textId="2C618A87" w:rsidR="00796820" w:rsidRDefault="00796820" w:rsidP="00204D8D">
      <w:pPr>
        <w:spacing w:line="240" w:lineRule="auto"/>
        <w:contextualSpacing/>
        <w:rPr>
          <w:rFonts w:ascii="Times New Roman" w:hAnsi="Times New Roman" w:cs="Times New Roman"/>
          <w:color w:val="000000" w:themeColor="text1"/>
        </w:rPr>
      </w:pPr>
    </w:p>
    <w:p w14:paraId="442146CB" w14:textId="4BA5C232" w:rsidR="00E21686" w:rsidRDefault="00E21686" w:rsidP="00204D8D">
      <w:pPr>
        <w:spacing w:line="240" w:lineRule="auto"/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14:paraId="5B5D49F1" w14:textId="79657FB7" w:rsidR="00E21686" w:rsidRDefault="00E21686" w:rsidP="00204D8D">
      <w:pPr>
        <w:spacing w:line="240" w:lineRule="auto"/>
        <w:contextualSpacing/>
        <w:rPr>
          <w:rFonts w:ascii="Times New Roman" w:hAnsi="Times New Roman" w:cs="Times New Roman"/>
          <w:color w:val="000000" w:themeColor="text1"/>
        </w:rPr>
      </w:pPr>
    </w:p>
    <w:p w14:paraId="45E191A2" w14:textId="4219B05A" w:rsidR="00FC67FA" w:rsidRDefault="00FC67FA" w:rsidP="00204D8D">
      <w:pPr>
        <w:spacing w:line="240" w:lineRule="auto"/>
        <w:contextualSpacing/>
        <w:rPr>
          <w:rFonts w:ascii="Times New Roman" w:hAnsi="Times New Roman" w:cs="Times New Roman"/>
          <w:color w:val="000000" w:themeColor="text1"/>
        </w:rPr>
      </w:pPr>
    </w:p>
    <w:p w14:paraId="5E060F48" w14:textId="01CC84AE" w:rsidR="00FC67FA" w:rsidRPr="00B815FB" w:rsidRDefault="00FC67FA" w:rsidP="00204D8D">
      <w:pPr>
        <w:spacing w:line="240" w:lineRule="auto"/>
        <w:contextualSpacing/>
        <w:rPr>
          <w:rFonts w:ascii="Times New Roman" w:hAnsi="Times New Roman" w:cs="Times New Roman"/>
          <w:color w:val="000000" w:themeColor="text1"/>
        </w:rPr>
      </w:pPr>
    </w:p>
    <w:sectPr w:rsidR="00FC67FA" w:rsidRPr="00B815FB" w:rsidSect="008772B0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7EA3F12" w16cid:durableId="21D27858"/>
  <w16cid:commentId w16cid:paraId="0B1DBD9F" w16cid:durableId="21D27878"/>
  <w16cid:commentId w16cid:paraId="797CBAD2" w16cid:durableId="21D2794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34C"/>
    <w:rsid w:val="00001AD6"/>
    <w:rsid w:val="00021A43"/>
    <w:rsid w:val="000808B7"/>
    <w:rsid w:val="00096708"/>
    <w:rsid w:val="00096D55"/>
    <w:rsid w:val="000B2C2B"/>
    <w:rsid w:val="000D1A45"/>
    <w:rsid w:val="001156DE"/>
    <w:rsid w:val="00115D58"/>
    <w:rsid w:val="00183EE2"/>
    <w:rsid w:val="001A6E9F"/>
    <w:rsid w:val="001B69E0"/>
    <w:rsid w:val="001E1A24"/>
    <w:rsid w:val="00204D8D"/>
    <w:rsid w:val="0024520E"/>
    <w:rsid w:val="002474B2"/>
    <w:rsid w:val="0027125F"/>
    <w:rsid w:val="002C0389"/>
    <w:rsid w:val="002C7D43"/>
    <w:rsid w:val="00316624"/>
    <w:rsid w:val="003A1AC7"/>
    <w:rsid w:val="003A237F"/>
    <w:rsid w:val="003B47B1"/>
    <w:rsid w:val="003E7C75"/>
    <w:rsid w:val="00435693"/>
    <w:rsid w:val="00460409"/>
    <w:rsid w:val="004632E4"/>
    <w:rsid w:val="0048039A"/>
    <w:rsid w:val="00481EA5"/>
    <w:rsid w:val="004B192F"/>
    <w:rsid w:val="004C1E01"/>
    <w:rsid w:val="004E5E46"/>
    <w:rsid w:val="004F6415"/>
    <w:rsid w:val="0051794B"/>
    <w:rsid w:val="00520114"/>
    <w:rsid w:val="0054535B"/>
    <w:rsid w:val="00545C18"/>
    <w:rsid w:val="005571C3"/>
    <w:rsid w:val="0057789F"/>
    <w:rsid w:val="00587EEB"/>
    <w:rsid w:val="005A1CCE"/>
    <w:rsid w:val="005E6ADB"/>
    <w:rsid w:val="00601D22"/>
    <w:rsid w:val="00631466"/>
    <w:rsid w:val="006349E3"/>
    <w:rsid w:val="00681E87"/>
    <w:rsid w:val="0069624F"/>
    <w:rsid w:val="006B69E7"/>
    <w:rsid w:val="006C5EE8"/>
    <w:rsid w:val="006C793C"/>
    <w:rsid w:val="007018B5"/>
    <w:rsid w:val="00750867"/>
    <w:rsid w:val="00791228"/>
    <w:rsid w:val="00796820"/>
    <w:rsid w:val="007D09F0"/>
    <w:rsid w:val="00844626"/>
    <w:rsid w:val="00854D6A"/>
    <w:rsid w:val="008772B0"/>
    <w:rsid w:val="00887948"/>
    <w:rsid w:val="00890D50"/>
    <w:rsid w:val="008A782A"/>
    <w:rsid w:val="008D02B7"/>
    <w:rsid w:val="00907F84"/>
    <w:rsid w:val="0094171B"/>
    <w:rsid w:val="00980E23"/>
    <w:rsid w:val="009B123A"/>
    <w:rsid w:val="009B56B9"/>
    <w:rsid w:val="009C1BB2"/>
    <w:rsid w:val="009D3CCD"/>
    <w:rsid w:val="009E0884"/>
    <w:rsid w:val="009E5571"/>
    <w:rsid w:val="00A201B9"/>
    <w:rsid w:val="00A37FFC"/>
    <w:rsid w:val="00A45E11"/>
    <w:rsid w:val="00A637A7"/>
    <w:rsid w:val="00A72BEF"/>
    <w:rsid w:val="00AC050A"/>
    <w:rsid w:val="00B46845"/>
    <w:rsid w:val="00B73989"/>
    <w:rsid w:val="00B815FB"/>
    <w:rsid w:val="00BA1F8C"/>
    <w:rsid w:val="00BD2B79"/>
    <w:rsid w:val="00BD761F"/>
    <w:rsid w:val="00C12E26"/>
    <w:rsid w:val="00C95179"/>
    <w:rsid w:val="00CB479D"/>
    <w:rsid w:val="00CF02BE"/>
    <w:rsid w:val="00CF55F5"/>
    <w:rsid w:val="00D32108"/>
    <w:rsid w:val="00D513EC"/>
    <w:rsid w:val="00D541BB"/>
    <w:rsid w:val="00D856B9"/>
    <w:rsid w:val="00D91F75"/>
    <w:rsid w:val="00DB44F9"/>
    <w:rsid w:val="00DE1A5C"/>
    <w:rsid w:val="00E21686"/>
    <w:rsid w:val="00EE434C"/>
    <w:rsid w:val="00EF0EB0"/>
    <w:rsid w:val="00EF2059"/>
    <w:rsid w:val="00F01BB6"/>
    <w:rsid w:val="00F2010A"/>
    <w:rsid w:val="00F67FED"/>
    <w:rsid w:val="00FA4F17"/>
    <w:rsid w:val="00FC1A23"/>
    <w:rsid w:val="00FC5632"/>
    <w:rsid w:val="00FC67FA"/>
    <w:rsid w:val="00FD063B"/>
    <w:rsid w:val="00FD32D9"/>
    <w:rsid w:val="00FD542B"/>
    <w:rsid w:val="00FE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8C475"/>
  <w15:chartTrackingRefBased/>
  <w15:docId w15:val="{6B39D743-6EE5-44A8-A4AC-4ED5691B4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4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D513E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9670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70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70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70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7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70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708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A201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58B3F-3BBF-4B6D-AF3C-CB26CF948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2833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3324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Dowgray, Nathalie</dc:creator>
  <cp:keywords/>
  <dc:description/>
  <cp:lastModifiedBy>Dowgray, Nathalie</cp:lastModifiedBy>
  <cp:revision>2</cp:revision>
  <dcterms:created xsi:type="dcterms:W3CDTF">2020-01-22T12:57:00Z</dcterms:created>
  <dcterms:modified xsi:type="dcterms:W3CDTF">2020-01-22T12:57:00Z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16th edition (author-date)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(author-date)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7th edition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acb1a59f-153f-32e1-86c7-dca986163a49</vt:lpwstr>
  </property>
  <property fmtid="{D5CDD505-2E9C-101B-9397-08002B2CF9AE}" pid="24" name="Mendeley Citation Style_1">
    <vt:lpwstr>http://www.zotero.org/styles/american-medical-association</vt:lpwstr>
  </property>
</Properties>
</file>