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1FF7" w14:textId="6C4A9098" w:rsidR="00B24B71" w:rsidRPr="00A567F2" w:rsidRDefault="00B24B71" w:rsidP="00B24B71">
      <w:pPr>
        <w:spacing w:line="480" w:lineRule="auto"/>
        <w:rPr>
          <w:rFonts w:ascii="Times" w:hAnsi="Times"/>
          <w:b/>
          <w:bCs/>
          <w:color w:val="000000" w:themeColor="text1"/>
        </w:rPr>
      </w:pPr>
    </w:p>
    <w:p w14:paraId="1CE9D02F" w14:textId="77777777" w:rsidR="00B24B71" w:rsidRPr="00A567F2" w:rsidRDefault="00B24B71" w:rsidP="00B24B71">
      <w:pPr>
        <w:spacing w:line="480" w:lineRule="auto"/>
        <w:rPr>
          <w:rFonts w:ascii="Times" w:hAnsi="Times"/>
          <w:b/>
          <w:bCs/>
          <w:color w:val="000000" w:themeColor="text1"/>
        </w:rPr>
      </w:pPr>
    </w:p>
    <w:p w14:paraId="63699497" w14:textId="78667F70" w:rsidR="00B24B71" w:rsidRPr="00A567F2" w:rsidRDefault="00B24B71" w:rsidP="00064100">
      <w:pPr>
        <w:spacing w:line="480" w:lineRule="auto"/>
        <w:jc w:val="center"/>
        <w:rPr>
          <w:rFonts w:ascii="Times" w:hAnsi="Times"/>
          <w:b/>
          <w:bCs/>
          <w:i/>
          <w:iCs/>
          <w:color w:val="000000" w:themeColor="text1"/>
        </w:rPr>
      </w:pPr>
      <w:r w:rsidRPr="00A567F2">
        <w:rPr>
          <w:rFonts w:ascii="Times" w:hAnsi="Times"/>
          <w:b/>
          <w:bCs/>
          <w:i/>
          <w:iCs/>
          <w:color w:val="000000" w:themeColor="text1"/>
        </w:rPr>
        <w:t xml:space="preserve">Examining Cognitive Bias Modification interventions for reducing food value and choice: </w:t>
      </w:r>
      <w:r w:rsidR="007D4E32" w:rsidRPr="00A567F2">
        <w:rPr>
          <w:rFonts w:ascii="Times" w:hAnsi="Times"/>
          <w:b/>
          <w:bCs/>
          <w:i/>
          <w:iCs/>
          <w:color w:val="000000" w:themeColor="text1"/>
        </w:rPr>
        <w:t>T</w:t>
      </w:r>
      <w:r w:rsidRPr="00A567F2">
        <w:rPr>
          <w:rFonts w:ascii="Times" w:hAnsi="Times"/>
          <w:b/>
          <w:bCs/>
          <w:i/>
          <w:iCs/>
          <w:color w:val="000000" w:themeColor="text1"/>
        </w:rPr>
        <w:t>wo pre-registered, online studies.</w:t>
      </w:r>
    </w:p>
    <w:p w14:paraId="0DF734C0" w14:textId="77777777" w:rsidR="00FA45AA" w:rsidRPr="00A567F2" w:rsidRDefault="00FA45AA" w:rsidP="00B24B71">
      <w:pPr>
        <w:spacing w:line="480" w:lineRule="auto"/>
        <w:rPr>
          <w:rFonts w:ascii="Times" w:hAnsi="Times"/>
          <w:b/>
          <w:bCs/>
          <w:color w:val="000000" w:themeColor="text1"/>
        </w:rPr>
      </w:pPr>
    </w:p>
    <w:p w14:paraId="1ACE52F0" w14:textId="77777777" w:rsidR="001A4A00" w:rsidRPr="00A567F2" w:rsidRDefault="001A4A00" w:rsidP="00B24B71">
      <w:pPr>
        <w:spacing w:line="480" w:lineRule="auto"/>
        <w:rPr>
          <w:rFonts w:ascii="Times" w:hAnsi="Times"/>
          <w:b/>
          <w:bCs/>
          <w:color w:val="000000" w:themeColor="text1"/>
        </w:rPr>
      </w:pPr>
    </w:p>
    <w:p w14:paraId="2F2EF4B5" w14:textId="3FFC1AB5" w:rsidR="00B24B71" w:rsidRPr="00A567F2" w:rsidRDefault="00B24B71" w:rsidP="00B24B71">
      <w:pPr>
        <w:spacing w:line="480" w:lineRule="auto"/>
        <w:jc w:val="center"/>
        <w:rPr>
          <w:rFonts w:ascii="Times" w:hAnsi="Times"/>
          <w:color w:val="000000" w:themeColor="text1"/>
          <w:vertAlign w:val="superscript"/>
        </w:rPr>
      </w:pPr>
      <w:r w:rsidRPr="00A567F2">
        <w:rPr>
          <w:rFonts w:ascii="Times" w:hAnsi="Times"/>
          <w:color w:val="000000" w:themeColor="text1"/>
        </w:rPr>
        <w:t>Sarah Masterton</w:t>
      </w:r>
      <w:r w:rsidR="00B5704D" w:rsidRPr="00A567F2">
        <w:rPr>
          <w:rFonts w:ascii="Times" w:hAnsi="Times"/>
          <w:color w:val="000000" w:themeColor="text1"/>
          <w:vertAlign w:val="superscript"/>
        </w:rPr>
        <w:t>a</w:t>
      </w:r>
    </w:p>
    <w:p w14:paraId="24A2CBCD" w14:textId="28432918" w:rsidR="00B24B71" w:rsidRPr="00A567F2" w:rsidRDefault="00B24B71" w:rsidP="00B24B71">
      <w:pPr>
        <w:spacing w:line="480" w:lineRule="auto"/>
        <w:jc w:val="center"/>
        <w:rPr>
          <w:rFonts w:ascii="Times" w:hAnsi="Times"/>
          <w:color w:val="000000" w:themeColor="text1"/>
        </w:rPr>
      </w:pPr>
      <w:r w:rsidRPr="00A567F2">
        <w:rPr>
          <w:rFonts w:ascii="Times" w:hAnsi="Times"/>
          <w:color w:val="000000" w:themeColor="text1"/>
        </w:rPr>
        <w:t>Charlotte A. Hardman</w:t>
      </w:r>
      <w:r w:rsidR="00B5704D" w:rsidRPr="00A567F2">
        <w:rPr>
          <w:rFonts w:ascii="Times" w:hAnsi="Times"/>
          <w:color w:val="000000" w:themeColor="text1"/>
          <w:vertAlign w:val="superscript"/>
        </w:rPr>
        <w:t>a</w:t>
      </w:r>
    </w:p>
    <w:p w14:paraId="25666B6C" w14:textId="25DD6A9A" w:rsidR="00B24B71" w:rsidRPr="00A567F2" w:rsidRDefault="00B24B71" w:rsidP="00B24B71">
      <w:pPr>
        <w:spacing w:line="480" w:lineRule="auto"/>
        <w:jc w:val="center"/>
        <w:rPr>
          <w:rFonts w:ascii="Times" w:hAnsi="Times"/>
          <w:color w:val="000000" w:themeColor="text1"/>
        </w:rPr>
      </w:pPr>
      <w:r w:rsidRPr="00A567F2">
        <w:rPr>
          <w:rFonts w:ascii="Times" w:hAnsi="Times"/>
          <w:color w:val="000000" w:themeColor="text1"/>
        </w:rPr>
        <w:t>Jason C.G. Halford</w:t>
      </w:r>
      <w:r w:rsidR="00B5704D" w:rsidRPr="00A567F2">
        <w:rPr>
          <w:rFonts w:ascii="Times" w:hAnsi="Times"/>
          <w:color w:val="000000" w:themeColor="text1"/>
          <w:vertAlign w:val="superscript"/>
        </w:rPr>
        <w:t>b</w:t>
      </w:r>
    </w:p>
    <w:p w14:paraId="391F3AEC" w14:textId="13976E2B" w:rsidR="00B24B71" w:rsidRPr="00A567F2" w:rsidRDefault="00B24B71" w:rsidP="00B24B71">
      <w:pPr>
        <w:spacing w:line="480" w:lineRule="auto"/>
        <w:jc w:val="center"/>
        <w:rPr>
          <w:rFonts w:ascii="Times" w:hAnsi="Times"/>
          <w:color w:val="000000" w:themeColor="text1"/>
          <w:vertAlign w:val="superscript"/>
        </w:rPr>
      </w:pPr>
      <w:r w:rsidRPr="00A567F2">
        <w:rPr>
          <w:rFonts w:ascii="Times" w:hAnsi="Times"/>
          <w:color w:val="000000" w:themeColor="text1"/>
        </w:rPr>
        <w:t>Andrew Jones</w:t>
      </w:r>
      <w:r w:rsidR="00B5704D" w:rsidRPr="00A567F2">
        <w:rPr>
          <w:rFonts w:ascii="Times" w:hAnsi="Times"/>
          <w:color w:val="000000" w:themeColor="text1"/>
          <w:vertAlign w:val="superscript"/>
        </w:rPr>
        <w:t>a</w:t>
      </w:r>
    </w:p>
    <w:p w14:paraId="1F78D67C" w14:textId="77777777" w:rsidR="00944DE3" w:rsidRPr="00A567F2" w:rsidRDefault="00944DE3" w:rsidP="00B24B71">
      <w:pPr>
        <w:spacing w:line="480" w:lineRule="auto"/>
        <w:jc w:val="center"/>
        <w:rPr>
          <w:rFonts w:ascii="Times" w:hAnsi="Times"/>
          <w:color w:val="000000" w:themeColor="text1"/>
        </w:rPr>
      </w:pPr>
    </w:p>
    <w:p w14:paraId="26475C8C" w14:textId="77777777" w:rsidR="00117559" w:rsidRPr="00A567F2" w:rsidRDefault="00117559" w:rsidP="00B24B71">
      <w:pPr>
        <w:spacing w:line="480" w:lineRule="auto"/>
        <w:jc w:val="center"/>
        <w:rPr>
          <w:rFonts w:ascii="Times" w:hAnsi="Times"/>
          <w:color w:val="000000" w:themeColor="text1"/>
        </w:rPr>
      </w:pPr>
    </w:p>
    <w:p w14:paraId="1AB627C0" w14:textId="77777777" w:rsidR="00117559" w:rsidRPr="00A567F2" w:rsidRDefault="00117559" w:rsidP="00B24B71">
      <w:pPr>
        <w:spacing w:line="480" w:lineRule="auto"/>
        <w:jc w:val="center"/>
        <w:rPr>
          <w:rFonts w:ascii="Times" w:hAnsi="Times"/>
          <w:color w:val="000000" w:themeColor="text1"/>
        </w:rPr>
      </w:pPr>
    </w:p>
    <w:p w14:paraId="421364F7" w14:textId="3CF674A2" w:rsidR="009B4F86" w:rsidRPr="00A567F2" w:rsidRDefault="00944DE3" w:rsidP="009B4F86">
      <w:pPr>
        <w:pStyle w:val="ListParagraph"/>
        <w:numPr>
          <w:ilvl w:val="0"/>
          <w:numId w:val="2"/>
        </w:numPr>
        <w:spacing w:line="480" w:lineRule="auto"/>
        <w:rPr>
          <w:rFonts w:ascii="Times" w:hAnsi="Times"/>
          <w:color w:val="000000" w:themeColor="text1"/>
        </w:rPr>
      </w:pPr>
      <w:r w:rsidRPr="00A567F2">
        <w:rPr>
          <w:rFonts w:ascii="Times" w:hAnsi="Times"/>
          <w:color w:val="000000" w:themeColor="text1"/>
        </w:rPr>
        <w:t xml:space="preserve">Department of Psychology, University of Liverpool, </w:t>
      </w:r>
      <w:r w:rsidR="009B4F86" w:rsidRPr="00A567F2">
        <w:rPr>
          <w:rFonts w:ascii="Times" w:hAnsi="Times"/>
          <w:color w:val="000000" w:themeColor="text1"/>
        </w:rPr>
        <w:t>L69 7ZA, UK</w:t>
      </w:r>
    </w:p>
    <w:p w14:paraId="55E533C1" w14:textId="59DBE86B" w:rsidR="009B4F86" w:rsidRPr="00A567F2" w:rsidRDefault="00EA40F6" w:rsidP="009B4F86">
      <w:pPr>
        <w:pStyle w:val="ListParagraph"/>
        <w:numPr>
          <w:ilvl w:val="0"/>
          <w:numId w:val="2"/>
        </w:numPr>
        <w:spacing w:line="480" w:lineRule="auto"/>
        <w:rPr>
          <w:rFonts w:ascii="Times" w:hAnsi="Times"/>
          <w:color w:val="000000" w:themeColor="text1"/>
        </w:rPr>
      </w:pPr>
      <w:r w:rsidRPr="00A567F2">
        <w:rPr>
          <w:rFonts w:ascii="Times" w:hAnsi="Times"/>
          <w:color w:val="000000" w:themeColor="text1"/>
        </w:rPr>
        <w:t>School of Psychology, University of Leeds, LS2 9JT, UK</w:t>
      </w:r>
    </w:p>
    <w:p w14:paraId="723CC964" w14:textId="77777777" w:rsidR="00C13260" w:rsidRPr="00A567F2" w:rsidRDefault="00C13260" w:rsidP="00B24B71">
      <w:pPr>
        <w:spacing w:line="480" w:lineRule="auto"/>
        <w:jc w:val="center"/>
        <w:rPr>
          <w:rFonts w:ascii="Times" w:hAnsi="Times"/>
          <w:color w:val="000000" w:themeColor="text1"/>
        </w:rPr>
      </w:pPr>
    </w:p>
    <w:p w14:paraId="591FAFC3" w14:textId="77777777" w:rsidR="00117559" w:rsidRPr="00A567F2" w:rsidRDefault="00117559" w:rsidP="00B24B71">
      <w:pPr>
        <w:spacing w:line="480" w:lineRule="auto"/>
        <w:jc w:val="center"/>
        <w:rPr>
          <w:rFonts w:ascii="Times" w:hAnsi="Times"/>
          <w:color w:val="000000" w:themeColor="text1"/>
        </w:rPr>
      </w:pPr>
    </w:p>
    <w:p w14:paraId="28051C31" w14:textId="77777777" w:rsidR="00B24B71" w:rsidRPr="00A567F2" w:rsidRDefault="00B24B71" w:rsidP="00B24B71">
      <w:pPr>
        <w:spacing w:line="480" w:lineRule="auto"/>
        <w:rPr>
          <w:rFonts w:ascii="Times" w:hAnsi="Times"/>
          <w:b/>
          <w:bCs/>
          <w:color w:val="000000" w:themeColor="text1"/>
        </w:rPr>
      </w:pPr>
    </w:p>
    <w:p w14:paraId="01F541DB" w14:textId="76379C1E" w:rsidR="00B24B71" w:rsidRPr="00A567F2" w:rsidRDefault="00C13260" w:rsidP="00B24B71">
      <w:pPr>
        <w:spacing w:line="480" w:lineRule="auto"/>
        <w:rPr>
          <w:rFonts w:ascii="Times" w:hAnsi="Times"/>
          <w:color w:val="000000" w:themeColor="text1"/>
        </w:rPr>
      </w:pPr>
      <w:r w:rsidRPr="00A567F2">
        <w:rPr>
          <w:rFonts w:ascii="Times" w:hAnsi="Times"/>
          <w:color w:val="000000" w:themeColor="text1"/>
        </w:rPr>
        <w:t>Author for correspondence: Sarah Masterton, Eleanor Rathbone Building, Bedford St South, University of Liverpool, L69</w:t>
      </w:r>
      <w:r w:rsidR="00FE29C9" w:rsidRPr="00A567F2">
        <w:rPr>
          <w:rFonts w:ascii="Times" w:hAnsi="Times"/>
          <w:color w:val="000000" w:themeColor="text1"/>
        </w:rPr>
        <w:t xml:space="preserve"> </w:t>
      </w:r>
      <w:r w:rsidRPr="00A567F2">
        <w:rPr>
          <w:rFonts w:ascii="Times" w:hAnsi="Times"/>
          <w:color w:val="000000" w:themeColor="text1"/>
        </w:rPr>
        <w:t>7ZA:</w:t>
      </w:r>
    </w:p>
    <w:p w14:paraId="6C4A4675" w14:textId="2DEEC753" w:rsidR="00B24B71" w:rsidRPr="00A567F2" w:rsidRDefault="00C13260" w:rsidP="00B24B71">
      <w:pPr>
        <w:spacing w:line="480" w:lineRule="auto"/>
        <w:rPr>
          <w:rFonts w:ascii="Times" w:hAnsi="Times"/>
          <w:color w:val="000000" w:themeColor="text1"/>
        </w:rPr>
      </w:pPr>
      <w:r w:rsidRPr="00A567F2">
        <w:rPr>
          <w:rFonts w:ascii="Times" w:hAnsi="Times"/>
          <w:color w:val="000000" w:themeColor="text1"/>
        </w:rPr>
        <w:t xml:space="preserve">Email: </w:t>
      </w:r>
      <w:r w:rsidR="001E5F18" w:rsidRPr="00A567F2">
        <w:rPr>
          <w:rFonts w:ascii="Times" w:hAnsi="Times"/>
          <w:color w:val="000000" w:themeColor="text1"/>
        </w:rPr>
        <w:t>s.masterton</w:t>
      </w:r>
      <w:r w:rsidRPr="00A567F2">
        <w:rPr>
          <w:rFonts w:ascii="Times" w:hAnsi="Times"/>
          <w:color w:val="000000" w:themeColor="text1"/>
        </w:rPr>
        <w:t>@liverpool.ac.uk</w:t>
      </w:r>
    </w:p>
    <w:p w14:paraId="3C617419" w14:textId="77777777" w:rsidR="00117559" w:rsidRPr="00A567F2" w:rsidRDefault="00117559" w:rsidP="00B24B71">
      <w:pPr>
        <w:spacing w:line="480" w:lineRule="auto"/>
        <w:rPr>
          <w:rFonts w:ascii="Times" w:hAnsi="Times"/>
          <w:color w:val="000000" w:themeColor="text1"/>
        </w:rPr>
      </w:pPr>
    </w:p>
    <w:p w14:paraId="11D621DE" w14:textId="77777777" w:rsidR="00B24B71" w:rsidRPr="00A567F2" w:rsidRDefault="00B24B71" w:rsidP="00B24B71">
      <w:pPr>
        <w:spacing w:line="480" w:lineRule="auto"/>
        <w:rPr>
          <w:rFonts w:ascii="Times" w:hAnsi="Times"/>
          <w:b/>
          <w:bCs/>
          <w:color w:val="000000" w:themeColor="text1"/>
        </w:rPr>
      </w:pPr>
    </w:p>
    <w:p w14:paraId="74FEC0B7" w14:textId="77777777" w:rsidR="00B24B71" w:rsidRPr="00A567F2" w:rsidRDefault="00B24B71" w:rsidP="00B24B71">
      <w:pPr>
        <w:spacing w:line="480" w:lineRule="auto"/>
        <w:rPr>
          <w:rFonts w:ascii="Times" w:hAnsi="Times"/>
          <w:b/>
          <w:bCs/>
          <w:color w:val="000000" w:themeColor="text1"/>
        </w:rPr>
      </w:pPr>
    </w:p>
    <w:p w14:paraId="53A41009" w14:textId="77777777" w:rsidR="00580920" w:rsidRPr="00A567F2" w:rsidRDefault="00580920" w:rsidP="00B24B71">
      <w:pPr>
        <w:spacing w:line="480" w:lineRule="auto"/>
        <w:rPr>
          <w:rFonts w:ascii="Times" w:hAnsi="Times"/>
          <w:b/>
          <w:bCs/>
          <w:color w:val="000000" w:themeColor="text1"/>
        </w:rPr>
      </w:pPr>
    </w:p>
    <w:p w14:paraId="1D823AC0" w14:textId="35AD6459" w:rsidR="000C12F1" w:rsidRPr="00A567F2" w:rsidRDefault="000C12F1" w:rsidP="00E13C8B">
      <w:pPr>
        <w:spacing w:line="480" w:lineRule="auto"/>
        <w:jc w:val="center"/>
        <w:rPr>
          <w:rFonts w:ascii="Times" w:hAnsi="Times"/>
          <w:b/>
          <w:bCs/>
          <w:color w:val="000000" w:themeColor="text1"/>
        </w:rPr>
      </w:pPr>
      <w:r w:rsidRPr="00A567F2">
        <w:rPr>
          <w:rFonts w:ascii="Times" w:hAnsi="Times"/>
          <w:b/>
          <w:bCs/>
          <w:color w:val="000000" w:themeColor="text1"/>
        </w:rPr>
        <w:lastRenderedPageBreak/>
        <w:t>Abstract</w:t>
      </w:r>
    </w:p>
    <w:p w14:paraId="678ABD4F" w14:textId="20C4F075" w:rsidR="00D84E1E" w:rsidRPr="00A567F2" w:rsidRDefault="00AB5F87" w:rsidP="00E13C8B">
      <w:pPr>
        <w:spacing w:line="480" w:lineRule="auto"/>
        <w:ind w:firstLine="720"/>
        <w:rPr>
          <w:rFonts w:ascii="Times" w:hAnsi="Times"/>
          <w:color w:val="000000" w:themeColor="text1"/>
        </w:rPr>
      </w:pPr>
      <w:r w:rsidRPr="00A567F2">
        <w:rPr>
          <w:rFonts w:ascii="Times" w:hAnsi="Times"/>
          <w:color w:val="000000" w:themeColor="text1"/>
        </w:rPr>
        <w:t xml:space="preserve">There is considerable interest in </w:t>
      </w:r>
      <w:r w:rsidR="00E95283" w:rsidRPr="00A567F2">
        <w:rPr>
          <w:rFonts w:ascii="Times" w:hAnsi="Times"/>
          <w:color w:val="000000" w:themeColor="text1"/>
        </w:rPr>
        <w:t>C</w:t>
      </w:r>
      <w:r w:rsidRPr="00A567F2">
        <w:rPr>
          <w:rFonts w:ascii="Times" w:hAnsi="Times"/>
          <w:color w:val="000000" w:themeColor="text1"/>
        </w:rPr>
        <w:t xml:space="preserve">ognitive </w:t>
      </w:r>
      <w:r w:rsidR="00E95283" w:rsidRPr="00A567F2">
        <w:rPr>
          <w:rFonts w:ascii="Times" w:hAnsi="Times"/>
          <w:color w:val="000000" w:themeColor="text1"/>
        </w:rPr>
        <w:t>B</w:t>
      </w:r>
      <w:r w:rsidRPr="00A567F2">
        <w:rPr>
          <w:rFonts w:ascii="Times" w:hAnsi="Times"/>
          <w:color w:val="000000" w:themeColor="text1"/>
        </w:rPr>
        <w:t xml:space="preserve">ias </w:t>
      </w:r>
      <w:r w:rsidR="00E95283" w:rsidRPr="00A567F2">
        <w:rPr>
          <w:rFonts w:ascii="Times" w:hAnsi="Times"/>
          <w:color w:val="000000" w:themeColor="text1"/>
        </w:rPr>
        <w:t>M</w:t>
      </w:r>
      <w:r w:rsidRPr="00A567F2">
        <w:rPr>
          <w:rFonts w:ascii="Times" w:hAnsi="Times"/>
          <w:color w:val="000000" w:themeColor="text1"/>
        </w:rPr>
        <w:t xml:space="preserve">odification </w:t>
      </w:r>
      <w:r w:rsidR="00060068" w:rsidRPr="00A567F2">
        <w:rPr>
          <w:rFonts w:ascii="Times" w:hAnsi="Times"/>
          <w:color w:val="000000" w:themeColor="text1"/>
        </w:rPr>
        <w:t xml:space="preserve">(CBM) </w:t>
      </w:r>
      <w:r w:rsidRPr="00A567F2">
        <w:rPr>
          <w:rFonts w:ascii="Times" w:hAnsi="Times"/>
          <w:color w:val="000000" w:themeColor="text1"/>
        </w:rPr>
        <w:t>as a potential treatment for overweight / obesity. Inhibitory Control Training (ICT</w:t>
      </w:r>
      <w:r w:rsidR="000B1995" w:rsidRPr="00A567F2">
        <w:rPr>
          <w:rFonts w:ascii="Times" w:hAnsi="Times"/>
          <w:color w:val="000000" w:themeColor="text1"/>
        </w:rPr>
        <w:t>: also known as motor response training</w:t>
      </w:r>
      <w:r w:rsidRPr="00A567F2">
        <w:rPr>
          <w:rFonts w:ascii="Times" w:hAnsi="Times"/>
          <w:color w:val="000000" w:themeColor="text1"/>
        </w:rPr>
        <w:t>) and Evaluative Conditioning</w:t>
      </w:r>
      <w:r w:rsidR="00D84E1E" w:rsidRPr="00A567F2">
        <w:rPr>
          <w:rFonts w:ascii="Times" w:hAnsi="Times"/>
          <w:color w:val="000000" w:themeColor="text1"/>
        </w:rPr>
        <w:t xml:space="preserve"> (EC)</w:t>
      </w:r>
      <w:r w:rsidRPr="00A567F2">
        <w:rPr>
          <w:rFonts w:ascii="Times" w:hAnsi="Times"/>
          <w:color w:val="000000" w:themeColor="text1"/>
        </w:rPr>
        <w:t xml:space="preserve"> </w:t>
      </w:r>
      <w:r w:rsidR="00D84E1E" w:rsidRPr="00A567F2">
        <w:rPr>
          <w:rFonts w:ascii="Times" w:hAnsi="Times"/>
          <w:color w:val="000000" w:themeColor="text1"/>
        </w:rPr>
        <w:t xml:space="preserve">are two popular paradigms which rely on associatively learned responses (unhealthy food -&gt; inhibition, or unhealthy food-&gt; negative stimulus, respectively) through repeated cue-response contingencies. Both ICT and EC have demonstrated some </w:t>
      </w:r>
      <w:r w:rsidRPr="00A567F2">
        <w:rPr>
          <w:rFonts w:ascii="Times" w:hAnsi="Times"/>
          <w:color w:val="000000" w:themeColor="text1"/>
        </w:rPr>
        <w:t xml:space="preserve">effectiveness </w:t>
      </w:r>
      <w:r w:rsidR="00D84E1E" w:rsidRPr="00A567F2">
        <w:rPr>
          <w:rFonts w:ascii="Times" w:hAnsi="Times"/>
          <w:color w:val="000000" w:themeColor="text1"/>
        </w:rPr>
        <w:t xml:space="preserve">for reducing food intake, value and / or choice, </w:t>
      </w:r>
      <w:r w:rsidRPr="00A567F2">
        <w:rPr>
          <w:rFonts w:ascii="Times" w:hAnsi="Times"/>
          <w:color w:val="000000" w:themeColor="text1"/>
        </w:rPr>
        <w:t>when administered in the laboratory and online.</w:t>
      </w:r>
      <w:r w:rsidR="00D84E1E" w:rsidRPr="00A567F2">
        <w:rPr>
          <w:rFonts w:ascii="Times" w:hAnsi="Times"/>
          <w:color w:val="000000" w:themeColor="text1"/>
        </w:rPr>
        <w:t xml:space="preserve"> </w:t>
      </w:r>
      <w:r w:rsidRPr="00A567F2">
        <w:rPr>
          <w:rFonts w:ascii="Times" w:hAnsi="Times"/>
          <w:color w:val="000000" w:themeColor="text1"/>
        </w:rPr>
        <w:t xml:space="preserve">However, </w:t>
      </w:r>
      <w:r w:rsidR="00C93100" w:rsidRPr="00A567F2">
        <w:rPr>
          <w:rFonts w:ascii="Times" w:hAnsi="Times"/>
          <w:color w:val="000000" w:themeColor="text1"/>
        </w:rPr>
        <w:t xml:space="preserve">studies have been criticised for </w:t>
      </w:r>
      <w:r w:rsidR="00A74474" w:rsidRPr="00A567F2">
        <w:rPr>
          <w:rFonts w:ascii="Times" w:hAnsi="Times"/>
          <w:bCs/>
          <w:color w:val="000000" w:themeColor="text1"/>
        </w:rPr>
        <w:t xml:space="preserve">inconsistencies in </w:t>
      </w:r>
      <w:r w:rsidR="00FD7689" w:rsidRPr="00A567F2">
        <w:rPr>
          <w:rFonts w:ascii="Times" w:hAnsi="Times"/>
          <w:bCs/>
          <w:color w:val="000000" w:themeColor="text1"/>
        </w:rPr>
        <w:t>design</w:t>
      </w:r>
      <w:r w:rsidR="00C93100" w:rsidRPr="00A567F2">
        <w:rPr>
          <w:rFonts w:ascii="Times" w:hAnsi="Times"/>
          <w:bCs/>
          <w:color w:val="000000" w:themeColor="text1"/>
        </w:rPr>
        <w:t xml:space="preserve"> (e.g. use of inadequate control groups</w:t>
      </w:r>
      <w:r w:rsidR="00D84E1E" w:rsidRPr="00A567F2">
        <w:rPr>
          <w:rFonts w:ascii="Times" w:hAnsi="Times"/>
          <w:bCs/>
          <w:color w:val="000000" w:themeColor="text1"/>
        </w:rPr>
        <w:t>)</w:t>
      </w:r>
      <w:r w:rsidR="00C93100" w:rsidRPr="00A567F2">
        <w:rPr>
          <w:rFonts w:ascii="Times" w:hAnsi="Times"/>
          <w:bCs/>
          <w:color w:val="000000" w:themeColor="text1"/>
        </w:rPr>
        <w:t xml:space="preserve"> which</w:t>
      </w:r>
      <w:r w:rsidR="00FD7689" w:rsidRPr="00A567F2">
        <w:rPr>
          <w:rFonts w:ascii="Times" w:hAnsi="Times"/>
          <w:bCs/>
          <w:color w:val="000000" w:themeColor="text1"/>
        </w:rPr>
        <w:t xml:space="preserve"> make</w:t>
      </w:r>
      <w:r w:rsidR="00FC26F0" w:rsidRPr="00A567F2">
        <w:rPr>
          <w:rFonts w:ascii="Times" w:hAnsi="Times"/>
          <w:bCs/>
          <w:color w:val="000000" w:themeColor="text1"/>
        </w:rPr>
        <w:t>s</w:t>
      </w:r>
      <w:r w:rsidR="00FD7689" w:rsidRPr="00A567F2">
        <w:rPr>
          <w:rFonts w:ascii="Times" w:hAnsi="Times"/>
          <w:bCs/>
          <w:color w:val="000000" w:themeColor="text1"/>
        </w:rPr>
        <w:t xml:space="preserve"> it difficult to draw</w:t>
      </w:r>
      <w:r w:rsidR="00C93100" w:rsidRPr="00A567F2">
        <w:rPr>
          <w:rFonts w:ascii="Times" w:hAnsi="Times"/>
          <w:bCs/>
          <w:color w:val="000000" w:themeColor="text1"/>
        </w:rPr>
        <w:t xml:space="preserve"> robust</w:t>
      </w:r>
      <w:r w:rsidR="00FD7689" w:rsidRPr="00A567F2">
        <w:rPr>
          <w:rFonts w:ascii="Times" w:hAnsi="Times"/>
          <w:bCs/>
          <w:color w:val="000000" w:themeColor="text1"/>
        </w:rPr>
        <w:t xml:space="preserve"> conclusions. </w:t>
      </w:r>
      <w:r w:rsidR="00C93100" w:rsidRPr="00A567F2">
        <w:rPr>
          <w:rFonts w:ascii="Times" w:hAnsi="Times"/>
          <w:bCs/>
          <w:color w:val="000000" w:themeColor="text1"/>
        </w:rPr>
        <w:t>In two pre-registered, online studies our aim was to examine active ICT (study 1</w:t>
      </w:r>
      <w:r w:rsidR="007A0DB9" w:rsidRPr="00A567F2">
        <w:rPr>
          <w:rFonts w:ascii="Times" w:hAnsi="Times"/>
          <w:bCs/>
          <w:color w:val="000000" w:themeColor="text1"/>
        </w:rPr>
        <w:t>: N = 170</w:t>
      </w:r>
      <w:r w:rsidR="00C93100" w:rsidRPr="00A567F2">
        <w:rPr>
          <w:rFonts w:ascii="Times" w:hAnsi="Times"/>
          <w:bCs/>
          <w:color w:val="000000" w:themeColor="text1"/>
        </w:rPr>
        <w:t>) and EC (study 2</w:t>
      </w:r>
      <w:r w:rsidR="007A0DB9" w:rsidRPr="00A567F2">
        <w:rPr>
          <w:rFonts w:ascii="Times" w:hAnsi="Times"/>
          <w:bCs/>
          <w:color w:val="000000" w:themeColor="text1"/>
        </w:rPr>
        <w:t>: N =</w:t>
      </w:r>
      <w:r w:rsidR="005B1BB7" w:rsidRPr="00A567F2">
        <w:rPr>
          <w:rFonts w:ascii="Times" w:hAnsi="Times"/>
          <w:bCs/>
          <w:color w:val="000000" w:themeColor="text1"/>
        </w:rPr>
        <w:t xml:space="preserve"> 300</w:t>
      </w:r>
      <w:r w:rsidR="00C93100" w:rsidRPr="00A567F2">
        <w:rPr>
          <w:rFonts w:ascii="Times" w:hAnsi="Times"/>
          <w:bCs/>
          <w:color w:val="000000" w:themeColor="text1"/>
        </w:rPr>
        <w:t xml:space="preserve">) </w:t>
      </w:r>
      <w:r w:rsidR="00E95283" w:rsidRPr="00A567F2">
        <w:rPr>
          <w:rFonts w:ascii="Times" w:hAnsi="Times"/>
          <w:bCs/>
          <w:color w:val="000000" w:themeColor="text1"/>
        </w:rPr>
        <w:t xml:space="preserve">in multiple groups where the </w:t>
      </w:r>
      <w:r w:rsidR="00C93100" w:rsidRPr="00A567F2">
        <w:rPr>
          <w:rFonts w:ascii="Times" w:hAnsi="Times"/>
          <w:bCs/>
          <w:color w:val="000000" w:themeColor="text1"/>
        </w:rPr>
        <w:t xml:space="preserve">cue-&gt;response contingencies </w:t>
      </w:r>
      <w:r w:rsidR="00E95283" w:rsidRPr="00A567F2">
        <w:rPr>
          <w:rFonts w:ascii="Times" w:hAnsi="Times"/>
          <w:bCs/>
          <w:color w:val="000000" w:themeColor="text1"/>
        </w:rPr>
        <w:t xml:space="preserve">were systematically varied </w:t>
      </w:r>
      <w:r w:rsidR="00C93100" w:rsidRPr="00A567F2">
        <w:rPr>
          <w:rFonts w:ascii="Times" w:hAnsi="Times"/>
          <w:bCs/>
          <w:color w:val="000000" w:themeColor="text1"/>
        </w:rPr>
        <w:t xml:space="preserve">(100%, 75%, 50%, 25%), before examining food-cue valuations and hypothetical food choice.  In both studies varying the cue-&gt; response contingencies did not lead to significant changes in food-cue devaluation following training. ICT did not substantially influence hypothetical food choice, whereas there was weak evidence that EC reduced choice for unhealthy foods, compared to a control group with 50% cue-response </w:t>
      </w:r>
      <w:r w:rsidR="00D84E1E" w:rsidRPr="00A567F2">
        <w:rPr>
          <w:rFonts w:ascii="Times" w:hAnsi="Times"/>
          <w:bCs/>
          <w:color w:val="000000" w:themeColor="text1"/>
        </w:rPr>
        <w:t>contingencies</w:t>
      </w:r>
      <w:r w:rsidR="00C93100" w:rsidRPr="00A567F2">
        <w:rPr>
          <w:rFonts w:ascii="Times" w:hAnsi="Times"/>
          <w:bCs/>
          <w:color w:val="000000" w:themeColor="text1"/>
        </w:rPr>
        <w:t>.</w:t>
      </w:r>
      <w:r w:rsidR="00D84E1E" w:rsidRPr="00A567F2">
        <w:rPr>
          <w:rFonts w:ascii="Times" w:hAnsi="Times"/>
          <w:bCs/>
          <w:color w:val="000000" w:themeColor="text1"/>
        </w:rPr>
        <w:t xml:space="preserve"> Taken together both studies provide limited evidence for online CBM as a viable psychological treatment – at least through the mechanism of food-cue devaluation or changes in </w:t>
      </w:r>
      <w:r w:rsidR="005D274D" w:rsidRPr="00A567F2">
        <w:rPr>
          <w:rFonts w:ascii="Times" w:hAnsi="Times"/>
          <w:bCs/>
          <w:color w:val="000000" w:themeColor="text1"/>
        </w:rPr>
        <w:t xml:space="preserve">healthy and </w:t>
      </w:r>
      <w:r w:rsidR="00D84E1E" w:rsidRPr="00A567F2">
        <w:rPr>
          <w:rFonts w:ascii="Times" w:hAnsi="Times"/>
          <w:bCs/>
          <w:color w:val="000000" w:themeColor="text1"/>
        </w:rPr>
        <w:t xml:space="preserve">unhealthy food choice.  </w:t>
      </w:r>
      <w:r w:rsidR="005609EA" w:rsidRPr="00A567F2">
        <w:rPr>
          <w:rFonts w:ascii="Times" w:hAnsi="Times"/>
          <w:bCs/>
          <w:color w:val="000000" w:themeColor="text1"/>
        </w:rPr>
        <w:t xml:space="preserve">Future research is needed to </w:t>
      </w:r>
      <w:r w:rsidR="00A258F7" w:rsidRPr="00A567F2">
        <w:rPr>
          <w:rFonts w:ascii="Times" w:hAnsi="Times"/>
          <w:bCs/>
          <w:color w:val="000000" w:themeColor="text1"/>
        </w:rPr>
        <w:t xml:space="preserve">investigate the factors that contribute towards successful CBM training to </w:t>
      </w:r>
      <w:r w:rsidR="00EF422A" w:rsidRPr="00A567F2">
        <w:rPr>
          <w:rFonts w:ascii="Times" w:hAnsi="Times"/>
          <w:bCs/>
          <w:color w:val="000000" w:themeColor="text1"/>
        </w:rPr>
        <w:t xml:space="preserve">critically </w:t>
      </w:r>
      <w:r w:rsidR="00A258F7" w:rsidRPr="00A567F2">
        <w:rPr>
          <w:rFonts w:ascii="Times" w:hAnsi="Times"/>
          <w:bCs/>
          <w:color w:val="000000" w:themeColor="text1"/>
        </w:rPr>
        <w:t xml:space="preserve">evaluate the </w:t>
      </w:r>
      <w:r w:rsidR="00260026" w:rsidRPr="00A567F2">
        <w:rPr>
          <w:rFonts w:ascii="Times" w:hAnsi="Times"/>
          <w:bCs/>
          <w:color w:val="000000" w:themeColor="text1"/>
        </w:rPr>
        <w:t>potential for</w:t>
      </w:r>
      <w:r w:rsidR="00A258F7" w:rsidRPr="00A567F2">
        <w:rPr>
          <w:rFonts w:ascii="Times" w:hAnsi="Times"/>
          <w:bCs/>
          <w:color w:val="000000" w:themeColor="text1"/>
        </w:rPr>
        <w:t xml:space="preserve"> these strategies within health interventions.</w:t>
      </w:r>
    </w:p>
    <w:p w14:paraId="2CD078A2" w14:textId="1B31FB84" w:rsidR="00B93483" w:rsidRPr="00A567F2" w:rsidRDefault="00A258F7" w:rsidP="00C93100">
      <w:pPr>
        <w:spacing w:line="480" w:lineRule="auto"/>
        <w:rPr>
          <w:rFonts w:ascii="Times" w:hAnsi="Times"/>
          <w:bCs/>
          <w:color w:val="000000" w:themeColor="text1"/>
        </w:rPr>
      </w:pPr>
      <w:r w:rsidRPr="00A567F2">
        <w:rPr>
          <w:rFonts w:ascii="Times" w:hAnsi="Times"/>
          <w:bCs/>
          <w:color w:val="000000" w:themeColor="text1"/>
        </w:rPr>
        <w:t xml:space="preserve"> </w:t>
      </w:r>
    </w:p>
    <w:p w14:paraId="555B4E2E" w14:textId="3059AC26" w:rsidR="00581808" w:rsidRPr="00A567F2" w:rsidRDefault="001E795F" w:rsidP="00B24B71">
      <w:pPr>
        <w:spacing w:line="480" w:lineRule="auto"/>
        <w:rPr>
          <w:rFonts w:ascii="Times" w:hAnsi="Times"/>
          <w:color w:val="000000" w:themeColor="text1"/>
        </w:rPr>
      </w:pPr>
      <w:r w:rsidRPr="00A567F2">
        <w:rPr>
          <w:rFonts w:ascii="Times" w:hAnsi="Times"/>
          <w:color w:val="000000" w:themeColor="text1"/>
        </w:rPr>
        <w:t>Key</w:t>
      </w:r>
      <w:r w:rsidR="00581808" w:rsidRPr="00A567F2">
        <w:rPr>
          <w:rFonts w:ascii="Times" w:hAnsi="Times"/>
          <w:color w:val="000000" w:themeColor="text1"/>
        </w:rPr>
        <w:t>words</w:t>
      </w:r>
      <w:r w:rsidRPr="00A567F2">
        <w:rPr>
          <w:rFonts w:ascii="Times" w:hAnsi="Times"/>
          <w:color w:val="000000" w:themeColor="text1"/>
        </w:rPr>
        <w:t>:</w:t>
      </w:r>
      <w:r w:rsidR="00581808" w:rsidRPr="00A567F2">
        <w:rPr>
          <w:rFonts w:ascii="Times" w:hAnsi="Times"/>
          <w:color w:val="000000" w:themeColor="text1"/>
        </w:rPr>
        <w:t xml:space="preserve"> cognitive bias modification; food cues; inhibitory control training; evaluative </w:t>
      </w:r>
      <w:r w:rsidR="00AB5F87" w:rsidRPr="00A567F2">
        <w:rPr>
          <w:rFonts w:ascii="Times" w:hAnsi="Times"/>
          <w:color w:val="000000" w:themeColor="text1"/>
        </w:rPr>
        <w:t>conditioning.</w:t>
      </w:r>
    </w:p>
    <w:p w14:paraId="3AF99A62" w14:textId="77777777" w:rsidR="00135CC7" w:rsidRPr="00A567F2" w:rsidRDefault="00135CC7" w:rsidP="00B24B71">
      <w:pPr>
        <w:spacing w:line="480" w:lineRule="auto"/>
        <w:rPr>
          <w:rFonts w:ascii="Times" w:hAnsi="Times"/>
          <w:b/>
          <w:bCs/>
          <w:color w:val="000000" w:themeColor="text1"/>
        </w:rPr>
      </w:pPr>
    </w:p>
    <w:p w14:paraId="123EF90B" w14:textId="4BF3269D" w:rsidR="00465963" w:rsidRPr="00A567F2" w:rsidRDefault="00442687" w:rsidP="00442687">
      <w:pPr>
        <w:spacing w:line="480" w:lineRule="auto"/>
        <w:jc w:val="center"/>
        <w:rPr>
          <w:rFonts w:ascii="Times" w:hAnsi="Times"/>
          <w:b/>
          <w:bCs/>
          <w:color w:val="000000" w:themeColor="text1"/>
        </w:rPr>
      </w:pPr>
      <w:r w:rsidRPr="00A567F2">
        <w:rPr>
          <w:rFonts w:ascii="Times" w:hAnsi="Times"/>
          <w:b/>
          <w:bCs/>
          <w:color w:val="000000" w:themeColor="text1"/>
        </w:rPr>
        <w:lastRenderedPageBreak/>
        <w:t xml:space="preserve">1. </w:t>
      </w:r>
      <w:r w:rsidR="00C7132E" w:rsidRPr="00A567F2">
        <w:rPr>
          <w:rFonts w:ascii="Times" w:hAnsi="Times"/>
          <w:b/>
          <w:bCs/>
          <w:color w:val="000000" w:themeColor="text1"/>
        </w:rPr>
        <w:t>Introduction</w:t>
      </w:r>
    </w:p>
    <w:p w14:paraId="479D2305" w14:textId="46132BD5" w:rsidR="00B24B71" w:rsidRPr="00A567F2" w:rsidRDefault="006038C6" w:rsidP="00B24B71">
      <w:pPr>
        <w:spacing w:line="480" w:lineRule="auto"/>
        <w:ind w:firstLine="720"/>
        <w:rPr>
          <w:rFonts w:ascii="Times" w:hAnsi="Times"/>
          <w:color w:val="000000" w:themeColor="text1"/>
        </w:rPr>
      </w:pPr>
      <w:r w:rsidRPr="00A567F2">
        <w:rPr>
          <w:rFonts w:ascii="Times" w:hAnsi="Times"/>
          <w:color w:val="000000" w:themeColor="text1"/>
        </w:rPr>
        <w:t>The prevalence of</w:t>
      </w:r>
      <w:r w:rsidR="00096253" w:rsidRPr="00A567F2">
        <w:rPr>
          <w:rFonts w:ascii="Times" w:hAnsi="Times"/>
          <w:color w:val="000000" w:themeColor="text1"/>
        </w:rPr>
        <w:t xml:space="preserve"> overweight and obesity </w:t>
      </w:r>
      <w:r w:rsidRPr="00A567F2">
        <w:rPr>
          <w:rFonts w:ascii="Times" w:hAnsi="Times"/>
          <w:color w:val="000000" w:themeColor="text1"/>
        </w:rPr>
        <w:t xml:space="preserve">has increased </w:t>
      </w:r>
      <w:r w:rsidR="00096253" w:rsidRPr="00A567F2">
        <w:rPr>
          <w:rFonts w:ascii="Times" w:hAnsi="Times"/>
          <w:color w:val="000000" w:themeColor="text1"/>
        </w:rPr>
        <w:t>to pandemic levels</w:t>
      </w:r>
      <w:r w:rsidR="00F74C6A" w:rsidRPr="00A567F2">
        <w:rPr>
          <w:rFonts w:ascii="Times" w:hAnsi="Times"/>
          <w:color w:val="000000" w:themeColor="text1"/>
        </w:rPr>
        <w:t xml:space="preserve"> </w:t>
      </w:r>
      <w:r w:rsidR="00096253" w:rsidRPr="00A567F2">
        <w:rPr>
          <w:rFonts w:ascii="Times" w:hAnsi="Times"/>
          <w:color w:val="000000" w:themeColor="text1"/>
        </w:rPr>
        <w:t xml:space="preserve">over the past 50 years </w:t>
      </w:r>
      <w:r w:rsidR="00F74C6A" w:rsidRPr="00A567F2">
        <w:rPr>
          <w:rFonts w:ascii="Times" w:hAnsi="Times"/>
          <w:color w:val="000000" w:themeColor="text1"/>
        </w:rPr>
        <w:t>(</w:t>
      </w:r>
      <w:r w:rsidR="00C856DE" w:rsidRPr="00A567F2">
        <w:rPr>
          <w:rFonts w:ascii="Times" w:hAnsi="Times"/>
          <w:color w:val="000000" w:themeColor="text1"/>
        </w:rPr>
        <w:t>Blüher, 2019</w:t>
      </w:r>
      <w:r w:rsidR="00F74C6A" w:rsidRPr="00A567F2">
        <w:rPr>
          <w:rFonts w:ascii="Times" w:hAnsi="Times"/>
          <w:color w:val="000000" w:themeColor="text1"/>
        </w:rPr>
        <w:t>)</w:t>
      </w:r>
      <w:r w:rsidR="008E3DD5" w:rsidRPr="00A567F2">
        <w:rPr>
          <w:rFonts w:ascii="Times" w:hAnsi="Times"/>
          <w:color w:val="000000" w:themeColor="text1"/>
        </w:rPr>
        <w:t>, and is</w:t>
      </w:r>
      <w:r w:rsidR="00C13260" w:rsidRPr="00A567F2">
        <w:rPr>
          <w:rFonts w:ascii="Times" w:hAnsi="Times"/>
          <w:color w:val="000000" w:themeColor="text1"/>
        </w:rPr>
        <w:t xml:space="preserve"> at least</w:t>
      </w:r>
      <w:r w:rsidR="008E3DD5" w:rsidRPr="00A567F2">
        <w:rPr>
          <w:rFonts w:ascii="Times" w:hAnsi="Times"/>
          <w:color w:val="000000" w:themeColor="text1"/>
        </w:rPr>
        <w:t xml:space="preserve"> partly attributed to an obesogenic environment saturated with unhealthy food-cues which signal high availability of these foods</w:t>
      </w:r>
      <w:r w:rsidR="00AD2282" w:rsidRPr="00A567F2">
        <w:rPr>
          <w:rFonts w:ascii="Times" w:hAnsi="Times"/>
          <w:color w:val="000000" w:themeColor="text1"/>
        </w:rPr>
        <w:t xml:space="preserve"> (Sample et al., 2015</w:t>
      </w:r>
      <w:r w:rsidR="008E3DD5" w:rsidRPr="00A567F2">
        <w:rPr>
          <w:rFonts w:ascii="Times" w:hAnsi="Times"/>
          <w:color w:val="000000" w:themeColor="text1"/>
        </w:rPr>
        <w:t xml:space="preserve">).  Not everybody exposed to the obesogenic environment </w:t>
      </w:r>
      <w:r w:rsidR="00BF1FB7" w:rsidRPr="00A567F2">
        <w:rPr>
          <w:rFonts w:ascii="Times" w:hAnsi="Times"/>
          <w:color w:val="000000" w:themeColor="text1"/>
        </w:rPr>
        <w:t>demonstrates</w:t>
      </w:r>
      <w:r w:rsidR="008E3DD5" w:rsidRPr="00A567F2">
        <w:rPr>
          <w:rFonts w:ascii="Times" w:hAnsi="Times"/>
          <w:color w:val="000000" w:themeColor="text1"/>
        </w:rPr>
        <w:t xml:space="preserve"> excessive weight gain, therefore a focus on individual differences could lead to the development of effective interventions (Houben</w:t>
      </w:r>
      <w:r w:rsidR="00156178" w:rsidRPr="00A567F2">
        <w:rPr>
          <w:rFonts w:ascii="Times" w:hAnsi="Times"/>
          <w:color w:val="000000" w:themeColor="text1"/>
        </w:rPr>
        <w:t xml:space="preserve"> et al.,</w:t>
      </w:r>
      <w:r w:rsidR="008E3DD5" w:rsidRPr="00A567F2">
        <w:rPr>
          <w:rFonts w:ascii="Times" w:hAnsi="Times"/>
          <w:color w:val="000000" w:themeColor="text1"/>
        </w:rPr>
        <w:t xml:space="preserve"> 2015).</w:t>
      </w:r>
      <w:r w:rsidR="008C76AD" w:rsidRPr="00A567F2">
        <w:rPr>
          <w:rFonts w:ascii="Times" w:hAnsi="Times"/>
          <w:color w:val="000000" w:themeColor="text1"/>
        </w:rPr>
        <w:t xml:space="preserve"> </w:t>
      </w:r>
      <w:r w:rsidR="008E3DD5" w:rsidRPr="00A567F2">
        <w:rPr>
          <w:rFonts w:ascii="Times" w:hAnsi="Times"/>
          <w:color w:val="000000" w:themeColor="text1"/>
        </w:rPr>
        <w:t xml:space="preserve">Interventions </w:t>
      </w:r>
      <w:r w:rsidR="008C76AD" w:rsidRPr="00A567F2">
        <w:rPr>
          <w:rFonts w:ascii="Times" w:hAnsi="Times"/>
          <w:color w:val="000000" w:themeColor="text1"/>
        </w:rPr>
        <w:t>that</w:t>
      </w:r>
      <w:r w:rsidR="008E3DD5" w:rsidRPr="00A567F2">
        <w:rPr>
          <w:rFonts w:ascii="Times" w:hAnsi="Times"/>
          <w:color w:val="000000" w:themeColor="text1"/>
        </w:rPr>
        <w:t xml:space="preserve"> aim to reduce the value of unhealthy food- cues and to increase behavioural control</w:t>
      </w:r>
      <w:r w:rsidR="00235F89" w:rsidRPr="00A567F2">
        <w:rPr>
          <w:rFonts w:ascii="Times" w:hAnsi="Times"/>
          <w:color w:val="000000" w:themeColor="text1"/>
        </w:rPr>
        <w:t>, particularly if administered online,</w:t>
      </w:r>
      <w:r w:rsidR="000F6915" w:rsidRPr="00A567F2">
        <w:rPr>
          <w:rFonts w:ascii="Times" w:hAnsi="Times"/>
          <w:color w:val="000000" w:themeColor="text1"/>
        </w:rPr>
        <w:t xml:space="preserve"> </w:t>
      </w:r>
      <w:r w:rsidR="008E3DD5" w:rsidRPr="00A567F2">
        <w:rPr>
          <w:rFonts w:ascii="Times" w:hAnsi="Times"/>
          <w:color w:val="000000" w:themeColor="text1"/>
        </w:rPr>
        <w:t>may be a fruitful area of research</w:t>
      </w:r>
      <w:r w:rsidR="006708B3" w:rsidRPr="00A567F2">
        <w:rPr>
          <w:rFonts w:ascii="Times" w:hAnsi="Times"/>
          <w:color w:val="000000" w:themeColor="text1"/>
        </w:rPr>
        <w:t xml:space="preserve">. </w:t>
      </w:r>
    </w:p>
    <w:p w14:paraId="42D227AF" w14:textId="5EB44BF3" w:rsidR="00A50AD3" w:rsidRPr="00A567F2" w:rsidRDefault="00940856" w:rsidP="002A5A97">
      <w:pPr>
        <w:spacing w:line="480" w:lineRule="auto"/>
        <w:ind w:firstLine="720"/>
        <w:rPr>
          <w:rFonts w:ascii="Times" w:hAnsi="Times"/>
          <w:color w:val="000000" w:themeColor="text1"/>
        </w:rPr>
      </w:pPr>
      <w:r w:rsidRPr="00A567F2">
        <w:rPr>
          <w:rFonts w:ascii="Times" w:hAnsi="Times"/>
          <w:color w:val="000000" w:themeColor="text1"/>
        </w:rPr>
        <w:t>Dual process models</w:t>
      </w:r>
      <w:r w:rsidR="000D5543" w:rsidRPr="00A567F2">
        <w:rPr>
          <w:rFonts w:ascii="Times" w:hAnsi="Times"/>
          <w:color w:val="000000" w:themeColor="text1"/>
        </w:rPr>
        <w:t xml:space="preserve"> </w:t>
      </w:r>
      <w:r w:rsidR="00B24B71" w:rsidRPr="00A567F2">
        <w:rPr>
          <w:rFonts w:ascii="Times" w:hAnsi="Times"/>
          <w:color w:val="000000" w:themeColor="text1"/>
        </w:rPr>
        <w:t>(Hofmann</w:t>
      </w:r>
      <w:r w:rsidR="007419AA" w:rsidRPr="00A567F2">
        <w:rPr>
          <w:rFonts w:ascii="Times" w:hAnsi="Times"/>
          <w:color w:val="000000" w:themeColor="text1"/>
        </w:rPr>
        <w:t xml:space="preserve"> et al.,</w:t>
      </w:r>
      <w:r w:rsidR="00B24B71" w:rsidRPr="00A567F2">
        <w:rPr>
          <w:rFonts w:ascii="Times" w:hAnsi="Times"/>
          <w:color w:val="000000" w:themeColor="text1"/>
        </w:rPr>
        <w:t xml:space="preserve"> 2008; Strack &amp; Deutsch, 2004) have informed a variety of </w:t>
      </w:r>
      <w:r w:rsidR="008E3DD5" w:rsidRPr="00A567F2">
        <w:rPr>
          <w:rFonts w:ascii="Times" w:hAnsi="Times"/>
          <w:color w:val="000000" w:themeColor="text1"/>
        </w:rPr>
        <w:t xml:space="preserve">psychological </w:t>
      </w:r>
      <w:r w:rsidR="00B24B71" w:rsidRPr="00A567F2">
        <w:rPr>
          <w:rFonts w:ascii="Times" w:hAnsi="Times"/>
          <w:color w:val="000000" w:themeColor="text1"/>
        </w:rPr>
        <w:t>interventions</w:t>
      </w:r>
      <w:r w:rsidR="008E3DD5" w:rsidRPr="00A567F2">
        <w:rPr>
          <w:rFonts w:ascii="Times" w:hAnsi="Times"/>
          <w:color w:val="000000" w:themeColor="text1"/>
        </w:rPr>
        <w:t>,</w:t>
      </w:r>
      <w:r w:rsidR="00B24B71" w:rsidRPr="00A567F2">
        <w:rPr>
          <w:rFonts w:ascii="Times" w:hAnsi="Times"/>
          <w:color w:val="000000" w:themeColor="text1"/>
        </w:rPr>
        <w:t xml:space="preserve"> known collectively as Cognitive Bias Modification. </w:t>
      </w:r>
      <w:r w:rsidR="002B5F4B" w:rsidRPr="00A567F2">
        <w:rPr>
          <w:rFonts w:ascii="Times" w:hAnsi="Times"/>
          <w:color w:val="000000" w:themeColor="text1"/>
        </w:rPr>
        <w:t xml:space="preserve">These </w:t>
      </w:r>
      <w:r w:rsidR="00B24B71" w:rsidRPr="00A567F2">
        <w:rPr>
          <w:rFonts w:ascii="Times" w:hAnsi="Times"/>
          <w:color w:val="000000" w:themeColor="text1"/>
        </w:rPr>
        <w:t xml:space="preserve">models </w:t>
      </w:r>
      <w:r w:rsidR="000D5543" w:rsidRPr="00A567F2">
        <w:rPr>
          <w:rFonts w:ascii="Times" w:hAnsi="Times"/>
          <w:color w:val="000000" w:themeColor="text1"/>
        </w:rPr>
        <w:t>suggest that individual responses to</w:t>
      </w:r>
      <w:r w:rsidR="00A749F4" w:rsidRPr="00A567F2">
        <w:rPr>
          <w:rFonts w:ascii="Times" w:hAnsi="Times"/>
          <w:color w:val="000000" w:themeColor="text1"/>
        </w:rPr>
        <w:t xml:space="preserve"> food</w:t>
      </w:r>
      <w:r w:rsidR="008457D1" w:rsidRPr="00A567F2">
        <w:rPr>
          <w:rFonts w:ascii="Times" w:hAnsi="Times"/>
          <w:color w:val="000000" w:themeColor="text1"/>
        </w:rPr>
        <w:t>-</w:t>
      </w:r>
      <w:r w:rsidR="00A749F4" w:rsidRPr="00A567F2">
        <w:rPr>
          <w:rFonts w:ascii="Times" w:hAnsi="Times"/>
          <w:color w:val="000000" w:themeColor="text1"/>
        </w:rPr>
        <w:t>related</w:t>
      </w:r>
      <w:r w:rsidR="000D5543" w:rsidRPr="00A567F2">
        <w:rPr>
          <w:rFonts w:ascii="Times" w:hAnsi="Times"/>
          <w:color w:val="000000" w:themeColor="text1"/>
        </w:rPr>
        <w:t xml:space="preserve"> </w:t>
      </w:r>
      <w:r w:rsidR="00153BAC" w:rsidRPr="00A567F2">
        <w:rPr>
          <w:rFonts w:ascii="Times" w:hAnsi="Times"/>
          <w:color w:val="000000" w:themeColor="text1"/>
        </w:rPr>
        <w:t>cues are regulated through</w:t>
      </w:r>
      <w:r w:rsidR="008457D1" w:rsidRPr="00A567F2">
        <w:rPr>
          <w:rFonts w:ascii="Times" w:hAnsi="Times"/>
          <w:color w:val="000000" w:themeColor="text1"/>
        </w:rPr>
        <w:t xml:space="preserve"> the interactive influences of</w:t>
      </w:r>
      <w:r w:rsidR="00153BAC" w:rsidRPr="00A567F2">
        <w:rPr>
          <w:rFonts w:ascii="Times" w:hAnsi="Times"/>
          <w:color w:val="000000" w:themeColor="text1"/>
        </w:rPr>
        <w:t xml:space="preserve"> </w:t>
      </w:r>
      <w:r w:rsidR="006038C6" w:rsidRPr="00A567F2">
        <w:rPr>
          <w:rFonts w:ascii="Times" w:hAnsi="Times"/>
          <w:color w:val="000000" w:themeColor="text1"/>
        </w:rPr>
        <w:t xml:space="preserve">implicit </w:t>
      </w:r>
      <w:r w:rsidR="00153BAC" w:rsidRPr="00A567F2">
        <w:rPr>
          <w:rFonts w:ascii="Times" w:hAnsi="Times"/>
          <w:color w:val="000000" w:themeColor="text1"/>
        </w:rPr>
        <w:t xml:space="preserve">and reflective processes, </w:t>
      </w:r>
      <w:r w:rsidR="0030212E" w:rsidRPr="00A567F2">
        <w:rPr>
          <w:rFonts w:ascii="Times" w:hAnsi="Times"/>
          <w:color w:val="000000" w:themeColor="text1"/>
        </w:rPr>
        <w:t>which</w:t>
      </w:r>
      <w:r w:rsidR="002A1B18" w:rsidRPr="00A567F2">
        <w:rPr>
          <w:rFonts w:ascii="Times" w:hAnsi="Times"/>
          <w:color w:val="000000" w:themeColor="text1"/>
        </w:rPr>
        <w:t xml:space="preserve"> subsequently</w:t>
      </w:r>
      <w:r w:rsidR="0030212E" w:rsidRPr="00A567F2">
        <w:rPr>
          <w:rFonts w:ascii="Times" w:hAnsi="Times"/>
          <w:color w:val="000000" w:themeColor="text1"/>
        </w:rPr>
        <w:t xml:space="preserve"> </w:t>
      </w:r>
      <w:r w:rsidR="00153BAC" w:rsidRPr="00A567F2">
        <w:rPr>
          <w:rFonts w:ascii="Times" w:hAnsi="Times"/>
          <w:color w:val="000000" w:themeColor="text1"/>
        </w:rPr>
        <w:t xml:space="preserve">determine </w:t>
      </w:r>
      <w:r w:rsidR="00E01914" w:rsidRPr="00A567F2">
        <w:rPr>
          <w:rFonts w:ascii="Times" w:hAnsi="Times"/>
          <w:color w:val="000000" w:themeColor="text1"/>
        </w:rPr>
        <w:t>food selection</w:t>
      </w:r>
      <w:r w:rsidRPr="00A567F2">
        <w:rPr>
          <w:rFonts w:ascii="Times" w:hAnsi="Times"/>
          <w:color w:val="000000" w:themeColor="text1"/>
        </w:rPr>
        <w:t xml:space="preserve"> and consumption</w:t>
      </w:r>
      <w:r w:rsidR="00153BAC" w:rsidRPr="00A567F2">
        <w:rPr>
          <w:rFonts w:ascii="Times" w:hAnsi="Times"/>
          <w:color w:val="000000" w:themeColor="text1"/>
        </w:rPr>
        <w:t>.</w:t>
      </w:r>
      <w:r w:rsidR="002B5F4B" w:rsidRPr="00A567F2">
        <w:rPr>
          <w:rFonts w:ascii="Times" w:hAnsi="Times"/>
          <w:color w:val="000000" w:themeColor="text1"/>
        </w:rPr>
        <w:t xml:space="preserve"> Implicit processes are fast acting, require minimal conscious effort and are based on previously formed memory associations (unhealthy food -&gt; </w:t>
      </w:r>
      <w:r w:rsidR="00216EE5" w:rsidRPr="00A567F2">
        <w:rPr>
          <w:rFonts w:ascii="Times" w:hAnsi="Times"/>
          <w:color w:val="000000" w:themeColor="text1"/>
        </w:rPr>
        <w:t xml:space="preserve">feelings of </w:t>
      </w:r>
      <w:r w:rsidR="002B5F4B" w:rsidRPr="00A567F2">
        <w:rPr>
          <w:rFonts w:ascii="Times" w:hAnsi="Times"/>
          <w:color w:val="000000" w:themeColor="text1"/>
        </w:rPr>
        <w:t xml:space="preserve">pleasure). Reflective processes are slower, cognitively demanding and serve to direct behaviour towards longer term goals (e.g. </w:t>
      </w:r>
      <w:r w:rsidR="00235F89" w:rsidRPr="00A567F2">
        <w:rPr>
          <w:rFonts w:ascii="Times" w:hAnsi="Times"/>
          <w:i/>
          <w:iCs/>
          <w:color w:val="000000" w:themeColor="text1"/>
        </w:rPr>
        <w:t>‘</w:t>
      </w:r>
      <w:r w:rsidR="002B5F4B" w:rsidRPr="00A567F2">
        <w:rPr>
          <w:rFonts w:ascii="Times" w:hAnsi="Times"/>
          <w:i/>
          <w:iCs/>
          <w:color w:val="000000" w:themeColor="text1"/>
        </w:rPr>
        <w:t>I will resist unhealthy food now, as I am attempting to lose weight</w:t>
      </w:r>
      <w:r w:rsidR="00235F89" w:rsidRPr="00A567F2">
        <w:rPr>
          <w:rFonts w:ascii="Times" w:hAnsi="Times"/>
          <w:i/>
          <w:iCs/>
          <w:color w:val="000000" w:themeColor="text1"/>
        </w:rPr>
        <w:t>’</w:t>
      </w:r>
      <w:r w:rsidR="002B5F4B" w:rsidRPr="00A567F2">
        <w:rPr>
          <w:rFonts w:ascii="Times" w:hAnsi="Times"/>
          <w:color w:val="000000" w:themeColor="text1"/>
        </w:rPr>
        <w:t xml:space="preserve">).  </w:t>
      </w:r>
      <w:r w:rsidR="006556AC" w:rsidRPr="00A567F2">
        <w:rPr>
          <w:rFonts w:ascii="Times" w:hAnsi="Times"/>
          <w:color w:val="000000" w:themeColor="text1"/>
        </w:rPr>
        <w:t xml:space="preserve">Although alternative explanations for unhealthy food </w:t>
      </w:r>
      <w:r w:rsidR="00A016A7" w:rsidRPr="00A567F2">
        <w:rPr>
          <w:rFonts w:ascii="Times" w:hAnsi="Times"/>
          <w:color w:val="000000" w:themeColor="text1"/>
        </w:rPr>
        <w:t>selection exist</w:t>
      </w:r>
      <w:r w:rsidR="006556AC" w:rsidRPr="00A567F2">
        <w:rPr>
          <w:rFonts w:ascii="Times" w:hAnsi="Times"/>
          <w:color w:val="000000" w:themeColor="text1"/>
        </w:rPr>
        <w:t xml:space="preserve"> (e.g., </w:t>
      </w:r>
      <w:r w:rsidR="00A016A7" w:rsidRPr="00A567F2">
        <w:rPr>
          <w:rFonts w:ascii="Times" w:hAnsi="Times"/>
          <w:color w:val="000000" w:themeColor="text1"/>
        </w:rPr>
        <w:t>value-based</w:t>
      </w:r>
      <w:r w:rsidR="00EF033E" w:rsidRPr="00A567F2">
        <w:rPr>
          <w:rFonts w:ascii="Times" w:hAnsi="Times"/>
          <w:color w:val="000000" w:themeColor="text1"/>
        </w:rPr>
        <w:t xml:space="preserve"> </w:t>
      </w:r>
      <w:r w:rsidR="00717D34" w:rsidRPr="00A567F2">
        <w:rPr>
          <w:rFonts w:ascii="Times" w:hAnsi="Times"/>
          <w:color w:val="000000" w:themeColor="text1"/>
        </w:rPr>
        <w:t xml:space="preserve">choice </w:t>
      </w:r>
      <w:r w:rsidR="00EF033E" w:rsidRPr="00A567F2">
        <w:rPr>
          <w:rFonts w:ascii="Times" w:hAnsi="Times"/>
          <w:color w:val="000000" w:themeColor="text1"/>
        </w:rPr>
        <w:t>model of</w:t>
      </w:r>
      <w:r w:rsidR="00A016A7" w:rsidRPr="00A567F2">
        <w:rPr>
          <w:rFonts w:ascii="Times" w:hAnsi="Times"/>
          <w:color w:val="000000" w:themeColor="text1"/>
        </w:rPr>
        <w:t xml:space="preserve"> self-control (Berkman et al., 2017</w:t>
      </w:r>
      <w:r w:rsidR="00EF033E" w:rsidRPr="00A567F2">
        <w:rPr>
          <w:rFonts w:ascii="Times" w:hAnsi="Times"/>
          <w:color w:val="000000" w:themeColor="text1"/>
        </w:rPr>
        <w:t>)</w:t>
      </w:r>
      <w:r w:rsidR="006556AC" w:rsidRPr="00A567F2">
        <w:rPr>
          <w:rFonts w:ascii="Times" w:hAnsi="Times"/>
          <w:color w:val="000000" w:themeColor="text1"/>
        </w:rPr>
        <w:t>), r</w:t>
      </w:r>
      <w:r w:rsidR="008457D1" w:rsidRPr="00A567F2">
        <w:rPr>
          <w:rFonts w:ascii="Times" w:hAnsi="Times"/>
          <w:color w:val="000000" w:themeColor="text1"/>
        </w:rPr>
        <w:t>esearch</w:t>
      </w:r>
      <w:r w:rsidR="006556AC" w:rsidRPr="00A567F2">
        <w:rPr>
          <w:rFonts w:ascii="Times" w:hAnsi="Times"/>
          <w:color w:val="000000" w:themeColor="text1"/>
        </w:rPr>
        <w:t xml:space="preserve"> related to dual process models</w:t>
      </w:r>
      <w:r w:rsidR="008457D1" w:rsidRPr="00A567F2">
        <w:rPr>
          <w:rFonts w:ascii="Times" w:hAnsi="Times"/>
          <w:color w:val="000000" w:themeColor="text1"/>
        </w:rPr>
        <w:t xml:space="preserve"> suggest</w:t>
      </w:r>
      <w:r w:rsidR="006556AC" w:rsidRPr="00A567F2">
        <w:rPr>
          <w:rFonts w:ascii="Times" w:hAnsi="Times"/>
          <w:color w:val="000000" w:themeColor="text1"/>
        </w:rPr>
        <w:t>s</w:t>
      </w:r>
      <w:r w:rsidR="008457D1" w:rsidRPr="00A567F2">
        <w:rPr>
          <w:rFonts w:ascii="Times" w:hAnsi="Times"/>
          <w:color w:val="000000" w:themeColor="text1"/>
        </w:rPr>
        <w:t xml:space="preserve"> that</w:t>
      </w:r>
      <w:r w:rsidR="0030212E" w:rsidRPr="00A567F2">
        <w:rPr>
          <w:rFonts w:ascii="Times" w:hAnsi="Times"/>
          <w:color w:val="000000" w:themeColor="text1"/>
        </w:rPr>
        <w:t xml:space="preserve"> individuals who make poor</w:t>
      </w:r>
      <w:r w:rsidR="002A1B18" w:rsidRPr="00A567F2">
        <w:rPr>
          <w:rFonts w:ascii="Times" w:hAnsi="Times"/>
          <w:color w:val="000000" w:themeColor="text1"/>
        </w:rPr>
        <w:t>er</w:t>
      </w:r>
      <w:r w:rsidR="008457D1" w:rsidRPr="00A567F2">
        <w:rPr>
          <w:rFonts w:ascii="Times" w:hAnsi="Times"/>
          <w:color w:val="000000" w:themeColor="text1"/>
        </w:rPr>
        <w:t xml:space="preserve"> (unhealthy)</w:t>
      </w:r>
      <w:r w:rsidR="0030212E" w:rsidRPr="00A567F2">
        <w:rPr>
          <w:rFonts w:ascii="Times" w:hAnsi="Times"/>
          <w:color w:val="000000" w:themeColor="text1"/>
        </w:rPr>
        <w:t xml:space="preserve"> food choices may</w:t>
      </w:r>
      <w:r w:rsidR="002F50BF" w:rsidRPr="00A567F2">
        <w:rPr>
          <w:rFonts w:ascii="Times" w:hAnsi="Times"/>
          <w:color w:val="000000" w:themeColor="text1"/>
        </w:rPr>
        <w:t xml:space="preserve"> </w:t>
      </w:r>
      <w:r w:rsidR="002A1B18" w:rsidRPr="00A567F2">
        <w:rPr>
          <w:rFonts w:ascii="Times" w:hAnsi="Times"/>
          <w:color w:val="000000" w:themeColor="text1"/>
        </w:rPr>
        <w:t xml:space="preserve">possess strong </w:t>
      </w:r>
      <w:r w:rsidR="006038C6" w:rsidRPr="00A567F2">
        <w:rPr>
          <w:rFonts w:ascii="Times" w:hAnsi="Times"/>
          <w:color w:val="000000" w:themeColor="text1"/>
        </w:rPr>
        <w:t xml:space="preserve">implicit </w:t>
      </w:r>
      <w:r w:rsidR="00D222EA" w:rsidRPr="00A567F2">
        <w:rPr>
          <w:rFonts w:ascii="Times" w:hAnsi="Times"/>
          <w:color w:val="000000" w:themeColor="text1"/>
        </w:rPr>
        <w:t>biases</w:t>
      </w:r>
      <w:r w:rsidR="002A1B18" w:rsidRPr="00A567F2">
        <w:rPr>
          <w:rFonts w:ascii="Times" w:hAnsi="Times"/>
          <w:color w:val="000000" w:themeColor="text1"/>
        </w:rPr>
        <w:t xml:space="preserve"> </w:t>
      </w:r>
      <w:r w:rsidR="00D222EA" w:rsidRPr="00A567F2">
        <w:rPr>
          <w:rFonts w:ascii="Times" w:hAnsi="Times"/>
          <w:color w:val="000000" w:themeColor="text1"/>
        </w:rPr>
        <w:t>for</w:t>
      </w:r>
      <w:r w:rsidR="006F1700" w:rsidRPr="00A567F2">
        <w:rPr>
          <w:rFonts w:ascii="Times" w:hAnsi="Times"/>
          <w:color w:val="000000" w:themeColor="text1"/>
        </w:rPr>
        <w:t xml:space="preserve"> unhealthy food items, </w:t>
      </w:r>
      <w:r w:rsidR="00D222EA" w:rsidRPr="00A567F2">
        <w:rPr>
          <w:rFonts w:ascii="Times" w:hAnsi="Times"/>
          <w:color w:val="000000" w:themeColor="text1"/>
        </w:rPr>
        <w:t>in addition to a weaker reflective system which is unable to resist the desire to consume unhealthy foods (</w:t>
      </w:r>
      <w:r w:rsidR="00053DA0" w:rsidRPr="00A567F2">
        <w:rPr>
          <w:rFonts w:ascii="Times" w:hAnsi="Times"/>
          <w:color w:val="000000" w:themeColor="text1"/>
        </w:rPr>
        <w:t>Forman et al., 2019</w:t>
      </w:r>
      <w:r w:rsidR="00582BFF" w:rsidRPr="00A567F2">
        <w:rPr>
          <w:rFonts w:ascii="Times" w:hAnsi="Times"/>
          <w:color w:val="000000" w:themeColor="text1"/>
        </w:rPr>
        <w:t>; Jones et al., 2018</w:t>
      </w:r>
      <w:r w:rsidR="00627730" w:rsidRPr="00A567F2">
        <w:rPr>
          <w:rFonts w:ascii="Times" w:hAnsi="Times"/>
          <w:color w:val="000000" w:themeColor="text1"/>
        </w:rPr>
        <w:t>; Nederkoorn et al., 2010</w:t>
      </w:r>
      <w:r w:rsidR="00D222EA" w:rsidRPr="00A567F2">
        <w:rPr>
          <w:rFonts w:ascii="Times" w:hAnsi="Times"/>
          <w:color w:val="000000" w:themeColor="text1"/>
        </w:rPr>
        <w:t xml:space="preserve">). </w:t>
      </w:r>
      <w:r w:rsidR="00487189" w:rsidRPr="00A567F2">
        <w:rPr>
          <w:rFonts w:ascii="Times" w:hAnsi="Times"/>
          <w:color w:val="000000" w:themeColor="text1"/>
        </w:rPr>
        <w:t xml:space="preserve">In </w:t>
      </w:r>
      <w:r w:rsidR="008457D1" w:rsidRPr="00A567F2">
        <w:rPr>
          <w:rFonts w:ascii="Times" w:hAnsi="Times"/>
          <w:color w:val="000000" w:themeColor="text1"/>
        </w:rPr>
        <w:t xml:space="preserve">support of </w:t>
      </w:r>
      <w:r w:rsidR="00445430" w:rsidRPr="00A567F2">
        <w:rPr>
          <w:rFonts w:ascii="Times" w:hAnsi="Times"/>
          <w:color w:val="000000" w:themeColor="text1"/>
        </w:rPr>
        <w:t>dual process models</w:t>
      </w:r>
      <w:r w:rsidR="00562B95" w:rsidRPr="00A567F2">
        <w:rPr>
          <w:rFonts w:ascii="Times" w:hAnsi="Times"/>
          <w:color w:val="000000" w:themeColor="text1"/>
        </w:rPr>
        <w:t>,</w:t>
      </w:r>
      <w:r w:rsidR="002C0CF2" w:rsidRPr="00A567F2">
        <w:rPr>
          <w:rFonts w:ascii="Times" w:hAnsi="Times"/>
          <w:color w:val="000000" w:themeColor="text1"/>
        </w:rPr>
        <w:t xml:space="preserve"> </w:t>
      </w:r>
      <w:r w:rsidR="00847AD5" w:rsidRPr="00A567F2">
        <w:rPr>
          <w:rFonts w:ascii="Times" w:hAnsi="Times"/>
          <w:color w:val="000000" w:themeColor="text1"/>
        </w:rPr>
        <w:t>Price</w:t>
      </w:r>
      <w:r w:rsidR="003D065F" w:rsidRPr="00A567F2">
        <w:rPr>
          <w:rFonts w:ascii="Times" w:hAnsi="Times"/>
          <w:color w:val="000000" w:themeColor="text1"/>
        </w:rPr>
        <w:t xml:space="preserve"> et al., </w:t>
      </w:r>
      <w:r w:rsidR="00847AD5" w:rsidRPr="00A567F2">
        <w:rPr>
          <w:rFonts w:ascii="Times" w:hAnsi="Times"/>
          <w:color w:val="000000" w:themeColor="text1"/>
        </w:rPr>
        <w:t>(2016)</w:t>
      </w:r>
      <w:r w:rsidR="00B76D5B" w:rsidRPr="00A567F2">
        <w:rPr>
          <w:rFonts w:ascii="Times" w:hAnsi="Times"/>
          <w:color w:val="000000" w:themeColor="text1"/>
        </w:rPr>
        <w:t xml:space="preserve"> discovered</w:t>
      </w:r>
      <w:r w:rsidR="0072521F" w:rsidRPr="00A567F2">
        <w:rPr>
          <w:rFonts w:ascii="Times" w:hAnsi="Times"/>
          <w:color w:val="000000" w:themeColor="text1"/>
        </w:rPr>
        <w:t xml:space="preserve"> that </w:t>
      </w:r>
      <w:r w:rsidR="00AE4F7A" w:rsidRPr="00A567F2">
        <w:rPr>
          <w:rFonts w:ascii="Times" w:hAnsi="Times"/>
          <w:color w:val="000000" w:themeColor="text1"/>
        </w:rPr>
        <w:t>poorer</w:t>
      </w:r>
      <w:r w:rsidR="00196842" w:rsidRPr="00A567F2">
        <w:rPr>
          <w:rFonts w:ascii="Times" w:hAnsi="Times"/>
          <w:color w:val="000000" w:themeColor="text1"/>
        </w:rPr>
        <w:t xml:space="preserve"> inhibitory control (</w:t>
      </w:r>
      <w:r w:rsidR="00F20E57" w:rsidRPr="00A567F2">
        <w:rPr>
          <w:rFonts w:ascii="Times" w:hAnsi="Times"/>
          <w:color w:val="000000" w:themeColor="text1"/>
        </w:rPr>
        <w:t xml:space="preserve">the ability to inhibit </w:t>
      </w:r>
      <w:r w:rsidR="006D6457" w:rsidRPr="00A567F2">
        <w:rPr>
          <w:rFonts w:ascii="Times" w:hAnsi="Times"/>
          <w:color w:val="000000" w:themeColor="text1"/>
        </w:rPr>
        <w:t xml:space="preserve">or delay </w:t>
      </w:r>
      <w:r w:rsidR="00F20E57" w:rsidRPr="00A567F2">
        <w:rPr>
          <w:rFonts w:ascii="Times" w:hAnsi="Times"/>
          <w:color w:val="000000" w:themeColor="text1"/>
        </w:rPr>
        <w:t xml:space="preserve">behavioural </w:t>
      </w:r>
      <w:r w:rsidR="00AE4F7A" w:rsidRPr="00A567F2">
        <w:rPr>
          <w:rFonts w:ascii="Times" w:hAnsi="Times"/>
          <w:color w:val="000000" w:themeColor="text1"/>
        </w:rPr>
        <w:t>responses</w:t>
      </w:r>
      <w:r w:rsidR="006164B7" w:rsidRPr="00A567F2">
        <w:rPr>
          <w:rFonts w:ascii="Times" w:hAnsi="Times"/>
          <w:color w:val="000000" w:themeColor="text1"/>
        </w:rPr>
        <w:t xml:space="preserve"> in line with longer-term goals</w:t>
      </w:r>
      <w:r w:rsidR="00AE4F7A" w:rsidRPr="00A567F2">
        <w:rPr>
          <w:rFonts w:ascii="Times" w:hAnsi="Times"/>
          <w:color w:val="000000" w:themeColor="text1"/>
        </w:rPr>
        <w:t xml:space="preserve"> </w:t>
      </w:r>
      <w:r w:rsidR="0016280B" w:rsidRPr="00A567F2">
        <w:rPr>
          <w:rFonts w:ascii="Times" w:hAnsi="Times"/>
          <w:color w:val="000000" w:themeColor="text1"/>
        </w:rPr>
        <w:t>(</w:t>
      </w:r>
      <w:r w:rsidR="00ED2FF0" w:rsidRPr="00A567F2">
        <w:rPr>
          <w:rFonts w:ascii="Times" w:hAnsi="Times"/>
          <w:color w:val="000000" w:themeColor="text1"/>
        </w:rPr>
        <w:t>H</w:t>
      </w:r>
      <w:r w:rsidR="00FD267B" w:rsidRPr="00A567F2">
        <w:rPr>
          <w:rFonts w:ascii="Times" w:hAnsi="Times"/>
          <w:color w:val="000000" w:themeColor="text1"/>
        </w:rPr>
        <w:t>ouben</w:t>
      </w:r>
      <w:r w:rsidR="003B1024" w:rsidRPr="00A567F2">
        <w:rPr>
          <w:rFonts w:ascii="Times" w:hAnsi="Times"/>
          <w:color w:val="000000" w:themeColor="text1"/>
        </w:rPr>
        <w:t xml:space="preserve"> et al.</w:t>
      </w:r>
      <w:r w:rsidR="00FD267B" w:rsidRPr="00A567F2">
        <w:rPr>
          <w:rFonts w:ascii="Times" w:hAnsi="Times"/>
          <w:color w:val="000000" w:themeColor="text1"/>
        </w:rPr>
        <w:t>, 2014</w:t>
      </w:r>
      <w:r w:rsidR="008D60B7" w:rsidRPr="00A567F2">
        <w:rPr>
          <w:rFonts w:ascii="Times" w:hAnsi="Times"/>
          <w:color w:val="000000" w:themeColor="text1"/>
        </w:rPr>
        <w:t>)</w:t>
      </w:r>
      <w:r w:rsidR="00F1099A" w:rsidRPr="00A567F2">
        <w:rPr>
          <w:rFonts w:ascii="Times" w:hAnsi="Times"/>
          <w:color w:val="000000" w:themeColor="text1"/>
        </w:rPr>
        <w:t>)</w:t>
      </w:r>
      <w:r w:rsidR="0072521F" w:rsidRPr="00A567F2">
        <w:rPr>
          <w:rFonts w:ascii="Times" w:hAnsi="Times"/>
          <w:color w:val="000000" w:themeColor="text1"/>
        </w:rPr>
        <w:t xml:space="preserve"> </w:t>
      </w:r>
      <w:r w:rsidR="00847AD5" w:rsidRPr="00A567F2">
        <w:rPr>
          <w:rFonts w:ascii="Times" w:hAnsi="Times"/>
          <w:color w:val="000000" w:themeColor="text1"/>
        </w:rPr>
        <w:t xml:space="preserve">was associated with </w:t>
      </w:r>
      <w:r w:rsidR="004B5653" w:rsidRPr="00A567F2">
        <w:rPr>
          <w:rFonts w:ascii="Times" w:hAnsi="Times"/>
          <w:color w:val="000000" w:themeColor="text1"/>
        </w:rPr>
        <w:lastRenderedPageBreak/>
        <w:t xml:space="preserve">overeating </w:t>
      </w:r>
      <w:r w:rsidR="0020719C" w:rsidRPr="00A567F2">
        <w:rPr>
          <w:rFonts w:ascii="Times" w:hAnsi="Times"/>
          <w:color w:val="000000" w:themeColor="text1"/>
        </w:rPr>
        <w:t xml:space="preserve">in response to palatable stimuli. </w:t>
      </w:r>
      <w:r w:rsidR="005B7D43" w:rsidRPr="00A567F2">
        <w:rPr>
          <w:rFonts w:ascii="Times" w:hAnsi="Times"/>
          <w:color w:val="000000" w:themeColor="text1"/>
        </w:rPr>
        <w:t xml:space="preserve">Lower levels of inhibitory control have also been </w:t>
      </w:r>
      <w:r w:rsidR="00F1099A" w:rsidRPr="00A567F2">
        <w:rPr>
          <w:rFonts w:ascii="Times" w:hAnsi="Times"/>
          <w:color w:val="000000" w:themeColor="text1"/>
        </w:rPr>
        <w:t>linked to</w:t>
      </w:r>
      <w:r w:rsidR="00AB4652" w:rsidRPr="00A567F2">
        <w:rPr>
          <w:rFonts w:ascii="Times" w:hAnsi="Times"/>
          <w:color w:val="000000" w:themeColor="text1"/>
        </w:rPr>
        <w:t xml:space="preserve"> </w:t>
      </w:r>
      <w:r w:rsidR="005B6A4D" w:rsidRPr="00A567F2">
        <w:rPr>
          <w:rFonts w:ascii="Times" w:hAnsi="Times"/>
          <w:color w:val="000000" w:themeColor="text1"/>
        </w:rPr>
        <w:t>unsuccessful diet attempts (</w:t>
      </w:r>
      <w:r w:rsidR="005B61AF" w:rsidRPr="00A567F2">
        <w:rPr>
          <w:rFonts w:ascii="Times" w:hAnsi="Times"/>
          <w:color w:val="000000" w:themeColor="text1"/>
        </w:rPr>
        <w:t>Brockmeyer et al., 2016; Nederkoorn et al., 2007)</w:t>
      </w:r>
      <w:r w:rsidR="00865F83" w:rsidRPr="00A567F2">
        <w:rPr>
          <w:rFonts w:ascii="Times" w:hAnsi="Times"/>
          <w:color w:val="000000" w:themeColor="text1"/>
        </w:rPr>
        <w:t xml:space="preserve">, </w:t>
      </w:r>
      <w:r w:rsidR="00101BFB" w:rsidRPr="00A567F2">
        <w:rPr>
          <w:rFonts w:ascii="Times" w:hAnsi="Times"/>
          <w:color w:val="000000" w:themeColor="text1"/>
        </w:rPr>
        <w:t>with</w:t>
      </w:r>
      <w:r w:rsidR="00A9533F" w:rsidRPr="00A567F2">
        <w:rPr>
          <w:rFonts w:ascii="Times" w:hAnsi="Times"/>
          <w:color w:val="000000" w:themeColor="text1"/>
        </w:rPr>
        <w:t xml:space="preserve"> </w:t>
      </w:r>
      <w:r w:rsidR="008E3DD5" w:rsidRPr="00A567F2">
        <w:rPr>
          <w:rFonts w:ascii="Times" w:hAnsi="Times"/>
          <w:color w:val="000000" w:themeColor="text1"/>
        </w:rPr>
        <w:t xml:space="preserve">research </w:t>
      </w:r>
      <w:r w:rsidR="00C1799A" w:rsidRPr="00A567F2">
        <w:rPr>
          <w:rFonts w:ascii="Times" w:hAnsi="Times"/>
          <w:color w:val="000000" w:themeColor="text1"/>
        </w:rPr>
        <w:t xml:space="preserve">by </w:t>
      </w:r>
      <w:r w:rsidR="00CD1894" w:rsidRPr="00A567F2">
        <w:rPr>
          <w:rFonts w:ascii="Times" w:hAnsi="Times"/>
          <w:color w:val="000000" w:themeColor="text1"/>
        </w:rPr>
        <w:t xml:space="preserve">Spitoni et al., (2017) </w:t>
      </w:r>
      <w:r w:rsidR="00480C07" w:rsidRPr="00A567F2">
        <w:rPr>
          <w:rFonts w:ascii="Times" w:hAnsi="Times"/>
          <w:color w:val="000000" w:themeColor="text1"/>
        </w:rPr>
        <w:t>discovering</w:t>
      </w:r>
      <w:r w:rsidR="00FF4F8E" w:rsidRPr="00A567F2">
        <w:rPr>
          <w:rFonts w:ascii="Times" w:hAnsi="Times"/>
          <w:color w:val="000000" w:themeColor="text1"/>
        </w:rPr>
        <w:t xml:space="preserve"> </w:t>
      </w:r>
      <w:r w:rsidR="00C1799A" w:rsidRPr="00A567F2">
        <w:rPr>
          <w:rFonts w:ascii="Times" w:hAnsi="Times"/>
          <w:color w:val="000000" w:themeColor="text1"/>
        </w:rPr>
        <w:t xml:space="preserve">that individuals with obesity </w:t>
      </w:r>
      <w:r w:rsidR="005973A2" w:rsidRPr="00A567F2">
        <w:rPr>
          <w:rFonts w:ascii="Times" w:hAnsi="Times"/>
          <w:color w:val="000000" w:themeColor="text1"/>
        </w:rPr>
        <w:t>had</w:t>
      </w:r>
      <w:r w:rsidR="00C1799A" w:rsidRPr="00A567F2">
        <w:rPr>
          <w:rFonts w:ascii="Times" w:hAnsi="Times"/>
          <w:color w:val="000000" w:themeColor="text1"/>
        </w:rPr>
        <w:t xml:space="preserve"> poorer inhibitory </w:t>
      </w:r>
      <w:r w:rsidR="000F063A" w:rsidRPr="00A567F2">
        <w:rPr>
          <w:rFonts w:ascii="Times" w:hAnsi="Times"/>
          <w:color w:val="000000" w:themeColor="text1"/>
        </w:rPr>
        <w:t>control abilities</w:t>
      </w:r>
      <w:r w:rsidR="00C1799A" w:rsidRPr="00A567F2">
        <w:rPr>
          <w:rFonts w:ascii="Times" w:hAnsi="Times"/>
          <w:color w:val="000000" w:themeColor="text1"/>
        </w:rPr>
        <w:t xml:space="preserve"> compared </w:t>
      </w:r>
      <w:r w:rsidR="004F29B2" w:rsidRPr="00A567F2">
        <w:rPr>
          <w:rFonts w:ascii="Times" w:hAnsi="Times"/>
          <w:color w:val="000000" w:themeColor="text1"/>
        </w:rPr>
        <w:t>to healthy</w:t>
      </w:r>
      <w:r w:rsidR="00C1799A" w:rsidRPr="00A567F2">
        <w:rPr>
          <w:rFonts w:ascii="Times" w:hAnsi="Times"/>
          <w:color w:val="000000" w:themeColor="text1"/>
        </w:rPr>
        <w:t xml:space="preserve"> weight participants. </w:t>
      </w:r>
    </w:p>
    <w:p w14:paraId="3F2E0104" w14:textId="031A90CB" w:rsidR="005D354C" w:rsidRPr="00A567F2" w:rsidRDefault="002B5F4B" w:rsidP="006F1336">
      <w:pPr>
        <w:spacing w:line="480" w:lineRule="auto"/>
        <w:rPr>
          <w:rFonts w:ascii="Times" w:hAnsi="Times"/>
          <w:color w:val="000000" w:themeColor="text1"/>
        </w:rPr>
      </w:pPr>
      <w:r w:rsidRPr="00A567F2">
        <w:rPr>
          <w:rFonts w:ascii="Times" w:hAnsi="Times"/>
          <w:color w:val="000000" w:themeColor="text1"/>
        </w:rPr>
        <w:tab/>
        <w:t xml:space="preserve">Cognitive Bias Modification (CBM) paradigms attempt to target these implicit and / or reflective processes to attenuate or strengthen their influence on subsequent </w:t>
      </w:r>
      <w:r w:rsidR="00055B93" w:rsidRPr="00A567F2">
        <w:rPr>
          <w:rFonts w:ascii="Times" w:hAnsi="Times"/>
          <w:color w:val="000000" w:themeColor="text1"/>
        </w:rPr>
        <w:t>behaviour</w:t>
      </w:r>
      <w:r w:rsidR="00203047" w:rsidRPr="00A567F2">
        <w:rPr>
          <w:rFonts w:ascii="Times" w:hAnsi="Times"/>
          <w:color w:val="000000" w:themeColor="text1"/>
        </w:rPr>
        <w:t xml:space="preserve"> (Friese</w:t>
      </w:r>
      <w:r w:rsidR="00943333" w:rsidRPr="00A567F2">
        <w:rPr>
          <w:rFonts w:ascii="Times" w:hAnsi="Times"/>
          <w:color w:val="000000" w:themeColor="text1"/>
        </w:rPr>
        <w:t xml:space="preserve"> et al.,</w:t>
      </w:r>
      <w:r w:rsidR="00203047" w:rsidRPr="00A567F2">
        <w:rPr>
          <w:rFonts w:ascii="Times" w:hAnsi="Times"/>
          <w:color w:val="000000" w:themeColor="text1"/>
        </w:rPr>
        <w:t xml:space="preserve"> 2011)</w:t>
      </w:r>
      <w:r w:rsidR="00235F89" w:rsidRPr="00A567F2">
        <w:rPr>
          <w:rFonts w:ascii="Times" w:hAnsi="Times"/>
          <w:color w:val="000000" w:themeColor="text1"/>
        </w:rPr>
        <w:t xml:space="preserve">. </w:t>
      </w:r>
      <w:r w:rsidRPr="00A567F2">
        <w:rPr>
          <w:rFonts w:ascii="Times" w:hAnsi="Times"/>
          <w:color w:val="000000" w:themeColor="text1"/>
        </w:rPr>
        <w:t>A typical example is Inhibitory Control Training</w:t>
      </w:r>
      <w:r w:rsidR="000B1995" w:rsidRPr="00A567F2">
        <w:rPr>
          <w:rFonts w:ascii="Times" w:hAnsi="Times"/>
          <w:color w:val="000000" w:themeColor="text1"/>
        </w:rPr>
        <w:t xml:space="preserve"> (ICT)</w:t>
      </w:r>
      <w:r w:rsidRPr="00A567F2">
        <w:rPr>
          <w:rFonts w:ascii="Times" w:hAnsi="Times"/>
          <w:color w:val="000000" w:themeColor="text1"/>
        </w:rPr>
        <w:t xml:space="preserve">. </w:t>
      </w:r>
      <w:r w:rsidR="00C473F6" w:rsidRPr="00A567F2">
        <w:rPr>
          <w:rFonts w:ascii="Times" w:hAnsi="Times"/>
          <w:color w:val="000000" w:themeColor="text1"/>
        </w:rPr>
        <w:t xml:space="preserve"> In this paradigm</w:t>
      </w:r>
      <w:r w:rsidR="002D6EB8" w:rsidRPr="00A567F2">
        <w:rPr>
          <w:rFonts w:ascii="Times" w:hAnsi="Times"/>
          <w:color w:val="000000" w:themeColor="text1"/>
        </w:rPr>
        <w:t>,</w:t>
      </w:r>
      <w:r w:rsidR="00C473F6" w:rsidRPr="00A567F2">
        <w:rPr>
          <w:rFonts w:ascii="Times" w:hAnsi="Times"/>
          <w:color w:val="000000" w:themeColor="text1"/>
        </w:rPr>
        <w:t xml:space="preserve"> participants learn to repeatedly inhibit a motor behaviour in </w:t>
      </w:r>
      <w:r w:rsidR="001E2FEF" w:rsidRPr="00A567F2">
        <w:rPr>
          <w:rFonts w:ascii="Times" w:hAnsi="Times"/>
          <w:color w:val="000000" w:themeColor="text1"/>
        </w:rPr>
        <w:t>the presence of</w:t>
      </w:r>
      <w:r w:rsidR="00C473F6" w:rsidRPr="00A567F2">
        <w:rPr>
          <w:rFonts w:ascii="Times" w:hAnsi="Times"/>
          <w:color w:val="000000" w:themeColor="text1"/>
        </w:rPr>
        <w:t xml:space="preserve"> unhealthy-food cues</w:t>
      </w:r>
      <w:r w:rsidR="00E645DB" w:rsidRPr="00A567F2">
        <w:rPr>
          <w:rFonts w:ascii="Times" w:hAnsi="Times"/>
          <w:color w:val="000000" w:themeColor="text1"/>
        </w:rPr>
        <w:t xml:space="preserve"> (cue-&gt;inhibition response contingency)</w:t>
      </w:r>
      <w:r w:rsidR="001E2FEF" w:rsidRPr="00A567F2">
        <w:rPr>
          <w:rFonts w:ascii="Times" w:hAnsi="Times"/>
          <w:color w:val="000000" w:themeColor="text1"/>
        </w:rPr>
        <w:t>, which is thought</w:t>
      </w:r>
      <w:r w:rsidR="00900B04" w:rsidRPr="00A567F2">
        <w:rPr>
          <w:rFonts w:ascii="Times" w:hAnsi="Times"/>
          <w:color w:val="000000" w:themeColor="text1"/>
        </w:rPr>
        <w:t xml:space="preserve"> to reduce preference</w:t>
      </w:r>
      <w:r w:rsidR="00144358" w:rsidRPr="00A567F2">
        <w:rPr>
          <w:rFonts w:ascii="Times" w:hAnsi="Times"/>
          <w:color w:val="000000" w:themeColor="text1"/>
        </w:rPr>
        <w:t xml:space="preserve"> and approach</w:t>
      </w:r>
      <w:r w:rsidR="00ED01A4" w:rsidRPr="00A567F2">
        <w:rPr>
          <w:rFonts w:ascii="Times" w:hAnsi="Times"/>
          <w:color w:val="000000" w:themeColor="text1"/>
        </w:rPr>
        <w:t xml:space="preserve"> related</w:t>
      </w:r>
      <w:r w:rsidR="00144358" w:rsidRPr="00A567F2">
        <w:rPr>
          <w:rFonts w:ascii="Times" w:hAnsi="Times"/>
          <w:color w:val="000000" w:themeColor="text1"/>
        </w:rPr>
        <w:t xml:space="preserve"> behaviours for these foods</w:t>
      </w:r>
      <w:r w:rsidR="007111DF" w:rsidRPr="00A567F2">
        <w:rPr>
          <w:rFonts w:ascii="Times" w:hAnsi="Times"/>
          <w:color w:val="000000" w:themeColor="text1"/>
        </w:rPr>
        <w:t xml:space="preserve"> (potentially through </w:t>
      </w:r>
      <w:r w:rsidR="00533CBE" w:rsidRPr="00A567F2">
        <w:rPr>
          <w:rFonts w:ascii="Times" w:hAnsi="Times"/>
          <w:color w:val="000000" w:themeColor="text1"/>
        </w:rPr>
        <w:t xml:space="preserve">an </w:t>
      </w:r>
      <w:r w:rsidR="007111DF" w:rsidRPr="00A567F2">
        <w:rPr>
          <w:rFonts w:ascii="Times" w:hAnsi="Times"/>
          <w:color w:val="000000" w:themeColor="text1"/>
        </w:rPr>
        <w:t xml:space="preserve">object evaluation </w:t>
      </w:r>
      <w:r w:rsidR="00533CBE" w:rsidRPr="00A567F2">
        <w:rPr>
          <w:rFonts w:ascii="Times" w:hAnsi="Times"/>
          <w:color w:val="000000" w:themeColor="text1"/>
        </w:rPr>
        <w:t xml:space="preserve">mechanism </w:t>
      </w:r>
      <w:r w:rsidR="00D31A30" w:rsidRPr="00A567F2">
        <w:rPr>
          <w:rFonts w:ascii="Times" w:hAnsi="Times"/>
          <w:color w:val="000000" w:themeColor="text1"/>
        </w:rPr>
        <w:t>rather than training i</w:t>
      </w:r>
      <w:r w:rsidR="00CA2C22" w:rsidRPr="00A567F2">
        <w:rPr>
          <w:rFonts w:ascii="Times" w:hAnsi="Times"/>
          <w:color w:val="000000" w:themeColor="text1"/>
        </w:rPr>
        <w:t>ndividual i</w:t>
      </w:r>
      <w:r w:rsidR="00D31A30" w:rsidRPr="00A567F2">
        <w:rPr>
          <w:rFonts w:ascii="Times" w:hAnsi="Times"/>
          <w:color w:val="000000" w:themeColor="text1"/>
        </w:rPr>
        <w:t xml:space="preserve">nhibitory ability </w:t>
      </w:r>
      <w:r w:rsidR="007111DF" w:rsidRPr="00A567F2">
        <w:rPr>
          <w:rFonts w:ascii="Times" w:hAnsi="Times"/>
          <w:color w:val="000000" w:themeColor="text1"/>
        </w:rPr>
        <w:t>(Johannes et al., 2020)</w:t>
      </w:r>
      <w:r w:rsidR="00F73771" w:rsidRPr="00A567F2">
        <w:rPr>
          <w:rFonts w:ascii="Times" w:hAnsi="Times"/>
          <w:color w:val="000000" w:themeColor="text1"/>
        </w:rPr>
        <w:t>.</w:t>
      </w:r>
      <w:r w:rsidR="000B1995" w:rsidRPr="00A567F2">
        <w:rPr>
          <w:rFonts w:ascii="Times" w:hAnsi="Times"/>
          <w:color w:val="000000" w:themeColor="text1"/>
        </w:rPr>
        <w:t xml:space="preserve"> As such ICT is also referred to as motor response training</w:t>
      </w:r>
      <w:r w:rsidR="00F73771" w:rsidRPr="00A567F2">
        <w:rPr>
          <w:rFonts w:ascii="Times" w:hAnsi="Times"/>
          <w:color w:val="000000" w:themeColor="text1"/>
        </w:rPr>
        <w:t>, due to the lack of inhibitory control change as a potential mechanism)</w:t>
      </w:r>
      <w:r w:rsidR="000B1995" w:rsidRPr="00A567F2">
        <w:rPr>
          <w:rFonts w:ascii="Times" w:hAnsi="Times"/>
          <w:color w:val="000000" w:themeColor="text1"/>
        </w:rPr>
        <w:t xml:space="preserve">. </w:t>
      </w:r>
      <w:r w:rsidR="00F87320" w:rsidRPr="00A567F2">
        <w:rPr>
          <w:rFonts w:ascii="Times" w:hAnsi="Times"/>
          <w:color w:val="000000" w:themeColor="text1"/>
        </w:rPr>
        <w:t>Cue-specific inhibition training was developed from Behavioural-Stimulus interaction theory (</w:t>
      </w:r>
      <w:r w:rsidR="00F72AF9" w:rsidRPr="00A567F2">
        <w:rPr>
          <w:rFonts w:ascii="Times" w:hAnsi="Times"/>
          <w:color w:val="000000" w:themeColor="text1"/>
        </w:rPr>
        <w:t>Veling</w:t>
      </w:r>
      <w:r w:rsidR="009D65D9" w:rsidRPr="00A567F2">
        <w:rPr>
          <w:rFonts w:ascii="Times" w:hAnsi="Times"/>
          <w:color w:val="000000" w:themeColor="text1"/>
        </w:rPr>
        <w:t xml:space="preserve"> et al., </w:t>
      </w:r>
      <w:r w:rsidR="00F72AF9" w:rsidRPr="00A567F2">
        <w:rPr>
          <w:rFonts w:ascii="Times" w:hAnsi="Times"/>
          <w:color w:val="000000" w:themeColor="text1"/>
        </w:rPr>
        <w:t>2008</w:t>
      </w:r>
      <w:r w:rsidR="00F87320" w:rsidRPr="00A567F2">
        <w:rPr>
          <w:rFonts w:ascii="Times" w:hAnsi="Times"/>
          <w:color w:val="000000" w:themeColor="text1"/>
        </w:rPr>
        <w:t xml:space="preserve">), which hypothesises that inhibiting to positively </w:t>
      </w:r>
      <w:r w:rsidR="0026371B" w:rsidRPr="00A567F2">
        <w:rPr>
          <w:rFonts w:ascii="Times" w:hAnsi="Times"/>
          <w:color w:val="000000" w:themeColor="text1"/>
        </w:rPr>
        <w:t>valenced</w:t>
      </w:r>
      <w:r w:rsidR="00F87320" w:rsidRPr="00A567F2">
        <w:rPr>
          <w:rFonts w:ascii="Times" w:hAnsi="Times"/>
          <w:color w:val="000000" w:themeColor="text1"/>
        </w:rPr>
        <w:t xml:space="preserve"> cues (e.g. palatable foods) creates a response conflict</w:t>
      </w:r>
      <w:r w:rsidR="001E2FEF" w:rsidRPr="00A567F2">
        <w:rPr>
          <w:rFonts w:ascii="Times" w:hAnsi="Times"/>
          <w:color w:val="000000" w:themeColor="text1"/>
        </w:rPr>
        <w:t xml:space="preserve"> as the typical response would be to approach these cues (</w:t>
      </w:r>
      <w:r w:rsidR="005D354C" w:rsidRPr="00A567F2">
        <w:rPr>
          <w:rFonts w:ascii="Times" w:hAnsi="Times"/>
          <w:color w:val="000000" w:themeColor="text1"/>
        </w:rPr>
        <w:t>assuming</w:t>
      </w:r>
      <w:r w:rsidR="001E2FEF" w:rsidRPr="00A567F2">
        <w:rPr>
          <w:rFonts w:ascii="Times" w:hAnsi="Times"/>
          <w:color w:val="000000" w:themeColor="text1"/>
        </w:rPr>
        <w:t xml:space="preserve"> stron</w:t>
      </w:r>
      <w:r w:rsidR="005D354C" w:rsidRPr="00A567F2">
        <w:rPr>
          <w:rFonts w:ascii="Times" w:hAnsi="Times"/>
          <w:color w:val="000000" w:themeColor="text1"/>
        </w:rPr>
        <w:t>g</w:t>
      </w:r>
      <w:r w:rsidR="001E2FEF" w:rsidRPr="00A567F2">
        <w:rPr>
          <w:rFonts w:ascii="Times" w:hAnsi="Times"/>
          <w:color w:val="000000" w:themeColor="text1"/>
        </w:rPr>
        <w:t xml:space="preserve"> implicit processes</w:t>
      </w:r>
      <w:r w:rsidR="0058164E" w:rsidRPr="00A567F2">
        <w:rPr>
          <w:rFonts w:ascii="Times" w:hAnsi="Times"/>
          <w:color w:val="000000" w:themeColor="text1"/>
        </w:rPr>
        <w:t xml:space="preserve"> (Kemps &amp; Tiggemann, 2015</w:t>
      </w:r>
      <w:r w:rsidR="001E2FEF" w:rsidRPr="00A567F2">
        <w:rPr>
          <w:rFonts w:ascii="Times" w:hAnsi="Times"/>
          <w:color w:val="000000" w:themeColor="text1"/>
        </w:rPr>
        <w:t>)</w:t>
      </w:r>
      <w:r w:rsidR="00C473F6" w:rsidRPr="00A567F2">
        <w:rPr>
          <w:rFonts w:ascii="Times" w:hAnsi="Times"/>
          <w:color w:val="000000" w:themeColor="text1"/>
        </w:rPr>
        <w:t xml:space="preserve">. </w:t>
      </w:r>
      <w:r w:rsidR="00EA05C5" w:rsidRPr="00A567F2">
        <w:rPr>
          <w:rFonts w:ascii="Times" w:hAnsi="Times"/>
          <w:color w:val="000000" w:themeColor="text1"/>
        </w:rPr>
        <w:t>To</w:t>
      </w:r>
      <w:r w:rsidR="00C473F6" w:rsidRPr="00A567F2">
        <w:rPr>
          <w:rFonts w:ascii="Times" w:hAnsi="Times"/>
          <w:color w:val="000000" w:themeColor="text1"/>
        </w:rPr>
        <w:t xml:space="preserve"> reduce the conflict</w:t>
      </w:r>
      <w:r w:rsidR="00EA05C5" w:rsidRPr="00A567F2">
        <w:rPr>
          <w:rFonts w:ascii="Times" w:hAnsi="Times"/>
          <w:color w:val="000000" w:themeColor="text1"/>
        </w:rPr>
        <w:t>,</w:t>
      </w:r>
      <w:r w:rsidR="00C473F6" w:rsidRPr="00A567F2">
        <w:rPr>
          <w:rFonts w:ascii="Times" w:hAnsi="Times"/>
          <w:color w:val="000000" w:themeColor="text1"/>
        </w:rPr>
        <w:t xml:space="preserve"> negative valence is attached to the previously positively valanced cues, reducing their </w:t>
      </w:r>
      <w:r w:rsidRPr="00A567F2">
        <w:rPr>
          <w:rFonts w:ascii="Times" w:hAnsi="Times"/>
          <w:color w:val="000000" w:themeColor="text1"/>
        </w:rPr>
        <w:t>perceived</w:t>
      </w:r>
      <w:r w:rsidR="00C473F6" w:rsidRPr="00A567F2">
        <w:rPr>
          <w:rFonts w:ascii="Times" w:hAnsi="Times"/>
          <w:color w:val="000000" w:themeColor="text1"/>
        </w:rPr>
        <w:t xml:space="preserve"> value</w:t>
      </w:r>
      <w:r w:rsidR="001E2FEF" w:rsidRPr="00A567F2">
        <w:rPr>
          <w:rFonts w:ascii="Times" w:hAnsi="Times"/>
          <w:color w:val="000000" w:themeColor="text1"/>
        </w:rPr>
        <w:t xml:space="preserve"> (</w:t>
      </w:r>
      <w:r w:rsidR="00BF1FB7" w:rsidRPr="00A567F2">
        <w:rPr>
          <w:rFonts w:ascii="Times" w:hAnsi="Times"/>
          <w:color w:val="000000" w:themeColor="text1"/>
        </w:rPr>
        <w:t xml:space="preserve">known as </w:t>
      </w:r>
      <w:r w:rsidR="001E2FEF" w:rsidRPr="00A567F2">
        <w:rPr>
          <w:rFonts w:ascii="Times" w:hAnsi="Times"/>
          <w:i/>
          <w:iCs/>
          <w:color w:val="000000" w:themeColor="text1"/>
        </w:rPr>
        <w:t>devaluation</w:t>
      </w:r>
      <w:r w:rsidR="001E2FEF" w:rsidRPr="00A567F2">
        <w:rPr>
          <w:rFonts w:ascii="Times" w:hAnsi="Times"/>
          <w:color w:val="000000" w:themeColor="text1"/>
        </w:rPr>
        <w:t>)</w:t>
      </w:r>
      <w:r w:rsidR="00C473F6" w:rsidRPr="00A567F2">
        <w:rPr>
          <w:rFonts w:ascii="Times" w:hAnsi="Times"/>
          <w:color w:val="000000" w:themeColor="text1"/>
        </w:rPr>
        <w:t>.</w:t>
      </w:r>
      <w:r w:rsidR="003F3294" w:rsidRPr="00A567F2">
        <w:rPr>
          <w:rFonts w:ascii="Times" w:hAnsi="Times"/>
          <w:color w:val="000000" w:themeColor="text1"/>
        </w:rPr>
        <w:t xml:space="preserve"> </w:t>
      </w:r>
      <w:r w:rsidR="005D354C" w:rsidRPr="00A567F2">
        <w:rPr>
          <w:rFonts w:ascii="Times" w:hAnsi="Times"/>
          <w:color w:val="000000" w:themeColor="text1"/>
        </w:rPr>
        <w:t>Devaluation of food-related cues following ICT has been observed reliably in a number of studies (e.g</w:t>
      </w:r>
      <w:r w:rsidR="00CD4884" w:rsidRPr="00A567F2">
        <w:rPr>
          <w:rFonts w:ascii="Times" w:hAnsi="Times"/>
          <w:color w:val="000000" w:themeColor="text1"/>
        </w:rPr>
        <w:t>.</w:t>
      </w:r>
      <w:r w:rsidR="00FC5D1B" w:rsidRPr="00A567F2">
        <w:rPr>
          <w:rFonts w:ascii="Times" w:hAnsi="Times"/>
          <w:color w:val="000000" w:themeColor="text1"/>
        </w:rPr>
        <w:t xml:space="preserve">, </w:t>
      </w:r>
      <w:r w:rsidR="006E29FE" w:rsidRPr="00A567F2">
        <w:rPr>
          <w:rFonts w:ascii="Times" w:hAnsi="Times"/>
          <w:color w:val="000000" w:themeColor="text1"/>
        </w:rPr>
        <w:t xml:space="preserve">Chen, </w:t>
      </w:r>
      <w:r w:rsidR="00F54480" w:rsidRPr="00A567F2">
        <w:rPr>
          <w:rFonts w:ascii="Times" w:hAnsi="Times"/>
          <w:color w:val="000000" w:themeColor="text1"/>
        </w:rPr>
        <w:t>et al.</w:t>
      </w:r>
      <w:r w:rsidR="00255A38" w:rsidRPr="00A567F2">
        <w:rPr>
          <w:rFonts w:ascii="Times" w:hAnsi="Times"/>
          <w:color w:val="000000" w:themeColor="text1"/>
        </w:rPr>
        <w:t>, 2016</w:t>
      </w:r>
      <w:r w:rsidR="00263502" w:rsidRPr="00A567F2">
        <w:rPr>
          <w:rFonts w:ascii="Times" w:hAnsi="Times"/>
          <w:color w:val="000000" w:themeColor="text1"/>
        </w:rPr>
        <w:t xml:space="preserve">; </w:t>
      </w:r>
      <w:r w:rsidR="006B1261" w:rsidRPr="00A567F2">
        <w:rPr>
          <w:rFonts w:ascii="Times" w:hAnsi="Times"/>
          <w:color w:val="000000" w:themeColor="text1"/>
        </w:rPr>
        <w:t>van Koningsbruggen et al</w:t>
      </w:r>
      <w:r w:rsidR="00DF07EA" w:rsidRPr="00A567F2">
        <w:rPr>
          <w:rFonts w:ascii="Times" w:hAnsi="Times"/>
          <w:color w:val="000000" w:themeColor="text1"/>
        </w:rPr>
        <w:t>.</w:t>
      </w:r>
      <w:r w:rsidR="006B1261" w:rsidRPr="00A567F2">
        <w:rPr>
          <w:rFonts w:ascii="Times" w:hAnsi="Times"/>
          <w:color w:val="000000" w:themeColor="text1"/>
        </w:rPr>
        <w:t>, 2014</w:t>
      </w:r>
      <w:r w:rsidR="005D354C" w:rsidRPr="00A567F2">
        <w:rPr>
          <w:rFonts w:ascii="Times" w:hAnsi="Times"/>
          <w:color w:val="000000" w:themeColor="text1"/>
        </w:rPr>
        <w:t>), and is hypothesised as the most likely mechanism of ICT (</w:t>
      </w:r>
      <w:r w:rsidR="00CD4884" w:rsidRPr="00A567F2">
        <w:rPr>
          <w:rFonts w:ascii="Times" w:hAnsi="Times"/>
          <w:color w:val="000000" w:themeColor="text1"/>
        </w:rPr>
        <w:t>Veling et al., 2017</w:t>
      </w:r>
      <w:r w:rsidR="005D354C" w:rsidRPr="00A567F2">
        <w:rPr>
          <w:rFonts w:ascii="Times" w:hAnsi="Times"/>
          <w:color w:val="000000" w:themeColor="text1"/>
        </w:rPr>
        <w:t xml:space="preserve">). </w:t>
      </w:r>
    </w:p>
    <w:p w14:paraId="086BABFD" w14:textId="05CBAA7F" w:rsidR="00FE7E32" w:rsidRPr="00A567F2" w:rsidRDefault="003F3294" w:rsidP="00DB21A5">
      <w:pPr>
        <w:spacing w:line="480" w:lineRule="auto"/>
        <w:ind w:firstLine="720"/>
        <w:rPr>
          <w:rFonts w:ascii="Times" w:hAnsi="Times"/>
          <w:color w:val="000000" w:themeColor="text1"/>
        </w:rPr>
      </w:pPr>
      <w:r w:rsidRPr="00A567F2">
        <w:rPr>
          <w:rFonts w:ascii="Times" w:hAnsi="Times"/>
          <w:color w:val="000000" w:themeColor="text1"/>
        </w:rPr>
        <w:t>Meta-analyses suggest that ICT has a small bu</w:t>
      </w:r>
      <w:r w:rsidR="00C30AFB" w:rsidRPr="00A567F2">
        <w:rPr>
          <w:rFonts w:ascii="Times" w:hAnsi="Times"/>
          <w:color w:val="000000" w:themeColor="text1"/>
        </w:rPr>
        <w:t xml:space="preserve">t robust effect on food choice </w:t>
      </w:r>
      <w:r w:rsidRPr="00A567F2">
        <w:rPr>
          <w:rFonts w:ascii="Times" w:hAnsi="Times"/>
          <w:color w:val="000000" w:themeColor="text1"/>
        </w:rPr>
        <w:t>and</w:t>
      </w:r>
      <w:r w:rsidR="00C30AFB" w:rsidRPr="00A567F2">
        <w:rPr>
          <w:rFonts w:ascii="Times" w:hAnsi="Times"/>
          <w:color w:val="000000" w:themeColor="text1"/>
        </w:rPr>
        <w:t xml:space="preserve"> intake</w:t>
      </w:r>
      <w:r w:rsidR="00225518" w:rsidRPr="00A567F2">
        <w:rPr>
          <w:rFonts w:ascii="Times" w:hAnsi="Times"/>
          <w:color w:val="000000" w:themeColor="text1"/>
        </w:rPr>
        <w:t xml:space="preserve"> for </w:t>
      </w:r>
      <w:r w:rsidR="003B5642" w:rsidRPr="00A567F2">
        <w:rPr>
          <w:rFonts w:ascii="Times" w:hAnsi="Times"/>
          <w:color w:val="000000" w:themeColor="text1"/>
        </w:rPr>
        <w:t xml:space="preserve">healthy </w:t>
      </w:r>
      <w:r w:rsidR="00225518" w:rsidRPr="00A567F2">
        <w:rPr>
          <w:rFonts w:ascii="Times" w:hAnsi="Times"/>
          <w:color w:val="000000" w:themeColor="text1"/>
        </w:rPr>
        <w:t>weight participants</w:t>
      </w:r>
      <w:r w:rsidRPr="00A567F2">
        <w:rPr>
          <w:rFonts w:ascii="Times" w:hAnsi="Times"/>
          <w:color w:val="000000" w:themeColor="text1"/>
        </w:rPr>
        <w:t xml:space="preserve"> in the lab (Allom</w:t>
      </w:r>
      <w:r w:rsidR="00E32128" w:rsidRPr="00A567F2">
        <w:rPr>
          <w:rFonts w:ascii="Times" w:hAnsi="Times"/>
          <w:color w:val="000000" w:themeColor="text1"/>
        </w:rPr>
        <w:t xml:space="preserve"> et al., </w:t>
      </w:r>
      <w:r w:rsidRPr="00A567F2">
        <w:rPr>
          <w:rFonts w:ascii="Times" w:hAnsi="Times"/>
          <w:color w:val="000000" w:themeColor="text1"/>
        </w:rPr>
        <w:t>2016; Jones et al., 2016)</w:t>
      </w:r>
      <w:r w:rsidR="005D354C" w:rsidRPr="00A567F2">
        <w:rPr>
          <w:rFonts w:ascii="Times" w:hAnsi="Times"/>
          <w:color w:val="000000" w:themeColor="text1"/>
        </w:rPr>
        <w:t xml:space="preserve">. </w:t>
      </w:r>
      <w:r w:rsidR="001E2FEF" w:rsidRPr="00A567F2">
        <w:rPr>
          <w:rFonts w:ascii="Times" w:hAnsi="Times"/>
          <w:color w:val="000000" w:themeColor="text1"/>
        </w:rPr>
        <w:t>H</w:t>
      </w:r>
      <w:r w:rsidR="007763E2" w:rsidRPr="00A567F2">
        <w:rPr>
          <w:rFonts w:ascii="Times" w:hAnsi="Times"/>
          <w:color w:val="000000" w:themeColor="text1"/>
        </w:rPr>
        <w:t>owever</w:t>
      </w:r>
      <w:r w:rsidR="00C30AFB" w:rsidRPr="00A567F2">
        <w:rPr>
          <w:rFonts w:ascii="Times" w:hAnsi="Times"/>
          <w:color w:val="000000" w:themeColor="text1"/>
        </w:rPr>
        <w:t xml:space="preserve">, there is considerable variation in effect sizes between individual studies, and not all studies report </w:t>
      </w:r>
      <w:r w:rsidR="00B960B9" w:rsidRPr="00A567F2">
        <w:rPr>
          <w:rFonts w:ascii="Times" w:hAnsi="Times"/>
          <w:color w:val="000000" w:themeColor="text1"/>
        </w:rPr>
        <w:t xml:space="preserve">positive </w:t>
      </w:r>
      <w:r w:rsidR="00635B44" w:rsidRPr="00A567F2">
        <w:rPr>
          <w:rFonts w:ascii="Times" w:hAnsi="Times"/>
          <w:color w:val="000000" w:themeColor="text1"/>
        </w:rPr>
        <w:t xml:space="preserve">post training </w:t>
      </w:r>
      <w:r w:rsidR="00B960B9" w:rsidRPr="00A567F2">
        <w:rPr>
          <w:rFonts w:ascii="Times" w:hAnsi="Times"/>
          <w:color w:val="000000" w:themeColor="text1"/>
        </w:rPr>
        <w:t>outcom</w:t>
      </w:r>
      <w:r w:rsidR="00635B44" w:rsidRPr="00A567F2">
        <w:rPr>
          <w:rFonts w:ascii="Times" w:hAnsi="Times"/>
          <w:color w:val="000000" w:themeColor="text1"/>
        </w:rPr>
        <w:t>es</w:t>
      </w:r>
      <w:r w:rsidR="00B960B9" w:rsidRPr="00A567F2">
        <w:rPr>
          <w:rFonts w:ascii="Times" w:hAnsi="Times"/>
          <w:color w:val="000000" w:themeColor="text1"/>
        </w:rPr>
        <w:t xml:space="preserve"> (Adams et al., 2017 (Study 1); Allom &amp; </w:t>
      </w:r>
      <w:r w:rsidR="00B960B9" w:rsidRPr="00A567F2">
        <w:rPr>
          <w:rFonts w:ascii="Times" w:hAnsi="Times"/>
          <w:color w:val="000000" w:themeColor="text1"/>
        </w:rPr>
        <w:lastRenderedPageBreak/>
        <w:t>Mullan, 2015 (Study 2); Bongers</w:t>
      </w:r>
      <w:r w:rsidR="001172EC" w:rsidRPr="00A567F2">
        <w:rPr>
          <w:rFonts w:ascii="Times" w:hAnsi="Times"/>
          <w:color w:val="000000" w:themeColor="text1"/>
        </w:rPr>
        <w:t xml:space="preserve"> et al.</w:t>
      </w:r>
      <w:r w:rsidR="00D713B7" w:rsidRPr="00A567F2">
        <w:rPr>
          <w:rFonts w:ascii="Times" w:hAnsi="Times"/>
          <w:color w:val="000000" w:themeColor="text1"/>
        </w:rPr>
        <w:t>, 2018; Forman et al., 2016</w:t>
      </w:r>
      <w:r w:rsidR="003B782C" w:rsidRPr="00A567F2">
        <w:rPr>
          <w:rFonts w:ascii="Times" w:hAnsi="Times"/>
          <w:color w:val="000000" w:themeColor="text1"/>
        </w:rPr>
        <w:t>; Oomen et al., 2018</w:t>
      </w:r>
      <w:r w:rsidR="00D713B7" w:rsidRPr="00A567F2">
        <w:rPr>
          <w:rFonts w:ascii="Times" w:hAnsi="Times"/>
          <w:color w:val="000000" w:themeColor="text1"/>
        </w:rPr>
        <w:t>)</w:t>
      </w:r>
      <w:r w:rsidR="00BF1FB7" w:rsidRPr="00A567F2">
        <w:rPr>
          <w:rFonts w:ascii="Times" w:hAnsi="Times"/>
          <w:color w:val="000000" w:themeColor="text1"/>
        </w:rPr>
        <w:t>, and there is wider debate on</w:t>
      </w:r>
      <w:r w:rsidR="00231784" w:rsidRPr="00A567F2">
        <w:rPr>
          <w:rFonts w:ascii="Times" w:hAnsi="Times"/>
          <w:color w:val="000000" w:themeColor="text1"/>
        </w:rPr>
        <w:t xml:space="preserve"> the existence of a true underlying effect </w:t>
      </w:r>
      <w:r w:rsidR="00235F89" w:rsidRPr="00A567F2">
        <w:rPr>
          <w:rFonts w:ascii="Times" w:hAnsi="Times"/>
          <w:color w:val="000000" w:themeColor="text1"/>
        </w:rPr>
        <w:t xml:space="preserve">(known as </w:t>
      </w:r>
      <w:r w:rsidR="00BF1FB7" w:rsidRPr="00A567F2">
        <w:rPr>
          <w:rFonts w:ascii="Times" w:hAnsi="Times"/>
          <w:color w:val="000000" w:themeColor="text1"/>
        </w:rPr>
        <w:t>evidential value</w:t>
      </w:r>
      <w:r w:rsidR="00CF1375" w:rsidRPr="00A567F2">
        <w:rPr>
          <w:rFonts w:ascii="Times" w:hAnsi="Times"/>
          <w:color w:val="000000" w:themeColor="text1"/>
        </w:rPr>
        <w:t xml:space="preserve"> (Carbine &amp; Larson, 2017</w:t>
      </w:r>
      <w:r w:rsidR="00BF1FB7" w:rsidRPr="00A567F2">
        <w:rPr>
          <w:rFonts w:ascii="Times" w:hAnsi="Times"/>
          <w:color w:val="000000" w:themeColor="text1"/>
        </w:rPr>
        <w:t>)</w:t>
      </w:r>
      <w:r w:rsidR="002034FB" w:rsidRPr="00A567F2">
        <w:rPr>
          <w:rFonts w:ascii="Times" w:hAnsi="Times"/>
          <w:color w:val="000000" w:themeColor="text1"/>
        </w:rPr>
        <w:t>)</w:t>
      </w:r>
      <w:r w:rsidR="00B960B9" w:rsidRPr="00A567F2">
        <w:rPr>
          <w:rFonts w:ascii="Times" w:hAnsi="Times"/>
          <w:color w:val="000000" w:themeColor="text1"/>
        </w:rPr>
        <w:t xml:space="preserve">. </w:t>
      </w:r>
      <w:r w:rsidR="00B11EE0" w:rsidRPr="00A567F2">
        <w:rPr>
          <w:rFonts w:ascii="Times" w:hAnsi="Times"/>
          <w:color w:val="000000" w:themeColor="text1"/>
        </w:rPr>
        <w:t xml:space="preserve">This may indicate that differences </w:t>
      </w:r>
      <w:r w:rsidR="00216EE5" w:rsidRPr="00A567F2">
        <w:rPr>
          <w:rFonts w:ascii="Times" w:hAnsi="Times"/>
          <w:color w:val="000000" w:themeColor="text1"/>
        </w:rPr>
        <w:t>in the designs of existing research</w:t>
      </w:r>
      <w:r w:rsidR="00B11EE0" w:rsidRPr="00A567F2">
        <w:rPr>
          <w:rFonts w:ascii="Times" w:hAnsi="Times"/>
          <w:color w:val="000000" w:themeColor="text1"/>
        </w:rPr>
        <w:t xml:space="preserve"> could influence training outcomes, raising uncertainty in relation to cue-ICT effectiveness.</w:t>
      </w:r>
      <w:r w:rsidR="00C30AFB" w:rsidRPr="00A567F2">
        <w:rPr>
          <w:rFonts w:ascii="Times" w:hAnsi="Times"/>
          <w:color w:val="000000" w:themeColor="text1"/>
        </w:rPr>
        <w:t xml:space="preserve"> </w:t>
      </w:r>
      <w:r w:rsidR="00C473F6" w:rsidRPr="00A567F2">
        <w:rPr>
          <w:rFonts w:ascii="Times" w:hAnsi="Times"/>
          <w:color w:val="000000" w:themeColor="text1"/>
        </w:rPr>
        <w:t xml:space="preserve"> </w:t>
      </w:r>
    </w:p>
    <w:p w14:paraId="330D49CE" w14:textId="7D94144F" w:rsidR="0067158C" w:rsidRPr="00A567F2" w:rsidRDefault="00D67070" w:rsidP="0067158C">
      <w:pPr>
        <w:spacing w:line="480" w:lineRule="auto"/>
        <w:ind w:firstLine="720"/>
        <w:rPr>
          <w:rFonts w:ascii="Times" w:hAnsi="Times"/>
          <w:color w:val="000000" w:themeColor="text1"/>
        </w:rPr>
      </w:pPr>
      <w:r w:rsidRPr="00A567F2">
        <w:rPr>
          <w:rFonts w:ascii="Times" w:hAnsi="Times"/>
          <w:color w:val="000000" w:themeColor="text1"/>
        </w:rPr>
        <w:t>W</w:t>
      </w:r>
      <w:r w:rsidR="005D4603" w:rsidRPr="00A567F2">
        <w:rPr>
          <w:rFonts w:ascii="Times" w:hAnsi="Times"/>
          <w:color w:val="000000" w:themeColor="text1"/>
        </w:rPr>
        <w:t>hile there is evidence to suggest</w:t>
      </w:r>
      <w:r w:rsidR="005B180D" w:rsidRPr="00A567F2">
        <w:rPr>
          <w:rFonts w:ascii="Times" w:hAnsi="Times"/>
          <w:color w:val="000000" w:themeColor="text1"/>
        </w:rPr>
        <w:t xml:space="preserve"> </w:t>
      </w:r>
      <w:r w:rsidR="00816715" w:rsidRPr="00A567F2">
        <w:rPr>
          <w:rFonts w:ascii="Times" w:hAnsi="Times"/>
          <w:color w:val="000000" w:themeColor="text1"/>
        </w:rPr>
        <w:t xml:space="preserve">that </w:t>
      </w:r>
      <w:r w:rsidR="00491963" w:rsidRPr="00A567F2">
        <w:rPr>
          <w:rFonts w:ascii="Times" w:hAnsi="Times"/>
          <w:color w:val="000000" w:themeColor="text1"/>
        </w:rPr>
        <w:t xml:space="preserve">a </w:t>
      </w:r>
      <w:r w:rsidR="00DF2DC2" w:rsidRPr="00A567F2">
        <w:rPr>
          <w:rFonts w:ascii="Times" w:hAnsi="Times"/>
          <w:color w:val="000000" w:themeColor="text1"/>
        </w:rPr>
        <w:t>single session</w:t>
      </w:r>
      <w:r w:rsidR="00491963" w:rsidRPr="00A567F2">
        <w:rPr>
          <w:rFonts w:ascii="Times" w:hAnsi="Times"/>
          <w:color w:val="000000" w:themeColor="text1"/>
        </w:rPr>
        <w:t xml:space="preserve"> of</w:t>
      </w:r>
      <w:r w:rsidR="00DF2DC2" w:rsidRPr="00A567F2">
        <w:rPr>
          <w:rFonts w:ascii="Times" w:hAnsi="Times"/>
          <w:color w:val="000000" w:themeColor="text1"/>
        </w:rPr>
        <w:t xml:space="preserve"> ICT can </w:t>
      </w:r>
      <w:r w:rsidR="007F6875" w:rsidRPr="00A567F2">
        <w:rPr>
          <w:rFonts w:ascii="Times" w:hAnsi="Times"/>
          <w:color w:val="000000" w:themeColor="text1"/>
        </w:rPr>
        <w:t xml:space="preserve">positively influence health behaviours </w:t>
      </w:r>
      <w:r w:rsidRPr="00A567F2">
        <w:rPr>
          <w:rFonts w:ascii="Times" w:hAnsi="Times"/>
          <w:color w:val="000000" w:themeColor="text1"/>
        </w:rPr>
        <w:t>(</w:t>
      </w:r>
      <w:r w:rsidR="003F3294" w:rsidRPr="00A567F2">
        <w:rPr>
          <w:rFonts w:ascii="Times" w:hAnsi="Times"/>
          <w:color w:val="000000" w:themeColor="text1"/>
        </w:rPr>
        <w:t>Allom et al.</w:t>
      </w:r>
      <w:r w:rsidR="00C01A5E" w:rsidRPr="00A567F2">
        <w:rPr>
          <w:rFonts w:ascii="Times" w:hAnsi="Times"/>
          <w:color w:val="000000" w:themeColor="text1"/>
        </w:rPr>
        <w:t>, 2016</w:t>
      </w:r>
      <w:r w:rsidRPr="00A567F2">
        <w:rPr>
          <w:rFonts w:ascii="Times" w:hAnsi="Times"/>
          <w:color w:val="000000" w:themeColor="text1"/>
        </w:rPr>
        <w:t>)</w:t>
      </w:r>
      <w:r w:rsidR="007E1A75" w:rsidRPr="00A567F2">
        <w:rPr>
          <w:rFonts w:ascii="Times" w:hAnsi="Times"/>
          <w:color w:val="000000" w:themeColor="text1"/>
        </w:rPr>
        <w:t>,</w:t>
      </w:r>
      <w:r w:rsidR="001B5220" w:rsidRPr="00A567F2">
        <w:rPr>
          <w:rFonts w:ascii="Times" w:hAnsi="Times"/>
          <w:color w:val="000000" w:themeColor="text1"/>
        </w:rPr>
        <w:t xml:space="preserve"> </w:t>
      </w:r>
      <w:r w:rsidR="00D5455D" w:rsidRPr="00A567F2">
        <w:rPr>
          <w:rFonts w:ascii="Times" w:hAnsi="Times"/>
          <w:color w:val="000000" w:themeColor="text1"/>
        </w:rPr>
        <w:t>the</w:t>
      </w:r>
      <w:r w:rsidR="009817A0" w:rsidRPr="00A567F2">
        <w:rPr>
          <w:rFonts w:ascii="Times" w:hAnsi="Times"/>
          <w:color w:val="000000" w:themeColor="text1"/>
        </w:rPr>
        <w:t xml:space="preserve"> protocols used within</w:t>
      </w:r>
      <w:r w:rsidR="007F1CF4" w:rsidRPr="00A567F2">
        <w:rPr>
          <w:rFonts w:ascii="Times" w:hAnsi="Times"/>
          <w:color w:val="000000" w:themeColor="text1"/>
        </w:rPr>
        <w:t xml:space="preserve"> </w:t>
      </w:r>
      <w:r w:rsidR="00DF6A48" w:rsidRPr="00A567F2">
        <w:rPr>
          <w:rFonts w:ascii="Times" w:hAnsi="Times"/>
          <w:color w:val="000000" w:themeColor="text1"/>
        </w:rPr>
        <w:t>cue-ICT</w:t>
      </w:r>
      <w:r w:rsidR="007E1A75" w:rsidRPr="00A567F2">
        <w:rPr>
          <w:rFonts w:ascii="Times" w:hAnsi="Times"/>
          <w:color w:val="000000" w:themeColor="text1"/>
        </w:rPr>
        <w:t xml:space="preserve"> </w:t>
      </w:r>
      <w:r w:rsidR="00B46D47" w:rsidRPr="00A567F2">
        <w:rPr>
          <w:rFonts w:ascii="Times" w:hAnsi="Times"/>
          <w:color w:val="000000" w:themeColor="text1"/>
        </w:rPr>
        <w:t xml:space="preserve">itself </w:t>
      </w:r>
      <w:r w:rsidR="00D5455D" w:rsidRPr="00A567F2">
        <w:rPr>
          <w:rFonts w:ascii="Times" w:hAnsi="Times"/>
          <w:color w:val="000000" w:themeColor="text1"/>
        </w:rPr>
        <w:t>are</w:t>
      </w:r>
      <w:r w:rsidR="007E1A75" w:rsidRPr="00A567F2">
        <w:rPr>
          <w:rFonts w:ascii="Times" w:hAnsi="Times"/>
          <w:color w:val="000000" w:themeColor="text1"/>
        </w:rPr>
        <w:t xml:space="preserve"> relatively inconsistent. There is </w:t>
      </w:r>
      <w:r w:rsidR="00437755" w:rsidRPr="00A567F2">
        <w:rPr>
          <w:rFonts w:ascii="Times" w:hAnsi="Times"/>
          <w:color w:val="000000" w:themeColor="text1"/>
        </w:rPr>
        <w:t xml:space="preserve">some </w:t>
      </w:r>
      <w:r w:rsidR="007E1A75" w:rsidRPr="00A567F2">
        <w:rPr>
          <w:rFonts w:ascii="Times" w:hAnsi="Times"/>
          <w:color w:val="000000" w:themeColor="text1"/>
        </w:rPr>
        <w:t>variation between studies in terms of the</w:t>
      </w:r>
      <w:r w:rsidR="007F1CF4" w:rsidRPr="00A567F2">
        <w:rPr>
          <w:rFonts w:ascii="Times" w:hAnsi="Times"/>
          <w:color w:val="000000" w:themeColor="text1"/>
        </w:rPr>
        <w:t xml:space="preserve"> number</w:t>
      </w:r>
      <w:r w:rsidR="007E1A75" w:rsidRPr="00A567F2">
        <w:rPr>
          <w:rFonts w:ascii="Times" w:hAnsi="Times"/>
          <w:color w:val="000000" w:themeColor="text1"/>
        </w:rPr>
        <w:t xml:space="preserve"> of times that participants are</w:t>
      </w:r>
      <w:r w:rsidR="007F1CF4" w:rsidRPr="00A567F2">
        <w:rPr>
          <w:rFonts w:ascii="Times" w:hAnsi="Times"/>
          <w:color w:val="000000" w:themeColor="text1"/>
        </w:rPr>
        <w:t xml:space="preserve"> required to inhibit responses towards target stimuli (</w:t>
      </w:r>
      <w:r w:rsidR="004A3406" w:rsidRPr="00A567F2">
        <w:rPr>
          <w:rFonts w:ascii="Times" w:hAnsi="Times"/>
          <w:color w:val="000000" w:themeColor="text1"/>
        </w:rPr>
        <w:t>cue-</w:t>
      </w:r>
      <w:r w:rsidR="00E645DB" w:rsidRPr="00A567F2">
        <w:rPr>
          <w:rFonts w:ascii="Times" w:hAnsi="Times"/>
          <w:color w:val="000000" w:themeColor="text1"/>
        </w:rPr>
        <w:t>&gt;</w:t>
      </w:r>
      <w:r w:rsidR="005F26DF" w:rsidRPr="00A567F2">
        <w:rPr>
          <w:rFonts w:ascii="Times" w:hAnsi="Times"/>
          <w:color w:val="000000" w:themeColor="text1"/>
        </w:rPr>
        <w:t>inhibition</w:t>
      </w:r>
      <w:r w:rsidR="004A3406" w:rsidRPr="00A567F2">
        <w:rPr>
          <w:rFonts w:ascii="Times" w:hAnsi="Times"/>
          <w:color w:val="000000" w:themeColor="text1"/>
        </w:rPr>
        <w:t xml:space="preserve"> contingency</w:t>
      </w:r>
      <w:r w:rsidR="004A2B66" w:rsidRPr="00A567F2">
        <w:rPr>
          <w:rFonts w:ascii="Times" w:hAnsi="Times"/>
          <w:color w:val="000000" w:themeColor="text1"/>
        </w:rPr>
        <w:t xml:space="preserve">) </w:t>
      </w:r>
      <w:r w:rsidR="009B7D6B" w:rsidRPr="00A567F2">
        <w:rPr>
          <w:rFonts w:ascii="Times" w:hAnsi="Times"/>
          <w:color w:val="000000" w:themeColor="text1"/>
        </w:rPr>
        <w:t>in</w:t>
      </w:r>
      <w:r w:rsidR="007E1A75" w:rsidRPr="00A567F2">
        <w:rPr>
          <w:rFonts w:ascii="Times" w:hAnsi="Times"/>
          <w:color w:val="000000" w:themeColor="text1"/>
        </w:rPr>
        <w:t xml:space="preserve"> experimental conditions, ranging between</w:t>
      </w:r>
      <w:r w:rsidR="00035862" w:rsidRPr="00A567F2">
        <w:rPr>
          <w:rFonts w:ascii="Times" w:hAnsi="Times"/>
          <w:color w:val="000000" w:themeColor="text1"/>
        </w:rPr>
        <w:t xml:space="preserve"> </w:t>
      </w:r>
      <w:r w:rsidR="00837457" w:rsidRPr="00A567F2">
        <w:rPr>
          <w:rFonts w:ascii="Times" w:hAnsi="Times"/>
          <w:color w:val="000000" w:themeColor="text1"/>
        </w:rPr>
        <w:t>87.5%</w:t>
      </w:r>
      <w:r w:rsidR="000924E5" w:rsidRPr="00A567F2">
        <w:rPr>
          <w:rFonts w:ascii="Times" w:hAnsi="Times"/>
          <w:color w:val="000000" w:themeColor="text1"/>
        </w:rPr>
        <w:t xml:space="preserve"> (</w:t>
      </w:r>
      <w:r w:rsidR="00837457" w:rsidRPr="00A567F2">
        <w:rPr>
          <w:rFonts w:ascii="Times" w:hAnsi="Times"/>
          <w:color w:val="000000" w:themeColor="text1"/>
        </w:rPr>
        <w:t>Adams et al., 2017; Lawrence et al., 2015</w:t>
      </w:r>
      <w:r w:rsidR="00C27067" w:rsidRPr="00A567F2">
        <w:rPr>
          <w:rFonts w:ascii="Times" w:hAnsi="Times"/>
          <w:color w:val="000000" w:themeColor="text1"/>
        </w:rPr>
        <w:t>a</w:t>
      </w:r>
      <w:r w:rsidR="000924E5" w:rsidRPr="00A567F2">
        <w:rPr>
          <w:rFonts w:ascii="Times" w:hAnsi="Times"/>
          <w:color w:val="000000" w:themeColor="text1"/>
        </w:rPr>
        <w:t>)</w:t>
      </w:r>
      <w:r w:rsidR="007E1A75" w:rsidRPr="00A567F2">
        <w:rPr>
          <w:rFonts w:ascii="Times" w:hAnsi="Times"/>
          <w:color w:val="000000" w:themeColor="text1"/>
        </w:rPr>
        <w:t xml:space="preserve"> and </w:t>
      </w:r>
      <w:r w:rsidR="00A00F41" w:rsidRPr="00A567F2">
        <w:rPr>
          <w:rFonts w:ascii="Times" w:hAnsi="Times"/>
          <w:color w:val="000000" w:themeColor="text1"/>
        </w:rPr>
        <w:t>100</w:t>
      </w:r>
      <w:r w:rsidR="00870660" w:rsidRPr="00A567F2">
        <w:rPr>
          <w:rFonts w:ascii="Times" w:hAnsi="Times"/>
          <w:color w:val="000000" w:themeColor="text1"/>
        </w:rPr>
        <w:t>%</w:t>
      </w:r>
      <w:r w:rsidR="000924E5" w:rsidRPr="00A567F2">
        <w:rPr>
          <w:rFonts w:ascii="Times" w:hAnsi="Times"/>
          <w:color w:val="000000" w:themeColor="text1"/>
        </w:rPr>
        <w:t xml:space="preserve"> (</w:t>
      </w:r>
      <w:r w:rsidR="00C37C27" w:rsidRPr="00A567F2">
        <w:rPr>
          <w:rFonts w:ascii="Times" w:hAnsi="Times"/>
          <w:color w:val="000000" w:themeColor="text1"/>
        </w:rPr>
        <w:t>Houben &amp; Jansen, 2011,</w:t>
      </w:r>
      <w:r w:rsidR="003F064C" w:rsidRPr="00A567F2">
        <w:rPr>
          <w:rFonts w:ascii="Times" w:hAnsi="Times"/>
          <w:color w:val="000000" w:themeColor="text1"/>
        </w:rPr>
        <w:t xml:space="preserve"> 2015</w:t>
      </w:r>
      <w:r w:rsidR="000924E5" w:rsidRPr="00A567F2">
        <w:rPr>
          <w:rFonts w:ascii="Times" w:hAnsi="Times"/>
          <w:color w:val="000000" w:themeColor="text1"/>
        </w:rPr>
        <w:t>)</w:t>
      </w:r>
      <w:r w:rsidRPr="00A567F2">
        <w:rPr>
          <w:rFonts w:ascii="Times" w:hAnsi="Times"/>
          <w:color w:val="000000" w:themeColor="text1"/>
        </w:rPr>
        <w:t>.</w:t>
      </w:r>
      <w:r w:rsidR="00C01A5E" w:rsidRPr="00A567F2">
        <w:rPr>
          <w:rFonts w:ascii="Times" w:hAnsi="Times"/>
          <w:color w:val="000000" w:themeColor="text1"/>
        </w:rPr>
        <w:t xml:space="preserve"> Meta analytic work (Jones et al., 2016) revealed that</w:t>
      </w:r>
      <w:r w:rsidR="00F14AB0" w:rsidRPr="00A567F2">
        <w:rPr>
          <w:rFonts w:ascii="Times" w:hAnsi="Times"/>
          <w:color w:val="000000" w:themeColor="text1"/>
        </w:rPr>
        <w:t xml:space="preserve"> </w:t>
      </w:r>
      <w:r w:rsidR="00982947" w:rsidRPr="00A567F2">
        <w:rPr>
          <w:rFonts w:ascii="Times" w:hAnsi="Times"/>
          <w:color w:val="000000" w:themeColor="text1"/>
        </w:rPr>
        <w:t>ICT</w:t>
      </w:r>
      <w:r w:rsidR="00F14AB0" w:rsidRPr="00A567F2">
        <w:rPr>
          <w:rFonts w:ascii="Times" w:hAnsi="Times"/>
          <w:color w:val="000000" w:themeColor="text1"/>
        </w:rPr>
        <w:t xml:space="preserve"> </w:t>
      </w:r>
      <w:r w:rsidR="003B7238" w:rsidRPr="00A567F2">
        <w:rPr>
          <w:rFonts w:ascii="Times" w:hAnsi="Times"/>
          <w:color w:val="000000" w:themeColor="text1"/>
        </w:rPr>
        <w:t>effect size</w:t>
      </w:r>
      <w:r w:rsidR="00F14AB0" w:rsidRPr="00A567F2">
        <w:rPr>
          <w:rFonts w:ascii="Times" w:hAnsi="Times"/>
          <w:color w:val="000000" w:themeColor="text1"/>
        </w:rPr>
        <w:t xml:space="preserve"> is </w:t>
      </w:r>
      <w:r w:rsidR="00636797" w:rsidRPr="00A567F2">
        <w:rPr>
          <w:rFonts w:ascii="Times" w:hAnsi="Times"/>
          <w:color w:val="000000" w:themeColor="text1"/>
        </w:rPr>
        <w:t xml:space="preserve">significantly </w:t>
      </w:r>
      <w:r w:rsidR="00F14AB0" w:rsidRPr="00A567F2">
        <w:rPr>
          <w:rFonts w:ascii="Times" w:hAnsi="Times"/>
          <w:color w:val="000000" w:themeColor="text1"/>
        </w:rPr>
        <w:t xml:space="preserve">influenced by </w:t>
      </w:r>
      <w:r w:rsidR="002147FF" w:rsidRPr="00A567F2">
        <w:rPr>
          <w:rFonts w:ascii="Times" w:hAnsi="Times"/>
          <w:color w:val="000000" w:themeColor="text1"/>
        </w:rPr>
        <w:t>particip</w:t>
      </w:r>
      <w:r w:rsidR="00F14AB0" w:rsidRPr="00A567F2">
        <w:rPr>
          <w:rFonts w:ascii="Times" w:hAnsi="Times"/>
          <w:color w:val="000000" w:themeColor="text1"/>
        </w:rPr>
        <w:t xml:space="preserve">ant performance during training, </w:t>
      </w:r>
      <w:r w:rsidR="00A274BF" w:rsidRPr="00A567F2">
        <w:rPr>
          <w:rFonts w:ascii="Times" w:hAnsi="Times"/>
          <w:color w:val="000000" w:themeColor="text1"/>
        </w:rPr>
        <w:t xml:space="preserve">with </w:t>
      </w:r>
      <w:r w:rsidR="005B0063" w:rsidRPr="00A567F2">
        <w:rPr>
          <w:rFonts w:ascii="Times" w:hAnsi="Times"/>
          <w:color w:val="000000" w:themeColor="text1"/>
        </w:rPr>
        <w:t xml:space="preserve">increased </w:t>
      </w:r>
      <w:r w:rsidR="00901DEA" w:rsidRPr="00A567F2">
        <w:rPr>
          <w:rFonts w:ascii="Times" w:hAnsi="Times"/>
          <w:color w:val="000000" w:themeColor="text1"/>
        </w:rPr>
        <w:t xml:space="preserve">inhibition failures linked to </w:t>
      </w:r>
      <w:r w:rsidR="001B7763" w:rsidRPr="00A567F2">
        <w:rPr>
          <w:rFonts w:ascii="Times" w:hAnsi="Times"/>
          <w:color w:val="000000" w:themeColor="text1"/>
        </w:rPr>
        <w:t>smaller</w:t>
      </w:r>
      <w:r w:rsidR="00901DEA" w:rsidRPr="00A567F2">
        <w:rPr>
          <w:rFonts w:ascii="Times" w:hAnsi="Times"/>
          <w:color w:val="000000" w:themeColor="text1"/>
        </w:rPr>
        <w:t xml:space="preserve"> ICT effect</w:t>
      </w:r>
      <w:r w:rsidR="00BD798C" w:rsidRPr="00A567F2">
        <w:rPr>
          <w:rFonts w:ascii="Times" w:hAnsi="Times"/>
          <w:color w:val="000000" w:themeColor="text1"/>
        </w:rPr>
        <w:t>s</w:t>
      </w:r>
      <w:r w:rsidR="00A274BF" w:rsidRPr="00A567F2">
        <w:rPr>
          <w:rFonts w:ascii="Times" w:hAnsi="Times"/>
          <w:color w:val="000000" w:themeColor="text1"/>
        </w:rPr>
        <w:t>. Task performance</w:t>
      </w:r>
      <w:r w:rsidR="001340CC" w:rsidRPr="00A567F2">
        <w:rPr>
          <w:rFonts w:ascii="Times" w:hAnsi="Times"/>
          <w:color w:val="000000" w:themeColor="text1"/>
        </w:rPr>
        <w:t xml:space="preserve"> was also</w:t>
      </w:r>
      <w:r w:rsidR="00491963" w:rsidRPr="00A567F2">
        <w:rPr>
          <w:rFonts w:ascii="Times" w:hAnsi="Times"/>
          <w:color w:val="000000" w:themeColor="text1"/>
        </w:rPr>
        <w:t xml:space="preserve"> positively correlated </w:t>
      </w:r>
      <w:r w:rsidR="007070F9" w:rsidRPr="00A567F2">
        <w:rPr>
          <w:rFonts w:ascii="Times" w:hAnsi="Times"/>
          <w:color w:val="000000" w:themeColor="text1"/>
        </w:rPr>
        <w:t>with cue-</w:t>
      </w:r>
      <w:r w:rsidR="00E645DB" w:rsidRPr="00A567F2">
        <w:rPr>
          <w:rFonts w:ascii="Times" w:hAnsi="Times"/>
          <w:color w:val="000000" w:themeColor="text1"/>
        </w:rPr>
        <w:t>&gt;</w:t>
      </w:r>
      <w:r w:rsidR="007070F9" w:rsidRPr="00A567F2">
        <w:rPr>
          <w:rFonts w:ascii="Times" w:hAnsi="Times"/>
          <w:color w:val="000000" w:themeColor="text1"/>
        </w:rPr>
        <w:t>inhibition contingency (i.e., participants are more successful at training where cue-</w:t>
      </w:r>
      <w:r w:rsidR="00E645DB" w:rsidRPr="00A567F2">
        <w:rPr>
          <w:rFonts w:ascii="Times" w:hAnsi="Times"/>
          <w:color w:val="000000" w:themeColor="text1"/>
        </w:rPr>
        <w:t>&gt;</w:t>
      </w:r>
      <w:r w:rsidR="007070F9" w:rsidRPr="00A567F2">
        <w:rPr>
          <w:rFonts w:ascii="Times" w:hAnsi="Times"/>
          <w:color w:val="000000" w:themeColor="text1"/>
        </w:rPr>
        <w:t>inhibition contingencies are</w:t>
      </w:r>
      <w:r w:rsidR="00636797" w:rsidRPr="00A567F2">
        <w:rPr>
          <w:rFonts w:ascii="Times" w:hAnsi="Times"/>
          <w:color w:val="000000" w:themeColor="text1"/>
        </w:rPr>
        <w:t xml:space="preserve"> higher)</w:t>
      </w:r>
      <w:r w:rsidR="00A274BF" w:rsidRPr="00A567F2">
        <w:rPr>
          <w:rFonts w:ascii="Times" w:hAnsi="Times"/>
          <w:color w:val="000000" w:themeColor="text1"/>
        </w:rPr>
        <w:t xml:space="preserve">, which </w:t>
      </w:r>
      <w:r w:rsidR="004329EC" w:rsidRPr="00A567F2">
        <w:rPr>
          <w:rFonts w:ascii="Times" w:hAnsi="Times"/>
          <w:color w:val="000000" w:themeColor="text1"/>
        </w:rPr>
        <w:t xml:space="preserve">may </w:t>
      </w:r>
      <w:r w:rsidR="00A274BF" w:rsidRPr="00A567F2">
        <w:rPr>
          <w:rFonts w:ascii="Times" w:hAnsi="Times"/>
          <w:color w:val="000000" w:themeColor="text1"/>
        </w:rPr>
        <w:t xml:space="preserve">partially </w:t>
      </w:r>
      <w:r w:rsidR="00987DDE" w:rsidRPr="00A567F2">
        <w:rPr>
          <w:rFonts w:ascii="Times" w:hAnsi="Times"/>
          <w:color w:val="000000" w:themeColor="text1"/>
        </w:rPr>
        <w:t>explain</w:t>
      </w:r>
      <w:r w:rsidR="004329EC" w:rsidRPr="00A567F2">
        <w:rPr>
          <w:rFonts w:ascii="Times" w:hAnsi="Times"/>
          <w:color w:val="000000" w:themeColor="text1"/>
        </w:rPr>
        <w:t xml:space="preserve"> the larger effect sizes o</w:t>
      </w:r>
      <w:r w:rsidR="00987DDE" w:rsidRPr="00A567F2">
        <w:rPr>
          <w:rFonts w:ascii="Times" w:hAnsi="Times"/>
          <w:color w:val="000000" w:themeColor="text1"/>
        </w:rPr>
        <w:t>bserved where studies use</w:t>
      </w:r>
      <w:r w:rsidR="004329EC" w:rsidRPr="00A567F2">
        <w:rPr>
          <w:rFonts w:ascii="Times" w:hAnsi="Times"/>
          <w:color w:val="000000" w:themeColor="text1"/>
        </w:rPr>
        <w:t xml:space="preserve"> Go/No-go training (as the cue-</w:t>
      </w:r>
      <w:r w:rsidR="00E645DB" w:rsidRPr="00A567F2">
        <w:rPr>
          <w:rFonts w:ascii="Times" w:hAnsi="Times"/>
          <w:color w:val="000000" w:themeColor="text1"/>
        </w:rPr>
        <w:t>&gt;</w:t>
      </w:r>
      <w:r w:rsidR="004329EC" w:rsidRPr="00A567F2">
        <w:rPr>
          <w:rFonts w:ascii="Times" w:hAnsi="Times"/>
          <w:color w:val="000000" w:themeColor="text1"/>
        </w:rPr>
        <w:t>inhibition contingencies within these studies are typically closer to 100%)</w:t>
      </w:r>
      <w:r w:rsidR="008B2F8E" w:rsidRPr="00A567F2">
        <w:rPr>
          <w:rFonts w:ascii="Times" w:hAnsi="Times"/>
          <w:color w:val="000000" w:themeColor="text1"/>
        </w:rPr>
        <w:t xml:space="preserve"> compared to Stop Signal tasks</w:t>
      </w:r>
      <w:r w:rsidR="00636797" w:rsidRPr="00A567F2">
        <w:rPr>
          <w:rFonts w:ascii="Times" w:hAnsi="Times"/>
          <w:color w:val="000000" w:themeColor="text1"/>
        </w:rPr>
        <w:t>.</w:t>
      </w:r>
      <w:r w:rsidR="00DB3B20" w:rsidRPr="00A567F2">
        <w:rPr>
          <w:rFonts w:ascii="Times" w:hAnsi="Times"/>
          <w:color w:val="000000" w:themeColor="text1"/>
        </w:rPr>
        <w:t xml:space="preserve"> </w:t>
      </w:r>
      <w:r w:rsidR="00B106C4" w:rsidRPr="00A567F2">
        <w:rPr>
          <w:rFonts w:ascii="Times" w:hAnsi="Times"/>
          <w:color w:val="000000" w:themeColor="text1"/>
        </w:rPr>
        <w:t xml:space="preserve">This raises questions in relation to the role of the training paradigm within </w:t>
      </w:r>
      <w:r w:rsidR="00F262E8" w:rsidRPr="00A567F2">
        <w:rPr>
          <w:rFonts w:ascii="Times" w:hAnsi="Times"/>
          <w:color w:val="000000" w:themeColor="text1"/>
        </w:rPr>
        <w:t>ICT research:</w:t>
      </w:r>
      <w:r w:rsidR="00B106C4" w:rsidRPr="00A567F2">
        <w:rPr>
          <w:rFonts w:ascii="Times" w:hAnsi="Times"/>
          <w:color w:val="000000" w:themeColor="text1"/>
        </w:rPr>
        <w:t xml:space="preserve"> variations in cue-</w:t>
      </w:r>
      <w:r w:rsidR="00E645DB" w:rsidRPr="00A567F2">
        <w:rPr>
          <w:rFonts w:ascii="Times" w:hAnsi="Times"/>
          <w:color w:val="000000" w:themeColor="text1"/>
        </w:rPr>
        <w:t>&gt;</w:t>
      </w:r>
      <w:r w:rsidR="00B106C4" w:rsidRPr="00A567F2">
        <w:rPr>
          <w:rFonts w:ascii="Times" w:hAnsi="Times"/>
          <w:color w:val="000000" w:themeColor="text1"/>
        </w:rPr>
        <w:t>inhibition contingencies</w:t>
      </w:r>
      <w:r w:rsidR="0026282F" w:rsidRPr="00A567F2">
        <w:rPr>
          <w:rFonts w:ascii="Times" w:hAnsi="Times"/>
          <w:color w:val="000000" w:themeColor="text1"/>
        </w:rPr>
        <w:t xml:space="preserve"> </w:t>
      </w:r>
      <w:r w:rsidR="00F262E8" w:rsidRPr="00A567F2">
        <w:rPr>
          <w:rFonts w:ascii="Times" w:hAnsi="Times"/>
          <w:color w:val="000000" w:themeColor="text1"/>
        </w:rPr>
        <w:t>prevent</w:t>
      </w:r>
      <w:r w:rsidR="0026282F" w:rsidRPr="00A567F2">
        <w:rPr>
          <w:rFonts w:ascii="Times" w:hAnsi="Times"/>
          <w:color w:val="000000" w:themeColor="text1"/>
        </w:rPr>
        <w:t xml:space="preserve"> the direct comparison of studies, which</w:t>
      </w:r>
      <w:r w:rsidR="00E010D4" w:rsidRPr="00A567F2">
        <w:rPr>
          <w:rFonts w:ascii="Times" w:hAnsi="Times"/>
          <w:color w:val="000000" w:themeColor="text1"/>
        </w:rPr>
        <w:t xml:space="preserve"> makes it difficult to draw overall </w:t>
      </w:r>
      <w:r w:rsidR="0026282F" w:rsidRPr="00A567F2">
        <w:rPr>
          <w:rFonts w:ascii="Times" w:hAnsi="Times"/>
          <w:color w:val="000000" w:themeColor="text1"/>
        </w:rPr>
        <w:t xml:space="preserve">conclusions related to </w:t>
      </w:r>
      <w:r w:rsidR="003E1F64" w:rsidRPr="00A567F2">
        <w:rPr>
          <w:rFonts w:ascii="Times" w:hAnsi="Times"/>
          <w:color w:val="000000" w:themeColor="text1"/>
        </w:rPr>
        <w:t xml:space="preserve">ICT </w:t>
      </w:r>
      <w:r w:rsidR="0026282F" w:rsidRPr="00A567F2">
        <w:rPr>
          <w:rFonts w:ascii="Times" w:hAnsi="Times"/>
          <w:color w:val="000000" w:themeColor="text1"/>
        </w:rPr>
        <w:t>effectiveness</w:t>
      </w:r>
      <w:r w:rsidR="00A41DB0" w:rsidRPr="00A567F2">
        <w:rPr>
          <w:rFonts w:ascii="Times" w:hAnsi="Times"/>
          <w:color w:val="000000" w:themeColor="text1"/>
        </w:rPr>
        <w:t xml:space="preserve">. </w:t>
      </w:r>
    </w:p>
    <w:p w14:paraId="0F23B681" w14:textId="0ADEAA6E" w:rsidR="006C309F" w:rsidRPr="00A567F2" w:rsidRDefault="00D16D17" w:rsidP="0067158C">
      <w:pPr>
        <w:spacing w:line="480" w:lineRule="auto"/>
        <w:ind w:firstLine="720"/>
        <w:rPr>
          <w:rFonts w:ascii="Times" w:hAnsi="Times"/>
          <w:color w:val="000000" w:themeColor="text1"/>
        </w:rPr>
      </w:pPr>
      <w:r w:rsidRPr="00A567F2">
        <w:rPr>
          <w:rFonts w:ascii="Times" w:hAnsi="Times"/>
          <w:color w:val="000000" w:themeColor="text1"/>
        </w:rPr>
        <w:t xml:space="preserve">A second CBM approach, evaluative conditioning </w:t>
      </w:r>
      <w:r w:rsidR="00AD2895" w:rsidRPr="00A567F2">
        <w:rPr>
          <w:rFonts w:ascii="Times" w:hAnsi="Times"/>
          <w:color w:val="000000" w:themeColor="text1"/>
        </w:rPr>
        <w:t>(EC)</w:t>
      </w:r>
      <w:r w:rsidR="00E47E91" w:rsidRPr="00A567F2">
        <w:rPr>
          <w:rFonts w:ascii="Times" w:hAnsi="Times"/>
          <w:color w:val="000000" w:themeColor="text1"/>
        </w:rPr>
        <w:t>,</w:t>
      </w:r>
      <w:r w:rsidR="00AD2895" w:rsidRPr="00A567F2">
        <w:rPr>
          <w:rFonts w:ascii="Times" w:hAnsi="Times"/>
          <w:color w:val="000000" w:themeColor="text1"/>
        </w:rPr>
        <w:t xml:space="preserve"> </w:t>
      </w:r>
      <w:r w:rsidR="0053764C" w:rsidRPr="00A567F2">
        <w:rPr>
          <w:rFonts w:ascii="Times" w:hAnsi="Times"/>
          <w:color w:val="000000" w:themeColor="text1"/>
        </w:rPr>
        <w:t xml:space="preserve">attempts to </w:t>
      </w:r>
      <w:r w:rsidR="00E47E91" w:rsidRPr="00A567F2">
        <w:rPr>
          <w:rFonts w:ascii="Times" w:hAnsi="Times"/>
          <w:color w:val="000000" w:themeColor="text1"/>
        </w:rPr>
        <w:t>modify</w:t>
      </w:r>
      <w:r w:rsidR="005006E4" w:rsidRPr="00A567F2">
        <w:rPr>
          <w:rFonts w:ascii="Times" w:hAnsi="Times"/>
          <w:color w:val="000000" w:themeColor="text1"/>
        </w:rPr>
        <w:t xml:space="preserve"> the valence of </w:t>
      </w:r>
      <w:r w:rsidR="0053764C" w:rsidRPr="00A567F2">
        <w:rPr>
          <w:rFonts w:ascii="Times" w:hAnsi="Times"/>
          <w:color w:val="000000" w:themeColor="text1"/>
        </w:rPr>
        <w:t xml:space="preserve">stimuli </w:t>
      </w:r>
      <w:r w:rsidR="00E47E91" w:rsidRPr="00A567F2">
        <w:rPr>
          <w:rFonts w:ascii="Times" w:hAnsi="Times"/>
          <w:color w:val="000000" w:themeColor="text1"/>
        </w:rPr>
        <w:t>by</w:t>
      </w:r>
      <w:r w:rsidR="005475C0" w:rsidRPr="00A567F2">
        <w:rPr>
          <w:rFonts w:ascii="Times" w:hAnsi="Times"/>
          <w:color w:val="000000" w:themeColor="text1"/>
        </w:rPr>
        <w:t xml:space="preserve"> </w:t>
      </w:r>
      <w:r w:rsidR="00E47E91" w:rsidRPr="00A567F2">
        <w:rPr>
          <w:rFonts w:ascii="Times" w:hAnsi="Times"/>
          <w:color w:val="000000" w:themeColor="text1"/>
        </w:rPr>
        <w:t xml:space="preserve">pairing images </w:t>
      </w:r>
      <w:r w:rsidR="00051041" w:rsidRPr="00A567F2">
        <w:rPr>
          <w:rFonts w:ascii="Times" w:hAnsi="Times"/>
          <w:color w:val="000000" w:themeColor="text1"/>
        </w:rPr>
        <w:t>of a</w:t>
      </w:r>
      <w:r w:rsidR="00E47E91" w:rsidRPr="00A567F2">
        <w:rPr>
          <w:rFonts w:ascii="Times" w:hAnsi="Times"/>
          <w:color w:val="000000" w:themeColor="text1"/>
        </w:rPr>
        <w:t xml:space="preserve"> target stimuli with either positive or negative images</w:t>
      </w:r>
      <w:r w:rsidR="00E645DB" w:rsidRPr="00A567F2">
        <w:rPr>
          <w:rFonts w:ascii="Times" w:hAnsi="Times"/>
          <w:color w:val="000000" w:themeColor="text1"/>
        </w:rPr>
        <w:t>. Pairing food-related cues to negative images (cue-&gt;response contingency) is thought to</w:t>
      </w:r>
      <w:r w:rsidR="00E47E91" w:rsidRPr="00A567F2">
        <w:rPr>
          <w:rFonts w:ascii="Times" w:hAnsi="Times"/>
          <w:color w:val="000000" w:themeColor="text1"/>
        </w:rPr>
        <w:t xml:space="preserve"> </w:t>
      </w:r>
      <w:r w:rsidR="00051041" w:rsidRPr="00A567F2">
        <w:rPr>
          <w:rFonts w:ascii="Times" w:hAnsi="Times"/>
          <w:color w:val="000000" w:themeColor="text1"/>
        </w:rPr>
        <w:t>influence</w:t>
      </w:r>
      <w:r w:rsidR="004C2773" w:rsidRPr="00A567F2">
        <w:rPr>
          <w:rFonts w:ascii="Times" w:hAnsi="Times"/>
          <w:color w:val="000000" w:themeColor="text1"/>
        </w:rPr>
        <w:t xml:space="preserve"> </w:t>
      </w:r>
      <w:r w:rsidR="0052379C" w:rsidRPr="00A567F2">
        <w:rPr>
          <w:rFonts w:ascii="Times" w:hAnsi="Times"/>
          <w:color w:val="000000" w:themeColor="text1"/>
        </w:rPr>
        <w:t>preference for</w:t>
      </w:r>
      <w:r w:rsidR="005006E4" w:rsidRPr="00A567F2">
        <w:rPr>
          <w:rFonts w:ascii="Times" w:hAnsi="Times"/>
          <w:color w:val="000000" w:themeColor="text1"/>
        </w:rPr>
        <w:t xml:space="preserve"> the original target</w:t>
      </w:r>
      <w:r w:rsidR="00051041" w:rsidRPr="00A567F2">
        <w:rPr>
          <w:rFonts w:ascii="Times" w:hAnsi="Times"/>
          <w:color w:val="000000" w:themeColor="text1"/>
        </w:rPr>
        <w:t xml:space="preserve"> stimuli,</w:t>
      </w:r>
      <w:r w:rsidR="005006E4" w:rsidRPr="00A567F2">
        <w:rPr>
          <w:rFonts w:ascii="Times" w:hAnsi="Times"/>
          <w:color w:val="000000" w:themeColor="text1"/>
        </w:rPr>
        <w:t xml:space="preserve"> and </w:t>
      </w:r>
      <w:r w:rsidR="00D161D7" w:rsidRPr="00A567F2">
        <w:rPr>
          <w:rFonts w:ascii="Times" w:hAnsi="Times"/>
          <w:color w:val="000000" w:themeColor="text1"/>
        </w:rPr>
        <w:t xml:space="preserve">reduce appeal </w:t>
      </w:r>
      <w:r w:rsidR="004772A7" w:rsidRPr="00A567F2">
        <w:rPr>
          <w:rFonts w:ascii="Times" w:hAnsi="Times"/>
          <w:color w:val="000000" w:themeColor="text1"/>
        </w:rPr>
        <w:t xml:space="preserve">and preference </w:t>
      </w:r>
      <w:r w:rsidR="00D161D7" w:rsidRPr="00A567F2">
        <w:rPr>
          <w:rFonts w:ascii="Times" w:hAnsi="Times"/>
          <w:color w:val="000000" w:themeColor="text1"/>
        </w:rPr>
        <w:t xml:space="preserve">for </w:t>
      </w:r>
      <w:r w:rsidR="00D161D7" w:rsidRPr="00A567F2">
        <w:rPr>
          <w:rFonts w:ascii="Times" w:hAnsi="Times"/>
          <w:color w:val="000000" w:themeColor="text1"/>
        </w:rPr>
        <w:lastRenderedPageBreak/>
        <w:t>these</w:t>
      </w:r>
      <w:r w:rsidR="0052379C" w:rsidRPr="00A567F2">
        <w:rPr>
          <w:rFonts w:ascii="Times" w:hAnsi="Times"/>
          <w:color w:val="000000" w:themeColor="text1"/>
        </w:rPr>
        <w:t xml:space="preserve"> </w:t>
      </w:r>
      <w:r w:rsidR="004772A7" w:rsidRPr="00A567F2">
        <w:rPr>
          <w:rFonts w:ascii="Times" w:hAnsi="Times"/>
          <w:color w:val="000000" w:themeColor="text1"/>
        </w:rPr>
        <w:t>items</w:t>
      </w:r>
      <w:r w:rsidR="00E244EA" w:rsidRPr="00A567F2">
        <w:rPr>
          <w:rFonts w:ascii="Times" w:hAnsi="Times"/>
          <w:color w:val="000000" w:themeColor="text1"/>
        </w:rPr>
        <w:t xml:space="preserve"> </w:t>
      </w:r>
      <w:r w:rsidR="00E47E91" w:rsidRPr="00A567F2">
        <w:rPr>
          <w:rFonts w:ascii="Times" w:hAnsi="Times"/>
          <w:color w:val="000000" w:themeColor="text1"/>
        </w:rPr>
        <w:t>(</w:t>
      </w:r>
      <w:r w:rsidR="007C0918" w:rsidRPr="00A567F2">
        <w:rPr>
          <w:rFonts w:ascii="Times" w:hAnsi="Times"/>
          <w:color w:val="000000" w:themeColor="text1"/>
        </w:rPr>
        <w:t>Hollands</w:t>
      </w:r>
      <w:r w:rsidR="00163ADE" w:rsidRPr="00A567F2">
        <w:rPr>
          <w:rFonts w:ascii="Times" w:hAnsi="Times"/>
          <w:color w:val="000000" w:themeColor="text1"/>
        </w:rPr>
        <w:t xml:space="preserve"> et al., </w:t>
      </w:r>
      <w:r w:rsidR="007C0918" w:rsidRPr="00A567F2">
        <w:rPr>
          <w:rFonts w:ascii="Times" w:hAnsi="Times"/>
          <w:color w:val="000000" w:themeColor="text1"/>
        </w:rPr>
        <w:t>2011</w:t>
      </w:r>
      <w:r w:rsidR="00E47E91" w:rsidRPr="00A567F2">
        <w:rPr>
          <w:rFonts w:ascii="Times" w:hAnsi="Times"/>
          <w:color w:val="000000" w:themeColor="text1"/>
        </w:rPr>
        <w:t>)</w:t>
      </w:r>
      <w:r w:rsidR="00E645DB" w:rsidRPr="00A567F2">
        <w:rPr>
          <w:rFonts w:ascii="Times" w:hAnsi="Times"/>
          <w:color w:val="000000" w:themeColor="text1"/>
        </w:rPr>
        <w:t>, suggesting a similar underlying mechanism (</w:t>
      </w:r>
      <w:r w:rsidR="00E645DB" w:rsidRPr="00A567F2">
        <w:rPr>
          <w:rFonts w:ascii="Times" w:hAnsi="Times"/>
          <w:i/>
          <w:iCs/>
          <w:color w:val="000000" w:themeColor="text1"/>
        </w:rPr>
        <w:t>devaluation</w:t>
      </w:r>
      <w:r w:rsidR="00E645DB" w:rsidRPr="00A567F2">
        <w:rPr>
          <w:rFonts w:ascii="Times" w:hAnsi="Times"/>
          <w:color w:val="000000" w:themeColor="text1"/>
        </w:rPr>
        <w:t>) to ICT</w:t>
      </w:r>
      <w:r w:rsidR="00E47E91" w:rsidRPr="00A567F2">
        <w:rPr>
          <w:rFonts w:ascii="Times" w:hAnsi="Times"/>
          <w:color w:val="000000" w:themeColor="text1"/>
        </w:rPr>
        <w:t xml:space="preserve">. </w:t>
      </w:r>
      <w:r w:rsidR="008F702A" w:rsidRPr="00A567F2">
        <w:rPr>
          <w:rFonts w:ascii="Times" w:hAnsi="Times"/>
          <w:color w:val="000000" w:themeColor="text1"/>
        </w:rPr>
        <w:t xml:space="preserve">EC approaches are used </w:t>
      </w:r>
      <w:r w:rsidR="00CF4344" w:rsidRPr="00A567F2">
        <w:rPr>
          <w:rFonts w:ascii="Times" w:hAnsi="Times"/>
          <w:color w:val="000000" w:themeColor="text1"/>
        </w:rPr>
        <w:t>as</w:t>
      </w:r>
      <w:r w:rsidR="008F702A" w:rsidRPr="00A567F2">
        <w:rPr>
          <w:rFonts w:ascii="Times" w:hAnsi="Times"/>
          <w:color w:val="000000" w:themeColor="text1"/>
        </w:rPr>
        <w:t xml:space="preserve"> pa</w:t>
      </w:r>
      <w:r w:rsidR="00205C0A" w:rsidRPr="00A567F2">
        <w:rPr>
          <w:rFonts w:ascii="Times" w:hAnsi="Times"/>
          <w:color w:val="000000" w:themeColor="text1"/>
        </w:rPr>
        <w:t>rt</w:t>
      </w:r>
      <w:r w:rsidR="009F2273" w:rsidRPr="00A567F2">
        <w:rPr>
          <w:rFonts w:ascii="Times" w:hAnsi="Times"/>
          <w:color w:val="000000" w:themeColor="text1"/>
        </w:rPr>
        <w:t xml:space="preserve"> of various behaviour change campaigns</w:t>
      </w:r>
      <w:r w:rsidR="00205C0A" w:rsidRPr="00A567F2">
        <w:rPr>
          <w:rFonts w:ascii="Times" w:hAnsi="Times"/>
          <w:color w:val="000000" w:themeColor="text1"/>
        </w:rPr>
        <w:t xml:space="preserve"> </w:t>
      </w:r>
      <w:r w:rsidR="00C36035" w:rsidRPr="00A567F2">
        <w:rPr>
          <w:rFonts w:ascii="Times" w:hAnsi="Times"/>
          <w:color w:val="000000" w:themeColor="text1"/>
        </w:rPr>
        <w:t xml:space="preserve">(for example, anti-smoking </w:t>
      </w:r>
      <w:r w:rsidR="008F702A" w:rsidRPr="00A567F2">
        <w:rPr>
          <w:rFonts w:ascii="Times" w:hAnsi="Times"/>
          <w:color w:val="000000" w:themeColor="text1"/>
        </w:rPr>
        <w:t>(</w:t>
      </w:r>
      <w:r w:rsidR="005E368C" w:rsidRPr="00A567F2">
        <w:rPr>
          <w:rFonts w:ascii="Times" w:hAnsi="Times"/>
          <w:color w:val="000000" w:themeColor="text1"/>
        </w:rPr>
        <w:t>Măgurean, Constantin &amp; Sava, 2016</w:t>
      </w:r>
      <w:r w:rsidR="008F702A" w:rsidRPr="00A567F2">
        <w:rPr>
          <w:rFonts w:ascii="Times" w:hAnsi="Times"/>
          <w:color w:val="000000" w:themeColor="text1"/>
        </w:rPr>
        <w:t>)</w:t>
      </w:r>
      <w:r w:rsidR="009F2273" w:rsidRPr="00A567F2">
        <w:rPr>
          <w:rFonts w:ascii="Times" w:hAnsi="Times"/>
          <w:color w:val="000000" w:themeColor="text1"/>
        </w:rPr>
        <w:t>)</w:t>
      </w:r>
      <w:r w:rsidR="0079304D" w:rsidRPr="00A567F2">
        <w:rPr>
          <w:rFonts w:ascii="Times" w:hAnsi="Times"/>
          <w:color w:val="000000" w:themeColor="text1"/>
        </w:rPr>
        <w:t xml:space="preserve"> and </w:t>
      </w:r>
      <w:r w:rsidR="00A7249D" w:rsidRPr="00A567F2">
        <w:rPr>
          <w:rFonts w:ascii="Times" w:hAnsi="Times"/>
          <w:color w:val="000000" w:themeColor="text1"/>
        </w:rPr>
        <w:t>have</w:t>
      </w:r>
      <w:r w:rsidR="006D1958" w:rsidRPr="00A567F2">
        <w:rPr>
          <w:rFonts w:ascii="Times" w:hAnsi="Times"/>
          <w:color w:val="000000" w:themeColor="text1"/>
        </w:rPr>
        <w:t xml:space="preserve"> been successfully </w:t>
      </w:r>
      <w:r w:rsidR="00A94572" w:rsidRPr="00A567F2">
        <w:rPr>
          <w:rFonts w:ascii="Times" w:hAnsi="Times"/>
          <w:color w:val="000000" w:themeColor="text1"/>
        </w:rPr>
        <w:t>applied</w:t>
      </w:r>
      <w:r w:rsidR="006D1958" w:rsidRPr="00A567F2">
        <w:rPr>
          <w:rFonts w:ascii="Times" w:hAnsi="Times"/>
          <w:color w:val="000000" w:themeColor="text1"/>
        </w:rPr>
        <w:t xml:space="preserve"> to</w:t>
      </w:r>
      <w:r w:rsidR="00A94572" w:rsidRPr="00A567F2">
        <w:rPr>
          <w:rFonts w:ascii="Times" w:hAnsi="Times"/>
          <w:color w:val="000000" w:themeColor="text1"/>
        </w:rPr>
        <w:t xml:space="preserve"> the context of</w:t>
      </w:r>
      <w:r w:rsidR="006D1958" w:rsidRPr="00A567F2">
        <w:rPr>
          <w:rFonts w:ascii="Times" w:hAnsi="Times"/>
          <w:color w:val="000000" w:themeColor="text1"/>
        </w:rPr>
        <w:t xml:space="preserve"> eating behaviours, with </w:t>
      </w:r>
      <w:r w:rsidR="00B10DD2" w:rsidRPr="00A567F2">
        <w:rPr>
          <w:rFonts w:ascii="Times" w:hAnsi="Times"/>
          <w:color w:val="000000" w:themeColor="text1"/>
        </w:rPr>
        <w:t>research</w:t>
      </w:r>
      <w:r w:rsidR="006D1958" w:rsidRPr="00A567F2">
        <w:rPr>
          <w:rFonts w:ascii="Times" w:hAnsi="Times"/>
          <w:color w:val="000000" w:themeColor="text1"/>
        </w:rPr>
        <w:t xml:space="preserve"> demonstrating red</w:t>
      </w:r>
      <w:r w:rsidR="00350665" w:rsidRPr="00A567F2">
        <w:rPr>
          <w:rFonts w:ascii="Times" w:hAnsi="Times"/>
          <w:color w:val="000000" w:themeColor="text1"/>
        </w:rPr>
        <w:t>uctions in</w:t>
      </w:r>
      <w:r w:rsidR="00FD77F3" w:rsidRPr="00A567F2">
        <w:rPr>
          <w:rFonts w:ascii="Times" w:hAnsi="Times"/>
          <w:color w:val="000000" w:themeColor="text1"/>
        </w:rPr>
        <w:t xml:space="preserve"> unhealthy</w:t>
      </w:r>
      <w:r w:rsidR="00350665" w:rsidRPr="00A567F2">
        <w:rPr>
          <w:rFonts w:ascii="Times" w:hAnsi="Times"/>
          <w:color w:val="000000" w:themeColor="text1"/>
        </w:rPr>
        <w:t xml:space="preserve"> food intake and preference post </w:t>
      </w:r>
      <w:r w:rsidR="00F2279B" w:rsidRPr="00A567F2">
        <w:rPr>
          <w:rFonts w:ascii="Times" w:hAnsi="Times"/>
          <w:color w:val="000000" w:themeColor="text1"/>
        </w:rPr>
        <w:t>EC</w:t>
      </w:r>
      <w:r w:rsidR="004E33F5" w:rsidRPr="00A567F2">
        <w:rPr>
          <w:rFonts w:ascii="Times" w:hAnsi="Times"/>
          <w:color w:val="000000" w:themeColor="text1"/>
        </w:rPr>
        <w:t xml:space="preserve"> </w:t>
      </w:r>
      <w:r w:rsidR="00350665" w:rsidRPr="00A567F2">
        <w:rPr>
          <w:rFonts w:ascii="Times" w:hAnsi="Times"/>
          <w:color w:val="000000" w:themeColor="text1"/>
        </w:rPr>
        <w:t>(</w:t>
      </w:r>
      <w:r w:rsidR="00E2292D" w:rsidRPr="00A567F2">
        <w:rPr>
          <w:rFonts w:ascii="Times" w:hAnsi="Times"/>
          <w:color w:val="000000" w:themeColor="text1"/>
        </w:rPr>
        <w:t xml:space="preserve">Bui &amp; Fazio, 2016; </w:t>
      </w:r>
      <w:r w:rsidR="00064152" w:rsidRPr="00A567F2">
        <w:rPr>
          <w:rFonts w:ascii="Times" w:hAnsi="Times"/>
          <w:color w:val="000000" w:themeColor="text1"/>
        </w:rPr>
        <w:t>Haynes</w:t>
      </w:r>
      <w:r w:rsidR="0050645A" w:rsidRPr="00A567F2">
        <w:rPr>
          <w:rFonts w:ascii="Times" w:hAnsi="Times"/>
          <w:color w:val="000000" w:themeColor="text1"/>
        </w:rPr>
        <w:t xml:space="preserve"> et al., </w:t>
      </w:r>
      <w:r w:rsidR="008F51B8" w:rsidRPr="00A567F2">
        <w:rPr>
          <w:rFonts w:ascii="Times" w:hAnsi="Times"/>
          <w:color w:val="000000" w:themeColor="text1"/>
        </w:rPr>
        <w:t xml:space="preserve">2015; </w:t>
      </w:r>
      <w:r w:rsidR="00D37F5C" w:rsidRPr="00A567F2">
        <w:rPr>
          <w:rFonts w:ascii="Times" w:hAnsi="Times"/>
          <w:color w:val="000000" w:themeColor="text1"/>
        </w:rPr>
        <w:t>Hensels &amp; Baines, 2016; Hollands et al., 2011</w:t>
      </w:r>
      <w:r w:rsidR="005521B4" w:rsidRPr="00A567F2">
        <w:rPr>
          <w:rFonts w:ascii="Times" w:hAnsi="Times"/>
          <w:color w:val="000000" w:themeColor="text1"/>
        </w:rPr>
        <w:t>; Shaw et al., 2016</w:t>
      </w:r>
      <w:r w:rsidR="000D2CCC" w:rsidRPr="00A567F2">
        <w:rPr>
          <w:rFonts w:ascii="Times" w:hAnsi="Times"/>
          <w:color w:val="000000" w:themeColor="text1"/>
        </w:rPr>
        <w:t>)</w:t>
      </w:r>
      <w:r w:rsidR="00893A00" w:rsidRPr="00A567F2">
        <w:rPr>
          <w:rFonts w:ascii="Times" w:hAnsi="Times"/>
          <w:color w:val="000000" w:themeColor="text1"/>
        </w:rPr>
        <w:t xml:space="preserve">. </w:t>
      </w:r>
      <w:r w:rsidR="000D2CCC" w:rsidRPr="00A567F2">
        <w:rPr>
          <w:rFonts w:ascii="Times" w:hAnsi="Times"/>
          <w:color w:val="000000" w:themeColor="text1"/>
        </w:rPr>
        <w:t xml:space="preserve"> </w:t>
      </w:r>
      <w:r w:rsidR="008F702A" w:rsidRPr="00A567F2">
        <w:rPr>
          <w:rFonts w:ascii="Times" w:hAnsi="Times"/>
          <w:color w:val="000000" w:themeColor="text1"/>
        </w:rPr>
        <w:t xml:space="preserve">Despite the apparent success of EC strategies, </w:t>
      </w:r>
      <w:r w:rsidR="001C54C3" w:rsidRPr="00A567F2">
        <w:rPr>
          <w:rFonts w:ascii="Times" w:hAnsi="Times"/>
          <w:color w:val="000000" w:themeColor="text1"/>
        </w:rPr>
        <w:t>there are some inconsistencies related to t</w:t>
      </w:r>
      <w:r w:rsidR="002D3A88" w:rsidRPr="00A567F2">
        <w:rPr>
          <w:rFonts w:ascii="Times" w:hAnsi="Times"/>
          <w:color w:val="000000" w:themeColor="text1"/>
        </w:rPr>
        <w:t xml:space="preserve">he effectiveness of training: </w:t>
      </w:r>
      <w:r w:rsidR="008F702A" w:rsidRPr="00A567F2">
        <w:rPr>
          <w:rFonts w:ascii="Times" w:hAnsi="Times"/>
          <w:color w:val="000000" w:themeColor="text1"/>
        </w:rPr>
        <w:t xml:space="preserve">recent </w:t>
      </w:r>
      <w:r w:rsidR="00477094" w:rsidRPr="00A567F2">
        <w:rPr>
          <w:rFonts w:ascii="Times" w:hAnsi="Times"/>
          <w:color w:val="000000" w:themeColor="text1"/>
        </w:rPr>
        <w:t xml:space="preserve">work has discovered that while </w:t>
      </w:r>
      <w:r w:rsidR="004130C1" w:rsidRPr="00A567F2">
        <w:rPr>
          <w:rFonts w:ascii="Times" w:hAnsi="Times"/>
          <w:color w:val="000000" w:themeColor="text1"/>
        </w:rPr>
        <w:t xml:space="preserve">there was some evidence to suggest that </w:t>
      </w:r>
      <w:r w:rsidR="00477094" w:rsidRPr="00A567F2">
        <w:rPr>
          <w:rFonts w:ascii="Times" w:hAnsi="Times"/>
          <w:color w:val="000000" w:themeColor="text1"/>
        </w:rPr>
        <w:t>EC appeared to be effective</w:t>
      </w:r>
      <w:r w:rsidR="002D3A88" w:rsidRPr="00A567F2">
        <w:rPr>
          <w:rFonts w:ascii="Times" w:hAnsi="Times"/>
          <w:color w:val="000000" w:themeColor="text1"/>
        </w:rPr>
        <w:t xml:space="preserve"> at reducing</w:t>
      </w:r>
      <w:r w:rsidR="00335F3E" w:rsidRPr="00A567F2">
        <w:rPr>
          <w:rFonts w:ascii="Times" w:hAnsi="Times"/>
          <w:color w:val="000000" w:themeColor="text1"/>
        </w:rPr>
        <w:t xml:space="preserve"> explicit</w:t>
      </w:r>
      <w:r w:rsidR="002D3A88" w:rsidRPr="00A567F2">
        <w:rPr>
          <w:rFonts w:ascii="Times" w:hAnsi="Times"/>
          <w:color w:val="000000" w:themeColor="text1"/>
        </w:rPr>
        <w:t xml:space="preserve"> preference for </w:t>
      </w:r>
      <w:r w:rsidR="00335F3E" w:rsidRPr="00A567F2">
        <w:rPr>
          <w:rFonts w:ascii="Times" w:hAnsi="Times"/>
          <w:color w:val="000000" w:themeColor="text1"/>
        </w:rPr>
        <w:t xml:space="preserve">alcoholic drinks, </w:t>
      </w:r>
      <w:r w:rsidR="00974FE0" w:rsidRPr="00A567F2">
        <w:rPr>
          <w:rFonts w:ascii="Times" w:hAnsi="Times"/>
          <w:color w:val="000000" w:themeColor="text1"/>
        </w:rPr>
        <w:t>there was no significant effect of</w:t>
      </w:r>
      <w:r w:rsidR="006A6AB3" w:rsidRPr="00A567F2">
        <w:rPr>
          <w:rFonts w:ascii="Times" w:hAnsi="Times"/>
          <w:color w:val="000000" w:themeColor="text1"/>
        </w:rPr>
        <w:t xml:space="preserve"> active</w:t>
      </w:r>
      <w:r w:rsidR="00974FE0" w:rsidRPr="00A567F2">
        <w:rPr>
          <w:rFonts w:ascii="Times" w:hAnsi="Times"/>
          <w:color w:val="000000" w:themeColor="text1"/>
        </w:rPr>
        <w:t xml:space="preserve"> EC on explicit attitudes towards healthy</w:t>
      </w:r>
      <w:r w:rsidR="004D3454" w:rsidRPr="00A567F2">
        <w:rPr>
          <w:rFonts w:ascii="Times" w:hAnsi="Times"/>
          <w:color w:val="000000" w:themeColor="text1"/>
        </w:rPr>
        <w:t xml:space="preserve"> or unhealthy</w:t>
      </w:r>
      <w:r w:rsidR="00974FE0" w:rsidRPr="00A567F2">
        <w:rPr>
          <w:rFonts w:ascii="Times" w:hAnsi="Times"/>
          <w:color w:val="000000" w:themeColor="text1"/>
        </w:rPr>
        <w:t xml:space="preserve"> food</w:t>
      </w:r>
      <w:r w:rsidR="006A6AB3" w:rsidRPr="00A567F2">
        <w:rPr>
          <w:rFonts w:ascii="Times" w:hAnsi="Times"/>
          <w:color w:val="000000" w:themeColor="text1"/>
        </w:rPr>
        <w:t xml:space="preserve">s </w:t>
      </w:r>
      <w:r w:rsidR="00BE0553" w:rsidRPr="00A567F2">
        <w:rPr>
          <w:rFonts w:ascii="Times" w:hAnsi="Times"/>
          <w:color w:val="000000" w:themeColor="text1"/>
        </w:rPr>
        <w:t>(Zerhouni et al., 2019)</w:t>
      </w:r>
      <w:r w:rsidR="00A5761A" w:rsidRPr="00A567F2">
        <w:rPr>
          <w:rFonts w:ascii="Times" w:hAnsi="Times"/>
          <w:color w:val="000000" w:themeColor="text1"/>
        </w:rPr>
        <w:t xml:space="preserve">. </w:t>
      </w:r>
      <w:r w:rsidR="00A736EB" w:rsidRPr="00A567F2">
        <w:rPr>
          <w:rFonts w:ascii="Times" w:hAnsi="Times"/>
          <w:color w:val="000000" w:themeColor="text1"/>
        </w:rPr>
        <w:t>Similarly, Hollands et al (2016) failed to replicate EC effects from an earlier study (Hollands et al, 2011) and</w:t>
      </w:r>
      <w:r w:rsidR="00A5761A" w:rsidRPr="00A567F2">
        <w:rPr>
          <w:rFonts w:ascii="Times" w:hAnsi="Times"/>
          <w:color w:val="000000" w:themeColor="text1"/>
        </w:rPr>
        <w:t xml:space="preserve"> research</w:t>
      </w:r>
      <w:r w:rsidR="002D3A88" w:rsidRPr="00A567F2">
        <w:rPr>
          <w:rFonts w:ascii="Times" w:hAnsi="Times"/>
          <w:color w:val="000000" w:themeColor="text1"/>
        </w:rPr>
        <w:t xml:space="preserve"> by </w:t>
      </w:r>
      <w:r w:rsidR="005521B4" w:rsidRPr="00A567F2">
        <w:rPr>
          <w:rFonts w:ascii="Times" w:hAnsi="Times"/>
          <w:color w:val="000000" w:themeColor="text1"/>
        </w:rPr>
        <w:t>Wang et al., (2017</w:t>
      </w:r>
      <w:r w:rsidR="00926D39" w:rsidRPr="00A567F2">
        <w:rPr>
          <w:rFonts w:ascii="Times" w:hAnsi="Times"/>
          <w:color w:val="000000" w:themeColor="text1"/>
        </w:rPr>
        <w:t xml:space="preserve">) discovered that while an EC intervention </w:t>
      </w:r>
      <w:r w:rsidR="005521B4" w:rsidRPr="00A567F2">
        <w:rPr>
          <w:rFonts w:ascii="Times" w:hAnsi="Times"/>
          <w:color w:val="000000" w:themeColor="text1"/>
        </w:rPr>
        <w:t xml:space="preserve">influenced attitudes towards chocolate (the target stimuli), there was no significant difference between </w:t>
      </w:r>
      <w:r w:rsidR="00216EE5" w:rsidRPr="00A567F2">
        <w:rPr>
          <w:rFonts w:ascii="Times" w:hAnsi="Times"/>
          <w:color w:val="000000" w:themeColor="text1"/>
        </w:rPr>
        <w:t xml:space="preserve">EC and a control </w:t>
      </w:r>
      <w:r w:rsidR="005521B4" w:rsidRPr="00A567F2">
        <w:rPr>
          <w:rFonts w:ascii="Times" w:hAnsi="Times"/>
          <w:color w:val="000000" w:themeColor="text1"/>
        </w:rPr>
        <w:t xml:space="preserve">group </w:t>
      </w:r>
      <w:r w:rsidR="00216EE5" w:rsidRPr="00A567F2">
        <w:rPr>
          <w:rFonts w:ascii="Times" w:hAnsi="Times"/>
          <w:color w:val="000000" w:themeColor="text1"/>
        </w:rPr>
        <w:t>in subsequent</w:t>
      </w:r>
      <w:r w:rsidR="005521B4" w:rsidRPr="00A567F2">
        <w:rPr>
          <w:rFonts w:ascii="Times" w:hAnsi="Times"/>
          <w:color w:val="000000" w:themeColor="text1"/>
        </w:rPr>
        <w:t xml:space="preserve"> chocolate consumption. </w:t>
      </w:r>
      <w:r w:rsidR="00C03180" w:rsidRPr="00A567F2">
        <w:rPr>
          <w:rFonts w:ascii="Times" w:hAnsi="Times"/>
          <w:color w:val="000000" w:themeColor="text1"/>
        </w:rPr>
        <w:t xml:space="preserve"> </w:t>
      </w:r>
    </w:p>
    <w:p w14:paraId="359C8A72" w14:textId="204A3EBB" w:rsidR="00050ACA" w:rsidRPr="00A567F2" w:rsidRDefault="0085356A" w:rsidP="00050ACA">
      <w:pPr>
        <w:spacing w:line="480" w:lineRule="auto"/>
        <w:ind w:firstLine="720"/>
        <w:rPr>
          <w:rFonts w:ascii="Times" w:hAnsi="Times"/>
          <w:color w:val="000000" w:themeColor="text1"/>
        </w:rPr>
      </w:pPr>
      <w:r w:rsidRPr="00A567F2">
        <w:rPr>
          <w:rFonts w:ascii="Times" w:hAnsi="Times"/>
          <w:color w:val="000000" w:themeColor="text1"/>
        </w:rPr>
        <w:t>P</w:t>
      </w:r>
      <w:r w:rsidR="005D354C" w:rsidRPr="00A567F2">
        <w:rPr>
          <w:rFonts w:ascii="Times" w:hAnsi="Times"/>
          <w:color w:val="000000" w:themeColor="text1"/>
        </w:rPr>
        <w:t>arallel</w:t>
      </w:r>
      <w:r w:rsidR="00216EE5" w:rsidRPr="00A567F2">
        <w:rPr>
          <w:rFonts w:ascii="Times" w:hAnsi="Times"/>
          <w:color w:val="000000" w:themeColor="text1"/>
        </w:rPr>
        <w:t xml:space="preserve"> to the literature on Inhibitory Control Training</w:t>
      </w:r>
      <w:r w:rsidR="008F702A" w:rsidRPr="00A567F2">
        <w:rPr>
          <w:rFonts w:ascii="Times" w:hAnsi="Times"/>
          <w:color w:val="000000" w:themeColor="text1"/>
        </w:rPr>
        <w:t xml:space="preserve">, </w:t>
      </w:r>
      <w:r w:rsidR="00216EE5" w:rsidRPr="00A567F2">
        <w:rPr>
          <w:rFonts w:ascii="Times" w:hAnsi="Times"/>
          <w:color w:val="000000" w:themeColor="text1"/>
        </w:rPr>
        <w:t>there is considerable heterogeneity in the design of studies within the literature</w:t>
      </w:r>
      <w:r w:rsidR="004516DB" w:rsidRPr="00A567F2">
        <w:rPr>
          <w:rFonts w:ascii="Times" w:hAnsi="Times"/>
          <w:color w:val="000000" w:themeColor="text1"/>
        </w:rPr>
        <w:t>.</w:t>
      </w:r>
      <w:r w:rsidR="00EB61D4" w:rsidRPr="00A567F2">
        <w:rPr>
          <w:rFonts w:ascii="Times" w:hAnsi="Times"/>
          <w:color w:val="000000" w:themeColor="text1"/>
        </w:rPr>
        <w:t xml:space="preserve"> The</w:t>
      </w:r>
      <w:r w:rsidR="00832D1D" w:rsidRPr="00A567F2">
        <w:rPr>
          <w:rFonts w:ascii="Times" w:hAnsi="Times"/>
          <w:color w:val="000000" w:themeColor="text1"/>
        </w:rPr>
        <w:t xml:space="preserve"> image t</w:t>
      </w:r>
      <w:r w:rsidR="00DF52C9" w:rsidRPr="00A567F2">
        <w:rPr>
          <w:rFonts w:ascii="Times" w:hAnsi="Times"/>
          <w:color w:val="000000" w:themeColor="text1"/>
        </w:rPr>
        <w:t>ype</w:t>
      </w:r>
      <w:r w:rsidR="00832D1D" w:rsidRPr="00A567F2">
        <w:rPr>
          <w:rFonts w:ascii="Times" w:hAnsi="Times"/>
          <w:color w:val="000000" w:themeColor="text1"/>
        </w:rPr>
        <w:t xml:space="preserve"> paired with </w:t>
      </w:r>
      <w:r w:rsidR="00EB61D4" w:rsidRPr="00A567F2">
        <w:rPr>
          <w:rFonts w:ascii="Times" w:hAnsi="Times"/>
          <w:color w:val="000000" w:themeColor="text1"/>
        </w:rPr>
        <w:t xml:space="preserve">the </w:t>
      </w:r>
      <w:r w:rsidR="00832D1D" w:rsidRPr="00A567F2">
        <w:rPr>
          <w:rFonts w:ascii="Times" w:hAnsi="Times"/>
          <w:color w:val="000000" w:themeColor="text1"/>
        </w:rPr>
        <w:t>target stimuli</w:t>
      </w:r>
      <w:r w:rsidR="00DF52C9" w:rsidRPr="00A567F2">
        <w:rPr>
          <w:rFonts w:ascii="Times" w:hAnsi="Times"/>
          <w:color w:val="000000" w:themeColor="text1"/>
        </w:rPr>
        <w:t xml:space="preserve"> varies</w:t>
      </w:r>
      <w:r w:rsidR="00444864" w:rsidRPr="00A567F2">
        <w:rPr>
          <w:rFonts w:ascii="Times" w:hAnsi="Times"/>
          <w:color w:val="000000" w:themeColor="text1"/>
        </w:rPr>
        <w:t xml:space="preserve"> a</w:t>
      </w:r>
      <w:r w:rsidR="00832D1D" w:rsidRPr="00A567F2">
        <w:rPr>
          <w:rFonts w:ascii="Times" w:hAnsi="Times"/>
          <w:color w:val="000000" w:themeColor="text1"/>
        </w:rPr>
        <w:t xml:space="preserve">cross studies, with some </w:t>
      </w:r>
      <w:r w:rsidR="00EB61D4" w:rsidRPr="00A567F2">
        <w:rPr>
          <w:rFonts w:ascii="Times" w:hAnsi="Times"/>
          <w:color w:val="000000" w:themeColor="text1"/>
        </w:rPr>
        <w:t>work</w:t>
      </w:r>
      <w:r w:rsidR="00832D1D" w:rsidRPr="00A567F2">
        <w:rPr>
          <w:rFonts w:ascii="Times" w:hAnsi="Times"/>
          <w:color w:val="000000" w:themeColor="text1"/>
        </w:rPr>
        <w:t xml:space="preserve"> using </w:t>
      </w:r>
      <w:r w:rsidR="00DF52C9" w:rsidRPr="00A567F2">
        <w:rPr>
          <w:rFonts w:ascii="Times" w:hAnsi="Times"/>
          <w:color w:val="000000" w:themeColor="text1"/>
        </w:rPr>
        <w:t>negative health outcome images</w:t>
      </w:r>
      <w:r w:rsidR="00A83011" w:rsidRPr="00A567F2">
        <w:rPr>
          <w:rFonts w:ascii="Times" w:hAnsi="Times"/>
          <w:color w:val="000000" w:themeColor="text1"/>
        </w:rPr>
        <w:t xml:space="preserve"> (</w:t>
      </w:r>
      <w:r w:rsidR="00E34CD3" w:rsidRPr="00A567F2">
        <w:rPr>
          <w:rFonts w:ascii="Times" w:hAnsi="Times"/>
          <w:color w:val="000000" w:themeColor="text1"/>
        </w:rPr>
        <w:t xml:space="preserve">Hollands et al., 2011; </w:t>
      </w:r>
      <w:r w:rsidR="001B66D0" w:rsidRPr="00A567F2">
        <w:rPr>
          <w:rFonts w:ascii="Times" w:hAnsi="Times"/>
          <w:color w:val="000000" w:themeColor="text1"/>
        </w:rPr>
        <w:t>Hollands &amp; Marteau, 2016</w:t>
      </w:r>
      <w:r w:rsidR="00A83011" w:rsidRPr="00A567F2">
        <w:rPr>
          <w:rFonts w:ascii="Times" w:hAnsi="Times"/>
          <w:color w:val="000000" w:themeColor="text1"/>
        </w:rPr>
        <w:t>)</w:t>
      </w:r>
      <w:r w:rsidR="008963F3" w:rsidRPr="00A567F2">
        <w:rPr>
          <w:rFonts w:ascii="Times" w:hAnsi="Times"/>
          <w:color w:val="000000" w:themeColor="text1"/>
        </w:rPr>
        <w:t xml:space="preserve"> alongside unhealthy foods,</w:t>
      </w:r>
      <w:r w:rsidR="00A83011" w:rsidRPr="00A567F2">
        <w:rPr>
          <w:rFonts w:ascii="Times" w:hAnsi="Times"/>
          <w:color w:val="000000" w:themeColor="text1"/>
        </w:rPr>
        <w:t xml:space="preserve"> while others use</w:t>
      </w:r>
      <w:r w:rsidR="00DF52C9" w:rsidRPr="00A567F2">
        <w:rPr>
          <w:rFonts w:ascii="Times" w:hAnsi="Times"/>
          <w:color w:val="000000" w:themeColor="text1"/>
        </w:rPr>
        <w:t xml:space="preserve"> images of negative</w:t>
      </w:r>
      <w:r w:rsidR="00A83011" w:rsidRPr="00A567F2">
        <w:rPr>
          <w:rFonts w:ascii="Times" w:hAnsi="Times"/>
          <w:color w:val="000000" w:themeColor="text1"/>
        </w:rPr>
        <w:t xml:space="preserve"> facial expressions (Shaw et al., 2016)</w:t>
      </w:r>
      <w:r w:rsidR="0069478D" w:rsidRPr="00A567F2">
        <w:rPr>
          <w:rFonts w:ascii="Times" w:hAnsi="Times"/>
          <w:color w:val="000000" w:themeColor="text1"/>
        </w:rPr>
        <w:t xml:space="preserve"> </w:t>
      </w:r>
      <w:r w:rsidR="00F84306" w:rsidRPr="00A567F2">
        <w:rPr>
          <w:rFonts w:ascii="Times" w:hAnsi="Times"/>
          <w:color w:val="000000" w:themeColor="text1"/>
        </w:rPr>
        <w:t>or present information in word form (Bui &amp; Fazio; 2016; Haynes et al., 2015).</w:t>
      </w:r>
      <w:r w:rsidR="00482138" w:rsidRPr="00A567F2">
        <w:rPr>
          <w:rFonts w:ascii="Times" w:hAnsi="Times"/>
          <w:color w:val="000000" w:themeColor="text1"/>
        </w:rPr>
        <w:t xml:space="preserve"> While most</w:t>
      </w:r>
      <w:r w:rsidR="00B92EC1" w:rsidRPr="00A567F2">
        <w:rPr>
          <w:rFonts w:ascii="Times" w:hAnsi="Times"/>
          <w:color w:val="000000" w:themeColor="text1"/>
        </w:rPr>
        <w:t xml:space="preserve"> EC training studies pair the target stimuli with the negative outco</w:t>
      </w:r>
      <w:r w:rsidR="0066179E" w:rsidRPr="00A567F2">
        <w:rPr>
          <w:rFonts w:ascii="Times" w:hAnsi="Times"/>
          <w:color w:val="000000" w:themeColor="text1"/>
        </w:rPr>
        <w:t>me for all trials where the target is presen</w:t>
      </w:r>
      <w:r w:rsidR="00916BDE" w:rsidRPr="00A567F2">
        <w:rPr>
          <w:rFonts w:ascii="Times" w:hAnsi="Times"/>
          <w:color w:val="000000" w:themeColor="text1"/>
        </w:rPr>
        <w:t>ted, there is</w:t>
      </w:r>
      <w:r w:rsidR="0066179E" w:rsidRPr="00A567F2">
        <w:rPr>
          <w:rFonts w:ascii="Times" w:hAnsi="Times"/>
          <w:color w:val="000000" w:themeColor="text1"/>
        </w:rPr>
        <w:t xml:space="preserve"> variation</w:t>
      </w:r>
      <w:r w:rsidR="000930EB" w:rsidRPr="00A567F2">
        <w:rPr>
          <w:rFonts w:ascii="Times" w:hAnsi="Times"/>
          <w:color w:val="000000" w:themeColor="text1"/>
        </w:rPr>
        <w:t xml:space="preserve"> in the number of </w:t>
      </w:r>
      <w:r w:rsidR="00D054AF" w:rsidRPr="00A567F2">
        <w:rPr>
          <w:rFonts w:ascii="Times" w:hAnsi="Times"/>
          <w:color w:val="000000" w:themeColor="text1"/>
        </w:rPr>
        <w:t xml:space="preserve">critical </w:t>
      </w:r>
      <w:r w:rsidR="00920337" w:rsidRPr="00A567F2">
        <w:rPr>
          <w:rFonts w:ascii="Times" w:hAnsi="Times"/>
          <w:color w:val="000000" w:themeColor="text1"/>
        </w:rPr>
        <w:t xml:space="preserve">trials, ranging </w:t>
      </w:r>
      <w:r w:rsidR="004641C1" w:rsidRPr="00A567F2">
        <w:rPr>
          <w:rFonts w:ascii="Times" w:hAnsi="Times"/>
          <w:color w:val="000000" w:themeColor="text1"/>
        </w:rPr>
        <w:t xml:space="preserve">from </w:t>
      </w:r>
      <w:r w:rsidR="00920337" w:rsidRPr="00A567F2">
        <w:rPr>
          <w:rFonts w:ascii="Times" w:hAnsi="Times"/>
          <w:color w:val="000000" w:themeColor="text1"/>
        </w:rPr>
        <w:t>30 trials</w:t>
      </w:r>
      <w:r w:rsidR="00370DDF" w:rsidRPr="00A567F2">
        <w:rPr>
          <w:rFonts w:ascii="Times" w:hAnsi="Times"/>
          <w:color w:val="000000" w:themeColor="text1"/>
        </w:rPr>
        <w:t xml:space="preserve"> per target stimuli</w:t>
      </w:r>
      <w:r w:rsidR="00920337" w:rsidRPr="00A567F2">
        <w:rPr>
          <w:rFonts w:ascii="Times" w:hAnsi="Times"/>
          <w:color w:val="000000" w:themeColor="text1"/>
        </w:rPr>
        <w:t xml:space="preserve"> (</w:t>
      </w:r>
      <w:r w:rsidR="00370DDF" w:rsidRPr="00A567F2">
        <w:rPr>
          <w:rFonts w:ascii="Times" w:hAnsi="Times"/>
          <w:color w:val="000000" w:themeColor="text1"/>
        </w:rPr>
        <w:t>Zerhouni et al., 2019</w:t>
      </w:r>
      <w:r w:rsidR="00920337" w:rsidRPr="00A567F2">
        <w:rPr>
          <w:rFonts w:ascii="Times" w:hAnsi="Times"/>
          <w:color w:val="000000" w:themeColor="text1"/>
        </w:rPr>
        <w:t xml:space="preserve">) to </w:t>
      </w:r>
      <w:r w:rsidR="00995BC6" w:rsidRPr="00A567F2">
        <w:rPr>
          <w:rFonts w:ascii="Times" w:hAnsi="Times"/>
          <w:color w:val="000000" w:themeColor="text1"/>
        </w:rPr>
        <w:t>100</w:t>
      </w:r>
      <w:r w:rsidR="008232EA" w:rsidRPr="00A567F2">
        <w:rPr>
          <w:rFonts w:ascii="Times" w:hAnsi="Times"/>
          <w:color w:val="000000" w:themeColor="text1"/>
        </w:rPr>
        <w:t xml:space="preserve"> </w:t>
      </w:r>
      <w:r w:rsidR="00920337" w:rsidRPr="00A567F2">
        <w:rPr>
          <w:rFonts w:ascii="Times" w:hAnsi="Times"/>
          <w:color w:val="000000" w:themeColor="text1"/>
        </w:rPr>
        <w:t>(</w:t>
      </w:r>
      <w:r w:rsidR="00374B06" w:rsidRPr="00A567F2">
        <w:rPr>
          <w:rFonts w:ascii="Times" w:hAnsi="Times"/>
          <w:color w:val="000000" w:themeColor="text1"/>
        </w:rPr>
        <w:t>Hollands &amp; Marteau, 2016</w:t>
      </w:r>
      <w:r w:rsidR="00920337" w:rsidRPr="00A567F2">
        <w:rPr>
          <w:rFonts w:ascii="Times" w:hAnsi="Times"/>
          <w:color w:val="000000" w:themeColor="text1"/>
        </w:rPr>
        <w:t>)</w:t>
      </w:r>
      <w:r w:rsidR="00841CA3" w:rsidRPr="00A567F2">
        <w:rPr>
          <w:rFonts w:ascii="Times" w:hAnsi="Times"/>
          <w:color w:val="000000" w:themeColor="text1"/>
        </w:rPr>
        <w:t xml:space="preserve">, and it is not clear how many pairings of the target stimuli and negative outcome are </w:t>
      </w:r>
      <w:r w:rsidR="00216EE5" w:rsidRPr="00A567F2">
        <w:rPr>
          <w:rFonts w:ascii="Times" w:hAnsi="Times"/>
          <w:color w:val="000000" w:themeColor="text1"/>
        </w:rPr>
        <w:t>optimal for</w:t>
      </w:r>
      <w:r w:rsidR="00841CA3" w:rsidRPr="00A567F2">
        <w:rPr>
          <w:rFonts w:ascii="Times" w:hAnsi="Times"/>
          <w:color w:val="000000" w:themeColor="text1"/>
        </w:rPr>
        <w:t xml:space="preserve"> influenc</w:t>
      </w:r>
      <w:r w:rsidR="00216EE5" w:rsidRPr="00A567F2">
        <w:rPr>
          <w:rFonts w:ascii="Times" w:hAnsi="Times"/>
          <w:color w:val="000000" w:themeColor="text1"/>
        </w:rPr>
        <w:t>ing</w:t>
      </w:r>
      <w:r w:rsidR="00841CA3" w:rsidRPr="00A567F2">
        <w:rPr>
          <w:rFonts w:ascii="Times" w:hAnsi="Times"/>
          <w:color w:val="000000" w:themeColor="text1"/>
        </w:rPr>
        <w:t xml:space="preserve"> consumption and preference</w:t>
      </w:r>
      <w:r w:rsidR="00A0337A" w:rsidRPr="00A567F2">
        <w:rPr>
          <w:rFonts w:ascii="Times" w:hAnsi="Times"/>
          <w:color w:val="000000" w:themeColor="text1"/>
        </w:rPr>
        <w:t xml:space="preserve"> measures</w:t>
      </w:r>
      <w:r w:rsidR="00841CA3" w:rsidRPr="00A567F2">
        <w:rPr>
          <w:rFonts w:ascii="Times" w:hAnsi="Times"/>
          <w:color w:val="000000" w:themeColor="text1"/>
        </w:rPr>
        <w:t xml:space="preserve">. </w:t>
      </w:r>
      <w:r w:rsidR="0066179E" w:rsidRPr="00A567F2">
        <w:rPr>
          <w:rFonts w:ascii="Times" w:hAnsi="Times"/>
          <w:color w:val="000000" w:themeColor="text1"/>
        </w:rPr>
        <w:t xml:space="preserve">Meta analytic work (Hofmann et al., 2010) </w:t>
      </w:r>
      <w:r w:rsidR="0011645B" w:rsidRPr="00A567F2">
        <w:rPr>
          <w:rFonts w:ascii="Times" w:hAnsi="Times"/>
          <w:color w:val="000000" w:themeColor="text1"/>
        </w:rPr>
        <w:t xml:space="preserve">suggests that the number of pairings may </w:t>
      </w:r>
      <w:r w:rsidR="0011645B" w:rsidRPr="00A567F2">
        <w:rPr>
          <w:rFonts w:ascii="Times" w:hAnsi="Times"/>
          <w:color w:val="000000" w:themeColor="text1"/>
        </w:rPr>
        <w:lastRenderedPageBreak/>
        <w:t>influence the strength of the training effect, however</w:t>
      </w:r>
      <w:r w:rsidR="00D4626A" w:rsidRPr="00A567F2">
        <w:rPr>
          <w:rFonts w:ascii="Times" w:hAnsi="Times"/>
          <w:color w:val="000000" w:themeColor="text1"/>
        </w:rPr>
        <w:t>,</w:t>
      </w:r>
      <w:r w:rsidR="0011645B" w:rsidRPr="00A567F2">
        <w:rPr>
          <w:rFonts w:ascii="Times" w:hAnsi="Times"/>
          <w:color w:val="000000" w:themeColor="text1"/>
        </w:rPr>
        <w:t xml:space="preserve"> to our knowledge,</w:t>
      </w:r>
      <w:r w:rsidR="00D054AF" w:rsidRPr="00A567F2">
        <w:rPr>
          <w:rFonts w:ascii="Times" w:hAnsi="Times"/>
          <w:color w:val="000000" w:themeColor="text1"/>
        </w:rPr>
        <w:t xml:space="preserve"> no study to date has investigated the</w:t>
      </w:r>
      <w:r w:rsidR="007A5AD1" w:rsidRPr="00A567F2">
        <w:rPr>
          <w:rFonts w:ascii="Times" w:hAnsi="Times"/>
          <w:color w:val="000000" w:themeColor="text1"/>
        </w:rPr>
        <w:t xml:space="preserve"> number of </w:t>
      </w:r>
      <w:r w:rsidR="008107CB" w:rsidRPr="00A567F2">
        <w:rPr>
          <w:rFonts w:ascii="Times" w:hAnsi="Times"/>
          <w:color w:val="000000" w:themeColor="text1"/>
        </w:rPr>
        <w:t xml:space="preserve">critical </w:t>
      </w:r>
      <w:r w:rsidR="007A5AD1" w:rsidRPr="00A567F2">
        <w:rPr>
          <w:rFonts w:ascii="Times" w:hAnsi="Times"/>
          <w:color w:val="000000" w:themeColor="text1"/>
        </w:rPr>
        <w:t>pairings at which EC</w:t>
      </w:r>
      <w:r w:rsidR="00D054AF" w:rsidRPr="00A567F2">
        <w:rPr>
          <w:rFonts w:ascii="Times" w:hAnsi="Times"/>
          <w:color w:val="000000" w:themeColor="text1"/>
        </w:rPr>
        <w:t xml:space="preserve"> training becomes </w:t>
      </w:r>
      <w:r w:rsidR="007A5AD1" w:rsidRPr="00A567F2">
        <w:rPr>
          <w:rFonts w:ascii="Times" w:hAnsi="Times"/>
          <w:color w:val="000000" w:themeColor="text1"/>
        </w:rPr>
        <w:t>ineffective</w:t>
      </w:r>
      <w:r w:rsidR="00D054AF" w:rsidRPr="00A567F2">
        <w:rPr>
          <w:rFonts w:ascii="Times" w:hAnsi="Times"/>
          <w:color w:val="000000" w:themeColor="text1"/>
        </w:rPr>
        <w:t xml:space="preserve">. </w:t>
      </w:r>
      <w:r w:rsidR="00A45341" w:rsidRPr="00A567F2">
        <w:rPr>
          <w:rFonts w:ascii="Times" w:hAnsi="Times"/>
          <w:color w:val="000000" w:themeColor="text1"/>
        </w:rPr>
        <w:t>The</w:t>
      </w:r>
      <w:r w:rsidR="00BA1049" w:rsidRPr="00A567F2">
        <w:rPr>
          <w:rFonts w:ascii="Times" w:hAnsi="Times"/>
          <w:color w:val="000000" w:themeColor="text1"/>
        </w:rPr>
        <w:t xml:space="preserve"> </w:t>
      </w:r>
      <w:r w:rsidR="000F1541" w:rsidRPr="00A567F2">
        <w:rPr>
          <w:rFonts w:ascii="Times" w:hAnsi="Times"/>
          <w:color w:val="000000" w:themeColor="text1"/>
        </w:rPr>
        <w:t>between study variations</w:t>
      </w:r>
      <w:r w:rsidR="00EF6CCE" w:rsidRPr="00A567F2">
        <w:rPr>
          <w:rFonts w:ascii="Times" w:hAnsi="Times"/>
          <w:color w:val="000000" w:themeColor="text1"/>
        </w:rPr>
        <w:t xml:space="preserve"> make it difficult to identify the </w:t>
      </w:r>
      <w:r w:rsidR="000F1541" w:rsidRPr="00A567F2">
        <w:rPr>
          <w:rFonts w:ascii="Times" w:hAnsi="Times"/>
          <w:color w:val="000000" w:themeColor="text1"/>
        </w:rPr>
        <w:t>most effective training paradigm</w:t>
      </w:r>
      <w:r w:rsidR="008557ED" w:rsidRPr="00A567F2">
        <w:rPr>
          <w:rFonts w:ascii="Times" w:hAnsi="Times"/>
          <w:color w:val="000000" w:themeColor="text1"/>
        </w:rPr>
        <w:t xml:space="preserve"> for EC interventions</w:t>
      </w:r>
      <w:r w:rsidR="000F1541" w:rsidRPr="00A567F2">
        <w:rPr>
          <w:rFonts w:ascii="Times" w:hAnsi="Times"/>
          <w:color w:val="000000" w:themeColor="text1"/>
        </w:rPr>
        <w:t xml:space="preserve">, and raise questions in relation to the overall impact (and potential application) </w:t>
      </w:r>
      <w:r w:rsidR="008557ED" w:rsidRPr="00A567F2">
        <w:rPr>
          <w:rFonts w:ascii="Times" w:hAnsi="Times"/>
          <w:color w:val="000000" w:themeColor="text1"/>
        </w:rPr>
        <w:t>of training.</w:t>
      </w:r>
    </w:p>
    <w:p w14:paraId="6FB24B93" w14:textId="03DCBF7B" w:rsidR="00646810" w:rsidRPr="00A567F2" w:rsidRDefault="007E6D59" w:rsidP="00646810">
      <w:pPr>
        <w:spacing w:line="480" w:lineRule="auto"/>
        <w:ind w:firstLine="720"/>
        <w:rPr>
          <w:rFonts w:ascii="Times" w:hAnsi="Times"/>
          <w:color w:val="000000" w:themeColor="text1"/>
        </w:rPr>
      </w:pPr>
      <w:r w:rsidRPr="00A567F2">
        <w:rPr>
          <w:rFonts w:ascii="Times" w:hAnsi="Times"/>
          <w:color w:val="000000" w:themeColor="text1"/>
        </w:rPr>
        <w:t>A</w:t>
      </w:r>
      <w:r w:rsidR="002B09B2" w:rsidRPr="00A567F2">
        <w:rPr>
          <w:rFonts w:ascii="Times" w:hAnsi="Times"/>
          <w:color w:val="000000" w:themeColor="text1"/>
        </w:rPr>
        <w:t xml:space="preserve"> </w:t>
      </w:r>
      <w:r w:rsidR="002F6032" w:rsidRPr="00A567F2">
        <w:rPr>
          <w:rFonts w:ascii="Times" w:hAnsi="Times"/>
          <w:color w:val="000000" w:themeColor="text1"/>
        </w:rPr>
        <w:t>further</w:t>
      </w:r>
      <w:r w:rsidR="002B09B2" w:rsidRPr="00A567F2">
        <w:rPr>
          <w:rFonts w:ascii="Times" w:hAnsi="Times"/>
          <w:color w:val="000000" w:themeColor="text1"/>
        </w:rPr>
        <w:t xml:space="preserve"> </w:t>
      </w:r>
      <w:r w:rsidR="000269FE" w:rsidRPr="00A567F2">
        <w:rPr>
          <w:rFonts w:ascii="Times" w:hAnsi="Times"/>
          <w:color w:val="000000" w:themeColor="text1"/>
        </w:rPr>
        <w:t xml:space="preserve">inconsistency that applies to </w:t>
      </w:r>
      <w:r w:rsidR="008B4406" w:rsidRPr="00A567F2">
        <w:rPr>
          <w:rFonts w:ascii="Times" w:hAnsi="Times"/>
          <w:color w:val="000000" w:themeColor="text1"/>
        </w:rPr>
        <w:t>both cue-ICT and EC</w:t>
      </w:r>
      <w:r w:rsidR="002B09B2" w:rsidRPr="00A567F2">
        <w:rPr>
          <w:rFonts w:ascii="Times" w:hAnsi="Times"/>
          <w:color w:val="000000" w:themeColor="text1"/>
        </w:rPr>
        <w:t xml:space="preserve"> </w:t>
      </w:r>
      <w:r w:rsidR="00BD5FC8" w:rsidRPr="00A567F2">
        <w:rPr>
          <w:rFonts w:ascii="Times" w:hAnsi="Times"/>
          <w:color w:val="000000" w:themeColor="text1"/>
        </w:rPr>
        <w:t xml:space="preserve">research </w:t>
      </w:r>
      <w:r w:rsidR="002B09B2" w:rsidRPr="00A567F2">
        <w:rPr>
          <w:rFonts w:ascii="Times" w:hAnsi="Times"/>
          <w:color w:val="000000" w:themeColor="text1"/>
        </w:rPr>
        <w:t xml:space="preserve">relates to the use of </w:t>
      </w:r>
      <w:r w:rsidR="00216EE5" w:rsidRPr="00A567F2">
        <w:rPr>
          <w:rFonts w:ascii="Times" w:hAnsi="Times"/>
          <w:color w:val="000000" w:themeColor="text1"/>
        </w:rPr>
        <w:t>(in)</w:t>
      </w:r>
      <w:r w:rsidR="00EC7849" w:rsidRPr="00A567F2">
        <w:rPr>
          <w:rFonts w:ascii="Times" w:hAnsi="Times"/>
          <w:color w:val="000000" w:themeColor="text1"/>
        </w:rPr>
        <w:t xml:space="preserve">appropriate </w:t>
      </w:r>
      <w:r w:rsidR="002B09B2" w:rsidRPr="00A567F2">
        <w:rPr>
          <w:rFonts w:ascii="Times" w:hAnsi="Times"/>
          <w:color w:val="000000" w:themeColor="text1"/>
        </w:rPr>
        <w:t>control</w:t>
      </w:r>
      <w:r w:rsidR="000562D0" w:rsidRPr="00A567F2">
        <w:rPr>
          <w:rFonts w:ascii="Times" w:hAnsi="Times"/>
          <w:color w:val="000000" w:themeColor="text1"/>
        </w:rPr>
        <w:t>/</w:t>
      </w:r>
      <w:r w:rsidR="00216EE5" w:rsidRPr="00A567F2">
        <w:rPr>
          <w:rFonts w:ascii="Times" w:hAnsi="Times"/>
          <w:color w:val="000000" w:themeColor="text1"/>
        </w:rPr>
        <w:t xml:space="preserve">comparison </w:t>
      </w:r>
      <w:r w:rsidR="002B09B2" w:rsidRPr="00A567F2">
        <w:rPr>
          <w:rFonts w:ascii="Times" w:hAnsi="Times"/>
          <w:color w:val="000000" w:themeColor="text1"/>
        </w:rPr>
        <w:t xml:space="preserve">groups. </w:t>
      </w:r>
      <w:r w:rsidR="00BF1FB7" w:rsidRPr="00A567F2">
        <w:rPr>
          <w:rFonts w:ascii="Times" w:hAnsi="Times"/>
          <w:color w:val="000000" w:themeColor="text1"/>
        </w:rPr>
        <w:t>To ensure causal inferences can be made, the inclusion of a control/</w:t>
      </w:r>
      <w:r w:rsidR="003218EF" w:rsidRPr="00A567F2">
        <w:rPr>
          <w:rFonts w:ascii="Times" w:hAnsi="Times"/>
          <w:color w:val="000000" w:themeColor="text1"/>
        </w:rPr>
        <w:t>comparison</w:t>
      </w:r>
      <w:r w:rsidR="00BF1FB7" w:rsidRPr="00A567F2">
        <w:rPr>
          <w:rFonts w:ascii="Times" w:hAnsi="Times"/>
          <w:color w:val="000000" w:themeColor="text1"/>
        </w:rPr>
        <w:t xml:space="preserve"> group is required, however the content</w:t>
      </w:r>
      <w:r w:rsidR="00BA48C4" w:rsidRPr="00A567F2">
        <w:rPr>
          <w:rFonts w:ascii="Times" w:hAnsi="Times"/>
          <w:color w:val="000000" w:themeColor="text1"/>
        </w:rPr>
        <w:t xml:space="preserve"> </w:t>
      </w:r>
      <w:r w:rsidR="00DE0CEC" w:rsidRPr="00A567F2">
        <w:rPr>
          <w:rFonts w:ascii="Times" w:hAnsi="Times"/>
          <w:color w:val="000000" w:themeColor="text1"/>
        </w:rPr>
        <w:t xml:space="preserve">of these control groups is </w:t>
      </w:r>
      <w:r w:rsidR="00BA48C4" w:rsidRPr="00A567F2">
        <w:rPr>
          <w:rFonts w:ascii="Times" w:hAnsi="Times"/>
          <w:color w:val="000000" w:themeColor="text1"/>
        </w:rPr>
        <w:t>not consistent</w:t>
      </w:r>
      <w:r w:rsidR="00BF1FB7" w:rsidRPr="00A567F2">
        <w:rPr>
          <w:rFonts w:ascii="Times" w:hAnsi="Times"/>
          <w:color w:val="000000" w:themeColor="text1"/>
        </w:rPr>
        <w:t xml:space="preserve"> and often </w:t>
      </w:r>
      <w:r w:rsidR="00BF1FB7" w:rsidRPr="00A567F2">
        <w:rPr>
          <w:rFonts w:ascii="Times" w:hAnsi="Times"/>
          <w:i/>
          <w:iCs/>
          <w:color w:val="000000" w:themeColor="text1"/>
        </w:rPr>
        <w:t xml:space="preserve">suboptimal </w:t>
      </w:r>
      <w:r w:rsidR="00BF1FB7" w:rsidRPr="00A567F2">
        <w:rPr>
          <w:rFonts w:ascii="Times" w:hAnsi="Times"/>
          <w:color w:val="000000" w:themeColor="text1"/>
        </w:rPr>
        <w:t>(Jones et al, 2018)</w:t>
      </w:r>
      <w:r w:rsidR="00BA48C4" w:rsidRPr="00A567F2">
        <w:rPr>
          <w:rFonts w:ascii="Times" w:hAnsi="Times"/>
          <w:color w:val="000000" w:themeColor="text1"/>
        </w:rPr>
        <w:t xml:space="preserve">. While some studies use </w:t>
      </w:r>
      <w:r w:rsidR="0024322B" w:rsidRPr="00A567F2">
        <w:rPr>
          <w:rFonts w:ascii="Times" w:hAnsi="Times"/>
          <w:color w:val="000000" w:themeColor="text1"/>
        </w:rPr>
        <w:t xml:space="preserve">designs where </w:t>
      </w:r>
      <w:r w:rsidR="000C6D63" w:rsidRPr="00A567F2">
        <w:rPr>
          <w:rFonts w:ascii="Times" w:hAnsi="Times"/>
          <w:color w:val="000000" w:themeColor="text1"/>
        </w:rPr>
        <w:t xml:space="preserve">control </w:t>
      </w:r>
      <w:r w:rsidR="0024322B" w:rsidRPr="00A567F2">
        <w:rPr>
          <w:rFonts w:ascii="Times" w:hAnsi="Times"/>
          <w:color w:val="000000" w:themeColor="text1"/>
        </w:rPr>
        <w:t xml:space="preserve">participants complete </w:t>
      </w:r>
      <w:r w:rsidR="00DC3ED1" w:rsidRPr="00A567F2">
        <w:rPr>
          <w:rFonts w:ascii="Times" w:hAnsi="Times"/>
          <w:color w:val="000000" w:themeColor="text1"/>
        </w:rPr>
        <w:t xml:space="preserve">a reversed </w:t>
      </w:r>
      <w:r w:rsidR="00216EE5" w:rsidRPr="00A567F2">
        <w:rPr>
          <w:rFonts w:ascii="Times" w:hAnsi="Times"/>
          <w:color w:val="000000" w:themeColor="text1"/>
        </w:rPr>
        <w:t xml:space="preserve">contingency </w:t>
      </w:r>
      <w:r w:rsidR="005B4894" w:rsidRPr="00A567F2">
        <w:rPr>
          <w:rFonts w:ascii="Times" w:hAnsi="Times"/>
          <w:color w:val="000000" w:themeColor="text1"/>
        </w:rPr>
        <w:t>of</w:t>
      </w:r>
      <w:r w:rsidR="00686E7C" w:rsidRPr="00A567F2">
        <w:rPr>
          <w:rFonts w:ascii="Times" w:hAnsi="Times"/>
          <w:color w:val="000000" w:themeColor="text1"/>
        </w:rPr>
        <w:t xml:space="preserve"> the experimental </w:t>
      </w:r>
      <w:r w:rsidR="00DC3ED1" w:rsidRPr="00A567F2">
        <w:rPr>
          <w:rFonts w:ascii="Times" w:hAnsi="Times"/>
          <w:color w:val="000000" w:themeColor="text1"/>
        </w:rPr>
        <w:t>task</w:t>
      </w:r>
      <w:r w:rsidR="00872CFA" w:rsidRPr="00A567F2">
        <w:rPr>
          <w:rFonts w:ascii="Times" w:hAnsi="Times"/>
          <w:color w:val="000000" w:themeColor="text1"/>
        </w:rPr>
        <w:t xml:space="preserve"> (e.g., instead of </w:t>
      </w:r>
      <w:r w:rsidR="00CE0D96" w:rsidRPr="00A567F2">
        <w:rPr>
          <w:rFonts w:ascii="Times" w:hAnsi="Times"/>
          <w:color w:val="000000" w:themeColor="text1"/>
        </w:rPr>
        <w:t>inhibiting responses</w:t>
      </w:r>
      <w:r w:rsidR="00872CFA" w:rsidRPr="00A567F2">
        <w:rPr>
          <w:rFonts w:ascii="Times" w:hAnsi="Times"/>
          <w:color w:val="000000" w:themeColor="text1"/>
        </w:rPr>
        <w:t xml:space="preserve"> to 100% of target stimuli, </w:t>
      </w:r>
      <w:r w:rsidR="00027A43" w:rsidRPr="00A567F2">
        <w:rPr>
          <w:rFonts w:ascii="Times" w:hAnsi="Times"/>
          <w:color w:val="000000" w:themeColor="text1"/>
        </w:rPr>
        <w:t xml:space="preserve">participants </w:t>
      </w:r>
      <w:r w:rsidR="00CE0D96" w:rsidRPr="00A567F2">
        <w:rPr>
          <w:rFonts w:ascii="Times" w:hAnsi="Times"/>
          <w:color w:val="000000" w:themeColor="text1"/>
        </w:rPr>
        <w:t>inhibit</w:t>
      </w:r>
      <w:r w:rsidR="00872CFA" w:rsidRPr="00A567F2">
        <w:rPr>
          <w:rFonts w:ascii="Times" w:hAnsi="Times"/>
          <w:color w:val="000000" w:themeColor="text1"/>
        </w:rPr>
        <w:t xml:space="preserve"> to 0% of target stimuli) </w:t>
      </w:r>
      <w:r w:rsidR="008F19D2" w:rsidRPr="00A567F2">
        <w:rPr>
          <w:rFonts w:ascii="Times" w:hAnsi="Times"/>
          <w:color w:val="000000" w:themeColor="text1"/>
        </w:rPr>
        <w:t xml:space="preserve">there is a risk that </w:t>
      </w:r>
      <w:r w:rsidR="00DC2C77" w:rsidRPr="00A567F2">
        <w:rPr>
          <w:rFonts w:ascii="Times" w:hAnsi="Times"/>
          <w:color w:val="000000" w:themeColor="text1"/>
        </w:rPr>
        <w:t>this strategy results in an</w:t>
      </w:r>
      <w:r w:rsidR="008F19D2" w:rsidRPr="00A567F2">
        <w:rPr>
          <w:rFonts w:ascii="Times" w:hAnsi="Times"/>
          <w:color w:val="000000" w:themeColor="text1"/>
        </w:rPr>
        <w:t xml:space="preserve"> inflation of between group differences (as participants are being trained away from target stimuli </w:t>
      </w:r>
      <w:r w:rsidR="00F8238B" w:rsidRPr="00A567F2">
        <w:rPr>
          <w:rFonts w:ascii="Times" w:hAnsi="Times"/>
          <w:color w:val="000000" w:themeColor="text1"/>
        </w:rPr>
        <w:t>rather than</w:t>
      </w:r>
      <w:r w:rsidR="008F19D2" w:rsidRPr="00A567F2">
        <w:rPr>
          <w:rFonts w:ascii="Times" w:hAnsi="Times"/>
          <w:color w:val="000000" w:themeColor="text1"/>
        </w:rPr>
        <w:t xml:space="preserve"> not being trained</w:t>
      </w:r>
      <w:r w:rsidR="00000867" w:rsidRPr="00A567F2">
        <w:rPr>
          <w:rFonts w:ascii="Times" w:hAnsi="Times"/>
          <w:color w:val="000000" w:themeColor="text1"/>
        </w:rPr>
        <w:t xml:space="preserve"> as in a traditional control group</w:t>
      </w:r>
      <w:r w:rsidR="00340452" w:rsidRPr="00A567F2">
        <w:rPr>
          <w:rFonts w:ascii="Times" w:hAnsi="Times"/>
          <w:color w:val="000000" w:themeColor="text1"/>
        </w:rPr>
        <w:t xml:space="preserve"> </w:t>
      </w:r>
      <w:r w:rsidR="008F19D2" w:rsidRPr="00A567F2">
        <w:rPr>
          <w:rFonts w:ascii="Times" w:hAnsi="Times"/>
          <w:color w:val="000000" w:themeColor="text1"/>
        </w:rPr>
        <w:t>(</w:t>
      </w:r>
      <w:r w:rsidR="00595A1F" w:rsidRPr="00A567F2">
        <w:rPr>
          <w:rFonts w:ascii="Times" w:hAnsi="Times"/>
          <w:color w:val="000000" w:themeColor="text1"/>
        </w:rPr>
        <w:t>Jones et al., 2016</w:t>
      </w:r>
      <w:r w:rsidR="00DF11A8" w:rsidRPr="00A567F2">
        <w:rPr>
          <w:rFonts w:ascii="Times" w:hAnsi="Times"/>
          <w:color w:val="000000" w:themeColor="text1"/>
        </w:rPr>
        <w:t>; Jones et al., 2018</w:t>
      </w:r>
      <w:r w:rsidR="008F19D2" w:rsidRPr="00A567F2">
        <w:rPr>
          <w:rFonts w:ascii="Times" w:hAnsi="Times"/>
          <w:color w:val="000000" w:themeColor="text1"/>
        </w:rPr>
        <w:t>).</w:t>
      </w:r>
      <w:r w:rsidR="00EB1D82" w:rsidRPr="00A567F2">
        <w:rPr>
          <w:rFonts w:ascii="Times" w:hAnsi="Times"/>
          <w:color w:val="000000" w:themeColor="text1"/>
        </w:rPr>
        <w:t xml:space="preserve"> </w:t>
      </w:r>
      <w:r w:rsidR="00F25407" w:rsidRPr="00A567F2">
        <w:rPr>
          <w:rFonts w:ascii="Times" w:hAnsi="Times"/>
          <w:color w:val="000000" w:themeColor="text1"/>
        </w:rPr>
        <w:t>Where control g</w:t>
      </w:r>
      <w:r w:rsidR="00711301" w:rsidRPr="00A567F2">
        <w:rPr>
          <w:rFonts w:ascii="Times" w:hAnsi="Times"/>
          <w:color w:val="000000" w:themeColor="text1"/>
        </w:rPr>
        <w:t>roups are designed in this way</w:t>
      </w:r>
      <w:r w:rsidR="00F25407" w:rsidRPr="00A567F2">
        <w:rPr>
          <w:rFonts w:ascii="Times" w:hAnsi="Times"/>
          <w:color w:val="000000" w:themeColor="text1"/>
        </w:rPr>
        <w:t xml:space="preserve"> </w:t>
      </w:r>
      <w:r w:rsidR="00711301" w:rsidRPr="00A567F2">
        <w:rPr>
          <w:rFonts w:ascii="Times" w:hAnsi="Times"/>
          <w:color w:val="000000" w:themeColor="text1"/>
        </w:rPr>
        <w:t xml:space="preserve">(sometimes </w:t>
      </w:r>
      <w:r w:rsidR="00F25407" w:rsidRPr="00A567F2">
        <w:rPr>
          <w:rFonts w:ascii="Times" w:hAnsi="Times"/>
          <w:color w:val="000000" w:themeColor="text1"/>
        </w:rPr>
        <w:t>unintentionally</w:t>
      </w:r>
      <w:r w:rsidR="00711301" w:rsidRPr="00A567F2">
        <w:rPr>
          <w:rFonts w:ascii="Times" w:hAnsi="Times"/>
          <w:color w:val="000000" w:themeColor="text1"/>
        </w:rPr>
        <w:t>)</w:t>
      </w:r>
      <w:r w:rsidR="00F25407" w:rsidRPr="00A567F2">
        <w:rPr>
          <w:rFonts w:ascii="Times" w:hAnsi="Times"/>
          <w:color w:val="000000" w:themeColor="text1"/>
        </w:rPr>
        <w:t xml:space="preserve"> participants are being </w:t>
      </w:r>
      <w:r w:rsidR="00E90B3F" w:rsidRPr="00A567F2">
        <w:rPr>
          <w:rFonts w:ascii="Times" w:hAnsi="Times"/>
          <w:color w:val="000000" w:themeColor="text1"/>
        </w:rPr>
        <w:t>trained towards healthy food items</w:t>
      </w:r>
      <w:r w:rsidR="005D354C" w:rsidRPr="00A567F2">
        <w:rPr>
          <w:rFonts w:ascii="Times" w:hAnsi="Times"/>
          <w:color w:val="000000" w:themeColor="text1"/>
        </w:rPr>
        <w:t xml:space="preserve"> (known as cue-approach training </w:t>
      </w:r>
      <w:r w:rsidR="00083CE2" w:rsidRPr="00A567F2">
        <w:rPr>
          <w:rFonts w:ascii="Times" w:hAnsi="Times"/>
          <w:color w:val="000000" w:themeColor="text1"/>
        </w:rPr>
        <w:t>(Schonberg et al., 2014</w:t>
      </w:r>
      <w:r w:rsidR="005D354C" w:rsidRPr="00A567F2">
        <w:rPr>
          <w:rFonts w:ascii="Times" w:hAnsi="Times"/>
          <w:color w:val="000000" w:themeColor="text1"/>
        </w:rPr>
        <w:t>)</w:t>
      </w:r>
      <w:r w:rsidR="00180BD0" w:rsidRPr="00A567F2">
        <w:rPr>
          <w:rFonts w:ascii="Times" w:hAnsi="Times"/>
          <w:color w:val="000000" w:themeColor="text1"/>
        </w:rPr>
        <w:t>)</w:t>
      </w:r>
      <w:r w:rsidR="00314A13" w:rsidRPr="00A567F2">
        <w:rPr>
          <w:rFonts w:ascii="Times" w:hAnsi="Times"/>
          <w:color w:val="000000" w:themeColor="text1"/>
        </w:rPr>
        <w:t xml:space="preserve">, therefore changes in </w:t>
      </w:r>
      <w:r w:rsidR="00F1744E" w:rsidRPr="00A567F2">
        <w:rPr>
          <w:rFonts w:ascii="Times" w:hAnsi="Times"/>
          <w:color w:val="000000" w:themeColor="text1"/>
        </w:rPr>
        <w:t>choice and preference for healthy foods should also be measured</w:t>
      </w:r>
      <w:r w:rsidR="00314A13" w:rsidRPr="00A567F2">
        <w:rPr>
          <w:rFonts w:ascii="Times" w:hAnsi="Times"/>
          <w:color w:val="000000" w:themeColor="text1"/>
        </w:rPr>
        <w:t xml:space="preserve"> in CBM studies</w:t>
      </w:r>
      <w:r w:rsidR="00B967DA" w:rsidRPr="00A567F2">
        <w:rPr>
          <w:rFonts w:ascii="Times" w:hAnsi="Times"/>
          <w:color w:val="000000" w:themeColor="text1"/>
        </w:rPr>
        <w:t xml:space="preserve"> to </w:t>
      </w:r>
      <w:r w:rsidR="00B966C9" w:rsidRPr="00A567F2">
        <w:rPr>
          <w:rFonts w:ascii="Times" w:hAnsi="Times"/>
          <w:color w:val="000000" w:themeColor="text1"/>
        </w:rPr>
        <w:t xml:space="preserve">thoroughly </w:t>
      </w:r>
      <w:r w:rsidR="00B967DA" w:rsidRPr="00A567F2">
        <w:rPr>
          <w:rFonts w:ascii="Times" w:hAnsi="Times"/>
          <w:color w:val="000000" w:themeColor="text1"/>
        </w:rPr>
        <w:t>evaluate effectiveness</w:t>
      </w:r>
      <w:r w:rsidR="00711301" w:rsidRPr="00A567F2">
        <w:rPr>
          <w:rFonts w:ascii="Times" w:hAnsi="Times"/>
          <w:color w:val="000000" w:themeColor="text1"/>
        </w:rPr>
        <w:t>.</w:t>
      </w:r>
      <w:r w:rsidR="007070AF" w:rsidRPr="00A567F2">
        <w:rPr>
          <w:rFonts w:ascii="Times" w:hAnsi="Times"/>
          <w:color w:val="000000" w:themeColor="text1"/>
        </w:rPr>
        <w:t xml:space="preserve"> </w:t>
      </w:r>
      <w:r w:rsidR="00711301" w:rsidRPr="00A567F2">
        <w:rPr>
          <w:rFonts w:ascii="Times" w:hAnsi="Times"/>
          <w:color w:val="000000" w:themeColor="text1"/>
        </w:rPr>
        <w:t xml:space="preserve">Studies should also implement a true control group who </w:t>
      </w:r>
      <w:r w:rsidR="004456C2" w:rsidRPr="00A567F2">
        <w:rPr>
          <w:rFonts w:ascii="Times" w:hAnsi="Times"/>
          <w:color w:val="000000" w:themeColor="text1"/>
        </w:rPr>
        <w:t>complete</w:t>
      </w:r>
      <w:r w:rsidR="00711301" w:rsidRPr="00A567F2">
        <w:rPr>
          <w:rFonts w:ascii="Times" w:hAnsi="Times"/>
          <w:color w:val="000000" w:themeColor="text1"/>
        </w:rPr>
        <w:t xml:space="preserve"> 50% of each trial type </w:t>
      </w:r>
      <w:r w:rsidR="004456C2" w:rsidRPr="00A567F2">
        <w:rPr>
          <w:rFonts w:ascii="Times" w:hAnsi="Times"/>
          <w:color w:val="000000" w:themeColor="text1"/>
        </w:rPr>
        <w:t>(dependent</w:t>
      </w:r>
      <w:r w:rsidR="00711301" w:rsidRPr="00A567F2">
        <w:rPr>
          <w:rFonts w:ascii="Times" w:hAnsi="Times"/>
          <w:color w:val="000000" w:themeColor="text1"/>
        </w:rPr>
        <w:t xml:space="preserve"> upon the </w:t>
      </w:r>
      <w:r w:rsidR="004456C2" w:rsidRPr="00A567F2">
        <w:rPr>
          <w:rFonts w:ascii="Times" w:hAnsi="Times"/>
          <w:color w:val="000000" w:themeColor="text1"/>
        </w:rPr>
        <w:t xml:space="preserve">specific CBM </w:t>
      </w:r>
      <w:r w:rsidR="00711301" w:rsidRPr="00A567F2">
        <w:rPr>
          <w:rFonts w:ascii="Times" w:hAnsi="Times"/>
          <w:color w:val="000000" w:themeColor="text1"/>
        </w:rPr>
        <w:t>technique</w:t>
      </w:r>
      <w:r w:rsidR="004456C2" w:rsidRPr="00A567F2">
        <w:rPr>
          <w:rFonts w:ascii="Times" w:hAnsi="Times"/>
          <w:color w:val="000000" w:themeColor="text1"/>
        </w:rPr>
        <w:t>)</w:t>
      </w:r>
      <w:r w:rsidR="00B967DA" w:rsidRPr="00A567F2">
        <w:rPr>
          <w:rFonts w:ascii="Times" w:hAnsi="Times"/>
          <w:color w:val="000000" w:themeColor="text1"/>
        </w:rPr>
        <w:t xml:space="preserve"> to ensure that an appropriate comparison is made </w:t>
      </w:r>
      <w:r w:rsidR="004456C2" w:rsidRPr="00A567F2">
        <w:rPr>
          <w:rFonts w:ascii="Times" w:hAnsi="Times"/>
          <w:color w:val="000000" w:themeColor="text1"/>
        </w:rPr>
        <w:t xml:space="preserve">(for example, cue-ICT control participants should respond to 50% healthy and 50% unhealthy items </w:t>
      </w:r>
      <w:r w:rsidR="00B966C9" w:rsidRPr="00A567F2">
        <w:rPr>
          <w:rFonts w:ascii="Times" w:hAnsi="Times"/>
          <w:color w:val="000000" w:themeColor="text1"/>
        </w:rPr>
        <w:t xml:space="preserve">during training </w:t>
      </w:r>
      <w:r w:rsidR="00465C4F" w:rsidRPr="00A567F2">
        <w:rPr>
          <w:rFonts w:ascii="Times" w:hAnsi="Times"/>
          <w:color w:val="000000" w:themeColor="text1"/>
        </w:rPr>
        <w:t>(Jones et al., 2018</w:t>
      </w:r>
      <w:r w:rsidR="004456C2" w:rsidRPr="00A567F2">
        <w:rPr>
          <w:rFonts w:ascii="Times" w:hAnsi="Times"/>
          <w:color w:val="000000" w:themeColor="text1"/>
        </w:rPr>
        <w:t>)</w:t>
      </w:r>
      <w:r w:rsidR="00B967DA" w:rsidRPr="00A567F2">
        <w:rPr>
          <w:rFonts w:ascii="Times" w:hAnsi="Times"/>
          <w:color w:val="000000" w:themeColor="text1"/>
        </w:rPr>
        <w:t>)</w:t>
      </w:r>
      <w:r w:rsidR="00711301" w:rsidRPr="00A567F2">
        <w:rPr>
          <w:rFonts w:ascii="Times" w:hAnsi="Times"/>
          <w:color w:val="000000" w:themeColor="text1"/>
        </w:rPr>
        <w:t xml:space="preserve">. </w:t>
      </w:r>
      <w:r w:rsidR="00C729CA" w:rsidRPr="00A567F2">
        <w:rPr>
          <w:rFonts w:ascii="Times" w:hAnsi="Times"/>
          <w:color w:val="000000" w:themeColor="text1"/>
        </w:rPr>
        <w:t xml:space="preserve"> While some researchers have expressed concerns in relation to this approach (stating that placebo training can behave as an active trainin</w:t>
      </w:r>
      <w:r w:rsidR="007360DF" w:rsidRPr="00A567F2">
        <w:rPr>
          <w:rFonts w:ascii="Times" w:hAnsi="Times"/>
          <w:color w:val="000000" w:themeColor="text1"/>
        </w:rPr>
        <w:t>g group for participants with</w:t>
      </w:r>
      <w:r w:rsidR="00C729CA" w:rsidRPr="00A567F2">
        <w:rPr>
          <w:rFonts w:ascii="Times" w:hAnsi="Times"/>
          <w:color w:val="000000" w:themeColor="text1"/>
        </w:rPr>
        <w:t xml:space="preserve"> pre-existing biases</w:t>
      </w:r>
      <w:r w:rsidR="001F7BA0" w:rsidRPr="00A567F2">
        <w:rPr>
          <w:rFonts w:ascii="Times" w:hAnsi="Times"/>
          <w:color w:val="000000" w:themeColor="text1"/>
        </w:rPr>
        <w:t xml:space="preserve"> (Kakoschke, Kemps, &amp; Tiggemann, 2018</w:t>
      </w:r>
      <w:r w:rsidR="00C729CA" w:rsidRPr="00A567F2">
        <w:rPr>
          <w:rFonts w:ascii="Times" w:hAnsi="Times"/>
          <w:color w:val="000000" w:themeColor="text1"/>
        </w:rPr>
        <w:t>)</w:t>
      </w:r>
      <w:r w:rsidR="00693332" w:rsidRPr="00A567F2">
        <w:rPr>
          <w:rFonts w:ascii="Times" w:hAnsi="Times"/>
          <w:color w:val="000000" w:themeColor="text1"/>
        </w:rPr>
        <w:t>)</w:t>
      </w:r>
      <w:r w:rsidR="00C729CA" w:rsidRPr="00A567F2">
        <w:rPr>
          <w:rFonts w:ascii="Times" w:hAnsi="Times"/>
          <w:color w:val="000000" w:themeColor="text1"/>
        </w:rPr>
        <w:t xml:space="preserve">, Kruijt and Carlbring (2018) </w:t>
      </w:r>
      <w:r w:rsidR="00235F89" w:rsidRPr="00A567F2">
        <w:rPr>
          <w:rFonts w:ascii="Times" w:hAnsi="Times"/>
          <w:color w:val="000000" w:themeColor="text1"/>
        </w:rPr>
        <w:t xml:space="preserve">argue </w:t>
      </w:r>
      <w:r w:rsidR="00235F89" w:rsidRPr="00A567F2">
        <w:rPr>
          <w:rFonts w:ascii="Times" w:hAnsi="Times"/>
          <w:color w:val="000000" w:themeColor="text1"/>
        </w:rPr>
        <w:lastRenderedPageBreak/>
        <w:t>that</w:t>
      </w:r>
      <w:r w:rsidR="00B22AD3" w:rsidRPr="00A567F2">
        <w:rPr>
          <w:rFonts w:ascii="Times" w:hAnsi="Times"/>
          <w:color w:val="000000" w:themeColor="text1"/>
        </w:rPr>
        <w:t xml:space="preserve"> </w:t>
      </w:r>
      <w:r w:rsidR="00693332" w:rsidRPr="00A567F2">
        <w:rPr>
          <w:rFonts w:ascii="Times" w:hAnsi="Times"/>
          <w:color w:val="000000" w:themeColor="text1"/>
        </w:rPr>
        <w:t>50</w:t>
      </w:r>
      <w:r w:rsidR="00235F89" w:rsidRPr="00A567F2">
        <w:rPr>
          <w:rFonts w:ascii="Times" w:hAnsi="Times"/>
          <w:color w:val="000000" w:themeColor="text1"/>
        </w:rPr>
        <w:t>%/50%</w:t>
      </w:r>
      <w:r w:rsidR="00693332" w:rsidRPr="00A567F2">
        <w:rPr>
          <w:rFonts w:ascii="Times" w:hAnsi="Times"/>
          <w:color w:val="000000" w:themeColor="text1"/>
        </w:rPr>
        <w:t xml:space="preserve"> control groups </w:t>
      </w:r>
      <w:r w:rsidR="007360DF" w:rsidRPr="00A567F2">
        <w:rPr>
          <w:rFonts w:ascii="Times" w:hAnsi="Times"/>
          <w:color w:val="000000" w:themeColor="text1"/>
        </w:rPr>
        <w:t>are not more or less beneficial for individuals w</w:t>
      </w:r>
      <w:r w:rsidR="007D7A23" w:rsidRPr="00A567F2">
        <w:rPr>
          <w:rFonts w:ascii="Times" w:hAnsi="Times"/>
          <w:color w:val="000000" w:themeColor="text1"/>
        </w:rPr>
        <w:t xml:space="preserve">ho possess pre-existing biases, and therefore function as an </w:t>
      </w:r>
      <w:r w:rsidR="007F30B7" w:rsidRPr="00A567F2">
        <w:rPr>
          <w:rFonts w:ascii="Times" w:hAnsi="Times"/>
          <w:color w:val="000000" w:themeColor="text1"/>
        </w:rPr>
        <w:t>appropriate</w:t>
      </w:r>
      <w:r w:rsidR="007D7A23" w:rsidRPr="00A567F2">
        <w:rPr>
          <w:rFonts w:ascii="Times" w:hAnsi="Times"/>
          <w:color w:val="000000" w:themeColor="text1"/>
        </w:rPr>
        <w:t xml:space="preserve"> control </w:t>
      </w:r>
      <w:r w:rsidR="007F30B7" w:rsidRPr="00A567F2">
        <w:rPr>
          <w:rFonts w:ascii="Times" w:hAnsi="Times"/>
          <w:color w:val="000000" w:themeColor="text1"/>
        </w:rPr>
        <w:t xml:space="preserve">comparison </w:t>
      </w:r>
      <w:r w:rsidR="007D7A23" w:rsidRPr="00A567F2">
        <w:rPr>
          <w:rFonts w:ascii="Times" w:hAnsi="Times"/>
          <w:color w:val="000000" w:themeColor="text1"/>
        </w:rPr>
        <w:t>group.</w:t>
      </w:r>
      <w:r w:rsidR="007360DF" w:rsidRPr="00A567F2">
        <w:rPr>
          <w:rFonts w:ascii="Times" w:hAnsi="Times"/>
          <w:color w:val="000000" w:themeColor="text1"/>
        </w:rPr>
        <w:t xml:space="preserve"> </w:t>
      </w:r>
    </w:p>
    <w:p w14:paraId="1397BC8F" w14:textId="4129346A" w:rsidR="000B3B1A" w:rsidRPr="00A567F2" w:rsidRDefault="00216EE5" w:rsidP="00C4797C">
      <w:pPr>
        <w:spacing w:line="480" w:lineRule="auto"/>
        <w:ind w:firstLine="720"/>
        <w:rPr>
          <w:rFonts w:ascii="Times" w:hAnsi="Times"/>
          <w:color w:val="000000" w:themeColor="text1"/>
        </w:rPr>
      </w:pPr>
      <w:r w:rsidRPr="00A567F2">
        <w:rPr>
          <w:rFonts w:ascii="Times" w:hAnsi="Times"/>
          <w:color w:val="000000" w:themeColor="text1"/>
        </w:rPr>
        <w:t>Therefore, t</w:t>
      </w:r>
      <w:r w:rsidR="00BA48C4" w:rsidRPr="00A567F2">
        <w:rPr>
          <w:rFonts w:ascii="Times" w:hAnsi="Times"/>
          <w:color w:val="000000" w:themeColor="text1"/>
        </w:rPr>
        <w:t xml:space="preserve">he aim of the current research </w:t>
      </w:r>
      <w:r w:rsidR="00064100" w:rsidRPr="00A567F2">
        <w:rPr>
          <w:rFonts w:ascii="Times" w:hAnsi="Times"/>
          <w:color w:val="000000" w:themeColor="text1"/>
        </w:rPr>
        <w:t>was</w:t>
      </w:r>
      <w:r w:rsidR="00BA48C4" w:rsidRPr="00A567F2">
        <w:rPr>
          <w:rFonts w:ascii="Times" w:hAnsi="Times"/>
          <w:color w:val="000000" w:themeColor="text1"/>
        </w:rPr>
        <w:t xml:space="preserve"> to investigate two specific CBM strategies (cue-specific inhibitory control training (cue-ICT) and evaluative conditioning (EC)) to </w:t>
      </w:r>
      <w:r w:rsidR="00D94F00" w:rsidRPr="00A567F2">
        <w:rPr>
          <w:rFonts w:ascii="Times" w:hAnsi="Times"/>
          <w:color w:val="000000" w:themeColor="text1"/>
        </w:rPr>
        <w:t>identify</w:t>
      </w:r>
      <w:r w:rsidR="00BA48C4" w:rsidRPr="00A567F2">
        <w:rPr>
          <w:rFonts w:ascii="Times" w:hAnsi="Times"/>
          <w:color w:val="000000" w:themeColor="text1"/>
        </w:rPr>
        <w:t xml:space="preserve"> </w:t>
      </w:r>
      <w:r w:rsidR="000A694E" w:rsidRPr="00A567F2">
        <w:rPr>
          <w:rFonts w:ascii="Times" w:hAnsi="Times"/>
          <w:color w:val="000000" w:themeColor="text1"/>
        </w:rPr>
        <w:t>the role of cue-inhibition con</w:t>
      </w:r>
      <w:r w:rsidR="007144F1" w:rsidRPr="00A567F2">
        <w:rPr>
          <w:rFonts w:ascii="Times" w:hAnsi="Times"/>
          <w:color w:val="000000" w:themeColor="text1"/>
        </w:rPr>
        <w:t>tingencies</w:t>
      </w:r>
      <w:r w:rsidR="003A32E1" w:rsidRPr="00A567F2">
        <w:rPr>
          <w:rFonts w:ascii="Times" w:hAnsi="Times"/>
          <w:color w:val="000000" w:themeColor="text1"/>
        </w:rPr>
        <w:t xml:space="preserve"> and critical pairings</w:t>
      </w:r>
      <w:r w:rsidR="0056052A" w:rsidRPr="00A567F2">
        <w:rPr>
          <w:rFonts w:ascii="Times" w:hAnsi="Times"/>
          <w:color w:val="000000" w:themeColor="text1"/>
        </w:rPr>
        <w:t xml:space="preserve"> in training effectiveness</w:t>
      </w:r>
      <w:r w:rsidR="00064100" w:rsidRPr="00A567F2">
        <w:rPr>
          <w:rFonts w:ascii="Times" w:hAnsi="Times"/>
          <w:color w:val="000000" w:themeColor="text1"/>
        </w:rPr>
        <w:t xml:space="preserve">. </w:t>
      </w:r>
      <w:r w:rsidR="00E720C2" w:rsidRPr="00A567F2">
        <w:rPr>
          <w:rFonts w:ascii="Times" w:hAnsi="Times"/>
          <w:color w:val="000000" w:themeColor="text1"/>
        </w:rPr>
        <w:t>We chose these two paradigms as both have a large evidence base, and are hypothesised to exert effects on choice / intake through devaluation of unhealthy food-related cues.</w:t>
      </w:r>
      <w:r w:rsidR="001A4BB8" w:rsidRPr="00A567F2">
        <w:rPr>
          <w:rFonts w:ascii="Times" w:hAnsi="Times"/>
          <w:color w:val="000000" w:themeColor="text1"/>
        </w:rPr>
        <w:t xml:space="preserve"> </w:t>
      </w:r>
      <w:r w:rsidR="006A2AD5" w:rsidRPr="00A567F2">
        <w:rPr>
          <w:rFonts w:cstheme="minorHAnsi"/>
          <w:color w:val="000000" w:themeColor="text1"/>
          <w:szCs w:val="22"/>
        </w:rPr>
        <w:t>As the current study is the first (to our knowledge) to directly manipulate cue-inhibition contingencies and critical pairings, we aimed to recruit participants with a range of BMIs to allow for direct comparison with previous work examining the mechanisms of these training paradigms (where the mean BMI typically falls within the ‘healthy’ range (e.g., Adams et al., 2017))</w:t>
      </w:r>
      <w:r w:rsidR="006A2AD5" w:rsidRPr="00A567F2">
        <w:rPr>
          <w:rFonts w:cstheme="minorHAnsi"/>
          <w:i/>
          <w:color w:val="000000" w:themeColor="text1"/>
          <w:sz w:val="22"/>
          <w:szCs w:val="22"/>
        </w:rPr>
        <w:t>.</w:t>
      </w:r>
      <w:r w:rsidR="008722E3" w:rsidRPr="00A567F2">
        <w:rPr>
          <w:rFonts w:cstheme="minorHAnsi"/>
          <w:i/>
          <w:color w:val="000000" w:themeColor="text1"/>
          <w:sz w:val="22"/>
          <w:szCs w:val="22"/>
        </w:rPr>
        <w:t xml:space="preserve"> </w:t>
      </w:r>
      <w:r w:rsidR="00064100" w:rsidRPr="00A567F2">
        <w:rPr>
          <w:rFonts w:ascii="Times" w:hAnsi="Times"/>
          <w:color w:val="000000" w:themeColor="text1"/>
        </w:rPr>
        <w:t>In study 1 we examined Inhibitory Control Training and in study 2 we examined Evaluative Conditioning. In both studies participants were randomly allocated to one of four conditions (25% vs. 50% vs. 75% vs. 100%, unhealthy-food inhibition</w:t>
      </w:r>
      <w:r w:rsidR="00762EC2" w:rsidRPr="00A567F2">
        <w:rPr>
          <w:rFonts w:ascii="Times" w:hAnsi="Times"/>
          <w:color w:val="000000" w:themeColor="text1"/>
        </w:rPr>
        <w:t>/unhealthy</w:t>
      </w:r>
      <w:r w:rsidR="009916A2" w:rsidRPr="00A567F2">
        <w:rPr>
          <w:rFonts w:ascii="Times" w:hAnsi="Times"/>
          <w:color w:val="000000" w:themeColor="text1"/>
        </w:rPr>
        <w:t>-</w:t>
      </w:r>
      <w:r w:rsidR="00762EC2" w:rsidRPr="00A567F2">
        <w:rPr>
          <w:rFonts w:ascii="Times" w:hAnsi="Times"/>
          <w:color w:val="000000" w:themeColor="text1"/>
        </w:rPr>
        <w:t xml:space="preserve">food negative </w:t>
      </w:r>
      <w:r w:rsidR="00396879" w:rsidRPr="00A567F2">
        <w:rPr>
          <w:rFonts w:ascii="Times" w:hAnsi="Times"/>
          <w:color w:val="000000" w:themeColor="text1"/>
        </w:rPr>
        <w:t xml:space="preserve">health </w:t>
      </w:r>
      <w:r w:rsidR="00762EC2" w:rsidRPr="00A567F2">
        <w:rPr>
          <w:rFonts w:ascii="Times" w:hAnsi="Times"/>
          <w:color w:val="000000" w:themeColor="text1"/>
        </w:rPr>
        <w:t>outcome pairings</w:t>
      </w:r>
      <w:r w:rsidR="00064100" w:rsidRPr="00A567F2">
        <w:rPr>
          <w:rFonts w:ascii="Times" w:hAnsi="Times"/>
          <w:color w:val="000000" w:themeColor="text1"/>
        </w:rPr>
        <w:t xml:space="preserve">). </w:t>
      </w:r>
      <w:r w:rsidR="005864AC" w:rsidRPr="00A567F2">
        <w:rPr>
          <w:rFonts w:ascii="Times" w:hAnsi="Times"/>
          <w:color w:val="000000" w:themeColor="text1"/>
        </w:rPr>
        <w:t>Pre/post training we examined subjective value of food (</w:t>
      </w:r>
      <w:r w:rsidR="0055073A" w:rsidRPr="00A567F2">
        <w:rPr>
          <w:rFonts w:ascii="Times" w:hAnsi="Times"/>
          <w:color w:val="000000" w:themeColor="text1"/>
        </w:rPr>
        <w:t xml:space="preserve">Chen et al., 2018; </w:t>
      </w:r>
      <w:r w:rsidR="002959E2" w:rsidRPr="00A567F2">
        <w:rPr>
          <w:rFonts w:ascii="Times" w:hAnsi="Times"/>
          <w:color w:val="000000" w:themeColor="text1"/>
        </w:rPr>
        <w:t>Lawrence et al., 2015</w:t>
      </w:r>
      <w:r w:rsidR="00861B56" w:rsidRPr="00A567F2">
        <w:rPr>
          <w:rFonts w:ascii="Times" w:hAnsi="Times"/>
          <w:color w:val="000000" w:themeColor="text1"/>
        </w:rPr>
        <w:t>b</w:t>
      </w:r>
      <w:r w:rsidR="002959E2" w:rsidRPr="00A567F2">
        <w:rPr>
          <w:rFonts w:ascii="Times" w:hAnsi="Times"/>
          <w:color w:val="000000" w:themeColor="text1"/>
        </w:rPr>
        <w:t>)</w:t>
      </w:r>
      <w:r w:rsidR="005864AC" w:rsidRPr="00A567F2">
        <w:rPr>
          <w:rFonts w:ascii="Times" w:hAnsi="Times"/>
          <w:color w:val="000000" w:themeColor="text1"/>
        </w:rPr>
        <w:t xml:space="preserve">, and post intervention </w:t>
      </w:r>
      <w:r w:rsidR="00AD14AA" w:rsidRPr="00A567F2">
        <w:rPr>
          <w:rFonts w:ascii="Times" w:hAnsi="Times"/>
          <w:color w:val="000000" w:themeColor="text1"/>
        </w:rPr>
        <w:t xml:space="preserve">explicit </w:t>
      </w:r>
      <w:r w:rsidR="005864AC" w:rsidRPr="00A567F2">
        <w:rPr>
          <w:rFonts w:ascii="Times" w:hAnsi="Times"/>
          <w:color w:val="000000" w:themeColor="text1"/>
        </w:rPr>
        <w:t xml:space="preserve">food choice </w:t>
      </w:r>
      <w:r w:rsidR="00D6304F" w:rsidRPr="00A567F2">
        <w:rPr>
          <w:rFonts w:ascii="Times" w:hAnsi="Times"/>
          <w:color w:val="000000" w:themeColor="text1"/>
        </w:rPr>
        <w:t>(Hollands &amp; Marteau, 2016</w:t>
      </w:r>
      <w:r w:rsidR="005864AC" w:rsidRPr="00A567F2">
        <w:rPr>
          <w:rFonts w:ascii="Times" w:hAnsi="Times"/>
          <w:color w:val="000000" w:themeColor="text1"/>
        </w:rPr>
        <w:t>) as our dependent measures. We also included baseline inhibitory control to food-cues as a covariate</w:t>
      </w:r>
      <w:r w:rsidR="00AB1499" w:rsidRPr="00A567F2">
        <w:rPr>
          <w:rFonts w:ascii="Times" w:hAnsi="Times"/>
          <w:color w:val="000000" w:themeColor="text1"/>
        </w:rPr>
        <w:t xml:space="preserve"> in both studies</w:t>
      </w:r>
      <w:r w:rsidR="00974BAE" w:rsidRPr="00A567F2">
        <w:rPr>
          <w:rFonts w:ascii="Times" w:hAnsi="Times"/>
          <w:color w:val="000000" w:themeColor="text1"/>
        </w:rPr>
        <w:t>:</w:t>
      </w:r>
      <w:r w:rsidR="00052F89" w:rsidRPr="00A567F2">
        <w:rPr>
          <w:rFonts w:ascii="Times" w:hAnsi="Times"/>
          <w:color w:val="000000" w:themeColor="text1"/>
        </w:rPr>
        <w:t xml:space="preserve"> </w:t>
      </w:r>
      <w:r w:rsidR="000A7040" w:rsidRPr="00A567F2">
        <w:rPr>
          <w:rFonts w:ascii="Times" w:hAnsi="Times"/>
          <w:color w:val="000000" w:themeColor="text1"/>
        </w:rPr>
        <w:t>previous</w:t>
      </w:r>
      <w:r w:rsidR="00033446" w:rsidRPr="00A567F2">
        <w:rPr>
          <w:rFonts w:ascii="Times" w:hAnsi="Times"/>
          <w:color w:val="000000" w:themeColor="text1"/>
        </w:rPr>
        <w:t xml:space="preserve"> work</w:t>
      </w:r>
      <w:r w:rsidR="000A7040" w:rsidRPr="00A567F2">
        <w:rPr>
          <w:rFonts w:ascii="Times" w:hAnsi="Times"/>
          <w:color w:val="000000" w:themeColor="text1"/>
        </w:rPr>
        <w:t xml:space="preserve"> suggests </w:t>
      </w:r>
      <w:r w:rsidR="007471BC" w:rsidRPr="00A567F2">
        <w:rPr>
          <w:rFonts w:ascii="Times" w:hAnsi="Times"/>
          <w:color w:val="000000" w:themeColor="text1"/>
        </w:rPr>
        <w:t xml:space="preserve">that </w:t>
      </w:r>
      <w:r w:rsidR="0037499C" w:rsidRPr="00A567F2">
        <w:rPr>
          <w:rFonts w:ascii="Times" w:hAnsi="Times"/>
          <w:color w:val="000000" w:themeColor="text1"/>
        </w:rPr>
        <w:t xml:space="preserve">state inhibitory control </w:t>
      </w:r>
      <w:r w:rsidR="00EF395F" w:rsidRPr="00A567F2">
        <w:rPr>
          <w:rFonts w:ascii="Times" w:hAnsi="Times"/>
          <w:color w:val="000000" w:themeColor="text1"/>
        </w:rPr>
        <w:t>has been</w:t>
      </w:r>
      <w:r w:rsidR="0037499C" w:rsidRPr="00A567F2">
        <w:rPr>
          <w:rFonts w:ascii="Times" w:hAnsi="Times"/>
          <w:color w:val="000000" w:themeColor="text1"/>
        </w:rPr>
        <w:t xml:space="preserve"> linked to </w:t>
      </w:r>
      <w:r w:rsidR="009C1B5B" w:rsidRPr="00A567F2">
        <w:rPr>
          <w:rFonts w:ascii="Times" w:hAnsi="Times"/>
          <w:color w:val="000000" w:themeColor="text1"/>
        </w:rPr>
        <w:t xml:space="preserve">variations in </w:t>
      </w:r>
      <w:r w:rsidR="000A7040" w:rsidRPr="00A567F2">
        <w:rPr>
          <w:rFonts w:ascii="Times" w:hAnsi="Times"/>
          <w:color w:val="000000" w:themeColor="text1"/>
        </w:rPr>
        <w:t>CBM training</w:t>
      </w:r>
      <w:r w:rsidR="00B22019" w:rsidRPr="00A567F2">
        <w:rPr>
          <w:rFonts w:ascii="Times" w:hAnsi="Times"/>
          <w:color w:val="000000" w:themeColor="text1"/>
        </w:rPr>
        <w:t xml:space="preserve"> </w:t>
      </w:r>
      <w:r w:rsidR="0037499C" w:rsidRPr="00A567F2">
        <w:rPr>
          <w:rFonts w:ascii="Times" w:hAnsi="Times"/>
          <w:color w:val="000000" w:themeColor="text1"/>
        </w:rPr>
        <w:t xml:space="preserve">outcomes </w:t>
      </w:r>
      <w:r w:rsidR="00DD6D5A" w:rsidRPr="00A567F2">
        <w:rPr>
          <w:rFonts w:ascii="Times" w:hAnsi="Times"/>
          <w:color w:val="000000" w:themeColor="text1"/>
        </w:rPr>
        <w:t>(Haynes et al., 2015</w:t>
      </w:r>
      <w:r w:rsidR="00052F89" w:rsidRPr="00A567F2">
        <w:rPr>
          <w:rFonts w:ascii="Times" w:hAnsi="Times"/>
          <w:color w:val="000000" w:themeColor="text1"/>
        </w:rPr>
        <w:t>)</w:t>
      </w:r>
      <w:r w:rsidR="003218EF" w:rsidRPr="00A567F2">
        <w:rPr>
          <w:rFonts w:ascii="Times" w:hAnsi="Times"/>
          <w:color w:val="000000" w:themeColor="text1"/>
        </w:rPr>
        <w:t xml:space="preserve"> and </w:t>
      </w:r>
      <w:r w:rsidR="0091182A" w:rsidRPr="00A567F2">
        <w:rPr>
          <w:rFonts w:ascii="Times" w:hAnsi="Times"/>
          <w:color w:val="000000" w:themeColor="text1"/>
        </w:rPr>
        <w:t>theoretical models suggest cognitive bias modification approaches should be more effective in those with pre-existing biases (e.g. poor inhibitory control to food cues</w:t>
      </w:r>
      <w:r w:rsidR="00D572BA" w:rsidRPr="00A567F2">
        <w:rPr>
          <w:rFonts w:ascii="Times" w:hAnsi="Times"/>
          <w:color w:val="000000" w:themeColor="text1"/>
        </w:rPr>
        <w:t xml:space="preserve"> (</w:t>
      </w:r>
      <w:r w:rsidR="00393E50" w:rsidRPr="00A567F2">
        <w:rPr>
          <w:rFonts w:ascii="Times" w:hAnsi="Times"/>
          <w:color w:val="000000" w:themeColor="text1"/>
        </w:rPr>
        <w:t>Franken &amp; van de Wetering, 2014</w:t>
      </w:r>
      <w:r w:rsidR="0091182A" w:rsidRPr="00A567F2">
        <w:rPr>
          <w:rFonts w:ascii="Times" w:hAnsi="Times"/>
          <w:color w:val="000000" w:themeColor="text1"/>
        </w:rPr>
        <w:t>)</w:t>
      </w:r>
      <w:r w:rsidR="00D572BA" w:rsidRPr="00A567F2">
        <w:rPr>
          <w:rFonts w:ascii="Times" w:hAnsi="Times"/>
          <w:color w:val="000000" w:themeColor="text1"/>
        </w:rPr>
        <w:t>)</w:t>
      </w:r>
      <w:r w:rsidR="005864AC" w:rsidRPr="00A567F2">
        <w:rPr>
          <w:rFonts w:ascii="Times" w:hAnsi="Times"/>
          <w:color w:val="000000" w:themeColor="text1"/>
        </w:rPr>
        <w:t>.</w:t>
      </w:r>
      <w:r w:rsidR="00064100" w:rsidRPr="00A567F2">
        <w:rPr>
          <w:rFonts w:ascii="Times" w:hAnsi="Times"/>
          <w:color w:val="000000" w:themeColor="text1"/>
        </w:rPr>
        <w:t xml:space="preserve"> </w:t>
      </w:r>
    </w:p>
    <w:p w14:paraId="5A336A5E" w14:textId="2B43B34A" w:rsidR="00064100" w:rsidRPr="00A567F2" w:rsidRDefault="00064100" w:rsidP="00C4797C">
      <w:pPr>
        <w:spacing w:line="480" w:lineRule="auto"/>
        <w:ind w:firstLine="720"/>
        <w:rPr>
          <w:rFonts w:ascii="Times" w:hAnsi="Times"/>
          <w:color w:val="000000" w:themeColor="text1"/>
        </w:rPr>
      </w:pPr>
      <w:r w:rsidRPr="00A567F2">
        <w:rPr>
          <w:rFonts w:ascii="Times" w:hAnsi="Times"/>
          <w:color w:val="000000" w:themeColor="text1"/>
        </w:rPr>
        <w:t>Both studies were pre-registered and data is freely accessible (</w:t>
      </w:r>
      <w:r w:rsidR="004F5F8F" w:rsidRPr="00A567F2">
        <w:rPr>
          <w:rFonts w:ascii="Times" w:hAnsi="Times"/>
          <w:color w:val="000000" w:themeColor="text1"/>
        </w:rPr>
        <w:t xml:space="preserve">Study 1: </w:t>
      </w:r>
      <w:r w:rsidR="00E86C87" w:rsidRPr="00A567F2">
        <w:rPr>
          <w:rFonts w:ascii="Times" w:hAnsi="Times"/>
          <w:color w:val="000000" w:themeColor="text1"/>
        </w:rPr>
        <w:t>https://osf.io/kjpq3</w:t>
      </w:r>
      <w:r w:rsidR="0028609A" w:rsidRPr="00A567F2">
        <w:rPr>
          <w:rFonts w:ascii="Times" w:hAnsi="Times"/>
          <w:color w:val="000000" w:themeColor="text1"/>
        </w:rPr>
        <w:t>;</w:t>
      </w:r>
      <w:r w:rsidR="004F5F8F" w:rsidRPr="00A567F2">
        <w:rPr>
          <w:rFonts w:ascii="Times" w:hAnsi="Times"/>
          <w:color w:val="000000" w:themeColor="text1"/>
        </w:rPr>
        <w:t xml:space="preserve"> Study 2: </w:t>
      </w:r>
      <w:r w:rsidR="00E86C87" w:rsidRPr="00A567F2">
        <w:rPr>
          <w:rFonts w:ascii="Times" w:hAnsi="Times"/>
          <w:color w:val="000000" w:themeColor="text1"/>
        </w:rPr>
        <w:t>https://osf.io/zy27u</w:t>
      </w:r>
      <w:r w:rsidRPr="00A567F2">
        <w:rPr>
          <w:rFonts w:ascii="Times" w:hAnsi="Times"/>
          <w:color w:val="000000" w:themeColor="text1"/>
        </w:rPr>
        <w:t>).</w:t>
      </w:r>
    </w:p>
    <w:p w14:paraId="5638FD1E" w14:textId="15B51213" w:rsidR="007D2217" w:rsidRPr="00A567F2" w:rsidRDefault="007D2217" w:rsidP="00B24B71">
      <w:pPr>
        <w:spacing w:line="480" w:lineRule="auto"/>
        <w:rPr>
          <w:rFonts w:ascii="Times" w:hAnsi="Times"/>
          <w:color w:val="000000" w:themeColor="text1"/>
        </w:rPr>
      </w:pPr>
    </w:p>
    <w:p w14:paraId="5E831E05" w14:textId="662ABBCF" w:rsidR="005864AC" w:rsidRPr="00A567F2" w:rsidRDefault="00E137F8" w:rsidP="00E137F8">
      <w:pPr>
        <w:spacing w:line="480" w:lineRule="auto"/>
        <w:jc w:val="center"/>
        <w:rPr>
          <w:rFonts w:ascii="Times" w:hAnsi="Times"/>
          <w:b/>
          <w:bCs/>
          <w:color w:val="000000" w:themeColor="text1"/>
        </w:rPr>
      </w:pPr>
      <w:r w:rsidRPr="00A567F2">
        <w:rPr>
          <w:rFonts w:ascii="Times" w:hAnsi="Times"/>
          <w:b/>
          <w:bCs/>
          <w:color w:val="000000" w:themeColor="text1"/>
        </w:rPr>
        <w:lastRenderedPageBreak/>
        <w:t xml:space="preserve">2. </w:t>
      </w:r>
      <w:r w:rsidR="005864AC" w:rsidRPr="00A567F2">
        <w:rPr>
          <w:rFonts w:ascii="Times" w:hAnsi="Times"/>
          <w:b/>
          <w:bCs/>
          <w:color w:val="000000" w:themeColor="text1"/>
        </w:rPr>
        <w:t>Study 1:</w:t>
      </w:r>
      <w:r w:rsidR="00F51A2F" w:rsidRPr="00A567F2">
        <w:rPr>
          <w:rFonts w:ascii="Times" w:hAnsi="Times"/>
          <w:b/>
          <w:bCs/>
          <w:color w:val="000000" w:themeColor="text1"/>
        </w:rPr>
        <w:t xml:space="preserve"> Inhibitory control training</w:t>
      </w:r>
    </w:p>
    <w:p w14:paraId="0CCA57E5" w14:textId="4C4AE80A" w:rsidR="00C7132E" w:rsidRPr="00A567F2" w:rsidRDefault="005864AC" w:rsidP="00B24B71">
      <w:pPr>
        <w:spacing w:line="480" w:lineRule="auto"/>
        <w:rPr>
          <w:i/>
          <w:iCs/>
          <w:color w:val="000000" w:themeColor="text1"/>
        </w:rPr>
      </w:pPr>
      <w:r w:rsidRPr="00A567F2">
        <w:rPr>
          <w:rFonts w:ascii="Times" w:hAnsi="Times"/>
          <w:color w:val="000000" w:themeColor="text1"/>
        </w:rPr>
        <w:t>We hypothesised that</w:t>
      </w:r>
      <w:r w:rsidR="001701D7" w:rsidRPr="00A567F2">
        <w:rPr>
          <w:rFonts w:ascii="Times" w:hAnsi="Times"/>
          <w:color w:val="000000" w:themeColor="text1"/>
        </w:rPr>
        <w:t>:</w:t>
      </w:r>
      <w:r w:rsidRPr="00A567F2">
        <w:rPr>
          <w:rFonts w:ascii="Times" w:hAnsi="Times"/>
          <w:color w:val="000000" w:themeColor="text1"/>
        </w:rPr>
        <w:t xml:space="preserve"> i) </w:t>
      </w:r>
      <w:r w:rsidR="006F6269" w:rsidRPr="00A567F2">
        <w:rPr>
          <w:iCs/>
          <w:color w:val="000000" w:themeColor="text1"/>
        </w:rPr>
        <w:t>Participants in the highest cue-inhibition contingency group (100%) will show more pronounced food value changes p</w:t>
      </w:r>
      <w:r w:rsidR="00735DE5" w:rsidRPr="00A567F2">
        <w:rPr>
          <w:iCs/>
          <w:color w:val="000000" w:themeColor="text1"/>
        </w:rPr>
        <w:t xml:space="preserve">ost </w:t>
      </w:r>
      <w:r w:rsidR="006F6269" w:rsidRPr="00A567F2">
        <w:rPr>
          <w:iCs/>
          <w:color w:val="000000" w:themeColor="text1"/>
        </w:rPr>
        <w:t>training compared to those in lower contingency groups (75%, 50% and 25%))</w:t>
      </w:r>
      <w:r w:rsidR="00C64104" w:rsidRPr="00A567F2">
        <w:rPr>
          <w:iCs/>
          <w:color w:val="000000" w:themeColor="text1"/>
        </w:rPr>
        <w:t>,</w:t>
      </w:r>
      <w:r w:rsidR="006F6269" w:rsidRPr="00A567F2">
        <w:rPr>
          <w:iCs/>
          <w:color w:val="000000" w:themeColor="text1"/>
        </w:rPr>
        <w:t xml:space="preserve"> ii)</w:t>
      </w:r>
      <w:r w:rsidR="00CE5D4C" w:rsidRPr="00A567F2">
        <w:rPr>
          <w:iCs/>
          <w:color w:val="000000" w:themeColor="text1"/>
        </w:rPr>
        <w:t xml:space="preserve"> Participants in the highest cue-inhibition contingency group (100%) will show healthier explicit choices compared to those in lower contin</w:t>
      </w:r>
      <w:r w:rsidR="00C64104" w:rsidRPr="00A567F2">
        <w:rPr>
          <w:iCs/>
          <w:color w:val="000000" w:themeColor="text1"/>
        </w:rPr>
        <w:t xml:space="preserve">gency groups (75%, 50% and 25%), </w:t>
      </w:r>
      <w:r w:rsidR="006F6269" w:rsidRPr="00A567F2">
        <w:rPr>
          <w:iCs/>
          <w:color w:val="000000" w:themeColor="text1"/>
        </w:rPr>
        <w:t>iii) Participants with poorer l</w:t>
      </w:r>
      <w:r w:rsidR="00164221" w:rsidRPr="00A567F2">
        <w:rPr>
          <w:iCs/>
          <w:color w:val="000000" w:themeColor="text1"/>
        </w:rPr>
        <w:t xml:space="preserve">evels of inhibitory control pre </w:t>
      </w:r>
      <w:r w:rsidR="006F6269" w:rsidRPr="00A567F2">
        <w:rPr>
          <w:iCs/>
          <w:color w:val="000000" w:themeColor="text1"/>
        </w:rPr>
        <w:t>training will show greater benefits from food specific cue-ICT.</w:t>
      </w:r>
    </w:p>
    <w:p w14:paraId="39EE810B" w14:textId="0DD95353" w:rsidR="005864AC" w:rsidRPr="00A567F2" w:rsidRDefault="005864AC" w:rsidP="00B24B71">
      <w:pPr>
        <w:spacing w:line="480" w:lineRule="auto"/>
        <w:rPr>
          <w:rFonts w:ascii="Times" w:hAnsi="Times"/>
          <w:color w:val="000000" w:themeColor="text1"/>
        </w:rPr>
      </w:pPr>
    </w:p>
    <w:p w14:paraId="2E893BA3" w14:textId="35D55A63" w:rsidR="00A559B1" w:rsidRPr="00A567F2" w:rsidRDefault="00332D2B" w:rsidP="00D104AE">
      <w:pPr>
        <w:spacing w:line="480" w:lineRule="auto"/>
        <w:jc w:val="center"/>
        <w:rPr>
          <w:rFonts w:ascii="Times" w:hAnsi="Times"/>
          <w:b/>
          <w:bCs/>
          <w:color w:val="000000" w:themeColor="text1"/>
        </w:rPr>
      </w:pPr>
      <w:r w:rsidRPr="00A567F2">
        <w:rPr>
          <w:rFonts w:ascii="Times" w:hAnsi="Times"/>
          <w:b/>
          <w:bCs/>
          <w:color w:val="000000" w:themeColor="text1"/>
        </w:rPr>
        <w:t>2.1</w:t>
      </w:r>
      <w:r w:rsidR="00C077D0" w:rsidRPr="00A567F2">
        <w:rPr>
          <w:rFonts w:ascii="Times" w:hAnsi="Times"/>
          <w:b/>
          <w:bCs/>
          <w:color w:val="000000" w:themeColor="text1"/>
        </w:rPr>
        <w:t>.</w:t>
      </w:r>
      <w:r w:rsidRPr="00A567F2">
        <w:rPr>
          <w:rFonts w:ascii="Times" w:hAnsi="Times"/>
          <w:b/>
          <w:bCs/>
          <w:color w:val="000000" w:themeColor="text1"/>
        </w:rPr>
        <w:t xml:space="preserve"> </w:t>
      </w:r>
      <w:r w:rsidR="00300F38" w:rsidRPr="00A567F2">
        <w:rPr>
          <w:rFonts w:ascii="Times" w:hAnsi="Times"/>
          <w:b/>
          <w:bCs/>
          <w:color w:val="000000" w:themeColor="text1"/>
        </w:rPr>
        <w:t>Method</w:t>
      </w:r>
    </w:p>
    <w:p w14:paraId="7586B39C" w14:textId="443FF6B6" w:rsidR="00333AE7" w:rsidRPr="00A567F2" w:rsidRDefault="00D5523B" w:rsidP="00333AE7">
      <w:pPr>
        <w:pStyle w:val="p1"/>
        <w:spacing w:line="480" w:lineRule="auto"/>
        <w:rPr>
          <w:rFonts w:ascii="Times New Roman" w:hAnsi="Times New Roman"/>
          <w:i/>
          <w:color w:val="000000" w:themeColor="text1"/>
          <w:sz w:val="24"/>
          <w:szCs w:val="24"/>
        </w:rPr>
      </w:pPr>
      <w:r w:rsidRPr="00A567F2">
        <w:rPr>
          <w:rFonts w:ascii="Times New Roman" w:hAnsi="Times New Roman"/>
          <w:i/>
          <w:color w:val="000000" w:themeColor="text1"/>
          <w:sz w:val="24"/>
          <w:szCs w:val="24"/>
        </w:rPr>
        <w:t xml:space="preserve">2.1.1. </w:t>
      </w:r>
      <w:r w:rsidR="00333AE7" w:rsidRPr="00A567F2">
        <w:rPr>
          <w:rFonts w:ascii="Times New Roman" w:hAnsi="Times New Roman"/>
          <w:i/>
          <w:color w:val="000000" w:themeColor="text1"/>
          <w:sz w:val="24"/>
          <w:szCs w:val="24"/>
        </w:rPr>
        <w:t>Participants</w:t>
      </w:r>
    </w:p>
    <w:p w14:paraId="4BA55525" w14:textId="4ED02BF0" w:rsidR="00333AE7" w:rsidRPr="00A567F2" w:rsidRDefault="00333AE7" w:rsidP="00E052D8">
      <w:pPr>
        <w:spacing w:line="480" w:lineRule="auto"/>
        <w:ind w:firstLine="720"/>
        <w:rPr>
          <w:color w:val="000000" w:themeColor="text1"/>
        </w:rPr>
      </w:pPr>
      <w:r w:rsidRPr="00A567F2">
        <w:rPr>
          <w:color w:val="000000" w:themeColor="text1"/>
        </w:rPr>
        <w:t xml:space="preserve">One hundred and seventy participants aged between 18 and 75 </w:t>
      </w:r>
      <w:r w:rsidR="00695365" w:rsidRPr="00A567F2">
        <w:rPr>
          <w:color w:val="000000" w:themeColor="text1"/>
        </w:rPr>
        <w:t xml:space="preserve">years </w:t>
      </w:r>
      <w:r w:rsidRPr="00A567F2">
        <w:rPr>
          <w:color w:val="000000" w:themeColor="text1"/>
        </w:rPr>
        <w:t>(</w:t>
      </w:r>
      <w:r w:rsidRPr="00A567F2">
        <w:rPr>
          <w:i/>
          <w:color w:val="000000" w:themeColor="text1"/>
        </w:rPr>
        <w:t xml:space="preserve">M = </w:t>
      </w:r>
      <w:r w:rsidRPr="00A567F2">
        <w:rPr>
          <w:color w:val="000000" w:themeColor="text1"/>
        </w:rPr>
        <w:t>27.78 ± 12.20) completed an online study. The sample consisted of 88 females (</w:t>
      </w:r>
      <w:r w:rsidRPr="00A567F2">
        <w:rPr>
          <w:i/>
          <w:color w:val="000000" w:themeColor="text1"/>
        </w:rPr>
        <w:t>M</w:t>
      </w:r>
      <w:r w:rsidR="00775441" w:rsidRPr="00A567F2">
        <w:rPr>
          <w:i/>
          <w:color w:val="000000" w:themeColor="text1"/>
          <w:vertAlign w:val="subscript"/>
        </w:rPr>
        <w:t>age</w:t>
      </w:r>
      <w:r w:rsidRPr="00A567F2">
        <w:rPr>
          <w:i/>
          <w:color w:val="000000" w:themeColor="text1"/>
        </w:rPr>
        <w:t xml:space="preserve"> </w:t>
      </w:r>
      <w:r w:rsidRPr="00A567F2">
        <w:rPr>
          <w:color w:val="000000" w:themeColor="text1"/>
        </w:rPr>
        <w:t>= 29.36 ± 13.36) and 82 males (</w:t>
      </w:r>
      <w:r w:rsidRPr="00A567F2">
        <w:rPr>
          <w:i/>
          <w:color w:val="000000" w:themeColor="text1"/>
        </w:rPr>
        <w:t>M</w:t>
      </w:r>
      <w:r w:rsidR="00775441" w:rsidRPr="00A567F2">
        <w:rPr>
          <w:i/>
          <w:color w:val="000000" w:themeColor="text1"/>
          <w:vertAlign w:val="subscript"/>
        </w:rPr>
        <w:t>age</w:t>
      </w:r>
      <w:r w:rsidRPr="00A567F2">
        <w:rPr>
          <w:i/>
          <w:color w:val="000000" w:themeColor="text1"/>
        </w:rPr>
        <w:t xml:space="preserve"> </w:t>
      </w:r>
      <w:r w:rsidRPr="00A567F2">
        <w:rPr>
          <w:color w:val="000000" w:themeColor="text1"/>
        </w:rPr>
        <w:t>= 26.07</w:t>
      </w:r>
      <w:r w:rsidRPr="00A567F2">
        <w:rPr>
          <w:i/>
          <w:color w:val="000000" w:themeColor="text1"/>
        </w:rPr>
        <w:t xml:space="preserve"> </w:t>
      </w:r>
      <w:r w:rsidRPr="00A567F2">
        <w:rPr>
          <w:color w:val="000000" w:themeColor="text1"/>
        </w:rPr>
        <w:t>±</w:t>
      </w:r>
      <w:r w:rsidRPr="00A567F2">
        <w:rPr>
          <w:i/>
          <w:color w:val="000000" w:themeColor="text1"/>
        </w:rPr>
        <w:t xml:space="preserve"> </w:t>
      </w:r>
      <w:r w:rsidRPr="00A567F2">
        <w:rPr>
          <w:color w:val="000000" w:themeColor="text1"/>
        </w:rPr>
        <w:t>10.63)</w:t>
      </w:r>
      <w:r w:rsidR="00F51A2F" w:rsidRPr="00A567F2">
        <w:rPr>
          <w:color w:val="000000" w:themeColor="text1"/>
        </w:rPr>
        <w:t>, with an average BMI</w:t>
      </w:r>
      <w:r w:rsidR="007E0A24" w:rsidRPr="00A567F2">
        <w:rPr>
          <w:color w:val="000000" w:themeColor="text1"/>
        </w:rPr>
        <w:t xml:space="preserve"> of </w:t>
      </w:r>
      <w:r w:rsidR="00D92227" w:rsidRPr="00A567F2">
        <w:rPr>
          <w:color w:val="000000" w:themeColor="text1"/>
        </w:rPr>
        <w:t xml:space="preserve">24.72 </w:t>
      </w:r>
      <w:r w:rsidR="00653A0B" w:rsidRPr="00A567F2">
        <w:rPr>
          <w:color w:val="000000" w:themeColor="text1"/>
        </w:rPr>
        <w:t>kg/m</w:t>
      </w:r>
      <w:r w:rsidR="00653A0B" w:rsidRPr="00A567F2">
        <w:rPr>
          <w:color w:val="000000" w:themeColor="text1"/>
          <w:vertAlign w:val="superscript"/>
        </w:rPr>
        <w:t>2</w:t>
      </w:r>
      <w:r w:rsidR="00653A0B" w:rsidRPr="00A567F2">
        <w:rPr>
          <w:color w:val="000000" w:themeColor="text1"/>
        </w:rPr>
        <w:t xml:space="preserve"> </w:t>
      </w:r>
      <w:r w:rsidR="00D92227" w:rsidRPr="00A567F2">
        <w:rPr>
          <w:color w:val="000000" w:themeColor="text1"/>
        </w:rPr>
        <w:t>(</w:t>
      </w:r>
      <w:r w:rsidR="00F24290" w:rsidRPr="00A567F2">
        <w:rPr>
          <w:color w:val="000000" w:themeColor="text1"/>
        </w:rPr>
        <w:t>5.71)</w:t>
      </w:r>
      <w:r w:rsidRPr="00A567F2">
        <w:rPr>
          <w:color w:val="000000" w:themeColor="text1"/>
        </w:rPr>
        <w:t>. Participants were required to be aged 18+ and self-report no history of eating disorders. We had two recruitment strategies; first, we recruited via online advertisements which mainly targeted the local and wider student community (N = 70), second</w:t>
      </w:r>
      <w:r w:rsidR="007E0A24" w:rsidRPr="00A567F2">
        <w:rPr>
          <w:color w:val="000000" w:themeColor="text1"/>
        </w:rPr>
        <w:t>,</w:t>
      </w:r>
      <w:r w:rsidRPr="00A567F2">
        <w:rPr>
          <w:color w:val="000000" w:themeColor="text1"/>
        </w:rPr>
        <w:t xml:space="preserve"> we recruited using prolific academic (N=100). Individuals recruited via online advertisements were entered into a prize draw (£50), whereas those participating via Prolific Academic received £3 for completing the study. Importantly, participants from the two recruited samples did not significantly differ </w:t>
      </w:r>
      <w:r w:rsidR="0058714D" w:rsidRPr="00A567F2">
        <w:rPr>
          <w:color w:val="000000" w:themeColor="text1"/>
        </w:rPr>
        <w:t xml:space="preserve">on </w:t>
      </w:r>
      <w:r w:rsidRPr="00A567F2">
        <w:rPr>
          <w:color w:val="000000" w:themeColor="text1"/>
        </w:rPr>
        <w:t>measured demographic variables (</w:t>
      </w:r>
      <w:r w:rsidR="0058714D" w:rsidRPr="00A567F2">
        <w:rPr>
          <w:color w:val="000000" w:themeColor="text1"/>
        </w:rPr>
        <w:t xml:space="preserve">age and BMI, </w:t>
      </w:r>
      <w:r w:rsidRPr="00A567F2">
        <w:rPr>
          <w:color w:val="000000" w:themeColor="text1"/>
        </w:rPr>
        <w:t xml:space="preserve">see supplementary </w:t>
      </w:r>
      <w:r w:rsidR="003154E3" w:rsidRPr="00A567F2">
        <w:rPr>
          <w:color w:val="000000" w:themeColor="text1"/>
        </w:rPr>
        <w:t>materials</w:t>
      </w:r>
      <w:r w:rsidRPr="00A567F2">
        <w:rPr>
          <w:color w:val="000000" w:themeColor="text1"/>
        </w:rPr>
        <w:t>). Our a-priori power analysis revealed that a minimum of 128 participants were required (</w:t>
      </w:r>
      <w:r w:rsidRPr="00A567F2">
        <w:rPr>
          <w:i/>
          <w:color w:val="000000" w:themeColor="text1"/>
        </w:rPr>
        <w:t xml:space="preserve">d </w:t>
      </w:r>
      <w:r w:rsidRPr="00A567F2">
        <w:rPr>
          <w:color w:val="000000" w:themeColor="text1"/>
        </w:rPr>
        <w:t>= .30</w:t>
      </w:r>
      <w:r w:rsidR="00B70D19" w:rsidRPr="00A567F2">
        <w:rPr>
          <w:color w:val="000000" w:themeColor="text1"/>
        </w:rPr>
        <w:t xml:space="preserve"> (Allom et al., 2016)</w:t>
      </w:r>
      <w:r w:rsidRPr="00A567F2">
        <w:rPr>
          <w:color w:val="000000" w:themeColor="text1"/>
        </w:rPr>
        <w:t xml:space="preserve">, α = .05, 1 − β = 0.80) to detect a within * between interaction across the experimental conditions, however we were able to over-sample to increase the accuracy of our effect size estimates. </w:t>
      </w:r>
    </w:p>
    <w:p w14:paraId="0B328B62" w14:textId="77777777" w:rsidR="00333AE7" w:rsidRPr="00A567F2" w:rsidRDefault="00333AE7" w:rsidP="00333AE7">
      <w:pPr>
        <w:spacing w:line="480" w:lineRule="auto"/>
        <w:rPr>
          <w:color w:val="000000" w:themeColor="text1"/>
        </w:rPr>
      </w:pPr>
    </w:p>
    <w:p w14:paraId="569B1892" w14:textId="142FC312" w:rsidR="00333AE7" w:rsidRPr="00A567F2" w:rsidRDefault="00D104AE" w:rsidP="00333AE7">
      <w:pPr>
        <w:spacing w:line="480" w:lineRule="auto"/>
        <w:rPr>
          <w:color w:val="000000" w:themeColor="text1"/>
        </w:rPr>
      </w:pPr>
      <w:r w:rsidRPr="00A567F2">
        <w:rPr>
          <w:color w:val="000000" w:themeColor="text1"/>
        </w:rPr>
        <w:lastRenderedPageBreak/>
        <w:t xml:space="preserve">2.1.2. </w:t>
      </w:r>
      <w:r w:rsidR="00333AE7" w:rsidRPr="00A567F2">
        <w:rPr>
          <w:color w:val="000000" w:themeColor="text1"/>
        </w:rPr>
        <w:t>Measures</w:t>
      </w:r>
    </w:p>
    <w:p w14:paraId="170A8F0E" w14:textId="236927FC" w:rsidR="00333AE7" w:rsidRPr="00A567F2" w:rsidRDefault="00D104AE" w:rsidP="00333AE7">
      <w:pPr>
        <w:pStyle w:val="p1"/>
        <w:spacing w:line="480" w:lineRule="auto"/>
        <w:rPr>
          <w:rFonts w:ascii="Times New Roman" w:hAnsi="Times New Roman"/>
          <w:i/>
          <w:iCs/>
          <w:color w:val="000000" w:themeColor="text1"/>
          <w:sz w:val="24"/>
          <w:szCs w:val="24"/>
        </w:rPr>
      </w:pPr>
      <w:r w:rsidRPr="00A567F2">
        <w:rPr>
          <w:rFonts w:ascii="Times New Roman" w:hAnsi="Times New Roman"/>
          <w:i/>
          <w:iCs/>
          <w:color w:val="000000" w:themeColor="text1"/>
          <w:sz w:val="24"/>
          <w:szCs w:val="24"/>
        </w:rPr>
        <w:t xml:space="preserve">2.1.2.1. </w:t>
      </w:r>
      <w:r w:rsidR="00333AE7" w:rsidRPr="00A567F2">
        <w:rPr>
          <w:rFonts w:ascii="Times New Roman" w:hAnsi="Times New Roman"/>
          <w:i/>
          <w:iCs/>
          <w:color w:val="000000" w:themeColor="text1"/>
          <w:sz w:val="24"/>
          <w:szCs w:val="24"/>
        </w:rPr>
        <w:t>Baseline Inhibitory Control</w:t>
      </w:r>
    </w:p>
    <w:p w14:paraId="3623636D" w14:textId="5A242A8F" w:rsidR="00333AE7" w:rsidRPr="00A567F2" w:rsidRDefault="00333AE7" w:rsidP="00262CEF">
      <w:pPr>
        <w:spacing w:line="480" w:lineRule="auto"/>
        <w:ind w:firstLine="720"/>
        <w:rPr>
          <w:color w:val="000000" w:themeColor="text1"/>
        </w:rPr>
      </w:pPr>
      <w:r w:rsidRPr="00A567F2">
        <w:rPr>
          <w:color w:val="000000" w:themeColor="text1"/>
        </w:rPr>
        <w:t>To identify the pre-existing inhibitory control ability of participants, a food specific go/no-go task was completed (Houben &amp; Jansen, 2011). After 10 unrecorded practice trials, participants completed 160 trials. Participants were required to respond as quickly and accurately as possible by pressing the space bar if no border was present around the image (‘go trial’) , and refrain from responding if a blue border was present (‘no-go’) trial. There were 120 (75%) go trials and 40 (25%) no-go trials. Infrequent no-go trials were used to increase inhibition pressure on the task, in line with recommendations (</w:t>
      </w:r>
      <w:r w:rsidR="00AA2C34" w:rsidRPr="00A567F2">
        <w:rPr>
          <w:color w:val="000000" w:themeColor="text1"/>
        </w:rPr>
        <w:t>Meule, 2017</w:t>
      </w:r>
      <w:r w:rsidRPr="00A567F2">
        <w:rPr>
          <w:color w:val="000000" w:themeColor="text1"/>
        </w:rPr>
        <w:t>).  If there was no response, images remained on screen for 1500 ms, and trial-by-trial feedback (‘correct’, ‘incorrect’) was provided for 500 ms. Internal reliability for the measure was high as assessed through split-half measures using ‘go’ trial reaction times (</w:t>
      </w:r>
      <w:r w:rsidRPr="00A567F2">
        <w:rPr>
          <w:i/>
          <w:color w:val="000000" w:themeColor="text1"/>
        </w:rPr>
        <w:t xml:space="preserve">r = </w:t>
      </w:r>
      <w:r w:rsidRPr="00A567F2">
        <w:rPr>
          <w:color w:val="000000" w:themeColor="text1"/>
        </w:rPr>
        <w:t xml:space="preserve">.80, p &lt; .001). </w:t>
      </w:r>
    </w:p>
    <w:p w14:paraId="06AA0E3D" w14:textId="44CD3DD8" w:rsidR="00333AE7" w:rsidRPr="00A567F2" w:rsidRDefault="00333AE7" w:rsidP="00262CEF">
      <w:pPr>
        <w:spacing w:line="480" w:lineRule="auto"/>
        <w:ind w:firstLine="720"/>
        <w:rPr>
          <w:color w:val="000000" w:themeColor="text1"/>
        </w:rPr>
      </w:pPr>
      <w:r w:rsidRPr="00A567F2">
        <w:rPr>
          <w:color w:val="000000" w:themeColor="text1"/>
        </w:rPr>
        <w:t>The number of inhibition errors and the median reaction time (RT) for ‘go’ trials were used to determine baseline levels of inhibitory control, with higher scores (for both measures) indicating poorer initial inhibitory ability. Signal detection (</w:t>
      </w:r>
      <w:r w:rsidRPr="00A567F2">
        <w:rPr>
          <w:i/>
          <w:color w:val="000000" w:themeColor="text1"/>
        </w:rPr>
        <w:t>d</w:t>
      </w:r>
      <w:r w:rsidRPr="00A567F2">
        <w:rPr>
          <w:color w:val="000000" w:themeColor="text1"/>
        </w:rPr>
        <w:t xml:space="preserve">) was also calculated, which is a combined score that represents the ability to respond to, and withhold responses to stimuli. This involved subtracting the z-score for the number of incorrect ‘no-go’ trials from the z-score for the number of correct ‘go’ trials, resulting in data from both ‘go’ and ‘no-go’ trials being included (Littman &amp; Takács, 2017). </w:t>
      </w:r>
    </w:p>
    <w:p w14:paraId="44F0F222" w14:textId="77777777" w:rsidR="00333AE7" w:rsidRPr="00A567F2" w:rsidRDefault="00333AE7" w:rsidP="00333AE7">
      <w:pPr>
        <w:spacing w:line="480" w:lineRule="auto"/>
        <w:rPr>
          <w:i/>
          <w:color w:val="000000" w:themeColor="text1"/>
        </w:rPr>
      </w:pPr>
    </w:p>
    <w:p w14:paraId="6A85D020" w14:textId="2F5D1F69" w:rsidR="00333AE7" w:rsidRPr="00A567F2" w:rsidRDefault="00541EE3" w:rsidP="00333AE7">
      <w:pPr>
        <w:pStyle w:val="p1"/>
        <w:spacing w:line="480" w:lineRule="auto"/>
        <w:rPr>
          <w:rFonts w:ascii="Times New Roman" w:hAnsi="Times New Roman"/>
          <w:i/>
          <w:iCs/>
          <w:color w:val="000000" w:themeColor="text1"/>
          <w:sz w:val="24"/>
          <w:szCs w:val="24"/>
        </w:rPr>
      </w:pPr>
      <w:r w:rsidRPr="00A567F2">
        <w:rPr>
          <w:rFonts w:ascii="Times New Roman" w:hAnsi="Times New Roman"/>
          <w:i/>
          <w:iCs/>
          <w:color w:val="000000" w:themeColor="text1"/>
          <w:sz w:val="24"/>
          <w:szCs w:val="24"/>
        </w:rPr>
        <w:t xml:space="preserve">2.1.2.2. </w:t>
      </w:r>
      <w:r w:rsidR="00333AE7" w:rsidRPr="00A567F2">
        <w:rPr>
          <w:rFonts w:ascii="Times New Roman" w:hAnsi="Times New Roman"/>
          <w:i/>
          <w:iCs/>
          <w:color w:val="000000" w:themeColor="text1"/>
          <w:sz w:val="24"/>
          <w:szCs w:val="24"/>
        </w:rPr>
        <w:t>Food Value</w:t>
      </w:r>
    </w:p>
    <w:p w14:paraId="2A8E4A4C" w14:textId="18AA4482" w:rsidR="00333AE7" w:rsidRPr="00A567F2" w:rsidRDefault="00333AE7" w:rsidP="00262CEF">
      <w:pPr>
        <w:spacing w:line="480" w:lineRule="auto"/>
        <w:ind w:firstLine="720"/>
        <w:rPr>
          <w:color w:val="000000" w:themeColor="text1"/>
          <w:highlight w:val="yellow"/>
        </w:rPr>
      </w:pPr>
      <w:r w:rsidRPr="00A567F2">
        <w:rPr>
          <w:color w:val="000000" w:themeColor="text1"/>
        </w:rPr>
        <w:t>Food value was measured by presenting participants with images of 10 healthy and 10 unhealthy food items, and asking ‘</w:t>
      </w:r>
      <w:r w:rsidRPr="00A567F2">
        <w:rPr>
          <w:i/>
          <w:color w:val="000000" w:themeColor="text1"/>
        </w:rPr>
        <w:t>How appealing do you find this image?</w:t>
      </w:r>
      <w:r w:rsidRPr="00A567F2">
        <w:rPr>
          <w:color w:val="000000" w:themeColor="text1"/>
        </w:rPr>
        <w:t xml:space="preserve">’ (Chen et al., 2018). </w:t>
      </w:r>
      <w:r w:rsidR="00D527A5" w:rsidRPr="00A567F2">
        <w:rPr>
          <w:color w:val="000000" w:themeColor="text1"/>
        </w:rPr>
        <w:t>For each food type (healthy/unhealthy),</w:t>
      </w:r>
      <w:r w:rsidRPr="00A567F2">
        <w:rPr>
          <w:color w:val="000000" w:themeColor="text1"/>
        </w:rPr>
        <w:t xml:space="preserve"> images consisted of trained (N = 6; used in the intervention task) and novel (N = 4; not included within intervention task) images, to </w:t>
      </w:r>
      <w:r w:rsidRPr="00A567F2">
        <w:rPr>
          <w:color w:val="000000" w:themeColor="text1"/>
        </w:rPr>
        <w:lastRenderedPageBreak/>
        <w:t xml:space="preserve">determine whether training can result in generalisation to novel stimuli (Veling et al., 2017). </w:t>
      </w:r>
      <w:r w:rsidR="0023666F" w:rsidRPr="00A567F2">
        <w:rPr>
          <w:rFonts w:cstheme="minorHAnsi"/>
          <w:color w:val="000000" w:themeColor="text1"/>
          <w:szCs w:val="22"/>
        </w:rPr>
        <w:t>The number of images rated (per category) is similar to previous work (Lawrence et al., 2015b; Veling et al., 2013a).</w:t>
      </w:r>
      <w:r w:rsidR="0023666F" w:rsidRPr="00A567F2">
        <w:rPr>
          <w:rFonts w:cstheme="minorHAnsi"/>
          <w:i/>
          <w:color w:val="000000" w:themeColor="text1"/>
          <w:szCs w:val="22"/>
        </w:rPr>
        <w:t xml:space="preserve"> </w:t>
      </w:r>
      <w:r w:rsidRPr="00A567F2">
        <w:rPr>
          <w:color w:val="000000" w:themeColor="text1"/>
        </w:rPr>
        <w:t>Participant responses were measured on a visual analogue scale (VAS) ranging from -100 (not at all) to +100 (extremely). A mean score was then calculated for healthy and unhealthy food item appeal (Lawrence et al., 2015</w:t>
      </w:r>
      <w:r w:rsidR="008733F1" w:rsidRPr="00A567F2">
        <w:rPr>
          <w:color w:val="000000" w:themeColor="text1"/>
        </w:rPr>
        <w:t>b</w:t>
      </w:r>
      <w:r w:rsidRPr="00A567F2">
        <w:rPr>
          <w:color w:val="000000" w:themeColor="text1"/>
        </w:rPr>
        <w:t>)</w:t>
      </w:r>
      <w:r w:rsidR="00AA1FBA" w:rsidRPr="00A567F2">
        <w:rPr>
          <w:color w:val="000000" w:themeColor="text1"/>
        </w:rPr>
        <w:t>.</w:t>
      </w:r>
    </w:p>
    <w:p w14:paraId="2FC503F3" w14:textId="77777777" w:rsidR="00333AE7" w:rsidRPr="00A567F2" w:rsidRDefault="00333AE7" w:rsidP="00333AE7">
      <w:pPr>
        <w:spacing w:line="480" w:lineRule="auto"/>
        <w:rPr>
          <w:i/>
          <w:color w:val="000000" w:themeColor="text1"/>
        </w:rPr>
      </w:pPr>
    </w:p>
    <w:p w14:paraId="34355FEA" w14:textId="3426903A" w:rsidR="00333AE7" w:rsidRPr="00A567F2" w:rsidRDefault="0037378F" w:rsidP="00333AE7">
      <w:pPr>
        <w:pStyle w:val="p1"/>
        <w:spacing w:line="480" w:lineRule="auto"/>
        <w:rPr>
          <w:rFonts w:ascii="Times New Roman" w:hAnsi="Times New Roman"/>
          <w:color w:val="000000" w:themeColor="text1"/>
          <w:sz w:val="24"/>
          <w:szCs w:val="24"/>
        </w:rPr>
      </w:pPr>
      <w:r w:rsidRPr="00A567F2">
        <w:rPr>
          <w:rFonts w:ascii="Times New Roman" w:hAnsi="Times New Roman"/>
          <w:i/>
          <w:iCs/>
          <w:color w:val="000000" w:themeColor="text1"/>
          <w:sz w:val="24"/>
          <w:szCs w:val="24"/>
        </w:rPr>
        <w:t xml:space="preserve">2.1.2.3. </w:t>
      </w:r>
      <w:r w:rsidR="00333AE7" w:rsidRPr="00A567F2">
        <w:rPr>
          <w:rFonts w:ascii="Times New Roman" w:hAnsi="Times New Roman"/>
          <w:i/>
          <w:iCs/>
          <w:color w:val="000000" w:themeColor="text1"/>
          <w:sz w:val="24"/>
          <w:szCs w:val="24"/>
        </w:rPr>
        <w:t>Explicit Preference (based on Hollands &amp; Marteau, 2016)</w:t>
      </w:r>
    </w:p>
    <w:p w14:paraId="7EAD574A" w14:textId="0DEEB70C" w:rsidR="00333AE7" w:rsidRPr="00A567F2" w:rsidRDefault="00333AE7" w:rsidP="00262CEF">
      <w:pPr>
        <w:spacing w:line="480" w:lineRule="auto"/>
        <w:ind w:firstLine="720"/>
        <w:rPr>
          <w:i/>
          <w:color w:val="000000" w:themeColor="text1"/>
        </w:rPr>
      </w:pPr>
      <w:r w:rsidRPr="00A567F2">
        <w:rPr>
          <w:color w:val="000000" w:themeColor="text1"/>
        </w:rPr>
        <w:t>Explicit preference was assessed through a forced choice task, where participants were presented with images of 8 food items (</w:t>
      </w:r>
      <w:r w:rsidR="0086498D" w:rsidRPr="00A567F2">
        <w:rPr>
          <w:color w:val="000000" w:themeColor="text1"/>
        </w:rPr>
        <w:t>four</w:t>
      </w:r>
      <w:r w:rsidRPr="00A567F2">
        <w:rPr>
          <w:color w:val="000000" w:themeColor="text1"/>
        </w:rPr>
        <w:t xml:space="preserve"> sweet (e.g.</w:t>
      </w:r>
      <w:r w:rsidR="00C03A89" w:rsidRPr="00A567F2">
        <w:rPr>
          <w:color w:val="000000" w:themeColor="text1"/>
        </w:rPr>
        <w:t>,</w:t>
      </w:r>
      <w:r w:rsidRPr="00A567F2">
        <w:rPr>
          <w:color w:val="000000" w:themeColor="text1"/>
        </w:rPr>
        <w:t xml:space="preserve"> </w:t>
      </w:r>
      <w:r w:rsidR="00C03A89" w:rsidRPr="00A567F2">
        <w:rPr>
          <w:color w:val="000000" w:themeColor="text1"/>
        </w:rPr>
        <w:t>chocolate</w:t>
      </w:r>
      <w:r w:rsidRPr="00A567F2">
        <w:rPr>
          <w:color w:val="000000" w:themeColor="text1"/>
        </w:rPr>
        <w:t>) and savoury (e.g.</w:t>
      </w:r>
      <w:r w:rsidR="00C03A89" w:rsidRPr="00A567F2">
        <w:rPr>
          <w:color w:val="000000" w:themeColor="text1"/>
        </w:rPr>
        <w:t>,</w:t>
      </w:r>
      <w:r w:rsidRPr="00A567F2">
        <w:rPr>
          <w:color w:val="000000" w:themeColor="text1"/>
        </w:rPr>
        <w:t xml:space="preserve"> </w:t>
      </w:r>
      <w:r w:rsidR="00FD2738" w:rsidRPr="00A567F2">
        <w:rPr>
          <w:color w:val="000000" w:themeColor="text1"/>
        </w:rPr>
        <w:t>cucumber sticks</w:t>
      </w:r>
      <w:r w:rsidRPr="00A567F2">
        <w:rPr>
          <w:color w:val="000000" w:themeColor="text1"/>
        </w:rPr>
        <w:t>)</w:t>
      </w:r>
      <w:r w:rsidR="00C45786" w:rsidRPr="00A567F2">
        <w:rPr>
          <w:color w:val="000000" w:themeColor="text1"/>
        </w:rPr>
        <w:t>;</w:t>
      </w:r>
      <w:r w:rsidRPr="00A567F2">
        <w:rPr>
          <w:color w:val="000000" w:themeColor="text1"/>
        </w:rPr>
        <w:t xml:space="preserve"> </w:t>
      </w:r>
      <w:r w:rsidR="00C03A89" w:rsidRPr="00A567F2">
        <w:rPr>
          <w:color w:val="000000" w:themeColor="text1"/>
        </w:rPr>
        <w:t xml:space="preserve">four </w:t>
      </w:r>
      <w:r w:rsidRPr="00A567F2">
        <w:rPr>
          <w:color w:val="000000" w:themeColor="text1"/>
        </w:rPr>
        <w:t>healthy (e.g.</w:t>
      </w:r>
      <w:r w:rsidR="00C03A89" w:rsidRPr="00A567F2">
        <w:rPr>
          <w:color w:val="000000" w:themeColor="text1"/>
        </w:rPr>
        <w:t>,</w:t>
      </w:r>
      <w:r w:rsidRPr="00A567F2">
        <w:rPr>
          <w:color w:val="000000" w:themeColor="text1"/>
        </w:rPr>
        <w:t xml:space="preserve"> </w:t>
      </w:r>
      <w:r w:rsidR="00C03A89" w:rsidRPr="00A567F2">
        <w:rPr>
          <w:color w:val="000000" w:themeColor="text1"/>
        </w:rPr>
        <w:t>apple</w:t>
      </w:r>
      <w:r w:rsidRPr="00A567F2">
        <w:rPr>
          <w:color w:val="000000" w:themeColor="text1"/>
        </w:rPr>
        <w:t>) and unhealthy options (e.g.</w:t>
      </w:r>
      <w:r w:rsidR="00C03A89" w:rsidRPr="00A567F2">
        <w:rPr>
          <w:color w:val="000000" w:themeColor="text1"/>
        </w:rPr>
        <w:t>,</w:t>
      </w:r>
      <w:r w:rsidRPr="00A567F2">
        <w:rPr>
          <w:color w:val="000000" w:themeColor="text1"/>
        </w:rPr>
        <w:t xml:space="preserve"> </w:t>
      </w:r>
      <w:r w:rsidR="003A7627" w:rsidRPr="00A567F2">
        <w:rPr>
          <w:color w:val="000000" w:themeColor="text1"/>
        </w:rPr>
        <w:t>crisps</w:t>
      </w:r>
      <w:r w:rsidR="001D280E" w:rsidRPr="00A567F2">
        <w:rPr>
          <w:color w:val="000000" w:themeColor="text1"/>
        </w:rPr>
        <w:t>/chips</w:t>
      </w:r>
      <w:r w:rsidRPr="00A567F2">
        <w:rPr>
          <w:color w:val="000000" w:themeColor="text1"/>
        </w:rPr>
        <w:t xml:space="preserve">)), and prompted to select the two items that they would most like to consume at that moment in time. Participants could select unhealthy food items (scored as 0), or healthy food items (scored as +1), which resulted in a combined score ranging from 0 (two unhealthy choices) to 2 (2 healthy choices). </w:t>
      </w:r>
    </w:p>
    <w:p w14:paraId="5AFAB66E" w14:textId="77777777" w:rsidR="00333AE7" w:rsidRPr="00A567F2" w:rsidRDefault="00333AE7" w:rsidP="00333AE7">
      <w:pPr>
        <w:spacing w:line="480" w:lineRule="auto"/>
        <w:rPr>
          <w:i/>
          <w:color w:val="000000" w:themeColor="text1"/>
        </w:rPr>
      </w:pPr>
    </w:p>
    <w:p w14:paraId="5F35803D" w14:textId="02676FED" w:rsidR="00333AE7" w:rsidRPr="00A567F2" w:rsidRDefault="00C93CF0" w:rsidP="00333AE7">
      <w:pPr>
        <w:pStyle w:val="p1"/>
        <w:spacing w:line="480" w:lineRule="auto"/>
        <w:rPr>
          <w:rFonts w:ascii="Times New Roman" w:hAnsi="Times New Roman"/>
          <w:i/>
          <w:iCs/>
          <w:color w:val="000000" w:themeColor="text1"/>
          <w:sz w:val="24"/>
          <w:szCs w:val="24"/>
        </w:rPr>
      </w:pPr>
      <w:r w:rsidRPr="00A567F2">
        <w:rPr>
          <w:rFonts w:ascii="Times New Roman" w:hAnsi="Times New Roman"/>
          <w:i/>
          <w:iCs/>
          <w:color w:val="000000" w:themeColor="text1"/>
          <w:sz w:val="24"/>
          <w:szCs w:val="24"/>
        </w:rPr>
        <w:t xml:space="preserve">2.1.2.4. </w:t>
      </w:r>
      <w:r w:rsidR="00333AE7" w:rsidRPr="00A567F2">
        <w:rPr>
          <w:rFonts w:ascii="Times New Roman" w:hAnsi="Times New Roman"/>
          <w:i/>
          <w:iCs/>
          <w:color w:val="000000" w:themeColor="text1"/>
          <w:sz w:val="24"/>
          <w:szCs w:val="24"/>
        </w:rPr>
        <w:t>Inhibitory Control Training task</w:t>
      </w:r>
    </w:p>
    <w:p w14:paraId="22857BAE" w14:textId="02FE5EED" w:rsidR="00333AE7" w:rsidRPr="00A567F2" w:rsidRDefault="00333AE7" w:rsidP="00262CEF">
      <w:pPr>
        <w:spacing w:line="480" w:lineRule="auto"/>
        <w:ind w:firstLine="720"/>
        <w:rPr>
          <w:color w:val="000000" w:themeColor="text1"/>
        </w:rPr>
      </w:pPr>
      <w:r w:rsidRPr="00A567F2">
        <w:rPr>
          <w:color w:val="000000" w:themeColor="text1"/>
        </w:rPr>
        <w:t xml:space="preserve">Previous work has used stimulus relevant responding (responding to the content of the images) to determine required participant responses in go/no-go training tasks (Teslovich et al., 2014), but due to the unique manipulation of cue-inhibition contingencies within this study, participants were asked to respond to stimulus irrelevant features (e.g. borders surrounding the images), with an image border prompting participants to withhold their response (no-go trial), and no image border indicating a response was required (go trial)). Images of 6 healthy (e.g. fruits, vegetables) and 6 unhealthy (e.g. chocolate, pizza) foods were presented individually in random locations on screen, and participants either responded to their presentation (by pressing the spacebar), or did not respond. Images remained on </w:t>
      </w:r>
      <w:r w:rsidRPr="00A567F2">
        <w:rPr>
          <w:color w:val="000000" w:themeColor="text1"/>
        </w:rPr>
        <w:lastRenderedPageBreak/>
        <w:t>screen for 1500 ms if no response was made. Participants received feedback on a trial-by-trial basis (‘correct’ or ‘incorrect’) for 250 ms. The task consisted of 200 trials (100 go, 100 no-go), with the number of each type of trial (unhealthy go/unhealthy no-go/healthy go/healthy no-go) determined by condition allocation, and an untimed comfort break provided after 100 trials. Cue-inhibition contingencies varied per experimental condition, with four possible condition allocations (100% (N = 47), 75% (N = 44), 50% (N = 35) or 25% (N = 44)). The percentage for each group represents the proportion of unhealthy images the group were required to inhibit their responses to (for example, the 100% group inhibited responses to 100% of unhealthy food images, and responded to 100% of healthy food images</w:t>
      </w:r>
      <w:r w:rsidR="007C3188" w:rsidRPr="00A567F2">
        <w:rPr>
          <w:color w:val="000000" w:themeColor="text1"/>
        </w:rPr>
        <w:t>, participants in the 50% grou</w:t>
      </w:r>
      <w:r w:rsidR="00874A1C" w:rsidRPr="00A567F2">
        <w:rPr>
          <w:color w:val="000000" w:themeColor="text1"/>
        </w:rPr>
        <w:t xml:space="preserve">p inhibited to 50% unhealthy food images and 50% </w:t>
      </w:r>
      <w:r w:rsidR="007C3188" w:rsidRPr="00A567F2">
        <w:rPr>
          <w:color w:val="000000" w:themeColor="text1"/>
        </w:rPr>
        <w:t>healthy food</w:t>
      </w:r>
      <w:r w:rsidR="00874A1C" w:rsidRPr="00A567F2">
        <w:rPr>
          <w:color w:val="000000" w:themeColor="text1"/>
        </w:rPr>
        <w:t xml:space="preserve"> images</w:t>
      </w:r>
      <w:r w:rsidRPr="00A567F2">
        <w:rPr>
          <w:color w:val="000000" w:themeColor="text1"/>
        </w:rPr>
        <w:t>). Split-half reliability analyses demonstrated high levels of internal reliability for this task (</w:t>
      </w:r>
      <w:r w:rsidRPr="00A567F2">
        <w:rPr>
          <w:i/>
          <w:color w:val="000000" w:themeColor="text1"/>
        </w:rPr>
        <w:t xml:space="preserve">r = </w:t>
      </w:r>
      <w:r w:rsidRPr="00A567F2">
        <w:rPr>
          <w:color w:val="000000" w:themeColor="text1"/>
        </w:rPr>
        <w:t>.86, p &lt; .001)</w:t>
      </w:r>
      <w:r w:rsidR="002D182F" w:rsidRPr="00A567F2">
        <w:rPr>
          <w:color w:val="000000" w:themeColor="text1"/>
        </w:rPr>
        <w:t xml:space="preserve">, </w:t>
      </w:r>
      <w:r w:rsidR="001474C1" w:rsidRPr="00A567F2">
        <w:rPr>
          <w:color w:val="000000" w:themeColor="text1"/>
          <w:szCs w:val="22"/>
        </w:rPr>
        <w:t>and participant engagement was good, with a mean error rate of 2.40% (</w:t>
      </w:r>
      <w:r w:rsidR="001474C1" w:rsidRPr="00A567F2">
        <w:rPr>
          <w:i/>
          <w:color w:val="000000" w:themeColor="text1"/>
          <w:szCs w:val="22"/>
        </w:rPr>
        <w:t>SD</w:t>
      </w:r>
      <w:r w:rsidR="001474C1" w:rsidRPr="00A567F2">
        <w:rPr>
          <w:color w:val="000000" w:themeColor="text1"/>
          <w:szCs w:val="22"/>
        </w:rPr>
        <w:t xml:space="preserve"> = 6.00) for go trials and 2.87% (</w:t>
      </w:r>
      <w:r w:rsidR="001474C1" w:rsidRPr="00A567F2">
        <w:rPr>
          <w:i/>
          <w:color w:val="000000" w:themeColor="text1"/>
          <w:szCs w:val="22"/>
        </w:rPr>
        <w:t>SD</w:t>
      </w:r>
      <w:r w:rsidR="001474C1" w:rsidRPr="00A567F2">
        <w:rPr>
          <w:color w:val="000000" w:themeColor="text1"/>
          <w:szCs w:val="22"/>
        </w:rPr>
        <w:t xml:space="preserve"> = 3.83) for no-go trials (average error of 2.60% (</w:t>
      </w:r>
      <w:r w:rsidR="001474C1" w:rsidRPr="00A567F2">
        <w:rPr>
          <w:i/>
          <w:color w:val="000000" w:themeColor="text1"/>
          <w:szCs w:val="22"/>
        </w:rPr>
        <w:t>SD</w:t>
      </w:r>
      <w:r w:rsidR="001474C1" w:rsidRPr="00A567F2">
        <w:rPr>
          <w:color w:val="000000" w:themeColor="text1"/>
          <w:szCs w:val="22"/>
        </w:rPr>
        <w:t xml:space="preserve"> = 4.26) across go and no-go trials)</w:t>
      </w:r>
      <w:r w:rsidR="002D182F" w:rsidRPr="00A567F2">
        <w:rPr>
          <w:color w:val="000000" w:themeColor="text1"/>
          <w:szCs w:val="22"/>
        </w:rPr>
        <w:t>.</w:t>
      </w:r>
      <w:r w:rsidRPr="00A567F2">
        <w:rPr>
          <w:color w:val="000000" w:themeColor="text1"/>
          <w:sz w:val="28"/>
        </w:rPr>
        <w:t xml:space="preserve"> </w:t>
      </w:r>
      <w:r w:rsidRPr="00A567F2">
        <w:rPr>
          <w:color w:val="000000" w:themeColor="text1"/>
        </w:rPr>
        <w:t>There were 10 unrecorded practice trials, which consisted of 50% go and 50% no-go trials.</w:t>
      </w:r>
      <w:r w:rsidR="00540B7C" w:rsidRPr="00A567F2">
        <w:rPr>
          <w:color w:val="000000" w:themeColor="text1"/>
        </w:rPr>
        <w:t xml:space="preserve"> </w:t>
      </w:r>
    </w:p>
    <w:p w14:paraId="75E67BAE" w14:textId="60E4B84E" w:rsidR="00333AE7" w:rsidRPr="00A567F2" w:rsidRDefault="00333AE7" w:rsidP="00871594">
      <w:pPr>
        <w:spacing w:line="480" w:lineRule="auto"/>
        <w:ind w:firstLine="720"/>
        <w:rPr>
          <w:color w:val="000000" w:themeColor="text1"/>
        </w:rPr>
      </w:pPr>
      <w:r w:rsidRPr="00A567F2">
        <w:rPr>
          <w:color w:val="000000" w:themeColor="text1"/>
        </w:rPr>
        <w:t xml:space="preserve">Healthy and unhealthy food images were selected based upon </w:t>
      </w:r>
      <w:r w:rsidR="0088615D" w:rsidRPr="00A567F2">
        <w:rPr>
          <w:color w:val="000000" w:themeColor="text1"/>
        </w:rPr>
        <w:t>previously conducted</w:t>
      </w:r>
      <w:r w:rsidR="006A2461" w:rsidRPr="00A567F2">
        <w:rPr>
          <w:color w:val="000000" w:themeColor="text1"/>
        </w:rPr>
        <w:t xml:space="preserve"> </w:t>
      </w:r>
      <w:r w:rsidRPr="00A567F2">
        <w:rPr>
          <w:color w:val="000000" w:themeColor="text1"/>
        </w:rPr>
        <w:t>pilot work where 30 food images were scored for appeal. Participants were instructed ‘</w:t>
      </w:r>
      <w:r w:rsidRPr="00A567F2">
        <w:rPr>
          <w:i/>
          <w:color w:val="000000" w:themeColor="text1"/>
        </w:rPr>
        <w:t>For the below images, please indicate how unpleasant or pleasant the image is’</w:t>
      </w:r>
      <w:r w:rsidRPr="00A567F2">
        <w:rPr>
          <w:color w:val="000000" w:themeColor="text1"/>
        </w:rPr>
        <w:t xml:space="preserve"> and asked to provide their responses</w:t>
      </w:r>
      <w:r w:rsidRPr="00A567F2">
        <w:rPr>
          <w:i/>
          <w:color w:val="000000" w:themeColor="text1"/>
        </w:rPr>
        <w:t xml:space="preserve"> </w:t>
      </w:r>
      <w:r w:rsidRPr="00A567F2">
        <w:rPr>
          <w:color w:val="000000" w:themeColor="text1"/>
        </w:rPr>
        <w:t>using individual Likert scales ranging from 1 (unpleasant) to 10 (pleasant). The most highly rated images (for healthy and unhealthy foods) were used within the intervention</w:t>
      </w:r>
      <w:r w:rsidR="00AA1FBA" w:rsidRPr="00A567F2">
        <w:rPr>
          <w:color w:val="000000" w:themeColor="text1"/>
        </w:rPr>
        <w:t xml:space="preserve"> (see supplementary materials for example images)</w:t>
      </w:r>
      <w:r w:rsidRPr="00A567F2">
        <w:rPr>
          <w:color w:val="000000" w:themeColor="text1"/>
        </w:rPr>
        <w:t xml:space="preserve">. </w:t>
      </w:r>
    </w:p>
    <w:p w14:paraId="40FAFB77" w14:textId="77777777" w:rsidR="00333AE7" w:rsidRPr="00A567F2" w:rsidRDefault="00333AE7" w:rsidP="00333AE7">
      <w:pPr>
        <w:spacing w:line="480" w:lineRule="auto"/>
        <w:rPr>
          <w:i/>
          <w:color w:val="000000" w:themeColor="text1"/>
        </w:rPr>
      </w:pPr>
    </w:p>
    <w:p w14:paraId="17A454B0" w14:textId="7F4A4700" w:rsidR="00333AE7" w:rsidRPr="00A567F2" w:rsidRDefault="00871594" w:rsidP="00333AE7">
      <w:pPr>
        <w:pStyle w:val="p1"/>
        <w:spacing w:line="480" w:lineRule="auto"/>
        <w:rPr>
          <w:rFonts w:ascii="Times New Roman" w:hAnsi="Times New Roman"/>
          <w:i/>
          <w:iCs/>
          <w:color w:val="000000" w:themeColor="text1"/>
          <w:sz w:val="24"/>
          <w:szCs w:val="24"/>
        </w:rPr>
      </w:pPr>
      <w:r w:rsidRPr="00A567F2">
        <w:rPr>
          <w:rFonts w:ascii="Times New Roman" w:hAnsi="Times New Roman"/>
          <w:i/>
          <w:iCs/>
          <w:color w:val="000000" w:themeColor="text1"/>
          <w:sz w:val="24"/>
          <w:szCs w:val="24"/>
        </w:rPr>
        <w:t xml:space="preserve">2.1.3. </w:t>
      </w:r>
      <w:r w:rsidR="00333AE7" w:rsidRPr="00A567F2">
        <w:rPr>
          <w:rFonts w:ascii="Times New Roman" w:hAnsi="Times New Roman"/>
          <w:i/>
          <w:iCs/>
          <w:color w:val="000000" w:themeColor="text1"/>
          <w:sz w:val="24"/>
          <w:szCs w:val="24"/>
        </w:rPr>
        <w:t>Procedure</w:t>
      </w:r>
    </w:p>
    <w:p w14:paraId="57242166" w14:textId="54F945EE" w:rsidR="00333AE7" w:rsidRPr="00A567F2" w:rsidRDefault="00333AE7" w:rsidP="00D4166A">
      <w:pPr>
        <w:spacing w:line="480" w:lineRule="auto"/>
        <w:ind w:firstLine="720"/>
        <w:rPr>
          <w:color w:val="000000" w:themeColor="text1"/>
        </w:rPr>
      </w:pPr>
      <w:r w:rsidRPr="00A567F2">
        <w:rPr>
          <w:color w:val="000000" w:themeColor="text1"/>
        </w:rPr>
        <w:t xml:space="preserve">Participants completed all tasks using Inquisit web 5 (Millisecond Software, SA). After providing informed consent, participants completed basic demographic measures (age, </w:t>
      </w:r>
      <w:r w:rsidRPr="00A567F2">
        <w:rPr>
          <w:color w:val="000000" w:themeColor="text1"/>
        </w:rPr>
        <w:lastRenderedPageBreak/>
        <w:t>sex, height, weight), and then completed the baseline measure of inhibitory control. This was followed by th</w:t>
      </w:r>
      <w:r w:rsidR="00012B93" w:rsidRPr="00A567F2">
        <w:rPr>
          <w:color w:val="000000" w:themeColor="text1"/>
        </w:rPr>
        <w:t xml:space="preserve">e pre </w:t>
      </w:r>
      <w:r w:rsidRPr="00A567F2">
        <w:rPr>
          <w:color w:val="000000" w:themeColor="text1"/>
        </w:rPr>
        <w:t>training food value measure, then one of four versions of the go/no-go training task. The food value measure was then completed for a second time, before participants completed the final explicit preference task. Finally, participants completed a funnelled debrief, where they were shown an image of a healthy food item with no border and asked to select what they predicted to be the required response were the image included in a task (either press the spacebar, do not press the spacebar, or unsure). They were then asked to explain in their own words what they believed the true aim of the study to be using a free text box. Finally, participants were thanked and debriefed.</w:t>
      </w:r>
      <w:r w:rsidR="007D13CF" w:rsidRPr="00A567F2">
        <w:rPr>
          <w:color w:val="000000" w:themeColor="text1"/>
        </w:rPr>
        <w:t xml:space="preserve"> Ethical approval for </w:t>
      </w:r>
      <w:r w:rsidR="003232C9" w:rsidRPr="00A567F2">
        <w:rPr>
          <w:color w:val="000000" w:themeColor="text1"/>
        </w:rPr>
        <w:t>both studies</w:t>
      </w:r>
      <w:r w:rsidR="007D13CF" w:rsidRPr="00A567F2">
        <w:rPr>
          <w:color w:val="000000" w:themeColor="text1"/>
        </w:rPr>
        <w:t xml:space="preserve"> </w:t>
      </w:r>
      <w:r w:rsidR="0086448D" w:rsidRPr="00A567F2">
        <w:rPr>
          <w:color w:val="000000" w:themeColor="text1"/>
        </w:rPr>
        <w:t xml:space="preserve">was granted by the University of Liverpool </w:t>
      </w:r>
      <w:r w:rsidR="00AF06D2" w:rsidRPr="00A567F2">
        <w:rPr>
          <w:color w:val="000000" w:themeColor="text1"/>
        </w:rPr>
        <w:t xml:space="preserve">Health and Life Sciences </w:t>
      </w:r>
      <w:r w:rsidR="00955EA3" w:rsidRPr="00A567F2">
        <w:rPr>
          <w:color w:val="000000" w:themeColor="text1"/>
        </w:rPr>
        <w:t xml:space="preserve">Ethics </w:t>
      </w:r>
      <w:r w:rsidR="00AF06D2" w:rsidRPr="00A567F2">
        <w:rPr>
          <w:color w:val="000000" w:themeColor="text1"/>
        </w:rPr>
        <w:t xml:space="preserve">Committee. </w:t>
      </w:r>
    </w:p>
    <w:p w14:paraId="79FC9D9D" w14:textId="77777777" w:rsidR="00C077D0" w:rsidRPr="00A567F2" w:rsidRDefault="00C077D0" w:rsidP="00333AE7">
      <w:pPr>
        <w:spacing w:line="480" w:lineRule="auto"/>
        <w:rPr>
          <w:color w:val="000000" w:themeColor="text1"/>
        </w:rPr>
      </w:pPr>
    </w:p>
    <w:p w14:paraId="20221E66" w14:textId="30360346" w:rsidR="00333AE7" w:rsidRPr="00A567F2" w:rsidRDefault="006726C6" w:rsidP="00333AE7">
      <w:pPr>
        <w:spacing w:line="480" w:lineRule="auto"/>
        <w:rPr>
          <w:i/>
          <w:color w:val="000000" w:themeColor="text1"/>
        </w:rPr>
      </w:pPr>
      <w:r w:rsidRPr="00A567F2">
        <w:rPr>
          <w:i/>
          <w:color w:val="000000" w:themeColor="text1"/>
        </w:rPr>
        <w:t xml:space="preserve">2.1.4. </w:t>
      </w:r>
      <w:r w:rsidR="00333AE7" w:rsidRPr="00A567F2">
        <w:rPr>
          <w:i/>
          <w:color w:val="000000" w:themeColor="text1"/>
        </w:rPr>
        <w:t xml:space="preserve">Statistical Analysis </w:t>
      </w:r>
    </w:p>
    <w:p w14:paraId="796C32AB" w14:textId="2DCD12A3" w:rsidR="00333AE7" w:rsidRPr="00A567F2" w:rsidRDefault="00333AE7" w:rsidP="00277EAC">
      <w:pPr>
        <w:spacing w:line="480" w:lineRule="auto"/>
        <w:ind w:firstLine="720"/>
        <w:rPr>
          <w:color w:val="000000" w:themeColor="text1"/>
        </w:rPr>
      </w:pPr>
      <w:r w:rsidRPr="00A567F2">
        <w:rPr>
          <w:color w:val="000000" w:themeColor="text1"/>
        </w:rPr>
        <w:t>Analyses were pre-registered prior to data collection (</w:t>
      </w:r>
      <w:r w:rsidR="00E95B76" w:rsidRPr="00A567F2">
        <w:rPr>
          <w:rFonts w:ascii="Times" w:hAnsi="Times"/>
          <w:color w:val="000000" w:themeColor="text1"/>
        </w:rPr>
        <w:t>https://osf.io/kjpq3</w:t>
      </w:r>
      <w:r w:rsidRPr="00A567F2">
        <w:rPr>
          <w:color w:val="000000" w:themeColor="text1"/>
        </w:rPr>
        <w:t xml:space="preserve">). To compare food value preferences dependent on condition, 4 </w:t>
      </w:r>
      <w:r w:rsidR="00F51A2F" w:rsidRPr="00A567F2">
        <w:rPr>
          <w:color w:val="000000" w:themeColor="text1"/>
        </w:rPr>
        <w:t xml:space="preserve">(condition: 25% vs 50% vs 75% vs 100% unhealthy food inhibition) </w:t>
      </w:r>
      <w:r w:rsidRPr="00A567F2">
        <w:rPr>
          <w:color w:val="000000" w:themeColor="text1"/>
        </w:rPr>
        <w:t xml:space="preserve">x 2 </w:t>
      </w:r>
      <w:r w:rsidR="0038382E" w:rsidRPr="00A567F2">
        <w:rPr>
          <w:color w:val="000000" w:themeColor="text1"/>
        </w:rPr>
        <w:t xml:space="preserve">(time: pre training vs post </w:t>
      </w:r>
      <w:r w:rsidR="00F51A2F" w:rsidRPr="00A567F2">
        <w:rPr>
          <w:color w:val="000000" w:themeColor="text1"/>
        </w:rPr>
        <w:t xml:space="preserve">training) </w:t>
      </w:r>
      <w:r w:rsidRPr="00A567F2">
        <w:rPr>
          <w:color w:val="000000" w:themeColor="text1"/>
        </w:rPr>
        <w:t>Mixed ANCOVAs were conducted for both healthy and unhealthy food value scores, with number of inhibition errors in the baseline task used as the covariate (to adjust for baseline inhibitory ability). The analyses were repeated with median ‘go’ RT as the covariate (as an alternative measure of inhibitory ability). Explicit food preference was analysed using a one way ANCOVA, again, with inhibition errors as the covariate, with a second analysis conducted using median ‘go’ RT as a covariate</w:t>
      </w:r>
      <w:r w:rsidR="00BA74CA" w:rsidRPr="00A567F2">
        <w:rPr>
          <w:color w:val="000000" w:themeColor="text1"/>
        </w:rPr>
        <w:t xml:space="preserve">, in line with </w:t>
      </w:r>
      <w:r w:rsidR="008C1C25" w:rsidRPr="00A567F2">
        <w:rPr>
          <w:color w:val="000000" w:themeColor="text1"/>
        </w:rPr>
        <w:t xml:space="preserve">previous work </w:t>
      </w:r>
      <w:r w:rsidR="00BA74CA" w:rsidRPr="00A567F2">
        <w:rPr>
          <w:color w:val="000000" w:themeColor="text1"/>
        </w:rPr>
        <w:t>(</w:t>
      </w:r>
      <w:r w:rsidR="00E60010" w:rsidRPr="00A567F2">
        <w:rPr>
          <w:color w:val="000000" w:themeColor="text1"/>
        </w:rPr>
        <w:t xml:space="preserve">Littman &amp; Takács., 2017; </w:t>
      </w:r>
      <w:r w:rsidR="008C1C25" w:rsidRPr="00A567F2">
        <w:rPr>
          <w:color w:val="000000" w:themeColor="text1"/>
        </w:rPr>
        <w:t>Verbruggen &amp; Logan, 2008</w:t>
      </w:r>
      <w:r w:rsidR="00BA74CA" w:rsidRPr="00A567F2">
        <w:rPr>
          <w:color w:val="000000" w:themeColor="text1"/>
        </w:rPr>
        <w:t>)</w:t>
      </w:r>
      <w:r w:rsidRPr="00A567F2">
        <w:rPr>
          <w:color w:val="000000" w:themeColor="text1"/>
        </w:rPr>
        <w:t xml:space="preserve">. </w:t>
      </w:r>
      <w:r w:rsidR="00F51A2F" w:rsidRPr="00A567F2">
        <w:rPr>
          <w:color w:val="000000" w:themeColor="text1"/>
        </w:rPr>
        <w:t xml:space="preserve"> </w:t>
      </w:r>
      <w:r w:rsidR="00BA74CA" w:rsidRPr="00A567F2">
        <w:rPr>
          <w:color w:val="000000" w:themeColor="text1"/>
        </w:rPr>
        <w:t>However, we also clarified these effects using Chi-square due to limit variation in the dependent variable (scores of 0 – 2</w:t>
      </w:r>
      <w:r w:rsidR="00C656DE" w:rsidRPr="00A567F2">
        <w:rPr>
          <w:color w:val="000000" w:themeColor="text1"/>
        </w:rPr>
        <w:t>, see supplementary materials</w:t>
      </w:r>
      <w:r w:rsidR="00BA74CA" w:rsidRPr="00A567F2">
        <w:rPr>
          <w:color w:val="000000" w:themeColor="text1"/>
        </w:rPr>
        <w:t xml:space="preserve">). </w:t>
      </w:r>
      <w:r w:rsidRPr="00A567F2">
        <w:rPr>
          <w:color w:val="000000" w:themeColor="text1"/>
        </w:rPr>
        <w:lastRenderedPageBreak/>
        <w:t xml:space="preserve">Additional exploratory analyses were also conducted including Bayes factors, signal detection, generalisation and aim awareness (see supplementary materials).   </w:t>
      </w:r>
    </w:p>
    <w:p w14:paraId="68E0DEF8" w14:textId="77777777" w:rsidR="00361119" w:rsidRPr="00A567F2" w:rsidRDefault="00361119" w:rsidP="00361119">
      <w:pPr>
        <w:spacing w:line="480" w:lineRule="auto"/>
        <w:rPr>
          <w:b/>
          <w:color w:val="000000" w:themeColor="text1"/>
        </w:rPr>
      </w:pPr>
    </w:p>
    <w:p w14:paraId="09F1CB96" w14:textId="675DFA79" w:rsidR="00015F12" w:rsidRPr="00A567F2" w:rsidRDefault="00C077D0" w:rsidP="00015F12">
      <w:pPr>
        <w:pStyle w:val="p1"/>
        <w:spacing w:line="480" w:lineRule="auto"/>
        <w:rPr>
          <w:rFonts w:ascii="Times New Roman" w:hAnsi="Times New Roman"/>
          <w:b/>
          <w:color w:val="000000" w:themeColor="text1"/>
          <w:sz w:val="24"/>
          <w:szCs w:val="24"/>
        </w:rPr>
      </w:pPr>
      <w:r w:rsidRPr="00A567F2">
        <w:rPr>
          <w:rFonts w:ascii="Times New Roman" w:hAnsi="Times New Roman"/>
          <w:b/>
          <w:color w:val="000000" w:themeColor="text1"/>
          <w:sz w:val="24"/>
          <w:szCs w:val="24"/>
        </w:rPr>
        <w:t xml:space="preserve">2.2. </w:t>
      </w:r>
      <w:r w:rsidR="00015F12" w:rsidRPr="00A567F2">
        <w:rPr>
          <w:rFonts w:ascii="Times New Roman" w:hAnsi="Times New Roman"/>
          <w:b/>
          <w:color w:val="000000" w:themeColor="text1"/>
          <w:sz w:val="24"/>
          <w:szCs w:val="24"/>
        </w:rPr>
        <w:t>Results</w:t>
      </w:r>
    </w:p>
    <w:p w14:paraId="76281A38" w14:textId="49984A12" w:rsidR="00015F12" w:rsidRPr="00A567F2" w:rsidRDefault="00D473EA" w:rsidP="00015F12">
      <w:pPr>
        <w:spacing w:line="480" w:lineRule="auto"/>
        <w:rPr>
          <w:i/>
          <w:iCs/>
          <w:color w:val="000000" w:themeColor="text1"/>
        </w:rPr>
      </w:pPr>
      <w:r w:rsidRPr="00A567F2">
        <w:rPr>
          <w:i/>
          <w:iCs/>
          <w:color w:val="000000" w:themeColor="text1"/>
        </w:rPr>
        <w:t xml:space="preserve">2.2.1. </w:t>
      </w:r>
      <w:r w:rsidR="00015F12" w:rsidRPr="00A567F2">
        <w:rPr>
          <w:i/>
          <w:iCs/>
          <w:color w:val="000000" w:themeColor="text1"/>
        </w:rPr>
        <w:t>Hypothesis one (Participants in the highest cue-inhibition contingency group (100%) will show more pro</w:t>
      </w:r>
      <w:r w:rsidR="00CD2272" w:rsidRPr="00A567F2">
        <w:rPr>
          <w:i/>
          <w:iCs/>
          <w:color w:val="000000" w:themeColor="text1"/>
        </w:rPr>
        <w:t xml:space="preserve">nounced food value changes post </w:t>
      </w:r>
      <w:r w:rsidR="00015F12" w:rsidRPr="00A567F2">
        <w:rPr>
          <w:i/>
          <w:iCs/>
          <w:color w:val="000000" w:themeColor="text1"/>
        </w:rPr>
        <w:t>training compared to those in lower contingency groups (75%, 50% and 25%)) and Hypothesis three (Participants with poorer l</w:t>
      </w:r>
      <w:r w:rsidR="00033DBE" w:rsidRPr="00A567F2">
        <w:rPr>
          <w:i/>
          <w:iCs/>
          <w:color w:val="000000" w:themeColor="text1"/>
        </w:rPr>
        <w:t xml:space="preserve">evels of inhibitory control pre </w:t>
      </w:r>
      <w:r w:rsidR="00015F12" w:rsidRPr="00A567F2">
        <w:rPr>
          <w:i/>
          <w:iCs/>
          <w:color w:val="000000" w:themeColor="text1"/>
        </w:rPr>
        <w:t>training will show greater benefits from food specific cue-ICT).</w:t>
      </w:r>
    </w:p>
    <w:p w14:paraId="6598A8BD" w14:textId="39BE960A" w:rsidR="00015F12" w:rsidRPr="00A567F2" w:rsidRDefault="00015F12" w:rsidP="00D473EA">
      <w:pPr>
        <w:spacing w:line="480" w:lineRule="auto"/>
        <w:ind w:firstLine="720"/>
        <w:rPr>
          <w:color w:val="000000" w:themeColor="text1"/>
        </w:rPr>
      </w:pPr>
      <w:r w:rsidRPr="00A567F2">
        <w:rPr>
          <w:color w:val="000000" w:themeColor="text1"/>
        </w:rPr>
        <w:t>Differences in healthy food value based upon condition were analysed using a 4 (cue-inhibition contingency: 25%, 50%, 75% and 100%</w:t>
      </w:r>
      <w:r w:rsidR="00D26D63" w:rsidRPr="00A567F2">
        <w:rPr>
          <w:color w:val="000000" w:themeColor="text1"/>
        </w:rPr>
        <w:t xml:space="preserve">) x 2 (time: pre training, post </w:t>
      </w:r>
      <w:r w:rsidRPr="00A567F2">
        <w:rPr>
          <w:color w:val="000000" w:themeColor="text1"/>
        </w:rPr>
        <w:t xml:space="preserve">training) ANCOVA, with healthy food VAS scores as the dependent variable, and number of inhibition errors </w:t>
      </w:r>
      <w:r w:rsidR="00F51A2F" w:rsidRPr="00A567F2">
        <w:rPr>
          <w:color w:val="000000" w:themeColor="text1"/>
        </w:rPr>
        <w:t xml:space="preserve">in the standard go/no-go task </w:t>
      </w:r>
      <w:r w:rsidRPr="00A567F2">
        <w:rPr>
          <w:color w:val="000000" w:themeColor="text1"/>
        </w:rPr>
        <w:t>as the covariate. There was no significant main effect of condition (</w:t>
      </w:r>
      <w:r w:rsidRPr="00A567F2">
        <w:rPr>
          <w:i/>
          <w:color w:val="000000" w:themeColor="text1"/>
        </w:rPr>
        <w:t xml:space="preserve">F </w:t>
      </w:r>
      <w:r w:rsidR="00212577" w:rsidRPr="00A567F2">
        <w:rPr>
          <w:color w:val="000000" w:themeColor="text1"/>
        </w:rPr>
        <w:t>(3,165) = 0.67</w:t>
      </w:r>
      <w:r w:rsidRPr="00A567F2">
        <w:rPr>
          <w:color w:val="000000" w:themeColor="text1"/>
        </w:rPr>
        <w:t>, p =</w:t>
      </w:r>
      <w:r w:rsidR="00212577" w:rsidRPr="00A567F2">
        <w:rPr>
          <w:color w:val="000000" w:themeColor="text1"/>
        </w:rPr>
        <w:t xml:space="preserve"> .573</w:t>
      </w:r>
      <w:r w:rsidRPr="00A567F2">
        <w:rPr>
          <w:color w:val="000000" w:themeColor="text1"/>
        </w:rPr>
        <w:t>, ηp</w:t>
      </w:r>
      <w:r w:rsidRPr="00A567F2">
        <w:rPr>
          <w:color w:val="000000" w:themeColor="text1"/>
          <w:vertAlign w:val="superscript"/>
        </w:rPr>
        <w:t xml:space="preserve">2 </w:t>
      </w:r>
      <w:r w:rsidRPr="00A567F2">
        <w:rPr>
          <w:color w:val="000000" w:themeColor="text1"/>
        </w:rPr>
        <w:t>=</w:t>
      </w:r>
      <w:r w:rsidR="00212577" w:rsidRPr="00A567F2">
        <w:rPr>
          <w:color w:val="000000" w:themeColor="text1"/>
        </w:rPr>
        <w:t xml:space="preserve"> .01</w:t>
      </w:r>
      <w:r w:rsidRPr="00A567F2">
        <w:rPr>
          <w:color w:val="000000" w:themeColor="text1"/>
        </w:rPr>
        <w:t>), or time (</w:t>
      </w:r>
      <w:r w:rsidRPr="00A567F2">
        <w:rPr>
          <w:i/>
          <w:color w:val="000000" w:themeColor="text1"/>
        </w:rPr>
        <w:t xml:space="preserve">F </w:t>
      </w:r>
      <w:r w:rsidRPr="00A567F2">
        <w:rPr>
          <w:color w:val="000000" w:themeColor="text1"/>
        </w:rPr>
        <w:t xml:space="preserve">(1,165) = </w:t>
      </w:r>
      <w:r w:rsidR="00CA7487" w:rsidRPr="00A567F2">
        <w:rPr>
          <w:color w:val="000000" w:themeColor="text1"/>
        </w:rPr>
        <w:t>0.13</w:t>
      </w:r>
      <w:r w:rsidRPr="00A567F2">
        <w:rPr>
          <w:color w:val="000000" w:themeColor="text1"/>
        </w:rPr>
        <w:t>, p =</w:t>
      </w:r>
      <w:r w:rsidR="00CA7487" w:rsidRPr="00A567F2">
        <w:rPr>
          <w:color w:val="000000" w:themeColor="text1"/>
        </w:rPr>
        <w:t xml:space="preserve"> .720</w:t>
      </w:r>
      <w:r w:rsidRPr="00A567F2">
        <w:rPr>
          <w:color w:val="000000" w:themeColor="text1"/>
        </w:rPr>
        <w:t>, ηp</w:t>
      </w:r>
      <w:r w:rsidRPr="00A567F2">
        <w:rPr>
          <w:color w:val="000000" w:themeColor="text1"/>
          <w:vertAlign w:val="superscript"/>
        </w:rPr>
        <w:t xml:space="preserve">2 </w:t>
      </w:r>
      <w:r w:rsidRPr="00A567F2">
        <w:rPr>
          <w:color w:val="000000" w:themeColor="text1"/>
        </w:rPr>
        <w:t>=</w:t>
      </w:r>
      <w:r w:rsidR="00CA7487" w:rsidRPr="00A567F2">
        <w:rPr>
          <w:color w:val="000000" w:themeColor="text1"/>
        </w:rPr>
        <w:t xml:space="preserve"> .001</w:t>
      </w:r>
      <w:r w:rsidRPr="00A567F2">
        <w:rPr>
          <w:color w:val="000000" w:themeColor="text1"/>
        </w:rPr>
        <w:t>), and there was no significant time by condition interaction (</w:t>
      </w:r>
      <w:r w:rsidRPr="00A567F2">
        <w:rPr>
          <w:i/>
          <w:color w:val="000000" w:themeColor="text1"/>
        </w:rPr>
        <w:t xml:space="preserve">F </w:t>
      </w:r>
      <w:r w:rsidR="00CA7487" w:rsidRPr="00A567F2">
        <w:rPr>
          <w:color w:val="000000" w:themeColor="text1"/>
        </w:rPr>
        <w:t>(3,165) = 0.73, p=.536</w:t>
      </w:r>
      <w:r w:rsidRPr="00A567F2">
        <w:rPr>
          <w:color w:val="000000" w:themeColor="text1"/>
        </w:rPr>
        <w:t>, ηp</w:t>
      </w:r>
      <w:r w:rsidRPr="00A567F2">
        <w:rPr>
          <w:color w:val="000000" w:themeColor="text1"/>
          <w:vertAlign w:val="superscript"/>
        </w:rPr>
        <w:t xml:space="preserve">2 </w:t>
      </w:r>
      <w:r w:rsidRPr="00A567F2">
        <w:rPr>
          <w:color w:val="000000" w:themeColor="text1"/>
        </w:rPr>
        <w:t>=</w:t>
      </w:r>
      <w:r w:rsidR="00CA7487" w:rsidRPr="00A567F2">
        <w:rPr>
          <w:color w:val="000000" w:themeColor="text1"/>
        </w:rPr>
        <w:t xml:space="preserve"> .01</w:t>
      </w:r>
      <w:r w:rsidRPr="00A567F2">
        <w:rPr>
          <w:color w:val="000000" w:themeColor="text1"/>
        </w:rPr>
        <w:t>). This analysis was repeated using median ‘go’ trial RT as the covariate, and no significant main effects of condition (</w:t>
      </w:r>
      <w:r w:rsidRPr="00A567F2">
        <w:rPr>
          <w:i/>
          <w:color w:val="000000" w:themeColor="text1"/>
        </w:rPr>
        <w:t xml:space="preserve">F </w:t>
      </w:r>
      <w:r w:rsidRPr="00A567F2">
        <w:rPr>
          <w:color w:val="000000" w:themeColor="text1"/>
        </w:rPr>
        <w:t>(3,165) = 0.69, p = .560, ηp</w:t>
      </w:r>
      <w:r w:rsidRPr="00A567F2">
        <w:rPr>
          <w:color w:val="000000" w:themeColor="text1"/>
          <w:vertAlign w:val="superscript"/>
        </w:rPr>
        <w:t xml:space="preserve">2 </w:t>
      </w:r>
      <w:r w:rsidRPr="00A567F2">
        <w:rPr>
          <w:color w:val="000000" w:themeColor="text1"/>
        </w:rPr>
        <w:t>= .01), time (</w:t>
      </w:r>
      <w:r w:rsidRPr="00A567F2">
        <w:rPr>
          <w:i/>
          <w:color w:val="000000" w:themeColor="text1"/>
        </w:rPr>
        <w:t xml:space="preserve">F </w:t>
      </w:r>
      <w:r w:rsidRPr="00A567F2">
        <w:rPr>
          <w:color w:val="000000" w:themeColor="text1"/>
        </w:rPr>
        <w:t>(1,165) = 0.27, p = .602, ηp</w:t>
      </w:r>
      <w:r w:rsidRPr="00A567F2">
        <w:rPr>
          <w:color w:val="000000" w:themeColor="text1"/>
          <w:vertAlign w:val="superscript"/>
        </w:rPr>
        <w:t xml:space="preserve">2 </w:t>
      </w:r>
      <w:r w:rsidRPr="00A567F2">
        <w:rPr>
          <w:color w:val="000000" w:themeColor="text1"/>
        </w:rPr>
        <w:t>= .002) or interaction (</w:t>
      </w:r>
      <w:r w:rsidRPr="00A567F2">
        <w:rPr>
          <w:i/>
          <w:color w:val="000000" w:themeColor="text1"/>
        </w:rPr>
        <w:t xml:space="preserve">F </w:t>
      </w:r>
      <w:r w:rsidRPr="00A567F2">
        <w:rPr>
          <w:color w:val="000000" w:themeColor="text1"/>
        </w:rPr>
        <w:t>(3,165) = 0.74, p = .531, ηp</w:t>
      </w:r>
      <w:r w:rsidRPr="00A567F2">
        <w:rPr>
          <w:color w:val="000000" w:themeColor="text1"/>
          <w:vertAlign w:val="superscript"/>
        </w:rPr>
        <w:t xml:space="preserve">2 </w:t>
      </w:r>
      <w:r w:rsidRPr="00A567F2">
        <w:rPr>
          <w:color w:val="000000" w:themeColor="text1"/>
        </w:rPr>
        <w:t xml:space="preserve">= .01) were observed. </w:t>
      </w:r>
    </w:p>
    <w:p w14:paraId="2C8E50F9" w14:textId="05885A01" w:rsidR="00015F12" w:rsidRPr="00A567F2" w:rsidRDefault="00015F12" w:rsidP="00D473EA">
      <w:pPr>
        <w:spacing w:line="480" w:lineRule="auto"/>
        <w:ind w:firstLine="720"/>
        <w:rPr>
          <w:color w:val="000000" w:themeColor="text1"/>
        </w:rPr>
      </w:pPr>
      <w:r w:rsidRPr="00A567F2">
        <w:rPr>
          <w:color w:val="000000" w:themeColor="text1"/>
        </w:rPr>
        <w:t>To assess unhealthy food value changes, the above analysis was repeated, however, unhealthy food VAS scores were used as the dependent variable. The first ANCOVA (with inhibition errors as the covariate) revealed that there were no significant differences in unhealthy VAS scores based on condition (</w:t>
      </w:r>
      <w:r w:rsidRPr="00A567F2">
        <w:rPr>
          <w:i/>
          <w:color w:val="000000" w:themeColor="text1"/>
        </w:rPr>
        <w:t xml:space="preserve">F </w:t>
      </w:r>
      <w:r w:rsidR="007B3669" w:rsidRPr="00A567F2">
        <w:rPr>
          <w:color w:val="000000" w:themeColor="text1"/>
        </w:rPr>
        <w:t>(3,165) = 0.79, p = .502</w:t>
      </w:r>
      <w:r w:rsidRPr="00A567F2">
        <w:rPr>
          <w:color w:val="000000" w:themeColor="text1"/>
        </w:rPr>
        <w:t>, ηp</w:t>
      </w:r>
      <w:r w:rsidRPr="00A567F2">
        <w:rPr>
          <w:color w:val="000000" w:themeColor="text1"/>
          <w:vertAlign w:val="superscript"/>
        </w:rPr>
        <w:t xml:space="preserve">2 </w:t>
      </w:r>
      <w:r w:rsidR="007B3669" w:rsidRPr="00A567F2">
        <w:rPr>
          <w:color w:val="000000" w:themeColor="text1"/>
        </w:rPr>
        <w:t>= .01</w:t>
      </w:r>
      <w:r w:rsidRPr="00A567F2">
        <w:rPr>
          <w:color w:val="000000" w:themeColor="text1"/>
        </w:rPr>
        <w:t>) or time (</w:t>
      </w:r>
      <w:r w:rsidRPr="00A567F2">
        <w:rPr>
          <w:i/>
          <w:color w:val="000000" w:themeColor="text1"/>
        </w:rPr>
        <w:t xml:space="preserve">F </w:t>
      </w:r>
      <w:r w:rsidR="006A4B3A" w:rsidRPr="00A567F2">
        <w:rPr>
          <w:color w:val="000000" w:themeColor="text1"/>
        </w:rPr>
        <w:t>(1,165) = 0.49, p = .486</w:t>
      </w:r>
      <w:r w:rsidRPr="00A567F2">
        <w:rPr>
          <w:color w:val="000000" w:themeColor="text1"/>
        </w:rPr>
        <w:t>, ηp</w:t>
      </w:r>
      <w:r w:rsidRPr="00A567F2">
        <w:rPr>
          <w:color w:val="000000" w:themeColor="text1"/>
          <w:vertAlign w:val="superscript"/>
        </w:rPr>
        <w:t xml:space="preserve">2 </w:t>
      </w:r>
      <w:r w:rsidR="006A4B3A" w:rsidRPr="00A567F2">
        <w:rPr>
          <w:color w:val="000000" w:themeColor="text1"/>
        </w:rPr>
        <w:t>= .003</w:t>
      </w:r>
      <w:r w:rsidRPr="00A567F2">
        <w:rPr>
          <w:color w:val="000000" w:themeColor="text1"/>
        </w:rPr>
        <w:t>), and there was no significant interaction between the variables (</w:t>
      </w:r>
      <w:r w:rsidRPr="00A567F2">
        <w:rPr>
          <w:i/>
          <w:color w:val="000000" w:themeColor="text1"/>
        </w:rPr>
        <w:t xml:space="preserve">F </w:t>
      </w:r>
      <w:r w:rsidR="00AF4158" w:rsidRPr="00A567F2">
        <w:rPr>
          <w:color w:val="000000" w:themeColor="text1"/>
        </w:rPr>
        <w:t>(3,165) = 1.15, p = .331</w:t>
      </w:r>
      <w:r w:rsidRPr="00A567F2">
        <w:rPr>
          <w:color w:val="000000" w:themeColor="text1"/>
        </w:rPr>
        <w:t>, ηp</w:t>
      </w:r>
      <w:r w:rsidRPr="00A567F2">
        <w:rPr>
          <w:color w:val="000000" w:themeColor="text1"/>
          <w:vertAlign w:val="superscript"/>
        </w:rPr>
        <w:t xml:space="preserve">2 </w:t>
      </w:r>
      <w:r w:rsidR="006B41E5" w:rsidRPr="00A567F2">
        <w:rPr>
          <w:color w:val="000000" w:themeColor="text1"/>
        </w:rPr>
        <w:t>= .02)</w:t>
      </w:r>
      <w:r w:rsidRPr="00A567F2">
        <w:rPr>
          <w:color w:val="000000" w:themeColor="text1"/>
        </w:rPr>
        <w:t xml:space="preserve">. When controlling for median ‘go’ trial RT, </w:t>
      </w:r>
      <w:r w:rsidRPr="00A567F2">
        <w:rPr>
          <w:color w:val="000000" w:themeColor="text1"/>
        </w:rPr>
        <w:lastRenderedPageBreak/>
        <w:t>there was no main effect of condition (</w:t>
      </w:r>
      <w:r w:rsidRPr="00A567F2">
        <w:rPr>
          <w:i/>
          <w:color w:val="000000" w:themeColor="text1"/>
        </w:rPr>
        <w:t xml:space="preserve">F </w:t>
      </w:r>
      <w:r w:rsidRPr="00A567F2">
        <w:rPr>
          <w:color w:val="000000" w:themeColor="text1"/>
        </w:rPr>
        <w:t>(3,165) = 0.97, p = .407, ηp</w:t>
      </w:r>
      <w:r w:rsidRPr="00A567F2">
        <w:rPr>
          <w:color w:val="000000" w:themeColor="text1"/>
          <w:vertAlign w:val="superscript"/>
        </w:rPr>
        <w:t xml:space="preserve">2 </w:t>
      </w:r>
      <w:r w:rsidRPr="00A567F2">
        <w:rPr>
          <w:color w:val="000000" w:themeColor="text1"/>
        </w:rPr>
        <w:t>= .02), time (</w:t>
      </w:r>
      <w:r w:rsidRPr="00A567F2">
        <w:rPr>
          <w:i/>
          <w:color w:val="000000" w:themeColor="text1"/>
        </w:rPr>
        <w:t xml:space="preserve">F </w:t>
      </w:r>
      <w:r w:rsidRPr="00A567F2">
        <w:rPr>
          <w:color w:val="000000" w:themeColor="text1"/>
        </w:rPr>
        <w:t>(1,165) = 0.22, p = .642, ηp</w:t>
      </w:r>
      <w:r w:rsidRPr="00A567F2">
        <w:rPr>
          <w:color w:val="000000" w:themeColor="text1"/>
          <w:vertAlign w:val="superscript"/>
        </w:rPr>
        <w:t xml:space="preserve">2 </w:t>
      </w:r>
      <w:r w:rsidRPr="00A567F2">
        <w:rPr>
          <w:color w:val="000000" w:themeColor="text1"/>
        </w:rPr>
        <w:t>= .001), or time by condition interaction (</w:t>
      </w:r>
      <w:r w:rsidRPr="00A567F2">
        <w:rPr>
          <w:i/>
          <w:color w:val="000000" w:themeColor="text1"/>
        </w:rPr>
        <w:t xml:space="preserve">F </w:t>
      </w:r>
      <w:r w:rsidRPr="00A567F2">
        <w:rPr>
          <w:color w:val="000000" w:themeColor="text1"/>
        </w:rPr>
        <w:t>(3,165) = 1.14, p = .336, ηp</w:t>
      </w:r>
      <w:r w:rsidRPr="00A567F2">
        <w:rPr>
          <w:color w:val="000000" w:themeColor="text1"/>
          <w:vertAlign w:val="superscript"/>
        </w:rPr>
        <w:t xml:space="preserve">2 </w:t>
      </w:r>
      <w:r w:rsidRPr="00A567F2">
        <w:rPr>
          <w:color w:val="000000" w:themeColor="text1"/>
        </w:rPr>
        <w:t>= .02)</w:t>
      </w:r>
      <w:r w:rsidR="00F51A2F" w:rsidRPr="00A567F2">
        <w:rPr>
          <w:color w:val="000000" w:themeColor="text1"/>
        </w:rPr>
        <w:t xml:space="preserve"> (see table 1)</w:t>
      </w:r>
      <w:r w:rsidR="00EF6586" w:rsidRPr="00A567F2">
        <w:rPr>
          <w:color w:val="000000" w:themeColor="text1"/>
        </w:rPr>
        <w:t>.</w:t>
      </w:r>
    </w:p>
    <w:p w14:paraId="6AC53307" w14:textId="77777777" w:rsidR="00015F12" w:rsidRPr="00A567F2" w:rsidRDefault="00015F12" w:rsidP="00015F12">
      <w:pPr>
        <w:spacing w:line="480" w:lineRule="auto"/>
        <w:rPr>
          <w:color w:val="000000" w:themeColor="text1"/>
        </w:rPr>
      </w:pPr>
    </w:p>
    <w:p w14:paraId="2A4373D4" w14:textId="79763AC8" w:rsidR="00015F12" w:rsidRPr="00A567F2" w:rsidRDefault="00015F12" w:rsidP="00015F12">
      <w:pPr>
        <w:spacing w:line="480" w:lineRule="auto"/>
        <w:rPr>
          <w:color w:val="000000" w:themeColor="text1"/>
        </w:rPr>
      </w:pPr>
      <w:r w:rsidRPr="00A567F2">
        <w:rPr>
          <w:color w:val="000000" w:themeColor="text1"/>
        </w:rPr>
        <w:t xml:space="preserve">Table </w:t>
      </w:r>
      <w:r w:rsidR="006C2E65" w:rsidRPr="00A567F2">
        <w:rPr>
          <w:color w:val="000000" w:themeColor="text1"/>
        </w:rPr>
        <w:t>1</w:t>
      </w:r>
      <w:r w:rsidRPr="00A567F2">
        <w:rPr>
          <w:color w:val="000000" w:themeColor="text1"/>
        </w:rPr>
        <w:t xml:space="preserve">. Descriptive statistics for mean VAS scores for healthy and unhealthy foods, both pre and post training. Scores range from -100 to +100, with higher scores representing higher food value. Values are mean </w:t>
      </w:r>
      <w:r w:rsidRPr="00A567F2">
        <w:rPr>
          <w:color w:val="000000" w:themeColor="text1"/>
          <w:shd w:val="clear" w:color="auto" w:fill="FFFFFF"/>
        </w:rPr>
        <w:t>±</w:t>
      </w:r>
      <w:r w:rsidRPr="00A567F2">
        <w:rPr>
          <w:color w:val="000000" w:themeColor="text1"/>
        </w:rPr>
        <w:t xml:space="preserve"> SD.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64"/>
        <w:gridCol w:w="1559"/>
        <w:gridCol w:w="1559"/>
        <w:gridCol w:w="1639"/>
      </w:tblGrid>
      <w:tr w:rsidR="00A567F2" w:rsidRPr="00A567F2" w14:paraId="0CF7B3A5" w14:textId="77777777" w:rsidTr="00216EE5">
        <w:tc>
          <w:tcPr>
            <w:tcW w:w="2689" w:type="dxa"/>
            <w:tcBorders>
              <w:top w:val="single" w:sz="4" w:space="0" w:color="auto"/>
            </w:tcBorders>
          </w:tcPr>
          <w:p w14:paraId="78BF4F39" w14:textId="77777777" w:rsidR="00015F12" w:rsidRPr="00A567F2" w:rsidRDefault="00015F12" w:rsidP="00216EE5">
            <w:pPr>
              <w:pStyle w:val="p1"/>
              <w:spacing w:line="480" w:lineRule="auto"/>
              <w:rPr>
                <w:rFonts w:ascii="Times New Roman" w:hAnsi="Times New Roman"/>
                <w:iCs/>
                <w:color w:val="000000" w:themeColor="text1"/>
                <w:sz w:val="24"/>
                <w:szCs w:val="24"/>
              </w:rPr>
            </w:pPr>
          </w:p>
        </w:tc>
        <w:tc>
          <w:tcPr>
            <w:tcW w:w="3123" w:type="dxa"/>
            <w:gridSpan w:val="2"/>
            <w:tcBorders>
              <w:top w:val="single" w:sz="4" w:space="0" w:color="auto"/>
            </w:tcBorders>
            <w:vAlign w:val="center"/>
          </w:tcPr>
          <w:p w14:paraId="5E4F3B49" w14:textId="77777777" w:rsidR="00015F12" w:rsidRPr="00A567F2" w:rsidRDefault="00015F12"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Healthy food VAS</w:t>
            </w:r>
          </w:p>
        </w:tc>
        <w:tc>
          <w:tcPr>
            <w:tcW w:w="3198" w:type="dxa"/>
            <w:gridSpan w:val="2"/>
            <w:tcBorders>
              <w:top w:val="single" w:sz="4" w:space="0" w:color="auto"/>
            </w:tcBorders>
            <w:vAlign w:val="center"/>
          </w:tcPr>
          <w:p w14:paraId="20A249D8" w14:textId="77777777" w:rsidR="00015F12" w:rsidRPr="00A567F2" w:rsidRDefault="00015F12"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Unhealthy food VAS</w:t>
            </w:r>
          </w:p>
        </w:tc>
      </w:tr>
      <w:tr w:rsidR="00A567F2" w:rsidRPr="00A567F2" w14:paraId="026AE10A" w14:textId="77777777" w:rsidTr="00216EE5">
        <w:tc>
          <w:tcPr>
            <w:tcW w:w="2689" w:type="dxa"/>
            <w:tcBorders>
              <w:bottom w:val="single" w:sz="4" w:space="0" w:color="auto"/>
            </w:tcBorders>
          </w:tcPr>
          <w:p w14:paraId="15B3820F"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Condition</w:t>
            </w:r>
          </w:p>
        </w:tc>
        <w:tc>
          <w:tcPr>
            <w:tcW w:w="1564" w:type="dxa"/>
            <w:tcBorders>
              <w:bottom w:val="single" w:sz="4" w:space="0" w:color="auto"/>
            </w:tcBorders>
            <w:vAlign w:val="center"/>
          </w:tcPr>
          <w:p w14:paraId="22912702" w14:textId="238200F7" w:rsidR="00015F12" w:rsidRPr="00A567F2" w:rsidRDefault="00415448"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Pre </w:t>
            </w:r>
            <w:r w:rsidR="00015F12" w:rsidRPr="00A567F2">
              <w:rPr>
                <w:rFonts w:ascii="Times New Roman" w:hAnsi="Times New Roman"/>
                <w:iCs/>
                <w:color w:val="000000" w:themeColor="text1"/>
                <w:sz w:val="24"/>
                <w:szCs w:val="24"/>
              </w:rPr>
              <w:t>training</w:t>
            </w:r>
          </w:p>
        </w:tc>
        <w:tc>
          <w:tcPr>
            <w:tcW w:w="1559" w:type="dxa"/>
            <w:tcBorders>
              <w:bottom w:val="single" w:sz="4" w:space="0" w:color="auto"/>
            </w:tcBorders>
            <w:vAlign w:val="center"/>
          </w:tcPr>
          <w:p w14:paraId="35923BFD" w14:textId="548916DE" w:rsidR="00015F12" w:rsidRPr="00A567F2" w:rsidRDefault="003F2A8F"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Post </w:t>
            </w:r>
            <w:r w:rsidR="00015F12" w:rsidRPr="00A567F2">
              <w:rPr>
                <w:rFonts w:ascii="Times New Roman" w:hAnsi="Times New Roman"/>
                <w:iCs/>
                <w:color w:val="000000" w:themeColor="text1"/>
                <w:sz w:val="24"/>
                <w:szCs w:val="24"/>
              </w:rPr>
              <w:t>training</w:t>
            </w:r>
          </w:p>
        </w:tc>
        <w:tc>
          <w:tcPr>
            <w:tcW w:w="1559" w:type="dxa"/>
            <w:tcBorders>
              <w:bottom w:val="single" w:sz="4" w:space="0" w:color="auto"/>
            </w:tcBorders>
            <w:vAlign w:val="center"/>
          </w:tcPr>
          <w:p w14:paraId="46141E98" w14:textId="3A9F2410" w:rsidR="00015F12" w:rsidRPr="00A567F2" w:rsidRDefault="00415448"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Pre </w:t>
            </w:r>
            <w:r w:rsidR="00015F12" w:rsidRPr="00A567F2">
              <w:rPr>
                <w:rFonts w:ascii="Times New Roman" w:hAnsi="Times New Roman"/>
                <w:iCs/>
                <w:color w:val="000000" w:themeColor="text1"/>
                <w:sz w:val="24"/>
                <w:szCs w:val="24"/>
              </w:rPr>
              <w:t>training</w:t>
            </w:r>
          </w:p>
        </w:tc>
        <w:tc>
          <w:tcPr>
            <w:tcW w:w="1639" w:type="dxa"/>
            <w:tcBorders>
              <w:bottom w:val="single" w:sz="4" w:space="0" w:color="auto"/>
            </w:tcBorders>
            <w:vAlign w:val="center"/>
          </w:tcPr>
          <w:p w14:paraId="0CE68437" w14:textId="5177019E" w:rsidR="00015F12" w:rsidRPr="00A567F2" w:rsidRDefault="003F2A8F"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Post </w:t>
            </w:r>
            <w:r w:rsidR="00015F12" w:rsidRPr="00A567F2">
              <w:rPr>
                <w:rFonts w:ascii="Times New Roman" w:hAnsi="Times New Roman"/>
                <w:iCs/>
                <w:color w:val="000000" w:themeColor="text1"/>
                <w:sz w:val="24"/>
                <w:szCs w:val="24"/>
              </w:rPr>
              <w:t>training</w:t>
            </w:r>
          </w:p>
        </w:tc>
      </w:tr>
      <w:tr w:rsidR="00A567F2" w:rsidRPr="00A567F2" w14:paraId="4B3765F5" w14:textId="77777777" w:rsidTr="00216EE5">
        <w:tc>
          <w:tcPr>
            <w:tcW w:w="2689" w:type="dxa"/>
            <w:tcBorders>
              <w:top w:val="single" w:sz="4" w:space="0" w:color="auto"/>
            </w:tcBorders>
          </w:tcPr>
          <w:p w14:paraId="5947F2CE"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 Inhibition Unhealthy</w:t>
            </w:r>
          </w:p>
        </w:tc>
        <w:tc>
          <w:tcPr>
            <w:tcW w:w="1564" w:type="dxa"/>
            <w:tcBorders>
              <w:top w:val="single" w:sz="4" w:space="0" w:color="auto"/>
            </w:tcBorders>
          </w:tcPr>
          <w:p w14:paraId="383AAF31"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22.09 (27.48)</w:t>
            </w:r>
          </w:p>
        </w:tc>
        <w:tc>
          <w:tcPr>
            <w:tcW w:w="1559" w:type="dxa"/>
            <w:tcBorders>
              <w:top w:val="single" w:sz="4" w:space="0" w:color="auto"/>
            </w:tcBorders>
          </w:tcPr>
          <w:p w14:paraId="3E5FB9ED"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22.22 (30.42)</w:t>
            </w:r>
          </w:p>
        </w:tc>
        <w:tc>
          <w:tcPr>
            <w:tcW w:w="1559" w:type="dxa"/>
            <w:tcBorders>
              <w:top w:val="single" w:sz="4" w:space="0" w:color="auto"/>
            </w:tcBorders>
          </w:tcPr>
          <w:p w14:paraId="796C8BBE"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25.48 (29.11)</w:t>
            </w:r>
          </w:p>
        </w:tc>
        <w:tc>
          <w:tcPr>
            <w:tcW w:w="1639" w:type="dxa"/>
            <w:tcBorders>
              <w:top w:val="single" w:sz="4" w:space="0" w:color="auto"/>
            </w:tcBorders>
          </w:tcPr>
          <w:p w14:paraId="5439DF46"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25.69 (30.63)</w:t>
            </w:r>
          </w:p>
        </w:tc>
      </w:tr>
      <w:tr w:rsidR="00A567F2" w:rsidRPr="00A567F2" w14:paraId="60110114" w14:textId="77777777" w:rsidTr="00216EE5">
        <w:tc>
          <w:tcPr>
            <w:tcW w:w="2689" w:type="dxa"/>
          </w:tcPr>
          <w:p w14:paraId="274F4691"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50% Inhibition Unhealthy</w:t>
            </w:r>
          </w:p>
        </w:tc>
        <w:tc>
          <w:tcPr>
            <w:tcW w:w="1564" w:type="dxa"/>
          </w:tcPr>
          <w:p w14:paraId="2752E4FF"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25.27 (20.47)</w:t>
            </w:r>
          </w:p>
        </w:tc>
        <w:tc>
          <w:tcPr>
            <w:tcW w:w="1559" w:type="dxa"/>
          </w:tcPr>
          <w:p w14:paraId="3227C695"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26.26 (21.68)</w:t>
            </w:r>
          </w:p>
        </w:tc>
        <w:tc>
          <w:tcPr>
            <w:tcW w:w="1559" w:type="dxa"/>
          </w:tcPr>
          <w:p w14:paraId="3AFA0198"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15.77 (25.17)</w:t>
            </w:r>
          </w:p>
        </w:tc>
        <w:tc>
          <w:tcPr>
            <w:tcW w:w="1639" w:type="dxa"/>
          </w:tcPr>
          <w:p w14:paraId="241BF84A"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17.09 (27.60)</w:t>
            </w:r>
          </w:p>
        </w:tc>
      </w:tr>
      <w:tr w:rsidR="00A567F2" w:rsidRPr="00A567F2" w14:paraId="4E6BA28F" w14:textId="77777777" w:rsidTr="00216EE5">
        <w:tc>
          <w:tcPr>
            <w:tcW w:w="2689" w:type="dxa"/>
          </w:tcPr>
          <w:p w14:paraId="07634013"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75% Inhibition Unhealthy</w:t>
            </w:r>
          </w:p>
        </w:tc>
        <w:tc>
          <w:tcPr>
            <w:tcW w:w="1564" w:type="dxa"/>
          </w:tcPr>
          <w:p w14:paraId="059DCA49"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29.84 (28.21)</w:t>
            </w:r>
          </w:p>
        </w:tc>
        <w:tc>
          <w:tcPr>
            <w:tcW w:w="1559" w:type="dxa"/>
          </w:tcPr>
          <w:p w14:paraId="1165FA89"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28.74 (28.47)</w:t>
            </w:r>
          </w:p>
        </w:tc>
        <w:tc>
          <w:tcPr>
            <w:tcW w:w="1559" w:type="dxa"/>
          </w:tcPr>
          <w:p w14:paraId="10490D19"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19.79 (31.27)</w:t>
            </w:r>
          </w:p>
        </w:tc>
        <w:tc>
          <w:tcPr>
            <w:tcW w:w="1639" w:type="dxa"/>
          </w:tcPr>
          <w:p w14:paraId="5D883BD1"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17.89 (32.40)</w:t>
            </w:r>
          </w:p>
        </w:tc>
      </w:tr>
      <w:tr w:rsidR="00015F12" w:rsidRPr="00A567F2" w14:paraId="5A567573" w14:textId="77777777" w:rsidTr="00216EE5">
        <w:tc>
          <w:tcPr>
            <w:tcW w:w="2689" w:type="dxa"/>
            <w:tcBorders>
              <w:bottom w:val="single" w:sz="4" w:space="0" w:color="auto"/>
            </w:tcBorders>
          </w:tcPr>
          <w:p w14:paraId="1248156E"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100% Inhibition Unhealthy</w:t>
            </w:r>
          </w:p>
        </w:tc>
        <w:tc>
          <w:tcPr>
            <w:tcW w:w="1564" w:type="dxa"/>
            <w:tcBorders>
              <w:bottom w:val="single" w:sz="4" w:space="0" w:color="auto"/>
            </w:tcBorders>
          </w:tcPr>
          <w:p w14:paraId="726AC964"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26.71 (27.61)</w:t>
            </w:r>
          </w:p>
        </w:tc>
        <w:tc>
          <w:tcPr>
            <w:tcW w:w="1559" w:type="dxa"/>
            <w:tcBorders>
              <w:bottom w:val="single" w:sz="4" w:space="0" w:color="auto"/>
            </w:tcBorders>
          </w:tcPr>
          <w:p w14:paraId="05BCF685"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29.22 (32.67)</w:t>
            </w:r>
          </w:p>
        </w:tc>
        <w:tc>
          <w:tcPr>
            <w:tcW w:w="1559" w:type="dxa"/>
            <w:tcBorders>
              <w:bottom w:val="single" w:sz="4" w:space="0" w:color="auto"/>
            </w:tcBorders>
          </w:tcPr>
          <w:p w14:paraId="3D4A0317"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16.30 (29.68)</w:t>
            </w:r>
          </w:p>
        </w:tc>
        <w:tc>
          <w:tcPr>
            <w:tcW w:w="1639" w:type="dxa"/>
            <w:tcBorders>
              <w:bottom w:val="single" w:sz="4" w:space="0" w:color="auto"/>
            </w:tcBorders>
          </w:tcPr>
          <w:p w14:paraId="5B655ABA" w14:textId="77777777" w:rsidR="00015F12" w:rsidRPr="00A567F2" w:rsidRDefault="00015F12"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13.06 (36.24)</w:t>
            </w:r>
          </w:p>
        </w:tc>
      </w:tr>
    </w:tbl>
    <w:p w14:paraId="41E49B7D" w14:textId="77777777" w:rsidR="00015F12" w:rsidRPr="00A567F2" w:rsidRDefault="00015F12" w:rsidP="00015F12">
      <w:pPr>
        <w:pStyle w:val="p1"/>
        <w:spacing w:line="480" w:lineRule="auto"/>
        <w:rPr>
          <w:rFonts w:ascii="Times New Roman" w:hAnsi="Times New Roman"/>
          <w:iCs/>
          <w:color w:val="000000" w:themeColor="text1"/>
          <w:sz w:val="24"/>
          <w:szCs w:val="24"/>
        </w:rPr>
      </w:pPr>
    </w:p>
    <w:p w14:paraId="0D89B6A0" w14:textId="6E135E47" w:rsidR="00F51A2F" w:rsidRPr="00A567F2" w:rsidRDefault="00A11A48" w:rsidP="00015F12">
      <w:pPr>
        <w:spacing w:line="480" w:lineRule="auto"/>
        <w:rPr>
          <w:i/>
          <w:iCs/>
          <w:color w:val="000000" w:themeColor="text1"/>
        </w:rPr>
      </w:pPr>
      <w:r w:rsidRPr="00A567F2">
        <w:rPr>
          <w:i/>
          <w:iCs/>
          <w:color w:val="000000" w:themeColor="text1"/>
        </w:rPr>
        <w:t xml:space="preserve">2.2.2. </w:t>
      </w:r>
      <w:r w:rsidR="00015F12" w:rsidRPr="00A567F2">
        <w:rPr>
          <w:i/>
          <w:iCs/>
          <w:color w:val="000000" w:themeColor="text1"/>
        </w:rPr>
        <w:t xml:space="preserve">Hypothesis two: Participants in the highest cue-inhibition contingency group (100%) will show healthier explicit choices compared to those in lower contingency groups (75%, 50% and 25%). </w:t>
      </w:r>
    </w:p>
    <w:p w14:paraId="4B4457D2" w14:textId="32138C17" w:rsidR="00015F12" w:rsidRPr="00A567F2" w:rsidRDefault="00015F12" w:rsidP="00D473EA">
      <w:pPr>
        <w:spacing w:line="480" w:lineRule="auto"/>
        <w:ind w:firstLine="720"/>
        <w:rPr>
          <w:color w:val="000000" w:themeColor="text1"/>
        </w:rPr>
      </w:pPr>
      <w:r w:rsidRPr="00A567F2">
        <w:rPr>
          <w:color w:val="000000" w:themeColor="text1"/>
        </w:rPr>
        <w:t xml:space="preserve">A one way ANCOVA was conducted, with condition as the independent variable (cue-inhibition contingency: 25%, 50%, 75% and 100%), explicit preference score as the dependent variable and number of inhibition errors as the covariate. There were no </w:t>
      </w:r>
      <w:r w:rsidRPr="00A567F2">
        <w:rPr>
          <w:color w:val="000000" w:themeColor="text1"/>
        </w:rPr>
        <w:lastRenderedPageBreak/>
        <w:t>significant differences in explicit preference choices based upon condition allocation (</w:t>
      </w:r>
      <w:r w:rsidRPr="00A567F2">
        <w:rPr>
          <w:i/>
          <w:color w:val="000000" w:themeColor="text1"/>
        </w:rPr>
        <w:t xml:space="preserve">F </w:t>
      </w:r>
      <w:r w:rsidR="00B34234" w:rsidRPr="00A567F2">
        <w:rPr>
          <w:color w:val="000000" w:themeColor="text1"/>
        </w:rPr>
        <w:t>(3,164) = 0.46</w:t>
      </w:r>
      <w:r w:rsidR="00DF20CE" w:rsidRPr="00A567F2">
        <w:rPr>
          <w:color w:val="000000" w:themeColor="text1"/>
        </w:rPr>
        <w:t>, p =. 709</w:t>
      </w:r>
      <w:r w:rsidRPr="00A567F2">
        <w:rPr>
          <w:color w:val="000000" w:themeColor="text1"/>
        </w:rPr>
        <w:t>, ηp</w:t>
      </w:r>
      <w:r w:rsidRPr="00A567F2">
        <w:rPr>
          <w:color w:val="000000" w:themeColor="text1"/>
          <w:vertAlign w:val="superscript"/>
        </w:rPr>
        <w:t xml:space="preserve">2 </w:t>
      </w:r>
      <w:r w:rsidRPr="00A567F2">
        <w:rPr>
          <w:color w:val="000000" w:themeColor="text1"/>
        </w:rPr>
        <w:t>=. 01). This was also the case when median ‘go’ trial RT was used as the covariate (</w:t>
      </w:r>
      <w:r w:rsidRPr="00A567F2">
        <w:rPr>
          <w:i/>
          <w:color w:val="000000" w:themeColor="text1"/>
        </w:rPr>
        <w:t xml:space="preserve">F </w:t>
      </w:r>
      <w:r w:rsidRPr="00A567F2">
        <w:rPr>
          <w:color w:val="000000" w:themeColor="text1"/>
        </w:rPr>
        <w:t>(3,164) = 0.42, p =.738, ηp</w:t>
      </w:r>
      <w:r w:rsidRPr="00A567F2">
        <w:rPr>
          <w:color w:val="000000" w:themeColor="text1"/>
          <w:vertAlign w:val="superscript"/>
        </w:rPr>
        <w:t xml:space="preserve">2 </w:t>
      </w:r>
      <w:r w:rsidRPr="00A567F2">
        <w:rPr>
          <w:color w:val="000000" w:themeColor="text1"/>
        </w:rPr>
        <w:t>= .008)</w:t>
      </w:r>
      <w:r w:rsidR="003364CD" w:rsidRPr="00A567F2">
        <w:rPr>
          <w:color w:val="000000" w:themeColor="text1"/>
        </w:rPr>
        <w:t xml:space="preserve"> (see table 2)</w:t>
      </w:r>
      <w:r w:rsidRPr="00A567F2">
        <w:rPr>
          <w:color w:val="000000" w:themeColor="text1"/>
        </w:rPr>
        <w:t xml:space="preserve">. </w:t>
      </w:r>
    </w:p>
    <w:p w14:paraId="17E9FA05" w14:textId="77777777" w:rsidR="00015F12" w:rsidRPr="00A567F2" w:rsidRDefault="00015F12" w:rsidP="00015F12">
      <w:pPr>
        <w:spacing w:line="480" w:lineRule="auto"/>
        <w:rPr>
          <w:color w:val="000000" w:themeColor="text1"/>
        </w:rPr>
      </w:pPr>
    </w:p>
    <w:p w14:paraId="0629466C" w14:textId="35CBBA0E" w:rsidR="00015F12" w:rsidRPr="00A567F2" w:rsidRDefault="00015F12" w:rsidP="00015F12">
      <w:pPr>
        <w:spacing w:line="480" w:lineRule="auto"/>
        <w:rPr>
          <w:color w:val="000000" w:themeColor="text1"/>
        </w:rPr>
      </w:pPr>
      <w:r w:rsidRPr="00A567F2">
        <w:rPr>
          <w:color w:val="000000" w:themeColor="text1"/>
        </w:rPr>
        <w:t xml:space="preserve">Table </w:t>
      </w:r>
      <w:r w:rsidR="006C2E65" w:rsidRPr="00A567F2">
        <w:rPr>
          <w:color w:val="000000" w:themeColor="text1"/>
        </w:rPr>
        <w:t>2</w:t>
      </w:r>
      <w:r w:rsidRPr="00A567F2">
        <w:rPr>
          <w:color w:val="000000" w:themeColor="text1"/>
        </w:rPr>
        <w:t xml:space="preserve">. Mean and standard deviation for explicit preference score. </w:t>
      </w:r>
      <w:r w:rsidR="00772E16" w:rsidRPr="00A567F2">
        <w:rPr>
          <w:color w:val="000000" w:themeColor="text1"/>
        </w:rPr>
        <w:t xml:space="preserve">Higher </w:t>
      </w:r>
      <w:r w:rsidRPr="00A567F2">
        <w:rPr>
          <w:color w:val="000000" w:themeColor="text1"/>
        </w:rPr>
        <w:t xml:space="preserve">scores represent increased healthy choices.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67F2" w:rsidRPr="00A567F2" w14:paraId="0567E11C" w14:textId="77777777" w:rsidTr="009B4A42">
        <w:trPr>
          <w:trHeight w:val="283"/>
        </w:trPr>
        <w:tc>
          <w:tcPr>
            <w:tcW w:w="4505" w:type="dxa"/>
            <w:tcBorders>
              <w:top w:val="single" w:sz="4" w:space="0" w:color="auto"/>
              <w:bottom w:val="single" w:sz="4" w:space="0" w:color="auto"/>
            </w:tcBorders>
          </w:tcPr>
          <w:p w14:paraId="787F3DFA" w14:textId="77777777" w:rsidR="00015F12" w:rsidRPr="00A567F2" w:rsidRDefault="00015F12" w:rsidP="00216EE5">
            <w:pPr>
              <w:spacing w:line="480" w:lineRule="auto"/>
              <w:rPr>
                <w:color w:val="000000" w:themeColor="text1"/>
              </w:rPr>
            </w:pPr>
            <w:r w:rsidRPr="00A567F2">
              <w:rPr>
                <w:color w:val="000000" w:themeColor="text1"/>
              </w:rPr>
              <w:t>Condition</w:t>
            </w:r>
          </w:p>
        </w:tc>
        <w:tc>
          <w:tcPr>
            <w:tcW w:w="4505" w:type="dxa"/>
            <w:tcBorders>
              <w:top w:val="single" w:sz="4" w:space="0" w:color="auto"/>
              <w:bottom w:val="single" w:sz="4" w:space="0" w:color="auto"/>
            </w:tcBorders>
          </w:tcPr>
          <w:p w14:paraId="4479881F" w14:textId="77777777" w:rsidR="00015F12" w:rsidRPr="00A567F2" w:rsidRDefault="00015F12" w:rsidP="00216EE5">
            <w:pPr>
              <w:spacing w:line="480" w:lineRule="auto"/>
              <w:rPr>
                <w:color w:val="000000" w:themeColor="text1"/>
              </w:rPr>
            </w:pPr>
            <w:r w:rsidRPr="00A567F2">
              <w:rPr>
                <w:color w:val="000000" w:themeColor="text1"/>
              </w:rPr>
              <w:t>Mean explicit preference (</w:t>
            </w:r>
            <w:r w:rsidRPr="00A567F2">
              <w:rPr>
                <w:color w:val="000000" w:themeColor="text1"/>
                <w:shd w:val="clear" w:color="auto" w:fill="FFFFFF"/>
              </w:rPr>
              <w:t>±</w:t>
            </w:r>
            <w:r w:rsidRPr="00A567F2">
              <w:rPr>
                <w:color w:val="000000" w:themeColor="text1"/>
              </w:rPr>
              <w:t xml:space="preserve"> SD)</w:t>
            </w:r>
          </w:p>
        </w:tc>
      </w:tr>
      <w:tr w:rsidR="00A567F2" w:rsidRPr="00A567F2" w14:paraId="4855FEF6" w14:textId="77777777" w:rsidTr="009B4A42">
        <w:trPr>
          <w:trHeight w:val="386"/>
        </w:trPr>
        <w:tc>
          <w:tcPr>
            <w:tcW w:w="4505" w:type="dxa"/>
            <w:tcBorders>
              <w:top w:val="single" w:sz="4" w:space="0" w:color="auto"/>
              <w:bottom w:val="nil"/>
            </w:tcBorders>
          </w:tcPr>
          <w:p w14:paraId="7D33AC76" w14:textId="77777777" w:rsidR="00015F12" w:rsidRPr="00A567F2" w:rsidRDefault="00015F12" w:rsidP="00216EE5">
            <w:pPr>
              <w:spacing w:line="480" w:lineRule="auto"/>
              <w:rPr>
                <w:color w:val="000000" w:themeColor="text1"/>
              </w:rPr>
            </w:pPr>
            <w:r w:rsidRPr="00A567F2">
              <w:rPr>
                <w:color w:val="000000" w:themeColor="text1"/>
              </w:rPr>
              <w:t>25% Inhibition Unhealthy</w:t>
            </w:r>
          </w:p>
        </w:tc>
        <w:tc>
          <w:tcPr>
            <w:tcW w:w="4505" w:type="dxa"/>
            <w:tcBorders>
              <w:top w:val="single" w:sz="4" w:space="0" w:color="auto"/>
              <w:bottom w:val="nil"/>
            </w:tcBorders>
            <w:vAlign w:val="center"/>
          </w:tcPr>
          <w:p w14:paraId="426C1B09" w14:textId="77777777" w:rsidR="00015F12" w:rsidRPr="00A567F2" w:rsidRDefault="00015F12" w:rsidP="00216EE5">
            <w:pPr>
              <w:spacing w:line="480" w:lineRule="auto"/>
              <w:ind w:left="-77" w:firstLine="77"/>
              <w:rPr>
                <w:color w:val="000000" w:themeColor="text1"/>
              </w:rPr>
            </w:pPr>
            <w:r w:rsidRPr="00A567F2">
              <w:rPr>
                <w:color w:val="000000" w:themeColor="text1"/>
              </w:rPr>
              <w:t>0.91 (0.60)</w:t>
            </w:r>
          </w:p>
        </w:tc>
      </w:tr>
      <w:tr w:rsidR="00A567F2" w:rsidRPr="00A567F2" w14:paraId="740FFDA1" w14:textId="77777777" w:rsidTr="0031530E">
        <w:trPr>
          <w:trHeight w:val="386"/>
        </w:trPr>
        <w:tc>
          <w:tcPr>
            <w:tcW w:w="4505" w:type="dxa"/>
            <w:tcBorders>
              <w:top w:val="nil"/>
              <w:bottom w:val="nil"/>
            </w:tcBorders>
          </w:tcPr>
          <w:p w14:paraId="26230347" w14:textId="77777777" w:rsidR="00015F12" w:rsidRPr="00A567F2" w:rsidRDefault="00015F12" w:rsidP="00216EE5">
            <w:pPr>
              <w:spacing w:line="480" w:lineRule="auto"/>
              <w:rPr>
                <w:color w:val="000000" w:themeColor="text1"/>
              </w:rPr>
            </w:pPr>
            <w:r w:rsidRPr="00A567F2">
              <w:rPr>
                <w:color w:val="000000" w:themeColor="text1"/>
              </w:rPr>
              <w:t>50% Inhibition Unhealthy</w:t>
            </w:r>
          </w:p>
        </w:tc>
        <w:tc>
          <w:tcPr>
            <w:tcW w:w="4505" w:type="dxa"/>
            <w:tcBorders>
              <w:top w:val="nil"/>
              <w:bottom w:val="nil"/>
            </w:tcBorders>
            <w:vAlign w:val="center"/>
          </w:tcPr>
          <w:p w14:paraId="28418174" w14:textId="77777777" w:rsidR="00015F12" w:rsidRPr="00A567F2" w:rsidRDefault="00015F12" w:rsidP="00216EE5">
            <w:pPr>
              <w:spacing w:line="480" w:lineRule="auto"/>
              <w:rPr>
                <w:color w:val="000000" w:themeColor="text1"/>
              </w:rPr>
            </w:pPr>
            <w:r w:rsidRPr="00A567F2">
              <w:rPr>
                <w:color w:val="000000" w:themeColor="text1"/>
              </w:rPr>
              <w:t>0.82 (0.63)</w:t>
            </w:r>
          </w:p>
        </w:tc>
      </w:tr>
      <w:tr w:rsidR="00A567F2" w:rsidRPr="00A567F2" w14:paraId="5517565D" w14:textId="77777777" w:rsidTr="0031530E">
        <w:trPr>
          <w:trHeight w:val="386"/>
        </w:trPr>
        <w:tc>
          <w:tcPr>
            <w:tcW w:w="4505" w:type="dxa"/>
            <w:tcBorders>
              <w:top w:val="nil"/>
              <w:bottom w:val="nil"/>
            </w:tcBorders>
          </w:tcPr>
          <w:p w14:paraId="2481F610" w14:textId="77777777" w:rsidR="00015F12" w:rsidRPr="00A567F2" w:rsidRDefault="00015F12" w:rsidP="00216EE5">
            <w:pPr>
              <w:spacing w:line="480" w:lineRule="auto"/>
              <w:rPr>
                <w:color w:val="000000" w:themeColor="text1"/>
              </w:rPr>
            </w:pPr>
            <w:r w:rsidRPr="00A567F2">
              <w:rPr>
                <w:color w:val="000000" w:themeColor="text1"/>
              </w:rPr>
              <w:t>75% Inhibition Unhealthy</w:t>
            </w:r>
          </w:p>
        </w:tc>
        <w:tc>
          <w:tcPr>
            <w:tcW w:w="4505" w:type="dxa"/>
            <w:tcBorders>
              <w:top w:val="nil"/>
              <w:bottom w:val="nil"/>
            </w:tcBorders>
            <w:vAlign w:val="center"/>
          </w:tcPr>
          <w:p w14:paraId="28C97EEF" w14:textId="77777777" w:rsidR="00015F12" w:rsidRPr="00A567F2" w:rsidRDefault="00015F12" w:rsidP="00216EE5">
            <w:pPr>
              <w:spacing w:line="480" w:lineRule="auto"/>
              <w:rPr>
                <w:color w:val="000000" w:themeColor="text1"/>
              </w:rPr>
            </w:pPr>
            <w:r w:rsidRPr="00A567F2">
              <w:rPr>
                <w:color w:val="000000" w:themeColor="text1"/>
              </w:rPr>
              <w:t>1.00 (0.68)</w:t>
            </w:r>
          </w:p>
        </w:tc>
      </w:tr>
      <w:tr w:rsidR="00015F12" w:rsidRPr="00A567F2" w14:paraId="1E2347E7" w14:textId="77777777" w:rsidTr="0031530E">
        <w:trPr>
          <w:trHeight w:val="386"/>
        </w:trPr>
        <w:tc>
          <w:tcPr>
            <w:tcW w:w="4505" w:type="dxa"/>
            <w:tcBorders>
              <w:top w:val="nil"/>
              <w:bottom w:val="single" w:sz="4" w:space="0" w:color="auto"/>
            </w:tcBorders>
          </w:tcPr>
          <w:p w14:paraId="7B5908D2" w14:textId="77777777" w:rsidR="00015F12" w:rsidRPr="00A567F2" w:rsidRDefault="00015F12" w:rsidP="00216EE5">
            <w:pPr>
              <w:spacing w:line="480" w:lineRule="auto"/>
              <w:rPr>
                <w:color w:val="000000" w:themeColor="text1"/>
              </w:rPr>
            </w:pPr>
            <w:r w:rsidRPr="00A567F2">
              <w:rPr>
                <w:color w:val="000000" w:themeColor="text1"/>
              </w:rPr>
              <w:t>100% Inhibition Unhealthy</w:t>
            </w:r>
          </w:p>
        </w:tc>
        <w:tc>
          <w:tcPr>
            <w:tcW w:w="4505" w:type="dxa"/>
            <w:tcBorders>
              <w:top w:val="nil"/>
              <w:bottom w:val="single" w:sz="4" w:space="0" w:color="auto"/>
            </w:tcBorders>
            <w:vAlign w:val="center"/>
          </w:tcPr>
          <w:p w14:paraId="21B454BB" w14:textId="77777777" w:rsidR="00015F12" w:rsidRPr="00A567F2" w:rsidRDefault="00015F12" w:rsidP="00216EE5">
            <w:pPr>
              <w:spacing w:line="480" w:lineRule="auto"/>
              <w:rPr>
                <w:color w:val="000000" w:themeColor="text1"/>
              </w:rPr>
            </w:pPr>
            <w:r w:rsidRPr="00A567F2">
              <w:rPr>
                <w:color w:val="000000" w:themeColor="text1"/>
              </w:rPr>
              <w:t>0.94 (0.73)</w:t>
            </w:r>
          </w:p>
        </w:tc>
      </w:tr>
    </w:tbl>
    <w:p w14:paraId="499AA9EF" w14:textId="7F484554" w:rsidR="00C7132E" w:rsidRPr="00A567F2" w:rsidRDefault="00C7132E" w:rsidP="00B24B71">
      <w:pPr>
        <w:spacing w:line="480" w:lineRule="auto"/>
        <w:rPr>
          <w:rFonts w:ascii="Times" w:hAnsi="Times"/>
          <w:color w:val="000000" w:themeColor="text1"/>
        </w:rPr>
      </w:pPr>
    </w:p>
    <w:p w14:paraId="1298AFF7" w14:textId="0483B12F" w:rsidR="00497E1D" w:rsidRPr="00A567F2" w:rsidRDefault="00A24B9A" w:rsidP="00B24B71">
      <w:pPr>
        <w:spacing w:line="480" w:lineRule="auto"/>
        <w:rPr>
          <w:rFonts w:ascii="Times" w:hAnsi="Times"/>
          <w:i/>
          <w:color w:val="000000" w:themeColor="text1"/>
        </w:rPr>
      </w:pPr>
      <w:r w:rsidRPr="00A567F2">
        <w:rPr>
          <w:rFonts w:ascii="Times" w:hAnsi="Times"/>
          <w:i/>
          <w:color w:val="000000" w:themeColor="text1"/>
        </w:rPr>
        <w:t>2.2.3</w:t>
      </w:r>
      <w:r w:rsidR="00A859B9" w:rsidRPr="00A567F2">
        <w:rPr>
          <w:rFonts w:ascii="Times" w:hAnsi="Times"/>
          <w:i/>
          <w:color w:val="000000" w:themeColor="text1"/>
        </w:rPr>
        <w:t xml:space="preserve">. </w:t>
      </w:r>
      <w:r w:rsidR="00497E1D" w:rsidRPr="00A567F2">
        <w:rPr>
          <w:rFonts w:ascii="Times" w:hAnsi="Times"/>
          <w:i/>
          <w:color w:val="000000" w:themeColor="text1"/>
        </w:rPr>
        <w:t>Supplementary materials</w:t>
      </w:r>
    </w:p>
    <w:p w14:paraId="7E87697C" w14:textId="4925FEF3" w:rsidR="00497E1D" w:rsidRPr="00A567F2" w:rsidRDefault="00497E1D" w:rsidP="00B24B71">
      <w:pPr>
        <w:spacing w:line="480" w:lineRule="auto"/>
        <w:rPr>
          <w:rFonts w:ascii="Times" w:hAnsi="Times"/>
          <w:color w:val="000000" w:themeColor="text1"/>
        </w:rPr>
      </w:pPr>
      <w:r w:rsidRPr="00A567F2">
        <w:rPr>
          <w:rFonts w:ascii="Times" w:hAnsi="Times"/>
          <w:color w:val="000000" w:themeColor="text1"/>
        </w:rPr>
        <w:tab/>
        <w:t>We conducted a number of supplementary analyses, which we briefly summarise here. First, we generated Bayes factors for our hypothesis tests</w:t>
      </w:r>
      <w:r w:rsidR="00263502" w:rsidRPr="00A567F2">
        <w:rPr>
          <w:rFonts w:ascii="Times" w:hAnsi="Times"/>
          <w:color w:val="000000" w:themeColor="text1"/>
        </w:rPr>
        <w:t xml:space="preserve"> which</w:t>
      </w:r>
      <w:r w:rsidRPr="00A567F2">
        <w:rPr>
          <w:rFonts w:ascii="Times" w:hAnsi="Times"/>
          <w:color w:val="000000" w:themeColor="text1"/>
        </w:rPr>
        <w:t xml:space="preserve"> were broadly supportive of the Null Hypothesis (BF</w:t>
      </w:r>
      <w:r w:rsidRPr="00A567F2">
        <w:rPr>
          <w:rFonts w:ascii="Times" w:hAnsi="Times"/>
          <w:color w:val="000000" w:themeColor="text1"/>
          <w:vertAlign w:val="superscript"/>
        </w:rPr>
        <w:t>01</w:t>
      </w:r>
      <w:r w:rsidRPr="00A567F2">
        <w:rPr>
          <w:rFonts w:ascii="Times" w:hAnsi="Times"/>
          <w:color w:val="000000" w:themeColor="text1"/>
        </w:rPr>
        <w:t xml:space="preserve">s &gt; </w:t>
      </w:r>
      <w:r w:rsidR="00BB42BC" w:rsidRPr="00A567F2">
        <w:rPr>
          <w:color w:val="000000" w:themeColor="text1"/>
        </w:rPr>
        <w:t>5.27</w:t>
      </w:r>
      <w:r w:rsidRPr="00A567F2">
        <w:rPr>
          <w:color w:val="000000" w:themeColor="text1"/>
        </w:rPr>
        <w:t xml:space="preserve">). Second, we demonstrated that the effects of ICT did not </w:t>
      </w:r>
      <w:r w:rsidR="0026301C" w:rsidRPr="00A567F2">
        <w:rPr>
          <w:color w:val="000000" w:themeColor="text1"/>
        </w:rPr>
        <w:t xml:space="preserve">differ based upon image novelty </w:t>
      </w:r>
      <w:r w:rsidR="00E43C67" w:rsidRPr="00A567F2">
        <w:rPr>
          <w:color w:val="000000" w:themeColor="text1"/>
        </w:rPr>
        <w:t>(trained vs. non-trained images)</w:t>
      </w:r>
      <w:r w:rsidRPr="00A567F2">
        <w:rPr>
          <w:color w:val="000000" w:themeColor="text1"/>
        </w:rPr>
        <w:t xml:space="preserve">. Third, we </w:t>
      </w:r>
      <w:r w:rsidR="00FB6999" w:rsidRPr="00A567F2">
        <w:rPr>
          <w:color w:val="000000" w:themeColor="text1"/>
        </w:rPr>
        <w:t>categorised</w:t>
      </w:r>
      <w:r w:rsidRPr="00A567F2">
        <w:rPr>
          <w:color w:val="000000" w:themeColor="text1"/>
        </w:rPr>
        <w:t xml:space="preserve"> 33 participants as being aware of the experimental aims. Removal of these participants did not </w:t>
      </w:r>
      <w:r w:rsidR="00FB6999" w:rsidRPr="00A567F2">
        <w:rPr>
          <w:color w:val="000000" w:themeColor="text1"/>
        </w:rPr>
        <w:t xml:space="preserve">meaningfully change our results. </w:t>
      </w:r>
    </w:p>
    <w:p w14:paraId="400F7430" w14:textId="77777777" w:rsidR="00497E1D" w:rsidRPr="00A567F2" w:rsidRDefault="00497E1D" w:rsidP="00B24B71">
      <w:pPr>
        <w:spacing w:line="480" w:lineRule="auto"/>
        <w:rPr>
          <w:rFonts w:ascii="Times" w:hAnsi="Times"/>
          <w:color w:val="000000" w:themeColor="text1"/>
        </w:rPr>
      </w:pPr>
    </w:p>
    <w:p w14:paraId="1ADA00DE" w14:textId="4B3102C8" w:rsidR="00F51A2F" w:rsidRPr="00A567F2" w:rsidRDefault="00A24B9A" w:rsidP="002D7EFE">
      <w:pPr>
        <w:spacing w:line="480" w:lineRule="auto"/>
        <w:jc w:val="center"/>
        <w:rPr>
          <w:rFonts w:ascii="Times" w:hAnsi="Times"/>
          <w:b/>
          <w:color w:val="000000" w:themeColor="text1"/>
        </w:rPr>
      </w:pPr>
      <w:r w:rsidRPr="00A567F2">
        <w:rPr>
          <w:rFonts w:ascii="Times" w:hAnsi="Times"/>
          <w:b/>
          <w:color w:val="000000" w:themeColor="text1"/>
        </w:rPr>
        <w:t xml:space="preserve">2.3. </w:t>
      </w:r>
      <w:r w:rsidR="00F51A2F" w:rsidRPr="00A567F2">
        <w:rPr>
          <w:rFonts w:ascii="Times" w:hAnsi="Times"/>
          <w:b/>
          <w:color w:val="000000" w:themeColor="text1"/>
        </w:rPr>
        <w:t>Interim summary</w:t>
      </w:r>
    </w:p>
    <w:p w14:paraId="25D155CF" w14:textId="3209FBEA" w:rsidR="00F51A2F" w:rsidRPr="00A567F2" w:rsidRDefault="00F51A2F" w:rsidP="000627A5">
      <w:pPr>
        <w:spacing w:line="480" w:lineRule="auto"/>
        <w:ind w:firstLine="720"/>
        <w:rPr>
          <w:rFonts w:ascii="Times" w:hAnsi="Times"/>
          <w:bCs/>
          <w:color w:val="000000" w:themeColor="text1"/>
        </w:rPr>
      </w:pPr>
      <w:r w:rsidRPr="00A567F2">
        <w:rPr>
          <w:rFonts w:ascii="Times" w:hAnsi="Times"/>
          <w:bCs/>
          <w:color w:val="000000" w:themeColor="text1"/>
        </w:rPr>
        <w:t>Varying the healthy food cue-inhibition contingencies during an online Inhibitory Control Training task did not significantly</w:t>
      </w:r>
      <w:r w:rsidR="00166BD6" w:rsidRPr="00A567F2">
        <w:rPr>
          <w:rFonts w:ascii="Times" w:hAnsi="Times"/>
          <w:bCs/>
          <w:color w:val="000000" w:themeColor="text1"/>
        </w:rPr>
        <w:t xml:space="preserve"> influence </w:t>
      </w:r>
      <w:r w:rsidRPr="00A567F2">
        <w:rPr>
          <w:rFonts w:ascii="Times" w:hAnsi="Times"/>
          <w:bCs/>
          <w:color w:val="000000" w:themeColor="text1"/>
        </w:rPr>
        <w:t xml:space="preserve">commonly used outcome measures of stimulus value and food choice. These findings </w:t>
      </w:r>
      <w:r w:rsidR="00732AD0" w:rsidRPr="00A567F2">
        <w:rPr>
          <w:rFonts w:ascii="Times" w:hAnsi="Times"/>
          <w:bCs/>
          <w:color w:val="000000" w:themeColor="text1"/>
        </w:rPr>
        <w:t>raise questions in relation to the</w:t>
      </w:r>
      <w:r w:rsidRPr="00A567F2">
        <w:rPr>
          <w:rFonts w:ascii="Times" w:hAnsi="Times"/>
          <w:bCs/>
          <w:color w:val="000000" w:themeColor="text1"/>
        </w:rPr>
        <w:t xml:space="preserve"> effectiveness of ICT delivered online (see also </w:t>
      </w:r>
      <w:r w:rsidR="008B2CBC" w:rsidRPr="00A567F2">
        <w:rPr>
          <w:rFonts w:ascii="Times" w:hAnsi="Times"/>
          <w:bCs/>
          <w:color w:val="000000" w:themeColor="text1"/>
        </w:rPr>
        <w:t>Wiers</w:t>
      </w:r>
      <w:r w:rsidR="00C575C2" w:rsidRPr="00A567F2">
        <w:rPr>
          <w:rFonts w:ascii="Times" w:hAnsi="Times"/>
          <w:bCs/>
          <w:color w:val="000000" w:themeColor="text1"/>
        </w:rPr>
        <w:t xml:space="preserve"> et al.</w:t>
      </w:r>
      <w:r w:rsidR="00A724F4" w:rsidRPr="00A567F2">
        <w:rPr>
          <w:rFonts w:ascii="Times" w:hAnsi="Times"/>
          <w:bCs/>
          <w:color w:val="000000" w:themeColor="text1"/>
        </w:rPr>
        <w:t>, 2018</w:t>
      </w:r>
      <w:r w:rsidRPr="00A567F2">
        <w:rPr>
          <w:rFonts w:ascii="Times" w:hAnsi="Times"/>
          <w:bCs/>
          <w:color w:val="000000" w:themeColor="text1"/>
        </w:rPr>
        <w:t xml:space="preserve">), when targeting </w:t>
      </w:r>
      <w:r w:rsidR="00BA74CA" w:rsidRPr="00A567F2">
        <w:rPr>
          <w:rFonts w:ascii="Times" w:hAnsi="Times"/>
          <w:bCs/>
          <w:color w:val="000000" w:themeColor="text1"/>
        </w:rPr>
        <w:t>food value or choice</w:t>
      </w:r>
      <w:r w:rsidRPr="00A567F2">
        <w:rPr>
          <w:rFonts w:ascii="Times" w:hAnsi="Times"/>
          <w:bCs/>
          <w:color w:val="000000" w:themeColor="text1"/>
        </w:rPr>
        <w:t xml:space="preserve">. </w:t>
      </w:r>
    </w:p>
    <w:p w14:paraId="041B771A" w14:textId="77777777" w:rsidR="000627A5" w:rsidRPr="00A567F2" w:rsidRDefault="000627A5" w:rsidP="000627A5">
      <w:pPr>
        <w:spacing w:line="480" w:lineRule="auto"/>
        <w:ind w:firstLine="720"/>
        <w:rPr>
          <w:rFonts w:ascii="Times" w:hAnsi="Times"/>
          <w:bCs/>
          <w:color w:val="000000" w:themeColor="text1"/>
        </w:rPr>
      </w:pPr>
    </w:p>
    <w:p w14:paraId="4D760313" w14:textId="3244A107" w:rsidR="00C7132E" w:rsidRPr="00A567F2" w:rsidRDefault="00A24B9A" w:rsidP="002D7EFE">
      <w:pPr>
        <w:spacing w:line="480" w:lineRule="auto"/>
        <w:jc w:val="center"/>
        <w:rPr>
          <w:rFonts w:ascii="Times" w:hAnsi="Times"/>
          <w:b/>
          <w:color w:val="000000" w:themeColor="text1"/>
        </w:rPr>
      </w:pPr>
      <w:r w:rsidRPr="00A567F2">
        <w:rPr>
          <w:rFonts w:ascii="Times" w:hAnsi="Times"/>
          <w:b/>
          <w:color w:val="000000" w:themeColor="text1"/>
        </w:rPr>
        <w:t xml:space="preserve">3. </w:t>
      </w:r>
      <w:r w:rsidR="00C7132E" w:rsidRPr="00A567F2">
        <w:rPr>
          <w:rFonts w:ascii="Times" w:hAnsi="Times"/>
          <w:b/>
          <w:color w:val="000000" w:themeColor="text1"/>
        </w:rPr>
        <w:t>Study 2</w:t>
      </w:r>
      <w:r w:rsidR="005F403C" w:rsidRPr="00A567F2">
        <w:rPr>
          <w:rFonts w:ascii="Times" w:hAnsi="Times"/>
          <w:b/>
          <w:color w:val="000000" w:themeColor="text1"/>
        </w:rPr>
        <w:t>:</w:t>
      </w:r>
      <w:r w:rsidR="00F51A2F" w:rsidRPr="00A567F2">
        <w:rPr>
          <w:rFonts w:ascii="Times" w:hAnsi="Times"/>
          <w:b/>
          <w:color w:val="000000" w:themeColor="text1"/>
        </w:rPr>
        <w:t xml:space="preserve"> Evaluative Conditioning</w:t>
      </w:r>
    </w:p>
    <w:p w14:paraId="7E66CF2A" w14:textId="50019B43" w:rsidR="00AB4106" w:rsidRPr="00A567F2" w:rsidRDefault="006F1F8A" w:rsidP="00BA74CA">
      <w:pPr>
        <w:pStyle w:val="NormalWeb"/>
        <w:spacing w:line="480" w:lineRule="auto"/>
        <w:ind w:firstLine="720"/>
        <w:rPr>
          <w:rFonts w:ascii="Times" w:hAnsi="Times"/>
          <w:color w:val="000000" w:themeColor="text1"/>
        </w:rPr>
      </w:pPr>
      <w:r w:rsidRPr="00A567F2">
        <w:rPr>
          <w:rFonts w:ascii="Times" w:hAnsi="Times"/>
          <w:color w:val="000000" w:themeColor="text1"/>
        </w:rPr>
        <w:t xml:space="preserve">While </w:t>
      </w:r>
      <w:r w:rsidR="00F61E78" w:rsidRPr="00A567F2">
        <w:rPr>
          <w:rFonts w:ascii="Times" w:hAnsi="Times"/>
          <w:color w:val="000000" w:themeColor="text1"/>
        </w:rPr>
        <w:t>evidence suggests that EC training can influence food preferences</w:t>
      </w:r>
      <w:r w:rsidR="00192C68" w:rsidRPr="00A567F2">
        <w:rPr>
          <w:rFonts w:ascii="Times" w:hAnsi="Times"/>
          <w:color w:val="000000" w:themeColor="text1"/>
        </w:rPr>
        <w:t xml:space="preserve"> and consumption, there are issues within the research area in relation to research design and the use of suitable control groups, with some inconsistent findings between </w:t>
      </w:r>
      <w:r w:rsidR="00BD43AA" w:rsidRPr="00A567F2">
        <w:rPr>
          <w:rFonts w:ascii="Times" w:hAnsi="Times"/>
          <w:color w:val="000000" w:themeColor="text1"/>
        </w:rPr>
        <w:t>studies</w:t>
      </w:r>
      <w:r w:rsidR="00192C68" w:rsidRPr="00A567F2">
        <w:rPr>
          <w:rFonts w:ascii="Times" w:hAnsi="Times"/>
          <w:color w:val="000000" w:themeColor="text1"/>
        </w:rPr>
        <w:t>. M</w:t>
      </w:r>
      <w:r w:rsidR="00893A1E" w:rsidRPr="00A567F2">
        <w:rPr>
          <w:rFonts w:ascii="Times" w:hAnsi="Times"/>
          <w:color w:val="000000" w:themeColor="text1"/>
        </w:rPr>
        <w:t xml:space="preserve">any </w:t>
      </w:r>
      <w:r w:rsidR="00F23BA6" w:rsidRPr="00A567F2">
        <w:rPr>
          <w:rFonts w:ascii="Times" w:hAnsi="Times"/>
          <w:color w:val="000000" w:themeColor="text1"/>
        </w:rPr>
        <w:t xml:space="preserve">EC </w:t>
      </w:r>
      <w:r w:rsidR="00893A1E" w:rsidRPr="00A567F2">
        <w:rPr>
          <w:rFonts w:ascii="Times" w:hAnsi="Times"/>
          <w:color w:val="000000" w:themeColor="text1"/>
        </w:rPr>
        <w:t xml:space="preserve">studies pair all images of unhealthy foods </w:t>
      </w:r>
      <w:r w:rsidR="00F23BA6" w:rsidRPr="00A567F2">
        <w:rPr>
          <w:rFonts w:ascii="Times" w:hAnsi="Times"/>
          <w:color w:val="000000" w:themeColor="text1"/>
        </w:rPr>
        <w:t>with negative outcome images, there is no research to identify the point at which t</w:t>
      </w:r>
      <w:r w:rsidR="00552043" w:rsidRPr="00A567F2">
        <w:rPr>
          <w:rFonts w:ascii="Times" w:hAnsi="Times"/>
          <w:color w:val="000000" w:themeColor="text1"/>
        </w:rPr>
        <w:t>raining effects begin to appear (or disappear)</w:t>
      </w:r>
      <w:r w:rsidR="00691FF8" w:rsidRPr="00A567F2">
        <w:rPr>
          <w:rFonts w:ascii="Times" w:hAnsi="Times"/>
          <w:color w:val="000000" w:themeColor="text1"/>
        </w:rPr>
        <w:t xml:space="preserve">. </w:t>
      </w:r>
      <w:r w:rsidR="00BC5928" w:rsidRPr="00A567F2">
        <w:rPr>
          <w:rFonts w:ascii="Times" w:hAnsi="Times"/>
          <w:color w:val="000000" w:themeColor="text1"/>
        </w:rPr>
        <w:t xml:space="preserve">Similarly to ICT, </w:t>
      </w:r>
      <w:r w:rsidR="00BA74CA" w:rsidRPr="00A567F2">
        <w:rPr>
          <w:rFonts w:ascii="Times" w:hAnsi="Times"/>
          <w:color w:val="000000" w:themeColor="text1"/>
        </w:rPr>
        <w:t>the majority of</w:t>
      </w:r>
      <w:r w:rsidR="00BC5928" w:rsidRPr="00A567F2">
        <w:rPr>
          <w:rFonts w:ascii="Times" w:hAnsi="Times"/>
          <w:color w:val="000000" w:themeColor="text1"/>
        </w:rPr>
        <w:t xml:space="preserve"> </w:t>
      </w:r>
      <w:r w:rsidR="00691FF8" w:rsidRPr="00A567F2">
        <w:rPr>
          <w:rFonts w:ascii="Times" w:hAnsi="Times"/>
          <w:color w:val="000000" w:themeColor="text1"/>
        </w:rPr>
        <w:t>EC research is conducted in laboratory settings</w:t>
      </w:r>
      <w:r w:rsidR="00E3142F" w:rsidRPr="00A567F2">
        <w:rPr>
          <w:rFonts w:ascii="Times" w:hAnsi="Times"/>
          <w:color w:val="000000" w:themeColor="text1"/>
        </w:rPr>
        <w:t>, therefore the application of EC interventions to real world contexts is relatively understudied.</w:t>
      </w:r>
      <w:r w:rsidR="00C159FF" w:rsidRPr="00A567F2">
        <w:rPr>
          <w:rFonts w:ascii="Times" w:hAnsi="Times"/>
          <w:color w:val="000000" w:themeColor="text1"/>
        </w:rPr>
        <w:t xml:space="preserve"> While EC training focuses on the development of associations between target stimuli, previous research has demonstrated that EC training outcomes were m</w:t>
      </w:r>
      <w:r w:rsidR="00957B35" w:rsidRPr="00A567F2">
        <w:rPr>
          <w:rFonts w:ascii="Times" w:hAnsi="Times"/>
          <w:color w:val="000000" w:themeColor="text1"/>
        </w:rPr>
        <w:t>oderated by state</w:t>
      </w:r>
      <w:r w:rsidR="00C159FF" w:rsidRPr="00A567F2">
        <w:rPr>
          <w:rFonts w:ascii="Times" w:hAnsi="Times"/>
          <w:color w:val="000000" w:themeColor="text1"/>
        </w:rPr>
        <w:t xml:space="preserve"> inhibitory control (Haynes et al., 2015)</w:t>
      </w:r>
      <w:r w:rsidR="00991047" w:rsidRPr="00A567F2">
        <w:rPr>
          <w:rFonts w:ascii="Times" w:hAnsi="Times"/>
          <w:color w:val="000000" w:themeColor="text1"/>
        </w:rPr>
        <w:t>.</w:t>
      </w:r>
      <w:r w:rsidR="00E3142F" w:rsidRPr="00A567F2">
        <w:rPr>
          <w:rFonts w:ascii="Times" w:hAnsi="Times"/>
          <w:color w:val="000000" w:themeColor="text1"/>
        </w:rPr>
        <w:t xml:space="preserve"> The aim of the second study is to investigate how the number of critical pairings in EC influences training effectiveness, which will inform future study and intervention design. </w:t>
      </w:r>
      <w:r w:rsidR="005F403C" w:rsidRPr="00A567F2">
        <w:rPr>
          <w:rFonts w:ascii="Times" w:hAnsi="Times"/>
          <w:color w:val="000000" w:themeColor="text1"/>
        </w:rPr>
        <w:t xml:space="preserve">We hypothesised that: i) </w:t>
      </w:r>
      <w:r w:rsidR="005F403C" w:rsidRPr="00A567F2">
        <w:rPr>
          <w:color w:val="000000" w:themeColor="text1"/>
        </w:rPr>
        <w:t>Participants who experience unhealthy food images paired with 100% negative images will show gre</w:t>
      </w:r>
      <w:r w:rsidR="00C33FE2" w:rsidRPr="00A567F2">
        <w:rPr>
          <w:color w:val="000000" w:themeColor="text1"/>
        </w:rPr>
        <w:t xml:space="preserve">ater changes in food value post </w:t>
      </w:r>
      <w:r w:rsidR="005F403C" w:rsidRPr="00A567F2">
        <w:rPr>
          <w:color w:val="000000" w:themeColor="text1"/>
        </w:rPr>
        <w:t>training compared to those where unhealthy stimuli are paired with fewer negative images (75%, 50% and 25%)), ii) Participants who experience unhealthy food images paired with 100% negative images will make healthier explicit food choices post training compared to those where unhealthy stimuli are paired with fewer negative images (75%, 50% and 25%), iii) Participants with lower levels of inhibitory control pre-study will benefit more from food based evaluative conditioning online training</w:t>
      </w:r>
    </w:p>
    <w:p w14:paraId="5BB6782A" w14:textId="77777777" w:rsidR="005F220F" w:rsidRPr="00A567F2" w:rsidRDefault="005F220F" w:rsidP="005F220F">
      <w:pPr>
        <w:spacing w:line="480" w:lineRule="auto"/>
        <w:rPr>
          <w:b/>
          <w:color w:val="000000" w:themeColor="text1"/>
        </w:rPr>
      </w:pPr>
    </w:p>
    <w:p w14:paraId="7157B268" w14:textId="3222626A" w:rsidR="005F220F" w:rsidRPr="00A567F2" w:rsidRDefault="002D7EFE" w:rsidP="002D7EFE">
      <w:pPr>
        <w:spacing w:line="480" w:lineRule="auto"/>
        <w:jc w:val="center"/>
        <w:rPr>
          <w:b/>
          <w:color w:val="000000" w:themeColor="text1"/>
        </w:rPr>
      </w:pPr>
      <w:r w:rsidRPr="00A567F2">
        <w:rPr>
          <w:b/>
          <w:color w:val="000000" w:themeColor="text1"/>
        </w:rPr>
        <w:t xml:space="preserve">3.1. </w:t>
      </w:r>
      <w:r w:rsidR="005F220F" w:rsidRPr="00A567F2">
        <w:rPr>
          <w:b/>
          <w:color w:val="000000" w:themeColor="text1"/>
        </w:rPr>
        <w:t>Method</w:t>
      </w:r>
    </w:p>
    <w:p w14:paraId="4C643D70" w14:textId="15BB4811" w:rsidR="005F220F" w:rsidRPr="00A567F2" w:rsidRDefault="00B56DC9" w:rsidP="005F220F">
      <w:pPr>
        <w:pStyle w:val="p1"/>
        <w:spacing w:line="480" w:lineRule="auto"/>
        <w:rPr>
          <w:rFonts w:ascii="Times New Roman" w:hAnsi="Times New Roman"/>
          <w:i/>
          <w:color w:val="000000" w:themeColor="text1"/>
          <w:sz w:val="24"/>
          <w:szCs w:val="24"/>
        </w:rPr>
      </w:pPr>
      <w:r w:rsidRPr="00A567F2">
        <w:rPr>
          <w:rFonts w:ascii="Times New Roman" w:hAnsi="Times New Roman"/>
          <w:i/>
          <w:color w:val="000000" w:themeColor="text1"/>
          <w:sz w:val="24"/>
          <w:szCs w:val="24"/>
        </w:rPr>
        <w:t xml:space="preserve">3.1.1. </w:t>
      </w:r>
      <w:r w:rsidR="005F220F" w:rsidRPr="00A567F2">
        <w:rPr>
          <w:rFonts w:ascii="Times New Roman" w:hAnsi="Times New Roman"/>
          <w:i/>
          <w:color w:val="000000" w:themeColor="text1"/>
          <w:sz w:val="24"/>
          <w:szCs w:val="24"/>
        </w:rPr>
        <w:t>Participants</w:t>
      </w:r>
    </w:p>
    <w:p w14:paraId="3C95BCB1" w14:textId="0D40B3A3" w:rsidR="005F220F" w:rsidRPr="00A567F2" w:rsidRDefault="005F220F" w:rsidP="005F220F">
      <w:pPr>
        <w:spacing w:line="480" w:lineRule="auto"/>
        <w:rPr>
          <w:color w:val="000000" w:themeColor="text1"/>
        </w:rPr>
      </w:pPr>
      <w:r w:rsidRPr="00A567F2">
        <w:rPr>
          <w:color w:val="000000" w:themeColor="text1"/>
        </w:rPr>
        <w:lastRenderedPageBreak/>
        <w:t>Three hundred participants aged between 18 and 70 completed an online study (</w:t>
      </w:r>
      <w:r w:rsidRPr="00A567F2">
        <w:rPr>
          <w:i/>
          <w:color w:val="000000" w:themeColor="text1"/>
        </w:rPr>
        <w:t xml:space="preserve">M </w:t>
      </w:r>
      <w:r w:rsidRPr="00A567F2">
        <w:rPr>
          <w:color w:val="000000" w:themeColor="text1"/>
        </w:rPr>
        <w:t xml:space="preserve">= 32.09. ±10.58). </w:t>
      </w:r>
      <w:r w:rsidR="00F51A2F" w:rsidRPr="00A567F2">
        <w:rPr>
          <w:color w:val="000000" w:themeColor="text1"/>
        </w:rPr>
        <w:t xml:space="preserve">One-hundred and </w:t>
      </w:r>
      <w:r w:rsidR="00D27869" w:rsidRPr="00A567F2">
        <w:rPr>
          <w:color w:val="000000" w:themeColor="text1"/>
        </w:rPr>
        <w:t>thirty-eight</w:t>
      </w:r>
      <w:r w:rsidR="00F51A2F" w:rsidRPr="00A567F2">
        <w:rPr>
          <w:color w:val="000000" w:themeColor="text1"/>
        </w:rPr>
        <w:t xml:space="preserve"> </w:t>
      </w:r>
      <w:r w:rsidRPr="00A567F2">
        <w:rPr>
          <w:color w:val="000000" w:themeColor="text1"/>
        </w:rPr>
        <w:t>were female (</w:t>
      </w:r>
      <w:r w:rsidRPr="00A567F2">
        <w:rPr>
          <w:i/>
          <w:color w:val="000000" w:themeColor="text1"/>
        </w:rPr>
        <w:t>M</w:t>
      </w:r>
      <w:r w:rsidR="000E1EA3" w:rsidRPr="00A567F2">
        <w:rPr>
          <w:i/>
          <w:color w:val="000000" w:themeColor="text1"/>
          <w:vertAlign w:val="subscript"/>
        </w:rPr>
        <w:t>age</w:t>
      </w:r>
      <w:r w:rsidR="00C05E9D" w:rsidRPr="00A567F2">
        <w:rPr>
          <w:color w:val="000000" w:themeColor="text1"/>
        </w:rPr>
        <w:t xml:space="preserve"> = 33.69</w:t>
      </w:r>
      <w:r w:rsidR="00B93CA7" w:rsidRPr="00A567F2">
        <w:rPr>
          <w:color w:val="000000" w:themeColor="text1"/>
        </w:rPr>
        <w:t xml:space="preserve"> ±11.45</w:t>
      </w:r>
      <w:r w:rsidRPr="00A567F2">
        <w:rPr>
          <w:color w:val="000000" w:themeColor="text1"/>
        </w:rPr>
        <w:t>) and 162 were male (</w:t>
      </w:r>
      <w:r w:rsidRPr="00A567F2">
        <w:rPr>
          <w:i/>
          <w:color w:val="000000" w:themeColor="text1"/>
        </w:rPr>
        <w:t>M</w:t>
      </w:r>
      <w:r w:rsidR="000E1EA3" w:rsidRPr="00A567F2">
        <w:rPr>
          <w:i/>
          <w:color w:val="000000" w:themeColor="text1"/>
          <w:vertAlign w:val="subscript"/>
        </w:rPr>
        <w:t>age</w:t>
      </w:r>
      <w:r w:rsidR="004D206B" w:rsidRPr="00A567F2">
        <w:rPr>
          <w:color w:val="000000" w:themeColor="text1"/>
        </w:rPr>
        <w:t xml:space="preserve"> = 30.81 ± 9.73</w:t>
      </w:r>
      <w:r w:rsidRPr="00A567F2">
        <w:rPr>
          <w:color w:val="000000" w:themeColor="text1"/>
        </w:rPr>
        <w:t xml:space="preserve">). </w:t>
      </w:r>
      <w:r w:rsidR="00F51A2F" w:rsidRPr="00A567F2">
        <w:rPr>
          <w:color w:val="000000" w:themeColor="text1"/>
        </w:rPr>
        <w:t xml:space="preserve">The average BMI across the sample was </w:t>
      </w:r>
      <w:r w:rsidR="008142FA" w:rsidRPr="00A567F2">
        <w:rPr>
          <w:color w:val="000000" w:themeColor="text1"/>
        </w:rPr>
        <w:t>24.95</w:t>
      </w:r>
      <w:r w:rsidR="005D3937" w:rsidRPr="00A567F2">
        <w:rPr>
          <w:color w:val="000000" w:themeColor="text1"/>
        </w:rPr>
        <w:t xml:space="preserve"> kg/m</w:t>
      </w:r>
      <w:r w:rsidR="005D3937" w:rsidRPr="00A567F2">
        <w:rPr>
          <w:color w:val="000000" w:themeColor="text1"/>
          <w:vertAlign w:val="superscript"/>
        </w:rPr>
        <w:t>2</w:t>
      </w:r>
      <w:r w:rsidR="008142FA" w:rsidRPr="00A567F2">
        <w:rPr>
          <w:color w:val="000000" w:themeColor="text1"/>
        </w:rPr>
        <w:t xml:space="preserve"> </w:t>
      </w:r>
      <w:r w:rsidR="00F51A2F" w:rsidRPr="00A567F2">
        <w:rPr>
          <w:color w:val="000000" w:themeColor="text1"/>
        </w:rPr>
        <w:t>(</w:t>
      </w:r>
      <w:r w:rsidR="00D406AD" w:rsidRPr="00A567F2">
        <w:rPr>
          <w:color w:val="000000" w:themeColor="text1"/>
        </w:rPr>
        <w:t xml:space="preserve">SD = </w:t>
      </w:r>
      <w:r w:rsidR="008142FA" w:rsidRPr="00A567F2">
        <w:rPr>
          <w:color w:val="000000" w:themeColor="text1"/>
        </w:rPr>
        <w:t>5.33</w:t>
      </w:r>
      <w:r w:rsidR="00F51A2F" w:rsidRPr="00A567F2">
        <w:rPr>
          <w:color w:val="000000" w:themeColor="text1"/>
        </w:rPr>
        <w:t xml:space="preserve">). </w:t>
      </w:r>
      <w:r w:rsidRPr="00A567F2">
        <w:rPr>
          <w:color w:val="000000" w:themeColor="text1"/>
        </w:rPr>
        <w:t>Identically to study one, participants were required to be 18+, and have no history of eating disorders. All participants were recruited via prolific academic, and received £3 for full completion of the study. A-priori power analysis revealed that a minimum of 128 participants were required (</w:t>
      </w:r>
      <w:r w:rsidRPr="00A567F2">
        <w:rPr>
          <w:i/>
          <w:color w:val="000000" w:themeColor="text1"/>
        </w:rPr>
        <w:t xml:space="preserve">d </w:t>
      </w:r>
      <w:r w:rsidRPr="00A567F2">
        <w:rPr>
          <w:color w:val="000000" w:themeColor="text1"/>
        </w:rPr>
        <w:t xml:space="preserve">= .30, α = .05, 1 − β = 0.80) to detect a within * between interaction across the experimental conditions, however, similarly to the first study, </w:t>
      </w:r>
      <w:r w:rsidR="00A12944" w:rsidRPr="00A567F2">
        <w:rPr>
          <w:color w:val="000000" w:themeColor="text1"/>
        </w:rPr>
        <w:t xml:space="preserve">we </w:t>
      </w:r>
      <w:r w:rsidRPr="00A567F2">
        <w:rPr>
          <w:color w:val="000000" w:themeColor="text1"/>
        </w:rPr>
        <w:t>over-sample</w:t>
      </w:r>
      <w:r w:rsidR="00A12944" w:rsidRPr="00A567F2">
        <w:rPr>
          <w:color w:val="000000" w:themeColor="text1"/>
        </w:rPr>
        <w:t>d</w:t>
      </w:r>
      <w:r w:rsidRPr="00A567F2">
        <w:rPr>
          <w:color w:val="000000" w:themeColor="text1"/>
        </w:rPr>
        <w:t xml:space="preserve"> to </w:t>
      </w:r>
      <w:r w:rsidR="00A12944" w:rsidRPr="00A567F2">
        <w:rPr>
          <w:color w:val="000000" w:themeColor="text1"/>
        </w:rPr>
        <w:t>increase the accuracy of our inferences</w:t>
      </w:r>
      <w:r w:rsidRPr="00A567F2">
        <w:rPr>
          <w:color w:val="000000" w:themeColor="text1"/>
        </w:rPr>
        <w:t xml:space="preserve">. </w:t>
      </w:r>
      <w:r w:rsidR="00A12944" w:rsidRPr="00A567F2">
        <w:rPr>
          <w:color w:val="000000" w:themeColor="text1"/>
        </w:rPr>
        <w:t>Participants were not permitted to participate in both studies via Prolific Academic</w:t>
      </w:r>
    </w:p>
    <w:p w14:paraId="5774A552" w14:textId="77777777" w:rsidR="005F220F" w:rsidRPr="00A567F2" w:rsidRDefault="005F220F" w:rsidP="005F220F">
      <w:pPr>
        <w:spacing w:line="480" w:lineRule="auto"/>
        <w:rPr>
          <w:color w:val="000000" w:themeColor="text1"/>
        </w:rPr>
      </w:pPr>
    </w:p>
    <w:p w14:paraId="30F71E85" w14:textId="599DDF1A" w:rsidR="005F220F" w:rsidRPr="00A567F2" w:rsidRDefault="002C273C" w:rsidP="005F220F">
      <w:pPr>
        <w:spacing w:line="480" w:lineRule="auto"/>
        <w:rPr>
          <w:i/>
          <w:color w:val="000000" w:themeColor="text1"/>
        </w:rPr>
      </w:pPr>
      <w:r w:rsidRPr="00A567F2">
        <w:rPr>
          <w:i/>
          <w:color w:val="000000" w:themeColor="text1"/>
        </w:rPr>
        <w:t xml:space="preserve">3.1.2. </w:t>
      </w:r>
      <w:r w:rsidR="005F220F" w:rsidRPr="00A567F2">
        <w:rPr>
          <w:i/>
          <w:color w:val="000000" w:themeColor="text1"/>
        </w:rPr>
        <w:t>Measures</w:t>
      </w:r>
    </w:p>
    <w:p w14:paraId="177C35DB" w14:textId="77777777" w:rsidR="005F220F" w:rsidRPr="00A567F2" w:rsidRDefault="005F220F" w:rsidP="001B0874">
      <w:pPr>
        <w:spacing w:line="480" w:lineRule="auto"/>
        <w:ind w:firstLine="720"/>
        <w:rPr>
          <w:color w:val="000000" w:themeColor="text1"/>
        </w:rPr>
      </w:pPr>
      <w:r w:rsidRPr="00A567F2">
        <w:rPr>
          <w:color w:val="000000" w:themeColor="text1"/>
        </w:rPr>
        <w:t xml:space="preserve">The measures used within study two were identical to those of study one, with the exception of the training task (detailed below). </w:t>
      </w:r>
    </w:p>
    <w:p w14:paraId="132AC583" w14:textId="77777777" w:rsidR="005F220F" w:rsidRPr="00A567F2" w:rsidRDefault="005F220F" w:rsidP="005F220F">
      <w:pPr>
        <w:spacing w:line="480" w:lineRule="auto"/>
        <w:rPr>
          <w:color w:val="000000" w:themeColor="text1"/>
          <w:highlight w:val="yellow"/>
        </w:rPr>
      </w:pPr>
    </w:p>
    <w:p w14:paraId="6068C9B4" w14:textId="2BCDD461" w:rsidR="005F220F" w:rsidRPr="00A567F2" w:rsidRDefault="00730868" w:rsidP="005F220F">
      <w:pPr>
        <w:pStyle w:val="p1"/>
        <w:spacing w:line="480" w:lineRule="auto"/>
        <w:rPr>
          <w:rFonts w:ascii="Times New Roman" w:hAnsi="Times New Roman"/>
          <w:i/>
          <w:iCs/>
          <w:color w:val="000000" w:themeColor="text1"/>
          <w:sz w:val="24"/>
          <w:szCs w:val="24"/>
        </w:rPr>
      </w:pPr>
      <w:r w:rsidRPr="00A567F2">
        <w:rPr>
          <w:rFonts w:ascii="Times New Roman" w:hAnsi="Times New Roman"/>
          <w:i/>
          <w:iCs/>
          <w:color w:val="000000" w:themeColor="text1"/>
          <w:sz w:val="24"/>
          <w:szCs w:val="24"/>
        </w:rPr>
        <w:t xml:space="preserve">3.1.2.1. </w:t>
      </w:r>
      <w:r w:rsidR="005F220F" w:rsidRPr="00A567F2">
        <w:rPr>
          <w:rFonts w:ascii="Times New Roman" w:hAnsi="Times New Roman"/>
          <w:i/>
          <w:iCs/>
          <w:color w:val="000000" w:themeColor="text1"/>
          <w:sz w:val="24"/>
          <w:szCs w:val="24"/>
        </w:rPr>
        <w:t xml:space="preserve">Evaluative Conditioning Task </w:t>
      </w:r>
    </w:p>
    <w:p w14:paraId="3E6447AE" w14:textId="567D661F" w:rsidR="004452E1" w:rsidRPr="00A567F2" w:rsidRDefault="005F220F" w:rsidP="00413768">
      <w:pPr>
        <w:pStyle w:val="p1"/>
        <w:spacing w:line="480" w:lineRule="auto"/>
        <w:ind w:firstLine="720"/>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Participants were presented with pairs of images consisting of a healthy or unhealthy food item, followed by a positive or negative health outcome. Image pairs were either congruent (healthy foods paired with positive health outcomes, unhealthy foods paired with negative health outcomes) or incongruent (healthy foods paired with negative health outcomes, unhealthy foods paired with positive health outcomes), with the number of each trial type varying based upon condition. To ensure participants were engaged with the task, they were asked to respond to the spatial location of</w:t>
      </w:r>
      <w:r w:rsidR="003B6CFF" w:rsidRPr="00A567F2">
        <w:rPr>
          <w:rFonts w:ascii="Times New Roman" w:hAnsi="Times New Roman"/>
          <w:iCs/>
          <w:color w:val="000000" w:themeColor="text1"/>
          <w:sz w:val="24"/>
          <w:szCs w:val="24"/>
        </w:rPr>
        <w:t xml:space="preserve"> </w:t>
      </w:r>
      <w:r w:rsidRPr="00A567F2">
        <w:rPr>
          <w:rFonts w:ascii="Times New Roman" w:hAnsi="Times New Roman"/>
          <w:iCs/>
          <w:color w:val="000000" w:themeColor="text1"/>
          <w:sz w:val="24"/>
          <w:szCs w:val="24"/>
        </w:rPr>
        <w:t>stimuli on screen using the ‘E’ (for images presented to the left) and ‘I’ (for images presented to the left) keys</w:t>
      </w:r>
      <w:r w:rsidR="003B6CFF" w:rsidRPr="00A567F2">
        <w:rPr>
          <w:rFonts w:ascii="Times New Roman" w:hAnsi="Times New Roman"/>
          <w:iCs/>
          <w:color w:val="000000" w:themeColor="text1"/>
          <w:sz w:val="24"/>
          <w:szCs w:val="24"/>
        </w:rPr>
        <w:t xml:space="preserve"> (both images were presented on the same side of the screen)</w:t>
      </w:r>
      <w:r w:rsidRPr="00A567F2">
        <w:rPr>
          <w:rFonts w:ascii="Times New Roman" w:hAnsi="Times New Roman"/>
          <w:iCs/>
          <w:color w:val="000000" w:themeColor="text1"/>
          <w:sz w:val="24"/>
          <w:szCs w:val="24"/>
        </w:rPr>
        <w:t xml:space="preserve">. The task consisted of 200 trials (100 healthy food </w:t>
      </w:r>
      <w:r w:rsidRPr="00A567F2">
        <w:rPr>
          <w:rFonts w:ascii="Times New Roman" w:hAnsi="Times New Roman"/>
          <w:iCs/>
          <w:color w:val="000000" w:themeColor="text1"/>
          <w:sz w:val="24"/>
          <w:szCs w:val="24"/>
        </w:rPr>
        <w:lastRenderedPageBreak/>
        <w:t xml:space="preserve">images, 100 unhealthy food images). Each image within the pair was presented for a minimum of 1000ms, with the </w:t>
      </w:r>
      <w:r w:rsidR="0014245E" w:rsidRPr="00A567F2">
        <w:rPr>
          <w:rFonts w:ascii="Times New Roman" w:hAnsi="Times New Roman"/>
          <w:iCs/>
          <w:color w:val="000000" w:themeColor="text1"/>
          <w:sz w:val="24"/>
          <w:szCs w:val="24"/>
        </w:rPr>
        <w:t>second</w:t>
      </w:r>
      <w:r w:rsidR="00C80E75" w:rsidRPr="00A567F2">
        <w:rPr>
          <w:rFonts w:ascii="Times New Roman" w:hAnsi="Times New Roman"/>
          <w:iCs/>
          <w:color w:val="000000" w:themeColor="text1"/>
          <w:sz w:val="24"/>
          <w:szCs w:val="24"/>
        </w:rPr>
        <w:t xml:space="preserve"> </w:t>
      </w:r>
      <w:r w:rsidRPr="00A567F2">
        <w:rPr>
          <w:rFonts w:ascii="Times New Roman" w:hAnsi="Times New Roman"/>
          <w:iCs/>
          <w:color w:val="000000" w:themeColor="text1"/>
          <w:sz w:val="24"/>
          <w:szCs w:val="24"/>
        </w:rPr>
        <w:t xml:space="preserve">image remaining on screen until a response was provided. Participants were provided with feedback after each trial (‘correct’ or ‘incorrect’ displayed on screen for 250ms) and also completed 10 unrecorded practice trials prior to training (50% congruent, 50% incongruent).   </w:t>
      </w:r>
    </w:p>
    <w:p w14:paraId="039C0E87" w14:textId="4558FF9E" w:rsidR="005F220F" w:rsidRPr="00A567F2" w:rsidRDefault="005F220F" w:rsidP="00F444E8">
      <w:pPr>
        <w:spacing w:line="480" w:lineRule="auto"/>
        <w:ind w:firstLine="720"/>
        <w:rPr>
          <w:color w:val="000000" w:themeColor="text1"/>
        </w:rPr>
      </w:pPr>
      <w:r w:rsidRPr="00A567F2">
        <w:rPr>
          <w:color w:val="000000" w:themeColor="text1"/>
        </w:rPr>
        <w:t>The number of congruent and incongruent trials presented varied dependent upon experimental condition, with four possible allocations (100%, N = 157</w:t>
      </w:r>
      <w:r w:rsidR="00A12944" w:rsidRPr="00A567F2">
        <w:rPr>
          <w:rStyle w:val="FootnoteReference"/>
          <w:color w:val="000000" w:themeColor="text1"/>
        </w:rPr>
        <w:footnoteReference w:id="1"/>
      </w:r>
      <w:r w:rsidRPr="00A567F2">
        <w:rPr>
          <w:color w:val="000000" w:themeColor="text1"/>
        </w:rPr>
        <w:t>, 75% N = 45, 50% N = 49, 25% N = 49). The percentage for each group represents the percentage of congruent trials presented to participants (for example, the 100% group were presented with only congruent trials). Split-half reliability analyses (using reaction times) demonstrated high levels of internal reliability for the task (</w:t>
      </w:r>
      <w:r w:rsidRPr="00A567F2">
        <w:rPr>
          <w:i/>
          <w:color w:val="000000" w:themeColor="text1"/>
        </w:rPr>
        <w:t xml:space="preserve">r = </w:t>
      </w:r>
      <w:r w:rsidRPr="00A567F2">
        <w:rPr>
          <w:color w:val="000000" w:themeColor="text1"/>
        </w:rPr>
        <w:t>.75, p &lt; .001).</w:t>
      </w:r>
    </w:p>
    <w:p w14:paraId="14E6074B" w14:textId="64E89B66" w:rsidR="005F220F" w:rsidRPr="00A567F2" w:rsidRDefault="005F220F" w:rsidP="00F444E8">
      <w:pPr>
        <w:spacing w:line="480" w:lineRule="auto"/>
        <w:ind w:firstLine="720"/>
        <w:rPr>
          <w:color w:val="000000" w:themeColor="text1"/>
        </w:rPr>
      </w:pPr>
      <w:r w:rsidRPr="00A567F2">
        <w:rPr>
          <w:color w:val="000000" w:themeColor="text1"/>
        </w:rPr>
        <w:t>Food images used in the task were identical to those in study one, and positive</w:t>
      </w:r>
      <w:r w:rsidR="00B34FAA" w:rsidRPr="00A567F2">
        <w:rPr>
          <w:color w:val="000000" w:themeColor="text1"/>
        </w:rPr>
        <w:t xml:space="preserve"> (e.g., healthy weight individual)</w:t>
      </w:r>
      <w:r w:rsidRPr="00A567F2">
        <w:rPr>
          <w:color w:val="000000" w:themeColor="text1"/>
        </w:rPr>
        <w:t xml:space="preserve"> and negative</w:t>
      </w:r>
      <w:r w:rsidR="00B34FAA" w:rsidRPr="00A567F2">
        <w:rPr>
          <w:color w:val="000000" w:themeColor="text1"/>
        </w:rPr>
        <w:t xml:space="preserve"> (e.g., individual with obesity)</w:t>
      </w:r>
      <w:r w:rsidRPr="00A567F2">
        <w:rPr>
          <w:color w:val="000000" w:themeColor="text1"/>
        </w:rPr>
        <w:t xml:space="preserve"> health outcomes were selected from pilot work where 30 positive and negative health images were scored for appeal. Participants were instructed ‘</w:t>
      </w:r>
      <w:r w:rsidRPr="00A567F2">
        <w:rPr>
          <w:i/>
          <w:color w:val="000000" w:themeColor="text1"/>
        </w:rPr>
        <w:t>For the below images, please indicate how unpleasant or pleasant the image is’</w:t>
      </w:r>
      <w:r w:rsidRPr="00A567F2">
        <w:rPr>
          <w:color w:val="000000" w:themeColor="text1"/>
        </w:rPr>
        <w:t xml:space="preserve"> and asked to provide their responses</w:t>
      </w:r>
      <w:r w:rsidRPr="00A567F2">
        <w:rPr>
          <w:i/>
          <w:color w:val="000000" w:themeColor="text1"/>
        </w:rPr>
        <w:t xml:space="preserve"> </w:t>
      </w:r>
      <w:r w:rsidRPr="00A567F2">
        <w:rPr>
          <w:color w:val="000000" w:themeColor="text1"/>
        </w:rPr>
        <w:t xml:space="preserve">using individual Likert scales ranging from 1 (unpleasant) to 10 (pleasant). For positive health outcomes, the most highly rated images were used within the intervention, whereas for negative health outcomes, the lowest rated images were used (i.e., the least appealing). </w:t>
      </w:r>
    </w:p>
    <w:p w14:paraId="57B28F34" w14:textId="77777777" w:rsidR="005F220F" w:rsidRPr="00A567F2" w:rsidRDefault="005F220F" w:rsidP="005F220F">
      <w:pPr>
        <w:spacing w:line="480" w:lineRule="auto"/>
        <w:rPr>
          <w:color w:val="000000" w:themeColor="text1"/>
        </w:rPr>
      </w:pPr>
    </w:p>
    <w:p w14:paraId="61D9D1B3" w14:textId="665F0E10" w:rsidR="005F220F" w:rsidRPr="00A567F2" w:rsidRDefault="00F444E8" w:rsidP="005F220F">
      <w:pPr>
        <w:spacing w:line="480" w:lineRule="auto"/>
        <w:rPr>
          <w:i/>
          <w:color w:val="000000" w:themeColor="text1"/>
        </w:rPr>
      </w:pPr>
      <w:r w:rsidRPr="00A567F2">
        <w:rPr>
          <w:i/>
          <w:color w:val="000000" w:themeColor="text1"/>
        </w:rPr>
        <w:t xml:space="preserve">3.1.2.2. </w:t>
      </w:r>
      <w:r w:rsidR="005F220F" w:rsidRPr="00A567F2">
        <w:rPr>
          <w:i/>
          <w:color w:val="000000" w:themeColor="text1"/>
        </w:rPr>
        <w:t>Baseline Inhibitory Control</w:t>
      </w:r>
    </w:p>
    <w:p w14:paraId="6FD05B8A" w14:textId="4BD7AA0D" w:rsidR="005F220F" w:rsidRPr="00A567F2" w:rsidRDefault="005F220F" w:rsidP="004F2388">
      <w:pPr>
        <w:spacing w:line="480" w:lineRule="auto"/>
        <w:ind w:firstLine="720"/>
        <w:rPr>
          <w:color w:val="000000" w:themeColor="text1"/>
        </w:rPr>
      </w:pPr>
      <w:r w:rsidRPr="00A567F2">
        <w:rPr>
          <w:color w:val="000000" w:themeColor="text1"/>
        </w:rPr>
        <w:t>Split-half reliability analyses (as calculated using task reaction time) demonstrated high levels of internal reliability (</w:t>
      </w:r>
      <w:r w:rsidRPr="00A567F2">
        <w:rPr>
          <w:i/>
          <w:color w:val="000000" w:themeColor="text1"/>
        </w:rPr>
        <w:t xml:space="preserve">r = </w:t>
      </w:r>
      <w:r w:rsidRPr="00A567F2">
        <w:rPr>
          <w:color w:val="000000" w:themeColor="text1"/>
        </w:rPr>
        <w:t xml:space="preserve">.81, p &lt; .001) for this task within the second study. </w:t>
      </w:r>
    </w:p>
    <w:p w14:paraId="2754B8D7" w14:textId="77777777" w:rsidR="005F220F" w:rsidRPr="00A567F2" w:rsidRDefault="005F220F" w:rsidP="005F220F">
      <w:pPr>
        <w:spacing w:line="480" w:lineRule="auto"/>
        <w:rPr>
          <w:color w:val="000000" w:themeColor="text1"/>
        </w:rPr>
      </w:pPr>
    </w:p>
    <w:p w14:paraId="7843E5BF" w14:textId="502A25BF" w:rsidR="005F220F" w:rsidRPr="00A567F2" w:rsidRDefault="004F2388" w:rsidP="005F220F">
      <w:pPr>
        <w:spacing w:line="480" w:lineRule="auto"/>
        <w:rPr>
          <w:i/>
          <w:color w:val="000000" w:themeColor="text1"/>
        </w:rPr>
      </w:pPr>
      <w:r w:rsidRPr="00A567F2">
        <w:rPr>
          <w:i/>
          <w:color w:val="000000" w:themeColor="text1"/>
        </w:rPr>
        <w:t xml:space="preserve">3.1.3. </w:t>
      </w:r>
      <w:r w:rsidR="005F220F" w:rsidRPr="00A567F2">
        <w:rPr>
          <w:i/>
          <w:color w:val="000000" w:themeColor="text1"/>
        </w:rPr>
        <w:t>Procedure</w:t>
      </w:r>
    </w:p>
    <w:p w14:paraId="5FD1C1D4" w14:textId="1D4297CD" w:rsidR="005F220F" w:rsidRPr="00A567F2" w:rsidRDefault="005F220F" w:rsidP="004F2388">
      <w:pPr>
        <w:spacing w:line="480" w:lineRule="auto"/>
        <w:ind w:firstLine="720"/>
        <w:rPr>
          <w:color w:val="000000" w:themeColor="text1"/>
        </w:rPr>
      </w:pPr>
      <w:r w:rsidRPr="00A567F2">
        <w:rPr>
          <w:color w:val="000000" w:themeColor="text1"/>
        </w:rPr>
        <w:t>The procedure mirrored that of study one</w:t>
      </w:r>
      <w:r w:rsidR="00EC5A13" w:rsidRPr="00A567F2">
        <w:rPr>
          <w:color w:val="000000" w:themeColor="text1"/>
        </w:rPr>
        <w:t>;</w:t>
      </w:r>
      <w:r w:rsidRPr="00A567F2">
        <w:rPr>
          <w:color w:val="000000" w:themeColor="text1"/>
        </w:rPr>
        <w:t xml:space="preserve"> however, instead of the go/no-go training task, participants completed the evaluative conditioning task (at the same point in the study). There was also a slight change to the debrief task, as participants were shown an image of a healthy food item and asked which type of image would follow were this a trial in the task (positive health outcome, negative health outcome, or unsure). They were then asked to explain in their own words what they believed the true aim of the study to be using a free text box. </w:t>
      </w:r>
    </w:p>
    <w:p w14:paraId="0D05BC28" w14:textId="77777777" w:rsidR="005F220F" w:rsidRPr="00A567F2" w:rsidRDefault="005F220F" w:rsidP="005F220F">
      <w:pPr>
        <w:spacing w:line="480" w:lineRule="auto"/>
        <w:rPr>
          <w:color w:val="000000" w:themeColor="text1"/>
        </w:rPr>
      </w:pPr>
    </w:p>
    <w:p w14:paraId="301011B7" w14:textId="4B7A504F" w:rsidR="005F220F" w:rsidRPr="00A567F2" w:rsidRDefault="007325D3" w:rsidP="005F220F">
      <w:pPr>
        <w:spacing w:line="480" w:lineRule="auto"/>
        <w:rPr>
          <w:i/>
          <w:color w:val="000000" w:themeColor="text1"/>
        </w:rPr>
      </w:pPr>
      <w:r w:rsidRPr="00A567F2">
        <w:rPr>
          <w:i/>
          <w:color w:val="000000" w:themeColor="text1"/>
        </w:rPr>
        <w:t xml:space="preserve">3.1.4. </w:t>
      </w:r>
      <w:r w:rsidR="005F220F" w:rsidRPr="00A567F2">
        <w:rPr>
          <w:i/>
          <w:color w:val="000000" w:themeColor="text1"/>
        </w:rPr>
        <w:t>Statistical Analysis</w:t>
      </w:r>
    </w:p>
    <w:p w14:paraId="73846262" w14:textId="2FB24DDA" w:rsidR="005F220F" w:rsidRPr="00A567F2" w:rsidRDefault="005F220F" w:rsidP="00FA26F8">
      <w:pPr>
        <w:spacing w:line="480" w:lineRule="auto"/>
        <w:ind w:firstLine="720"/>
        <w:rPr>
          <w:color w:val="000000" w:themeColor="text1"/>
        </w:rPr>
      </w:pPr>
      <w:r w:rsidRPr="00A567F2">
        <w:rPr>
          <w:color w:val="000000" w:themeColor="text1"/>
        </w:rPr>
        <w:t>Analyses were identical to those of study one, and were pre-registered prior to data collection (</w:t>
      </w:r>
      <w:r w:rsidR="00E95B76" w:rsidRPr="00A567F2">
        <w:rPr>
          <w:rFonts w:ascii="Times" w:hAnsi="Times"/>
          <w:color w:val="000000" w:themeColor="text1"/>
        </w:rPr>
        <w:t>https://osf.io/zy27u</w:t>
      </w:r>
      <w:r w:rsidRPr="00A567F2">
        <w:rPr>
          <w:color w:val="000000" w:themeColor="text1"/>
        </w:rPr>
        <w:t xml:space="preserve">). Two participants were removed from the final analysis due to non-engagement with the baseline inhibitory control measure (100% error rate for ‘go’ trials). </w:t>
      </w:r>
    </w:p>
    <w:p w14:paraId="38BF3FB0" w14:textId="77777777" w:rsidR="005F220F" w:rsidRPr="00A567F2" w:rsidRDefault="005F220F" w:rsidP="005F220F">
      <w:pPr>
        <w:spacing w:line="480" w:lineRule="auto"/>
        <w:rPr>
          <w:color w:val="000000" w:themeColor="text1"/>
        </w:rPr>
      </w:pPr>
    </w:p>
    <w:p w14:paraId="0D12BE61" w14:textId="2B8D4DC8" w:rsidR="005F220F" w:rsidRPr="00A567F2" w:rsidRDefault="00B67C3C" w:rsidP="00FA26F8">
      <w:pPr>
        <w:spacing w:line="480" w:lineRule="auto"/>
        <w:jc w:val="center"/>
        <w:rPr>
          <w:b/>
          <w:color w:val="000000" w:themeColor="text1"/>
        </w:rPr>
      </w:pPr>
      <w:r w:rsidRPr="00A567F2">
        <w:rPr>
          <w:b/>
          <w:color w:val="000000" w:themeColor="text1"/>
        </w:rPr>
        <w:t>3.2</w:t>
      </w:r>
      <w:r w:rsidR="00FA26F8" w:rsidRPr="00A567F2">
        <w:rPr>
          <w:b/>
          <w:color w:val="000000" w:themeColor="text1"/>
        </w:rPr>
        <w:t xml:space="preserve">. </w:t>
      </w:r>
      <w:r w:rsidR="005F220F" w:rsidRPr="00A567F2">
        <w:rPr>
          <w:b/>
          <w:color w:val="000000" w:themeColor="text1"/>
        </w:rPr>
        <w:t>Results</w:t>
      </w:r>
    </w:p>
    <w:p w14:paraId="5D1FDF10" w14:textId="4A63D14D" w:rsidR="005F220F" w:rsidRPr="00A567F2" w:rsidRDefault="00B67C3C" w:rsidP="005F220F">
      <w:pPr>
        <w:spacing w:line="480" w:lineRule="auto"/>
        <w:rPr>
          <w:i/>
          <w:color w:val="000000" w:themeColor="text1"/>
        </w:rPr>
      </w:pPr>
      <w:r w:rsidRPr="00A567F2">
        <w:rPr>
          <w:i/>
          <w:color w:val="000000" w:themeColor="text1"/>
        </w:rPr>
        <w:t xml:space="preserve">3.2.1. </w:t>
      </w:r>
      <w:r w:rsidR="005F220F" w:rsidRPr="00A567F2">
        <w:rPr>
          <w:i/>
          <w:color w:val="000000" w:themeColor="text1"/>
        </w:rPr>
        <w:t>Hypothesis one (Participants who experience unhealthy food images paired with 100% negative images will show gre</w:t>
      </w:r>
      <w:r w:rsidR="003630AD" w:rsidRPr="00A567F2">
        <w:rPr>
          <w:i/>
          <w:color w:val="000000" w:themeColor="text1"/>
        </w:rPr>
        <w:t xml:space="preserve">ater changes in food value post </w:t>
      </w:r>
      <w:r w:rsidR="005F220F" w:rsidRPr="00A567F2">
        <w:rPr>
          <w:i/>
          <w:color w:val="000000" w:themeColor="text1"/>
        </w:rPr>
        <w:t>training compared to those where unhealthy stimuli are paired with fewer negative images (75%, 50% and 25%)) and Hypothesis three (Participants with lower levels of inhibitory control pre-study will benefit more from food based evaluative conditioning online training).</w:t>
      </w:r>
    </w:p>
    <w:p w14:paraId="2ABD4859" w14:textId="40AFE057" w:rsidR="005F220F" w:rsidRPr="00A567F2" w:rsidRDefault="005F220F" w:rsidP="004F527A">
      <w:pPr>
        <w:spacing w:line="480" w:lineRule="auto"/>
        <w:ind w:firstLine="720"/>
        <w:rPr>
          <w:color w:val="000000" w:themeColor="text1"/>
        </w:rPr>
      </w:pPr>
      <w:r w:rsidRPr="00A567F2">
        <w:rPr>
          <w:color w:val="000000" w:themeColor="text1"/>
        </w:rPr>
        <w:t>Differences in healthy food value based on condition were analysed using a 4 (congruent trials: 100%, 7</w:t>
      </w:r>
      <w:r w:rsidR="0027052D" w:rsidRPr="00A567F2">
        <w:rPr>
          <w:color w:val="000000" w:themeColor="text1"/>
        </w:rPr>
        <w:t xml:space="preserve">5%, 50% and 25%) x 2 (time: pre </w:t>
      </w:r>
      <w:r w:rsidRPr="00A567F2">
        <w:rPr>
          <w:color w:val="000000" w:themeColor="text1"/>
        </w:rPr>
        <w:t xml:space="preserve">training, post training) ANCOVA, with healthy food VAS as the dependent variable, and number of </w:t>
      </w:r>
      <w:r w:rsidR="000037F8" w:rsidRPr="00A567F2">
        <w:rPr>
          <w:color w:val="000000" w:themeColor="text1"/>
        </w:rPr>
        <w:t xml:space="preserve">baseline </w:t>
      </w:r>
      <w:r w:rsidRPr="00A567F2">
        <w:rPr>
          <w:color w:val="000000" w:themeColor="text1"/>
        </w:rPr>
        <w:lastRenderedPageBreak/>
        <w:t xml:space="preserve">inhibition errors as the covariate. There was a </w:t>
      </w:r>
      <w:r w:rsidR="00A12944" w:rsidRPr="00A567F2">
        <w:rPr>
          <w:color w:val="000000" w:themeColor="text1"/>
        </w:rPr>
        <w:t xml:space="preserve">weak </w:t>
      </w:r>
      <w:r w:rsidRPr="00A567F2">
        <w:rPr>
          <w:color w:val="000000" w:themeColor="text1"/>
        </w:rPr>
        <w:t>significant main effect of condition (</w:t>
      </w:r>
      <w:r w:rsidRPr="00A567F2">
        <w:rPr>
          <w:i/>
          <w:color w:val="000000" w:themeColor="text1"/>
        </w:rPr>
        <w:t xml:space="preserve">F </w:t>
      </w:r>
      <w:r w:rsidRPr="00A567F2">
        <w:rPr>
          <w:color w:val="000000" w:themeColor="text1"/>
        </w:rPr>
        <w:t>(3, 292) = 2.72, p =.045, ηp</w:t>
      </w:r>
      <w:r w:rsidRPr="00A567F2">
        <w:rPr>
          <w:color w:val="000000" w:themeColor="text1"/>
          <w:vertAlign w:val="superscript"/>
        </w:rPr>
        <w:t xml:space="preserve">2 </w:t>
      </w:r>
      <w:r w:rsidRPr="00A567F2">
        <w:rPr>
          <w:color w:val="000000" w:themeColor="text1"/>
        </w:rPr>
        <w:t>= .03)</w:t>
      </w:r>
      <w:r w:rsidR="00B513B3" w:rsidRPr="00A567F2">
        <w:rPr>
          <w:color w:val="000000" w:themeColor="text1"/>
        </w:rPr>
        <w:t>, with post hoc tests revealing participants in the 100% condition rated healthy foods higher overall (</w:t>
      </w:r>
      <w:r w:rsidR="00B513B3" w:rsidRPr="00A567F2">
        <w:rPr>
          <w:i/>
          <w:color w:val="000000" w:themeColor="text1"/>
        </w:rPr>
        <w:t>M</w:t>
      </w:r>
      <w:r w:rsidR="00020D48" w:rsidRPr="00A567F2">
        <w:rPr>
          <w:i/>
          <w:color w:val="000000" w:themeColor="text1"/>
        </w:rPr>
        <w:t xml:space="preserve"> </w:t>
      </w:r>
      <w:r w:rsidR="00B513B3" w:rsidRPr="00A567F2">
        <w:rPr>
          <w:color w:val="000000" w:themeColor="text1"/>
        </w:rPr>
        <w:t>=</w:t>
      </w:r>
      <w:r w:rsidR="00020D48" w:rsidRPr="00A567F2">
        <w:rPr>
          <w:color w:val="000000" w:themeColor="text1"/>
        </w:rPr>
        <w:t xml:space="preserve"> </w:t>
      </w:r>
      <w:r w:rsidR="00B513B3" w:rsidRPr="00A567F2">
        <w:rPr>
          <w:color w:val="000000" w:themeColor="text1"/>
        </w:rPr>
        <w:t xml:space="preserve">42.68, </w:t>
      </w:r>
      <w:r w:rsidR="00B513B3" w:rsidRPr="00A567F2">
        <w:rPr>
          <w:i/>
          <w:color w:val="000000" w:themeColor="text1"/>
        </w:rPr>
        <w:t>SE</w:t>
      </w:r>
      <w:r w:rsidR="00020D48" w:rsidRPr="00A567F2">
        <w:rPr>
          <w:i/>
          <w:color w:val="000000" w:themeColor="text1"/>
        </w:rPr>
        <w:t xml:space="preserve"> </w:t>
      </w:r>
      <w:r w:rsidR="00B513B3" w:rsidRPr="00A567F2">
        <w:rPr>
          <w:color w:val="000000" w:themeColor="text1"/>
        </w:rPr>
        <w:t>=</w:t>
      </w:r>
      <w:r w:rsidR="00020D48" w:rsidRPr="00A567F2">
        <w:rPr>
          <w:color w:val="000000" w:themeColor="text1"/>
        </w:rPr>
        <w:t xml:space="preserve"> </w:t>
      </w:r>
      <w:r w:rsidR="00B513B3" w:rsidRPr="00A567F2">
        <w:rPr>
          <w:color w:val="000000" w:themeColor="text1"/>
        </w:rPr>
        <w:t>1.72) compared to participants in the 25% group (</w:t>
      </w:r>
      <w:r w:rsidR="00B513B3" w:rsidRPr="00A567F2">
        <w:rPr>
          <w:i/>
          <w:color w:val="000000" w:themeColor="text1"/>
        </w:rPr>
        <w:t>M</w:t>
      </w:r>
      <w:r w:rsidR="00020D48" w:rsidRPr="00A567F2">
        <w:rPr>
          <w:i/>
          <w:color w:val="000000" w:themeColor="text1"/>
        </w:rPr>
        <w:t xml:space="preserve"> </w:t>
      </w:r>
      <w:r w:rsidR="00B513B3" w:rsidRPr="00A567F2">
        <w:rPr>
          <w:color w:val="000000" w:themeColor="text1"/>
        </w:rPr>
        <w:t>=</w:t>
      </w:r>
      <w:r w:rsidR="00020D48" w:rsidRPr="00A567F2">
        <w:rPr>
          <w:color w:val="000000" w:themeColor="text1"/>
        </w:rPr>
        <w:t xml:space="preserve"> </w:t>
      </w:r>
      <w:r w:rsidR="00B513B3" w:rsidRPr="00A567F2">
        <w:rPr>
          <w:color w:val="000000" w:themeColor="text1"/>
        </w:rPr>
        <w:t xml:space="preserve">32.56, </w:t>
      </w:r>
      <w:r w:rsidR="00B513B3" w:rsidRPr="00A567F2">
        <w:rPr>
          <w:i/>
          <w:color w:val="000000" w:themeColor="text1"/>
        </w:rPr>
        <w:t>SE</w:t>
      </w:r>
      <w:r w:rsidR="00020D48" w:rsidRPr="00A567F2">
        <w:rPr>
          <w:i/>
          <w:color w:val="000000" w:themeColor="text1"/>
        </w:rPr>
        <w:t xml:space="preserve"> </w:t>
      </w:r>
      <w:r w:rsidR="00B513B3" w:rsidRPr="00A567F2">
        <w:rPr>
          <w:color w:val="000000" w:themeColor="text1"/>
        </w:rPr>
        <w:t>=</w:t>
      </w:r>
      <w:r w:rsidR="00020D48" w:rsidRPr="00A567F2">
        <w:rPr>
          <w:color w:val="000000" w:themeColor="text1"/>
        </w:rPr>
        <w:t xml:space="preserve"> </w:t>
      </w:r>
      <w:r w:rsidR="00B513B3" w:rsidRPr="00A567F2">
        <w:rPr>
          <w:color w:val="000000" w:themeColor="text1"/>
        </w:rPr>
        <w:t>3.19) (p</w:t>
      </w:r>
      <w:r w:rsidR="00020D48" w:rsidRPr="00A567F2">
        <w:rPr>
          <w:color w:val="000000" w:themeColor="text1"/>
        </w:rPr>
        <w:t xml:space="preserve"> </w:t>
      </w:r>
      <w:r w:rsidR="00B513B3" w:rsidRPr="00A567F2">
        <w:rPr>
          <w:color w:val="000000" w:themeColor="text1"/>
        </w:rPr>
        <w:t>=</w:t>
      </w:r>
      <w:r w:rsidR="00020D48" w:rsidRPr="00A567F2">
        <w:rPr>
          <w:color w:val="000000" w:themeColor="text1"/>
        </w:rPr>
        <w:t xml:space="preserve"> </w:t>
      </w:r>
      <w:r w:rsidR="00B513B3" w:rsidRPr="00A567F2">
        <w:rPr>
          <w:color w:val="000000" w:themeColor="text1"/>
        </w:rPr>
        <w:t>.033). Despite this, t</w:t>
      </w:r>
      <w:r w:rsidRPr="00A567F2">
        <w:rPr>
          <w:color w:val="000000" w:themeColor="text1"/>
        </w:rPr>
        <w:t>here were no significant main effects of time (</w:t>
      </w:r>
      <w:r w:rsidRPr="00A567F2">
        <w:rPr>
          <w:i/>
          <w:color w:val="000000" w:themeColor="text1"/>
        </w:rPr>
        <w:t xml:space="preserve">F </w:t>
      </w:r>
      <w:r w:rsidRPr="00A567F2">
        <w:rPr>
          <w:color w:val="000000" w:themeColor="text1"/>
        </w:rPr>
        <w:t>(1, 292) = 0.77, p =.380, ηp</w:t>
      </w:r>
      <w:r w:rsidRPr="00A567F2">
        <w:rPr>
          <w:color w:val="000000" w:themeColor="text1"/>
          <w:vertAlign w:val="superscript"/>
        </w:rPr>
        <w:t xml:space="preserve">2 </w:t>
      </w:r>
      <w:r w:rsidRPr="00A567F2">
        <w:rPr>
          <w:color w:val="000000" w:themeColor="text1"/>
        </w:rPr>
        <w:t>= .003), and</w:t>
      </w:r>
      <w:r w:rsidR="00A12944" w:rsidRPr="00A567F2">
        <w:rPr>
          <w:color w:val="000000" w:themeColor="text1"/>
        </w:rPr>
        <w:t xml:space="preserve"> importantly</w:t>
      </w:r>
      <w:r w:rsidR="00226F54" w:rsidRPr="00A567F2">
        <w:rPr>
          <w:color w:val="000000" w:themeColor="text1"/>
        </w:rPr>
        <w:t>,</w:t>
      </w:r>
      <w:r w:rsidRPr="00A567F2">
        <w:rPr>
          <w:color w:val="000000" w:themeColor="text1"/>
        </w:rPr>
        <w:t xml:space="preserve"> no significant interaction between condition and time (</w:t>
      </w:r>
      <w:r w:rsidRPr="00A567F2">
        <w:rPr>
          <w:i/>
          <w:color w:val="000000" w:themeColor="text1"/>
        </w:rPr>
        <w:t xml:space="preserve">F </w:t>
      </w:r>
      <w:r w:rsidRPr="00A567F2">
        <w:rPr>
          <w:color w:val="000000" w:themeColor="text1"/>
        </w:rPr>
        <w:t>(3,292) = 0.74, p</w:t>
      </w:r>
      <w:r w:rsidRPr="00A567F2">
        <w:rPr>
          <w:i/>
          <w:color w:val="000000" w:themeColor="text1"/>
        </w:rPr>
        <w:t xml:space="preserve"> </w:t>
      </w:r>
      <w:r w:rsidR="00850723" w:rsidRPr="00A567F2">
        <w:rPr>
          <w:color w:val="000000" w:themeColor="text1"/>
        </w:rPr>
        <w:t>= .5</w:t>
      </w:r>
      <w:r w:rsidRPr="00A567F2">
        <w:rPr>
          <w:color w:val="000000" w:themeColor="text1"/>
        </w:rPr>
        <w:t>3</w:t>
      </w:r>
      <w:r w:rsidR="00850723" w:rsidRPr="00A567F2">
        <w:rPr>
          <w:color w:val="000000" w:themeColor="text1"/>
        </w:rPr>
        <w:t>0</w:t>
      </w:r>
      <w:r w:rsidR="00A12944" w:rsidRPr="00A567F2">
        <w:rPr>
          <w:color w:val="000000" w:themeColor="text1"/>
        </w:rPr>
        <w:t>,</w:t>
      </w:r>
      <w:r w:rsidRPr="00A567F2">
        <w:rPr>
          <w:color w:val="000000" w:themeColor="text1"/>
        </w:rPr>
        <w:t xml:space="preserve"> ηp</w:t>
      </w:r>
      <w:r w:rsidRPr="00A567F2">
        <w:rPr>
          <w:color w:val="000000" w:themeColor="text1"/>
          <w:vertAlign w:val="superscript"/>
        </w:rPr>
        <w:t xml:space="preserve">2 </w:t>
      </w:r>
      <w:r w:rsidRPr="00A567F2">
        <w:rPr>
          <w:color w:val="000000" w:themeColor="text1"/>
        </w:rPr>
        <w:t>=.01). The above analysis was repeated using median ‘go’ RT as the covariate, and while the main effect of condition was again significant (</w:t>
      </w:r>
      <w:r w:rsidRPr="00A567F2">
        <w:rPr>
          <w:i/>
          <w:color w:val="000000" w:themeColor="text1"/>
        </w:rPr>
        <w:t xml:space="preserve">F </w:t>
      </w:r>
      <w:r w:rsidRPr="00A567F2">
        <w:rPr>
          <w:color w:val="000000" w:themeColor="text1"/>
        </w:rPr>
        <w:t>(3, 292) = 2.90, p = .035, ηp</w:t>
      </w:r>
      <w:r w:rsidRPr="00A567F2">
        <w:rPr>
          <w:color w:val="000000" w:themeColor="text1"/>
          <w:vertAlign w:val="superscript"/>
        </w:rPr>
        <w:t xml:space="preserve">2 </w:t>
      </w:r>
      <w:r w:rsidRPr="00A567F2">
        <w:rPr>
          <w:color w:val="000000" w:themeColor="text1"/>
        </w:rPr>
        <w:t>=.03), the main effect of time (</w:t>
      </w:r>
      <w:r w:rsidRPr="00A567F2">
        <w:rPr>
          <w:i/>
          <w:color w:val="000000" w:themeColor="text1"/>
        </w:rPr>
        <w:t>F</w:t>
      </w:r>
      <w:r w:rsidRPr="00A567F2">
        <w:rPr>
          <w:color w:val="000000" w:themeColor="text1"/>
        </w:rPr>
        <w:t xml:space="preserve"> (1,292) &lt;.001, p</w:t>
      </w:r>
      <w:r w:rsidRPr="00A567F2">
        <w:rPr>
          <w:i/>
          <w:color w:val="000000" w:themeColor="text1"/>
        </w:rPr>
        <w:t xml:space="preserve"> </w:t>
      </w:r>
      <w:r w:rsidRPr="00A567F2">
        <w:rPr>
          <w:color w:val="000000" w:themeColor="text1"/>
        </w:rPr>
        <w:t>= .998, ηp</w:t>
      </w:r>
      <w:r w:rsidRPr="00A567F2">
        <w:rPr>
          <w:color w:val="000000" w:themeColor="text1"/>
          <w:vertAlign w:val="superscript"/>
        </w:rPr>
        <w:t xml:space="preserve">2 </w:t>
      </w:r>
      <w:r w:rsidRPr="00A567F2">
        <w:rPr>
          <w:color w:val="000000" w:themeColor="text1"/>
        </w:rPr>
        <w:t>&lt;.001) and the condition by time interaction (</w:t>
      </w:r>
      <w:r w:rsidRPr="00A567F2">
        <w:rPr>
          <w:i/>
          <w:color w:val="000000" w:themeColor="text1"/>
        </w:rPr>
        <w:t xml:space="preserve">F </w:t>
      </w:r>
      <w:r w:rsidRPr="00A567F2">
        <w:rPr>
          <w:color w:val="000000" w:themeColor="text1"/>
        </w:rPr>
        <w:t>(3,292) = 0.75, p</w:t>
      </w:r>
      <w:r w:rsidRPr="00A567F2">
        <w:rPr>
          <w:i/>
          <w:color w:val="000000" w:themeColor="text1"/>
        </w:rPr>
        <w:t xml:space="preserve"> </w:t>
      </w:r>
      <w:r w:rsidRPr="00A567F2">
        <w:rPr>
          <w:color w:val="000000" w:themeColor="text1"/>
        </w:rPr>
        <w:t>= .524, ηp</w:t>
      </w:r>
      <w:r w:rsidRPr="00A567F2">
        <w:rPr>
          <w:color w:val="000000" w:themeColor="text1"/>
          <w:vertAlign w:val="superscript"/>
        </w:rPr>
        <w:t xml:space="preserve">2 </w:t>
      </w:r>
      <w:r w:rsidRPr="00A567F2">
        <w:rPr>
          <w:color w:val="000000" w:themeColor="text1"/>
        </w:rPr>
        <w:t xml:space="preserve">= .01) were not. </w:t>
      </w:r>
    </w:p>
    <w:p w14:paraId="59239CAF" w14:textId="308C1E66" w:rsidR="005F220F" w:rsidRPr="00A567F2" w:rsidRDefault="005F220F" w:rsidP="00912D55">
      <w:pPr>
        <w:spacing w:line="480" w:lineRule="auto"/>
        <w:ind w:firstLine="720"/>
        <w:rPr>
          <w:color w:val="000000" w:themeColor="text1"/>
        </w:rPr>
      </w:pPr>
      <w:r w:rsidRPr="00A567F2">
        <w:rPr>
          <w:color w:val="000000" w:themeColor="text1"/>
        </w:rPr>
        <w:t>The above analyses were repeated using unhealthy food VAS as the DV. With number of inhibition errors as the covariate, there was a main effect of condition (</w:t>
      </w:r>
      <w:r w:rsidRPr="00A567F2">
        <w:rPr>
          <w:i/>
          <w:color w:val="000000" w:themeColor="text1"/>
        </w:rPr>
        <w:t xml:space="preserve">F </w:t>
      </w:r>
      <w:r w:rsidRPr="00A567F2">
        <w:rPr>
          <w:color w:val="000000" w:themeColor="text1"/>
        </w:rPr>
        <w:t>(3,292) = 2.80, p = .040, ηp</w:t>
      </w:r>
      <w:r w:rsidRPr="00A567F2">
        <w:rPr>
          <w:color w:val="000000" w:themeColor="text1"/>
          <w:vertAlign w:val="superscript"/>
        </w:rPr>
        <w:t xml:space="preserve">2 </w:t>
      </w:r>
      <w:r w:rsidRPr="00A567F2">
        <w:rPr>
          <w:color w:val="000000" w:themeColor="text1"/>
        </w:rPr>
        <w:t>= .03),</w:t>
      </w:r>
      <w:r w:rsidR="00583B33" w:rsidRPr="00A567F2">
        <w:rPr>
          <w:color w:val="000000" w:themeColor="text1"/>
        </w:rPr>
        <w:t xml:space="preserve"> however</w:t>
      </w:r>
      <w:r w:rsidR="007969FC" w:rsidRPr="00A567F2">
        <w:rPr>
          <w:color w:val="000000" w:themeColor="text1"/>
        </w:rPr>
        <w:t>, post hoc analyses</w:t>
      </w:r>
      <w:r w:rsidR="00566D54" w:rsidRPr="00A567F2">
        <w:rPr>
          <w:color w:val="000000" w:themeColor="text1"/>
        </w:rPr>
        <w:t xml:space="preserve"> revealed no significant differences between groups (p&gt;.05 in all cases).</w:t>
      </w:r>
      <w:r w:rsidRPr="00A567F2">
        <w:rPr>
          <w:color w:val="000000" w:themeColor="text1"/>
        </w:rPr>
        <w:t xml:space="preserve"> </w:t>
      </w:r>
      <w:r w:rsidR="00566D54" w:rsidRPr="00A567F2">
        <w:rPr>
          <w:color w:val="000000" w:themeColor="text1"/>
        </w:rPr>
        <w:t>There</w:t>
      </w:r>
      <w:r w:rsidR="00F45043" w:rsidRPr="00A567F2">
        <w:rPr>
          <w:color w:val="000000" w:themeColor="text1"/>
        </w:rPr>
        <w:t xml:space="preserve"> was</w:t>
      </w:r>
      <w:r w:rsidR="00566D54" w:rsidRPr="00A567F2">
        <w:rPr>
          <w:color w:val="000000" w:themeColor="text1"/>
        </w:rPr>
        <w:t xml:space="preserve"> </w:t>
      </w:r>
      <w:r w:rsidRPr="00A567F2">
        <w:rPr>
          <w:color w:val="000000" w:themeColor="text1"/>
        </w:rPr>
        <w:t>no significant main effect of time (</w:t>
      </w:r>
      <w:r w:rsidRPr="00A567F2">
        <w:rPr>
          <w:i/>
          <w:color w:val="000000" w:themeColor="text1"/>
        </w:rPr>
        <w:t xml:space="preserve">F </w:t>
      </w:r>
      <w:r w:rsidRPr="00A567F2">
        <w:rPr>
          <w:color w:val="000000" w:themeColor="text1"/>
        </w:rPr>
        <w:t>(1,292) = 3.60, p = .059, ηp</w:t>
      </w:r>
      <w:r w:rsidRPr="00A567F2">
        <w:rPr>
          <w:color w:val="000000" w:themeColor="text1"/>
          <w:vertAlign w:val="superscript"/>
        </w:rPr>
        <w:t xml:space="preserve">2 </w:t>
      </w:r>
      <w:r w:rsidRPr="00A567F2">
        <w:rPr>
          <w:color w:val="000000" w:themeColor="text1"/>
        </w:rPr>
        <w:t>= .01) and no significant condition by time interaction (</w:t>
      </w:r>
      <w:r w:rsidRPr="00A567F2">
        <w:rPr>
          <w:i/>
          <w:color w:val="000000" w:themeColor="text1"/>
        </w:rPr>
        <w:t xml:space="preserve">F </w:t>
      </w:r>
      <w:r w:rsidRPr="00A567F2">
        <w:rPr>
          <w:color w:val="000000" w:themeColor="text1"/>
        </w:rPr>
        <w:t>(3,292) = 0.61, p = .608, ηp</w:t>
      </w:r>
      <w:r w:rsidRPr="00A567F2">
        <w:rPr>
          <w:color w:val="000000" w:themeColor="text1"/>
          <w:vertAlign w:val="superscript"/>
        </w:rPr>
        <w:t xml:space="preserve">2 </w:t>
      </w:r>
      <w:r w:rsidRPr="00A567F2">
        <w:rPr>
          <w:color w:val="000000" w:themeColor="text1"/>
        </w:rPr>
        <w:t>= .01). When the analysis was repeated using median ‘go’ RT as the covariate, the results were identical, with a main effect of condition (</w:t>
      </w:r>
      <w:r w:rsidRPr="00A567F2">
        <w:rPr>
          <w:i/>
          <w:color w:val="000000" w:themeColor="text1"/>
        </w:rPr>
        <w:t xml:space="preserve">F </w:t>
      </w:r>
      <w:r w:rsidRPr="00A567F2">
        <w:rPr>
          <w:color w:val="000000" w:themeColor="text1"/>
        </w:rPr>
        <w:t>(3,292) = 2.74, p</w:t>
      </w:r>
      <w:r w:rsidRPr="00A567F2">
        <w:rPr>
          <w:i/>
          <w:color w:val="000000" w:themeColor="text1"/>
        </w:rPr>
        <w:t xml:space="preserve"> </w:t>
      </w:r>
      <w:r w:rsidRPr="00A567F2">
        <w:rPr>
          <w:color w:val="000000" w:themeColor="text1"/>
        </w:rPr>
        <w:t>= .044, ηp</w:t>
      </w:r>
      <w:r w:rsidRPr="00A567F2">
        <w:rPr>
          <w:color w:val="000000" w:themeColor="text1"/>
          <w:vertAlign w:val="superscript"/>
        </w:rPr>
        <w:t xml:space="preserve">2 </w:t>
      </w:r>
      <w:r w:rsidRPr="00A567F2">
        <w:rPr>
          <w:color w:val="000000" w:themeColor="text1"/>
        </w:rPr>
        <w:t>=</w:t>
      </w:r>
      <w:r w:rsidR="000F7867" w:rsidRPr="00A567F2">
        <w:rPr>
          <w:color w:val="000000" w:themeColor="text1"/>
        </w:rPr>
        <w:t xml:space="preserve"> .03),</w:t>
      </w:r>
      <w:r w:rsidRPr="00A567F2">
        <w:rPr>
          <w:color w:val="000000" w:themeColor="text1"/>
        </w:rPr>
        <w:t xml:space="preserve"> no main effect of time (</w:t>
      </w:r>
      <w:r w:rsidRPr="00A567F2">
        <w:rPr>
          <w:i/>
          <w:color w:val="000000" w:themeColor="text1"/>
        </w:rPr>
        <w:t xml:space="preserve">F </w:t>
      </w:r>
      <w:r w:rsidRPr="00A567F2">
        <w:rPr>
          <w:color w:val="000000" w:themeColor="text1"/>
        </w:rPr>
        <w:t>(1,292) = 0.86, p</w:t>
      </w:r>
      <w:r w:rsidRPr="00A567F2">
        <w:rPr>
          <w:i/>
          <w:color w:val="000000" w:themeColor="text1"/>
        </w:rPr>
        <w:t xml:space="preserve"> </w:t>
      </w:r>
      <w:r w:rsidRPr="00A567F2">
        <w:rPr>
          <w:color w:val="000000" w:themeColor="text1"/>
        </w:rPr>
        <w:t>= .356, ηp</w:t>
      </w:r>
      <w:r w:rsidRPr="00A567F2">
        <w:rPr>
          <w:color w:val="000000" w:themeColor="text1"/>
          <w:vertAlign w:val="superscript"/>
        </w:rPr>
        <w:t xml:space="preserve">2 </w:t>
      </w:r>
      <w:r w:rsidRPr="00A567F2">
        <w:rPr>
          <w:color w:val="000000" w:themeColor="text1"/>
        </w:rPr>
        <w:t>&lt;.0</w:t>
      </w:r>
      <w:r w:rsidR="00CB3E7F" w:rsidRPr="00A567F2">
        <w:rPr>
          <w:color w:val="000000" w:themeColor="text1"/>
        </w:rPr>
        <w:t>0</w:t>
      </w:r>
      <w:r w:rsidRPr="00A567F2">
        <w:rPr>
          <w:color w:val="000000" w:themeColor="text1"/>
        </w:rPr>
        <w:t>1) and no condition by time interaction (</w:t>
      </w:r>
      <w:r w:rsidRPr="00A567F2">
        <w:rPr>
          <w:i/>
          <w:color w:val="000000" w:themeColor="text1"/>
        </w:rPr>
        <w:t xml:space="preserve">F </w:t>
      </w:r>
      <w:r w:rsidRPr="00A567F2">
        <w:rPr>
          <w:color w:val="000000" w:themeColor="text1"/>
        </w:rPr>
        <w:t xml:space="preserve">(3,292) = 0.53, </w:t>
      </w:r>
      <w:r w:rsidRPr="00A567F2">
        <w:rPr>
          <w:i/>
          <w:color w:val="000000" w:themeColor="text1"/>
        </w:rPr>
        <w:t xml:space="preserve">p </w:t>
      </w:r>
      <w:r w:rsidRPr="00A567F2">
        <w:rPr>
          <w:color w:val="000000" w:themeColor="text1"/>
        </w:rPr>
        <w:t>= .662, ηp</w:t>
      </w:r>
      <w:r w:rsidRPr="00A567F2">
        <w:rPr>
          <w:color w:val="000000" w:themeColor="text1"/>
          <w:vertAlign w:val="superscript"/>
        </w:rPr>
        <w:t xml:space="preserve">2 </w:t>
      </w:r>
      <w:r w:rsidRPr="00A567F2">
        <w:rPr>
          <w:color w:val="000000" w:themeColor="text1"/>
        </w:rPr>
        <w:t>= .01)</w:t>
      </w:r>
      <w:r w:rsidR="00792A92" w:rsidRPr="00A567F2">
        <w:rPr>
          <w:color w:val="000000" w:themeColor="text1"/>
        </w:rPr>
        <w:t xml:space="preserve"> (see table 3). </w:t>
      </w:r>
    </w:p>
    <w:p w14:paraId="463ED046" w14:textId="77777777" w:rsidR="005F220F" w:rsidRPr="00A567F2" w:rsidRDefault="005F220F" w:rsidP="005F220F">
      <w:pPr>
        <w:spacing w:line="480" w:lineRule="auto"/>
        <w:rPr>
          <w:color w:val="000000" w:themeColor="text1"/>
        </w:rPr>
      </w:pPr>
    </w:p>
    <w:p w14:paraId="72C8DA14" w14:textId="6956C954" w:rsidR="005F220F" w:rsidRPr="00A567F2" w:rsidRDefault="006C2E65" w:rsidP="005F220F">
      <w:pPr>
        <w:spacing w:line="480" w:lineRule="auto"/>
        <w:rPr>
          <w:color w:val="000000" w:themeColor="text1"/>
        </w:rPr>
      </w:pPr>
      <w:r w:rsidRPr="00A567F2">
        <w:rPr>
          <w:color w:val="000000" w:themeColor="text1"/>
        </w:rPr>
        <w:t>Table 3</w:t>
      </w:r>
      <w:r w:rsidR="005F220F" w:rsidRPr="00A567F2">
        <w:rPr>
          <w:color w:val="000000" w:themeColor="text1"/>
        </w:rPr>
        <w:t xml:space="preserve">. Descriptive statistics for mean VAS scores for healthy and unhealthy foods, both pre and post training. Scores range from -100 to +100, with higher scores representing higher food value. Values are mean </w:t>
      </w:r>
      <w:r w:rsidR="005F220F" w:rsidRPr="00A567F2">
        <w:rPr>
          <w:color w:val="000000" w:themeColor="text1"/>
          <w:shd w:val="clear" w:color="auto" w:fill="FFFFFF"/>
        </w:rPr>
        <w:t>±</w:t>
      </w:r>
      <w:r w:rsidR="005F220F" w:rsidRPr="00A567F2">
        <w:rPr>
          <w:color w:val="000000" w:themeColor="text1"/>
        </w:rPr>
        <w:t xml:space="preserve"> SD.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64"/>
        <w:gridCol w:w="1559"/>
        <w:gridCol w:w="1559"/>
        <w:gridCol w:w="1639"/>
      </w:tblGrid>
      <w:tr w:rsidR="00A567F2" w:rsidRPr="00A567F2" w14:paraId="7C7EA3DD" w14:textId="77777777" w:rsidTr="00216EE5">
        <w:tc>
          <w:tcPr>
            <w:tcW w:w="2689" w:type="dxa"/>
            <w:tcBorders>
              <w:top w:val="single" w:sz="4" w:space="0" w:color="auto"/>
            </w:tcBorders>
          </w:tcPr>
          <w:p w14:paraId="1E632A81" w14:textId="77777777" w:rsidR="005F220F" w:rsidRPr="00A567F2" w:rsidRDefault="005F220F" w:rsidP="00216EE5">
            <w:pPr>
              <w:pStyle w:val="p1"/>
              <w:spacing w:line="480" w:lineRule="auto"/>
              <w:rPr>
                <w:rFonts w:ascii="Times New Roman" w:hAnsi="Times New Roman"/>
                <w:iCs/>
                <w:color w:val="000000" w:themeColor="text1"/>
                <w:sz w:val="24"/>
                <w:szCs w:val="24"/>
              </w:rPr>
            </w:pPr>
          </w:p>
        </w:tc>
        <w:tc>
          <w:tcPr>
            <w:tcW w:w="3123" w:type="dxa"/>
            <w:gridSpan w:val="2"/>
            <w:tcBorders>
              <w:top w:val="single" w:sz="4" w:space="0" w:color="auto"/>
            </w:tcBorders>
            <w:vAlign w:val="center"/>
          </w:tcPr>
          <w:p w14:paraId="5D624671" w14:textId="77777777" w:rsidR="005F220F" w:rsidRPr="00A567F2" w:rsidRDefault="005F220F"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Healthy food VAS</w:t>
            </w:r>
          </w:p>
        </w:tc>
        <w:tc>
          <w:tcPr>
            <w:tcW w:w="3198" w:type="dxa"/>
            <w:gridSpan w:val="2"/>
            <w:tcBorders>
              <w:top w:val="single" w:sz="4" w:space="0" w:color="auto"/>
            </w:tcBorders>
            <w:vAlign w:val="center"/>
          </w:tcPr>
          <w:p w14:paraId="1E354401" w14:textId="77777777" w:rsidR="005F220F" w:rsidRPr="00A567F2" w:rsidRDefault="005F220F"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Unhealthy food VAS</w:t>
            </w:r>
          </w:p>
        </w:tc>
      </w:tr>
      <w:tr w:rsidR="00A567F2" w:rsidRPr="00A567F2" w14:paraId="05F53FA8" w14:textId="77777777" w:rsidTr="00216EE5">
        <w:tc>
          <w:tcPr>
            <w:tcW w:w="2689" w:type="dxa"/>
            <w:tcBorders>
              <w:bottom w:val="single" w:sz="4" w:space="0" w:color="auto"/>
            </w:tcBorders>
          </w:tcPr>
          <w:p w14:paraId="21615CC2"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lastRenderedPageBreak/>
              <w:t>Condition</w:t>
            </w:r>
          </w:p>
        </w:tc>
        <w:tc>
          <w:tcPr>
            <w:tcW w:w="1564" w:type="dxa"/>
            <w:tcBorders>
              <w:bottom w:val="single" w:sz="4" w:space="0" w:color="auto"/>
            </w:tcBorders>
            <w:vAlign w:val="center"/>
          </w:tcPr>
          <w:p w14:paraId="2F30418A" w14:textId="4668DECD" w:rsidR="005F220F" w:rsidRPr="00A567F2" w:rsidRDefault="0009066B"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Pre </w:t>
            </w:r>
            <w:r w:rsidR="005F220F" w:rsidRPr="00A567F2">
              <w:rPr>
                <w:rFonts w:ascii="Times New Roman" w:hAnsi="Times New Roman"/>
                <w:iCs/>
                <w:color w:val="000000" w:themeColor="text1"/>
                <w:sz w:val="24"/>
                <w:szCs w:val="24"/>
              </w:rPr>
              <w:t>training</w:t>
            </w:r>
          </w:p>
        </w:tc>
        <w:tc>
          <w:tcPr>
            <w:tcW w:w="1559" w:type="dxa"/>
            <w:tcBorders>
              <w:bottom w:val="single" w:sz="4" w:space="0" w:color="auto"/>
            </w:tcBorders>
            <w:vAlign w:val="center"/>
          </w:tcPr>
          <w:p w14:paraId="694F1469" w14:textId="14E71B26" w:rsidR="005F220F" w:rsidRPr="00A567F2" w:rsidRDefault="004B5E97"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Post </w:t>
            </w:r>
            <w:r w:rsidR="005F220F" w:rsidRPr="00A567F2">
              <w:rPr>
                <w:rFonts w:ascii="Times New Roman" w:hAnsi="Times New Roman"/>
                <w:iCs/>
                <w:color w:val="000000" w:themeColor="text1"/>
                <w:sz w:val="24"/>
                <w:szCs w:val="24"/>
              </w:rPr>
              <w:t>training</w:t>
            </w:r>
          </w:p>
        </w:tc>
        <w:tc>
          <w:tcPr>
            <w:tcW w:w="1559" w:type="dxa"/>
            <w:tcBorders>
              <w:bottom w:val="single" w:sz="4" w:space="0" w:color="auto"/>
            </w:tcBorders>
            <w:vAlign w:val="center"/>
          </w:tcPr>
          <w:p w14:paraId="19CEF2B6" w14:textId="4864E045" w:rsidR="005F220F" w:rsidRPr="00A567F2" w:rsidRDefault="0009066B"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Pre </w:t>
            </w:r>
            <w:r w:rsidR="005F220F" w:rsidRPr="00A567F2">
              <w:rPr>
                <w:rFonts w:ascii="Times New Roman" w:hAnsi="Times New Roman"/>
                <w:iCs/>
                <w:color w:val="000000" w:themeColor="text1"/>
                <w:sz w:val="24"/>
                <w:szCs w:val="24"/>
              </w:rPr>
              <w:t>training</w:t>
            </w:r>
          </w:p>
        </w:tc>
        <w:tc>
          <w:tcPr>
            <w:tcW w:w="1639" w:type="dxa"/>
            <w:tcBorders>
              <w:bottom w:val="single" w:sz="4" w:space="0" w:color="auto"/>
            </w:tcBorders>
            <w:vAlign w:val="center"/>
          </w:tcPr>
          <w:p w14:paraId="3341FF8B" w14:textId="5A948F67" w:rsidR="005F220F" w:rsidRPr="00A567F2" w:rsidRDefault="004B5E97" w:rsidP="00216EE5">
            <w:pPr>
              <w:pStyle w:val="p1"/>
              <w:spacing w:line="480" w:lineRule="auto"/>
              <w:jc w:val="center"/>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 xml:space="preserve">Post </w:t>
            </w:r>
            <w:r w:rsidR="005F220F" w:rsidRPr="00A567F2">
              <w:rPr>
                <w:rFonts w:ascii="Times New Roman" w:hAnsi="Times New Roman"/>
                <w:iCs/>
                <w:color w:val="000000" w:themeColor="text1"/>
                <w:sz w:val="24"/>
                <w:szCs w:val="24"/>
              </w:rPr>
              <w:t>training</w:t>
            </w:r>
          </w:p>
        </w:tc>
      </w:tr>
      <w:tr w:rsidR="00A567F2" w:rsidRPr="00A567F2" w14:paraId="656AB557" w14:textId="77777777" w:rsidTr="00216EE5">
        <w:tc>
          <w:tcPr>
            <w:tcW w:w="2689" w:type="dxa"/>
            <w:tcBorders>
              <w:top w:val="single" w:sz="4" w:space="0" w:color="auto"/>
            </w:tcBorders>
          </w:tcPr>
          <w:p w14:paraId="2C97C070"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 Congruent Trials</w:t>
            </w:r>
          </w:p>
        </w:tc>
        <w:tc>
          <w:tcPr>
            <w:tcW w:w="1564" w:type="dxa"/>
            <w:tcBorders>
              <w:top w:val="single" w:sz="4" w:space="0" w:color="auto"/>
            </w:tcBorders>
          </w:tcPr>
          <w:p w14:paraId="54BE4933"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31.20 (31.13)</w:t>
            </w:r>
          </w:p>
        </w:tc>
        <w:tc>
          <w:tcPr>
            <w:tcW w:w="1559" w:type="dxa"/>
            <w:tcBorders>
              <w:top w:val="single" w:sz="4" w:space="0" w:color="auto"/>
            </w:tcBorders>
          </w:tcPr>
          <w:p w14:paraId="230B126E"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33.95 (26.10)</w:t>
            </w:r>
          </w:p>
        </w:tc>
        <w:tc>
          <w:tcPr>
            <w:tcW w:w="1559" w:type="dxa"/>
            <w:tcBorders>
              <w:top w:val="single" w:sz="4" w:space="0" w:color="auto"/>
            </w:tcBorders>
          </w:tcPr>
          <w:p w14:paraId="7ACEC4D3"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23.51 (31.29)</w:t>
            </w:r>
          </w:p>
        </w:tc>
        <w:tc>
          <w:tcPr>
            <w:tcW w:w="1639" w:type="dxa"/>
            <w:tcBorders>
              <w:top w:val="single" w:sz="4" w:space="0" w:color="auto"/>
            </w:tcBorders>
          </w:tcPr>
          <w:p w14:paraId="6961BBB3"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21.21 (34.41)</w:t>
            </w:r>
          </w:p>
        </w:tc>
      </w:tr>
      <w:tr w:rsidR="00A567F2" w:rsidRPr="00A567F2" w14:paraId="0BC5D572" w14:textId="77777777" w:rsidTr="00216EE5">
        <w:tc>
          <w:tcPr>
            <w:tcW w:w="2689" w:type="dxa"/>
          </w:tcPr>
          <w:p w14:paraId="49BBB959"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50% Congruent Trials</w:t>
            </w:r>
          </w:p>
        </w:tc>
        <w:tc>
          <w:tcPr>
            <w:tcW w:w="1564" w:type="dxa"/>
          </w:tcPr>
          <w:p w14:paraId="41C27701"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39.31 (23.21)</w:t>
            </w:r>
          </w:p>
        </w:tc>
        <w:tc>
          <w:tcPr>
            <w:tcW w:w="1559" w:type="dxa"/>
          </w:tcPr>
          <w:p w14:paraId="5C5C3BE0"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38.69 (27.65)</w:t>
            </w:r>
          </w:p>
        </w:tc>
        <w:tc>
          <w:tcPr>
            <w:tcW w:w="1559" w:type="dxa"/>
          </w:tcPr>
          <w:p w14:paraId="5971EA66"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28.48 (32.84)</w:t>
            </w:r>
          </w:p>
        </w:tc>
        <w:tc>
          <w:tcPr>
            <w:tcW w:w="1639" w:type="dxa"/>
          </w:tcPr>
          <w:p w14:paraId="023A25B9"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22.87 (40.66)</w:t>
            </w:r>
          </w:p>
        </w:tc>
      </w:tr>
      <w:tr w:rsidR="00A567F2" w:rsidRPr="00A567F2" w14:paraId="7415DAA0" w14:textId="77777777" w:rsidTr="00216EE5">
        <w:trPr>
          <w:trHeight w:val="699"/>
        </w:trPr>
        <w:tc>
          <w:tcPr>
            <w:tcW w:w="2689" w:type="dxa"/>
          </w:tcPr>
          <w:p w14:paraId="3F9A2279"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75% Congruent Trials</w:t>
            </w:r>
          </w:p>
        </w:tc>
        <w:tc>
          <w:tcPr>
            <w:tcW w:w="1564" w:type="dxa"/>
          </w:tcPr>
          <w:p w14:paraId="1729654D"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37.43 (27.52)</w:t>
            </w:r>
          </w:p>
        </w:tc>
        <w:tc>
          <w:tcPr>
            <w:tcW w:w="1559" w:type="dxa"/>
          </w:tcPr>
          <w:p w14:paraId="2A1FEE00"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40.15 (28.13)</w:t>
            </w:r>
          </w:p>
        </w:tc>
        <w:tc>
          <w:tcPr>
            <w:tcW w:w="1559" w:type="dxa"/>
          </w:tcPr>
          <w:p w14:paraId="25FA443A"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24.60 (38.34)</w:t>
            </w:r>
          </w:p>
        </w:tc>
        <w:tc>
          <w:tcPr>
            <w:tcW w:w="1639" w:type="dxa"/>
          </w:tcPr>
          <w:p w14:paraId="0D1830D4"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20.37 (33.48)</w:t>
            </w:r>
          </w:p>
        </w:tc>
      </w:tr>
      <w:tr w:rsidR="005F220F" w:rsidRPr="00A567F2" w14:paraId="14F5177F" w14:textId="77777777" w:rsidTr="00216EE5">
        <w:tc>
          <w:tcPr>
            <w:tcW w:w="2689" w:type="dxa"/>
            <w:tcBorders>
              <w:bottom w:val="single" w:sz="4" w:space="0" w:color="auto"/>
            </w:tcBorders>
          </w:tcPr>
          <w:p w14:paraId="05713360"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100% Congruent Trials</w:t>
            </w:r>
          </w:p>
        </w:tc>
        <w:tc>
          <w:tcPr>
            <w:tcW w:w="1564" w:type="dxa"/>
            <w:tcBorders>
              <w:bottom w:val="single" w:sz="4" w:space="0" w:color="auto"/>
            </w:tcBorders>
          </w:tcPr>
          <w:p w14:paraId="62CC981B"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38.72 (30.74)</w:t>
            </w:r>
          </w:p>
        </w:tc>
        <w:tc>
          <w:tcPr>
            <w:tcW w:w="1559" w:type="dxa"/>
            <w:tcBorders>
              <w:bottom w:val="single" w:sz="4" w:space="0" w:color="auto"/>
            </w:tcBorders>
          </w:tcPr>
          <w:p w14:paraId="5DF4206B"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46.60 (29.31)</w:t>
            </w:r>
          </w:p>
        </w:tc>
        <w:tc>
          <w:tcPr>
            <w:tcW w:w="1559" w:type="dxa"/>
            <w:tcBorders>
              <w:bottom w:val="single" w:sz="4" w:space="0" w:color="auto"/>
            </w:tcBorders>
          </w:tcPr>
          <w:p w14:paraId="798C9630"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20.22 (32.85)</w:t>
            </w:r>
          </w:p>
        </w:tc>
        <w:tc>
          <w:tcPr>
            <w:tcW w:w="1639" w:type="dxa"/>
            <w:tcBorders>
              <w:bottom w:val="single" w:sz="4" w:space="0" w:color="auto"/>
            </w:tcBorders>
          </w:tcPr>
          <w:p w14:paraId="216AB02B"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9.28 (37.10)</w:t>
            </w:r>
          </w:p>
        </w:tc>
      </w:tr>
    </w:tbl>
    <w:p w14:paraId="19932D9E" w14:textId="77777777" w:rsidR="005F220F" w:rsidRPr="00A567F2" w:rsidRDefault="005F220F" w:rsidP="005F220F">
      <w:pPr>
        <w:spacing w:line="480" w:lineRule="auto"/>
        <w:rPr>
          <w:color w:val="000000" w:themeColor="text1"/>
        </w:rPr>
      </w:pPr>
    </w:p>
    <w:p w14:paraId="3E49CF01" w14:textId="77777777" w:rsidR="005F220F" w:rsidRPr="00A567F2" w:rsidRDefault="005F220F" w:rsidP="005F220F">
      <w:pPr>
        <w:spacing w:line="480" w:lineRule="auto"/>
        <w:rPr>
          <w:color w:val="000000" w:themeColor="text1"/>
        </w:rPr>
      </w:pPr>
    </w:p>
    <w:p w14:paraId="33A282EB" w14:textId="4AC2CE25" w:rsidR="005F220F" w:rsidRPr="00A567F2" w:rsidRDefault="00912D55" w:rsidP="005F220F">
      <w:pPr>
        <w:spacing w:line="480" w:lineRule="auto"/>
        <w:rPr>
          <w:i/>
          <w:color w:val="000000" w:themeColor="text1"/>
        </w:rPr>
      </w:pPr>
      <w:r w:rsidRPr="00A567F2">
        <w:rPr>
          <w:i/>
          <w:color w:val="000000" w:themeColor="text1"/>
        </w:rPr>
        <w:t>3.2.2.</w:t>
      </w:r>
      <w:r w:rsidR="005F220F" w:rsidRPr="00A567F2">
        <w:rPr>
          <w:i/>
          <w:color w:val="000000" w:themeColor="text1"/>
        </w:rPr>
        <w:t xml:space="preserve"> Hypothesis t</w:t>
      </w:r>
      <w:r w:rsidR="006D519E" w:rsidRPr="00A567F2">
        <w:rPr>
          <w:i/>
          <w:color w:val="000000" w:themeColor="text1"/>
        </w:rPr>
        <w:t>wo (</w:t>
      </w:r>
      <w:r w:rsidR="005F220F" w:rsidRPr="00A567F2">
        <w:rPr>
          <w:i/>
          <w:color w:val="000000" w:themeColor="text1"/>
        </w:rPr>
        <w:t>Participants who experience unhealthy food images paired with 100% negative images will make healthier explicit food choices post training compared to those where unhealthy stimuli are paired with fewer negative images (75%, 50% and 25%)</w:t>
      </w:r>
      <w:r w:rsidR="006D519E" w:rsidRPr="00A567F2">
        <w:rPr>
          <w:i/>
          <w:color w:val="000000" w:themeColor="text1"/>
        </w:rPr>
        <w:t>)</w:t>
      </w:r>
    </w:p>
    <w:p w14:paraId="23033D13" w14:textId="4A3DAF87" w:rsidR="005F220F" w:rsidRPr="00A567F2" w:rsidRDefault="005F220F" w:rsidP="00912D55">
      <w:pPr>
        <w:spacing w:line="480" w:lineRule="auto"/>
        <w:ind w:firstLine="720"/>
        <w:rPr>
          <w:color w:val="000000" w:themeColor="text1"/>
        </w:rPr>
      </w:pPr>
      <w:r w:rsidRPr="00A567F2">
        <w:rPr>
          <w:color w:val="000000" w:themeColor="text1"/>
        </w:rPr>
        <w:t>A one way ANCOVA was conducted, with condition (congruent trials: 100%, 75%, 50% and 25%) as the independent variable, explicit preference score as the dependent variable and number of inhibition errors as the covariate. The analysis showed a significant effect of condition (</w:t>
      </w:r>
      <w:r w:rsidRPr="00A567F2">
        <w:rPr>
          <w:i/>
          <w:color w:val="000000" w:themeColor="text1"/>
        </w:rPr>
        <w:t xml:space="preserve">F </w:t>
      </w:r>
      <w:r w:rsidRPr="00A567F2">
        <w:rPr>
          <w:color w:val="000000" w:themeColor="text1"/>
        </w:rPr>
        <w:t>(3,289) = 4.16, p = .007, ηp</w:t>
      </w:r>
      <w:r w:rsidRPr="00A567F2">
        <w:rPr>
          <w:color w:val="000000" w:themeColor="text1"/>
          <w:vertAlign w:val="superscript"/>
        </w:rPr>
        <w:t xml:space="preserve">2 </w:t>
      </w:r>
      <w:r w:rsidRPr="00A567F2">
        <w:rPr>
          <w:color w:val="000000" w:themeColor="text1"/>
        </w:rPr>
        <w:t>= .04), with post-hoc tests revealing a significant difference between the 100% and 50% groups, with the 100% group making healthier choices than the 50% group (p</w:t>
      </w:r>
      <w:r w:rsidRPr="00A567F2">
        <w:rPr>
          <w:i/>
          <w:color w:val="000000" w:themeColor="text1"/>
        </w:rPr>
        <w:t xml:space="preserve"> </w:t>
      </w:r>
      <w:r w:rsidRPr="00A567F2">
        <w:rPr>
          <w:color w:val="000000" w:themeColor="text1"/>
        </w:rPr>
        <w:t>= .026). This was also the case where median ‘go’ RT was used as the covariate (</w:t>
      </w:r>
      <w:r w:rsidRPr="00A567F2">
        <w:rPr>
          <w:i/>
          <w:color w:val="000000" w:themeColor="text1"/>
        </w:rPr>
        <w:t xml:space="preserve">F </w:t>
      </w:r>
      <w:r w:rsidRPr="00A567F2">
        <w:rPr>
          <w:color w:val="000000" w:themeColor="text1"/>
        </w:rPr>
        <w:t>(3,289) = 4.49, p = .004, ηp</w:t>
      </w:r>
      <w:r w:rsidRPr="00A567F2">
        <w:rPr>
          <w:color w:val="000000" w:themeColor="text1"/>
          <w:vertAlign w:val="superscript"/>
        </w:rPr>
        <w:t xml:space="preserve">2 </w:t>
      </w:r>
      <w:r w:rsidRPr="00A567F2">
        <w:rPr>
          <w:color w:val="000000" w:themeColor="text1"/>
        </w:rPr>
        <w:t>=.05) with the 100% group making healthier choices than the 50% group (p = .020)</w:t>
      </w:r>
      <w:r w:rsidR="007A24DF" w:rsidRPr="00A567F2">
        <w:rPr>
          <w:color w:val="000000" w:themeColor="text1"/>
        </w:rPr>
        <w:t xml:space="preserve"> (see table 4)</w:t>
      </w:r>
      <w:r w:rsidRPr="00A567F2">
        <w:rPr>
          <w:color w:val="000000" w:themeColor="text1"/>
        </w:rPr>
        <w:t xml:space="preserve">. </w:t>
      </w:r>
    </w:p>
    <w:p w14:paraId="4E4ABA8C" w14:textId="77777777" w:rsidR="005F220F" w:rsidRPr="00A567F2" w:rsidRDefault="005F220F" w:rsidP="005F220F">
      <w:pPr>
        <w:spacing w:line="480" w:lineRule="auto"/>
        <w:rPr>
          <w:color w:val="000000" w:themeColor="text1"/>
        </w:rPr>
      </w:pPr>
    </w:p>
    <w:p w14:paraId="23E372FD" w14:textId="733A9705" w:rsidR="005F220F" w:rsidRPr="00A567F2" w:rsidRDefault="006C2E65" w:rsidP="005F220F">
      <w:pPr>
        <w:spacing w:line="480" w:lineRule="auto"/>
        <w:rPr>
          <w:color w:val="000000" w:themeColor="text1"/>
        </w:rPr>
      </w:pPr>
      <w:r w:rsidRPr="00A567F2">
        <w:rPr>
          <w:color w:val="000000" w:themeColor="text1"/>
        </w:rPr>
        <w:t>Table 4</w:t>
      </w:r>
      <w:r w:rsidR="005F220F" w:rsidRPr="00A567F2">
        <w:rPr>
          <w:color w:val="000000" w:themeColor="text1"/>
        </w:rPr>
        <w:t xml:space="preserve">. Mean and standard deviation for explicit preference score. </w:t>
      </w:r>
      <w:r w:rsidR="00307D3C" w:rsidRPr="00A567F2">
        <w:rPr>
          <w:color w:val="000000" w:themeColor="text1"/>
        </w:rPr>
        <w:t>Higher scores represent</w:t>
      </w:r>
      <w:r w:rsidR="002E11B7" w:rsidRPr="00A567F2">
        <w:rPr>
          <w:color w:val="000000" w:themeColor="text1"/>
        </w:rPr>
        <w:t xml:space="preserve"> increased healthy choices</w:t>
      </w:r>
      <w:r w:rsidR="005F220F" w:rsidRPr="00A567F2">
        <w:rPr>
          <w:color w:val="000000" w:themeColor="text1"/>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567F2" w:rsidRPr="00A567F2" w14:paraId="58467659" w14:textId="77777777" w:rsidTr="00216EE5">
        <w:trPr>
          <w:trHeight w:val="283"/>
        </w:trPr>
        <w:tc>
          <w:tcPr>
            <w:tcW w:w="4505" w:type="dxa"/>
            <w:tcBorders>
              <w:top w:val="single" w:sz="4" w:space="0" w:color="auto"/>
              <w:bottom w:val="single" w:sz="4" w:space="0" w:color="auto"/>
            </w:tcBorders>
          </w:tcPr>
          <w:p w14:paraId="67BF1D7D" w14:textId="77777777" w:rsidR="005F220F" w:rsidRPr="00A567F2" w:rsidRDefault="005F220F" w:rsidP="00216EE5">
            <w:pPr>
              <w:spacing w:line="480" w:lineRule="auto"/>
              <w:rPr>
                <w:color w:val="000000" w:themeColor="text1"/>
              </w:rPr>
            </w:pPr>
            <w:r w:rsidRPr="00A567F2">
              <w:rPr>
                <w:color w:val="000000" w:themeColor="text1"/>
              </w:rPr>
              <w:t>Condition</w:t>
            </w:r>
          </w:p>
        </w:tc>
        <w:tc>
          <w:tcPr>
            <w:tcW w:w="4505" w:type="dxa"/>
            <w:tcBorders>
              <w:top w:val="single" w:sz="4" w:space="0" w:color="auto"/>
              <w:bottom w:val="single" w:sz="4" w:space="0" w:color="auto"/>
            </w:tcBorders>
          </w:tcPr>
          <w:p w14:paraId="29DB2C7D" w14:textId="77777777" w:rsidR="005F220F" w:rsidRPr="00A567F2" w:rsidRDefault="005F220F" w:rsidP="00216EE5">
            <w:pPr>
              <w:spacing w:line="480" w:lineRule="auto"/>
              <w:rPr>
                <w:color w:val="000000" w:themeColor="text1"/>
              </w:rPr>
            </w:pPr>
            <w:r w:rsidRPr="00A567F2">
              <w:rPr>
                <w:color w:val="000000" w:themeColor="text1"/>
              </w:rPr>
              <w:t>Mean explicit preference (</w:t>
            </w:r>
            <w:r w:rsidRPr="00A567F2">
              <w:rPr>
                <w:color w:val="000000" w:themeColor="text1"/>
                <w:shd w:val="clear" w:color="auto" w:fill="FFFFFF"/>
              </w:rPr>
              <w:t>±</w:t>
            </w:r>
            <w:r w:rsidRPr="00A567F2">
              <w:rPr>
                <w:color w:val="000000" w:themeColor="text1"/>
              </w:rPr>
              <w:t xml:space="preserve"> SD)</w:t>
            </w:r>
          </w:p>
        </w:tc>
      </w:tr>
      <w:tr w:rsidR="00A567F2" w:rsidRPr="00A567F2" w14:paraId="48C3990F" w14:textId="77777777" w:rsidTr="00216EE5">
        <w:trPr>
          <w:trHeight w:val="386"/>
        </w:trPr>
        <w:tc>
          <w:tcPr>
            <w:tcW w:w="4505" w:type="dxa"/>
            <w:tcBorders>
              <w:top w:val="single" w:sz="4" w:space="0" w:color="auto"/>
            </w:tcBorders>
          </w:tcPr>
          <w:p w14:paraId="2237245A"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25% Congruent Trials</w:t>
            </w:r>
          </w:p>
        </w:tc>
        <w:tc>
          <w:tcPr>
            <w:tcW w:w="4505" w:type="dxa"/>
            <w:tcBorders>
              <w:top w:val="single" w:sz="4" w:space="0" w:color="auto"/>
            </w:tcBorders>
            <w:vAlign w:val="center"/>
          </w:tcPr>
          <w:p w14:paraId="387A5960" w14:textId="77777777" w:rsidR="005F220F" w:rsidRPr="00A567F2" w:rsidRDefault="005F220F" w:rsidP="00216EE5">
            <w:pPr>
              <w:spacing w:line="480" w:lineRule="auto"/>
              <w:ind w:left="-77" w:firstLine="77"/>
              <w:rPr>
                <w:color w:val="000000" w:themeColor="text1"/>
              </w:rPr>
            </w:pPr>
            <w:r w:rsidRPr="00A567F2">
              <w:rPr>
                <w:color w:val="000000" w:themeColor="text1"/>
              </w:rPr>
              <w:t>1.07 (0.70)</w:t>
            </w:r>
          </w:p>
        </w:tc>
      </w:tr>
      <w:tr w:rsidR="00A567F2" w:rsidRPr="00A567F2" w14:paraId="7CE1C00B" w14:textId="77777777" w:rsidTr="00216EE5">
        <w:trPr>
          <w:trHeight w:val="386"/>
        </w:trPr>
        <w:tc>
          <w:tcPr>
            <w:tcW w:w="4505" w:type="dxa"/>
          </w:tcPr>
          <w:p w14:paraId="12D39E7B"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lastRenderedPageBreak/>
              <w:t>50% Congruent Trials</w:t>
            </w:r>
          </w:p>
        </w:tc>
        <w:tc>
          <w:tcPr>
            <w:tcW w:w="4505" w:type="dxa"/>
            <w:vAlign w:val="center"/>
          </w:tcPr>
          <w:p w14:paraId="5B7399D7" w14:textId="77777777" w:rsidR="005F220F" w:rsidRPr="00A567F2" w:rsidRDefault="005F220F" w:rsidP="00216EE5">
            <w:pPr>
              <w:spacing w:line="480" w:lineRule="auto"/>
              <w:rPr>
                <w:color w:val="000000" w:themeColor="text1"/>
              </w:rPr>
            </w:pPr>
            <w:r w:rsidRPr="00A567F2">
              <w:rPr>
                <w:color w:val="000000" w:themeColor="text1"/>
              </w:rPr>
              <w:t>0.98 (0.73)</w:t>
            </w:r>
          </w:p>
        </w:tc>
      </w:tr>
      <w:tr w:rsidR="00A567F2" w:rsidRPr="00A567F2" w14:paraId="53586233" w14:textId="77777777" w:rsidTr="00216EE5">
        <w:trPr>
          <w:trHeight w:val="386"/>
        </w:trPr>
        <w:tc>
          <w:tcPr>
            <w:tcW w:w="4505" w:type="dxa"/>
          </w:tcPr>
          <w:p w14:paraId="7B915842"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75% Congruent Trials</w:t>
            </w:r>
          </w:p>
        </w:tc>
        <w:tc>
          <w:tcPr>
            <w:tcW w:w="4505" w:type="dxa"/>
            <w:vAlign w:val="center"/>
          </w:tcPr>
          <w:p w14:paraId="11F3DC55" w14:textId="77777777" w:rsidR="005F220F" w:rsidRPr="00A567F2" w:rsidRDefault="005F220F" w:rsidP="00216EE5">
            <w:pPr>
              <w:spacing w:line="480" w:lineRule="auto"/>
              <w:rPr>
                <w:color w:val="000000" w:themeColor="text1"/>
              </w:rPr>
            </w:pPr>
            <w:r w:rsidRPr="00A567F2">
              <w:rPr>
                <w:color w:val="000000" w:themeColor="text1"/>
              </w:rPr>
              <w:t>1.02 (0.67)</w:t>
            </w:r>
          </w:p>
        </w:tc>
      </w:tr>
      <w:tr w:rsidR="005F220F" w:rsidRPr="00A567F2" w14:paraId="634F9131" w14:textId="77777777" w:rsidTr="00216EE5">
        <w:trPr>
          <w:trHeight w:val="386"/>
        </w:trPr>
        <w:tc>
          <w:tcPr>
            <w:tcW w:w="4505" w:type="dxa"/>
          </w:tcPr>
          <w:p w14:paraId="00BC16A6" w14:textId="77777777" w:rsidR="005F220F" w:rsidRPr="00A567F2" w:rsidRDefault="005F220F" w:rsidP="00216EE5">
            <w:pPr>
              <w:pStyle w:val="p1"/>
              <w:spacing w:line="480" w:lineRule="auto"/>
              <w:rPr>
                <w:rFonts w:ascii="Times New Roman" w:hAnsi="Times New Roman"/>
                <w:iCs/>
                <w:color w:val="000000" w:themeColor="text1"/>
                <w:sz w:val="24"/>
                <w:szCs w:val="24"/>
              </w:rPr>
            </w:pPr>
            <w:r w:rsidRPr="00A567F2">
              <w:rPr>
                <w:rFonts w:ascii="Times New Roman" w:hAnsi="Times New Roman"/>
                <w:iCs/>
                <w:color w:val="000000" w:themeColor="text1"/>
                <w:sz w:val="24"/>
                <w:szCs w:val="24"/>
              </w:rPr>
              <w:t>100% Congruent Trials</w:t>
            </w:r>
          </w:p>
        </w:tc>
        <w:tc>
          <w:tcPr>
            <w:tcW w:w="4505" w:type="dxa"/>
            <w:vAlign w:val="center"/>
          </w:tcPr>
          <w:p w14:paraId="4ABD82CB" w14:textId="77777777" w:rsidR="005F220F" w:rsidRPr="00A567F2" w:rsidRDefault="005F220F" w:rsidP="00216EE5">
            <w:pPr>
              <w:spacing w:line="480" w:lineRule="auto"/>
              <w:rPr>
                <w:color w:val="000000" w:themeColor="text1"/>
              </w:rPr>
            </w:pPr>
            <w:r w:rsidRPr="00A567F2">
              <w:rPr>
                <w:color w:val="000000" w:themeColor="text1"/>
              </w:rPr>
              <w:t>1.29 (0.64)</w:t>
            </w:r>
          </w:p>
        </w:tc>
      </w:tr>
    </w:tbl>
    <w:p w14:paraId="7E81FC3C" w14:textId="77777777" w:rsidR="005F220F" w:rsidRPr="00A567F2" w:rsidRDefault="005F220F" w:rsidP="005F220F">
      <w:pPr>
        <w:spacing w:line="480" w:lineRule="auto"/>
        <w:rPr>
          <w:color w:val="000000" w:themeColor="text1"/>
        </w:rPr>
      </w:pPr>
    </w:p>
    <w:p w14:paraId="339CD7A1" w14:textId="49A2CFB5" w:rsidR="00F55139" w:rsidRPr="00A567F2" w:rsidRDefault="003B0EE0" w:rsidP="005F220F">
      <w:pPr>
        <w:spacing w:line="480" w:lineRule="auto"/>
        <w:rPr>
          <w:i/>
          <w:color w:val="000000" w:themeColor="text1"/>
        </w:rPr>
      </w:pPr>
      <w:r w:rsidRPr="00A567F2">
        <w:rPr>
          <w:i/>
          <w:color w:val="000000" w:themeColor="text1"/>
        </w:rPr>
        <w:t xml:space="preserve">3.2.3. </w:t>
      </w:r>
      <w:r w:rsidR="00F005B6" w:rsidRPr="00A567F2">
        <w:rPr>
          <w:i/>
          <w:color w:val="000000" w:themeColor="text1"/>
        </w:rPr>
        <w:t>Supplementary</w:t>
      </w:r>
      <w:r w:rsidR="007B3134" w:rsidRPr="00A567F2">
        <w:rPr>
          <w:i/>
          <w:color w:val="000000" w:themeColor="text1"/>
        </w:rPr>
        <w:t xml:space="preserve"> analyses</w:t>
      </w:r>
    </w:p>
    <w:p w14:paraId="22557ADE" w14:textId="6ACC081A" w:rsidR="00674727" w:rsidRPr="00A567F2" w:rsidRDefault="00674727" w:rsidP="00674727">
      <w:pPr>
        <w:spacing w:line="480" w:lineRule="auto"/>
        <w:rPr>
          <w:rFonts w:ascii="Times" w:hAnsi="Times"/>
          <w:color w:val="000000" w:themeColor="text1"/>
        </w:rPr>
      </w:pPr>
      <w:r w:rsidRPr="00A567F2">
        <w:rPr>
          <w:rFonts w:ascii="Times" w:hAnsi="Times"/>
          <w:color w:val="000000" w:themeColor="text1"/>
        </w:rPr>
        <w:tab/>
      </w:r>
      <w:r w:rsidR="00C13260" w:rsidRPr="00A567F2">
        <w:rPr>
          <w:rFonts w:ascii="Times" w:hAnsi="Times"/>
          <w:color w:val="000000" w:themeColor="text1"/>
        </w:rPr>
        <w:t>Similarly,</w:t>
      </w:r>
      <w:r w:rsidRPr="00A567F2">
        <w:rPr>
          <w:rFonts w:ascii="Times" w:hAnsi="Times"/>
          <w:color w:val="000000" w:themeColor="text1"/>
        </w:rPr>
        <w:t xml:space="preserve"> to the first analysis, </w:t>
      </w:r>
      <w:r w:rsidR="00C93CDF" w:rsidRPr="00A567F2">
        <w:rPr>
          <w:rFonts w:ascii="Times" w:hAnsi="Times"/>
          <w:color w:val="000000" w:themeColor="text1"/>
        </w:rPr>
        <w:t>several</w:t>
      </w:r>
      <w:r w:rsidRPr="00A567F2">
        <w:rPr>
          <w:rFonts w:ascii="Times" w:hAnsi="Times"/>
          <w:color w:val="000000" w:themeColor="text1"/>
        </w:rPr>
        <w:t xml:space="preserve"> supplementary analyses were conducted, which we briefly summarise here. Bayes factors </w:t>
      </w:r>
      <w:r w:rsidR="00F252B4" w:rsidRPr="00A567F2">
        <w:rPr>
          <w:rFonts w:ascii="Times" w:hAnsi="Times"/>
          <w:color w:val="000000" w:themeColor="text1"/>
        </w:rPr>
        <w:t xml:space="preserve">were calculated </w:t>
      </w:r>
      <w:r w:rsidRPr="00A567F2">
        <w:rPr>
          <w:rFonts w:ascii="Times" w:hAnsi="Times"/>
          <w:color w:val="000000" w:themeColor="text1"/>
        </w:rPr>
        <w:t>for our hypothesis tests</w:t>
      </w:r>
      <w:r w:rsidR="00F252B4" w:rsidRPr="00A567F2">
        <w:rPr>
          <w:rFonts w:ascii="Times" w:hAnsi="Times"/>
          <w:color w:val="000000" w:themeColor="text1"/>
        </w:rPr>
        <w:t xml:space="preserve">, and </w:t>
      </w:r>
      <w:r w:rsidR="008765B5" w:rsidRPr="00A567F2">
        <w:rPr>
          <w:rFonts w:ascii="Times" w:hAnsi="Times"/>
          <w:color w:val="000000" w:themeColor="text1"/>
        </w:rPr>
        <w:t>provided strong support for</w:t>
      </w:r>
      <w:r w:rsidRPr="00A567F2">
        <w:rPr>
          <w:rFonts w:ascii="Times" w:hAnsi="Times"/>
          <w:color w:val="000000" w:themeColor="text1"/>
        </w:rPr>
        <w:t xml:space="preserve"> the Null Hypothes</w:t>
      </w:r>
      <w:r w:rsidR="00A948E1" w:rsidRPr="00A567F2">
        <w:rPr>
          <w:rFonts w:ascii="Times" w:hAnsi="Times"/>
          <w:color w:val="000000" w:themeColor="text1"/>
        </w:rPr>
        <w:t>es on devalu</w:t>
      </w:r>
      <w:r w:rsidR="00915649" w:rsidRPr="00A567F2">
        <w:rPr>
          <w:rFonts w:ascii="Times" w:hAnsi="Times"/>
          <w:color w:val="000000" w:themeColor="text1"/>
        </w:rPr>
        <w:t>a</w:t>
      </w:r>
      <w:r w:rsidR="00A948E1" w:rsidRPr="00A567F2">
        <w:rPr>
          <w:rFonts w:ascii="Times" w:hAnsi="Times"/>
          <w:color w:val="000000" w:themeColor="text1"/>
        </w:rPr>
        <w:t xml:space="preserve">tion </w:t>
      </w:r>
      <w:r w:rsidRPr="00A567F2">
        <w:rPr>
          <w:rFonts w:ascii="Times" w:hAnsi="Times"/>
          <w:color w:val="000000" w:themeColor="text1"/>
        </w:rPr>
        <w:t>(BF</w:t>
      </w:r>
      <w:r w:rsidRPr="00A567F2">
        <w:rPr>
          <w:rFonts w:ascii="Times" w:hAnsi="Times"/>
          <w:color w:val="000000" w:themeColor="text1"/>
          <w:vertAlign w:val="superscript"/>
        </w:rPr>
        <w:t>01</w:t>
      </w:r>
      <w:r w:rsidRPr="00A567F2">
        <w:rPr>
          <w:rFonts w:ascii="Times" w:hAnsi="Times"/>
          <w:color w:val="000000" w:themeColor="text1"/>
        </w:rPr>
        <w:t xml:space="preserve">s &gt; </w:t>
      </w:r>
      <w:r w:rsidR="00325EE5" w:rsidRPr="00A567F2">
        <w:rPr>
          <w:color w:val="000000" w:themeColor="text1"/>
        </w:rPr>
        <w:t>51.93</w:t>
      </w:r>
      <w:r w:rsidRPr="00A567F2">
        <w:rPr>
          <w:color w:val="000000" w:themeColor="text1"/>
        </w:rPr>
        <w:t>)</w:t>
      </w:r>
      <w:r w:rsidR="00A948E1" w:rsidRPr="00A567F2">
        <w:rPr>
          <w:color w:val="000000" w:themeColor="text1"/>
        </w:rPr>
        <w:t>, and weak evidence for the effect on food choice (BF</w:t>
      </w:r>
      <w:r w:rsidR="00A948E1" w:rsidRPr="00A567F2">
        <w:rPr>
          <w:color w:val="000000" w:themeColor="text1"/>
          <w:vertAlign w:val="superscript"/>
        </w:rPr>
        <w:t>01</w:t>
      </w:r>
      <w:r w:rsidR="00A948E1" w:rsidRPr="00A567F2">
        <w:rPr>
          <w:color w:val="000000" w:themeColor="text1"/>
        </w:rPr>
        <w:t>s ~ 1.16)</w:t>
      </w:r>
      <w:r w:rsidRPr="00A567F2">
        <w:rPr>
          <w:color w:val="000000" w:themeColor="text1"/>
        </w:rPr>
        <w:t xml:space="preserve"> </w:t>
      </w:r>
      <w:r w:rsidR="00F86EB5" w:rsidRPr="00A567F2">
        <w:rPr>
          <w:color w:val="000000" w:themeColor="text1"/>
        </w:rPr>
        <w:t>Secondly, the analyses revealed that there were no</w:t>
      </w:r>
      <w:r w:rsidR="00A62289" w:rsidRPr="00A567F2">
        <w:rPr>
          <w:color w:val="000000" w:themeColor="text1"/>
        </w:rPr>
        <w:t xml:space="preserve"> effects of generalisation, with no differences in preference </w:t>
      </w:r>
      <w:r w:rsidR="00F86EB5" w:rsidRPr="00A567F2">
        <w:rPr>
          <w:color w:val="000000" w:themeColor="text1"/>
        </w:rPr>
        <w:t xml:space="preserve">between novel and trained images. </w:t>
      </w:r>
      <w:r w:rsidRPr="00A567F2">
        <w:rPr>
          <w:color w:val="000000" w:themeColor="text1"/>
        </w:rPr>
        <w:t xml:space="preserve">Finally, 70 participants were able to successfully identify the experimental aims, yet removal of these participants did not meaningfully change </w:t>
      </w:r>
      <w:r w:rsidR="004C7239" w:rsidRPr="00A567F2">
        <w:rPr>
          <w:color w:val="000000" w:themeColor="text1"/>
        </w:rPr>
        <w:t>the outcome of the analyses</w:t>
      </w:r>
      <w:r w:rsidRPr="00A567F2">
        <w:rPr>
          <w:color w:val="000000" w:themeColor="text1"/>
        </w:rPr>
        <w:t xml:space="preserve">. </w:t>
      </w:r>
    </w:p>
    <w:p w14:paraId="65C71AA1" w14:textId="77777777" w:rsidR="00674727" w:rsidRPr="00A567F2" w:rsidRDefault="00674727" w:rsidP="00E35150">
      <w:pPr>
        <w:spacing w:line="480" w:lineRule="auto"/>
        <w:rPr>
          <w:b/>
          <w:color w:val="000000" w:themeColor="text1"/>
        </w:rPr>
      </w:pPr>
    </w:p>
    <w:p w14:paraId="71954A70" w14:textId="75AEF225" w:rsidR="003718DF" w:rsidRPr="00A567F2" w:rsidRDefault="003B0EE0" w:rsidP="003B0EE0">
      <w:pPr>
        <w:spacing w:line="480" w:lineRule="auto"/>
        <w:jc w:val="center"/>
        <w:rPr>
          <w:b/>
          <w:color w:val="000000" w:themeColor="text1"/>
        </w:rPr>
      </w:pPr>
      <w:r w:rsidRPr="00A567F2">
        <w:rPr>
          <w:b/>
          <w:color w:val="000000" w:themeColor="text1"/>
        </w:rPr>
        <w:t xml:space="preserve">4. </w:t>
      </w:r>
      <w:r w:rsidR="00E35150" w:rsidRPr="00A567F2">
        <w:rPr>
          <w:b/>
          <w:color w:val="000000" w:themeColor="text1"/>
        </w:rPr>
        <w:t>Discussion</w:t>
      </w:r>
    </w:p>
    <w:p w14:paraId="1B6AA8CC" w14:textId="094C052C" w:rsidR="00E35150" w:rsidRPr="00A567F2" w:rsidRDefault="00E35150" w:rsidP="00E35150">
      <w:pPr>
        <w:spacing w:line="480" w:lineRule="auto"/>
        <w:ind w:firstLine="720"/>
        <w:rPr>
          <w:color w:val="000000" w:themeColor="text1"/>
        </w:rPr>
      </w:pPr>
      <w:r w:rsidRPr="00A567F2">
        <w:rPr>
          <w:color w:val="000000" w:themeColor="text1"/>
        </w:rPr>
        <w:t>Across two</w:t>
      </w:r>
      <w:r w:rsidR="00A948E1" w:rsidRPr="00A567F2">
        <w:rPr>
          <w:color w:val="000000" w:themeColor="text1"/>
        </w:rPr>
        <w:t xml:space="preserve"> pre-registered</w:t>
      </w:r>
      <w:r w:rsidRPr="00A567F2">
        <w:rPr>
          <w:color w:val="000000" w:themeColor="text1"/>
        </w:rPr>
        <w:t xml:space="preserve"> studies, we investigated</w:t>
      </w:r>
      <w:r w:rsidR="00A12944" w:rsidRPr="00A567F2">
        <w:rPr>
          <w:color w:val="000000" w:themeColor="text1"/>
        </w:rPr>
        <w:t xml:space="preserve"> online</w:t>
      </w:r>
      <w:r w:rsidRPr="00A567F2">
        <w:rPr>
          <w:color w:val="000000" w:themeColor="text1"/>
        </w:rPr>
        <w:t xml:space="preserve"> CBM training techniques</w:t>
      </w:r>
      <w:r w:rsidR="00A12944" w:rsidRPr="00A567F2">
        <w:rPr>
          <w:color w:val="000000" w:themeColor="text1"/>
        </w:rPr>
        <w:t xml:space="preserve"> (</w:t>
      </w:r>
      <w:r w:rsidR="00F005B6" w:rsidRPr="00A567F2">
        <w:rPr>
          <w:color w:val="000000" w:themeColor="text1"/>
        </w:rPr>
        <w:t>Inhibitory</w:t>
      </w:r>
      <w:r w:rsidR="00A12944" w:rsidRPr="00A567F2">
        <w:rPr>
          <w:color w:val="000000" w:themeColor="text1"/>
        </w:rPr>
        <w:t xml:space="preserve"> Control training and Evaluative Conditioning)</w:t>
      </w:r>
      <w:r w:rsidRPr="00A567F2">
        <w:rPr>
          <w:color w:val="000000" w:themeColor="text1"/>
        </w:rPr>
        <w:t xml:space="preserve"> to identify the most effective training protocols for interventions designed to reduce unhealthy eating behaviours.</w:t>
      </w:r>
      <w:r w:rsidR="000F664D" w:rsidRPr="00A567F2">
        <w:rPr>
          <w:color w:val="000000" w:themeColor="text1"/>
        </w:rPr>
        <w:t xml:space="preserve"> We attempted to overcome limitations of previous research by; comparing </w:t>
      </w:r>
      <w:r w:rsidR="00A948E1" w:rsidRPr="00A567F2">
        <w:rPr>
          <w:color w:val="000000" w:themeColor="text1"/>
        </w:rPr>
        <w:t xml:space="preserve">interventions </w:t>
      </w:r>
      <w:r w:rsidR="000F664D" w:rsidRPr="00A567F2">
        <w:rPr>
          <w:color w:val="000000" w:themeColor="text1"/>
        </w:rPr>
        <w:t>to adequate control groups, examining changes in both healthy/unhealthy food-related outcomes, and adjusting for pre-existing bias</w:t>
      </w:r>
      <w:r w:rsidR="00A948E1" w:rsidRPr="00A567F2">
        <w:rPr>
          <w:color w:val="000000" w:themeColor="text1"/>
        </w:rPr>
        <w:t>es (inhibitory control to food-cues)</w:t>
      </w:r>
      <w:r w:rsidR="000F664D" w:rsidRPr="00A567F2">
        <w:rPr>
          <w:color w:val="000000" w:themeColor="text1"/>
        </w:rPr>
        <w:t xml:space="preserve"> </w:t>
      </w:r>
      <w:r w:rsidR="00A948E1" w:rsidRPr="00A567F2">
        <w:rPr>
          <w:color w:val="000000" w:themeColor="text1"/>
        </w:rPr>
        <w:t>i</w:t>
      </w:r>
      <w:r w:rsidR="000F664D" w:rsidRPr="00A567F2">
        <w:rPr>
          <w:color w:val="000000" w:themeColor="text1"/>
        </w:rPr>
        <w:t xml:space="preserve">n our models. </w:t>
      </w:r>
      <w:r w:rsidRPr="00A567F2">
        <w:rPr>
          <w:color w:val="000000" w:themeColor="text1"/>
        </w:rPr>
        <w:t xml:space="preserve"> In Study 1, it was revealed that cue-ICT training did not significantly influence healthy or unhealthy food preferences, and did not influence explicit food choices in a forced </w:t>
      </w:r>
      <w:r w:rsidR="00A12944" w:rsidRPr="00A567F2">
        <w:rPr>
          <w:color w:val="000000" w:themeColor="text1"/>
        </w:rPr>
        <w:t>choice</w:t>
      </w:r>
      <w:r w:rsidRPr="00A567F2">
        <w:rPr>
          <w:color w:val="000000" w:themeColor="text1"/>
        </w:rPr>
        <w:t xml:space="preserve"> task. The results from Study 2 showed that while EC training did not appear to significantly influence healthy or unhealthy food preferences, participants who were in the </w:t>
      </w:r>
      <w:r w:rsidRPr="00A567F2">
        <w:rPr>
          <w:color w:val="000000" w:themeColor="text1"/>
        </w:rPr>
        <w:lastRenderedPageBreak/>
        <w:t>100% training group (all unhealthy food images paired with negative health outcome images</w:t>
      </w:r>
      <w:r w:rsidR="0074029D" w:rsidRPr="00A567F2">
        <w:rPr>
          <w:color w:val="000000" w:themeColor="text1"/>
        </w:rPr>
        <w:t xml:space="preserve">, all </w:t>
      </w:r>
      <w:r w:rsidR="00A855D0" w:rsidRPr="00A567F2">
        <w:rPr>
          <w:color w:val="000000" w:themeColor="text1"/>
        </w:rPr>
        <w:t>healthy</w:t>
      </w:r>
      <w:r w:rsidR="0074029D" w:rsidRPr="00A567F2">
        <w:rPr>
          <w:color w:val="000000" w:themeColor="text1"/>
        </w:rPr>
        <w:t xml:space="preserve"> food images paired with positive health outcome images</w:t>
      </w:r>
      <w:r w:rsidRPr="00A567F2">
        <w:rPr>
          <w:color w:val="000000" w:themeColor="text1"/>
        </w:rPr>
        <w:t>) made healthier explicit food choices compared to those in the 50% training group (control group), with no other between groups differences found.</w:t>
      </w:r>
    </w:p>
    <w:p w14:paraId="42D5A5F8" w14:textId="46C383B9" w:rsidR="00260478" w:rsidRPr="00A567F2" w:rsidRDefault="00E35150" w:rsidP="00F870B2">
      <w:pPr>
        <w:spacing w:line="480" w:lineRule="auto"/>
        <w:ind w:firstLine="720"/>
        <w:rPr>
          <w:color w:val="000000" w:themeColor="text1"/>
        </w:rPr>
      </w:pPr>
      <w:r w:rsidRPr="00A567F2">
        <w:rPr>
          <w:color w:val="000000" w:themeColor="text1"/>
        </w:rPr>
        <w:t>It was hypothesised that when participating in cue-ICT or EC training with cue-inhibition contingencies or critical pairings of 100% (i.e., inhibit to 100% unhealthy food images or experience 100% of unhealthy foods paired with negative health outcome images), participants would show greater changes in food value ratings for healthy and unhealthy foods compared to lower percentage groups. It was also hypothesised that individuals with poorer levels of pre-existing inhibitory control would show greater benefits from training participation</w:t>
      </w:r>
      <w:r w:rsidR="000C12F1" w:rsidRPr="00A567F2">
        <w:rPr>
          <w:color w:val="000000" w:themeColor="text1"/>
        </w:rPr>
        <w:t xml:space="preserve"> (</w:t>
      </w:r>
      <w:r w:rsidR="004E1294" w:rsidRPr="00A567F2">
        <w:rPr>
          <w:rFonts w:ascii="Times" w:hAnsi="Times"/>
          <w:color w:val="000000" w:themeColor="text1"/>
        </w:rPr>
        <w:t>Franken &amp; van de Wetering</w:t>
      </w:r>
      <w:r w:rsidR="004E1294" w:rsidRPr="00A567F2">
        <w:rPr>
          <w:color w:val="000000" w:themeColor="text1"/>
        </w:rPr>
        <w:t xml:space="preserve">, 2015; </w:t>
      </w:r>
      <w:r w:rsidR="00BA6630" w:rsidRPr="00A567F2">
        <w:rPr>
          <w:color w:val="000000" w:themeColor="text1"/>
        </w:rPr>
        <w:t>Haynes et al., 2015; Price et al., 2015</w:t>
      </w:r>
      <w:r w:rsidR="000C12F1" w:rsidRPr="00A567F2">
        <w:rPr>
          <w:color w:val="000000" w:themeColor="text1"/>
        </w:rPr>
        <w:t>)</w:t>
      </w:r>
      <w:r w:rsidRPr="00A567F2">
        <w:rPr>
          <w:color w:val="000000" w:themeColor="text1"/>
        </w:rPr>
        <w:t xml:space="preserve">. The results </w:t>
      </w:r>
      <w:r w:rsidR="00A948E1" w:rsidRPr="00A567F2">
        <w:rPr>
          <w:color w:val="000000" w:themeColor="text1"/>
        </w:rPr>
        <w:t>demonstrated</w:t>
      </w:r>
      <w:r w:rsidRPr="00A567F2">
        <w:rPr>
          <w:color w:val="000000" w:themeColor="text1"/>
        </w:rPr>
        <w:t xml:space="preserve"> that there were no significant differences in food value ratings as a result of training participation, irrespective of </w:t>
      </w:r>
      <w:r w:rsidR="005B5183" w:rsidRPr="00A567F2">
        <w:rPr>
          <w:color w:val="000000" w:themeColor="text1"/>
        </w:rPr>
        <w:t xml:space="preserve">training type (cue-ICT or EC), </w:t>
      </w:r>
      <w:r w:rsidR="00D82490" w:rsidRPr="00A567F2">
        <w:rPr>
          <w:color w:val="000000" w:themeColor="text1"/>
        </w:rPr>
        <w:t>percentage of cue-inhibitions /</w:t>
      </w:r>
      <w:r w:rsidRPr="00A567F2">
        <w:rPr>
          <w:color w:val="000000" w:themeColor="text1"/>
        </w:rPr>
        <w:t xml:space="preserve"> critical pairings used</w:t>
      </w:r>
      <w:r w:rsidR="00D82490" w:rsidRPr="00A567F2">
        <w:rPr>
          <w:color w:val="000000" w:themeColor="text1"/>
        </w:rPr>
        <w:t>,</w:t>
      </w:r>
      <w:r w:rsidRPr="00A567F2">
        <w:rPr>
          <w:color w:val="000000" w:themeColor="text1"/>
        </w:rPr>
        <w:t xml:space="preserve"> or baseline inhibitor</w:t>
      </w:r>
      <w:r w:rsidR="006C5AF8" w:rsidRPr="00A567F2">
        <w:rPr>
          <w:color w:val="000000" w:themeColor="text1"/>
        </w:rPr>
        <w:t>y</w:t>
      </w:r>
      <w:r w:rsidR="000F664D" w:rsidRPr="00A567F2">
        <w:rPr>
          <w:color w:val="000000" w:themeColor="text1"/>
        </w:rPr>
        <w:t xml:space="preserve"> control to food-cues</w:t>
      </w:r>
      <w:r w:rsidRPr="00A567F2">
        <w:rPr>
          <w:color w:val="000000" w:themeColor="text1"/>
        </w:rPr>
        <w:t xml:space="preserve">. While cue-ICT and EC task design has not been independently investigated prior to this study, </w:t>
      </w:r>
      <w:r w:rsidR="00717A1E" w:rsidRPr="00A567F2">
        <w:rPr>
          <w:color w:val="000000" w:themeColor="text1"/>
        </w:rPr>
        <w:t>research</w:t>
      </w:r>
      <w:r w:rsidRPr="00A567F2">
        <w:rPr>
          <w:color w:val="000000" w:themeColor="text1"/>
        </w:rPr>
        <w:t xml:space="preserve"> has demonstrated that</w:t>
      </w:r>
      <w:r w:rsidR="00E84A1B" w:rsidRPr="00A567F2">
        <w:rPr>
          <w:color w:val="000000" w:themeColor="text1"/>
        </w:rPr>
        <w:t xml:space="preserve"> both</w:t>
      </w:r>
      <w:r w:rsidRPr="00A567F2">
        <w:rPr>
          <w:color w:val="000000" w:themeColor="text1"/>
        </w:rPr>
        <w:t xml:space="preserve"> </w:t>
      </w:r>
      <w:r w:rsidR="00D02E85" w:rsidRPr="00A567F2">
        <w:rPr>
          <w:color w:val="000000" w:themeColor="text1"/>
        </w:rPr>
        <w:t xml:space="preserve">lab based and online </w:t>
      </w:r>
      <w:r w:rsidRPr="00A567F2">
        <w:rPr>
          <w:color w:val="000000" w:themeColor="text1"/>
        </w:rPr>
        <w:t xml:space="preserve">cue-ICT and EC can significantly influence food preferences, with </w:t>
      </w:r>
      <w:r w:rsidR="0014486C" w:rsidRPr="00A567F2">
        <w:rPr>
          <w:color w:val="000000" w:themeColor="text1"/>
        </w:rPr>
        <w:t xml:space="preserve">CBM </w:t>
      </w:r>
      <w:r w:rsidRPr="00A567F2">
        <w:rPr>
          <w:color w:val="000000" w:themeColor="text1"/>
        </w:rPr>
        <w:t>training linked to decreased evaluations for target</w:t>
      </w:r>
      <w:r w:rsidR="003E5BB7" w:rsidRPr="00A567F2">
        <w:rPr>
          <w:color w:val="000000" w:themeColor="text1"/>
        </w:rPr>
        <w:t>ed</w:t>
      </w:r>
      <w:r w:rsidR="00200C79" w:rsidRPr="00A567F2">
        <w:rPr>
          <w:color w:val="000000" w:themeColor="text1"/>
        </w:rPr>
        <w:t xml:space="preserve"> food items </w:t>
      </w:r>
      <w:r w:rsidRPr="00A567F2">
        <w:rPr>
          <w:color w:val="000000" w:themeColor="text1"/>
        </w:rPr>
        <w:t xml:space="preserve">(Hensels &amp; Baines, 2016; Hollands </w:t>
      </w:r>
      <w:r w:rsidR="00E64E1B" w:rsidRPr="00A567F2">
        <w:rPr>
          <w:color w:val="000000" w:themeColor="text1"/>
        </w:rPr>
        <w:t>et al., 2016</w:t>
      </w:r>
      <w:r w:rsidR="00D9160B" w:rsidRPr="00A567F2">
        <w:rPr>
          <w:color w:val="000000" w:themeColor="text1"/>
        </w:rPr>
        <w:t>; Veling</w:t>
      </w:r>
      <w:r w:rsidR="000627A5" w:rsidRPr="00A567F2">
        <w:rPr>
          <w:color w:val="000000" w:themeColor="text1"/>
        </w:rPr>
        <w:t xml:space="preserve"> et al</w:t>
      </w:r>
      <w:r w:rsidRPr="00A567F2">
        <w:rPr>
          <w:color w:val="000000" w:themeColor="text1"/>
        </w:rPr>
        <w:t xml:space="preserve">., 2013a). </w:t>
      </w:r>
      <w:r w:rsidR="00C2213A" w:rsidRPr="00A567F2">
        <w:rPr>
          <w:color w:val="000000" w:themeColor="text1"/>
        </w:rPr>
        <w:t xml:space="preserve">Previous </w:t>
      </w:r>
      <w:r w:rsidR="00717A1E" w:rsidRPr="00A567F2">
        <w:rPr>
          <w:color w:val="000000" w:themeColor="text1"/>
        </w:rPr>
        <w:t>work</w:t>
      </w:r>
      <w:r w:rsidR="00C2213A" w:rsidRPr="00A567F2">
        <w:rPr>
          <w:color w:val="000000" w:themeColor="text1"/>
        </w:rPr>
        <w:t xml:space="preserve"> has highlighted the positive association between task performance and training effectiveness, with increased performance more likely at higher cue-inhibition percentages (Jones et al., 2016</w:t>
      </w:r>
      <w:r w:rsidR="002C1333" w:rsidRPr="00A567F2">
        <w:rPr>
          <w:color w:val="000000" w:themeColor="text1"/>
        </w:rPr>
        <w:t>) which suggests</w:t>
      </w:r>
      <w:r w:rsidR="007C4B00" w:rsidRPr="00A567F2">
        <w:rPr>
          <w:color w:val="000000" w:themeColor="text1"/>
        </w:rPr>
        <w:t xml:space="preserve"> that</w:t>
      </w:r>
      <w:r w:rsidR="007E6C06" w:rsidRPr="00A567F2">
        <w:rPr>
          <w:color w:val="000000" w:themeColor="text1"/>
        </w:rPr>
        <w:t xml:space="preserve"> participants in the 100% </w:t>
      </w:r>
      <w:r w:rsidR="00E165BF" w:rsidRPr="00A567F2">
        <w:rPr>
          <w:color w:val="000000" w:themeColor="text1"/>
        </w:rPr>
        <w:t xml:space="preserve">percentage groups </w:t>
      </w:r>
      <w:r w:rsidR="00365C3E" w:rsidRPr="00A567F2">
        <w:rPr>
          <w:color w:val="000000" w:themeColor="text1"/>
        </w:rPr>
        <w:t>ought</w:t>
      </w:r>
      <w:r w:rsidR="00E165BF" w:rsidRPr="00A567F2">
        <w:rPr>
          <w:color w:val="000000" w:themeColor="text1"/>
        </w:rPr>
        <w:t xml:space="preserve"> </w:t>
      </w:r>
      <w:r w:rsidR="00365C3E" w:rsidRPr="00A567F2">
        <w:rPr>
          <w:color w:val="000000" w:themeColor="text1"/>
        </w:rPr>
        <w:t xml:space="preserve">to </w:t>
      </w:r>
      <w:r w:rsidR="00E165BF" w:rsidRPr="00A567F2">
        <w:rPr>
          <w:color w:val="000000" w:themeColor="text1"/>
        </w:rPr>
        <w:t>h</w:t>
      </w:r>
      <w:r w:rsidR="005C112A" w:rsidRPr="00A567F2">
        <w:rPr>
          <w:color w:val="000000" w:themeColor="text1"/>
        </w:rPr>
        <w:t xml:space="preserve">ave </w:t>
      </w:r>
      <w:r w:rsidR="000E4CEB" w:rsidRPr="00A567F2">
        <w:rPr>
          <w:color w:val="000000" w:themeColor="text1"/>
        </w:rPr>
        <w:t>exhibited pronounced</w:t>
      </w:r>
      <w:r w:rsidR="001D70D9" w:rsidRPr="00A567F2">
        <w:rPr>
          <w:color w:val="000000" w:themeColor="text1"/>
        </w:rPr>
        <w:t xml:space="preserve"> </w:t>
      </w:r>
      <w:r w:rsidR="00E165BF" w:rsidRPr="00A567F2">
        <w:rPr>
          <w:color w:val="000000" w:themeColor="text1"/>
        </w:rPr>
        <w:t>changes to food valu</w:t>
      </w:r>
      <w:r w:rsidR="001D70D9" w:rsidRPr="00A567F2">
        <w:rPr>
          <w:color w:val="000000" w:themeColor="text1"/>
        </w:rPr>
        <w:t>e (</w:t>
      </w:r>
      <w:r w:rsidR="005C112A" w:rsidRPr="00A567F2">
        <w:rPr>
          <w:color w:val="000000" w:themeColor="text1"/>
        </w:rPr>
        <w:t>at least in comparison to the</w:t>
      </w:r>
      <w:r w:rsidR="00E165BF" w:rsidRPr="00A567F2">
        <w:rPr>
          <w:color w:val="000000" w:themeColor="text1"/>
        </w:rPr>
        <w:t xml:space="preserve"> </w:t>
      </w:r>
      <w:r w:rsidR="0034257A" w:rsidRPr="00A567F2">
        <w:rPr>
          <w:color w:val="000000" w:themeColor="text1"/>
        </w:rPr>
        <w:t xml:space="preserve">50% </w:t>
      </w:r>
      <w:r w:rsidR="00E165BF" w:rsidRPr="00A567F2">
        <w:rPr>
          <w:color w:val="000000" w:themeColor="text1"/>
        </w:rPr>
        <w:t>control groups</w:t>
      </w:r>
      <w:r w:rsidR="001D70D9" w:rsidRPr="00A567F2">
        <w:rPr>
          <w:color w:val="000000" w:themeColor="text1"/>
        </w:rPr>
        <w:t>)</w:t>
      </w:r>
      <w:r w:rsidR="00492B02" w:rsidRPr="00A567F2">
        <w:rPr>
          <w:color w:val="000000" w:themeColor="text1"/>
        </w:rPr>
        <w:t xml:space="preserve"> </w:t>
      </w:r>
      <w:r w:rsidR="009437A5" w:rsidRPr="00A567F2">
        <w:rPr>
          <w:color w:val="000000" w:themeColor="text1"/>
        </w:rPr>
        <w:t>in addition to</w:t>
      </w:r>
      <w:r w:rsidR="001C7572" w:rsidRPr="00A567F2">
        <w:rPr>
          <w:color w:val="000000" w:themeColor="text1"/>
        </w:rPr>
        <w:t xml:space="preserve"> a </w:t>
      </w:r>
      <w:r w:rsidR="00DF2DE4" w:rsidRPr="00A567F2">
        <w:rPr>
          <w:color w:val="000000" w:themeColor="text1"/>
        </w:rPr>
        <w:t xml:space="preserve">linear </w:t>
      </w:r>
      <w:r w:rsidR="001C7572" w:rsidRPr="00A567F2">
        <w:rPr>
          <w:color w:val="000000" w:themeColor="text1"/>
        </w:rPr>
        <w:t>decrease in effectiveness</w:t>
      </w:r>
      <w:r w:rsidR="00F43C5A" w:rsidRPr="00A567F2">
        <w:rPr>
          <w:color w:val="000000" w:themeColor="text1"/>
        </w:rPr>
        <w:t xml:space="preserve"> across</w:t>
      </w:r>
      <w:r w:rsidR="001C7572" w:rsidRPr="00A567F2">
        <w:rPr>
          <w:color w:val="000000" w:themeColor="text1"/>
        </w:rPr>
        <w:t xml:space="preserve"> the additional</w:t>
      </w:r>
      <w:r w:rsidR="00F43C5A" w:rsidRPr="00A567F2">
        <w:rPr>
          <w:color w:val="000000" w:themeColor="text1"/>
        </w:rPr>
        <w:t xml:space="preserve"> percentage conditions</w:t>
      </w:r>
      <w:r w:rsidR="001C7572" w:rsidRPr="00A567F2">
        <w:rPr>
          <w:color w:val="000000" w:themeColor="text1"/>
        </w:rPr>
        <w:t xml:space="preserve"> (75%, 25%)</w:t>
      </w:r>
      <w:r w:rsidR="0082684D" w:rsidRPr="00A567F2">
        <w:rPr>
          <w:color w:val="000000" w:themeColor="text1"/>
        </w:rPr>
        <w:t xml:space="preserve"> as expected responses became less predictable</w:t>
      </w:r>
      <w:r w:rsidR="00B22672" w:rsidRPr="00A567F2">
        <w:rPr>
          <w:color w:val="000000" w:themeColor="text1"/>
        </w:rPr>
        <w:t xml:space="preserve"> (making the development of</w:t>
      </w:r>
      <w:r w:rsidR="0034257A" w:rsidRPr="00A567F2">
        <w:rPr>
          <w:color w:val="000000" w:themeColor="text1"/>
        </w:rPr>
        <w:t xml:space="preserve"> cue-inhibition</w:t>
      </w:r>
      <w:r w:rsidR="00B22672" w:rsidRPr="00A567F2">
        <w:rPr>
          <w:color w:val="000000" w:themeColor="text1"/>
        </w:rPr>
        <w:t xml:space="preserve"> associations more difficult)</w:t>
      </w:r>
      <w:r w:rsidR="007A788F" w:rsidRPr="00A567F2">
        <w:rPr>
          <w:color w:val="000000" w:themeColor="text1"/>
        </w:rPr>
        <w:t xml:space="preserve"> (</w:t>
      </w:r>
      <w:r w:rsidR="0074269B" w:rsidRPr="00A567F2">
        <w:rPr>
          <w:color w:val="000000" w:themeColor="text1"/>
        </w:rPr>
        <w:t>Verbruggen &amp; Logan, 2008</w:t>
      </w:r>
      <w:r w:rsidR="00206E4D" w:rsidRPr="00A567F2">
        <w:rPr>
          <w:color w:val="000000" w:themeColor="text1"/>
        </w:rPr>
        <w:t xml:space="preserve">). </w:t>
      </w:r>
      <w:r w:rsidR="00E120E6" w:rsidRPr="00A567F2">
        <w:rPr>
          <w:color w:val="000000" w:themeColor="text1"/>
        </w:rPr>
        <w:lastRenderedPageBreak/>
        <w:t>T</w:t>
      </w:r>
      <w:r w:rsidR="00DB7F4F" w:rsidRPr="00A567F2">
        <w:rPr>
          <w:color w:val="000000" w:themeColor="text1"/>
        </w:rPr>
        <w:t xml:space="preserve">his raises questions in relation to </w:t>
      </w:r>
      <w:r w:rsidR="009B3843" w:rsidRPr="00A567F2">
        <w:rPr>
          <w:color w:val="000000" w:themeColor="text1"/>
        </w:rPr>
        <w:t>the</w:t>
      </w:r>
      <w:r w:rsidR="00E120E6" w:rsidRPr="00A567F2">
        <w:rPr>
          <w:color w:val="000000" w:themeColor="text1"/>
        </w:rPr>
        <w:t xml:space="preserve"> impact of </w:t>
      </w:r>
      <w:r w:rsidR="00260478" w:rsidRPr="00A567F2">
        <w:rPr>
          <w:color w:val="000000" w:themeColor="text1"/>
        </w:rPr>
        <w:t xml:space="preserve">the training component within </w:t>
      </w:r>
      <w:r w:rsidR="00E120E6" w:rsidRPr="00A567F2">
        <w:rPr>
          <w:color w:val="000000" w:themeColor="text1"/>
        </w:rPr>
        <w:t xml:space="preserve">CBM </w:t>
      </w:r>
      <w:r w:rsidR="00260478" w:rsidRPr="00A567F2">
        <w:rPr>
          <w:color w:val="000000" w:themeColor="text1"/>
        </w:rPr>
        <w:t>interventions</w:t>
      </w:r>
      <w:r w:rsidR="007E7DF3" w:rsidRPr="00A567F2">
        <w:rPr>
          <w:color w:val="000000" w:themeColor="text1"/>
        </w:rPr>
        <w:t xml:space="preserve">: </w:t>
      </w:r>
      <w:r w:rsidR="00BC10D3" w:rsidRPr="00A567F2">
        <w:rPr>
          <w:color w:val="000000" w:themeColor="text1"/>
        </w:rPr>
        <w:t xml:space="preserve">inferential </w:t>
      </w:r>
      <w:r w:rsidR="007E7DF3" w:rsidRPr="00A567F2">
        <w:rPr>
          <w:color w:val="000000" w:themeColor="text1"/>
        </w:rPr>
        <w:t>Bayesian analyses</w:t>
      </w:r>
      <w:r w:rsidR="00BC10D3" w:rsidRPr="00A567F2">
        <w:rPr>
          <w:color w:val="000000" w:themeColor="text1"/>
        </w:rPr>
        <w:t xml:space="preserve"> performed within this study provided</w:t>
      </w:r>
      <w:r w:rsidR="007E7DF3" w:rsidRPr="00A567F2">
        <w:rPr>
          <w:color w:val="000000" w:themeColor="text1"/>
        </w:rPr>
        <w:t xml:space="preserve"> evidence in</w:t>
      </w:r>
      <w:r w:rsidR="00E120E6" w:rsidRPr="00A567F2">
        <w:rPr>
          <w:color w:val="000000" w:themeColor="text1"/>
        </w:rPr>
        <w:t xml:space="preserve"> support </w:t>
      </w:r>
      <w:r w:rsidR="007E7DF3" w:rsidRPr="00A567F2">
        <w:rPr>
          <w:color w:val="000000" w:themeColor="text1"/>
        </w:rPr>
        <w:t xml:space="preserve">of </w:t>
      </w:r>
      <w:r w:rsidR="00E120E6" w:rsidRPr="00A567F2">
        <w:rPr>
          <w:color w:val="000000" w:themeColor="text1"/>
        </w:rPr>
        <w:t>the null hypothesis</w:t>
      </w:r>
      <w:r w:rsidR="001E1017" w:rsidRPr="00A567F2">
        <w:rPr>
          <w:color w:val="000000" w:themeColor="text1"/>
        </w:rPr>
        <w:t xml:space="preserve">, and while work by Oomen et al., (2018) </w:t>
      </w:r>
      <w:r w:rsidR="004D2312" w:rsidRPr="00A567F2">
        <w:rPr>
          <w:color w:val="000000" w:themeColor="text1"/>
        </w:rPr>
        <w:t>revealed</w:t>
      </w:r>
      <w:r w:rsidR="001E1017" w:rsidRPr="00A567F2">
        <w:rPr>
          <w:color w:val="000000" w:themeColor="text1"/>
        </w:rPr>
        <w:t xml:space="preserve"> reductions in </w:t>
      </w:r>
      <w:r w:rsidR="001C0D5D" w:rsidRPr="00A567F2">
        <w:rPr>
          <w:color w:val="000000" w:themeColor="text1"/>
        </w:rPr>
        <w:t>snack</w:t>
      </w:r>
      <w:r w:rsidR="001E1017" w:rsidRPr="00A567F2">
        <w:rPr>
          <w:color w:val="000000" w:themeColor="text1"/>
        </w:rPr>
        <w:t xml:space="preserve"> consumption </w:t>
      </w:r>
      <w:r w:rsidR="00033302" w:rsidRPr="00A567F2">
        <w:rPr>
          <w:color w:val="000000" w:themeColor="text1"/>
        </w:rPr>
        <w:t>post cu</w:t>
      </w:r>
      <w:r w:rsidR="00B76B9D" w:rsidRPr="00A567F2">
        <w:rPr>
          <w:color w:val="000000" w:themeColor="text1"/>
        </w:rPr>
        <w:t>e-ICT, there were no changes to food cue sensitivity</w:t>
      </w:r>
      <w:r w:rsidR="00C92311" w:rsidRPr="00A567F2">
        <w:rPr>
          <w:color w:val="000000" w:themeColor="text1"/>
        </w:rPr>
        <w:t xml:space="preserve"> </w:t>
      </w:r>
      <w:r w:rsidR="004D2312" w:rsidRPr="00A567F2">
        <w:rPr>
          <w:color w:val="000000" w:themeColor="text1"/>
        </w:rPr>
        <w:t xml:space="preserve">(as </w:t>
      </w:r>
      <w:r w:rsidR="00A045F2" w:rsidRPr="00A567F2">
        <w:rPr>
          <w:color w:val="000000" w:themeColor="text1"/>
        </w:rPr>
        <w:t>may</w:t>
      </w:r>
      <w:r w:rsidR="004D2312" w:rsidRPr="00A567F2">
        <w:rPr>
          <w:color w:val="000000" w:themeColor="text1"/>
        </w:rPr>
        <w:t xml:space="preserve"> be expected </w:t>
      </w:r>
      <w:r w:rsidR="00C92311" w:rsidRPr="00A567F2">
        <w:rPr>
          <w:color w:val="000000" w:themeColor="text1"/>
        </w:rPr>
        <w:t xml:space="preserve">in line with </w:t>
      </w:r>
      <w:r w:rsidR="00F762F2" w:rsidRPr="00A567F2">
        <w:rPr>
          <w:color w:val="000000" w:themeColor="text1"/>
        </w:rPr>
        <w:t>the</w:t>
      </w:r>
      <w:r w:rsidR="00C92311" w:rsidRPr="00A567F2">
        <w:rPr>
          <w:color w:val="000000" w:themeColor="text1"/>
        </w:rPr>
        <w:t xml:space="preserve"> devaluation hypothesis (</w:t>
      </w:r>
      <w:r w:rsidR="00B12C28" w:rsidRPr="00A567F2">
        <w:rPr>
          <w:color w:val="000000" w:themeColor="text1"/>
        </w:rPr>
        <w:t>Veling et al., 2017)</w:t>
      </w:r>
      <w:r w:rsidR="004D2312" w:rsidRPr="00A567F2">
        <w:rPr>
          <w:color w:val="000000" w:themeColor="text1"/>
        </w:rPr>
        <w:t>)</w:t>
      </w:r>
      <w:r w:rsidR="00275FDB" w:rsidRPr="00A567F2">
        <w:rPr>
          <w:color w:val="000000" w:themeColor="text1"/>
        </w:rPr>
        <w:t xml:space="preserve">. </w:t>
      </w:r>
    </w:p>
    <w:p w14:paraId="36C019E4" w14:textId="35734B54" w:rsidR="0086744F" w:rsidRPr="00A567F2" w:rsidRDefault="00E35150" w:rsidP="00A948E1">
      <w:pPr>
        <w:spacing w:line="480" w:lineRule="auto"/>
        <w:ind w:firstLine="720"/>
        <w:rPr>
          <w:color w:val="000000" w:themeColor="text1"/>
        </w:rPr>
      </w:pPr>
      <w:r w:rsidRPr="00A567F2">
        <w:rPr>
          <w:color w:val="000000" w:themeColor="text1"/>
        </w:rPr>
        <w:t>It was also hypothesised that training participation would influence explicit food choice</w:t>
      </w:r>
      <w:r w:rsidR="00595927" w:rsidRPr="00A567F2">
        <w:rPr>
          <w:color w:val="000000" w:themeColor="text1"/>
        </w:rPr>
        <w:t>s, with higher cue-inhibition /</w:t>
      </w:r>
      <w:r w:rsidRPr="00A567F2">
        <w:rPr>
          <w:color w:val="000000" w:themeColor="text1"/>
        </w:rPr>
        <w:t xml:space="preserve"> critical pairing percentages (100%) resulting in healthier food choices. While cue-ICT did not significantly influence</w:t>
      </w:r>
      <w:r w:rsidR="001C4E8C" w:rsidRPr="00A567F2">
        <w:rPr>
          <w:color w:val="000000" w:themeColor="text1"/>
        </w:rPr>
        <w:t xml:space="preserve"> explicit</w:t>
      </w:r>
      <w:r w:rsidRPr="00A567F2">
        <w:rPr>
          <w:color w:val="000000" w:themeColor="text1"/>
        </w:rPr>
        <w:t xml:space="preserve"> food selection, participants who completed the 100% version of EC training made healthier explicit choices</w:t>
      </w:r>
      <w:r w:rsidR="005C4BC1" w:rsidRPr="00A567F2">
        <w:rPr>
          <w:color w:val="000000" w:themeColor="text1"/>
        </w:rPr>
        <w:t xml:space="preserve"> when</w:t>
      </w:r>
      <w:r w:rsidRPr="00A567F2">
        <w:rPr>
          <w:color w:val="000000" w:themeColor="text1"/>
        </w:rPr>
        <w:t xml:space="preserve"> compared to participants in the 50% condition. This supports work conducted by Hollands</w:t>
      </w:r>
      <w:r w:rsidR="00601423" w:rsidRPr="00A567F2">
        <w:rPr>
          <w:color w:val="000000" w:themeColor="text1"/>
        </w:rPr>
        <w:t xml:space="preserve"> et al., </w:t>
      </w:r>
      <w:r w:rsidR="00A948E1" w:rsidRPr="00A567F2">
        <w:rPr>
          <w:color w:val="000000" w:themeColor="text1"/>
        </w:rPr>
        <w:t>(</w:t>
      </w:r>
      <w:r w:rsidR="00601423" w:rsidRPr="00A567F2">
        <w:rPr>
          <w:color w:val="000000" w:themeColor="text1"/>
        </w:rPr>
        <w:t>2011</w:t>
      </w:r>
      <w:r w:rsidR="00A948E1" w:rsidRPr="00A567F2">
        <w:rPr>
          <w:color w:val="000000" w:themeColor="text1"/>
        </w:rPr>
        <w:t>)</w:t>
      </w:r>
      <w:r w:rsidRPr="00A567F2">
        <w:rPr>
          <w:color w:val="000000" w:themeColor="text1"/>
        </w:rPr>
        <w:t xml:space="preserve"> who also found that a single session of EC led to increased healthy choices in a forced choice task</w:t>
      </w:r>
      <w:r w:rsidR="004F42BC" w:rsidRPr="00A567F2">
        <w:rPr>
          <w:color w:val="000000" w:themeColor="text1"/>
        </w:rPr>
        <w:t>,</w:t>
      </w:r>
      <w:r w:rsidRPr="00A567F2">
        <w:rPr>
          <w:color w:val="000000" w:themeColor="text1"/>
        </w:rPr>
        <w:t xml:space="preserve"> however, the lack of significant findings for cue-ICT </w:t>
      </w:r>
      <w:r w:rsidR="00335959" w:rsidRPr="00A567F2">
        <w:rPr>
          <w:color w:val="000000" w:themeColor="text1"/>
        </w:rPr>
        <w:t>contrasts with</w:t>
      </w:r>
      <w:r w:rsidRPr="00A567F2">
        <w:rPr>
          <w:color w:val="000000" w:themeColor="text1"/>
        </w:rPr>
        <w:t xml:space="preserve"> previous work, where active training has been associated with increased healthy food selection</w:t>
      </w:r>
      <w:r w:rsidR="007A57C7" w:rsidRPr="00A567F2">
        <w:rPr>
          <w:color w:val="000000" w:themeColor="text1"/>
        </w:rPr>
        <w:t xml:space="preserve"> </w:t>
      </w:r>
      <w:r w:rsidR="00A97420" w:rsidRPr="00A567F2">
        <w:rPr>
          <w:color w:val="000000" w:themeColor="text1"/>
        </w:rPr>
        <w:t>(Veling, Aarts &amp; Stroebe.</w:t>
      </w:r>
      <w:r w:rsidRPr="00A567F2">
        <w:rPr>
          <w:color w:val="000000" w:themeColor="text1"/>
        </w:rPr>
        <w:t>, 2013b)</w:t>
      </w:r>
      <w:r w:rsidR="007A57C7" w:rsidRPr="00A567F2">
        <w:rPr>
          <w:color w:val="000000" w:themeColor="text1"/>
        </w:rPr>
        <w:t xml:space="preserve"> (particularly where participants are required to make decisions under time </w:t>
      </w:r>
      <w:r w:rsidR="008D174F" w:rsidRPr="00A567F2">
        <w:rPr>
          <w:color w:val="000000" w:themeColor="text1"/>
        </w:rPr>
        <w:t>pressures</w:t>
      </w:r>
      <w:r w:rsidR="007A57C7" w:rsidRPr="00A567F2">
        <w:rPr>
          <w:color w:val="000000" w:themeColor="text1"/>
        </w:rPr>
        <w:t xml:space="preserve"> (Chen et al., 2019</w:t>
      </w:r>
      <w:r w:rsidR="008E5C6B" w:rsidRPr="00A567F2">
        <w:rPr>
          <w:color w:val="000000" w:themeColor="text1"/>
        </w:rPr>
        <w:t>; Chen</w:t>
      </w:r>
      <w:r w:rsidR="00D03B4A" w:rsidRPr="00A567F2">
        <w:rPr>
          <w:color w:val="000000" w:themeColor="text1"/>
        </w:rPr>
        <w:t xml:space="preserve"> et al.</w:t>
      </w:r>
      <w:r w:rsidR="008E5C6B" w:rsidRPr="00A567F2">
        <w:rPr>
          <w:color w:val="000000" w:themeColor="text1"/>
        </w:rPr>
        <w:t>, 2020</w:t>
      </w:r>
      <w:r w:rsidR="007A57C7" w:rsidRPr="00A567F2">
        <w:rPr>
          <w:color w:val="000000" w:themeColor="text1"/>
        </w:rPr>
        <w:t>)</w:t>
      </w:r>
      <w:r w:rsidR="00E40C42" w:rsidRPr="00A567F2">
        <w:rPr>
          <w:color w:val="000000" w:themeColor="text1"/>
        </w:rPr>
        <w:t>)</w:t>
      </w:r>
      <w:r w:rsidRPr="00A567F2">
        <w:rPr>
          <w:color w:val="000000" w:themeColor="text1"/>
        </w:rPr>
        <w:t xml:space="preserve">. </w:t>
      </w:r>
    </w:p>
    <w:p w14:paraId="5FF13484" w14:textId="6630D40A" w:rsidR="00083FC5" w:rsidRPr="00A567F2" w:rsidRDefault="00AE30B6" w:rsidP="00A711D4">
      <w:pPr>
        <w:spacing w:line="480" w:lineRule="auto"/>
        <w:ind w:firstLine="720"/>
        <w:rPr>
          <w:color w:val="000000" w:themeColor="text1"/>
        </w:rPr>
      </w:pPr>
      <w:r w:rsidRPr="00A567F2">
        <w:rPr>
          <w:color w:val="000000" w:themeColor="text1"/>
        </w:rPr>
        <w:t>Utilising</w:t>
      </w:r>
      <w:r w:rsidR="00E35150" w:rsidRPr="00A567F2">
        <w:rPr>
          <w:color w:val="000000" w:themeColor="text1"/>
        </w:rPr>
        <w:t xml:space="preserve"> an online platform to deliver training allowed for the large-scale recruitment of a diverse participant group,</w:t>
      </w:r>
      <w:r w:rsidR="00A948E1" w:rsidRPr="00A567F2">
        <w:rPr>
          <w:color w:val="000000" w:themeColor="text1"/>
        </w:rPr>
        <w:t xml:space="preserve"> which overcomes previous limitations of convenien</w:t>
      </w:r>
      <w:r w:rsidR="006773B1" w:rsidRPr="00A567F2">
        <w:rPr>
          <w:color w:val="000000" w:themeColor="text1"/>
        </w:rPr>
        <w:t>ce</w:t>
      </w:r>
      <w:r w:rsidR="00A948E1" w:rsidRPr="00A567F2">
        <w:rPr>
          <w:color w:val="000000" w:themeColor="text1"/>
        </w:rPr>
        <w:t xml:space="preserve"> samples (mainly psychology students: Jones et al, 2018).</w:t>
      </w:r>
      <w:r w:rsidR="00E35150" w:rsidRPr="00A567F2">
        <w:rPr>
          <w:color w:val="000000" w:themeColor="text1"/>
        </w:rPr>
        <w:t xml:space="preserve"> </w:t>
      </w:r>
      <w:r w:rsidR="00A948E1" w:rsidRPr="00A567F2">
        <w:rPr>
          <w:color w:val="000000" w:themeColor="text1"/>
        </w:rPr>
        <w:t xml:space="preserve">Furthermore, </w:t>
      </w:r>
      <w:r w:rsidR="00E35150" w:rsidRPr="00A567F2">
        <w:rPr>
          <w:color w:val="000000" w:themeColor="text1"/>
        </w:rPr>
        <w:t>the design of the studies ensured that appropriate comparisons were made between active and control groups to determine the true impact of training while also allowing within participant changes to be assessed. Despite this, the online nature of the studies (and the associated variety of contexts in which participants may have completed the tasks) may have influenced completion of, and engagement with the</w:t>
      </w:r>
      <w:r w:rsidR="003963C1" w:rsidRPr="00A567F2">
        <w:rPr>
          <w:color w:val="000000" w:themeColor="text1"/>
        </w:rPr>
        <w:t xml:space="preserve"> measures.</w:t>
      </w:r>
      <w:r w:rsidR="002309FB" w:rsidRPr="00A567F2">
        <w:rPr>
          <w:color w:val="000000" w:themeColor="text1"/>
        </w:rPr>
        <w:t xml:space="preserve"> </w:t>
      </w:r>
      <w:r w:rsidR="00FE0C2C" w:rsidRPr="00A567F2">
        <w:rPr>
          <w:color w:val="000000" w:themeColor="text1"/>
        </w:rPr>
        <w:t xml:space="preserve">The use of online preference measures </w:t>
      </w:r>
      <w:r w:rsidR="00A711D4" w:rsidRPr="00A567F2">
        <w:rPr>
          <w:color w:val="000000" w:themeColor="text1"/>
        </w:rPr>
        <w:t xml:space="preserve">also </w:t>
      </w:r>
      <w:r w:rsidR="00FE0C2C" w:rsidRPr="00A567F2">
        <w:rPr>
          <w:color w:val="000000" w:themeColor="text1"/>
        </w:rPr>
        <w:t xml:space="preserve">raises issues in relation to validity, as there are no real-world consequences for participants based upon their food choices during the study (Hollands &amp; Marteau, 2016), which may influence participant </w:t>
      </w:r>
      <w:r w:rsidR="00FE0C2C" w:rsidRPr="00A567F2">
        <w:rPr>
          <w:color w:val="000000" w:themeColor="text1"/>
        </w:rPr>
        <w:lastRenderedPageBreak/>
        <w:t>responses (i.e., making a healthy choice as they will not have to actually consume the food selected)</w:t>
      </w:r>
      <w:r w:rsidR="00B102E9" w:rsidRPr="00A567F2">
        <w:rPr>
          <w:color w:val="000000" w:themeColor="text1"/>
        </w:rPr>
        <w:t xml:space="preserve">. </w:t>
      </w:r>
      <w:r w:rsidR="007A0DB9" w:rsidRPr="00A567F2">
        <w:rPr>
          <w:color w:val="000000" w:themeColor="text1"/>
        </w:rPr>
        <w:t xml:space="preserve">Field et al., (2020) suggests that although many studies measure various proxies of </w:t>
      </w:r>
      <w:r w:rsidR="00A711D4" w:rsidRPr="00A567F2">
        <w:rPr>
          <w:color w:val="000000" w:themeColor="text1"/>
        </w:rPr>
        <w:t xml:space="preserve">appetitive </w:t>
      </w:r>
      <w:r w:rsidR="007A0DB9" w:rsidRPr="00A567F2">
        <w:rPr>
          <w:color w:val="000000" w:themeColor="text1"/>
        </w:rPr>
        <w:t>behaviour, these measures do not always result in robust behavioural changes that would be desirable in an intervention context. The extent to which forced choice tasks are associated with real world food consumption (and subsequently, weight status) is relatively understudied (despite the prevalence of related measures throughout the literature), therefore, these results should be interpreted with caution. Similarly,</w:t>
      </w:r>
      <w:r w:rsidR="001911A6" w:rsidRPr="00A567F2">
        <w:rPr>
          <w:color w:val="000000" w:themeColor="text1"/>
        </w:rPr>
        <w:t xml:space="preserve"> Wiers et al.</w:t>
      </w:r>
      <w:r w:rsidR="00E7536F" w:rsidRPr="00A567F2">
        <w:rPr>
          <w:color w:val="000000" w:themeColor="text1"/>
        </w:rPr>
        <w:t xml:space="preserve">, (2018) </w:t>
      </w:r>
      <w:r w:rsidR="00F23394" w:rsidRPr="00A567F2">
        <w:rPr>
          <w:color w:val="000000" w:themeColor="text1"/>
        </w:rPr>
        <w:t xml:space="preserve">suggests that </w:t>
      </w:r>
      <w:r w:rsidR="005647B0" w:rsidRPr="00A567F2">
        <w:rPr>
          <w:color w:val="000000" w:themeColor="text1"/>
        </w:rPr>
        <w:t>the lack of control observed within</w:t>
      </w:r>
      <w:r w:rsidR="00F23394" w:rsidRPr="00A567F2">
        <w:rPr>
          <w:color w:val="000000" w:themeColor="text1"/>
        </w:rPr>
        <w:t xml:space="preserve"> online CBM studies results</w:t>
      </w:r>
      <w:r w:rsidR="00DE6294" w:rsidRPr="00A567F2">
        <w:rPr>
          <w:color w:val="000000" w:themeColor="text1"/>
        </w:rPr>
        <w:t xml:space="preserve"> in less effective bias changes</w:t>
      </w:r>
      <w:r w:rsidR="00F23394" w:rsidRPr="00A567F2">
        <w:rPr>
          <w:color w:val="000000" w:themeColor="text1"/>
        </w:rPr>
        <w:t xml:space="preserve"> </w:t>
      </w:r>
      <w:r w:rsidR="00DE6294" w:rsidRPr="00A567F2">
        <w:rPr>
          <w:color w:val="000000" w:themeColor="text1"/>
        </w:rPr>
        <w:t>(</w:t>
      </w:r>
      <w:r w:rsidR="00F23394" w:rsidRPr="00A567F2">
        <w:rPr>
          <w:color w:val="000000" w:themeColor="text1"/>
        </w:rPr>
        <w:t>and subsequent</w:t>
      </w:r>
      <w:r w:rsidR="00DE6294" w:rsidRPr="00A567F2">
        <w:rPr>
          <w:color w:val="000000" w:themeColor="text1"/>
        </w:rPr>
        <w:t>ly</w:t>
      </w:r>
      <w:r w:rsidR="0010342B" w:rsidRPr="00A567F2">
        <w:rPr>
          <w:color w:val="000000" w:themeColor="text1"/>
        </w:rPr>
        <w:t xml:space="preserve"> reduced behavioural change</w:t>
      </w:r>
      <w:r w:rsidR="00DE6294" w:rsidRPr="00A567F2">
        <w:rPr>
          <w:color w:val="000000" w:themeColor="text1"/>
        </w:rPr>
        <w:t xml:space="preserve">), however, </w:t>
      </w:r>
      <w:r w:rsidR="001C274C" w:rsidRPr="00A567F2">
        <w:rPr>
          <w:color w:val="000000" w:themeColor="text1"/>
        </w:rPr>
        <w:t xml:space="preserve">work by </w:t>
      </w:r>
      <w:r w:rsidR="00DE6294" w:rsidRPr="00A567F2">
        <w:rPr>
          <w:color w:val="000000" w:themeColor="text1"/>
        </w:rPr>
        <w:t xml:space="preserve">Kakoschke et al., (2018) found healthy food choices improved after the use of a smartphone app to deliver </w:t>
      </w:r>
      <w:r w:rsidR="00536DFE" w:rsidRPr="00A567F2">
        <w:rPr>
          <w:color w:val="000000" w:themeColor="text1"/>
        </w:rPr>
        <w:t xml:space="preserve">multiple sessions of </w:t>
      </w:r>
      <w:r w:rsidR="00CC2683" w:rsidRPr="00A567F2">
        <w:rPr>
          <w:color w:val="000000" w:themeColor="text1"/>
        </w:rPr>
        <w:t xml:space="preserve">ICT </w:t>
      </w:r>
      <w:r w:rsidR="00DE6294" w:rsidRPr="00A567F2">
        <w:rPr>
          <w:color w:val="000000" w:themeColor="text1"/>
        </w:rPr>
        <w:t xml:space="preserve">training. </w:t>
      </w:r>
      <w:r w:rsidR="00CC2683" w:rsidRPr="00A567F2">
        <w:rPr>
          <w:color w:val="000000" w:themeColor="text1"/>
        </w:rPr>
        <w:t>This mixed evidence may be rela</w:t>
      </w:r>
      <w:r w:rsidR="00AA1EA1" w:rsidRPr="00A567F2">
        <w:rPr>
          <w:color w:val="000000" w:themeColor="text1"/>
        </w:rPr>
        <w:t xml:space="preserve">ted to the </w:t>
      </w:r>
      <w:r w:rsidR="00D4296F" w:rsidRPr="00A567F2">
        <w:rPr>
          <w:color w:val="000000" w:themeColor="text1"/>
        </w:rPr>
        <w:t xml:space="preserve">specific </w:t>
      </w:r>
      <w:r w:rsidR="00454984" w:rsidRPr="00A567F2">
        <w:rPr>
          <w:color w:val="000000" w:themeColor="text1"/>
        </w:rPr>
        <w:t>training</w:t>
      </w:r>
      <w:r w:rsidR="00D4296F" w:rsidRPr="00A567F2">
        <w:rPr>
          <w:color w:val="000000" w:themeColor="text1"/>
        </w:rPr>
        <w:t xml:space="preserve"> paradigms</w:t>
      </w:r>
      <w:r w:rsidR="00AA1EA1" w:rsidRPr="00A567F2">
        <w:rPr>
          <w:color w:val="000000" w:themeColor="text1"/>
        </w:rPr>
        <w:t>, as</w:t>
      </w:r>
      <w:r w:rsidR="00CC2683" w:rsidRPr="00A567F2">
        <w:rPr>
          <w:color w:val="000000" w:themeColor="text1"/>
        </w:rPr>
        <w:t xml:space="preserve"> research suggests that CBM training delivered over multiple sessions is </w:t>
      </w:r>
      <w:r w:rsidR="00D23CBB" w:rsidRPr="00A567F2">
        <w:rPr>
          <w:color w:val="000000" w:themeColor="text1"/>
        </w:rPr>
        <w:t>highly</w:t>
      </w:r>
      <w:r w:rsidR="00CC2683" w:rsidRPr="00A567F2">
        <w:rPr>
          <w:color w:val="000000" w:themeColor="text1"/>
        </w:rPr>
        <w:t xml:space="preserve"> effective (</w:t>
      </w:r>
      <w:r w:rsidR="00C21B8E" w:rsidRPr="00A567F2">
        <w:rPr>
          <w:color w:val="000000" w:themeColor="text1"/>
        </w:rPr>
        <w:t>Lawrence et al., 2015b</w:t>
      </w:r>
      <w:r w:rsidR="00CC2683" w:rsidRPr="00A567F2">
        <w:rPr>
          <w:color w:val="000000" w:themeColor="text1"/>
        </w:rPr>
        <w:t xml:space="preserve">). </w:t>
      </w:r>
    </w:p>
    <w:p w14:paraId="018CECB6" w14:textId="15088003" w:rsidR="00A711D4" w:rsidRPr="00A567F2" w:rsidRDefault="00A711D4" w:rsidP="00A711D4">
      <w:pPr>
        <w:spacing w:line="480" w:lineRule="auto"/>
        <w:ind w:firstLine="720"/>
        <w:rPr>
          <w:color w:val="000000" w:themeColor="text1"/>
        </w:rPr>
      </w:pPr>
      <w:r w:rsidRPr="00A567F2">
        <w:rPr>
          <w:color w:val="000000" w:themeColor="text1"/>
        </w:rPr>
        <w:t xml:space="preserve">There are further issues which may complicate the interpretation of our ‘null findings’. </w:t>
      </w:r>
      <w:r w:rsidR="00083FC5" w:rsidRPr="00A567F2">
        <w:rPr>
          <w:color w:val="000000" w:themeColor="text1"/>
        </w:rPr>
        <w:t>W</w:t>
      </w:r>
      <w:r w:rsidR="00733667" w:rsidRPr="00A567F2">
        <w:rPr>
          <w:color w:val="000000" w:themeColor="text1"/>
        </w:rPr>
        <w:t>hil</w:t>
      </w:r>
      <w:r w:rsidR="00083FC5" w:rsidRPr="00A567F2">
        <w:rPr>
          <w:color w:val="000000" w:themeColor="text1"/>
        </w:rPr>
        <w:t>st</w:t>
      </w:r>
      <w:r w:rsidR="00733667" w:rsidRPr="00A567F2">
        <w:rPr>
          <w:color w:val="000000" w:themeColor="text1"/>
        </w:rPr>
        <w:t xml:space="preserve"> all participants completed the baseline inhibitory control measure prior to training (regardless of condition allocation), engagement with a similar task</w:t>
      </w:r>
      <w:r w:rsidR="00733667" w:rsidRPr="00A567F2">
        <w:rPr>
          <w:color w:val="000000" w:themeColor="text1"/>
          <w:szCs w:val="22"/>
        </w:rPr>
        <w:t xml:space="preserve"> (with inconsistent food -&gt; inhibition pairings) prior </w:t>
      </w:r>
      <w:r w:rsidR="00733667" w:rsidRPr="00A567F2">
        <w:rPr>
          <w:color w:val="000000" w:themeColor="text1"/>
        </w:rPr>
        <w:t>to training may have influenced training outcomes, despite the inclusion of the food value measurement between tasks.</w:t>
      </w:r>
      <w:r w:rsidR="00733667" w:rsidRPr="00A567F2">
        <w:rPr>
          <w:i/>
          <w:color w:val="000000" w:themeColor="text1"/>
          <w:sz w:val="22"/>
          <w:szCs w:val="22"/>
        </w:rPr>
        <w:t xml:space="preserve"> </w:t>
      </w:r>
      <w:r w:rsidR="00733667" w:rsidRPr="00A567F2">
        <w:rPr>
          <w:color w:val="000000" w:themeColor="text1"/>
          <w:szCs w:val="22"/>
        </w:rPr>
        <w:t>Additionally, while the participant group was</w:t>
      </w:r>
      <w:r w:rsidR="00EE4928" w:rsidRPr="00A567F2">
        <w:rPr>
          <w:color w:val="000000" w:themeColor="text1"/>
          <w:szCs w:val="22"/>
        </w:rPr>
        <w:t xml:space="preserve"> more representative of the typical population</w:t>
      </w:r>
      <w:r w:rsidR="00733667" w:rsidRPr="00A567F2">
        <w:rPr>
          <w:color w:val="000000" w:themeColor="text1"/>
          <w:szCs w:val="22"/>
        </w:rPr>
        <w:t xml:space="preserve"> in comparison to previous work, the average participant BMI fell just within the </w:t>
      </w:r>
      <w:r w:rsidR="00FA79BF" w:rsidRPr="00A567F2">
        <w:rPr>
          <w:color w:val="000000" w:themeColor="text1"/>
          <w:szCs w:val="22"/>
        </w:rPr>
        <w:t>healthy</w:t>
      </w:r>
      <w:r w:rsidR="00733667" w:rsidRPr="00A567F2">
        <w:rPr>
          <w:color w:val="000000" w:themeColor="text1"/>
          <w:szCs w:val="22"/>
        </w:rPr>
        <w:t xml:space="preserve"> range. Individuals with overweight and obesity may respond differently to CBM training (due to differences in inhibitory ability towards food stimuli (Spitoni et al., 2017)), and future research should examine the impact of CBM training within this specific population</w:t>
      </w:r>
      <w:r w:rsidR="00733667" w:rsidRPr="00A567F2">
        <w:rPr>
          <w:rFonts w:cstheme="minorHAnsi"/>
          <w:color w:val="000000" w:themeColor="text1"/>
          <w:szCs w:val="22"/>
        </w:rPr>
        <w:t xml:space="preserve">. </w:t>
      </w:r>
      <w:r w:rsidR="00733667" w:rsidRPr="00A567F2">
        <w:rPr>
          <w:color w:val="000000" w:themeColor="text1"/>
        </w:rPr>
        <w:t xml:space="preserve">Finally, it </w:t>
      </w:r>
      <w:r w:rsidR="00C427D3" w:rsidRPr="00A567F2">
        <w:rPr>
          <w:color w:val="000000" w:themeColor="text1"/>
        </w:rPr>
        <w:t xml:space="preserve">is also suggested that personalising task stimuli (i.e., </w:t>
      </w:r>
      <w:r w:rsidR="00054358" w:rsidRPr="00A567F2">
        <w:rPr>
          <w:color w:val="000000" w:themeColor="text1"/>
        </w:rPr>
        <w:t xml:space="preserve">allowing participants to select liked and disliked food items prior to task completion) can lead to more </w:t>
      </w:r>
      <w:r w:rsidR="00DD5535" w:rsidRPr="00A567F2">
        <w:rPr>
          <w:color w:val="000000" w:themeColor="text1"/>
        </w:rPr>
        <w:t xml:space="preserve">pronounced responses to </w:t>
      </w:r>
      <w:r w:rsidR="00DD5535" w:rsidRPr="00A567F2">
        <w:rPr>
          <w:color w:val="000000" w:themeColor="text1"/>
        </w:rPr>
        <w:lastRenderedPageBreak/>
        <w:t>training</w:t>
      </w:r>
      <w:r w:rsidR="00054358" w:rsidRPr="00A567F2">
        <w:rPr>
          <w:color w:val="000000" w:themeColor="text1"/>
        </w:rPr>
        <w:t xml:space="preserve"> (</w:t>
      </w:r>
      <w:r w:rsidR="00C60A50" w:rsidRPr="00A567F2">
        <w:rPr>
          <w:color w:val="000000" w:themeColor="text1"/>
        </w:rPr>
        <w:t>Veling et al., 2013b</w:t>
      </w:r>
      <w:r w:rsidR="00054358" w:rsidRPr="00A567F2">
        <w:rPr>
          <w:color w:val="000000" w:themeColor="text1"/>
        </w:rPr>
        <w:t>).</w:t>
      </w:r>
      <w:r w:rsidR="00C427D3" w:rsidRPr="00A567F2">
        <w:rPr>
          <w:color w:val="000000" w:themeColor="text1"/>
        </w:rPr>
        <w:t xml:space="preserve"> </w:t>
      </w:r>
      <w:r w:rsidR="00733667" w:rsidRPr="00A567F2">
        <w:rPr>
          <w:color w:val="000000" w:themeColor="text1"/>
        </w:rPr>
        <w:t>Given these issues (a lack of control over personalised stimuli and time pressured responding, and the inclusion of baseline measures of inhibitory control), i</w:t>
      </w:r>
      <w:r w:rsidR="003C10F9" w:rsidRPr="00A567F2">
        <w:rPr>
          <w:color w:val="000000" w:themeColor="text1"/>
        </w:rPr>
        <w:t xml:space="preserve">t is possible that the training effects in this study were weak, and we were not able to reliably detect them based on our sample size </w:t>
      </w:r>
      <w:r w:rsidR="00784228" w:rsidRPr="00A567F2">
        <w:rPr>
          <w:color w:val="000000" w:themeColor="text1"/>
        </w:rPr>
        <w:t>(</w:t>
      </w:r>
      <w:r w:rsidR="003C10F9" w:rsidRPr="00A567F2">
        <w:rPr>
          <w:color w:val="000000" w:themeColor="text1"/>
        </w:rPr>
        <w:t>given consistent findings elsewhere (Chen et al, 2019; 2020)</w:t>
      </w:r>
      <w:r w:rsidR="00784228" w:rsidRPr="00A567F2">
        <w:rPr>
          <w:color w:val="000000" w:themeColor="text1"/>
        </w:rPr>
        <w:t>)</w:t>
      </w:r>
      <w:r w:rsidR="007A0DB9" w:rsidRPr="00A567F2">
        <w:rPr>
          <w:color w:val="000000" w:themeColor="text1"/>
        </w:rPr>
        <w:t xml:space="preserve">.  Furthermore, although EC demonstrated weak effects on food choice, caution should be taken when directly comparing ICT and EC here given we were powered to detect much smaller EC effects due to over sampling. </w:t>
      </w:r>
    </w:p>
    <w:p w14:paraId="3A9613F3" w14:textId="1661B96B" w:rsidR="003C10F9" w:rsidRPr="00A567F2" w:rsidRDefault="00A711D4" w:rsidP="00A711D4">
      <w:pPr>
        <w:spacing w:line="480" w:lineRule="auto"/>
        <w:ind w:firstLine="720"/>
        <w:rPr>
          <w:color w:val="000000" w:themeColor="text1"/>
        </w:rPr>
      </w:pPr>
      <w:r w:rsidRPr="00A567F2">
        <w:rPr>
          <w:color w:val="000000" w:themeColor="text1"/>
        </w:rPr>
        <w:t xml:space="preserve">A final methodological issue relates to participant awareness: recent work (Zerhouni et al., 2019) revealed that contingency aware participants (able to recall the type of image (positive, negative or neutral) following a food stimuli item) rated healthy food items more positively after completing a training task. Both cue-ICT and EC are relatively simple tasks in terms of their presentation, and it may be that participants are able to identify stimuli presentation patterns to determine the experimental aims, particularly where inhibition cues and critical pairings are consistent (such as the 100% groups). While in the current study excluding participants aware of the aims did not appear to influence the results, it would be interesting to investigate how participant beliefs in relation to training effectiveness may influence training outcomes.   </w:t>
      </w:r>
    </w:p>
    <w:p w14:paraId="16BD90DE" w14:textId="78B5AEF7" w:rsidR="00C45D09" w:rsidRPr="00A567F2" w:rsidRDefault="00A711D4" w:rsidP="003C10F9">
      <w:pPr>
        <w:spacing w:line="480" w:lineRule="auto"/>
        <w:ind w:firstLine="720"/>
        <w:rPr>
          <w:color w:val="000000" w:themeColor="text1"/>
        </w:rPr>
      </w:pPr>
      <w:r w:rsidRPr="00A567F2">
        <w:rPr>
          <w:color w:val="000000" w:themeColor="text1"/>
        </w:rPr>
        <w:t>As such, f</w:t>
      </w:r>
      <w:r w:rsidR="00CC2683" w:rsidRPr="00A567F2">
        <w:rPr>
          <w:color w:val="000000" w:themeColor="text1"/>
        </w:rPr>
        <w:t xml:space="preserve">uture research should investigate the effectiveness of </w:t>
      </w:r>
      <w:r w:rsidR="002B20BB" w:rsidRPr="00A567F2">
        <w:rPr>
          <w:color w:val="000000" w:themeColor="text1"/>
        </w:rPr>
        <w:t xml:space="preserve">repeated </w:t>
      </w:r>
      <w:r w:rsidR="00035313" w:rsidRPr="00A567F2">
        <w:rPr>
          <w:color w:val="000000" w:themeColor="text1"/>
        </w:rPr>
        <w:t xml:space="preserve">online </w:t>
      </w:r>
      <w:r w:rsidR="007F02A1" w:rsidRPr="00A567F2">
        <w:rPr>
          <w:color w:val="000000" w:themeColor="text1"/>
        </w:rPr>
        <w:t>(</w:t>
      </w:r>
      <w:r w:rsidR="00CC2683" w:rsidRPr="00A567F2">
        <w:rPr>
          <w:color w:val="000000" w:themeColor="text1"/>
        </w:rPr>
        <w:t>longitudinal</w:t>
      </w:r>
      <w:r w:rsidR="007F02A1" w:rsidRPr="00A567F2">
        <w:rPr>
          <w:color w:val="000000" w:themeColor="text1"/>
        </w:rPr>
        <w:t>)</w:t>
      </w:r>
      <w:r w:rsidR="00CC2683" w:rsidRPr="00A567F2">
        <w:rPr>
          <w:color w:val="000000" w:themeColor="text1"/>
        </w:rPr>
        <w:t xml:space="preserve"> CBM training</w:t>
      </w:r>
      <w:r w:rsidR="00054358" w:rsidRPr="00A567F2">
        <w:rPr>
          <w:color w:val="000000" w:themeColor="text1"/>
        </w:rPr>
        <w:t xml:space="preserve"> and personalisation of task images</w:t>
      </w:r>
      <w:r w:rsidR="003C10F9" w:rsidRPr="00A567F2">
        <w:rPr>
          <w:color w:val="000000" w:themeColor="text1"/>
        </w:rPr>
        <w:t xml:space="preserve">. Research into potential moderators of the effects of CBM interventions, such as </w:t>
      </w:r>
      <w:r w:rsidRPr="00A567F2">
        <w:rPr>
          <w:color w:val="000000" w:themeColor="text1"/>
        </w:rPr>
        <w:t xml:space="preserve">participant awareness, and </w:t>
      </w:r>
      <w:r w:rsidR="003C10F9" w:rsidRPr="00A567F2">
        <w:rPr>
          <w:color w:val="000000" w:themeColor="text1"/>
        </w:rPr>
        <w:t xml:space="preserve">emotional or restrained eating (e.g. Lawrence et al, 2015) should also be undertaken, to determine if some individuals might benefit more than others. Taken together, </w:t>
      </w:r>
      <w:r w:rsidR="00F2492F" w:rsidRPr="00A567F2">
        <w:rPr>
          <w:color w:val="000000" w:themeColor="text1"/>
        </w:rPr>
        <w:t>this would</w:t>
      </w:r>
      <w:r w:rsidR="00AA1EA1" w:rsidRPr="00A567F2">
        <w:rPr>
          <w:color w:val="000000" w:themeColor="text1"/>
        </w:rPr>
        <w:t xml:space="preserve"> </w:t>
      </w:r>
      <w:r w:rsidR="00B33943" w:rsidRPr="00A567F2">
        <w:rPr>
          <w:color w:val="000000" w:themeColor="text1"/>
        </w:rPr>
        <w:t>determine whether</w:t>
      </w:r>
      <w:r w:rsidR="00CC2683" w:rsidRPr="00A567F2">
        <w:rPr>
          <w:color w:val="000000" w:themeColor="text1"/>
        </w:rPr>
        <w:t xml:space="preserve"> multiple </w:t>
      </w:r>
      <w:r w:rsidR="00C60A50" w:rsidRPr="00A567F2">
        <w:rPr>
          <w:color w:val="000000" w:themeColor="text1"/>
        </w:rPr>
        <w:t xml:space="preserve">(tailored) </w:t>
      </w:r>
      <w:r w:rsidR="00AA1EA1" w:rsidRPr="00A567F2">
        <w:rPr>
          <w:color w:val="000000" w:themeColor="text1"/>
        </w:rPr>
        <w:t xml:space="preserve">CBM </w:t>
      </w:r>
      <w:r w:rsidR="00F2492F" w:rsidRPr="00A567F2">
        <w:rPr>
          <w:color w:val="000000" w:themeColor="text1"/>
        </w:rPr>
        <w:t xml:space="preserve">online </w:t>
      </w:r>
      <w:r w:rsidR="00CC2683" w:rsidRPr="00A567F2">
        <w:rPr>
          <w:color w:val="000000" w:themeColor="text1"/>
        </w:rPr>
        <w:t xml:space="preserve">training sessions </w:t>
      </w:r>
      <w:r w:rsidR="003C10F9" w:rsidRPr="00A567F2">
        <w:rPr>
          <w:color w:val="000000" w:themeColor="text1"/>
        </w:rPr>
        <w:t xml:space="preserve">targeted to specific individuals’ </w:t>
      </w:r>
      <w:r w:rsidR="00AA1EA1" w:rsidRPr="00A567F2">
        <w:rPr>
          <w:color w:val="000000" w:themeColor="text1"/>
        </w:rPr>
        <w:t>are required to effectively elicit behavioural changes</w:t>
      </w:r>
      <w:r w:rsidR="00F2492F" w:rsidRPr="00A567F2">
        <w:rPr>
          <w:color w:val="000000" w:themeColor="text1"/>
        </w:rPr>
        <w:t xml:space="preserve">, and would also allow </w:t>
      </w:r>
      <w:r w:rsidR="009948AD" w:rsidRPr="00A567F2">
        <w:rPr>
          <w:color w:val="000000" w:themeColor="text1"/>
        </w:rPr>
        <w:t xml:space="preserve">for </w:t>
      </w:r>
      <w:r w:rsidR="00F2492F" w:rsidRPr="00A567F2">
        <w:rPr>
          <w:color w:val="000000" w:themeColor="text1"/>
        </w:rPr>
        <w:t xml:space="preserve">longer term </w:t>
      </w:r>
      <w:r w:rsidR="009948AD" w:rsidRPr="00A567F2">
        <w:rPr>
          <w:color w:val="000000" w:themeColor="text1"/>
        </w:rPr>
        <w:lastRenderedPageBreak/>
        <w:t>behavioural measures</w:t>
      </w:r>
      <w:r w:rsidR="00F2492F" w:rsidRPr="00A567F2">
        <w:rPr>
          <w:color w:val="000000" w:themeColor="text1"/>
        </w:rPr>
        <w:t xml:space="preserve"> </w:t>
      </w:r>
      <w:r w:rsidR="009948AD" w:rsidRPr="00A567F2">
        <w:rPr>
          <w:color w:val="000000" w:themeColor="text1"/>
        </w:rPr>
        <w:t>(e.g., weight change</w:t>
      </w:r>
      <w:r w:rsidR="00F2492F" w:rsidRPr="00A567F2">
        <w:rPr>
          <w:color w:val="000000" w:themeColor="text1"/>
        </w:rPr>
        <w:t>) to be monitored</w:t>
      </w:r>
      <w:r w:rsidR="00777682" w:rsidRPr="00A567F2">
        <w:rPr>
          <w:color w:val="000000" w:themeColor="text1"/>
        </w:rPr>
        <w:t xml:space="preserve"> to further assess training effectiveness</w:t>
      </w:r>
      <w:r w:rsidR="00AA1EA1" w:rsidRPr="00A567F2">
        <w:rPr>
          <w:color w:val="000000" w:themeColor="text1"/>
        </w:rPr>
        <w:t xml:space="preserve">. </w:t>
      </w:r>
    </w:p>
    <w:p w14:paraId="69969F66" w14:textId="0A898C76" w:rsidR="00E35150" w:rsidRPr="00A567F2" w:rsidRDefault="00E35150" w:rsidP="00E35150">
      <w:pPr>
        <w:spacing w:line="480" w:lineRule="auto"/>
        <w:ind w:firstLine="720"/>
        <w:rPr>
          <w:color w:val="000000" w:themeColor="text1"/>
        </w:rPr>
      </w:pPr>
      <w:r w:rsidRPr="00A567F2">
        <w:rPr>
          <w:color w:val="000000" w:themeColor="text1"/>
        </w:rPr>
        <w:t xml:space="preserve">In conclusion, two pre-registered studies investigated CBM training strategies (cue-ICT and EC) to identify the role of cue inhibition contingencies and critical pairings in training outcomes. The results revealed that </w:t>
      </w:r>
      <w:r w:rsidR="00605BD7" w:rsidRPr="00A567F2">
        <w:rPr>
          <w:color w:val="000000" w:themeColor="text1"/>
        </w:rPr>
        <w:t>online</w:t>
      </w:r>
      <w:r w:rsidRPr="00A567F2">
        <w:rPr>
          <w:color w:val="000000" w:themeColor="text1"/>
        </w:rPr>
        <w:t xml:space="preserve"> cue-ICT </w:t>
      </w:r>
      <w:r w:rsidR="00605BD7" w:rsidRPr="00A567F2">
        <w:rPr>
          <w:color w:val="000000" w:themeColor="text1"/>
        </w:rPr>
        <w:t>and</w:t>
      </w:r>
      <w:r w:rsidRPr="00A567F2">
        <w:rPr>
          <w:color w:val="000000" w:themeColor="text1"/>
        </w:rPr>
        <w:t xml:space="preserve"> EC</w:t>
      </w:r>
      <w:r w:rsidR="00605BD7" w:rsidRPr="00A567F2">
        <w:rPr>
          <w:color w:val="000000" w:themeColor="text1"/>
        </w:rPr>
        <w:t xml:space="preserve"> training</w:t>
      </w:r>
      <w:r w:rsidRPr="00A567F2">
        <w:rPr>
          <w:color w:val="000000" w:themeColor="text1"/>
        </w:rPr>
        <w:t xml:space="preserve"> </w:t>
      </w:r>
      <w:r w:rsidR="00605BD7" w:rsidRPr="00A567F2">
        <w:rPr>
          <w:color w:val="000000" w:themeColor="text1"/>
        </w:rPr>
        <w:t>did not</w:t>
      </w:r>
      <w:r w:rsidR="00CC2668" w:rsidRPr="00A567F2">
        <w:rPr>
          <w:color w:val="000000" w:themeColor="text1"/>
        </w:rPr>
        <w:t xml:space="preserve"> </w:t>
      </w:r>
      <w:r w:rsidRPr="00A567F2">
        <w:rPr>
          <w:color w:val="000000" w:themeColor="text1"/>
        </w:rPr>
        <w:t>influenc</w:t>
      </w:r>
      <w:r w:rsidR="00CC2668" w:rsidRPr="00A567F2">
        <w:rPr>
          <w:color w:val="000000" w:themeColor="text1"/>
        </w:rPr>
        <w:t>e</w:t>
      </w:r>
      <w:r w:rsidRPr="00A567F2">
        <w:rPr>
          <w:color w:val="000000" w:themeColor="text1"/>
        </w:rPr>
        <w:t xml:space="preserve"> food value (for healthy or unhealthy foods) at any percentage cue inhibition or critical pairing, and only EC training influenced explicit choices, with healthier choices observed when participants completed the 100% version of training (i.e., all unhealthy foods followed by negative health outcome images) compared to control training. These findings raise </w:t>
      </w:r>
      <w:r w:rsidR="00D3196E" w:rsidRPr="00A567F2">
        <w:rPr>
          <w:color w:val="000000" w:themeColor="text1"/>
        </w:rPr>
        <w:t xml:space="preserve">further </w:t>
      </w:r>
      <w:r w:rsidRPr="00A567F2">
        <w:rPr>
          <w:color w:val="000000" w:themeColor="text1"/>
        </w:rPr>
        <w:t>questions in relation to the effectiveness of CBM based training strategies</w:t>
      </w:r>
      <w:r w:rsidR="00A948E1" w:rsidRPr="00A567F2">
        <w:rPr>
          <w:color w:val="000000" w:themeColor="text1"/>
        </w:rPr>
        <w:t xml:space="preserve"> in line with recent pre-registered studies (</w:t>
      </w:r>
      <w:r w:rsidR="008219CA" w:rsidRPr="00A567F2">
        <w:rPr>
          <w:color w:val="000000" w:themeColor="text1"/>
        </w:rPr>
        <w:t>Jones et al., 2020</w:t>
      </w:r>
      <w:r w:rsidR="00A948E1" w:rsidRPr="00A567F2">
        <w:rPr>
          <w:color w:val="000000" w:themeColor="text1"/>
        </w:rPr>
        <w:t>) and meta-analyses</w:t>
      </w:r>
      <w:r w:rsidR="001D026A" w:rsidRPr="00A567F2">
        <w:rPr>
          <w:color w:val="000000" w:themeColor="text1"/>
        </w:rPr>
        <w:t xml:space="preserve"> (Cristea</w:t>
      </w:r>
      <w:r w:rsidR="00FE53B0" w:rsidRPr="00A567F2">
        <w:rPr>
          <w:color w:val="000000" w:themeColor="text1"/>
        </w:rPr>
        <w:t xml:space="preserve"> et al., </w:t>
      </w:r>
      <w:r w:rsidR="001D026A" w:rsidRPr="00A567F2">
        <w:rPr>
          <w:color w:val="000000" w:themeColor="text1"/>
        </w:rPr>
        <w:t>2016</w:t>
      </w:r>
      <w:r w:rsidR="00A948E1" w:rsidRPr="00A567F2">
        <w:rPr>
          <w:color w:val="000000" w:themeColor="text1"/>
        </w:rPr>
        <w:t>)</w:t>
      </w:r>
      <w:r w:rsidR="00F503BC" w:rsidRPr="00A567F2">
        <w:rPr>
          <w:color w:val="000000" w:themeColor="text1"/>
        </w:rPr>
        <w:t xml:space="preserve"> in similar fields</w:t>
      </w:r>
      <w:r w:rsidRPr="00A567F2">
        <w:rPr>
          <w:color w:val="000000" w:themeColor="text1"/>
        </w:rPr>
        <w:t>. Future research should investigate</w:t>
      </w:r>
      <w:r w:rsidR="00EB03EB" w:rsidRPr="00A567F2">
        <w:rPr>
          <w:color w:val="000000" w:themeColor="text1"/>
        </w:rPr>
        <w:t xml:space="preserve"> </w:t>
      </w:r>
      <w:r w:rsidRPr="00A567F2">
        <w:rPr>
          <w:color w:val="000000" w:themeColor="text1"/>
        </w:rPr>
        <w:t xml:space="preserve">variations </w:t>
      </w:r>
      <w:r w:rsidR="00EB03EB" w:rsidRPr="00A567F2">
        <w:rPr>
          <w:color w:val="000000" w:themeColor="text1"/>
        </w:rPr>
        <w:t xml:space="preserve">that exist </w:t>
      </w:r>
      <w:r w:rsidRPr="00A567F2">
        <w:rPr>
          <w:color w:val="000000" w:themeColor="text1"/>
        </w:rPr>
        <w:t>between studies to attempt to explain inconsistencies observed throughout the literature</w:t>
      </w:r>
      <w:r w:rsidR="00EB03EB" w:rsidRPr="00A567F2">
        <w:rPr>
          <w:color w:val="000000" w:themeColor="text1"/>
        </w:rPr>
        <w:t xml:space="preserve"> and to</w:t>
      </w:r>
      <w:r w:rsidR="000C01FD" w:rsidRPr="00A567F2">
        <w:rPr>
          <w:color w:val="000000" w:themeColor="text1"/>
        </w:rPr>
        <w:t xml:space="preserve"> determine</w:t>
      </w:r>
      <w:r w:rsidRPr="00A567F2">
        <w:rPr>
          <w:color w:val="000000" w:themeColor="text1"/>
        </w:rPr>
        <w:t xml:space="preserve"> </w:t>
      </w:r>
      <w:r w:rsidR="000C12F1" w:rsidRPr="00A567F2">
        <w:rPr>
          <w:color w:val="000000" w:themeColor="text1"/>
        </w:rPr>
        <w:t xml:space="preserve">whether CBM approaches have </w:t>
      </w:r>
      <w:r w:rsidR="00532C87" w:rsidRPr="00A567F2">
        <w:rPr>
          <w:color w:val="000000" w:themeColor="text1"/>
        </w:rPr>
        <w:t>potential a</w:t>
      </w:r>
      <w:r w:rsidR="000C12F1" w:rsidRPr="00A567F2">
        <w:rPr>
          <w:color w:val="000000" w:themeColor="text1"/>
        </w:rPr>
        <w:t xml:space="preserve">s </w:t>
      </w:r>
      <w:r w:rsidR="00D010D5" w:rsidRPr="00A567F2">
        <w:rPr>
          <w:color w:val="000000" w:themeColor="text1"/>
        </w:rPr>
        <w:t>theoretically driven</w:t>
      </w:r>
      <w:r w:rsidR="00C0702B" w:rsidRPr="00A567F2">
        <w:rPr>
          <w:color w:val="000000" w:themeColor="text1"/>
        </w:rPr>
        <w:t xml:space="preserve"> </w:t>
      </w:r>
      <w:r w:rsidR="000C12F1" w:rsidRPr="00A567F2">
        <w:rPr>
          <w:color w:val="000000" w:themeColor="text1"/>
        </w:rPr>
        <w:t>psychological interventions</w:t>
      </w:r>
      <w:r w:rsidR="00532C87" w:rsidRPr="00A567F2">
        <w:rPr>
          <w:color w:val="000000" w:themeColor="text1"/>
        </w:rPr>
        <w:t xml:space="preserve"> for </w:t>
      </w:r>
      <w:r w:rsidRPr="00A567F2">
        <w:rPr>
          <w:color w:val="000000" w:themeColor="text1"/>
        </w:rPr>
        <w:t>overweight and obesity.</w:t>
      </w:r>
      <w:r w:rsidR="00191998" w:rsidRPr="00A567F2">
        <w:rPr>
          <w:color w:val="000000" w:themeColor="text1"/>
        </w:rPr>
        <w:t xml:space="preserve"> </w:t>
      </w:r>
    </w:p>
    <w:p w14:paraId="2A81F1D2" w14:textId="77777777" w:rsidR="007C46AF" w:rsidRPr="00A567F2" w:rsidRDefault="007C46AF" w:rsidP="000137AD">
      <w:pPr>
        <w:spacing w:line="480" w:lineRule="auto"/>
        <w:rPr>
          <w:color w:val="000000" w:themeColor="text1"/>
        </w:rPr>
      </w:pPr>
    </w:p>
    <w:p w14:paraId="6EC8F8BB" w14:textId="77777777" w:rsidR="00E2153A" w:rsidRPr="00A567F2" w:rsidRDefault="00E2153A" w:rsidP="000137AD">
      <w:pPr>
        <w:spacing w:line="480" w:lineRule="auto"/>
        <w:rPr>
          <w:color w:val="000000" w:themeColor="text1"/>
        </w:rPr>
      </w:pPr>
    </w:p>
    <w:p w14:paraId="4EFAB827" w14:textId="77777777" w:rsidR="00FC79CA" w:rsidRPr="00A567F2" w:rsidRDefault="00FC79CA" w:rsidP="000137AD">
      <w:pPr>
        <w:spacing w:line="480" w:lineRule="auto"/>
        <w:rPr>
          <w:color w:val="000000" w:themeColor="text1"/>
        </w:rPr>
      </w:pPr>
    </w:p>
    <w:p w14:paraId="03778777" w14:textId="77777777" w:rsidR="00FC79CA" w:rsidRPr="00A567F2" w:rsidRDefault="00FC79CA" w:rsidP="000137AD">
      <w:pPr>
        <w:spacing w:line="480" w:lineRule="auto"/>
        <w:rPr>
          <w:color w:val="000000" w:themeColor="text1"/>
        </w:rPr>
      </w:pPr>
    </w:p>
    <w:p w14:paraId="1B9484CC" w14:textId="77777777" w:rsidR="00FC79CA" w:rsidRPr="00A567F2" w:rsidRDefault="00FC79CA" w:rsidP="000137AD">
      <w:pPr>
        <w:spacing w:line="480" w:lineRule="auto"/>
        <w:rPr>
          <w:color w:val="000000" w:themeColor="text1"/>
        </w:rPr>
      </w:pPr>
    </w:p>
    <w:p w14:paraId="2BB7522A" w14:textId="77777777" w:rsidR="00FC79CA" w:rsidRPr="00A567F2" w:rsidRDefault="00FC79CA" w:rsidP="000137AD">
      <w:pPr>
        <w:spacing w:line="480" w:lineRule="auto"/>
        <w:rPr>
          <w:color w:val="000000" w:themeColor="text1"/>
        </w:rPr>
      </w:pPr>
    </w:p>
    <w:p w14:paraId="32D7D6BF" w14:textId="77777777" w:rsidR="00FC79CA" w:rsidRPr="00A567F2" w:rsidRDefault="00FC79CA" w:rsidP="000137AD">
      <w:pPr>
        <w:spacing w:line="480" w:lineRule="auto"/>
        <w:rPr>
          <w:color w:val="000000" w:themeColor="text1"/>
        </w:rPr>
      </w:pPr>
    </w:p>
    <w:p w14:paraId="1D562DCA" w14:textId="77777777" w:rsidR="00FC79CA" w:rsidRPr="00A567F2" w:rsidRDefault="00FC79CA" w:rsidP="000137AD">
      <w:pPr>
        <w:spacing w:line="480" w:lineRule="auto"/>
        <w:rPr>
          <w:color w:val="000000" w:themeColor="text1"/>
        </w:rPr>
      </w:pPr>
    </w:p>
    <w:p w14:paraId="0E274E0A" w14:textId="77777777" w:rsidR="00FC79CA" w:rsidRPr="00A567F2" w:rsidRDefault="00FC79CA" w:rsidP="000137AD">
      <w:pPr>
        <w:spacing w:line="480" w:lineRule="auto"/>
        <w:rPr>
          <w:color w:val="000000" w:themeColor="text1"/>
        </w:rPr>
      </w:pPr>
    </w:p>
    <w:p w14:paraId="5DF677B1" w14:textId="77777777" w:rsidR="007E7D4F" w:rsidRPr="00A567F2" w:rsidRDefault="007E7D4F" w:rsidP="000137AD">
      <w:pPr>
        <w:spacing w:line="480" w:lineRule="auto"/>
        <w:rPr>
          <w:color w:val="000000" w:themeColor="text1"/>
        </w:rPr>
      </w:pPr>
    </w:p>
    <w:p w14:paraId="717A032E" w14:textId="0C6564D2" w:rsidR="008D7677" w:rsidRPr="00A567F2" w:rsidRDefault="008310C1" w:rsidP="00C60948">
      <w:pPr>
        <w:pStyle w:val="NormalWeb"/>
        <w:spacing w:line="480" w:lineRule="auto"/>
        <w:jc w:val="center"/>
        <w:rPr>
          <w:b/>
          <w:color w:val="000000" w:themeColor="text1"/>
          <w:u w:val="single"/>
        </w:rPr>
      </w:pPr>
      <w:r w:rsidRPr="00A567F2">
        <w:rPr>
          <w:b/>
          <w:color w:val="000000" w:themeColor="text1"/>
          <w:u w:val="single"/>
        </w:rPr>
        <w:lastRenderedPageBreak/>
        <w:t>References</w:t>
      </w:r>
    </w:p>
    <w:p w14:paraId="70D8E761"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Adams, R.C., Lawrence, N.S., Verbruggen, F. &amp; Chambers, C.D. (2017). Training response inhibition to reduce food consumption: Mechanisms, stimulus specificity and appropriate training protocols. </w:t>
      </w:r>
      <w:r w:rsidRPr="00A567F2">
        <w:rPr>
          <w:i/>
          <w:color w:val="000000" w:themeColor="text1"/>
        </w:rPr>
        <w:t xml:space="preserve">Appetite, 109, </w:t>
      </w:r>
      <w:r w:rsidRPr="00A567F2">
        <w:rPr>
          <w:color w:val="000000" w:themeColor="text1"/>
        </w:rPr>
        <w:t>11-23. https://doi.org/ 10.1016/j.appet.2016.11.014</w:t>
      </w:r>
    </w:p>
    <w:p w14:paraId="28D9901A" w14:textId="4B86BDFD" w:rsidR="008D7677" w:rsidRPr="00A567F2" w:rsidRDefault="008D7677" w:rsidP="00154C9A">
      <w:pPr>
        <w:spacing w:line="480" w:lineRule="auto"/>
        <w:ind w:left="851" w:hanging="851"/>
        <w:rPr>
          <w:color w:val="000000" w:themeColor="text1"/>
        </w:rPr>
      </w:pPr>
      <w:r w:rsidRPr="00A567F2">
        <w:rPr>
          <w:color w:val="000000" w:themeColor="text1"/>
        </w:rPr>
        <w:t xml:space="preserve">Allom, V. &amp; Mullan, B. (2015). Two inhibitory control training interventions designed to improve eating behaviour and determine mechanisms of change. </w:t>
      </w:r>
      <w:r w:rsidRPr="00A567F2">
        <w:rPr>
          <w:i/>
          <w:color w:val="000000" w:themeColor="text1"/>
        </w:rPr>
        <w:t xml:space="preserve">Appetite, 89, </w:t>
      </w:r>
      <w:r w:rsidRPr="00A567F2">
        <w:rPr>
          <w:color w:val="000000" w:themeColor="text1"/>
        </w:rPr>
        <w:t>282-290. https://doi.org/10.1016/j.appet.2015.02.022</w:t>
      </w:r>
    </w:p>
    <w:p w14:paraId="0B337AFD" w14:textId="77777777" w:rsidR="00154C9A" w:rsidRPr="00A567F2" w:rsidRDefault="00154C9A" w:rsidP="00154C9A">
      <w:pPr>
        <w:spacing w:line="480" w:lineRule="auto"/>
        <w:rPr>
          <w:color w:val="000000" w:themeColor="text1"/>
        </w:rPr>
      </w:pPr>
    </w:p>
    <w:p w14:paraId="2069A382" w14:textId="77777777" w:rsidR="008D7677" w:rsidRPr="00A567F2" w:rsidRDefault="008D7677" w:rsidP="00A20425">
      <w:pPr>
        <w:tabs>
          <w:tab w:val="left" w:pos="6465"/>
        </w:tabs>
        <w:spacing w:line="480" w:lineRule="auto"/>
        <w:ind w:left="851" w:hanging="851"/>
        <w:rPr>
          <w:color w:val="000000" w:themeColor="text1"/>
        </w:rPr>
      </w:pPr>
      <w:r w:rsidRPr="00A567F2">
        <w:rPr>
          <w:color w:val="000000" w:themeColor="text1"/>
        </w:rPr>
        <w:t xml:space="preserve">Allom, V., Mullan, B. &amp; Hagger, M. (2016). Does inhibitory control training improve health behaviour? A meta-analysis. </w:t>
      </w:r>
      <w:r w:rsidRPr="00A567F2">
        <w:rPr>
          <w:i/>
          <w:color w:val="000000" w:themeColor="text1"/>
        </w:rPr>
        <w:t>Health Psychology Review, 10</w:t>
      </w:r>
      <w:r w:rsidRPr="00A567F2">
        <w:rPr>
          <w:color w:val="000000" w:themeColor="text1"/>
        </w:rPr>
        <w:t>(2), 168-186. https://doi.org/10.1080/17437199.2015.1051078</w:t>
      </w:r>
    </w:p>
    <w:p w14:paraId="0FB26961"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Blüher, M. (2019). Obesity: global epidemiology and pathogenesis. </w:t>
      </w:r>
      <w:r w:rsidRPr="00A567F2">
        <w:rPr>
          <w:i/>
          <w:color w:val="000000" w:themeColor="text1"/>
        </w:rPr>
        <w:t>Nature Reviews Endocrinology, 15</w:t>
      </w:r>
      <w:r w:rsidRPr="00A567F2">
        <w:rPr>
          <w:color w:val="000000" w:themeColor="text1"/>
        </w:rPr>
        <w:t>, 288–298. https://doi.org/10.1038/s41574-019-0176-8</w:t>
      </w:r>
    </w:p>
    <w:p w14:paraId="4A8155BA"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Bongers, P., Houben, K. &amp; Jansen, A. (2018). Double up! Examining the effects of adding inhibition training to food cue exposure in chocolate-loving female students. </w:t>
      </w:r>
      <w:r w:rsidRPr="00A567F2">
        <w:rPr>
          <w:i/>
          <w:color w:val="000000" w:themeColor="text1"/>
        </w:rPr>
        <w:t xml:space="preserve">Appetite, 121, </w:t>
      </w:r>
      <w:r w:rsidRPr="00A567F2">
        <w:rPr>
          <w:color w:val="000000" w:themeColor="text1"/>
        </w:rPr>
        <w:t>154-162. https://doi.org/10.1016/j.appet.2017.11.096</w:t>
      </w:r>
    </w:p>
    <w:p w14:paraId="5EC28FD8"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Brockmeyer, T., Hazme Sinno, M., Skunde, M., Wu, M., Woehning, A., Rudofsky, G. &amp; Friederich, H.C. (2016). Inhibitory control and hedonic response towards food interactively predict success in a weight loss programme for adults with obesity. </w:t>
      </w:r>
      <w:r w:rsidRPr="00A567F2">
        <w:rPr>
          <w:i/>
          <w:color w:val="000000" w:themeColor="text1"/>
        </w:rPr>
        <w:t>Obesity Facts, 9</w:t>
      </w:r>
      <w:r w:rsidRPr="00A567F2">
        <w:rPr>
          <w:color w:val="000000" w:themeColor="text1"/>
        </w:rPr>
        <w:t>(5), 299-309. https://doi.org/10.1159/000447492</w:t>
      </w:r>
    </w:p>
    <w:p w14:paraId="6915320D" w14:textId="57A24B7A" w:rsidR="008D7677" w:rsidRPr="00A567F2" w:rsidRDefault="008D7677" w:rsidP="00A20425">
      <w:pPr>
        <w:spacing w:line="480" w:lineRule="auto"/>
        <w:ind w:left="851" w:hanging="851"/>
        <w:rPr>
          <w:color w:val="000000" w:themeColor="text1"/>
        </w:rPr>
      </w:pPr>
      <w:r w:rsidRPr="00A567F2">
        <w:rPr>
          <w:color w:val="000000" w:themeColor="text1"/>
        </w:rPr>
        <w:lastRenderedPageBreak/>
        <w:t xml:space="preserve">Bui, E. &amp; Fazio, R.H. (2016). Generalization of evaluative conditioning towards food: Increasing sensitivity to health in eating intentions. </w:t>
      </w:r>
      <w:r w:rsidRPr="00A567F2">
        <w:rPr>
          <w:i/>
          <w:color w:val="000000" w:themeColor="text1"/>
        </w:rPr>
        <w:t>Health Psychology, 35</w:t>
      </w:r>
      <w:r w:rsidRPr="00A567F2">
        <w:rPr>
          <w:color w:val="000000" w:themeColor="text1"/>
        </w:rPr>
        <w:t xml:space="preserve">(8), 852-855. https://doi.org/10.1037/hea0000339 </w:t>
      </w:r>
    </w:p>
    <w:p w14:paraId="08367EAF" w14:textId="2DA6C09D" w:rsidR="00164ECA" w:rsidRPr="00A567F2" w:rsidRDefault="00164ECA" w:rsidP="00A20425">
      <w:pPr>
        <w:spacing w:line="480" w:lineRule="auto"/>
        <w:ind w:left="851" w:hanging="851"/>
        <w:rPr>
          <w:color w:val="000000" w:themeColor="text1"/>
        </w:rPr>
      </w:pPr>
    </w:p>
    <w:p w14:paraId="713813FC" w14:textId="38FD752F" w:rsidR="00164ECA" w:rsidRPr="00A567F2" w:rsidRDefault="005418DD" w:rsidP="00A20425">
      <w:pPr>
        <w:spacing w:line="480" w:lineRule="auto"/>
        <w:ind w:left="851" w:hanging="851"/>
        <w:rPr>
          <w:color w:val="000000" w:themeColor="text1"/>
        </w:rPr>
      </w:pPr>
      <w:r w:rsidRPr="00A567F2">
        <w:rPr>
          <w:color w:val="000000" w:themeColor="text1"/>
        </w:rPr>
        <w:t xml:space="preserve">Berkman, E.T., Hutcherson, C.A., Livingston, J.L., Kahn, L.E. &amp; Inzlicht, M. (2017). Self control as a value based choice. </w:t>
      </w:r>
      <w:r w:rsidRPr="00A567F2">
        <w:rPr>
          <w:i/>
          <w:color w:val="000000" w:themeColor="text1"/>
        </w:rPr>
        <w:t>Current Directions in Psychological Science, 26</w:t>
      </w:r>
      <w:r w:rsidRPr="00A567F2">
        <w:rPr>
          <w:color w:val="000000" w:themeColor="text1"/>
        </w:rPr>
        <w:t>(5), 422-428. https://doi.org/10.1177/0963721417704394</w:t>
      </w:r>
    </w:p>
    <w:p w14:paraId="631B3D15" w14:textId="77777777" w:rsidR="008D7677" w:rsidRPr="00A567F2" w:rsidRDefault="008D7677" w:rsidP="00A20425">
      <w:pPr>
        <w:spacing w:line="480" w:lineRule="auto"/>
        <w:ind w:left="851" w:hanging="851"/>
        <w:rPr>
          <w:color w:val="000000" w:themeColor="text1"/>
        </w:rPr>
      </w:pPr>
    </w:p>
    <w:p w14:paraId="6D2DFBBB" w14:textId="77777777" w:rsidR="008D7677" w:rsidRPr="00A567F2" w:rsidRDefault="008D7677" w:rsidP="00A20425">
      <w:pPr>
        <w:tabs>
          <w:tab w:val="left" w:pos="6465"/>
        </w:tabs>
        <w:spacing w:line="480" w:lineRule="auto"/>
        <w:ind w:left="851" w:hanging="851"/>
        <w:rPr>
          <w:color w:val="000000" w:themeColor="text1"/>
        </w:rPr>
      </w:pPr>
      <w:r w:rsidRPr="00A567F2">
        <w:rPr>
          <w:color w:val="000000" w:themeColor="text1"/>
        </w:rPr>
        <w:t xml:space="preserve">Carbine, K.A. &amp; Larson, M.J. (2019). Quantifying the presence of evidential value and selective reporting in food-related inhibitory control training: a p-curve analysis. </w:t>
      </w:r>
      <w:r w:rsidRPr="00A567F2">
        <w:rPr>
          <w:i/>
          <w:color w:val="000000" w:themeColor="text1"/>
        </w:rPr>
        <w:t>Health Psychology Review, 13</w:t>
      </w:r>
      <w:r w:rsidRPr="00A567F2">
        <w:rPr>
          <w:color w:val="000000" w:themeColor="text1"/>
        </w:rPr>
        <w:t>(3), 318-343. https://doi.org/10.1080/17437199.2019.1622144</w:t>
      </w:r>
    </w:p>
    <w:p w14:paraId="09081BBE" w14:textId="77777777" w:rsidR="008D7677" w:rsidRPr="00A567F2" w:rsidRDefault="008D7677" w:rsidP="00A20425">
      <w:pPr>
        <w:tabs>
          <w:tab w:val="left" w:pos="6465"/>
        </w:tabs>
        <w:spacing w:line="480" w:lineRule="auto"/>
        <w:ind w:left="851" w:hanging="851"/>
        <w:rPr>
          <w:color w:val="000000" w:themeColor="text1"/>
        </w:rPr>
      </w:pPr>
    </w:p>
    <w:p w14:paraId="181F1B10" w14:textId="0B9E0D85" w:rsidR="008D7677" w:rsidRPr="00A567F2" w:rsidRDefault="008D7677" w:rsidP="00A20425">
      <w:pPr>
        <w:spacing w:line="480" w:lineRule="auto"/>
        <w:ind w:left="851" w:hanging="851"/>
        <w:rPr>
          <w:color w:val="000000" w:themeColor="text1"/>
        </w:rPr>
      </w:pPr>
      <w:r w:rsidRPr="00A567F2">
        <w:rPr>
          <w:color w:val="000000" w:themeColor="text1"/>
        </w:rPr>
        <w:t xml:space="preserve">Chen, Z., Holland, R. W., Quandt, J., Dijksterhuis, A., &amp; Veling, H. (2019). When mere action versus inaction leads to robust preference change. </w:t>
      </w:r>
      <w:r w:rsidRPr="00A567F2">
        <w:rPr>
          <w:i/>
          <w:color w:val="000000" w:themeColor="text1"/>
        </w:rPr>
        <w:t>Journal of Personality and Social Psychology, 117</w:t>
      </w:r>
      <w:r w:rsidRPr="00A567F2">
        <w:rPr>
          <w:color w:val="000000" w:themeColor="text1"/>
        </w:rPr>
        <w:t>(4), 721-740. https://doi.org/10.1037/pspa0000158</w:t>
      </w:r>
    </w:p>
    <w:p w14:paraId="49795985" w14:textId="7945DA2A" w:rsidR="008F47A6" w:rsidRPr="00A567F2" w:rsidRDefault="008F47A6" w:rsidP="008F47A6">
      <w:pPr>
        <w:spacing w:line="480" w:lineRule="auto"/>
        <w:rPr>
          <w:color w:val="000000" w:themeColor="text1"/>
        </w:rPr>
      </w:pPr>
    </w:p>
    <w:p w14:paraId="028BBF81" w14:textId="5CAF4F87" w:rsidR="008F47A6" w:rsidRPr="00A567F2" w:rsidRDefault="008F47A6" w:rsidP="008F47A6">
      <w:pPr>
        <w:spacing w:line="480" w:lineRule="auto"/>
        <w:ind w:left="851" w:hanging="851"/>
        <w:rPr>
          <w:color w:val="000000" w:themeColor="text1"/>
        </w:rPr>
      </w:pPr>
      <w:r w:rsidRPr="00A567F2">
        <w:rPr>
          <w:color w:val="000000" w:themeColor="text1"/>
        </w:rPr>
        <w:t xml:space="preserve">Chen, Z., Holland, R., Quandt, J., Dijksterhuis, A., &amp; Veling, H. (2020). How </w:t>
      </w:r>
      <w:r w:rsidR="008B5EA0" w:rsidRPr="00A567F2">
        <w:rPr>
          <w:color w:val="000000" w:themeColor="text1"/>
        </w:rPr>
        <w:t>preference change induced by mere action versus inaction persists over time</w:t>
      </w:r>
      <w:r w:rsidRPr="00A567F2">
        <w:rPr>
          <w:color w:val="000000" w:themeColor="text1"/>
        </w:rPr>
        <w:t xml:space="preserve">. </w:t>
      </w:r>
      <w:r w:rsidR="00C7736F" w:rsidRPr="00A567F2">
        <w:rPr>
          <w:i/>
          <w:color w:val="000000" w:themeColor="text1"/>
        </w:rPr>
        <w:t>Psy</w:t>
      </w:r>
      <w:r w:rsidR="00DD00B2" w:rsidRPr="00A567F2">
        <w:rPr>
          <w:i/>
          <w:color w:val="000000" w:themeColor="text1"/>
        </w:rPr>
        <w:t xml:space="preserve">ArXiv. </w:t>
      </w:r>
      <w:r w:rsidRPr="00A567F2">
        <w:rPr>
          <w:color w:val="000000" w:themeColor="text1"/>
        </w:rPr>
        <w:t>https://doi.org/10.31219/osf.io/b495y</w:t>
      </w:r>
    </w:p>
    <w:p w14:paraId="36CDD685" w14:textId="77777777" w:rsidR="008D7677" w:rsidRPr="00A567F2" w:rsidRDefault="008D7677" w:rsidP="008F47A6">
      <w:pPr>
        <w:spacing w:line="480" w:lineRule="auto"/>
        <w:rPr>
          <w:color w:val="000000" w:themeColor="text1"/>
        </w:rPr>
      </w:pPr>
    </w:p>
    <w:p w14:paraId="7C5DFE77" w14:textId="2899299C" w:rsidR="008D7677" w:rsidRPr="00A567F2" w:rsidRDefault="008D7677" w:rsidP="00A20425">
      <w:pPr>
        <w:spacing w:line="480" w:lineRule="auto"/>
        <w:ind w:left="851" w:hanging="851"/>
        <w:rPr>
          <w:color w:val="000000" w:themeColor="text1"/>
        </w:rPr>
      </w:pPr>
      <w:r w:rsidRPr="00A567F2">
        <w:rPr>
          <w:color w:val="000000" w:themeColor="text1"/>
        </w:rPr>
        <w:t xml:space="preserve">Chen, Z., Veling, </w:t>
      </w:r>
      <w:r w:rsidR="005D366F" w:rsidRPr="00A567F2">
        <w:rPr>
          <w:color w:val="000000" w:themeColor="text1"/>
        </w:rPr>
        <w:t>H</w:t>
      </w:r>
      <w:r w:rsidRPr="00A567F2">
        <w:rPr>
          <w:color w:val="000000" w:themeColor="text1"/>
        </w:rPr>
        <w:t xml:space="preserve">, de Vries, S.P. Bijvank, B.O., Janssen, I.M.C.,Dijksterhuis, A., Holland, R.W. (2018). Go/no-go training changes food evaluation in both morbidly obese and normal weight individuals. </w:t>
      </w:r>
      <w:r w:rsidRPr="00A567F2">
        <w:rPr>
          <w:i/>
          <w:color w:val="000000" w:themeColor="text1"/>
        </w:rPr>
        <w:t>Journal of Consulting and Clinical Psychology, 86</w:t>
      </w:r>
      <w:r w:rsidRPr="00A567F2">
        <w:rPr>
          <w:color w:val="000000" w:themeColor="text1"/>
        </w:rPr>
        <w:t xml:space="preserve">(12), 980-990. https://doi.org/10.1037/ccp0000320 </w:t>
      </w:r>
    </w:p>
    <w:p w14:paraId="6A80BA89" w14:textId="77777777" w:rsidR="008D7677" w:rsidRPr="00A567F2" w:rsidRDefault="008D7677" w:rsidP="00A20425">
      <w:pPr>
        <w:spacing w:line="480" w:lineRule="auto"/>
        <w:ind w:left="851" w:hanging="851"/>
        <w:rPr>
          <w:color w:val="000000" w:themeColor="text1"/>
        </w:rPr>
      </w:pPr>
    </w:p>
    <w:p w14:paraId="3CF80A46"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Chen, Z., Veling, H., Dijksterhuis, A. &amp; Holland, R. (2016). How Does Not Responding to Appetitive Stimuli Cause Devaluation: Evaluative Conditioning or Response Inhibition? </w:t>
      </w:r>
      <w:r w:rsidRPr="00A567F2">
        <w:rPr>
          <w:i/>
          <w:color w:val="000000" w:themeColor="text1"/>
        </w:rPr>
        <w:t>Journal of Experimental Psychology: General</w:t>
      </w:r>
      <w:r w:rsidRPr="00A567F2">
        <w:rPr>
          <w:color w:val="000000" w:themeColor="text1"/>
        </w:rPr>
        <w:t xml:space="preserve">. </w:t>
      </w:r>
      <w:r w:rsidRPr="00A567F2">
        <w:rPr>
          <w:i/>
          <w:color w:val="000000" w:themeColor="text1"/>
        </w:rPr>
        <w:t>145</w:t>
      </w:r>
      <w:r w:rsidRPr="00A567F2">
        <w:rPr>
          <w:color w:val="000000" w:themeColor="text1"/>
        </w:rPr>
        <w:t>(12), 1687-1701. https://doi.org 10.1037/xge0000236.</w:t>
      </w:r>
    </w:p>
    <w:p w14:paraId="0F40F4C6" w14:textId="77777777" w:rsidR="008D7677" w:rsidRPr="00A567F2" w:rsidRDefault="008D7677" w:rsidP="00A20425">
      <w:pPr>
        <w:spacing w:line="480" w:lineRule="auto"/>
        <w:ind w:left="851" w:hanging="851"/>
        <w:rPr>
          <w:color w:val="000000" w:themeColor="text1"/>
        </w:rPr>
      </w:pPr>
    </w:p>
    <w:p w14:paraId="12AF00C4"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Cristea, I.A., Kok, R.N. &amp; Cujipers, P. (2016). The Effectiveness of Cognitive Bias Modification Interventions for Substance Addictions: A Meta-Analysis. </w:t>
      </w:r>
      <w:r w:rsidRPr="00A567F2">
        <w:rPr>
          <w:i/>
          <w:color w:val="000000" w:themeColor="text1"/>
        </w:rPr>
        <w:t>PLoS One, 11</w:t>
      </w:r>
      <w:r w:rsidRPr="00A567F2">
        <w:rPr>
          <w:color w:val="000000" w:themeColor="text1"/>
        </w:rPr>
        <w:t>(9), e0162226. https://doi.org/10.1371/journal.pone.0162226</w:t>
      </w:r>
    </w:p>
    <w:p w14:paraId="5EBD10CE" w14:textId="625604A9"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Field, M., Christiansen, P., Hardman, C.A., Haynes, A., Jones, A., Reid, A. &amp; Robinson, E. (2020). Translation of findings from laboratory studies of food and alcohol intake into behavior change interventions: The experimental medicine approach. </w:t>
      </w:r>
      <w:r w:rsidR="00F63B9D" w:rsidRPr="00A567F2">
        <w:rPr>
          <w:i/>
          <w:color w:val="000000" w:themeColor="text1"/>
        </w:rPr>
        <w:t xml:space="preserve">Health Psychology. </w:t>
      </w:r>
      <w:r w:rsidR="00F63B9D" w:rsidRPr="00A567F2">
        <w:rPr>
          <w:color w:val="000000" w:themeColor="text1"/>
        </w:rPr>
        <w:t>Advanced online publication. https://doi.org/10.1037/hea0001022</w:t>
      </w:r>
    </w:p>
    <w:p w14:paraId="163A921E" w14:textId="77777777" w:rsidR="008D7677" w:rsidRPr="00A567F2" w:rsidRDefault="008D7677" w:rsidP="00A20425">
      <w:pPr>
        <w:spacing w:line="480" w:lineRule="auto"/>
        <w:ind w:left="851" w:hanging="851"/>
        <w:rPr>
          <w:color w:val="000000" w:themeColor="text1"/>
        </w:rPr>
      </w:pPr>
      <w:r w:rsidRPr="00A567F2">
        <w:rPr>
          <w:color w:val="000000" w:themeColor="text1"/>
        </w:rPr>
        <w:t>Forman, E. M., Shaw, J. A., Goldstein, S. P., Butryn, M. L., Martin, L. M., Meiran, N., Crosby, R.D &amp; Manasse, S. M. (2016). Mindful decision making and inhibitory control training as complementary means to decrease snack consumption. Appetite, 103, 176-183. https://doi.org/10.1016/j.appet.2016.04.014</w:t>
      </w:r>
    </w:p>
    <w:p w14:paraId="60045639"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Forman, E.M., Manasse, S.M., Dallal, D.H., Crochiere, R.J., Loyka, C.M., Butryn, M.L., Jurascio, A.S. &amp; Houben, K. (2019). Computerised neurocognitive training for improving dietary health and facilitating weight loss.</w:t>
      </w:r>
      <w:r w:rsidRPr="00A567F2">
        <w:rPr>
          <w:i/>
          <w:color w:val="000000" w:themeColor="text1"/>
        </w:rPr>
        <w:t xml:space="preserve"> Journal of Behavioral Medicine, 42, </w:t>
      </w:r>
      <w:r w:rsidRPr="00A567F2">
        <w:rPr>
          <w:color w:val="000000" w:themeColor="text1"/>
        </w:rPr>
        <w:t>1029-1040. https://doi.org/10.1007/s10865-019-00024-5</w:t>
      </w:r>
    </w:p>
    <w:p w14:paraId="216CB3EE" w14:textId="325AE41F" w:rsidR="008D7677" w:rsidRPr="00A567F2" w:rsidRDefault="008D7677" w:rsidP="00A20425">
      <w:pPr>
        <w:spacing w:line="480" w:lineRule="auto"/>
        <w:ind w:left="851" w:hanging="851"/>
        <w:rPr>
          <w:color w:val="000000" w:themeColor="text1"/>
        </w:rPr>
      </w:pPr>
      <w:r w:rsidRPr="00A567F2">
        <w:rPr>
          <w:rFonts w:ascii="Times" w:hAnsi="Times"/>
          <w:color w:val="000000" w:themeColor="text1"/>
        </w:rPr>
        <w:lastRenderedPageBreak/>
        <w:t>Franken, I.H.A. &amp; van de Wetering</w:t>
      </w:r>
      <w:r w:rsidRPr="00A567F2">
        <w:rPr>
          <w:color w:val="000000" w:themeColor="text1"/>
        </w:rPr>
        <w:t xml:space="preserve">, B.J.M. (2015). Bridging the gap between the neurocognitive lab and the addiction clinic. </w:t>
      </w:r>
      <w:r w:rsidRPr="00A567F2">
        <w:rPr>
          <w:i/>
          <w:color w:val="000000" w:themeColor="text1"/>
        </w:rPr>
        <w:t xml:space="preserve">Addictive Behaviors, 44, </w:t>
      </w:r>
      <w:r w:rsidRPr="00A567F2">
        <w:rPr>
          <w:color w:val="000000" w:themeColor="text1"/>
        </w:rPr>
        <w:t>108-114. https://doi.org/</w:t>
      </w:r>
      <w:r w:rsidR="00CE0BFE" w:rsidRPr="00A567F2">
        <w:rPr>
          <w:color w:val="000000" w:themeColor="text1"/>
        </w:rPr>
        <w:t>1</w:t>
      </w:r>
      <w:r w:rsidRPr="00A567F2">
        <w:rPr>
          <w:color w:val="000000" w:themeColor="text1"/>
        </w:rPr>
        <w:t>0.1016/j.addbeh.2014.11.034</w:t>
      </w:r>
    </w:p>
    <w:p w14:paraId="3A735557" w14:textId="77777777" w:rsidR="003309B8" w:rsidRPr="00A567F2" w:rsidRDefault="003309B8" w:rsidP="00A20425">
      <w:pPr>
        <w:spacing w:line="480" w:lineRule="auto"/>
        <w:ind w:left="851" w:hanging="851"/>
        <w:rPr>
          <w:color w:val="000000" w:themeColor="text1"/>
        </w:rPr>
      </w:pPr>
    </w:p>
    <w:p w14:paraId="623F8887"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Friese, M., Hofmann, W. &amp; Wiers, R.W. (2011). On taming horses and strengthening riders: Recent developments in research on interventions to improve self-control in health behaviors. </w:t>
      </w:r>
      <w:r w:rsidRPr="00A567F2">
        <w:rPr>
          <w:i/>
          <w:color w:val="000000" w:themeColor="text1"/>
        </w:rPr>
        <w:t>Self and Identity, 10</w:t>
      </w:r>
      <w:r w:rsidRPr="00A567F2">
        <w:rPr>
          <w:color w:val="000000" w:themeColor="text1"/>
        </w:rPr>
        <w:t>(3), 336-351. https://doi.org/10.1080/15298868.2010.536417</w:t>
      </w:r>
    </w:p>
    <w:p w14:paraId="1D2FE498" w14:textId="77777777" w:rsidR="00720C36" w:rsidRPr="00A567F2" w:rsidRDefault="00720C36" w:rsidP="00A20425">
      <w:pPr>
        <w:spacing w:line="480" w:lineRule="auto"/>
        <w:ind w:left="851" w:hanging="851"/>
        <w:rPr>
          <w:color w:val="000000" w:themeColor="text1"/>
        </w:rPr>
      </w:pPr>
    </w:p>
    <w:p w14:paraId="3A657F6E"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Haynes, A., Kemps, E., &amp; Moffitt, R. (2015). Inhibitory self-control moderates the effect of changed implicit food evaluations on snack food consumption. </w:t>
      </w:r>
      <w:r w:rsidRPr="00A567F2">
        <w:rPr>
          <w:i/>
          <w:color w:val="000000" w:themeColor="text1"/>
        </w:rPr>
        <w:t>Appetite, 90</w:t>
      </w:r>
      <w:r w:rsidRPr="00A567F2">
        <w:rPr>
          <w:color w:val="000000" w:themeColor="text1"/>
        </w:rPr>
        <w:t>, 114–122. https://doi.org/10.1016/j.appet.2015.02.039</w:t>
      </w:r>
    </w:p>
    <w:p w14:paraId="4CD33E27" w14:textId="77777777" w:rsidR="00720C36" w:rsidRPr="00A567F2" w:rsidRDefault="00720C36" w:rsidP="00A20425">
      <w:pPr>
        <w:spacing w:line="480" w:lineRule="auto"/>
        <w:ind w:left="851" w:hanging="851"/>
        <w:rPr>
          <w:color w:val="000000" w:themeColor="text1"/>
        </w:rPr>
      </w:pPr>
    </w:p>
    <w:p w14:paraId="62D67760" w14:textId="4C314C75" w:rsidR="008D7677" w:rsidRPr="00A567F2" w:rsidRDefault="008D7677" w:rsidP="00A20425">
      <w:pPr>
        <w:spacing w:line="480" w:lineRule="auto"/>
        <w:ind w:left="851" w:hanging="851"/>
        <w:rPr>
          <w:color w:val="000000" w:themeColor="text1"/>
        </w:rPr>
      </w:pPr>
      <w:r w:rsidRPr="00A567F2">
        <w:rPr>
          <w:color w:val="000000" w:themeColor="text1"/>
        </w:rPr>
        <w:t xml:space="preserve">Hensels., I.S. &amp; Baines, S. (2016). Changing ‘gut’ feelings about food: An evaluative conditioning effect on implicit food evaluations and food choice. </w:t>
      </w:r>
      <w:r w:rsidRPr="00A567F2">
        <w:rPr>
          <w:i/>
          <w:color w:val="000000" w:themeColor="text1"/>
        </w:rPr>
        <w:t xml:space="preserve">Learning and Motivation, 55, </w:t>
      </w:r>
      <w:r w:rsidRPr="00A567F2">
        <w:rPr>
          <w:color w:val="000000" w:themeColor="text1"/>
        </w:rPr>
        <w:t>31-44. https://doi.org/10.1016/j.lmot.2016.05.005</w:t>
      </w:r>
    </w:p>
    <w:p w14:paraId="77ABD47F" w14:textId="77777777" w:rsidR="00720C36" w:rsidRPr="00A567F2" w:rsidRDefault="00720C36" w:rsidP="00A20425">
      <w:pPr>
        <w:spacing w:line="480" w:lineRule="auto"/>
        <w:ind w:left="851" w:hanging="851"/>
        <w:rPr>
          <w:color w:val="000000" w:themeColor="text1"/>
        </w:rPr>
      </w:pPr>
    </w:p>
    <w:p w14:paraId="58AE849A"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Hofmann, W., De Houwer, J., Perugini, M., Baeyens, F. &amp; Crombez, G. (2010). Evaluative conditioning in humans: A meta-analysis. </w:t>
      </w:r>
      <w:r w:rsidRPr="00A567F2">
        <w:rPr>
          <w:i/>
          <w:color w:val="000000" w:themeColor="text1"/>
        </w:rPr>
        <w:t>Psychological Bulletin, 135</w:t>
      </w:r>
      <w:r w:rsidRPr="00A567F2">
        <w:rPr>
          <w:color w:val="000000" w:themeColor="text1"/>
        </w:rPr>
        <w:t>(3), 390-421. https://doi.org/10.1037/a0018916</w:t>
      </w:r>
    </w:p>
    <w:p w14:paraId="3A21E2E9"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Hofmann, W., Friese, M., &amp; Wiers, R. W. (2008). Impulsive versus reflective influences on health behavior: A theoretical framework and empirical review. </w:t>
      </w:r>
      <w:r w:rsidRPr="00A567F2">
        <w:rPr>
          <w:i/>
          <w:color w:val="000000" w:themeColor="text1"/>
        </w:rPr>
        <w:t>Health Psychology Review, 2</w:t>
      </w:r>
      <w:r w:rsidRPr="00A567F2">
        <w:rPr>
          <w:color w:val="000000" w:themeColor="text1"/>
        </w:rPr>
        <w:t xml:space="preserve">, 111–137. </w:t>
      </w:r>
    </w:p>
    <w:p w14:paraId="410ACBC0"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Hollands, G. J., &amp; Marteau, T. M. (2016). Pairing images of unhealthy and healthy foods with images of negative and positive health consequences: Impact on attitudes and food choice. </w:t>
      </w:r>
      <w:r w:rsidRPr="00A567F2">
        <w:rPr>
          <w:i/>
          <w:color w:val="000000" w:themeColor="text1"/>
        </w:rPr>
        <w:t>Health Psychology, 35</w:t>
      </w:r>
      <w:r w:rsidRPr="00A567F2">
        <w:rPr>
          <w:color w:val="000000" w:themeColor="text1"/>
        </w:rPr>
        <w:t>(8), 847-851. https://doi.org/10.1037/hea0000293</w:t>
      </w:r>
    </w:p>
    <w:p w14:paraId="56376D0D"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Hollands, G.J., Prestwich, A. &amp; Marteau, T.M. (2011). Using aversive images to enhance healthy food choices and implicit attitudes: An experimental test of evaluative conditioning. </w:t>
      </w:r>
      <w:r w:rsidRPr="00A567F2">
        <w:rPr>
          <w:i/>
          <w:color w:val="000000" w:themeColor="text1"/>
        </w:rPr>
        <w:t>Health Psychology, 30</w:t>
      </w:r>
      <w:r w:rsidRPr="00A567F2">
        <w:rPr>
          <w:color w:val="000000" w:themeColor="text1"/>
        </w:rPr>
        <w:t>(2), 195-203. https://doi.org/10.1037/a0022261</w:t>
      </w:r>
    </w:p>
    <w:p w14:paraId="275F5F92"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Houben, K. &amp; Jansen, A. (2011). Training inhibitory control: A recipe for sweet temptations. </w:t>
      </w:r>
      <w:r w:rsidRPr="00A567F2">
        <w:rPr>
          <w:i/>
          <w:color w:val="000000" w:themeColor="text1"/>
        </w:rPr>
        <w:t xml:space="preserve">Appetite, 56, </w:t>
      </w:r>
      <w:r w:rsidRPr="00A567F2">
        <w:rPr>
          <w:color w:val="000000" w:themeColor="text1"/>
        </w:rPr>
        <w:t xml:space="preserve">345-349. https://doi.org/10.1016/j.appet.2010.12.017 </w:t>
      </w:r>
    </w:p>
    <w:p w14:paraId="10E22155"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Houben, K. &amp; Jansen, A. (2015). Chocolate equals stop: chocolate-specific inhibition training reduces chocolate intake and go associations with chocolate. </w:t>
      </w:r>
      <w:r w:rsidRPr="00A567F2">
        <w:rPr>
          <w:i/>
          <w:color w:val="000000" w:themeColor="text1"/>
        </w:rPr>
        <w:t>Appetite, 87</w:t>
      </w:r>
      <w:r w:rsidRPr="00A567F2">
        <w:rPr>
          <w:color w:val="000000" w:themeColor="text1"/>
        </w:rPr>
        <w:t>, 318-323. https://doi.org/10.1016/j.appet.2015.01.005</w:t>
      </w:r>
    </w:p>
    <w:p w14:paraId="4E2583AF"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Houben, K., Jansen, A. &amp; Roefs, A. (2015). A cognitive profile of obesity and its translation into new interventions. </w:t>
      </w:r>
      <w:r w:rsidRPr="00A567F2">
        <w:rPr>
          <w:i/>
          <w:color w:val="000000" w:themeColor="text1"/>
        </w:rPr>
        <w:t xml:space="preserve">Frontiers in Psychology, 6, </w:t>
      </w:r>
      <w:r w:rsidRPr="00A567F2">
        <w:rPr>
          <w:color w:val="000000" w:themeColor="text1"/>
        </w:rPr>
        <w:t>1807. https://doi.org/10.3389/fpsyg.2015.01807</w:t>
      </w:r>
    </w:p>
    <w:p w14:paraId="1039A732" w14:textId="6705211A" w:rsidR="008D7677" w:rsidRPr="00A567F2" w:rsidRDefault="008D7677" w:rsidP="00A20425">
      <w:pPr>
        <w:pStyle w:val="NormalWeb"/>
        <w:spacing w:line="480" w:lineRule="auto"/>
        <w:ind w:left="851" w:hanging="851"/>
        <w:rPr>
          <w:color w:val="000000" w:themeColor="text1"/>
        </w:rPr>
      </w:pPr>
      <w:r w:rsidRPr="00A567F2">
        <w:rPr>
          <w:color w:val="000000" w:themeColor="text1"/>
        </w:rPr>
        <w:t>Houben, K., Nederkoorn, C. and Jansen, A. (2014), Eating on impulse: The relation between overweight and food</w:t>
      </w:r>
      <w:r w:rsidRPr="00A567F2">
        <w:rPr>
          <w:rFonts w:ascii="Calibri" w:eastAsia="Calibri" w:hAnsi="Calibri" w:cs="Calibri"/>
          <w:color w:val="000000" w:themeColor="text1"/>
        </w:rPr>
        <w:t>‐</w:t>
      </w:r>
      <w:r w:rsidRPr="00A567F2">
        <w:rPr>
          <w:color w:val="000000" w:themeColor="text1"/>
        </w:rPr>
        <w:t xml:space="preserve">specific inhibitory control. </w:t>
      </w:r>
      <w:r w:rsidRPr="00A567F2">
        <w:rPr>
          <w:i/>
          <w:color w:val="000000" w:themeColor="text1"/>
        </w:rPr>
        <w:t>Obesity, 22</w:t>
      </w:r>
      <w:r w:rsidRPr="00A567F2">
        <w:rPr>
          <w:color w:val="000000" w:themeColor="text1"/>
        </w:rPr>
        <w:t>, E6-E8. https://doi.org/10.1002/oby.20670</w:t>
      </w:r>
    </w:p>
    <w:p w14:paraId="4AD3C38D" w14:textId="2DC4682A" w:rsidR="00896186" w:rsidRPr="00A567F2" w:rsidRDefault="00896186" w:rsidP="00896186">
      <w:pPr>
        <w:spacing w:line="480" w:lineRule="auto"/>
        <w:ind w:left="851" w:hanging="851"/>
        <w:rPr>
          <w:color w:val="000000" w:themeColor="text1"/>
        </w:rPr>
      </w:pPr>
      <w:r w:rsidRPr="00A567F2">
        <w:rPr>
          <w:color w:val="000000" w:themeColor="text1"/>
        </w:rPr>
        <w:t>Johannes</w:t>
      </w:r>
      <w:r w:rsidR="000B271B" w:rsidRPr="00A567F2">
        <w:rPr>
          <w:color w:val="000000" w:themeColor="text1"/>
        </w:rPr>
        <w:t>,</w:t>
      </w:r>
      <w:r w:rsidR="0028116E" w:rsidRPr="00A567F2">
        <w:rPr>
          <w:color w:val="000000" w:themeColor="text1"/>
        </w:rPr>
        <w:t xml:space="preserve"> </w:t>
      </w:r>
      <w:r w:rsidRPr="00A567F2">
        <w:rPr>
          <w:color w:val="000000" w:themeColor="text1"/>
        </w:rPr>
        <w:t>N</w:t>
      </w:r>
      <w:r w:rsidR="000B271B" w:rsidRPr="00A567F2">
        <w:rPr>
          <w:color w:val="000000" w:themeColor="text1"/>
        </w:rPr>
        <w:t>.</w:t>
      </w:r>
      <w:r w:rsidRPr="00A567F2">
        <w:rPr>
          <w:color w:val="000000" w:themeColor="text1"/>
        </w:rPr>
        <w:t>, Buijzen</w:t>
      </w:r>
      <w:r w:rsidR="000B271B" w:rsidRPr="00A567F2">
        <w:rPr>
          <w:color w:val="000000" w:themeColor="text1"/>
        </w:rPr>
        <w:t>,</w:t>
      </w:r>
      <w:r w:rsidRPr="00A567F2">
        <w:rPr>
          <w:color w:val="000000" w:themeColor="text1"/>
        </w:rPr>
        <w:t xml:space="preserve"> M</w:t>
      </w:r>
      <w:r w:rsidR="000B271B" w:rsidRPr="00A567F2">
        <w:rPr>
          <w:color w:val="000000" w:themeColor="text1"/>
        </w:rPr>
        <w:t>. &amp;</w:t>
      </w:r>
      <w:r w:rsidRPr="00A567F2">
        <w:rPr>
          <w:color w:val="000000" w:themeColor="text1"/>
        </w:rPr>
        <w:t xml:space="preserve"> Veling</w:t>
      </w:r>
      <w:r w:rsidR="0052614A" w:rsidRPr="00A567F2">
        <w:rPr>
          <w:color w:val="000000" w:themeColor="text1"/>
        </w:rPr>
        <w:t xml:space="preserve">, </w:t>
      </w:r>
      <w:r w:rsidRPr="00A567F2">
        <w:rPr>
          <w:color w:val="000000" w:themeColor="text1"/>
        </w:rPr>
        <w:t>H. (2020). Beyond inhibitory control training: Inactions and actions influence smartphone app use through changes in explicit liking. Journal of Experimental Psychology: General.</w:t>
      </w:r>
      <w:r w:rsidR="003D70BB" w:rsidRPr="00A567F2">
        <w:rPr>
          <w:color w:val="000000" w:themeColor="text1"/>
        </w:rPr>
        <w:t xml:space="preserve"> Advanced online publication.</w:t>
      </w:r>
      <w:r w:rsidRPr="00A567F2">
        <w:rPr>
          <w:color w:val="000000" w:themeColor="text1"/>
        </w:rPr>
        <w:t xml:space="preserve"> https://doi10.1037/xge0000888</w:t>
      </w:r>
    </w:p>
    <w:p w14:paraId="34ECCBF4" w14:textId="77777777" w:rsidR="00896186" w:rsidRPr="00A567F2" w:rsidRDefault="00896186" w:rsidP="00896186">
      <w:pPr>
        <w:rPr>
          <w:color w:val="000000" w:themeColor="text1"/>
        </w:rPr>
      </w:pPr>
    </w:p>
    <w:p w14:paraId="0ECFDBBE" w14:textId="77777777" w:rsidR="008D7677" w:rsidRPr="00A567F2" w:rsidRDefault="008D7677" w:rsidP="00A20425">
      <w:pPr>
        <w:tabs>
          <w:tab w:val="left" w:pos="6465"/>
        </w:tabs>
        <w:spacing w:line="480" w:lineRule="auto"/>
        <w:ind w:left="851" w:hanging="851"/>
        <w:rPr>
          <w:color w:val="000000" w:themeColor="text1"/>
        </w:rPr>
      </w:pPr>
      <w:r w:rsidRPr="00A567F2">
        <w:rPr>
          <w:color w:val="000000" w:themeColor="text1"/>
        </w:rPr>
        <w:t xml:space="preserve">Jones, A., Baines, L., Ruddock, H., Franken, I., Verbruggen, F. &amp; Field, M. (2020). Does alcohol cue inhibitory control training survive a context shift? </w:t>
      </w:r>
      <w:r w:rsidRPr="00A567F2">
        <w:rPr>
          <w:i/>
          <w:color w:val="000000" w:themeColor="text1"/>
        </w:rPr>
        <w:t xml:space="preserve">Psychology of Addictive Behaviors. </w:t>
      </w:r>
      <w:r w:rsidRPr="00A567F2">
        <w:rPr>
          <w:color w:val="000000" w:themeColor="text1"/>
        </w:rPr>
        <w:t>Advanced online publication. https://doi.org/10.1037/adb0000580</w:t>
      </w:r>
    </w:p>
    <w:p w14:paraId="58C724AD" w14:textId="77777777" w:rsidR="002113DD" w:rsidRPr="00A567F2" w:rsidRDefault="002113DD" w:rsidP="00A20425">
      <w:pPr>
        <w:tabs>
          <w:tab w:val="left" w:pos="6465"/>
        </w:tabs>
        <w:spacing w:line="480" w:lineRule="auto"/>
        <w:ind w:left="851" w:hanging="851"/>
        <w:rPr>
          <w:color w:val="000000" w:themeColor="text1"/>
        </w:rPr>
      </w:pPr>
    </w:p>
    <w:p w14:paraId="572DD2CD" w14:textId="77777777" w:rsidR="008D7677" w:rsidRPr="00A567F2" w:rsidRDefault="008D7677" w:rsidP="00A20425">
      <w:pPr>
        <w:tabs>
          <w:tab w:val="left" w:pos="6465"/>
        </w:tabs>
        <w:spacing w:line="480" w:lineRule="auto"/>
        <w:ind w:left="851" w:hanging="851"/>
        <w:rPr>
          <w:color w:val="000000" w:themeColor="text1"/>
        </w:rPr>
      </w:pPr>
      <w:r w:rsidRPr="00A567F2">
        <w:rPr>
          <w:color w:val="000000" w:themeColor="text1"/>
        </w:rPr>
        <w:t xml:space="preserve">Jones, A., Di Lemma, L. C., Robinson, E., Christiansen, P., Nolan, S., Tudur-Smith, C., &amp; Field, M. (2016). Inhibitory control training for appetitive behaviour change: A meta-analytic investigation of mechanisms of action and moderators of effectiveness. </w:t>
      </w:r>
      <w:r w:rsidRPr="00A567F2">
        <w:rPr>
          <w:i/>
          <w:color w:val="000000" w:themeColor="text1"/>
        </w:rPr>
        <w:t>Appetite, 97</w:t>
      </w:r>
      <w:r w:rsidRPr="00A567F2">
        <w:rPr>
          <w:color w:val="000000" w:themeColor="text1"/>
        </w:rPr>
        <w:t>, 16-28. https://doi.org/10.1016/j.appet.2015.11.013</w:t>
      </w:r>
    </w:p>
    <w:p w14:paraId="13FCE6F4"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Jones, A., Hardman, C.A., Lawrence, N. &amp; Field, M. (2018). Cognitive training as a potential treatment for overweight and obesity: A critical review of the evidence. </w:t>
      </w:r>
      <w:r w:rsidRPr="00A567F2">
        <w:rPr>
          <w:i/>
          <w:color w:val="000000" w:themeColor="text1"/>
        </w:rPr>
        <w:t xml:space="preserve">Appetite, 124, </w:t>
      </w:r>
      <w:r w:rsidRPr="00A567F2">
        <w:rPr>
          <w:color w:val="000000" w:themeColor="text1"/>
        </w:rPr>
        <w:t>50-67. https://doi.org/10.1016/j.appet.2017.05.032</w:t>
      </w:r>
    </w:p>
    <w:p w14:paraId="6834E85E"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Kakoschke, N., Hawker, C., Castine, B., de Courten, B., &amp; Verdejo-Garcia, A. (2018). Smartphone-based cognitive bias modification training improves healthy food choice in obesity: A pilot study. </w:t>
      </w:r>
      <w:r w:rsidRPr="00A567F2">
        <w:rPr>
          <w:i/>
          <w:color w:val="000000" w:themeColor="text1"/>
        </w:rPr>
        <w:t>European Eating Disorders Review: The Journal of the Eating Disorders Association, 26</w:t>
      </w:r>
      <w:r w:rsidRPr="00A567F2">
        <w:rPr>
          <w:color w:val="000000" w:themeColor="text1"/>
        </w:rPr>
        <w:t>(5), 526–532. https://doi.org/10.1002/erv.2622</w:t>
      </w:r>
    </w:p>
    <w:p w14:paraId="50C35429"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Kakoschke, N., Kemps, E., &amp; Tiggemann, M. (2018). What is the appropriate control condition for approach bias modification? A response to commentary by Becker et al. (2017). </w:t>
      </w:r>
      <w:r w:rsidRPr="00A567F2">
        <w:rPr>
          <w:i/>
          <w:color w:val="000000" w:themeColor="text1"/>
        </w:rPr>
        <w:t>Addictive Behaviors, 77</w:t>
      </w:r>
      <w:r w:rsidRPr="00A567F2">
        <w:rPr>
          <w:color w:val="000000" w:themeColor="text1"/>
        </w:rPr>
        <w:t>, 295–296. https://doi.org/10.1016/j.addbeh.2017.02.024</w:t>
      </w:r>
    </w:p>
    <w:p w14:paraId="708085F4"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Kemps, E. &amp; Tiggemann, M. (2015). Approach bias for food cues in obese individuals. </w:t>
      </w:r>
      <w:r w:rsidRPr="00A567F2">
        <w:rPr>
          <w:i/>
          <w:color w:val="000000" w:themeColor="text1"/>
        </w:rPr>
        <w:t>Psychology and Health, 30</w:t>
      </w:r>
      <w:r w:rsidRPr="00A567F2">
        <w:rPr>
          <w:color w:val="000000" w:themeColor="text1"/>
        </w:rPr>
        <w:t>(3), 370-380. https://doi.org/10.1080/08870446.2014.974605</w:t>
      </w:r>
    </w:p>
    <w:p w14:paraId="0D9FD269"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Kruijt, A., &amp; Carlbring, P. (2018). </w:t>
      </w:r>
      <w:r w:rsidRPr="00A567F2">
        <w:rPr>
          <w:i/>
          <w:color w:val="000000" w:themeColor="text1"/>
        </w:rPr>
        <w:t>Mechanics of contingency-based Cognitive Bias Modification: pre-existing bias affects potency of active training but not placebo conditions</w:t>
      </w:r>
      <w:r w:rsidRPr="00A567F2">
        <w:rPr>
          <w:color w:val="000000" w:themeColor="text1"/>
        </w:rPr>
        <w:t xml:space="preserve">. PsyArXiv. https://doi.org/10.31234/osf.io/scqf3 </w:t>
      </w:r>
    </w:p>
    <w:p w14:paraId="4757C7DB"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Lawrence, N.S., O’Sullivan, K., Parslow, D., Javaid, M., Adams, R.C., Chambers, C.D… Verbruggen, F. (2015b). Training response inhibition to food is associated with weight loss and reduced energy intake. </w:t>
      </w:r>
      <w:r w:rsidRPr="00A567F2">
        <w:rPr>
          <w:i/>
          <w:color w:val="000000" w:themeColor="text1"/>
        </w:rPr>
        <w:t xml:space="preserve">Appetite, 95, </w:t>
      </w:r>
      <w:r w:rsidRPr="00A567F2">
        <w:rPr>
          <w:color w:val="000000" w:themeColor="text1"/>
        </w:rPr>
        <w:t>18-28. https://doi.org/10.1016/j.appet.2015.06.009</w:t>
      </w:r>
    </w:p>
    <w:p w14:paraId="0D9B01DD"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Lawrence, N.S., Verbruggen, F., Morrison, S., Adams, R.C. &amp; Chambers, C.D. (2015a). Stopping to food can reduce intake. Effects of stimulus-specificity and individual differences in dietary restraint. </w:t>
      </w:r>
      <w:r w:rsidRPr="00A567F2">
        <w:rPr>
          <w:i/>
          <w:color w:val="000000" w:themeColor="text1"/>
        </w:rPr>
        <w:t xml:space="preserve">Appetite, 85, </w:t>
      </w:r>
      <w:r w:rsidRPr="00A567F2">
        <w:rPr>
          <w:color w:val="000000" w:themeColor="text1"/>
        </w:rPr>
        <w:t>91-103. https://doi.org/10.1016/j.appet.2014.11.006</w:t>
      </w:r>
    </w:p>
    <w:p w14:paraId="0EA344F1"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Littman, R. &amp; Takács, Á. (2017). Do all inhibitions act alike? A study of go/no-go and stop signal paradigms. </w:t>
      </w:r>
      <w:r w:rsidRPr="00A567F2">
        <w:rPr>
          <w:i/>
          <w:color w:val="000000" w:themeColor="text1"/>
        </w:rPr>
        <w:t>PLOS One, 12</w:t>
      </w:r>
      <w:r w:rsidRPr="00A567F2">
        <w:rPr>
          <w:color w:val="000000" w:themeColor="text1"/>
        </w:rPr>
        <w:t>(10). https://doi.org/10.1371/journal.pone.0186774</w:t>
      </w:r>
    </w:p>
    <w:p w14:paraId="2F8EA28C" w14:textId="77777777" w:rsidR="007A3F73" w:rsidRPr="00A567F2" w:rsidRDefault="007A3F73" w:rsidP="00A20425">
      <w:pPr>
        <w:spacing w:line="480" w:lineRule="auto"/>
        <w:ind w:left="851" w:hanging="851"/>
        <w:rPr>
          <w:color w:val="000000" w:themeColor="text1"/>
        </w:rPr>
      </w:pPr>
    </w:p>
    <w:p w14:paraId="28989A3C" w14:textId="4E315D21" w:rsidR="008D7677" w:rsidRPr="00A567F2" w:rsidRDefault="008D7677" w:rsidP="00A20425">
      <w:pPr>
        <w:spacing w:line="480" w:lineRule="auto"/>
        <w:ind w:left="851" w:hanging="851"/>
        <w:rPr>
          <w:color w:val="000000" w:themeColor="text1"/>
        </w:rPr>
      </w:pPr>
      <w:r w:rsidRPr="00A567F2">
        <w:rPr>
          <w:color w:val="000000" w:themeColor="text1"/>
        </w:rPr>
        <w:t xml:space="preserve">Măgurean, S., Constantin, T., &amp; Sava, F. A. (2016). The indirect effect of evaluative conditioning on smoking. </w:t>
      </w:r>
      <w:r w:rsidRPr="00A567F2">
        <w:rPr>
          <w:i/>
          <w:color w:val="000000" w:themeColor="text1"/>
        </w:rPr>
        <w:t>Journal of Substance Use, 21</w:t>
      </w:r>
      <w:r w:rsidRPr="00A567F2">
        <w:rPr>
          <w:color w:val="000000" w:themeColor="text1"/>
        </w:rPr>
        <w:t>(2), 198–203.</w:t>
      </w:r>
    </w:p>
    <w:p w14:paraId="56CE962D" w14:textId="77777777" w:rsidR="00AA2C34" w:rsidRPr="00A567F2" w:rsidRDefault="00AA2C34" w:rsidP="00A20425">
      <w:pPr>
        <w:spacing w:line="480" w:lineRule="auto"/>
        <w:ind w:left="851" w:hanging="851"/>
        <w:rPr>
          <w:color w:val="000000" w:themeColor="text1"/>
        </w:rPr>
      </w:pPr>
    </w:p>
    <w:p w14:paraId="4B210E60" w14:textId="77777777" w:rsidR="00AA2C34" w:rsidRPr="00A567F2" w:rsidRDefault="00AA2C34" w:rsidP="00AA2C34">
      <w:pPr>
        <w:spacing w:line="480" w:lineRule="auto"/>
        <w:ind w:left="851" w:hanging="851"/>
        <w:rPr>
          <w:color w:val="000000" w:themeColor="text1"/>
        </w:rPr>
      </w:pPr>
      <w:r w:rsidRPr="00A567F2">
        <w:rPr>
          <w:color w:val="000000" w:themeColor="text1"/>
        </w:rPr>
        <w:t xml:space="preserve">Meule, A. (2017). Reporting and interpreting task performance in Go/No-go affective shifting tasks. </w:t>
      </w:r>
      <w:r w:rsidRPr="00A567F2">
        <w:rPr>
          <w:i/>
          <w:color w:val="000000" w:themeColor="text1"/>
        </w:rPr>
        <w:t xml:space="preserve">Frontiers in Psychology, 8, </w:t>
      </w:r>
      <w:r w:rsidRPr="00A567F2">
        <w:rPr>
          <w:color w:val="000000" w:themeColor="text1"/>
        </w:rPr>
        <w:t>701. https://doi.org/10.3389%2Ffpsyg.2017.00701</w:t>
      </w:r>
    </w:p>
    <w:p w14:paraId="5C1161BE" w14:textId="77777777" w:rsidR="00AA2C34" w:rsidRPr="00A567F2" w:rsidRDefault="00AA2C34" w:rsidP="00AA2C34">
      <w:pPr>
        <w:spacing w:line="480" w:lineRule="auto"/>
        <w:rPr>
          <w:color w:val="000000" w:themeColor="text1"/>
        </w:rPr>
      </w:pPr>
    </w:p>
    <w:p w14:paraId="1ADB396E"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Nederkoorn, C., Houben, K., Hofmann, W., Roefs, A. &amp; Jansen, A. (2010) Control yourself or just eat what you like? Weight gain over a year is predicted by an interactive effect of response inhibition and implicit preference for snack foods. </w:t>
      </w:r>
      <w:r w:rsidRPr="00A567F2">
        <w:rPr>
          <w:i/>
          <w:color w:val="000000" w:themeColor="text1"/>
        </w:rPr>
        <w:t>Health Psychology. 29</w:t>
      </w:r>
      <w:r w:rsidRPr="00A567F2">
        <w:rPr>
          <w:color w:val="000000" w:themeColor="text1"/>
        </w:rPr>
        <w:t>(4), 389-393. https://doi.org/10.1037/a0019921</w:t>
      </w:r>
    </w:p>
    <w:p w14:paraId="6736F61E" w14:textId="77777777" w:rsidR="008D7677" w:rsidRPr="00A567F2" w:rsidRDefault="008D7677" w:rsidP="00A20425">
      <w:pPr>
        <w:spacing w:line="480" w:lineRule="auto"/>
        <w:ind w:left="851" w:hanging="851"/>
        <w:rPr>
          <w:color w:val="000000" w:themeColor="text1"/>
        </w:rPr>
      </w:pPr>
      <w:r w:rsidRPr="00A567F2">
        <w:rPr>
          <w:color w:val="000000" w:themeColor="text1"/>
        </w:rPr>
        <w:t>Nederkoorn, C., Jansen, E., Mulkens, S., &amp; Jansen, A. (2007). Impulsivity predicts treatment outcome in obese children. </w:t>
      </w:r>
      <w:r w:rsidRPr="00A567F2">
        <w:rPr>
          <w:i/>
          <w:color w:val="000000" w:themeColor="text1"/>
        </w:rPr>
        <w:t>Behaviour Research and Therapy, 45</w:t>
      </w:r>
      <w:r w:rsidRPr="00A567F2">
        <w:rPr>
          <w:color w:val="000000" w:themeColor="text1"/>
        </w:rPr>
        <w:t>(5), 1071-1075. https://doi.org/10.1016/j.brat.2006.05.009</w:t>
      </w:r>
    </w:p>
    <w:p w14:paraId="428CDB57"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Oomen, D., Grol, M., Spronk, D., Booth, C. &amp; Fox, E. (2018). Beating uncontrolled eating: Training inhibitory control to reduce food intake and food cue sensitivity. </w:t>
      </w:r>
      <w:r w:rsidRPr="00A567F2">
        <w:rPr>
          <w:i/>
          <w:color w:val="000000" w:themeColor="text1"/>
        </w:rPr>
        <w:t xml:space="preserve">Appetite, 131, </w:t>
      </w:r>
      <w:r w:rsidRPr="00A567F2">
        <w:rPr>
          <w:color w:val="000000" w:themeColor="text1"/>
        </w:rPr>
        <w:t>73-83. https://doi.org/10.1016/j.appet.2018.09.007</w:t>
      </w:r>
    </w:p>
    <w:p w14:paraId="30C7731F"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Price, M., Lee, M. &amp; Higgs, S. (2016). Food-specific response inhibition, dietary restraint and snack intake in lean and overweight/obese adults: a moderated-mediation model. </w:t>
      </w:r>
      <w:r w:rsidRPr="00A567F2">
        <w:rPr>
          <w:i/>
          <w:color w:val="000000" w:themeColor="text1"/>
        </w:rPr>
        <w:t>International Journal of Obesity, 40</w:t>
      </w:r>
      <w:r w:rsidRPr="00A567F2">
        <w:rPr>
          <w:color w:val="000000" w:themeColor="text1"/>
        </w:rPr>
        <w:t>, 877–882. https://doi.org/10.1038/ijo.2015.235</w:t>
      </w:r>
    </w:p>
    <w:p w14:paraId="6E982FEB"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Sample, C.H., Martin, A.A., Jones, S. Hargrave, S.L. &amp; Davidson, T.L. (2015). Western-style diet impairs stimulus control by food deprivation state cues. Implications for obesogenic environments. </w:t>
      </w:r>
      <w:r w:rsidRPr="00A567F2">
        <w:rPr>
          <w:i/>
          <w:color w:val="000000" w:themeColor="text1"/>
        </w:rPr>
        <w:t xml:space="preserve">Appetite, 93, </w:t>
      </w:r>
      <w:r w:rsidRPr="00A567F2">
        <w:rPr>
          <w:color w:val="000000" w:themeColor="text1"/>
        </w:rPr>
        <w:t>13-23. https://doi.org/10.1016/j.appet.2015.05.018</w:t>
      </w:r>
    </w:p>
    <w:p w14:paraId="3A5DE90F" w14:textId="77777777" w:rsidR="00820624" w:rsidRPr="00A567F2" w:rsidRDefault="00820624" w:rsidP="00A20425">
      <w:pPr>
        <w:spacing w:line="480" w:lineRule="auto"/>
        <w:ind w:left="851" w:hanging="851"/>
        <w:rPr>
          <w:color w:val="000000" w:themeColor="text1"/>
        </w:rPr>
      </w:pPr>
    </w:p>
    <w:p w14:paraId="5F734B65"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Schonberg, T., Bakkour, A., Hover, A.M., Mumford, J.A., Nagar, L., Perez, J. &amp; Poldrack, R.A. (2014). Changing value through cued approach: an automatic mechanism of behavior change. </w:t>
      </w:r>
      <w:r w:rsidRPr="00A567F2">
        <w:rPr>
          <w:i/>
          <w:color w:val="000000" w:themeColor="text1"/>
        </w:rPr>
        <w:t xml:space="preserve">Nature Neuroscience, 17, </w:t>
      </w:r>
      <w:r w:rsidRPr="00A567F2">
        <w:rPr>
          <w:color w:val="000000" w:themeColor="text1"/>
        </w:rPr>
        <w:t>625-630. https://doi.org/10.1038/nn.3673</w:t>
      </w:r>
    </w:p>
    <w:p w14:paraId="1832F8EE" w14:textId="77777777" w:rsidR="00820624" w:rsidRPr="00A567F2" w:rsidRDefault="00820624" w:rsidP="00A20425">
      <w:pPr>
        <w:spacing w:line="480" w:lineRule="auto"/>
        <w:ind w:left="851" w:hanging="851"/>
        <w:rPr>
          <w:color w:val="000000" w:themeColor="text1"/>
        </w:rPr>
      </w:pPr>
    </w:p>
    <w:p w14:paraId="652059CD"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Shaw, J.A. Forman, E.V., Espel, H.M., Butryn, M.L., Herbert, J.D., Lowe, M.R. &amp; Nederkoorn, C. (2016). Can evaluative conditioning decrease soft drink consumption? </w:t>
      </w:r>
      <w:r w:rsidRPr="00A567F2">
        <w:rPr>
          <w:i/>
          <w:color w:val="000000" w:themeColor="text1"/>
        </w:rPr>
        <w:t xml:space="preserve">Appetite, 105, </w:t>
      </w:r>
      <w:r w:rsidRPr="00A567F2">
        <w:rPr>
          <w:color w:val="000000" w:themeColor="text1"/>
        </w:rPr>
        <w:t>60-70.</w:t>
      </w:r>
    </w:p>
    <w:p w14:paraId="2521EDD5"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Spitoni, G.F., Ottaviani, C., Petta, A.M., Zingaretti, P., Aragona, M., Sarnicola, A. &amp; Antonucci, G. (2017). Obesity is associated with lack of inhibitory control and impaired heart rate variability reactivity and recovery in response to food stimuli. </w:t>
      </w:r>
      <w:r w:rsidRPr="00A567F2">
        <w:rPr>
          <w:i/>
          <w:color w:val="000000" w:themeColor="text1"/>
        </w:rPr>
        <w:t xml:space="preserve">International Journal of Psychophysiology, 116, </w:t>
      </w:r>
      <w:r w:rsidRPr="00A567F2">
        <w:rPr>
          <w:color w:val="000000" w:themeColor="text1"/>
        </w:rPr>
        <w:t>77-84. https://doi.org/10.1016/j.ijpsycho.2017.04.001</w:t>
      </w:r>
    </w:p>
    <w:p w14:paraId="21ADCE7C"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Strack, F., &amp; Deutsch, R. (2004). Reflective and impulsive determinants of social behavior. </w:t>
      </w:r>
      <w:r w:rsidRPr="00A567F2">
        <w:rPr>
          <w:i/>
          <w:color w:val="000000" w:themeColor="text1"/>
        </w:rPr>
        <w:t>Personality and Social Psychology Review, 8</w:t>
      </w:r>
      <w:r w:rsidRPr="00A567F2">
        <w:rPr>
          <w:color w:val="000000" w:themeColor="text1"/>
        </w:rPr>
        <w:t>, 220-247.</w:t>
      </w:r>
    </w:p>
    <w:p w14:paraId="23D7372D"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Teslovich, T., Friedl, E.K., Kostro, K., Weigel, J., Davidow, J.Y., Riddle, M.C., Rosenbaum, M., Walsh, B.T., Casey, B.J. &amp; Mayer, L. (2014). Probing behavioral responses to food: Development of a food specific go/no-go task. </w:t>
      </w:r>
      <w:r w:rsidRPr="00A567F2">
        <w:rPr>
          <w:i/>
          <w:color w:val="000000" w:themeColor="text1"/>
        </w:rPr>
        <w:t>Psychiatry Review, 219</w:t>
      </w:r>
      <w:r w:rsidRPr="00A567F2">
        <w:rPr>
          <w:color w:val="000000" w:themeColor="text1"/>
        </w:rPr>
        <w:t>(1), 166-170. https://doi.org/10.1016/j.psychres.2014.04.053</w:t>
      </w:r>
    </w:p>
    <w:p w14:paraId="126C81CE"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van Koningsbruggen, G.M., Veling, H., Stroebe, W. &amp; Aarts, H. (2014). Comparing two psychological interventions in reducing impulsive processes of eating behaviour: effects on self-selected portion size. </w:t>
      </w:r>
      <w:r w:rsidRPr="00A567F2">
        <w:rPr>
          <w:i/>
          <w:color w:val="000000" w:themeColor="text1"/>
        </w:rPr>
        <w:t>British Journal of Health Psychology, 19</w:t>
      </w:r>
      <w:r w:rsidRPr="00A567F2">
        <w:rPr>
          <w:color w:val="000000" w:themeColor="text1"/>
        </w:rPr>
        <w:t>(4), 767</w:t>
      </w:r>
      <w:r w:rsidRPr="00A567F2">
        <w:rPr>
          <w:rFonts w:ascii="Calibri" w:eastAsia="Calibri" w:hAnsi="Calibri" w:cs="Calibri"/>
          <w:color w:val="000000" w:themeColor="text1"/>
        </w:rPr>
        <w:t>‐</w:t>
      </w:r>
      <w:r w:rsidRPr="00A567F2">
        <w:rPr>
          <w:color w:val="000000" w:themeColor="text1"/>
        </w:rPr>
        <w:t>782. https://doi.org/10.1111/bjhp.12075</w:t>
      </w:r>
    </w:p>
    <w:p w14:paraId="67BC881C"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Veling, H., Aarts, H. &amp; Stroebe, W. (2013a). Stop signals decrease choices for palatable foods through decreased food evaluation. </w:t>
      </w:r>
      <w:r w:rsidRPr="00A567F2">
        <w:rPr>
          <w:i/>
          <w:color w:val="000000" w:themeColor="text1"/>
        </w:rPr>
        <w:t xml:space="preserve">Frontiers in Psychology, 4, </w:t>
      </w:r>
      <w:r w:rsidRPr="00A567F2">
        <w:rPr>
          <w:color w:val="000000" w:themeColor="text1"/>
        </w:rPr>
        <w:t>875. https://doi.org/10.3389/fpsyg.2013.00875</w:t>
      </w:r>
    </w:p>
    <w:p w14:paraId="46BE96ED"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Veling, H., Holland, R.W. &amp; van Kippenberg, A. (2008). When approach motivation and behavioral inhibition collide: Behavior regulation through stimulus devaluation. </w:t>
      </w:r>
      <w:r w:rsidRPr="00A567F2">
        <w:rPr>
          <w:i/>
          <w:color w:val="000000" w:themeColor="text1"/>
        </w:rPr>
        <w:t>Journal of Experimental Social Psychology, 44</w:t>
      </w:r>
      <w:r w:rsidRPr="00A567F2">
        <w:rPr>
          <w:color w:val="000000" w:themeColor="text1"/>
        </w:rPr>
        <w:t>(4), 1013-1019. https://doi.org/10.1016/j.jesp.2008.03.004</w:t>
      </w:r>
    </w:p>
    <w:p w14:paraId="18B0EC80"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Veling, H., Lawrence, N.S., Chen, Z., Guido, M., van Koningsbruggen, Holland, R.W. (2017). What is trained during food go/no-go training? A review focused on mechanisms and a research agenda. </w:t>
      </w:r>
      <w:r w:rsidRPr="00A567F2">
        <w:rPr>
          <w:i/>
          <w:color w:val="000000" w:themeColor="text1"/>
        </w:rPr>
        <w:t>Current Addiction Reports, 4</w:t>
      </w:r>
      <w:r w:rsidRPr="00A567F2">
        <w:rPr>
          <w:color w:val="000000" w:themeColor="text1"/>
        </w:rPr>
        <w:t xml:space="preserve">(1), 35-41. https://doi.org/10.1007%2Fs40429-017-0131-5 </w:t>
      </w:r>
    </w:p>
    <w:p w14:paraId="566D9B47" w14:textId="77777777" w:rsidR="008D7677" w:rsidRPr="00A567F2" w:rsidRDefault="008D7677" w:rsidP="00A20425">
      <w:pPr>
        <w:pStyle w:val="NormalWeb"/>
        <w:spacing w:line="480" w:lineRule="auto"/>
        <w:ind w:left="851" w:hanging="851"/>
        <w:rPr>
          <w:color w:val="000000" w:themeColor="text1"/>
        </w:rPr>
      </w:pPr>
      <w:r w:rsidRPr="00A567F2">
        <w:rPr>
          <w:color w:val="000000" w:themeColor="text1"/>
        </w:rPr>
        <w:t xml:space="preserve">Veling. H., Aarts, H. &amp; Stroebe, W. (2013b). Using stop signals to reduce impulsive choices for palatable unhealthy foods. </w:t>
      </w:r>
      <w:r w:rsidRPr="00A567F2">
        <w:rPr>
          <w:i/>
          <w:color w:val="000000" w:themeColor="text1"/>
        </w:rPr>
        <w:t>British Journal of Health Psychology, 18</w:t>
      </w:r>
      <w:r w:rsidRPr="00A567F2">
        <w:rPr>
          <w:color w:val="000000" w:themeColor="text1"/>
        </w:rPr>
        <w:t>, 354–68.</w:t>
      </w:r>
    </w:p>
    <w:p w14:paraId="45EAD626"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Verbruggen, F., &amp; Logan, G. D. (2008). Automatic and controlled response inhibition: Associative learning in the go/no-go and stop-signal paradigms. </w:t>
      </w:r>
      <w:r w:rsidRPr="00A567F2">
        <w:rPr>
          <w:i/>
          <w:color w:val="000000" w:themeColor="text1"/>
        </w:rPr>
        <w:t>Journal of Experimental Psychology: General, 137</w:t>
      </w:r>
      <w:r w:rsidRPr="00A567F2">
        <w:rPr>
          <w:color w:val="000000" w:themeColor="text1"/>
        </w:rPr>
        <w:t>(4), 649–672. https://doi.org/10.1037/a0013170</w:t>
      </w:r>
    </w:p>
    <w:p w14:paraId="45F93517" w14:textId="77777777" w:rsidR="00820624" w:rsidRPr="00A567F2" w:rsidRDefault="00820624" w:rsidP="00A20425">
      <w:pPr>
        <w:spacing w:line="480" w:lineRule="auto"/>
        <w:ind w:left="851" w:hanging="851"/>
        <w:rPr>
          <w:color w:val="000000" w:themeColor="text1"/>
        </w:rPr>
      </w:pPr>
    </w:p>
    <w:p w14:paraId="5D264419"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Wang, Y., Wang, G., Zhang, D., Wang, L., Cui, X., Zhu, J. &amp; Fang, Y. (2017). Learning to dislike chocolate: conditioning negative attitudes toward chocolate and its effect on chocolate consumption. </w:t>
      </w:r>
      <w:r w:rsidRPr="00A567F2">
        <w:rPr>
          <w:i/>
          <w:color w:val="000000" w:themeColor="text1"/>
        </w:rPr>
        <w:t xml:space="preserve">Frontiers in Psychology, 8, </w:t>
      </w:r>
      <w:r w:rsidRPr="00A567F2">
        <w:rPr>
          <w:color w:val="000000" w:themeColor="text1"/>
        </w:rPr>
        <w:t>1468. https://doi.org/10.3389/fpsyg.2017.01468</w:t>
      </w:r>
    </w:p>
    <w:p w14:paraId="2D34F485" w14:textId="77777777" w:rsidR="00820624" w:rsidRPr="00A567F2" w:rsidRDefault="00820624" w:rsidP="00A20425">
      <w:pPr>
        <w:spacing w:line="480" w:lineRule="auto"/>
        <w:ind w:left="851" w:hanging="851"/>
        <w:rPr>
          <w:color w:val="000000" w:themeColor="text1"/>
        </w:rPr>
      </w:pPr>
    </w:p>
    <w:p w14:paraId="200F5A30" w14:textId="77777777" w:rsidR="008D7677" w:rsidRPr="00A567F2" w:rsidRDefault="008D7677" w:rsidP="00A20425">
      <w:pPr>
        <w:spacing w:line="480" w:lineRule="auto"/>
        <w:ind w:left="851" w:hanging="851"/>
        <w:rPr>
          <w:color w:val="000000" w:themeColor="text1"/>
        </w:rPr>
      </w:pPr>
      <w:r w:rsidRPr="00A567F2">
        <w:rPr>
          <w:color w:val="000000" w:themeColor="text1"/>
        </w:rPr>
        <w:t xml:space="preserve">Wiers, R. W., Boffo, M., &amp; Field, M. (2018). What's in a trial? On the importance of distinguishing between experimental lab studies and randomized controlled trials: The case of cognitive bias modification and alcohol use disorders. </w:t>
      </w:r>
      <w:r w:rsidRPr="00A567F2">
        <w:rPr>
          <w:i/>
          <w:color w:val="000000" w:themeColor="text1"/>
        </w:rPr>
        <w:t>Journal of Studies on Alcohol and Drugs, 79</w:t>
      </w:r>
      <w:r w:rsidRPr="00A567F2">
        <w:rPr>
          <w:color w:val="000000" w:themeColor="text1"/>
        </w:rPr>
        <w:t>(3), 333–343.</w:t>
      </w:r>
    </w:p>
    <w:p w14:paraId="41B454CD" w14:textId="77777777" w:rsidR="00820624" w:rsidRPr="00A567F2" w:rsidRDefault="00820624" w:rsidP="00A20425">
      <w:pPr>
        <w:spacing w:line="480" w:lineRule="auto"/>
        <w:ind w:left="851" w:hanging="851"/>
        <w:rPr>
          <w:color w:val="000000" w:themeColor="text1"/>
        </w:rPr>
      </w:pPr>
    </w:p>
    <w:p w14:paraId="6AB6101D" w14:textId="603B1CE7" w:rsidR="005B615E" w:rsidRPr="00A567F2" w:rsidRDefault="008D7677" w:rsidP="00A05B32">
      <w:pPr>
        <w:tabs>
          <w:tab w:val="left" w:pos="6465"/>
        </w:tabs>
        <w:spacing w:line="480" w:lineRule="auto"/>
        <w:ind w:left="851" w:hanging="851"/>
        <w:rPr>
          <w:color w:val="000000" w:themeColor="text1"/>
        </w:rPr>
      </w:pPr>
      <w:r w:rsidRPr="00A567F2">
        <w:rPr>
          <w:color w:val="000000" w:themeColor="text1"/>
        </w:rPr>
        <w:t xml:space="preserve">Zerhouni, O., Houben, K., El Methni, J., Rutte, N., Werkman, E. &amp; Wiers, R.W. (2019). I didn’t feel like drinking but I guess why: Evaluative conditioning changes on explicit attitudes towards alcohol and healthy foods depends on contingency awareness. </w:t>
      </w:r>
      <w:r w:rsidRPr="00A567F2">
        <w:rPr>
          <w:i/>
          <w:color w:val="000000" w:themeColor="text1"/>
        </w:rPr>
        <w:t xml:space="preserve">Learning and Motivation, 66, </w:t>
      </w:r>
      <w:r w:rsidRPr="00A567F2">
        <w:rPr>
          <w:color w:val="000000" w:themeColor="text1"/>
        </w:rPr>
        <w:t>1-12. https://doi.org/10.1016/j.lmot.2019.02.001</w:t>
      </w:r>
    </w:p>
    <w:p w14:paraId="00C78881" w14:textId="77777777" w:rsidR="00C511CA" w:rsidRPr="00A567F2" w:rsidRDefault="00C511CA" w:rsidP="005B615E">
      <w:pPr>
        <w:spacing w:line="480" w:lineRule="auto"/>
        <w:rPr>
          <w:color w:val="000000" w:themeColor="text1"/>
        </w:rPr>
      </w:pPr>
    </w:p>
    <w:p w14:paraId="2E38DEFF" w14:textId="77777777" w:rsidR="005B615E" w:rsidRPr="00A567F2" w:rsidRDefault="005B615E" w:rsidP="005B615E">
      <w:pPr>
        <w:spacing w:line="480" w:lineRule="auto"/>
        <w:rPr>
          <w:color w:val="000000" w:themeColor="text1"/>
        </w:rPr>
      </w:pPr>
    </w:p>
    <w:p w14:paraId="6595072B" w14:textId="77777777" w:rsidR="005B615E" w:rsidRPr="00A567F2" w:rsidRDefault="005B615E" w:rsidP="00992500">
      <w:pPr>
        <w:spacing w:line="480" w:lineRule="auto"/>
        <w:rPr>
          <w:color w:val="000000" w:themeColor="text1"/>
        </w:rPr>
      </w:pPr>
    </w:p>
    <w:sectPr w:rsidR="005B615E" w:rsidRPr="00A567F2" w:rsidSect="00F9102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6CFD6" w14:textId="77777777" w:rsidR="00B837AB" w:rsidRDefault="00B837AB" w:rsidP="00A12944">
      <w:r>
        <w:separator/>
      </w:r>
    </w:p>
  </w:endnote>
  <w:endnote w:type="continuationSeparator" w:id="0">
    <w:p w14:paraId="58B47571" w14:textId="77777777" w:rsidR="00B837AB" w:rsidRDefault="00B837AB" w:rsidP="00A1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6890904"/>
      <w:docPartObj>
        <w:docPartGallery w:val="Page Numbers (Bottom of Page)"/>
        <w:docPartUnique/>
      </w:docPartObj>
    </w:sdtPr>
    <w:sdtEndPr>
      <w:rPr>
        <w:rStyle w:val="PageNumber"/>
      </w:rPr>
    </w:sdtEndPr>
    <w:sdtContent>
      <w:p w14:paraId="79DC49BF" w14:textId="6B831FF3" w:rsidR="00164ECA" w:rsidRDefault="00164ECA" w:rsidP="00164E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9093A" w14:textId="77777777" w:rsidR="00164ECA" w:rsidRDefault="00164ECA" w:rsidP="00705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rPr>
      <w:id w:val="-2024548350"/>
      <w:docPartObj>
        <w:docPartGallery w:val="Page Numbers (Bottom of Page)"/>
        <w:docPartUnique/>
      </w:docPartObj>
    </w:sdtPr>
    <w:sdtEndPr>
      <w:rPr>
        <w:rStyle w:val="PageNumber"/>
      </w:rPr>
    </w:sdtEndPr>
    <w:sdtContent>
      <w:p w14:paraId="280451BA" w14:textId="70498658" w:rsidR="00164ECA" w:rsidRPr="0070580E" w:rsidRDefault="00164ECA" w:rsidP="00164ECA">
        <w:pPr>
          <w:pStyle w:val="Footer"/>
          <w:framePr w:wrap="none" w:vAnchor="text" w:hAnchor="margin" w:xAlign="right" w:y="1"/>
          <w:rPr>
            <w:rStyle w:val="PageNumber"/>
            <w:sz w:val="22"/>
          </w:rPr>
        </w:pPr>
        <w:r w:rsidRPr="0070580E">
          <w:rPr>
            <w:rStyle w:val="PageNumber"/>
            <w:sz w:val="22"/>
          </w:rPr>
          <w:fldChar w:fldCharType="begin"/>
        </w:r>
        <w:r w:rsidRPr="0070580E">
          <w:rPr>
            <w:rStyle w:val="PageNumber"/>
            <w:sz w:val="22"/>
          </w:rPr>
          <w:instrText xml:space="preserve"> PAGE </w:instrText>
        </w:r>
        <w:r w:rsidRPr="0070580E">
          <w:rPr>
            <w:rStyle w:val="PageNumber"/>
            <w:sz w:val="22"/>
          </w:rPr>
          <w:fldChar w:fldCharType="separate"/>
        </w:r>
        <w:r w:rsidRPr="0070580E">
          <w:rPr>
            <w:rStyle w:val="PageNumber"/>
            <w:noProof/>
            <w:sz w:val="22"/>
          </w:rPr>
          <w:t>1</w:t>
        </w:r>
        <w:r w:rsidRPr="0070580E">
          <w:rPr>
            <w:rStyle w:val="PageNumber"/>
            <w:sz w:val="22"/>
          </w:rPr>
          <w:fldChar w:fldCharType="end"/>
        </w:r>
      </w:p>
    </w:sdtContent>
  </w:sdt>
  <w:p w14:paraId="5FC08689" w14:textId="77777777" w:rsidR="00164ECA" w:rsidRPr="0070580E" w:rsidRDefault="00164ECA" w:rsidP="0070580E">
    <w:pPr>
      <w:pStyle w:val="Footer"/>
      <w:ind w:right="36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DA03" w14:textId="77777777" w:rsidR="00B837AB" w:rsidRDefault="00B837AB" w:rsidP="00A12944">
      <w:r>
        <w:separator/>
      </w:r>
    </w:p>
  </w:footnote>
  <w:footnote w:type="continuationSeparator" w:id="0">
    <w:p w14:paraId="46572624" w14:textId="77777777" w:rsidR="00B837AB" w:rsidRDefault="00B837AB" w:rsidP="00A12944">
      <w:r>
        <w:continuationSeparator/>
      </w:r>
    </w:p>
  </w:footnote>
  <w:footnote w:id="1">
    <w:p w14:paraId="7C4159C4" w14:textId="6F60CF1B" w:rsidR="00164ECA" w:rsidRDefault="00164ECA">
      <w:pPr>
        <w:pStyle w:val="FootnoteText"/>
      </w:pPr>
      <w:r>
        <w:rPr>
          <w:rStyle w:val="FootnoteReference"/>
        </w:rPr>
        <w:footnoteRef/>
      </w:r>
      <w:r>
        <w:t xml:space="preserve"> Due to an error in our online randomisation we considerably over-sampled for the 100% contingency condition.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43300"/>
    <w:multiLevelType w:val="multilevel"/>
    <w:tmpl w:val="749E3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7C1ECD"/>
    <w:multiLevelType w:val="hybridMultilevel"/>
    <w:tmpl w:val="4AF06A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2E"/>
    <w:rsid w:val="0000025A"/>
    <w:rsid w:val="00000867"/>
    <w:rsid w:val="0000242E"/>
    <w:rsid w:val="000024EB"/>
    <w:rsid w:val="000030CC"/>
    <w:rsid w:val="000037F8"/>
    <w:rsid w:val="000039BE"/>
    <w:rsid w:val="000042C8"/>
    <w:rsid w:val="00004A19"/>
    <w:rsid w:val="0000616B"/>
    <w:rsid w:val="00006B95"/>
    <w:rsid w:val="00006DEA"/>
    <w:rsid w:val="00011383"/>
    <w:rsid w:val="00012493"/>
    <w:rsid w:val="00012B93"/>
    <w:rsid w:val="000137AD"/>
    <w:rsid w:val="00014B71"/>
    <w:rsid w:val="00015181"/>
    <w:rsid w:val="0001519A"/>
    <w:rsid w:val="00015F12"/>
    <w:rsid w:val="00016452"/>
    <w:rsid w:val="00017B21"/>
    <w:rsid w:val="00017C49"/>
    <w:rsid w:val="000204BA"/>
    <w:rsid w:val="00020D48"/>
    <w:rsid w:val="000224DC"/>
    <w:rsid w:val="00023EDF"/>
    <w:rsid w:val="00024307"/>
    <w:rsid w:val="00024AA7"/>
    <w:rsid w:val="00024EA8"/>
    <w:rsid w:val="000251B7"/>
    <w:rsid w:val="00025B1F"/>
    <w:rsid w:val="00025FC1"/>
    <w:rsid w:val="000269FE"/>
    <w:rsid w:val="00027A43"/>
    <w:rsid w:val="000331C2"/>
    <w:rsid w:val="00033302"/>
    <w:rsid w:val="00033446"/>
    <w:rsid w:val="00033DBE"/>
    <w:rsid w:val="00035170"/>
    <w:rsid w:val="00035313"/>
    <w:rsid w:val="00035862"/>
    <w:rsid w:val="000402FE"/>
    <w:rsid w:val="00041688"/>
    <w:rsid w:val="00044260"/>
    <w:rsid w:val="00044E20"/>
    <w:rsid w:val="00047027"/>
    <w:rsid w:val="000471DA"/>
    <w:rsid w:val="00047AAD"/>
    <w:rsid w:val="00047F90"/>
    <w:rsid w:val="00050ACA"/>
    <w:rsid w:val="00051041"/>
    <w:rsid w:val="00051CB8"/>
    <w:rsid w:val="00052DDF"/>
    <w:rsid w:val="00052F89"/>
    <w:rsid w:val="00053DA0"/>
    <w:rsid w:val="00053EF4"/>
    <w:rsid w:val="00054358"/>
    <w:rsid w:val="00055B93"/>
    <w:rsid w:val="000562D0"/>
    <w:rsid w:val="000576B8"/>
    <w:rsid w:val="00060068"/>
    <w:rsid w:val="00060B73"/>
    <w:rsid w:val="00060E11"/>
    <w:rsid w:val="00061605"/>
    <w:rsid w:val="00061B38"/>
    <w:rsid w:val="000627A5"/>
    <w:rsid w:val="00062EE8"/>
    <w:rsid w:val="00064100"/>
    <w:rsid w:val="00064152"/>
    <w:rsid w:val="000753A2"/>
    <w:rsid w:val="000757C7"/>
    <w:rsid w:val="00080D80"/>
    <w:rsid w:val="00081100"/>
    <w:rsid w:val="00083913"/>
    <w:rsid w:val="00083CE2"/>
    <w:rsid w:val="00083FC5"/>
    <w:rsid w:val="00084077"/>
    <w:rsid w:val="0008485B"/>
    <w:rsid w:val="00084989"/>
    <w:rsid w:val="00086FBB"/>
    <w:rsid w:val="00087CBA"/>
    <w:rsid w:val="00090642"/>
    <w:rsid w:val="0009066B"/>
    <w:rsid w:val="000910DE"/>
    <w:rsid w:val="00091385"/>
    <w:rsid w:val="000924E5"/>
    <w:rsid w:val="00092EE6"/>
    <w:rsid w:val="000930EB"/>
    <w:rsid w:val="0009469D"/>
    <w:rsid w:val="00094AD7"/>
    <w:rsid w:val="00096253"/>
    <w:rsid w:val="000A198B"/>
    <w:rsid w:val="000A1B51"/>
    <w:rsid w:val="000A1D25"/>
    <w:rsid w:val="000A2361"/>
    <w:rsid w:val="000A5C6E"/>
    <w:rsid w:val="000A5CF3"/>
    <w:rsid w:val="000A694E"/>
    <w:rsid w:val="000A6C39"/>
    <w:rsid w:val="000A7040"/>
    <w:rsid w:val="000A7D74"/>
    <w:rsid w:val="000B01E3"/>
    <w:rsid w:val="000B1995"/>
    <w:rsid w:val="000B271B"/>
    <w:rsid w:val="000B325E"/>
    <w:rsid w:val="000B3B1A"/>
    <w:rsid w:val="000B5ABF"/>
    <w:rsid w:val="000B6E86"/>
    <w:rsid w:val="000B7B88"/>
    <w:rsid w:val="000C01FD"/>
    <w:rsid w:val="000C12F1"/>
    <w:rsid w:val="000C2F38"/>
    <w:rsid w:val="000C315B"/>
    <w:rsid w:val="000C372D"/>
    <w:rsid w:val="000C6D17"/>
    <w:rsid w:val="000C6D63"/>
    <w:rsid w:val="000D0A7E"/>
    <w:rsid w:val="000D0BE2"/>
    <w:rsid w:val="000D0BF4"/>
    <w:rsid w:val="000D2CCC"/>
    <w:rsid w:val="000D2F1F"/>
    <w:rsid w:val="000D47B8"/>
    <w:rsid w:val="000D4965"/>
    <w:rsid w:val="000D5543"/>
    <w:rsid w:val="000D5E59"/>
    <w:rsid w:val="000D7BEF"/>
    <w:rsid w:val="000E1258"/>
    <w:rsid w:val="000E1A07"/>
    <w:rsid w:val="000E1DDB"/>
    <w:rsid w:val="000E1EA3"/>
    <w:rsid w:val="000E3EF7"/>
    <w:rsid w:val="000E4CEB"/>
    <w:rsid w:val="000E51F9"/>
    <w:rsid w:val="000E579B"/>
    <w:rsid w:val="000E5A41"/>
    <w:rsid w:val="000F063A"/>
    <w:rsid w:val="000F11C9"/>
    <w:rsid w:val="000F1541"/>
    <w:rsid w:val="000F1B1B"/>
    <w:rsid w:val="000F1F2A"/>
    <w:rsid w:val="000F222F"/>
    <w:rsid w:val="000F23A2"/>
    <w:rsid w:val="000F30EF"/>
    <w:rsid w:val="000F3660"/>
    <w:rsid w:val="000F4CB6"/>
    <w:rsid w:val="000F50F1"/>
    <w:rsid w:val="000F5660"/>
    <w:rsid w:val="000F664D"/>
    <w:rsid w:val="000F6915"/>
    <w:rsid w:val="000F6AB5"/>
    <w:rsid w:val="000F6B5C"/>
    <w:rsid w:val="000F6BBC"/>
    <w:rsid w:val="000F7867"/>
    <w:rsid w:val="001000E0"/>
    <w:rsid w:val="00100447"/>
    <w:rsid w:val="0010102B"/>
    <w:rsid w:val="00101366"/>
    <w:rsid w:val="00101BFB"/>
    <w:rsid w:val="00102663"/>
    <w:rsid w:val="00102BD7"/>
    <w:rsid w:val="00102D0B"/>
    <w:rsid w:val="00102EBF"/>
    <w:rsid w:val="0010342B"/>
    <w:rsid w:val="001065A3"/>
    <w:rsid w:val="0011011F"/>
    <w:rsid w:val="00111D39"/>
    <w:rsid w:val="001122DB"/>
    <w:rsid w:val="00113898"/>
    <w:rsid w:val="00115C30"/>
    <w:rsid w:val="0011645B"/>
    <w:rsid w:val="001172EC"/>
    <w:rsid w:val="00117559"/>
    <w:rsid w:val="0012040F"/>
    <w:rsid w:val="001241B4"/>
    <w:rsid w:val="00130675"/>
    <w:rsid w:val="001335FB"/>
    <w:rsid w:val="00133B3A"/>
    <w:rsid w:val="001340CC"/>
    <w:rsid w:val="001343AC"/>
    <w:rsid w:val="00135CC7"/>
    <w:rsid w:val="0014120F"/>
    <w:rsid w:val="0014245E"/>
    <w:rsid w:val="00144358"/>
    <w:rsid w:val="0014486C"/>
    <w:rsid w:val="001474C1"/>
    <w:rsid w:val="00147A1E"/>
    <w:rsid w:val="001504CC"/>
    <w:rsid w:val="00150518"/>
    <w:rsid w:val="001508C7"/>
    <w:rsid w:val="00151F12"/>
    <w:rsid w:val="00152BDB"/>
    <w:rsid w:val="00153BAC"/>
    <w:rsid w:val="00154167"/>
    <w:rsid w:val="001541ED"/>
    <w:rsid w:val="00154535"/>
    <w:rsid w:val="00154C9A"/>
    <w:rsid w:val="001551D4"/>
    <w:rsid w:val="00156178"/>
    <w:rsid w:val="00160FCD"/>
    <w:rsid w:val="0016157F"/>
    <w:rsid w:val="001617D3"/>
    <w:rsid w:val="00162298"/>
    <w:rsid w:val="0016241C"/>
    <w:rsid w:val="0016280B"/>
    <w:rsid w:val="00163ADE"/>
    <w:rsid w:val="00164221"/>
    <w:rsid w:val="00164ECA"/>
    <w:rsid w:val="0016640D"/>
    <w:rsid w:val="0016685A"/>
    <w:rsid w:val="00166BD6"/>
    <w:rsid w:val="001701D7"/>
    <w:rsid w:val="0017107A"/>
    <w:rsid w:val="0017183E"/>
    <w:rsid w:val="00171851"/>
    <w:rsid w:val="00172B5E"/>
    <w:rsid w:val="001734DC"/>
    <w:rsid w:val="001737BD"/>
    <w:rsid w:val="00174AA1"/>
    <w:rsid w:val="0017615B"/>
    <w:rsid w:val="0018087E"/>
    <w:rsid w:val="00180BD0"/>
    <w:rsid w:val="00183946"/>
    <w:rsid w:val="00185066"/>
    <w:rsid w:val="00185D4B"/>
    <w:rsid w:val="00186F0E"/>
    <w:rsid w:val="00187244"/>
    <w:rsid w:val="001911A6"/>
    <w:rsid w:val="00191998"/>
    <w:rsid w:val="00192604"/>
    <w:rsid w:val="00192C68"/>
    <w:rsid w:val="00192CAE"/>
    <w:rsid w:val="00193EAF"/>
    <w:rsid w:val="00195DBA"/>
    <w:rsid w:val="00196842"/>
    <w:rsid w:val="001A0A1B"/>
    <w:rsid w:val="001A0CC7"/>
    <w:rsid w:val="001A15A6"/>
    <w:rsid w:val="001A2D6D"/>
    <w:rsid w:val="001A4A00"/>
    <w:rsid w:val="001A4BB8"/>
    <w:rsid w:val="001A6E91"/>
    <w:rsid w:val="001B0874"/>
    <w:rsid w:val="001B15D2"/>
    <w:rsid w:val="001B3412"/>
    <w:rsid w:val="001B35A1"/>
    <w:rsid w:val="001B38A1"/>
    <w:rsid w:val="001B5220"/>
    <w:rsid w:val="001B5CB0"/>
    <w:rsid w:val="001B66D0"/>
    <w:rsid w:val="001B7763"/>
    <w:rsid w:val="001C087C"/>
    <w:rsid w:val="001C0D5D"/>
    <w:rsid w:val="001C274C"/>
    <w:rsid w:val="001C4E8C"/>
    <w:rsid w:val="001C51F7"/>
    <w:rsid w:val="001C54C3"/>
    <w:rsid w:val="001C5D24"/>
    <w:rsid w:val="001C5DDC"/>
    <w:rsid w:val="001C7572"/>
    <w:rsid w:val="001D026A"/>
    <w:rsid w:val="001D0DEC"/>
    <w:rsid w:val="001D124E"/>
    <w:rsid w:val="001D1F26"/>
    <w:rsid w:val="001D280E"/>
    <w:rsid w:val="001D2937"/>
    <w:rsid w:val="001D4F50"/>
    <w:rsid w:val="001D5850"/>
    <w:rsid w:val="001D5F9A"/>
    <w:rsid w:val="001D7060"/>
    <w:rsid w:val="001D70D9"/>
    <w:rsid w:val="001D7E01"/>
    <w:rsid w:val="001E080F"/>
    <w:rsid w:val="001E1017"/>
    <w:rsid w:val="001E1367"/>
    <w:rsid w:val="001E1F7E"/>
    <w:rsid w:val="001E2FEF"/>
    <w:rsid w:val="001E324F"/>
    <w:rsid w:val="001E3759"/>
    <w:rsid w:val="001E3E1C"/>
    <w:rsid w:val="001E5F18"/>
    <w:rsid w:val="001E795F"/>
    <w:rsid w:val="001F7BA0"/>
    <w:rsid w:val="00200C79"/>
    <w:rsid w:val="00201718"/>
    <w:rsid w:val="00202514"/>
    <w:rsid w:val="002029C4"/>
    <w:rsid w:val="00203047"/>
    <w:rsid w:val="002034FB"/>
    <w:rsid w:val="002056C1"/>
    <w:rsid w:val="00205C0A"/>
    <w:rsid w:val="00206E4D"/>
    <w:rsid w:val="00207079"/>
    <w:rsid w:val="0020719C"/>
    <w:rsid w:val="002073AF"/>
    <w:rsid w:val="002077C7"/>
    <w:rsid w:val="00207C67"/>
    <w:rsid w:val="0021077B"/>
    <w:rsid w:val="002112A7"/>
    <w:rsid w:val="002113DD"/>
    <w:rsid w:val="00212577"/>
    <w:rsid w:val="00212817"/>
    <w:rsid w:val="00212A0F"/>
    <w:rsid w:val="00213561"/>
    <w:rsid w:val="00214490"/>
    <w:rsid w:val="002147FF"/>
    <w:rsid w:val="00216EE5"/>
    <w:rsid w:val="00217336"/>
    <w:rsid w:val="00220C68"/>
    <w:rsid w:val="002217BC"/>
    <w:rsid w:val="002219C9"/>
    <w:rsid w:val="00222657"/>
    <w:rsid w:val="00223E70"/>
    <w:rsid w:val="00225518"/>
    <w:rsid w:val="002258FC"/>
    <w:rsid w:val="002261AD"/>
    <w:rsid w:val="00226A64"/>
    <w:rsid w:val="00226F54"/>
    <w:rsid w:val="002309FB"/>
    <w:rsid w:val="00231784"/>
    <w:rsid w:val="00232796"/>
    <w:rsid w:val="0023318B"/>
    <w:rsid w:val="00235F89"/>
    <w:rsid w:val="0023666F"/>
    <w:rsid w:val="00237933"/>
    <w:rsid w:val="00241955"/>
    <w:rsid w:val="0024322B"/>
    <w:rsid w:val="00243A18"/>
    <w:rsid w:val="00244CC5"/>
    <w:rsid w:val="00245295"/>
    <w:rsid w:val="0024605A"/>
    <w:rsid w:val="002478B4"/>
    <w:rsid w:val="0025042D"/>
    <w:rsid w:val="0025044B"/>
    <w:rsid w:val="00250972"/>
    <w:rsid w:val="002515DC"/>
    <w:rsid w:val="002524C3"/>
    <w:rsid w:val="002538FC"/>
    <w:rsid w:val="002546F3"/>
    <w:rsid w:val="002559EA"/>
    <w:rsid w:val="00255A38"/>
    <w:rsid w:val="00260026"/>
    <w:rsid w:val="00260478"/>
    <w:rsid w:val="0026282F"/>
    <w:rsid w:val="00262CEF"/>
    <w:rsid w:val="0026301C"/>
    <w:rsid w:val="00263036"/>
    <w:rsid w:val="00263502"/>
    <w:rsid w:val="0026371B"/>
    <w:rsid w:val="00265EC8"/>
    <w:rsid w:val="0026681E"/>
    <w:rsid w:val="002672FB"/>
    <w:rsid w:val="0026765B"/>
    <w:rsid w:val="0027052D"/>
    <w:rsid w:val="00270C5F"/>
    <w:rsid w:val="00270F1F"/>
    <w:rsid w:val="00271D5E"/>
    <w:rsid w:val="0027385D"/>
    <w:rsid w:val="00275FDB"/>
    <w:rsid w:val="00276319"/>
    <w:rsid w:val="00276F10"/>
    <w:rsid w:val="00277EAC"/>
    <w:rsid w:val="00277FD7"/>
    <w:rsid w:val="00280B93"/>
    <w:rsid w:val="0028116E"/>
    <w:rsid w:val="002833D4"/>
    <w:rsid w:val="00284964"/>
    <w:rsid w:val="00285203"/>
    <w:rsid w:val="0028609A"/>
    <w:rsid w:val="002860D0"/>
    <w:rsid w:val="00287C0C"/>
    <w:rsid w:val="0029096A"/>
    <w:rsid w:val="00293117"/>
    <w:rsid w:val="0029385F"/>
    <w:rsid w:val="0029474F"/>
    <w:rsid w:val="00294EC5"/>
    <w:rsid w:val="00295724"/>
    <w:rsid w:val="002959E2"/>
    <w:rsid w:val="00295FD3"/>
    <w:rsid w:val="002A01A3"/>
    <w:rsid w:val="002A0B3F"/>
    <w:rsid w:val="002A1B18"/>
    <w:rsid w:val="002A1CC0"/>
    <w:rsid w:val="002A30B6"/>
    <w:rsid w:val="002A5A97"/>
    <w:rsid w:val="002A6631"/>
    <w:rsid w:val="002B09B2"/>
    <w:rsid w:val="002B20BB"/>
    <w:rsid w:val="002B29CD"/>
    <w:rsid w:val="002B3AC7"/>
    <w:rsid w:val="002B4602"/>
    <w:rsid w:val="002B4E8F"/>
    <w:rsid w:val="002B546C"/>
    <w:rsid w:val="002B5F4B"/>
    <w:rsid w:val="002B725F"/>
    <w:rsid w:val="002B73DC"/>
    <w:rsid w:val="002B7C37"/>
    <w:rsid w:val="002C0BD9"/>
    <w:rsid w:val="002C0CF2"/>
    <w:rsid w:val="002C1333"/>
    <w:rsid w:val="002C2283"/>
    <w:rsid w:val="002C273C"/>
    <w:rsid w:val="002C37F6"/>
    <w:rsid w:val="002C594B"/>
    <w:rsid w:val="002C750F"/>
    <w:rsid w:val="002C7E2D"/>
    <w:rsid w:val="002C7F46"/>
    <w:rsid w:val="002D182F"/>
    <w:rsid w:val="002D30CC"/>
    <w:rsid w:val="002D3A88"/>
    <w:rsid w:val="002D3ECB"/>
    <w:rsid w:val="002D647F"/>
    <w:rsid w:val="002D6EB8"/>
    <w:rsid w:val="002D7EFE"/>
    <w:rsid w:val="002E102B"/>
    <w:rsid w:val="002E11B7"/>
    <w:rsid w:val="002E1D2C"/>
    <w:rsid w:val="002E1D88"/>
    <w:rsid w:val="002E2989"/>
    <w:rsid w:val="002E3717"/>
    <w:rsid w:val="002E5060"/>
    <w:rsid w:val="002E547F"/>
    <w:rsid w:val="002E693A"/>
    <w:rsid w:val="002E7033"/>
    <w:rsid w:val="002F1DBE"/>
    <w:rsid w:val="002F2FB0"/>
    <w:rsid w:val="002F50BF"/>
    <w:rsid w:val="002F5753"/>
    <w:rsid w:val="002F6032"/>
    <w:rsid w:val="002F6C58"/>
    <w:rsid w:val="0030006A"/>
    <w:rsid w:val="0030039F"/>
    <w:rsid w:val="003008F5"/>
    <w:rsid w:val="00300F38"/>
    <w:rsid w:val="0030212E"/>
    <w:rsid w:val="0030290B"/>
    <w:rsid w:val="00302C9C"/>
    <w:rsid w:val="00302D4E"/>
    <w:rsid w:val="003061DE"/>
    <w:rsid w:val="00307D3C"/>
    <w:rsid w:val="00310373"/>
    <w:rsid w:val="00310821"/>
    <w:rsid w:val="00310B6A"/>
    <w:rsid w:val="00310CB5"/>
    <w:rsid w:val="00312A79"/>
    <w:rsid w:val="0031324E"/>
    <w:rsid w:val="0031440A"/>
    <w:rsid w:val="00314A13"/>
    <w:rsid w:val="00314F39"/>
    <w:rsid w:val="0031530E"/>
    <w:rsid w:val="003154E3"/>
    <w:rsid w:val="00316CFF"/>
    <w:rsid w:val="00321417"/>
    <w:rsid w:val="003214C2"/>
    <w:rsid w:val="003218EF"/>
    <w:rsid w:val="003232C9"/>
    <w:rsid w:val="0032359E"/>
    <w:rsid w:val="0032491A"/>
    <w:rsid w:val="00325EE5"/>
    <w:rsid w:val="00326C6A"/>
    <w:rsid w:val="00326FAB"/>
    <w:rsid w:val="0032723D"/>
    <w:rsid w:val="00327ACA"/>
    <w:rsid w:val="003309B8"/>
    <w:rsid w:val="003310AF"/>
    <w:rsid w:val="00331C31"/>
    <w:rsid w:val="003320E7"/>
    <w:rsid w:val="00332D2B"/>
    <w:rsid w:val="00333AE7"/>
    <w:rsid w:val="00333AFC"/>
    <w:rsid w:val="003350B7"/>
    <w:rsid w:val="00335959"/>
    <w:rsid w:val="00335DDF"/>
    <w:rsid w:val="00335F3E"/>
    <w:rsid w:val="003363CF"/>
    <w:rsid w:val="003364CD"/>
    <w:rsid w:val="00340452"/>
    <w:rsid w:val="0034257A"/>
    <w:rsid w:val="00342E55"/>
    <w:rsid w:val="0034395F"/>
    <w:rsid w:val="00344393"/>
    <w:rsid w:val="00347726"/>
    <w:rsid w:val="00347A8F"/>
    <w:rsid w:val="003505E1"/>
    <w:rsid w:val="00350665"/>
    <w:rsid w:val="00353494"/>
    <w:rsid w:val="00353747"/>
    <w:rsid w:val="00353DDD"/>
    <w:rsid w:val="003543E4"/>
    <w:rsid w:val="00356BE1"/>
    <w:rsid w:val="003600F5"/>
    <w:rsid w:val="003608CF"/>
    <w:rsid w:val="00360953"/>
    <w:rsid w:val="00360E6A"/>
    <w:rsid w:val="00361119"/>
    <w:rsid w:val="003630AD"/>
    <w:rsid w:val="003632CD"/>
    <w:rsid w:val="00363CC7"/>
    <w:rsid w:val="00363F52"/>
    <w:rsid w:val="00365C3E"/>
    <w:rsid w:val="00366A42"/>
    <w:rsid w:val="0036735B"/>
    <w:rsid w:val="00367407"/>
    <w:rsid w:val="0037042D"/>
    <w:rsid w:val="00370919"/>
    <w:rsid w:val="00370DDF"/>
    <w:rsid w:val="003718DF"/>
    <w:rsid w:val="0037378F"/>
    <w:rsid w:val="0037394A"/>
    <w:rsid w:val="0037499C"/>
    <w:rsid w:val="00374B06"/>
    <w:rsid w:val="00377E83"/>
    <w:rsid w:val="00381225"/>
    <w:rsid w:val="00381700"/>
    <w:rsid w:val="00381759"/>
    <w:rsid w:val="00382D8A"/>
    <w:rsid w:val="0038382E"/>
    <w:rsid w:val="00384079"/>
    <w:rsid w:val="00384499"/>
    <w:rsid w:val="003858D6"/>
    <w:rsid w:val="0038594A"/>
    <w:rsid w:val="00385ABA"/>
    <w:rsid w:val="00385FAB"/>
    <w:rsid w:val="00387174"/>
    <w:rsid w:val="00387937"/>
    <w:rsid w:val="0039119B"/>
    <w:rsid w:val="00391EE5"/>
    <w:rsid w:val="00393E50"/>
    <w:rsid w:val="003946DC"/>
    <w:rsid w:val="003963C1"/>
    <w:rsid w:val="00396879"/>
    <w:rsid w:val="00397500"/>
    <w:rsid w:val="00397D5D"/>
    <w:rsid w:val="003A012F"/>
    <w:rsid w:val="003A32E1"/>
    <w:rsid w:val="003A428D"/>
    <w:rsid w:val="003A7627"/>
    <w:rsid w:val="003B0EE0"/>
    <w:rsid w:val="003B1024"/>
    <w:rsid w:val="003B3DD9"/>
    <w:rsid w:val="003B494B"/>
    <w:rsid w:val="003B5642"/>
    <w:rsid w:val="003B581A"/>
    <w:rsid w:val="003B6CFF"/>
    <w:rsid w:val="003B7238"/>
    <w:rsid w:val="003B76B2"/>
    <w:rsid w:val="003B782C"/>
    <w:rsid w:val="003B7DCB"/>
    <w:rsid w:val="003C02F0"/>
    <w:rsid w:val="003C10F9"/>
    <w:rsid w:val="003C12B1"/>
    <w:rsid w:val="003C1E07"/>
    <w:rsid w:val="003C25D2"/>
    <w:rsid w:val="003C2948"/>
    <w:rsid w:val="003C2966"/>
    <w:rsid w:val="003C56BC"/>
    <w:rsid w:val="003C6EFE"/>
    <w:rsid w:val="003D065F"/>
    <w:rsid w:val="003D128C"/>
    <w:rsid w:val="003D12CF"/>
    <w:rsid w:val="003D2986"/>
    <w:rsid w:val="003D2AD2"/>
    <w:rsid w:val="003D39E3"/>
    <w:rsid w:val="003D4D64"/>
    <w:rsid w:val="003D586F"/>
    <w:rsid w:val="003D5C26"/>
    <w:rsid w:val="003D70BB"/>
    <w:rsid w:val="003D756E"/>
    <w:rsid w:val="003D7B5A"/>
    <w:rsid w:val="003D7DB0"/>
    <w:rsid w:val="003E0428"/>
    <w:rsid w:val="003E1BE9"/>
    <w:rsid w:val="003E1F64"/>
    <w:rsid w:val="003E26A3"/>
    <w:rsid w:val="003E496D"/>
    <w:rsid w:val="003E5BB7"/>
    <w:rsid w:val="003E65C8"/>
    <w:rsid w:val="003E734B"/>
    <w:rsid w:val="003E7612"/>
    <w:rsid w:val="003F064C"/>
    <w:rsid w:val="003F0884"/>
    <w:rsid w:val="003F101A"/>
    <w:rsid w:val="003F2A8F"/>
    <w:rsid w:val="003F3294"/>
    <w:rsid w:val="003F34F4"/>
    <w:rsid w:val="003F351A"/>
    <w:rsid w:val="003F3FBA"/>
    <w:rsid w:val="003F49B2"/>
    <w:rsid w:val="003F5467"/>
    <w:rsid w:val="003F731C"/>
    <w:rsid w:val="003F74F8"/>
    <w:rsid w:val="0040019D"/>
    <w:rsid w:val="00400F69"/>
    <w:rsid w:val="00401995"/>
    <w:rsid w:val="00402371"/>
    <w:rsid w:val="004052BE"/>
    <w:rsid w:val="004130C1"/>
    <w:rsid w:val="00413768"/>
    <w:rsid w:val="00415448"/>
    <w:rsid w:val="00415843"/>
    <w:rsid w:val="00416636"/>
    <w:rsid w:val="00416C79"/>
    <w:rsid w:val="00421F80"/>
    <w:rsid w:val="0042391F"/>
    <w:rsid w:val="0042413C"/>
    <w:rsid w:val="0043237B"/>
    <w:rsid w:val="004329EC"/>
    <w:rsid w:val="004339D9"/>
    <w:rsid w:val="0043463F"/>
    <w:rsid w:val="004357C2"/>
    <w:rsid w:val="00435B2A"/>
    <w:rsid w:val="00437755"/>
    <w:rsid w:val="00437E0E"/>
    <w:rsid w:val="0044036E"/>
    <w:rsid w:val="00442687"/>
    <w:rsid w:val="0044278E"/>
    <w:rsid w:val="00443BBF"/>
    <w:rsid w:val="00444864"/>
    <w:rsid w:val="004452E1"/>
    <w:rsid w:val="00445430"/>
    <w:rsid w:val="004456C2"/>
    <w:rsid w:val="00450025"/>
    <w:rsid w:val="004510D1"/>
    <w:rsid w:val="004516DB"/>
    <w:rsid w:val="00451A20"/>
    <w:rsid w:val="00454984"/>
    <w:rsid w:val="004549FC"/>
    <w:rsid w:val="00454EF2"/>
    <w:rsid w:val="004563BA"/>
    <w:rsid w:val="00460D04"/>
    <w:rsid w:val="00460F5C"/>
    <w:rsid w:val="00461BE0"/>
    <w:rsid w:val="004628CF"/>
    <w:rsid w:val="004637B5"/>
    <w:rsid w:val="004641C1"/>
    <w:rsid w:val="00465187"/>
    <w:rsid w:val="00465963"/>
    <w:rsid w:val="00465C4F"/>
    <w:rsid w:val="0046646F"/>
    <w:rsid w:val="00470794"/>
    <w:rsid w:val="00471210"/>
    <w:rsid w:val="004727CD"/>
    <w:rsid w:val="0047341D"/>
    <w:rsid w:val="00477094"/>
    <w:rsid w:val="004772A7"/>
    <w:rsid w:val="004803DF"/>
    <w:rsid w:val="00480C07"/>
    <w:rsid w:val="00482138"/>
    <w:rsid w:val="004835E5"/>
    <w:rsid w:val="004839DA"/>
    <w:rsid w:val="004848FA"/>
    <w:rsid w:val="0048632C"/>
    <w:rsid w:val="00487189"/>
    <w:rsid w:val="004906F3"/>
    <w:rsid w:val="00490968"/>
    <w:rsid w:val="00491963"/>
    <w:rsid w:val="00492A47"/>
    <w:rsid w:val="00492B02"/>
    <w:rsid w:val="00492B15"/>
    <w:rsid w:val="00495665"/>
    <w:rsid w:val="004975B9"/>
    <w:rsid w:val="004979EE"/>
    <w:rsid w:val="00497E1D"/>
    <w:rsid w:val="00497E71"/>
    <w:rsid w:val="004A11AD"/>
    <w:rsid w:val="004A2B66"/>
    <w:rsid w:val="004A3406"/>
    <w:rsid w:val="004A3CD5"/>
    <w:rsid w:val="004A4B19"/>
    <w:rsid w:val="004A69F1"/>
    <w:rsid w:val="004A7B91"/>
    <w:rsid w:val="004B00BD"/>
    <w:rsid w:val="004B07E7"/>
    <w:rsid w:val="004B392A"/>
    <w:rsid w:val="004B5653"/>
    <w:rsid w:val="004B5E97"/>
    <w:rsid w:val="004B6713"/>
    <w:rsid w:val="004B7664"/>
    <w:rsid w:val="004B7CA7"/>
    <w:rsid w:val="004C0A33"/>
    <w:rsid w:val="004C0DF3"/>
    <w:rsid w:val="004C106B"/>
    <w:rsid w:val="004C1B66"/>
    <w:rsid w:val="004C2773"/>
    <w:rsid w:val="004C2D03"/>
    <w:rsid w:val="004C38E5"/>
    <w:rsid w:val="004C39E6"/>
    <w:rsid w:val="004C4C03"/>
    <w:rsid w:val="004C50FC"/>
    <w:rsid w:val="004C63BE"/>
    <w:rsid w:val="004C6851"/>
    <w:rsid w:val="004C7239"/>
    <w:rsid w:val="004D1DC2"/>
    <w:rsid w:val="004D1DE1"/>
    <w:rsid w:val="004D206B"/>
    <w:rsid w:val="004D2312"/>
    <w:rsid w:val="004D30D9"/>
    <w:rsid w:val="004D3454"/>
    <w:rsid w:val="004D51B6"/>
    <w:rsid w:val="004D51E6"/>
    <w:rsid w:val="004D6A1D"/>
    <w:rsid w:val="004D6ABA"/>
    <w:rsid w:val="004D73B4"/>
    <w:rsid w:val="004D7A53"/>
    <w:rsid w:val="004E1294"/>
    <w:rsid w:val="004E2737"/>
    <w:rsid w:val="004E29DC"/>
    <w:rsid w:val="004E33F5"/>
    <w:rsid w:val="004E380C"/>
    <w:rsid w:val="004E43AB"/>
    <w:rsid w:val="004E4E68"/>
    <w:rsid w:val="004E5C3C"/>
    <w:rsid w:val="004E6F38"/>
    <w:rsid w:val="004E78A6"/>
    <w:rsid w:val="004F0610"/>
    <w:rsid w:val="004F0723"/>
    <w:rsid w:val="004F09A4"/>
    <w:rsid w:val="004F1933"/>
    <w:rsid w:val="004F1E83"/>
    <w:rsid w:val="004F2388"/>
    <w:rsid w:val="004F29B2"/>
    <w:rsid w:val="004F3544"/>
    <w:rsid w:val="004F42BC"/>
    <w:rsid w:val="004F4B82"/>
    <w:rsid w:val="004F4FC7"/>
    <w:rsid w:val="004F527A"/>
    <w:rsid w:val="004F5F8F"/>
    <w:rsid w:val="004F6C47"/>
    <w:rsid w:val="004F6D23"/>
    <w:rsid w:val="004F6D38"/>
    <w:rsid w:val="004F7D1A"/>
    <w:rsid w:val="005006E4"/>
    <w:rsid w:val="00500AC3"/>
    <w:rsid w:val="00501340"/>
    <w:rsid w:val="0050156D"/>
    <w:rsid w:val="00502372"/>
    <w:rsid w:val="005030F3"/>
    <w:rsid w:val="00504C85"/>
    <w:rsid w:val="00504E2D"/>
    <w:rsid w:val="00504E6F"/>
    <w:rsid w:val="00504FF0"/>
    <w:rsid w:val="0050645A"/>
    <w:rsid w:val="0050736F"/>
    <w:rsid w:val="00511569"/>
    <w:rsid w:val="00512BC5"/>
    <w:rsid w:val="005135D4"/>
    <w:rsid w:val="0051567B"/>
    <w:rsid w:val="00517687"/>
    <w:rsid w:val="00517937"/>
    <w:rsid w:val="00521922"/>
    <w:rsid w:val="00522BF6"/>
    <w:rsid w:val="0052379C"/>
    <w:rsid w:val="005250F5"/>
    <w:rsid w:val="0052614A"/>
    <w:rsid w:val="00530798"/>
    <w:rsid w:val="00532C87"/>
    <w:rsid w:val="005333AD"/>
    <w:rsid w:val="00533780"/>
    <w:rsid w:val="00533BD3"/>
    <w:rsid w:val="00533CBE"/>
    <w:rsid w:val="00535159"/>
    <w:rsid w:val="00536DFE"/>
    <w:rsid w:val="0053764C"/>
    <w:rsid w:val="00540B7C"/>
    <w:rsid w:val="005418DD"/>
    <w:rsid w:val="00541EE3"/>
    <w:rsid w:val="00542485"/>
    <w:rsid w:val="005456D0"/>
    <w:rsid w:val="0054607B"/>
    <w:rsid w:val="00546D9F"/>
    <w:rsid w:val="005475C0"/>
    <w:rsid w:val="00547B68"/>
    <w:rsid w:val="00547FDC"/>
    <w:rsid w:val="00550707"/>
    <w:rsid w:val="0055073A"/>
    <w:rsid w:val="0055111E"/>
    <w:rsid w:val="00552043"/>
    <w:rsid w:val="005521B4"/>
    <w:rsid w:val="00553747"/>
    <w:rsid w:val="00556337"/>
    <w:rsid w:val="00556DE9"/>
    <w:rsid w:val="005573E1"/>
    <w:rsid w:val="0056052A"/>
    <w:rsid w:val="005609EA"/>
    <w:rsid w:val="00560D2C"/>
    <w:rsid w:val="0056123D"/>
    <w:rsid w:val="00561998"/>
    <w:rsid w:val="00562B95"/>
    <w:rsid w:val="005647B0"/>
    <w:rsid w:val="00565936"/>
    <w:rsid w:val="005667F1"/>
    <w:rsid w:val="00566D54"/>
    <w:rsid w:val="0057102D"/>
    <w:rsid w:val="00571045"/>
    <w:rsid w:val="00571F49"/>
    <w:rsid w:val="0057283D"/>
    <w:rsid w:val="005732C0"/>
    <w:rsid w:val="00573CA9"/>
    <w:rsid w:val="00574885"/>
    <w:rsid w:val="00574D59"/>
    <w:rsid w:val="00576474"/>
    <w:rsid w:val="005800C8"/>
    <w:rsid w:val="00580738"/>
    <w:rsid w:val="00580920"/>
    <w:rsid w:val="0058164E"/>
    <w:rsid w:val="00581808"/>
    <w:rsid w:val="0058240D"/>
    <w:rsid w:val="00582BFF"/>
    <w:rsid w:val="00583631"/>
    <w:rsid w:val="00583B33"/>
    <w:rsid w:val="005856A8"/>
    <w:rsid w:val="005864AC"/>
    <w:rsid w:val="0058714D"/>
    <w:rsid w:val="005901EC"/>
    <w:rsid w:val="00590C7E"/>
    <w:rsid w:val="005913CE"/>
    <w:rsid w:val="00594561"/>
    <w:rsid w:val="005946F9"/>
    <w:rsid w:val="00595927"/>
    <w:rsid w:val="00595A1F"/>
    <w:rsid w:val="00596726"/>
    <w:rsid w:val="005973A2"/>
    <w:rsid w:val="005A21BE"/>
    <w:rsid w:val="005A3850"/>
    <w:rsid w:val="005A5350"/>
    <w:rsid w:val="005A5CAE"/>
    <w:rsid w:val="005A71D0"/>
    <w:rsid w:val="005B0063"/>
    <w:rsid w:val="005B180D"/>
    <w:rsid w:val="005B198B"/>
    <w:rsid w:val="005B1BB7"/>
    <w:rsid w:val="005B4894"/>
    <w:rsid w:val="005B5183"/>
    <w:rsid w:val="005B60C0"/>
    <w:rsid w:val="005B615E"/>
    <w:rsid w:val="005B61AF"/>
    <w:rsid w:val="005B6A4D"/>
    <w:rsid w:val="005B7B2D"/>
    <w:rsid w:val="005B7D43"/>
    <w:rsid w:val="005C0151"/>
    <w:rsid w:val="005C112A"/>
    <w:rsid w:val="005C25E5"/>
    <w:rsid w:val="005C4BC1"/>
    <w:rsid w:val="005C5177"/>
    <w:rsid w:val="005C5F64"/>
    <w:rsid w:val="005C6328"/>
    <w:rsid w:val="005C7001"/>
    <w:rsid w:val="005C743B"/>
    <w:rsid w:val="005D03CE"/>
    <w:rsid w:val="005D14C4"/>
    <w:rsid w:val="005D1C7E"/>
    <w:rsid w:val="005D274D"/>
    <w:rsid w:val="005D2799"/>
    <w:rsid w:val="005D354C"/>
    <w:rsid w:val="005D366F"/>
    <w:rsid w:val="005D3937"/>
    <w:rsid w:val="005D4603"/>
    <w:rsid w:val="005D51DB"/>
    <w:rsid w:val="005D5521"/>
    <w:rsid w:val="005D695F"/>
    <w:rsid w:val="005E117C"/>
    <w:rsid w:val="005E17C1"/>
    <w:rsid w:val="005E2691"/>
    <w:rsid w:val="005E350F"/>
    <w:rsid w:val="005E368C"/>
    <w:rsid w:val="005E6924"/>
    <w:rsid w:val="005E79BB"/>
    <w:rsid w:val="005F15DD"/>
    <w:rsid w:val="005F1621"/>
    <w:rsid w:val="005F20F7"/>
    <w:rsid w:val="005F220F"/>
    <w:rsid w:val="005F251F"/>
    <w:rsid w:val="005F26DF"/>
    <w:rsid w:val="005F403C"/>
    <w:rsid w:val="005F52D8"/>
    <w:rsid w:val="0060061A"/>
    <w:rsid w:val="006006C5"/>
    <w:rsid w:val="00600EB9"/>
    <w:rsid w:val="00601423"/>
    <w:rsid w:val="006021DF"/>
    <w:rsid w:val="006038C6"/>
    <w:rsid w:val="006053E4"/>
    <w:rsid w:val="00605BD7"/>
    <w:rsid w:val="00606EB7"/>
    <w:rsid w:val="0060750F"/>
    <w:rsid w:val="00610A86"/>
    <w:rsid w:val="0061194A"/>
    <w:rsid w:val="006124DD"/>
    <w:rsid w:val="00613840"/>
    <w:rsid w:val="00616147"/>
    <w:rsid w:val="006164B7"/>
    <w:rsid w:val="00616C51"/>
    <w:rsid w:val="00617CB1"/>
    <w:rsid w:val="00621FEA"/>
    <w:rsid w:val="006229EA"/>
    <w:rsid w:val="006246D6"/>
    <w:rsid w:val="00625F2A"/>
    <w:rsid w:val="006269A1"/>
    <w:rsid w:val="0062702E"/>
    <w:rsid w:val="00627730"/>
    <w:rsid w:val="00627AD3"/>
    <w:rsid w:val="00631159"/>
    <w:rsid w:val="006321BC"/>
    <w:rsid w:val="00632DB1"/>
    <w:rsid w:val="00634817"/>
    <w:rsid w:val="00635621"/>
    <w:rsid w:val="00635703"/>
    <w:rsid w:val="00635B44"/>
    <w:rsid w:val="00636797"/>
    <w:rsid w:val="00637B89"/>
    <w:rsid w:val="006419E8"/>
    <w:rsid w:val="00646810"/>
    <w:rsid w:val="0064697F"/>
    <w:rsid w:val="00647A1A"/>
    <w:rsid w:val="00651C6C"/>
    <w:rsid w:val="0065312E"/>
    <w:rsid w:val="00653A0B"/>
    <w:rsid w:val="006546D9"/>
    <w:rsid w:val="006556AC"/>
    <w:rsid w:val="006559A1"/>
    <w:rsid w:val="00655A67"/>
    <w:rsid w:val="00655DD8"/>
    <w:rsid w:val="0065701D"/>
    <w:rsid w:val="00657AC8"/>
    <w:rsid w:val="00660423"/>
    <w:rsid w:val="0066179E"/>
    <w:rsid w:val="00661ED1"/>
    <w:rsid w:val="006624DD"/>
    <w:rsid w:val="0066321A"/>
    <w:rsid w:val="0066417B"/>
    <w:rsid w:val="00664655"/>
    <w:rsid w:val="0066486C"/>
    <w:rsid w:val="006653D6"/>
    <w:rsid w:val="00665773"/>
    <w:rsid w:val="00666916"/>
    <w:rsid w:val="00666CC2"/>
    <w:rsid w:val="00666F6E"/>
    <w:rsid w:val="006677E1"/>
    <w:rsid w:val="006678A2"/>
    <w:rsid w:val="0067042F"/>
    <w:rsid w:val="006708B3"/>
    <w:rsid w:val="00671297"/>
    <w:rsid w:val="0067158C"/>
    <w:rsid w:val="006726C6"/>
    <w:rsid w:val="00674727"/>
    <w:rsid w:val="00674EA9"/>
    <w:rsid w:val="006773B1"/>
    <w:rsid w:val="006840FE"/>
    <w:rsid w:val="00685AB3"/>
    <w:rsid w:val="00686E7C"/>
    <w:rsid w:val="00687A5F"/>
    <w:rsid w:val="00690702"/>
    <w:rsid w:val="006915BF"/>
    <w:rsid w:val="00691A58"/>
    <w:rsid w:val="00691FF8"/>
    <w:rsid w:val="006922DE"/>
    <w:rsid w:val="006932A1"/>
    <w:rsid w:val="00693332"/>
    <w:rsid w:val="0069478D"/>
    <w:rsid w:val="00695365"/>
    <w:rsid w:val="00697CE9"/>
    <w:rsid w:val="006A1012"/>
    <w:rsid w:val="006A1F85"/>
    <w:rsid w:val="006A2066"/>
    <w:rsid w:val="006A2461"/>
    <w:rsid w:val="006A2AD5"/>
    <w:rsid w:val="006A3266"/>
    <w:rsid w:val="006A3BB6"/>
    <w:rsid w:val="006A445A"/>
    <w:rsid w:val="006A4B3A"/>
    <w:rsid w:val="006A54B2"/>
    <w:rsid w:val="006A5709"/>
    <w:rsid w:val="006A5C1D"/>
    <w:rsid w:val="006A609C"/>
    <w:rsid w:val="006A6834"/>
    <w:rsid w:val="006A6AB3"/>
    <w:rsid w:val="006A73DB"/>
    <w:rsid w:val="006A7D22"/>
    <w:rsid w:val="006B1261"/>
    <w:rsid w:val="006B1B62"/>
    <w:rsid w:val="006B2986"/>
    <w:rsid w:val="006B376F"/>
    <w:rsid w:val="006B41E5"/>
    <w:rsid w:val="006B43A6"/>
    <w:rsid w:val="006B51B0"/>
    <w:rsid w:val="006B524F"/>
    <w:rsid w:val="006B68FA"/>
    <w:rsid w:val="006B73DD"/>
    <w:rsid w:val="006B7BA5"/>
    <w:rsid w:val="006C2E65"/>
    <w:rsid w:val="006C309F"/>
    <w:rsid w:val="006C30D0"/>
    <w:rsid w:val="006C4330"/>
    <w:rsid w:val="006C4DF2"/>
    <w:rsid w:val="006C548B"/>
    <w:rsid w:val="006C5AF8"/>
    <w:rsid w:val="006D04AE"/>
    <w:rsid w:val="006D1958"/>
    <w:rsid w:val="006D2F3C"/>
    <w:rsid w:val="006D2F60"/>
    <w:rsid w:val="006D4F9F"/>
    <w:rsid w:val="006D519E"/>
    <w:rsid w:val="006D63A3"/>
    <w:rsid w:val="006D6457"/>
    <w:rsid w:val="006D7843"/>
    <w:rsid w:val="006E16C9"/>
    <w:rsid w:val="006E1E08"/>
    <w:rsid w:val="006E29FE"/>
    <w:rsid w:val="006E318B"/>
    <w:rsid w:val="006E5708"/>
    <w:rsid w:val="006E5B1A"/>
    <w:rsid w:val="006E61B4"/>
    <w:rsid w:val="006F0AC8"/>
    <w:rsid w:val="006F1336"/>
    <w:rsid w:val="006F1700"/>
    <w:rsid w:val="006F1F8A"/>
    <w:rsid w:val="006F2271"/>
    <w:rsid w:val="006F233B"/>
    <w:rsid w:val="006F3352"/>
    <w:rsid w:val="006F4C16"/>
    <w:rsid w:val="006F6269"/>
    <w:rsid w:val="006F7CE6"/>
    <w:rsid w:val="00700890"/>
    <w:rsid w:val="0070580E"/>
    <w:rsid w:val="007070AF"/>
    <w:rsid w:val="007070F9"/>
    <w:rsid w:val="00710957"/>
    <w:rsid w:val="007111DF"/>
    <w:rsid w:val="00711301"/>
    <w:rsid w:val="00713802"/>
    <w:rsid w:val="007144F1"/>
    <w:rsid w:val="007159E4"/>
    <w:rsid w:val="00716FC5"/>
    <w:rsid w:val="00717A1E"/>
    <w:rsid w:val="00717B54"/>
    <w:rsid w:val="00717D34"/>
    <w:rsid w:val="00720C36"/>
    <w:rsid w:val="00720E71"/>
    <w:rsid w:val="00723508"/>
    <w:rsid w:val="00723729"/>
    <w:rsid w:val="00723DAD"/>
    <w:rsid w:val="0072521F"/>
    <w:rsid w:val="0072592A"/>
    <w:rsid w:val="00730604"/>
    <w:rsid w:val="00730868"/>
    <w:rsid w:val="00730BB9"/>
    <w:rsid w:val="00730F3C"/>
    <w:rsid w:val="00730F47"/>
    <w:rsid w:val="0073162D"/>
    <w:rsid w:val="00732349"/>
    <w:rsid w:val="007325D3"/>
    <w:rsid w:val="00732AD0"/>
    <w:rsid w:val="007331B2"/>
    <w:rsid w:val="00733667"/>
    <w:rsid w:val="007355CF"/>
    <w:rsid w:val="00735DE5"/>
    <w:rsid w:val="007360DF"/>
    <w:rsid w:val="007367F9"/>
    <w:rsid w:val="007379D0"/>
    <w:rsid w:val="0074029D"/>
    <w:rsid w:val="007419AA"/>
    <w:rsid w:val="00741AD2"/>
    <w:rsid w:val="00741C51"/>
    <w:rsid w:val="00742056"/>
    <w:rsid w:val="0074269B"/>
    <w:rsid w:val="007436C7"/>
    <w:rsid w:val="007441E8"/>
    <w:rsid w:val="00745969"/>
    <w:rsid w:val="00745C19"/>
    <w:rsid w:val="00745DAE"/>
    <w:rsid w:val="00746F60"/>
    <w:rsid w:val="007471BC"/>
    <w:rsid w:val="00747394"/>
    <w:rsid w:val="007502A7"/>
    <w:rsid w:val="007508DC"/>
    <w:rsid w:val="00751FF0"/>
    <w:rsid w:val="007527EF"/>
    <w:rsid w:val="00753341"/>
    <w:rsid w:val="00754252"/>
    <w:rsid w:val="007546E4"/>
    <w:rsid w:val="00757DA4"/>
    <w:rsid w:val="007607D5"/>
    <w:rsid w:val="00761FBF"/>
    <w:rsid w:val="007624EE"/>
    <w:rsid w:val="00762EC2"/>
    <w:rsid w:val="0076344F"/>
    <w:rsid w:val="007642DE"/>
    <w:rsid w:val="0076613D"/>
    <w:rsid w:val="0076636D"/>
    <w:rsid w:val="007663C3"/>
    <w:rsid w:val="007675D1"/>
    <w:rsid w:val="00767764"/>
    <w:rsid w:val="00770A3C"/>
    <w:rsid w:val="00770A3F"/>
    <w:rsid w:val="00772333"/>
    <w:rsid w:val="00772873"/>
    <w:rsid w:val="00772E16"/>
    <w:rsid w:val="00773925"/>
    <w:rsid w:val="00773E44"/>
    <w:rsid w:val="00774C99"/>
    <w:rsid w:val="00774FC4"/>
    <w:rsid w:val="00775441"/>
    <w:rsid w:val="007763E2"/>
    <w:rsid w:val="00776FD4"/>
    <w:rsid w:val="0077755F"/>
    <w:rsid w:val="00777682"/>
    <w:rsid w:val="00780673"/>
    <w:rsid w:val="00781A56"/>
    <w:rsid w:val="00781B83"/>
    <w:rsid w:val="00784228"/>
    <w:rsid w:val="00784EC3"/>
    <w:rsid w:val="00787807"/>
    <w:rsid w:val="00790F9A"/>
    <w:rsid w:val="007916CF"/>
    <w:rsid w:val="00792A92"/>
    <w:rsid w:val="0079304D"/>
    <w:rsid w:val="007954EE"/>
    <w:rsid w:val="007969FC"/>
    <w:rsid w:val="007976FE"/>
    <w:rsid w:val="007A05E5"/>
    <w:rsid w:val="007A05EF"/>
    <w:rsid w:val="007A0DB9"/>
    <w:rsid w:val="007A0DD8"/>
    <w:rsid w:val="007A17E0"/>
    <w:rsid w:val="007A2239"/>
    <w:rsid w:val="007A24DF"/>
    <w:rsid w:val="007A2EA2"/>
    <w:rsid w:val="007A3F73"/>
    <w:rsid w:val="007A57C7"/>
    <w:rsid w:val="007A5AD1"/>
    <w:rsid w:val="007A788F"/>
    <w:rsid w:val="007B002F"/>
    <w:rsid w:val="007B05DE"/>
    <w:rsid w:val="007B2481"/>
    <w:rsid w:val="007B2EC4"/>
    <w:rsid w:val="007B3134"/>
    <w:rsid w:val="007B3669"/>
    <w:rsid w:val="007B6CE5"/>
    <w:rsid w:val="007B73CE"/>
    <w:rsid w:val="007C0808"/>
    <w:rsid w:val="007C0918"/>
    <w:rsid w:val="007C3188"/>
    <w:rsid w:val="007C3714"/>
    <w:rsid w:val="007C46AF"/>
    <w:rsid w:val="007C4B00"/>
    <w:rsid w:val="007C4F9E"/>
    <w:rsid w:val="007D13CF"/>
    <w:rsid w:val="007D2217"/>
    <w:rsid w:val="007D4E32"/>
    <w:rsid w:val="007D5091"/>
    <w:rsid w:val="007D5A6C"/>
    <w:rsid w:val="007D6357"/>
    <w:rsid w:val="007D6F64"/>
    <w:rsid w:val="007D7A23"/>
    <w:rsid w:val="007D7B1E"/>
    <w:rsid w:val="007E04C8"/>
    <w:rsid w:val="007E0A24"/>
    <w:rsid w:val="007E1220"/>
    <w:rsid w:val="007E197A"/>
    <w:rsid w:val="007E1A75"/>
    <w:rsid w:val="007E2E07"/>
    <w:rsid w:val="007E3DEA"/>
    <w:rsid w:val="007E4DB3"/>
    <w:rsid w:val="007E569C"/>
    <w:rsid w:val="007E6A4D"/>
    <w:rsid w:val="007E6C06"/>
    <w:rsid w:val="007E6D59"/>
    <w:rsid w:val="007E7019"/>
    <w:rsid w:val="007E7D4F"/>
    <w:rsid w:val="007E7DF3"/>
    <w:rsid w:val="007F02A1"/>
    <w:rsid w:val="007F09B6"/>
    <w:rsid w:val="007F1CF4"/>
    <w:rsid w:val="007F30B7"/>
    <w:rsid w:val="007F44BC"/>
    <w:rsid w:val="007F479E"/>
    <w:rsid w:val="007F6875"/>
    <w:rsid w:val="008009F3"/>
    <w:rsid w:val="0080109A"/>
    <w:rsid w:val="008012CA"/>
    <w:rsid w:val="00803738"/>
    <w:rsid w:val="008037BB"/>
    <w:rsid w:val="008041F3"/>
    <w:rsid w:val="00806314"/>
    <w:rsid w:val="00807D66"/>
    <w:rsid w:val="00807E65"/>
    <w:rsid w:val="008107CB"/>
    <w:rsid w:val="00811766"/>
    <w:rsid w:val="00813388"/>
    <w:rsid w:val="008142FA"/>
    <w:rsid w:val="00814A99"/>
    <w:rsid w:val="00815E68"/>
    <w:rsid w:val="00816715"/>
    <w:rsid w:val="00820624"/>
    <w:rsid w:val="008219CA"/>
    <w:rsid w:val="00821F50"/>
    <w:rsid w:val="0082271A"/>
    <w:rsid w:val="008232EA"/>
    <w:rsid w:val="008240D8"/>
    <w:rsid w:val="00824437"/>
    <w:rsid w:val="00824B34"/>
    <w:rsid w:val="0082684D"/>
    <w:rsid w:val="00830C14"/>
    <w:rsid w:val="008310C1"/>
    <w:rsid w:val="008314A5"/>
    <w:rsid w:val="00831AEF"/>
    <w:rsid w:val="00831E54"/>
    <w:rsid w:val="00832D1D"/>
    <w:rsid w:val="00833158"/>
    <w:rsid w:val="008333AC"/>
    <w:rsid w:val="008335C5"/>
    <w:rsid w:val="00833717"/>
    <w:rsid w:val="00833B6D"/>
    <w:rsid w:val="00835075"/>
    <w:rsid w:val="00835F5F"/>
    <w:rsid w:val="008365EB"/>
    <w:rsid w:val="00837457"/>
    <w:rsid w:val="00837EC7"/>
    <w:rsid w:val="00840048"/>
    <w:rsid w:val="00841CA3"/>
    <w:rsid w:val="008420FA"/>
    <w:rsid w:val="0084395A"/>
    <w:rsid w:val="008457D1"/>
    <w:rsid w:val="00846C9B"/>
    <w:rsid w:val="008478DA"/>
    <w:rsid w:val="00847AD5"/>
    <w:rsid w:val="00850723"/>
    <w:rsid w:val="0085074C"/>
    <w:rsid w:val="00850B93"/>
    <w:rsid w:val="00851656"/>
    <w:rsid w:val="00851E69"/>
    <w:rsid w:val="00853165"/>
    <w:rsid w:val="0085356A"/>
    <w:rsid w:val="008541C0"/>
    <w:rsid w:val="008557ED"/>
    <w:rsid w:val="00861B56"/>
    <w:rsid w:val="0086218D"/>
    <w:rsid w:val="008642F0"/>
    <w:rsid w:val="0086448D"/>
    <w:rsid w:val="0086498D"/>
    <w:rsid w:val="00865F83"/>
    <w:rsid w:val="00866320"/>
    <w:rsid w:val="0086690C"/>
    <w:rsid w:val="00866D57"/>
    <w:rsid w:val="0086744F"/>
    <w:rsid w:val="0087046A"/>
    <w:rsid w:val="00870660"/>
    <w:rsid w:val="0087098E"/>
    <w:rsid w:val="00871594"/>
    <w:rsid w:val="008722E3"/>
    <w:rsid w:val="00872C0B"/>
    <w:rsid w:val="00872CFA"/>
    <w:rsid w:val="008733F1"/>
    <w:rsid w:val="00874661"/>
    <w:rsid w:val="00874A1C"/>
    <w:rsid w:val="00875649"/>
    <w:rsid w:val="008757E8"/>
    <w:rsid w:val="0087645E"/>
    <w:rsid w:val="008765B5"/>
    <w:rsid w:val="00877B4C"/>
    <w:rsid w:val="0088050A"/>
    <w:rsid w:val="00881E5B"/>
    <w:rsid w:val="00882A2F"/>
    <w:rsid w:val="008835A0"/>
    <w:rsid w:val="00883ACC"/>
    <w:rsid w:val="008854C4"/>
    <w:rsid w:val="0088615D"/>
    <w:rsid w:val="0088698F"/>
    <w:rsid w:val="00886EBF"/>
    <w:rsid w:val="008872D4"/>
    <w:rsid w:val="00891A9D"/>
    <w:rsid w:val="00892658"/>
    <w:rsid w:val="00893A00"/>
    <w:rsid w:val="00893A1E"/>
    <w:rsid w:val="00893BD2"/>
    <w:rsid w:val="0089549B"/>
    <w:rsid w:val="00896186"/>
    <w:rsid w:val="008963F3"/>
    <w:rsid w:val="008965DA"/>
    <w:rsid w:val="008969EA"/>
    <w:rsid w:val="008A0D14"/>
    <w:rsid w:val="008A12BE"/>
    <w:rsid w:val="008A4BC8"/>
    <w:rsid w:val="008A53C3"/>
    <w:rsid w:val="008A6458"/>
    <w:rsid w:val="008A67DA"/>
    <w:rsid w:val="008A6F99"/>
    <w:rsid w:val="008A7516"/>
    <w:rsid w:val="008A7584"/>
    <w:rsid w:val="008A7DAB"/>
    <w:rsid w:val="008A7F5D"/>
    <w:rsid w:val="008B0268"/>
    <w:rsid w:val="008B1092"/>
    <w:rsid w:val="008B26D5"/>
    <w:rsid w:val="008B277A"/>
    <w:rsid w:val="008B2AED"/>
    <w:rsid w:val="008B2CBC"/>
    <w:rsid w:val="008B2F8E"/>
    <w:rsid w:val="008B3196"/>
    <w:rsid w:val="008B4406"/>
    <w:rsid w:val="008B4CDB"/>
    <w:rsid w:val="008B5EA0"/>
    <w:rsid w:val="008C1C25"/>
    <w:rsid w:val="008C3F4F"/>
    <w:rsid w:val="008C5DF5"/>
    <w:rsid w:val="008C667B"/>
    <w:rsid w:val="008C750A"/>
    <w:rsid w:val="008C76AD"/>
    <w:rsid w:val="008D03F0"/>
    <w:rsid w:val="008D0D7A"/>
    <w:rsid w:val="008D12B3"/>
    <w:rsid w:val="008D1323"/>
    <w:rsid w:val="008D174F"/>
    <w:rsid w:val="008D3E53"/>
    <w:rsid w:val="008D5F06"/>
    <w:rsid w:val="008D60B7"/>
    <w:rsid w:val="008D7677"/>
    <w:rsid w:val="008E03B2"/>
    <w:rsid w:val="008E2B04"/>
    <w:rsid w:val="008E3DD5"/>
    <w:rsid w:val="008E5C6B"/>
    <w:rsid w:val="008F054C"/>
    <w:rsid w:val="008F0E34"/>
    <w:rsid w:val="008F15FB"/>
    <w:rsid w:val="008F19D2"/>
    <w:rsid w:val="008F282B"/>
    <w:rsid w:val="008F2CB1"/>
    <w:rsid w:val="008F3138"/>
    <w:rsid w:val="008F47A6"/>
    <w:rsid w:val="008F51B8"/>
    <w:rsid w:val="008F5E98"/>
    <w:rsid w:val="008F6621"/>
    <w:rsid w:val="008F702A"/>
    <w:rsid w:val="008F7145"/>
    <w:rsid w:val="00900B04"/>
    <w:rsid w:val="00901DEA"/>
    <w:rsid w:val="009021FD"/>
    <w:rsid w:val="009029F3"/>
    <w:rsid w:val="00903F1F"/>
    <w:rsid w:val="00904961"/>
    <w:rsid w:val="00907EBE"/>
    <w:rsid w:val="009104A9"/>
    <w:rsid w:val="0091163F"/>
    <w:rsid w:val="0091182A"/>
    <w:rsid w:val="0091284D"/>
    <w:rsid w:val="00912D55"/>
    <w:rsid w:val="00912FD8"/>
    <w:rsid w:val="009148EF"/>
    <w:rsid w:val="00915649"/>
    <w:rsid w:val="0091579B"/>
    <w:rsid w:val="00915B94"/>
    <w:rsid w:val="00915DAE"/>
    <w:rsid w:val="00915F55"/>
    <w:rsid w:val="009165F9"/>
    <w:rsid w:val="00916BDE"/>
    <w:rsid w:val="00920337"/>
    <w:rsid w:val="009222E1"/>
    <w:rsid w:val="00922C22"/>
    <w:rsid w:val="00924E41"/>
    <w:rsid w:val="00926D39"/>
    <w:rsid w:val="00927217"/>
    <w:rsid w:val="00933F09"/>
    <w:rsid w:val="00934E8E"/>
    <w:rsid w:val="00935D25"/>
    <w:rsid w:val="00935FF5"/>
    <w:rsid w:val="00936996"/>
    <w:rsid w:val="00937A97"/>
    <w:rsid w:val="00940856"/>
    <w:rsid w:val="00943333"/>
    <w:rsid w:val="009437A5"/>
    <w:rsid w:val="00944DE3"/>
    <w:rsid w:val="009452D1"/>
    <w:rsid w:val="00946BDE"/>
    <w:rsid w:val="00950F2A"/>
    <w:rsid w:val="00951A43"/>
    <w:rsid w:val="00953E7E"/>
    <w:rsid w:val="00955EA3"/>
    <w:rsid w:val="009562C2"/>
    <w:rsid w:val="00957B35"/>
    <w:rsid w:val="009603B0"/>
    <w:rsid w:val="009605F7"/>
    <w:rsid w:val="009608AF"/>
    <w:rsid w:val="00960991"/>
    <w:rsid w:val="009619FD"/>
    <w:rsid w:val="00965311"/>
    <w:rsid w:val="00966E38"/>
    <w:rsid w:val="0097078F"/>
    <w:rsid w:val="00971948"/>
    <w:rsid w:val="009720CF"/>
    <w:rsid w:val="0097216C"/>
    <w:rsid w:val="0097247A"/>
    <w:rsid w:val="00974517"/>
    <w:rsid w:val="00974BAE"/>
    <w:rsid w:val="00974FE0"/>
    <w:rsid w:val="009760CA"/>
    <w:rsid w:val="00980388"/>
    <w:rsid w:val="009817A0"/>
    <w:rsid w:val="00982947"/>
    <w:rsid w:val="009843C0"/>
    <w:rsid w:val="00987DDE"/>
    <w:rsid w:val="00990EFF"/>
    <w:rsid w:val="00990F31"/>
    <w:rsid w:val="00991047"/>
    <w:rsid w:val="009913BF"/>
    <w:rsid w:val="009916A2"/>
    <w:rsid w:val="00992500"/>
    <w:rsid w:val="00992C16"/>
    <w:rsid w:val="009930DF"/>
    <w:rsid w:val="00993508"/>
    <w:rsid w:val="009948AD"/>
    <w:rsid w:val="00995192"/>
    <w:rsid w:val="009956E5"/>
    <w:rsid w:val="00995BC6"/>
    <w:rsid w:val="00995F21"/>
    <w:rsid w:val="00996317"/>
    <w:rsid w:val="00997ABF"/>
    <w:rsid w:val="009A0BE0"/>
    <w:rsid w:val="009A2258"/>
    <w:rsid w:val="009A25ED"/>
    <w:rsid w:val="009A2A0A"/>
    <w:rsid w:val="009A4405"/>
    <w:rsid w:val="009A69C8"/>
    <w:rsid w:val="009B05E9"/>
    <w:rsid w:val="009B0643"/>
    <w:rsid w:val="009B35FC"/>
    <w:rsid w:val="009B3843"/>
    <w:rsid w:val="009B4086"/>
    <w:rsid w:val="009B43EF"/>
    <w:rsid w:val="009B4A42"/>
    <w:rsid w:val="009B4E71"/>
    <w:rsid w:val="009B4F86"/>
    <w:rsid w:val="009B7620"/>
    <w:rsid w:val="009B7D6B"/>
    <w:rsid w:val="009C1261"/>
    <w:rsid w:val="009C1B5B"/>
    <w:rsid w:val="009C1BA3"/>
    <w:rsid w:val="009C24F9"/>
    <w:rsid w:val="009D044C"/>
    <w:rsid w:val="009D0A85"/>
    <w:rsid w:val="009D0C04"/>
    <w:rsid w:val="009D165F"/>
    <w:rsid w:val="009D65D9"/>
    <w:rsid w:val="009D71AA"/>
    <w:rsid w:val="009D7492"/>
    <w:rsid w:val="009D7BE1"/>
    <w:rsid w:val="009D7F39"/>
    <w:rsid w:val="009E09D3"/>
    <w:rsid w:val="009E1495"/>
    <w:rsid w:val="009E5260"/>
    <w:rsid w:val="009E5628"/>
    <w:rsid w:val="009E6E14"/>
    <w:rsid w:val="009F08D2"/>
    <w:rsid w:val="009F0CB6"/>
    <w:rsid w:val="009F2273"/>
    <w:rsid w:val="009F49A3"/>
    <w:rsid w:val="009F54ED"/>
    <w:rsid w:val="009F58B7"/>
    <w:rsid w:val="009F6E5E"/>
    <w:rsid w:val="009F7796"/>
    <w:rsid w:val="00A00F41"/>
    <w:rsid w:val="00A016A7"/>
    <w:rsid w:val="00A02CCA"/>
    <w:rsid w:val="00A03376"/>
    <w:rsid w:val="00A0337A"/>
    <w:rsid w:val="00A045F2"/>
    <w:rsid w:val="00A05B32"/>
    <w:rsid w:val="00A06024"/>
    <w:rsid w:val="00A07638"/>
    <w:rsid w:val="00A07808"/>
    <w:rsid w:val="00A10260"/>
    <w:rsid w:val="00A11A48"/>
    <w:rsid w:val="00A11D73"/>
    <w:rsid w:val="00A120FD"/>
    <w:rsid w:val="00A12944"/>
    <w:rsid w:val="00A1494C"/>
    <w:rsid w:val="00A14A77"/>
    <w:rsid w:val="00A16190"/>
    <w:rsid w:val="00A171D8"/>
    <w:rsid w:val="00A20425"/>
    <w:rsid w:val="00A2239C"/>
    <w:rsid w:val="00A24B9A"/>
    <w:rsid w:val="00A258F7"/>
    <w:rsid w:val="00A274BF"/>
    <w:rsid w:val="00A27DC7"/>
    <w:rsid w:val="00A311E2"/>
    <w:rsid w:val="00A3121C"/>
    <w:rsid w:val="00A33553"/>
    <w:rsid w:val="00A3409F"/>
    <w:rsid w:val="00A340EC"/>
    <w:rsid w:val="00A35A60"/>
    <w:rsid w:val="00A40BDC"/>
    <w:rsid w:val="00A41DB0"/>
    <w:rsid w:val="00A420B2"/>
    <w:rsid w:val="00A425DD"/>
    <w:rsid w:val="00A42DB7"/>
    <w:rsid w:val="00A45188"/>
    <w:rsid w:val="00A45341"/>
    <w:rsid w:val="00A47F25"/>
    <w:rsid w:val="00A50AD3"/>
    <w:rsid w:val="00A51439"/>
    <w:rsid w:val="00A51FFB"/>
    <w:rsid w:val="00A52791"/>
    <w:rsid w:val="00A53029"/>
    <w:rsid w:val="00A55973"/>
    <w:rsid w:val="00A559B1"/>
    <w:rsid w:val="00A55B06"/>
    <w:rsid w:val="00A56463"/>
    <w:rsid w:val="00A567F2"/>
    <w:rsid w:val="00A57172"/>
    <w:rsid w:val="00A5761A"/>
    <w:rsid w:val="00A60A84"/>
    <w:rsid w:val="00A61CE7"/>
    <w:rsid w:val="00A62289"/>
    <w:rsid w:val="00A62ACE"/>
    <w:rsid w:val="00A6434E"/>
    <w:rsid w:val="00A6511A"/>
    <w:rsid w:val="00A65C7E"/>
    <w:rsid w:val="00A702FC"/>
    <w:rsid w:val="00A70F21"/>
    <w:rsid w:val="00A711D4"/>
    <w:rsid w:val="00A7249D"/>
    <w:rsid w:val="00A724F4"/>
    <w:rsid w:val="00A729AB"/>
    <w:rsid w:val="00A734DE"/>
    <w:rsid w:val="00A736EB"/>
    <w:rsid w:val="00A74474"/>
    <w:rsid w:val="00A749F4"/>
    <w:rsid w:val="00A76140"/>
    <w:rsid w:val="00A81B94"/>
    <w:rsid w:val="00A83011"/>
    <w:rsid w:val="00A852E2"/>
    <w:rsid w:val="00A855D0"/>
    <w:rsid w:val="00A859B9"/>
    <w:rsid w:val="00A86B9D"/>
    <w:rsid w:val="00A90053"/>
    <w:rsid w:val="00A90525"/>
    <w:rsid w:val="00A90CB9"/>
    <w:rsid w:val="00A91F96"/>
    <w:rsid w:val="00A94572"/>
    <w:rsid w:val="00A948E1"/>
    <w:rsid w:val="00A9533F"/>
    <w:rsid w:val="00A96103"/>
    <w:rsid w:val="00A97420"/>
    <w:rsid w:val="00AA0455"/>
    <w:rsid w:val="00AA1EA1"/>
    <w:rsid w:val="00AA1FBA"/>
    <w:rsid w:val="00AA2C34"/>
    <w:rsid w:val="00AA673D"/>
    <w:rsid w:val="00AA6E3F"/>
    <w:rsid w:val="00AA7516"/>
    <w:rsid w:val="00AB0CA4"/>
    <w:rsid w:val="00AB0E52"/>
    <w:rsid w:val="00AB1499"/>
    <w:rsid w:val="00AB2442"/>
    <w:rsid w:val="00AB2D28"/>
    <w:rsid w:val="00AB4106"/>
    <w:rsid w:val="00AB444E"/>
    <w:rsid w:val="00AB4652"/>
    <w:rsid w:val="00AB4A66"/>
    <w:rsid w:val="00AB4E38"/>
    <w:rsid w:val="00AB55AC"/>
    <w:rsid w:val="00AB5F87"/>
    <w:rsid w:val="00AC09B3"/>
    <w:rsid w:val="00AC0EDD"/>
    <w:rsid w:val="00AC1A89"/>
    <w:rsid w:val="00AC28E2"/>
    <w:rsid w:val="00AC3673"/>
    <w:rsid w:val="00AC4CF1"/>
    <w:rsid w:val="00AC5B57"/>
    <w:rsid w:val="00AC7A4A"/>
    <w:rsid w:val="00AC7A7E"/>
    <w:rsid w:val="00AD0B0E"/>
    <w:rsid w:val="00AD0C68"/>
    <w:rsid w:val="00AD14AA"/>
    <w:rsid w:val="00AD2282"/>
    <w:rsid w:val="00AD244A"/>
    <w:rsid w:val="00AD2895"/>
    <w:rsid w:val="00AD50FD"/>
    <w:rsid w:val="00AD68DD"/>
    <w:rsid w:val="00AD6EF7"/>
    <w:rsid w:val="00AE1A73"/>
    <w:rsid w:val="00AE30B6"/>
    <w:rsid w:val="00AE31B9"/>
    <w:rsid w:val="00AE38E6"/>
    <w:rsid w:val="00AE4F7A"/>
    <w:rsid w:val="00AE5FED"/>
    <w:rsid w:val="00AF008E"/>
    <w:rsid w:val="00AF06D2"/>
    <w:rsid w:val="00AF3D6F"/>
    <w:rsid w:val="00AF4158"/>
    <w:rsid w:val="00AF4721"/>
    <w:rsid w:val="00AF4F40"/>
    <w:rsid w:val="00AF5E9D"/>
    <w:rsid w:val="00AF63CC"/>
    <w:rsid w:val="00B00D32"/>
    <w:rsid w:val="00B05F8E"/>
    <w:rsid w:val="00B06431"/>
    <w:rsid w:val="00B064FA"/>
    <w:rsid w:val="00B0677F"/>
    <w:rsid w:val="00B102E9"/>
    <w:rsid w:val="00B106C4"/>
    <w:rsid w:val="00B10CBF"/>
    <w:rsid w:val="00B10DD2"/>
    <w:rsid w:val="00B11954"/>
    <w:rsid w:val="00B11EE0"/>
    <w:rsid w:val="00B12B73"/>
    <w:rsid w:val="00B12C28"/>
    <w:rsid w:val="00B13A69"/>
    <w:rsid w:val="00B142AB"/>
    <w:rsid w:val="00B1579C"/>
    <w:rsid w:val="00B16942"/>
    <w:rsid w:val="00B178EB"/>
    <w:rsid w:val="00B21947"/>
    <w:rsid w:val="00B21C12"/>
    <w:rsid w:val="00B22019"/>
    <w:rsid w:val="00B22672"/>
    <w:rsid w:val="00B22AD3"/>
    <w:rsid w:val="00B24B71"/>
    <w:rsid w:val="00B2507B"/>
    <w:rsid w:val="00B26751"/>
    <w:rsid w:val="00B27C80"/>
    <w:rsid w:val="00B30911"/>
    <w:rsid w:val="00B30F7D"/>
    <w:rsid w:val="00B313EF"/>
    <w:rsid w:val="00B31D8D"/>
    <w:rsid w:val="00B3262C"/>
    <w:rsid w:val="00B33531"/>
    <w:rsid w:val="00B33943"/>
    <w:rsid w:val="00B33B9F"/>
    <w:rsid w:val="00B34234"/>
    <w:rsid w:val="00B34CD3"/>
    <w:rsid w:val="00B34FAA"/>
    <w:rsid w:val="00B35DD0"/>
    <w:rsid w:val="00B37A8A"/>
    <w:rsid w:val="00B37C3F"/>
    <w:rsid w:val="00B40733"/>
    <w:rsid w:val="00B409BD"/>
    <w:rsid w:val="00B40E4E"/>
    <w:rsid w:val="00B43F75"/>
    <w:rsid w:val="00B46D47"/>
    <w:rsid w:val="00B50111"/>
    <w:rsid w:val="00B513B3"/>
    <w:rsid w:val="00B52A1A"/>
    <w:rsid w:val="00B52FE8"/>
    <w:rsid w:val="00B5487E"/>
    <w:rsid w:val="00B560AD"/>
    <w:rsid w:val="00B56DC9"/>
    <w:rsid w:val="00B5704D"/>
    <w:rsid w:val="00B57107"/>
    <w:rsid w:val="00B57CEC"/>
    <w:rsid w:val="00B62BFF"/>
    <w:rsid w:val="00B6471D"/>
    <w:rsid w:val="00B65DA7"/>
    <w:rsid w:val="00B66170"/>
    <w:rsid w:val="00B6743F"/>
    <w:rsid w:val="00B67C3C"/>
    <w:rsid w:val="00B70A1E"/>
    <w:rsid w:val="00B70D19"/>
    <w:rsid w:val="00B70D44"/>
    <w:rsid w:val="00B7207F"/>
    <w:rsid w:val="00B72B7B"/>
    <w:rsid w:val="00B72CB9"/>
    <w:rsid w:val="00B7363C"/>
    <w:rsid w:val="00B73825"/>
    <w:rsid w:val="00B74319"/>
    <w:rsid w:val="00B76B9D"/>
    <w:rsid w:val="00B76D5B"/>
    <w:rsid w:val="00B7745D"/>
    <w:rsid w:val="00B8224B"/>
    <w:rsid w:val="00B8247B"/>
    <w:rsid w:val="00B83145"/>
    <w:rsid w:val="00B837AB"/>
    <w:rsid w:val="00B873B6"/>
    <w:rsid w:val="00B906F5"/>
    <w:rsid w:val="00B92BA0"/>
    <w:rsid w:val="00B92C4A"/>
    <w:rsid w:val="00B92EC1"/>
    <w:rsid w:val="00B93483"/>
    <w:rsid w:val="00B93CA7"/>
    <w:rsid w:val="00B9468D"/>
    <w:rsid w:val="00B949B3"/>
    <w:rsid w:val="00B95144"/>
    <w:rsid w:val="00B9595D"/>
    <w:rsid w:val="00B960B9"/>
    <w:rsid w:val="00B966C9"/>
    <w:rsid w:val="00B967DA"/>
    <w:rsid w:val="00BA1049"/>
    <w:rsid w:val="00BA1C33"/>
    <w:rsid w:val="00BA3A45"/>
    <w:rsid w:val="00BA3E28"/>
    <w:rsid w:val="00BA48C4"/>
    <w:rsid w:val="00BA4F88"/>
    <w:rsid w:val="00BA64A2"/>
    <w:rsid w:val="00BA6630"/>
    <w:rsid w:val="00BA74CA"/>
    <w:rsid w:val="00BB00C4"/>
    <w:rsid w:val="00BB201D"/>
    <w:rsid w:val="00BB2170"/>
    <w:rsid w:val="00BB42BC"/>
    <w:rsid w:val="00BB63EF"/>
    <w:rsid w:val="00BB75A8"/>
    <w:rsid w:val="00BC0A87"/>
    <w:rsid w:val="00BC0BC1"/>
    <w:rsid w:val="00BC10D3"/>
    <w:rsid w:val="00BC2E52"/>
    <w:rsid w:val="00BC2E94"/>
    <w:rsid w:val="00BC3358"/>
    <w:rsid w:val="00BC5928"/>
    <w:rsid w:val="00BC6BDB"/>
    <w:rsid w:val="00BC6F02"/>
    <w:rsid w:val="00BC74D2"/>
    <w:rsid w:val="00BC7951"/>
    <w:rsid w:val="00BC7F87"/>
    <w:rsid w:val="00BD0497"/>
    <w:rsid w:val="00BD069D"/>
    <w:rsid w:val="00BD0A9D"/>
    <w:rsid w:val="00BD43AA"/>
    <w:rsid w:val="00BD48E1"/>
    <w:rsid w:val="00BD4F43"/>
    <w:rsid w:val="00BD5219"/>
    <w:rsid w:val="00BD5274"/>
    <w:rsid w:val="00BD5B32"/>
    <w:rsid w:val="00BD5FC8"/>
    <w:rsid w:val="00BD66A2"/>
    <w:rsid w:val="00BD6E3D"/>
    <w:rsid w:val="00BD7118"/>
    <w:rsid w:val="00BD7757"/>
    <w:rsid w:val="00BD798C"/>
    <w:rsid w:val="00BE053E"/>
    <w:rsid w:val="00BE0553"/>
    <w:rsid w:val="00BE265C"/>
    <w:rsid w:val="00BE3851"/>
    <w:rsid w:val="00BE46F4"/>
    <w:rsid w:val="00BE50FC"/>
    <w:rsid w:val="00BF1153"/>
    <w:rsid w:val="00BF1FB7"/>
    <w:rsid w:val="00BF305D"/>
    <w:rsid w:val="00BF3AF9"/>
    <w:rsid w:val="00BF46C5"/>
    <w:rsid w:val="00BF69B7"/>
    <w:rsid w:val="00C0011B"/>
    <w:rsid w:val="00C01A5E"/>
    <w:rsid w:val="00C03180"/>
    <w:rsid w:val="00C03A89"/>
    <w:rsid w:val="00C03B86"/>
    <w:rsid w:val="00C048AE"/>
    <w:rsid w:val="00C058A7"/>
    <w:rsid w:val="00C05E9D"/>
    <w:rsid w:val="00C06372"/>
    <w:rsid w:val="00C0702B"/>
    <w:rsid w:val="00C0712D"/>
    <w:rsid w:val="00C077D0"/>
    <w:rsid w:val="00C10FB7"/>
    <w:rsid w:val="00C13260"/>
    <w:rsid w:val="00C138B0"/>
    <w:rsid w:val="00C140A5"/>
    <w:rsid w:val="00C159FF"/>
    <w:rsid w:val="00C176E8"/>
    <w:rsid w:val="00C1799A"/>
    <w:rsid w:val="00C20F92"/>
    <w:rsid w:val="00C210D7"/>
    <w:rsid w:val="00C214EC"/>
    <w:rsid w:val="00C21B8E"/>
    <w:rsid w:val="00C21C9B"/>
    <w:rsid w:val="00C2213A"/>
    <w:rsid w:val="00C225BE"/>
    <w:rsid w:val="00C248DA"/>
    <w:rsid w:val="00C27067"/>
    <w:rsid w:val="00C270C2"/>
    <w:rsid w:val="00C27979"/>
    <w:rsid w:val="00C30285"/>
    <w:rsid w:val="00C30AFB"/>
    <w:rsid w:val="00C30C84"/>
    <w:rsid w:val="00C31813"/>
    <w:rsid w:val="00C31C1A"/>
    <w:rsid w:val="00C31E70"/>
    <w:rsid w:val="00C322A4"/>
    <w:rsid w:val="00C33FE2"/>
    <w:rsid w:val="00C35A2F"/>
    <w:rsid w:val="00C36035"/>
    <w:rsid w:val="00C37C27"/>
    <w:rsid w:val="00C40D06"/>
    <w:rsid w:val="00C42125"/>
    <w:rsid w:val="00C427D3"/>
    <w:rsid w:val="00C42BBA"/>
    <w:rsid w:val="00C42F33"/>
    <w:rsid w:val="00C4372B"/>
    <w:rsid w:val="00C45495"/>
    <w:rsid w:val="00C45786"/>
    <w:rsid w:val="00C45D09"/>
    <w:rsid w:val="00C4697C"/>
    <w:rsid w:val="00C473F6"/>
    <w:rsid w:val="00C4797C"/>
    <w:rsid w:val="00C47FED"/>
    <w:rsid w:val="00C5057A"/>
    <w:rsid w:val="00C511CA"/>
    <w:rsid w:val="00C52785"/>
    <w:rsid w:val="00C55287"/>
    <w:rsid w:val="00C55CA8"/>
    <w:rsid w:val="00C56891"/>
    <w:rsid w:val="00C56C1B"/>
    <w:rsid w:val="00C56CAC"/>
    <w:rsid w:val="00C575C2"/>
    <w:rsid w:val="00C6015E"/>
    <w:rsid w:val="00C6021B"/>
    <w:rsid w:val="00C6042A"/>
    <w:rsid w:val="00C60948"/>
    <w:rsid w:val="00C60A50"/>
    <w:rsid w:val="00C61638"/>
    <w:rsid w:val="00C637DF"/>
    <w:rsid w:val="00C64104"/>
    <w:rsid w:val="00C651AE"/>
    <w:rsid w:val="00C656DE"/>
    <w:rsid w:val="00C66164"/>
    <w:rsid w:val="00C66766"/>
    <w:rsid w:val="00C66A50"/>
    <w:rsid w:val="00C66C4D"/>
    <w:rsid w:val="00C66CDC"/>
    <w:rsid w:val="00C676E7"/>
    <w:rsid w:val="00C67E61"/>
    <w:rsid w:val="00C7132E"/>
    <w:rsid w:val="00C729CA"/>
    <w:rsid w:val="00C733ED"/>
    <w:rsid w:val="00C755AF"/>
    <w:rsid w:val="00C756A3"/>
    <w:rsid w:val="00C764B4"/>
    <w:rsid w:val="00C7736F"/>
    <w:rsid w:val="00C80E75"/>
    <w:rsid w:val="00C81014"/>
    <w:rsid w:val="00C81B34"/>
    <w:rsid w:val="00C82FA2"/>
    <w:rsid w:val="00C856DE"/>
    <w:rsid w:val="00C905B1"/>
    <w:rsid w:val="00C92110"/>
    <w:rsid w:val="00C92311"/>
    <w:rsid w:val="00C92C3F"/>
    <w:rsid w:val="00C93100"/>
    <w:rsid w:val="00C934CA"/>
    <w:rsid w:val="00C93CDF"/>
    <w:rsid w:val="00C93CF0"/>
    <w:rsid w:val="00C957B2"/>
    <w:rsid w:val="00C95852"/>
    <w:rsid w:val="00C974C5"/>
    <w:rsid w:val="00CA2C22"/>
    <w:rsid w:val="00CA40BA"/>
    <w:rsid w:val="00CA5057"/>
    <w:rsid w:val="00CA5EF3"/>
    <w:rsid w:val="00CA62C8"/>
    <w:rsid w:val="00CA7487"/>
    <w:rsid w:val="00CB2E6C"/>
    <w:rsid w:val="00CB3E7F"/>
    <w:rsid w:val="00CB3F44"/>
    <w:rsid w:val="00CB4D85"/>
    <w:rsid w:val="00CB5A0D"/>
    <w:rsid w:val="00CB61F6"/>
    <w:rsid w:val="00CB65FE"/>
    <w:rsid w:val="00CC0A8E"/>
    <w:rsid w:val="00CC2668"/>
    <w:rsid w:val="00CC2683"/>
    <w:rsid w:val="00CC296D"/>
    <w:rsid w:val="00CC496D"/>
    <w:rsid w:val="00CC73BE"/>
    <w:rsid w:val="00CC7B52"/>
    <w:rsid w:val="00CD182C"/>
    <w:rsid w:val="00CD1894"/>
    <w:rsid w:val="00CD2272"/>
    <w:rsid w:val="00CD4884"/>
    <w:rsid w:val="00CD4E40"/>
    <w:rsid w:val="00CE02FA"/>
    <w:rsid w:val="00CE0858"/>
    <w:rsid w:val="00CE0BFE"/>
    <w:rsid w:val="00CE0D96"/>
    <w:rsid w:val="00CE2776"/>
    <w:rsid w:val="00CE2C1E"/>
    <w:rsid w:val="00CE3748"/>
    <w:rsid w:val="00CE44E9"/>
    <w:rsid w:val="00CE4798"/>
    <w:rsid w:val="00CE5D4C"/>
    <w:rsid w:val="00CE7456"/>
    <w:rsid w:val="00CF1375"/>
    <w:rsid w:val="00CF1D7B"/>
    <w:rsid w:val="00CF297B"/>
    <w:rsid w:val="00CF42A0"/>
    <w:rsid w:val="00CF4344"/>
    <w:rsid w:val="00CF46B7"/>
    <w:rsid w:val="00CF5509"/>
    <w:rsid w:val="00CF5DE4"/>
    <w:rsid w:val="00CF6985"/>
    <w:rsid w:val="00CF7C96"/>
    <w:rsid w:val="00D010D5"/>
    <w:rsid w:val="00D012A9"/>
    <w:rsid w:val="00D02E85"/>
    <w:rsid w:val="00D03B4A"/>
    <w:rsid w:val="00D03EF1"/>
    <w:rsid w:val="00D04451"/>
    <w:rsid w:val="00D051E3"/>
    <w:rsid w:val="00D054AF"/>
    <w:rsid w:val="00D05876"/>
    <w:rsid w:val="00D10376"/>
    <w:rsid w:val="00D104AE"/>
    <w:rsid w:val="00D11C57"/>
    <w:rsid w:val="00D11D1C"/>
    <w:rsid w:val="00D1237B"/>
    <w:rsid w:val="00D125F6"/>
    <w:rsid w:val="00D13038"/>
    <w:rsid w:val="00D16141"/>
    <w:rsid w:val="00D161D7"/>
    <w:rsid w:val="00D16D17"/>
    <w:rsid w:val="00D1717B"/>
    <w:rsid w:val="00D21055"/>
    <w:rsid w:val="00D2201A"/>
    <w:rsid w:val="00D222EA"/>
    <w:rsid w:val="00D23CBB"/>
    <w:rsid w:val="00D2401D"/>
    <w:rsid w:val="00D26D63"/>
    <w:rsid w:val="00D27869"/>
    <w:rsid w:val="00D27BAB"/>
    <w:rsid w:val="00D27CB1"/>
    <w:rsid w:val="00D30CB3"/>
    <w:rsid w:val="00D3107E"/>
    <w:rsid w:val="00D3196E"/>
    <w:rsid w:val="00D31A30"/>
    <w:rsid w:val="00D31BFF"/>
    <w:rsid w:val="00D31C95"/>
    <w:rsid w:val="00D34540"/>
    <w:rsid w:val="00D34BC3"/>
    <w:rsid w:val="00D34E14"/>
    <w:rsid w:val="00D357FA"/>
    <w:rsid w:val="00D378EF"/>
    <w:rsid w:val="00D37F5C"/>
    <w:rsid w:val="00D40648"/>
    <w:rsid w:val="00D406AD"/>
    <w:rsid w:val="00D415B0"/>
    <w:rsid w:val="00D4166A"/>
    <w:rsid w:val="00D4296F"/>
    <w:rsid w:val="00D4610F"/>
    <w:rsid w:val="00D4626A"/>
    <w:rsid w:val="00D46742"/>
    <w:rsid w:val="00D473EA"/>
    <w:rsid w:val="00D51836"/>
    <w:rsid w:val="00D527A5"/>
    <w:rsid w:val="00D532EE"/>
    <w:rsid w:val="00D53882"/>
    <w:rsid w:val="00D54372"/>
    <w:rsid w:val="00D5455D"/>
    <w:rsid w:val="00D5518E"/>
    <w:rsid w:val="00D5523B"/>
    <w:rsid w:val="00D572BA"/>
    <w:rsid w:val="00D60E25"/>
    <w:rsid w:val="00D6304F"/>
    <w:rsid w:val="00D63310"/>
    <w:rsid w:val="00D633E0"/>
    <w:rsid w:val="00D640B3"/>
    <w:rsid w:val="00D65D05"/>
    <w:rsid w:val="00D6675B"/>
    <w:rsid w:val="00D67070"/>
    <w:rsid w:val="00D67D06"/>
    <w:rsid w:val="00D713B7"/>
    <w:rsid w:val="00D7148D"/>
    <w:rsid w:val="00D71D76"/>
    <w:rsid w:val="00D72584"/>
    <w:rsid w:val="00D72CB4"/>
    <w:rsid w:val="00D72E62"/>
    <w:rsid w:val="00D73113"/>
    <w:rsid w:val="00D7577E"/>
    <w:rsid w:val="00D7595E"/>
    <w:rsid w:val="00D814C5"/>
    <w:rsid w:val="00D82490"/>
    <w:rsid w:val="00D8457E"/>
    <w:rsid w:val="00D84E1E"/>
    <w:rsid w:val="00D85DC9"/>
    <w:rsid w:val="00D9160B"/>
    <w:rsid w:val="00D9209E"/>
    <w:rsid w:val="00D92227"/>
    <w:rsid w:val="00D92EAE"/>
    <w:rsid w:val="00D93A99"/>
    <w:rsid w:val="00D94F00"/>
    <w:rsid w:val="00D94F9D"/>
    <w:rsid w:val="00D9629C"/>
    <w:rsid w:val="00D96800"/>
    <w:rsid w:val="00D96E82"/>
    <w:rsid w:val="00DA1F76"/>
    <w:rsid w:val="00DA5495"/>
    <w:rsid w:val="00DA6F0B"/>
    <w:rsid w:val="00DB21A5"/>
    <w:rsid w:val="00DB3B20"/>
    <w:rsid w:val="00DB4CCA"/>
    <w:rsid w:val="00DB51C6"/>
    <w:rsid w:val="00DB5CE0"/>
    <w:rsid w:val="00DB6CAA"/>
    <w:rsid w:val="00DB6D32"/>
    <w:rsid w:val="00DB7D0E"/>
    <w:rsid w:val="00DB7F4F"/>
    <w:rsid w:val="00DC1527"/>
    <w:rsid w:val="00DC2C77"/>
    <w:rsid w:val="00DC3ED1"/>
    <w:rsid w:val="00DC5C6B"/>
    <w:rsid w:val="00DC7659"/>
    <w:rsid w:val="00DD00B2"/>
    <w:rsid w:val="00DD0503"/>
    <w:rsid w:val="00DD0AE4"/>
    <w:rsid w:val="00DD1CE8"/>
    <w:rsid w:val="00DD287D"/>
    <w:rsid w:val="00DD36E7"/>
    <w:rsid w:val="00DD3C61"/>
    <w:rsid w:val="00DD5535"/>
    <w:rsid w:val="00DD6D5A"/>
    <w:rsid w:val="00DE04B5"/>
    <w:rsid w:val="00DE0CEC"/>
    <w:rsid w:val="00DE2210"/>
    <w:rsid w:val="00DE6294"/>
    <w:rsid w:val="00DE7967"/>
    <w:rsid w:val="00DF07EA"/>
    <w:rsid w:val="00DF0B69"/>
    <w:rsid w:val="00DF11A8"/>
    <w:rsid w:val="00DF20CE"/>
    <w:rsid w:val="00DF2DC2"/>
    <w:rsid w:val="00DF2DE4"/>
    <w:rsid w:val="00DF2EE3"/>
    <w:rsid w:val="00DF36AE"/>
    <w:rsid w:val="00DF3721"/>
    <w:rsid w:val="00DF4EA0"/>
    <w:rsid w:val="00DF52C9"/>
    <w:rsid w:val="00DF6A48"/>
    <w:rsid w:val="00DF7975"/>
    <w:rsid w:val="00E003BF"/>
    <w:rsid w:val="00E00C32"/>
    <w:rsid w:val="00E010D4"/>
    <w:rsid w:val="00E01914"/>
    <w:rsid w:val="00E01E79"/>
    <w:rsid w:val="00E02327"/>
    <w:rsid w:val="00E052D8"/>
    <w:rsid w:val="00E05628"/>
    <w:rsid w:val="00E05FDF"/>
    <w:rsid w:val="00E068DA"/>
    <w:rsid w:val="00E120E6"/>
    <w:rsid w:val="00E137F8"/>
    <w:rsid w:val="00E13C8B"/>
    <w:rsid w:val="00E13CA9"/>
    <w:rsid w:val="00E13E87"/>
    <w:rsid w:val="00E146D9"/>
    <w:rsid w:val="00E14F68"/>
    <w:rsid w:val="00E15946"/>
    <w:rsid w:val="00E15B93"/>
    <w:rsid w:val="00E165BF"/>
    <w:rsid w:val="00E17289"/>
    <w:rsid w:val="00E174EF"/>
    <w:rsid w:val="00E175DC"/>
    <w:rsid w:val="00E17F80"/>
    <w:rsid w:val="00E20A29"/>
    <w:rsid w:val="00E2153A"/>
    <w:rsid w:val="00E2292D"/>
    <w:rsid w:val="00E244EA"/>
    <w:rsid w:val="00E25709"/>
    <w:rsid w:val="00E257B1"/>
    <w:rsid w:val="00E26078"/>
    <w:rsid w:val="00E26129"/>
    <w:rsid w:val="00E2614C"/>
    <w:rsid w:val="00E26699"/>
    <w:rsid w:val="00E26959"/>
    <w:rsid w:val="00E305C4"/>
    <w:rsid w:val="00E309CE"/>
    <w:rsid w:val="00E3142F"/>
    <w:rsid w:val="00E32128"/>
    <w:rsid w:val="00E3244D"/>
    <w:rsid w:val="00E33FF2"/>
    <w:rsid w:val="00E34CD3"/>
    <w:rsid w:val="00E35150"/>
    <w:rsid w:val="00E35EC9"/>
    <w:rsid w:val="00E370E0"/>
    <w:rsid w:val="00E408EA"/>
    <w:rsid w:val="00E40C42"/>
    <w:rsid w:val="00E41240"/>
    <w:rsid w:val="00E412EC"/>
    <w:rsid w:val="00E41CD3"/>
    <w:rsid w:val="00E42490"/>
    <w:rsid w:val="00E43C67"/>
    <w:rsid w:val="00E45760"/>
    <w:rsid w:val="00E47387"/>
    <w:rsid w:val="00E47A66"/>
    <w:rsid w:val="00E47B23"/>
    <w:rsid w:val="00E47B84"/>
    <w:rsid w:val="00E47E91"/>
    <w:rsid w:val="00E5110F"/>
    <w:rsid w:val="00E51B26"/>
    <w:rsid w:val="00E52684"/>
    <w:rsid w:val="00E539FC"/>
    <w:rsid w:val="00E56F9F"/>
    <w:rsid w:val="00E57D1B"/>
    <w:rsid w:val="00E60010"/>
    <w:rsid w:val="00E618B4"/>
    <w:rsid w:val="00E61F5F"/>
    <w:rsid w:val="00E62E2F"/>
    <w:rsid w:val="00E6326A"/>
    <w:rsid w:val="00E6378E"/>
    <w:rsid w:val="00E63903"/>
    <w:rsid w:val="00E645DB"/>
    <w:rsid w:val="00E64E1B"/>
    <w:rsid w:val="00E6605B"/>
    <w:rsid w:val="00E66A73"/>
    <w:rsid w:val="00E67B25"/>
    <w:rsid w:val="00E71C6B"/>
    <w:rsid w:val="00E720C2"/>
    <w:rsid w:val="00E729E1"/>
    <w:rsid w:val="00E74E1A"/>
    <w:rsid w:val="00E7536F"/>
    <w:rsid w:val="00E76705"/>
    <w:rsid w:val="00E77F75"/>
    <w:rsid w:val="00E807D8"/>
    <w:rsid w:val="00E817F3"/>
    <w:rsid w:val="00E84418"/>
    <w:rsid w:val="00E84A1B"/>
    <w:rsid w:val="00E86286"/>
    <w:rsid w:val="00E86C87"/>
    <w:rsid w:val="00E90585"/>
    <w:rsid w:val="00E906CA"/>
    <w:rsid w:val="00E90B3F"/>
    <w:rsid w:val="00E91599"/>
    <w:rsid w:val="00E91C97"/>
    <w:rsid w:val="00E92B4B"/>
    <w:rsid w:val="00E93451"/>
    <w:rsid w:val="00E95027"/>
    <w:rsid w:val="00E95283"/>
    <w:rsid w:val="00E95B76"/>
    <w:rsid w:val="00E95CA0"/>
    <w:rsid w:val="00E9628E"/>
    <w:rsid w:val="00E97417"/>
    <w:rsid w:val="00EA05C5"/>
    <w:rsid w:val="00EA0F4B"/>
    <w:rsid w:val="00EA1B75"/>
    <w:rsid w:val="00EA1EAB"/>
    <w:rsid w:val="00EA2020"/>
    <w:rsid w:val="00EA20E5"/>
    <w:rsid w:val="00EA26F6"/>
    <w:rsid w:val="00EA40F6"/>
    <w:rsid w:val="00EA6017"/>
    <w:rsid w:val="00EA6DE5"/>
    <w:rsid w:val="00EA7117"/>
    <w:rsid w:val="00EA7350"/>
    <w:rsid w:val="00EA7456"/>
    <w:rsid w:val="00EB03EB"/>
    <w:rsid w:val="00EB1D82"/>
    <w:rsid w:val="00EB27FA"/>
    <w:rsid w:val="00EB2D78"/>
    <w:rsid w:val="00EB2DC9"/>
    <w:rsid w:val="00EB61D4"/>
    <w:rsid w:val="00EB6584"/>
    <w:rsid w:val="00EB7B74"/>
    <w:rsid w:val="00EB7DA3"/>
    <w:rsid w:val="00EC07FA"/>
    <w:rsid w:val="00EC4AB3"/>
    <w:rsid w:val="00EC5A13"/>
    <w:rsid w:val="00EC5E99"/>
    <w:rsid w:val="00EC5F58"/>
    <w:rsid w:val="00EC628C"/>
    <w:rsid w:val="00EC654E"/>
    <w:rsid w:val="00EC7849"/>
    <w:rsid w:val="00ED01A4"/>
    <w:rsid w:val="00ED077A"/>
    <w:rsid w:val="00ED126A"/>
    <w:rsid w:val="00ED1599"/>
    <w:rsid w:val="00ED1787"/>
    <w:rsid w:val="00ED18CD"/>
    <w:rsid w:val="00ED2123"/>
    <w:rsid w:val="00ED2FF0"/>
    <w:rsid w:val="00ED3122"/>
    <w:rsid w:val="00ED3555"/>
    <w:rsid w:val="00ED3A81"/>
    <w:rsid w:val="00ED616D"/>
    <w:rsid w:val="00ED7A8B"/>
    <w:rsid w:val="00EE159B"/>
    <w:rsid w:val="00EE19A7"/>
    <w:rsid w:val="00EE4475"/>
    <w:rsid w:val="00EE4928"/>
    <w:rsid w:val="00EE73D7"/>
    <w:rsid w:val="00EF033E"/>
    <w:rsid w:val="00EF0F10"/>
    <w:rsid w:val="00EF12AC"/>
    <w:rsid w:val="00EF3646"/>
    <w:rsid w:val="00EF395F"/>
    <w:rsid w:val="00EF422A"/>
    <w:rsid w:val="00EF44E7"/>
    <w:rsid w:val="00EF6586"/>
    <w:rsid w:val="00EF6CCE"/>
    <w:rsid w:val="00EF6FAB"/>
    <w:rsid w:val="00F005B6"/>
    <w:rsid w:val="00F01075"/>
    <w:rsid w:val="00F03DCA"/>
    <w:rsid w:val="00F041BD"/>
    <w:rsid w:val="00F10407"/>
    <w:rsid w:val="00F1099A"/>
    <w:rsid w:val="00F14AB0"/>
    <w:rsid w:val="00F15025"/>
    <w:rsid w:val="00F1516E"/>
    <w:rsid w:val="00F1744E"/>
    <w:rsid w:val="00F20E57"/>
    <w:rsid w:val="00F21C6A"/>
    <w:rsid w:val="00F226D7"/>
    <w:rsid w:val="00F2279B"/>
    <w:rsid w:val="00F23394"/>
    <w:rsid w:val="00F23BA6"/>
    <w:rsid w:val="00F23DD2"/>
    <w:rsid w:val="00F24256"/>
    <w:rsid w:val="00F24290"/>
    <w:rsid w:val="00F2492F"/>
    <w:rsid w:val="00F25017"/>
    <w:rsid w:val="00F252B4"/>
    <w:rsid w:val="00F25407"/>
    <w:rsid w:val="00F25AB9"/>
    <w:rsid w:val="00F25DB0"/>
    <w:rsid w:val="00F262E8"/>
    <w:rsid w:val="00F2688F"/>
    <w:rsid w:val="00F277C3"/>
    <w:rsid w:val="00F30555"/>
    <w:rsid w:val="00F30FEF"/>
    <w:rsid w:val="00F31F67"/>
    <w:rsid w:val="00F35728"/>
    <w:rsid w:val="00F36DD0"/>
    <w:rsid w:val="00F37CD2"/>
    <w:rsid w:val="00F40061"/>
    <w:rsid w:val="00F41A89"/>
    <w:rsid w:val="00F42131"/>
    <w:rsid w:val="00F42F6E"/>
    <w:rsid w:val="00F43C5A"/>
    <w:rsid w:val="00F444E8"/>
    <w:rsid w:val="00F44542"/>
    <w:rsid w:val="00F44F7C"/>
    <w:rsid w:val="00F45043"/>
    <w:rsid w:val="00F469AD"/>
    <w:rsid w:val="00F47000"/>
    <w:rsid w:val="00F4780F"/>
    <w:rsid w:val="00F503BC"/>
    <w:rsid w:val="00F51A2F"/>
    <w:rsid w:val="00F52348"/>
    <w:rsid w:val="00F54480"/>
    <w:rsid w:val="00F55139"/>
    <w:rsid w:val="00F560C5"/>
    <w:rsid w:val="00F56A3C"/>
    <w:rsid w:val="00F56A92"/>
    <w:rsid w:val="00F56F36"/>
    <w:rsid w:val="00F61E78"/>
    <w:rsid w:val="00F623BF"/>
    <w:rsid w:val="00F63B9D"/>
    <w:rsid w:val="00F65FBB"/>
    <w:rsid w:val="00F67354"/>
    <w:rsid w:val="00F6754C"/>
    <w:rsid w:val="00F67CF6"/>
    <w:rsid w:val="00F729AF"/>
    <w:rsid w:val="00F72AD2"/>
    <w:rsid w:val="00F72AF9"/>
    <w:rsid w:val="00F73535"/>
    <w:rsid w:val="00F73771"/>
    <w:rsid w:val="00F74C6A"/>
    <w:rsid w:val="00F75BCE"/>
    <w:rsid w:val="00F762F2"/>
    <w:rsid w:val="00F7655C"/>
    <w:rsid w:val="00F77D2E"/>
    <w:rsid w:val="00F8238B"/>
    <w:rsid w:val="00F84306"/>
    <w:rsid w:val="00F845F3"/>
    <w:rsid w:val="00F84961"/>
    <w:rsid w:val="00F84BAF"/>
    <w:rsid w:val="00F86957"/>
    <w:rsid w:val="00F86EB5"/>
    <w:rsid w:val="00F870B2"/>
    <w:rsid w:val="00F87320"/>
    <w:rsid w:val="00F87DDD"/>
    <w:rsid w:val="00F90BA4"/>
    <w:rsid w:val="00F91022"/>
    <w:rsid w:val="00F9243C"/>
    <w:rsid w:val="00F93DAA"/>
    <w:rsid w:val="00FA02F3"/>
    <w:rsid w:val="00FA095F"/>
    <w:rsid w:val="00FA1174"/>
    <w:rsid w:val="00FA2301"/>
    <w:rsid w:val="00FA26F8"/>
    <w:rsid w:val="00FA2F7B"/>
    <w:rsid w:val="00FA30B7"/>
    <w:rsid w:val="00FA313C"/>
    <w:rsid w:val="00FA352B"/>
    <w:rsid w:val="00FA45AA"/>
    <w:rsid w:val="00FA4674"/>
    <w:rsid w:val="00FA518F"/>
    <w:rsid w:val="00FA5C33"/>
    <w:rsid w:val="00FA7339"/>
    <w:rsid w:val="00FA79BF"/>
    <w:rsid w:val="00FA7B7C"/>
    <w:rsid w:val="00FB1614"/>
    <w:rsid w:val="00FB1EA8"/>
    <w:rsid w:val="00FB2DBF"/>
    <w:rsid w:val="00FB3E9C"/>
    <w:rsid w:val="00FB587C"/>
    <w:rsid w:val="00FB59DF"/>
    <w:rsid w:val="00FB5EF5"/>
    <w:rsid w:val="00FB6999"/>
    <w:rsid w:val="00FB7318"/>
    <w:rsid w:val="00FC1796"/>
    <w:rsid w:val="00FC2333"/>
    <w:rsid w:val="00FC26F0"/>
    <w:rsid w:val="00FC448F"/>
    <w:rsid w:val="00FC5CAC"/>
    <w:rsid w:val="00FC5D1B"/>
    <w:rsid w:val="00FC67C4"/>
    <w:rsid w:val="00FC79CA"/>
    <w:rsid w:val="00FD09CE"/>
    <w:rsid w:val="00FD1A61"/>
    <w:rsid w:val="00FD20E0"/>
    <w:rsid w:val="00FD267B"/>
    <w:rsid w:val="00FD2738"/>
    <w:rsid w:val="00FD4E7A"/>
    <w:rsid w:val="00FD5548"/>
    <w:rsid w:val="00FD7689"/>
    <w:rsid w:val="00FD77F3"/>
    <w:rsid w:val="00FE02C7"/>
    <w:rsid w:val="00FE0C2C"/>
    <w:rsid w:val="00FE234D"/>
    <w:rsid w:val="00FE29C9"/>
    <w:rsid w:val="00FE4F7D"/>
    <w:rsid w:val="00FE53B0"/>
    <w:rsid w:val="00FE76FC"/>
    <w:rsid w:val="00FE7E32"/>
    <w:rsid w:val="00FF3277"/>
    <w:rsid w:val="00FF3E4D"/>
    <w:rsid w:val="00FF3F46"/>
    <w:rsid w:val="00FF4F49"/>
    <w:rsid w:val="00FF4F8E"/>
    <w:rsid w:val="00FF63AC"/>
    <w:rsid w:val="00FF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B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61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106"/>
    <w:pPr>
      <w:spacing w:before="100" w:beforeAutospacing="1" w:after="100" w:afterAutospacing="1"/>
    </w:pPr>
  </w:style>
  <w:style w:type="character" w:styleId="Hyperlink">
    <w:name w:val="Hyperlink"/>
    <w:basedOn w:val="DefaultParagraphFont"/>
    <w:uiPriority w:val="99"/>
    <w:unhideWhenUsed/>
    <w:rsid w:val="008F0E34"/>
    <w:rPr>
      <w:color w:val="0563C1" w:themeColor="hyperlink"/>
      <w:u w:val="single"/>
    </w:rPr>
  </w:style>
  <w:style w:type="character" w:customStyle="1" w:styleId="apple-converted-space">
    <w:name w:val="apple-converted-space"/>
    <w:basedOn w:val="DefaultParagraphFont"/>
    <w:rsid w:val="00533780"/>
  </w:style>
  <w:style w:type="paragraph" w:styleId="BalloonText">
    <w:name w:val="Balloon Text"/>
    <w:basedOn w:val="Normal"/>
    <w:link w:val="BalloonTextChar"/>
    <w:uiPriority w:val="99"/>
    <w:semiHidden/>
    <w:unhideWhenUsed/>
    <w:rsid w:val="006038C6"/>
    <w:rPr>
      <w:sz w:val="18"/>
      <w:szCs w:val="18"/>
    </w:rPr>
  </w:style>
  <w:style w:type="character" w:customStyle="1" w:styleId="BalloonTextChar">
    <w:name w:val="Balloon Text Char"/>
    <w:basedOn w:val="DefaultParagraphFont"/>
    <w:link w:val="BalloonText"/>
    <w:uiPriority w:val="99"/>
    <w:semiHidden/>
    <w:rsid w:val="006038C6"/>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8457D1"/>
    <w:rPr>
      <w:sz w:val="16"/>
      <w:szCs w:val="16"/>
    </w:rPr>
  </w:style>
  <w:style w:type="paragraph" w:styleId="CommentText">
    <w:name w:val="annotation text"/>
    <w:basedOn w:val="Normal"/>
    <w:link w:val="CommentTextChar"/>
    <w:uiPriority w:val="99"/>
    <w:semiHidden/>
    <w:unhideWhenUsed/>
    <w:rsid w:val="008457D1"/>
    <w:rPr>
      <w:sz w:val="20"/>
      <w:szCs w:val="20"/>
    </w:rPr>
  </w:style>
  <w:style w:type="character" w:customStyle="1" w:styleId="CommentTextChar">
    <w:name w:val="Comment Text Char"/>
    <w:basedOn w:val="DefaultParagraphFont"/>
    <w:link w:val="CommentText"/>
    <w:uiPriority w:val="99"/>
    <w:semiHidden/>
    <w:rsid w:val="008457D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57D1"/>
    <w:rPr>
      <w:b/>
      <w:bCs/>
    </w:rPr>
  </w:style>
  <w:style w:type="character" w:customStyle="1" w:styleId="CommentSubjectChar">
    <w:name w:val="Comment Subject Char"/>
    <w:basedOn w:val="CommentTextChar"/>
    <w:link w:val="CommentSubject"/>
    <w:uiPriority w:val="99"/>
    <w:semiHidden/>
    <w:rsid w:val="008457D1"/>
    <w:rPr>
      <w:rFonts w:ascii="Times New Roman" w:hAnsi="Times New Roman" w:cs="Times New Roman"/>
      <w:b/>
      <w:bCs/>
      <w:sz w:val="20"/>
      <w:szCs w:val="20"/>
      <w:lang w:eastAsia="en-GB"/>
    </w:rPr>
  </w:style>
  <w:style w:type="character" w:customStyle="1" w:styleId="UnresolvedMention1">
    <w:name w:val="Unresolved Mention1"/>
    <w:basedOn w:val="DefaultParagraphFont"/>
    <w:uiPriority w:val="99"/>
    <w:rsid w:val="00E175DC"/>
    <w:rPr>
      <w:color w:val="605E5C"/>
      <w:shd w:val="clear" w:color="auto" w:fill="E1DFDD"/>
    </w:rPr>
  </w:style>
  <w:style w:type="character" w:styleId="FollowedHyperlink">
    <w:name w:val="FollowedHyperlink"/>
    <w:basedOn w:val="DefaultParagraphFont"/>
    <w:uiPriority w:val="99"/>
    <w:semiHidden/>
    <w:unhideWhenUsed/>
    <w:rsid w:val="0014120F"/>
    <w:rPr>
      <w:color w:val="954F72" w:themeColor="followedHyperlink"/>
      <w:u w:val="single"/>
    </w:rPr>
  </w:style>
  <w:style w:type="paragraph" w:customStyle="1" w:styleId="p1">
    <w:name w:val="p1"/>
    <w:basedOn w:val="Normal"/>
    <w:rsid w:val="00333AE7"/>
    <w:pPr>
      <w:spacing w:after="120"/>
    </w:pPr>
    <w:rPr>
      <w:rFonts w:ascii="Calibri" w:hAnsi="Calibri"/>
      <w:sz w:val="17"/>
      <w:szCs w:val="17"/>
    </w:rPr>
  </w:style>
  <w:style w:type="table" w:styleId="TableGrid">
    <w:name w:val="Table Grid"/>
    <w:basedOn w:val="TableNormal"/>
    <w:uiPriority w:val="39"/>
    <w:rsid w:val="003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15E"/>
    <w:rPr>
      <w:rFonts w:ascii="Times New Roman" w:hAnsi="Times New Roman" w:cs="Times New Roman"/>
      <w:lang w:eastAsia="en-GB"/>
    </w:rPr>
  </w:style>
  <w:style w:type="character" w:customStyle="1" w:styleId="UnresolvedMention2">
    <w:name w:val="Unresolved Mention2"/>
    <w:basedOn w:val="DefaultParagraphFont"/>
    <w:uiPriority w:val="99"/>
    <w:rsid w:val="008E3DD5"/>
    <w:rPr>
      <w:color w:val="605E5C"/>
      <w:shd w:val="clear" w:color="auto" w:fill="E1DFDD"/>
    </w:rPr>
  </w:style>
  <w:style w:type="paragraph" w:customStyle="1" w:styleId="referencescopy1">
    <w:name w:val="referencescopy1"/>
    <w:basedOn w:val="Normal"/>
    <w:rsid w:val="005D354C"/>
    <w:pPr>
      <w:spacing w:before="100" w:beforeAutospacing="1" w:after="100" w:afterAutospacing="1"/>
    </w:pPr>
  </w:style>
  <w:style w:type="paragraph" w:styleId="FootnoteText">
    <w:name w:val="footnote text"/>
    <w:basedOn w:val="Normal"/>
    <w:link w:val="FootnoteTextChar"/>
    <w:uiPriority w:val="99"/>
    <w:semiHidden/>
    <w:unhideWhenUsed/>
    <w:rsid w:val="00A12944"/>
    <w:rPr>
      <w:sz w:val="20"/>
      <w:szCs w:val="20"/>
    </w:rPr>
  </w:style>
  <w:style w:type="character" w:customStyle="1" w:styleId="FootnoteTextChar">
    <w:name w:val="Footnote Text Char"/>
    <w:basedOn w:val="DefaultParagraphFont"/>
    <w:link w:val="FootnoteText"/>
    <w:uiPriority w:val="99"/>
    <w:semiHidden/>
    <w:rsid w:val="00A12944"/>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12944"/>
    <w:rPr>
      <w:vertAlign w:val="superscript"/>
    </w:rPr>
  </w:style>
  <w:style w:type="paragraph" w:styleId="Header">
    <w:name w:val="header"/>
    <w:basedOn w:val="Normal"/>
    <w:link w:val="HeaderChar"/>
    <w:uiPriority w:val="99"/>
    <w:unhideWhenUsed/>
    <w:rsid w:val="00A12944"/>
    <w:pPr>
      <w:tabs>
        <w:tab w:val="center" w:pos="4680"/>
        <w:tab w:val="right" w:pos="9360"/>
      </w:tabs>
    </w:pPr>
  </w:style>
  <w:style w:type="character" w:customStyle="1" w:styleId="HeaderChar">
    <w:name w:val="Header Char"/>
    <w:basedOn w:val="DefaultParagraphFont"/>
    <w:link w:val="Header"/>
    <w:uiPriority w:val="99"/>
    <w:rsid w:val="00A12944"/>
    <w:rPr>
      <w:rFonts w:ascii="Times New Roman" w:hAnsi="Times New Roman" w:cs="Times New Roman"/>
      <w:lang w:eastAsia="en-GB"/>
    </w:rPr>
  </w:style>
  <w:style w:type="paragraph" w:styleId="Footer">
    <w:name w:val="footer"/>
    <w:basedOn w:val="Normal"/>
    <w:link w:val="FooterChar"/>
    <w:uiPriority w:val="99"/>
    <w:unhideWhenUsed/>
    <w:rsid w:val="00A12944"/>
    <w:pPr>
      <w:tabs>
        <w:tab w:val="center" w:pos="4680"/>
        <w:tab w:val="right" w:pos="9360"/>
      </w:tabs>
    </w:pPr>
  </w:style>
  <w:style w:type="character" w:customStyle="1" w:styleId="FooterChar">
    <w:name w:val="Footer Char"/>
    <w:basedOn w:val="DefaultParagraphFont"/>
    <w:link w:val="Footer"/>
    <w:uiPriority w:val="99"/>
    <w:rsid w:val="00A12944"/>
    <w:rPr>
      <w:rFonts w:ascii="Times New Roman" w:hAnsi="Times New Roman" w:cs="Times New Roman"/>
      <w:lang w:eastAsia="en-GB"/>
    </w:rPr>
  </w:style>
  <w:style w:type="paragraph" w:styleId="ListParagraph">
    <w:name w:val="List Paragraph"/>
    <w:basedOn w:val="Normal"/>
    <w:uiPriority w:val="34"/>
    <w:qFormat/>
    <w:rsid w:val="00664655"/>
    <w:pPr>
      <w:ind w:left="720"/>
      <w:contextualSpacing/>
    </w:pPr>
  </w:style>
  <w:style w:type="character" w:styleId="PageNumber">
    <w:name w:val="page number"/>
    <w:basedOn w:val="DefaultParagraphFont"/>
    <w:uiPriority w:val="99"/>
    <w:semiHidden/>
    <w:unhideWhenUsed/>
    <w:rsid w:val="0070580E"/>
  </w:style>
  <w:style w:type="character" w:styleId="UnresolvedMention">
    <w:name w:val="Unresolved Mention"/>
    <w:basedOn w:val="DefaultParagraphFont"/>
    <w:uiPriority w:val="99"/>
    <w:rsid w:val="0089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5839123">
      <w:bodyDiv w:val="1"/>
      <w:marLeft w:val="0"/>
      <w:marRight w:val="0"/>
      <w:marTop w:val="0"/>
      <w:marBottom w:val="0"/>
      <w:divBdr>
        <w:top w:val="none" w:sz="0" w:space="0" w:color="auto"/>
        <w:left w:val="none" w:sz="0" w:space="0" w:color="auto"/>
        <w:bottom w:val="none" w:sz="0" w:space="0" w:color="auto"/>
        <w:right w:val="none" w:sz="0" w:space="0" w:color="auto"/>
      </w:divBdr>
    </w:div>
    <w:div w:id="282004297">
      <w:bodyDiv w:val="1"/>
      <w:marLeft w:val="0"/>
      <w:marRight w:val="0"/>
      <w:marTop w:val="0"/>
      <w:marBottom w:val="0"/>
      <w:divBdr>
        <w:top w:val="none" w:sz="0" w:space="0" w:color="auto"/>
        <w:left w:val="none" w:sz="0" w:space="0" w:color="auto"/>
        <w:bottom w:val="none" w:sz="0" w:space="0" w:color="auto"/>
        <w:right w:val="none" w:sz="0" w:space="0" w:color="auto"/>
      </w:divBdr>
    </w:div>
    <w:div w:id="693388233">
      <w:bodyDiv w:val="1"/>
      <w:marLeft w:val="0"/>
      <w:marRight w:val="0"/>
      <w:marTop w:val="0"/>
      <w:marBottom w:val="0"/>
      <w:divBdr>
        <w:top w:val="none" w:sz="0" w:space="0" w:color="auto"/>
        <w:left w:val="none" w:sz="0" w:space="0" w:color="auto"/>
        <w:bottom w:val="none" w:sz="0" w:space="0" w:color="auto"/>
        <w:right w:val="none" w:sz="0" w:space="0" w:color="auto"/>
      </w:divBdr>
    </w:div>
    <w:div w:id="781270454">
      <w:bodyDiv w:val="1"/>
      <w:marLeft w:val="0"/>
      <w:marRight w:val="0"/>
      <w:marTop w:val="0"/>
      <w:marBottom w:val="0"/>
      <w:divBdr>
        <w:top w:val="none" w:sz="0" w:space="0" w:color="auto"/>
        <w:left w:val="none" w:sz="0" w:space="0" w:color="auto"/>
        <w:bottom w:val="none" w:sz="0" w:space="0" w:color="auto"/>
        <w:right w:val="none" w:sz="0" w:space="0" w:color="auto"/>
      </w:divBdr>
    </w:div>
    <w:div w:id="869412708">
      <w:bodyDiv w:val="1"/>
      <w:marLeft w:val="0"/>
      <w:marRight w:val="0"/>
      <w:marTop w:val="0"/>
      <w:marBottom w:val="0"/>
      <w:divBdr>
        <w:top w:val="none" w:sz="0" w:space="0" w:color="auto"/>
        <w:left w:val="none" w:sz="0" w:space="0" w:color="auto"/>
        <w:bottom w:val="none" w:sz="0" w:space="0" w:color="auto"/>
        <w:right w:val="none" w:sz="0" w:space="0" w:color="auto"/>
      </w:divBdr>
      <w:divsChild>
        <w:div w:id="1870297308">
          <w:marLeft w:val="0"/>
          <w:marRight w:val="0"/>
          <w:marTop w:val="0"/>
          <w:marBottom w:val="0"/>
          <w:divBdr>
            <w:top w:val="none" w:sz="0" w:space="0" w:color="auto"/>
            <w:left w:val="none" w:sz="0" w:space="0" w:color="auto"/>
            <w:bottom w:val="none" w:sz="0" w:space="0" w:color="auto"/>
            <w:right w:val="none" w:sz="0" w:space="0" w:color="auto"/>
          </w:divBdr>
          <w:divsChild>
            <w:div w:id="863329956">
              <w:marLeft w:val="0"/>
              <w:marRight w:val="0"/>
              <w:marTop w:val="0"/>
              <w:marBottom w:val="0"/>
              <w:divBdr>
                <w:top w:val="none" w:sz="0" w:space="0" w:color="auto"/>
                <w:left w:val="none" w:sz="0" w:space="0" w:color="auto"/>
                <w:bottom w:val="none" w:sz="0" w:space="0" w:color="auto"/>
                <w:right w:val="none" w:sz="0" w:space="0" w:color="auto"/>
              </w:divBdr>
              <w:divsChild>
                <w:div w:id="9284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762">
      <w:bodyDiv w:val="1"/>
      <w:marLeft w:val="0"/>
      <w:marRight w:val="0"/>
      <w:marTop w:val="0"/>
      <w:marBottom w:val="0"/>
      <w:divBdr>
        <w:top w:val="none" w:sz="0" w:space="0" w:color="auto"/>
        <w:left w:val="none" w:sz="0" w:space="0" w:color="auto"/>
        <w:bottom w:val="none" w:sz="0" w:space="0" w:color="auto"/>
        <w:right w:val="none" w:sz="0" w:space="0" w:color="auto"/>
      </w:divBdr>
      <w:divsChild>
        <w:div w:id="1726024345">
          <w:marLeft w:val="0"/>
          <w:marRight w:val="0"/>
          <w:marTop w:val="0"/>
          <w:marBottom w:val="0"/>
          <w:divBdr>
            <w:top w:val="none" w:sz="0" w:space="0" w:color="auto"/>
            <w:left w:val="none" w:sz="0" w:space="0" w:color="auto"/>
            <w:bottom w:val="none" w:sz="0" w:space="0" w:color="auto"/>
            <w:right w:val="none" w:sz="0" w:space="0" w:color="auto"/>
          </w:divBdr>
          <w:divsChild>
            <w:div w:id="782457607">
              <w:marLeft w:val="0"/>
              <w:marRight w:val="0"/>
              <w:marTop w:val="0"/>
              <w:marBottom w:val="0"/>
              <w:divBdr>
                <w:top w:val="none" w:sz="0" w:space="0" w:color="auto"/>
                <w:left w:val="none" w:sz="0" w:space="0" w:color="auto"/>
                <w:bottom w:val="none" w:sz="0" w:space="0" w:color="auto"/>
                <w:right w:val="none" w:sz="0" w:space="0" w:color="auto"/>
              </w:divBdr>
              <w:divsChild>
                <w:div w:id="434596382">
                  <w:marLeft w:val="0"/>
                  <w:marRight w:val="0"/>
                  <w:marTop w:val="0"/>
                  <w:marBottom w:val="0"/>
                  <w:divBdr>
                    <w:top w:val="none" w:sz="0" w:space="0" w:color="auto"/>
                    <w:left w:val="none" w:sz="0" w:space="0" w:color="auto"/>
                    <w:bottom w:val="none" w:sz="0" w:space="0" w:color="auto"/>
                    <w:right w:val="none" w:sz="0" w:space="0" w:color="auto"/>
                  </w:divBdr>
                </w:div>
              </w:divsChild>
            </w:div>
            <w:div w:id="1849098536">
              <w:marLeft w:val="0"/>
              <w:marRight w:val="0"/>
              <w:marTop w:val="0"/>
              <w:marBottom w:val="0"/>
              <w:divBdr>
                <w:top w:val="none" w:sz="0" w:space="0" w:color="auto"/>
                <w:left w:val="none" w:sz="0" w:space="0" w:color="auto"/>
                <w:bottom w:val="none" w:sz="0" w:space="0" w:color="auto"/>
                <w:right w:val="none" w:sz="0" w:space="0" w:color="auto"/>
              </w:divBdr>
              <w:divsChild>
                <w:div w:id="1097556578">
                  <w:marLeft w:val="0"/>
                  <w:marRight w:val="0"/>
                  <w:marTop w:val="0"/>
                  <w:marBottom w:val="0"/>
                  <w:divBdr>
                    <w:top w:val="none" w:sz="0" w:space="0" w:color="auto"/>
                    <w:left w:val="none" w:sz="0" w:space="0" w:color="auto"/>
                    <w:bottom w:val="none" w:sz="0" w:space="0" w:color="auto"/>
                    <w:right w:val="none" w:sz="0" w:space="0" w:color="auto"/>
                  </w:divBdr>
                </w:div>
              </w:divsChild>
            </w:div>
            <w:div w:id="1172531176">
              <w:marLeft w:val="0"/>
              <w:marRight w:val="0"/>
              <w:marTop w:val="0"/>
              <w:marBottom w:val="0"/>
              <w:divBdr>
                <w:top w:val="none" w:sz="0" w:space="0" w:color="auto"/>
                <w:left w:val="none" w:sz="0" w:space="0" w:color="auto"/>
                <w:bottom w:val="none" w:sz="0" w:space="0" w:color="auto"/>
                <w:right w:val="none" w:sz="0" w:space="0" w:color="auto"/>
              </w:divBdr>
              <w:divsChild>
                <w:div w:id="18260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9021">
          <w:marLeft w:val="0"/>
          <w:marRight w:val="0"/>
          <w:marTop w:val="0"/>
          <w:marBottom w:val="0"/>
          <w:divBdr>
            <w:top w:val="none" w:sz="0" w:space="0" w:color="auto"/>
            <w:left w:val="none" w:sz="0" w:space="0" w:color="auto"/>
            <w:bottom w:val="none" w:sz="0" w:space="0" w:color="auto"/>
            <w:right w:val="none" w:sz="0" w:space="0" w:color="auto"/>
          </w:divBdr>
          <w:divsChild>
            <w:div w:id="2096198809">
              <w:marLeft w:val="0"/>
              <w:marRight w:val="0"/>
              <w:marTop w:val="0"/>
              <w:marBottom w:val="0"/>
              <w:divBdr>
                <w:top w:val="none" w:sz="0" w:space="0" w:color="auto"/>
                <w:left w:val="none" w:sz="0" w:space="0" w:color="auto"/>
                <w:bottom w:val="none" w:sz="0" w:space="0" w:color="auto"/>
                <w:right w:val="none" w:sz="0" w:space="0" w:color="auto"/>
              </w:divBdr>
              <w:divsChild>
                <w:div w:id="495194718">
                  <w:marLeft w:val="0"/>
                  <w:marRight w:val="0"/>
                  <w:marTop w:val="0"/>
                  <w:marBottom w:val="0"/>
                  <w:divBdr>
                    <w:top w:val="none" w:sz="0" w:space="0" w:color="auto"/>
                    <w:left w:val="none" w:sz="0" w:space="0" w:color="auto"/>
                    <w:bottom w:val="none" w:sz="0" w:space="0" w:color="auto"/>
                    <w:right w:val="none" w:sz="0" w:space="0" w:color="auto"/>
                  </w:divBdr>
                </w:div>
                <w:div w:id="10118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0853">
      <w:bodyDiv w:val="1"/>
      <w:marLeft w:val="0"/>
      <w:marRight w:val="0"/>
      <w:marTop w:val="0"/>
      <w:marBottom w:val="0"/>
      <w:divBdr>
        <w:top w:val="none" w:sz="0" w:space="0" w:color="auto"/>
        <w:left w:val="none" w:sz="0" w:space="0" w:color="auto"/>
        <w:bottom w:val="none" w:sz="0" w:space="0" w:color="auto"/>
        <w:right w:val="none" w:sz="0" w:space="0" w:color="auto"/>
      </w:divBdr>
    </w:div>
    <w:div w:id="1074282521">
      <w:bodyDiv w:val="1"/>
      <w:marLeft w:val="0"/>
      <w:marRight w:val="0"/>
      <w:marTop w:val="0"/>
      <w:marBottom w:val="0"/>
      <w:divBdr>
        <w:top w:val="none" w:sz="0" w:space="0" w:color="auto"/>
        <w:left w:val="none" w:sz="0" w:space="0" w:color="auto"/>
        <w:bottom w:val="none" w:sz="0" w:space="0" w:color="auto"/>
        <w:right w:val="none" w:sz="0" w:space="0" w:color="auto"/>
      </w:divBdr>
      <w:divsChild>
        <w:div w:id="749036392">
          <w:marLeft w:val="0"/>
          <w:marRight w:val="0"/>
          <w:marTop w:val="0"/>
          <w:marBottom w:val="0"/>
          <w:divBdr>
            <w:top w:val="none" w:sz="0" w:space="0" w:color="auto"/>
            <w:left w:val="none" w:sz="0" w:space="0" w:color="auto"/>
            <w:bottom w:val="none" w:sz="0" w:space="0" w:color="auto"/>
            <w:right w:val="none" w:sz="0" w:space="0" w:color="auto"/>
          </w:divBdr>
          <w:divsChild>
            <w:div w:id="1565986575">
              <w:marLeft w:val="0"/>
              <w:marRight w:val="0"/>
              <w:marTop w:val="0"/>
              <w:marBottom w:val="0"/>
              <w:divBdr>
                <w:top w:val="none" w:sz="0" w:space="0" w:color="auto"/>
                <w:left w:val="none" w:sz="0" w:space="0" w:color="auto"/>
                <w:bottom w:val="none" w:sz="0" w:space="0" w:color="auto"/>
                <w:right w:val="none" w:sz="0" w:space="0" w:color="auto"/>
              </w:divBdr>
              <w:divsChild>
                <w:div w:id="309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5904">
      <w:bodyDiv w:val="1"/>
      <w:marLeft w:val="0"/>
      <w:marRight w:val="0"/>
      <w:marTop w:val="0"/>
      <w:marBottom w:val="0"/>
      <w:divBdr>
        <w:top w:val="none" w:sz="0" w:space="0" w:color="auto"/>
        <w:left w:val="none" w:sz="0" w:space="0" w:color="auto"/>
        <w:bottom w:val="none" w:sz="0" w:space="0" w:color="auto"/>
        <w:right w:val="none" w:sz="0" w:space="0" w:color="auto"/>
      </w:divBdr>
    </w:div>
    <w:div w:id="1249463493">
      <w:bodyDiv w:val="1"/>
      <w:marLeft w:val="0"/>
      <w:marRight w:val="0"/>
      <w:marTop w:val="0"/>
      <w:marBottom w:val="0"/>
      <w:divBdr>
        <w:top w:val="none" w:sz="0" w:space="0" w:color="auto"/>
        <w:left w:val="none" w:sz="0" w:space="0" w:color="auto"/>
        <w:bottom w:val="none" w:sz="0" w:space="0" w:color="auto"/>
        <w:right w:val="none" w:sz="0" w:space="0" w:color="auto"/>
      </w:divBdr>
    </w:div>
    <w:div w:id="1342004440">
      <w:bodyDiv w:val="1"/>
      <w:marLeft w:val="0"/>
      <w:marRight w:val="0"/>
      <w:marTop w:val="0"/>
      <w:marBottom w:val="0"/>
      <w:divBdr>
        <w:top w:val="none" w:sz="0" w:space="0" w:color="auto"/>
        <w:left w:val="none" w:sz="0" w:space="0" w:color="auto"/>
        <w:bottom w:val="none" w:sz="0" w:space="0" w:color="auto"/>
        <w:right w:val="none" w:sz="0" w:space="0" w:color="auto"/>
      </w:divBdr>
    </w:div>
    <w:div w:id="1429696721">
      <w:bodyDiv w:val="1"/>
      <w:marLeft w:val="0"/>
      <w:marRight w:val="0"/>
      <w:marTop w:val="0"/>
      <w:marBottom w:val="0"/>
      <w:divBdr>
        <w:top w:val="none" w:sz="0" w:space="0" w:color="auto"/>
        <w:left w:val="none" w:sz="0" w:space="0" w:color="auto"/>
        <w:bottom w:val="none" w:sz="0" w:space="0" w:color="auto"/>
        <w:right w:val="none" w:sz="0" w:space="0" w:color="auto"/>
      </w:divBdr>
    </w:div>
    <w:div w:id="1508787965">
      <w:bodyDiv w:val="1"/>
      <w:marLeft w:val="0"/>
      <w:marRight w:val="0"/>
      <w:marTop w:val="0"/>
      <w:marBottom w:val="0"/>
      <w:divBdr>
        <w:top w:val="none" w:sz="0" w:space="0" w:color="auto"/>
        <w:left w:val="none" w:sz="0" w:space="0" w:color="auto"/>
        <w:bottom w:val="none" w:sz="0" w:space="0" w:color="auto"/>
        <w:right w:val="none" w:sz="0" w:space="0" w:color="auto"/>
      </w:divBdr>
    </w:div>
    <w:div w:id="1538851540">
      <w:bodyDiv w:val="1"/>
      <w:marLeft w:val="0"/>
      <w:marRight w:val="0"/>
      <w:marTop w:val="0"/>
      <w:marBottom w:val="0"/>
      <w:divBdr>
        <w:top w:val="none" w:sz="0" w:space="0" w:color="auto"/>
        <w:left w:val="none" w:sz="0" w:space="0" w:color="auto"/>
        <w:bottom w:val="none" w:sz="0" w:space="0" w:color="auto"/>
        <w:right w:val="none" w:sz="0" w:space="0" w:color="auto"/>
      </w:divBdr>
    </w:div>
    <w:div w:id="1643075401">
      <w:bodyDiv w:val="1"/>
      <w:marLeft w:val="0"/>
      <w:marRight w:val="0"/>
      <w:marTop w:val="0"/>
      <w:marBottom w:val="0"/>
      <w:divBdr>
        <w:top w:val="none" w:sz="0" w:space="0" w:color="auto"/>
        <w:left w:val="none" w:sz="0" w:space="0" w:color="auto"/>
        <w:bottom w:val="none" w:sz="0" w:space="0" w:color="auto"/>
        <w:right w:val="none" w:sz="0" w:space="0" w:color="auto"/>
      </w:divBdr>
    </w:div>
    <w:div w:id="1697388961">
      <w:bodyDiv w:val="1"/>
      <w:marLeft w:val="0"/>
      <w:marRight w:val="0"/>
      <w:marTop w:val="0"/>
      <w:marBottom w:val="0"/>
      <w:divBdr>
        <w:top w:val="none" w:sz="0" w:space="0" w:color="auto"/>
        <w:left w:val="none" w:sz="0" w:space="0" w:color="auto"/>
        <w:bottom w:val="none" w:sz="0" w:space="0" w:color="auto"/>
        <w:right w:val="none" w:sz="0" w:space="0" w:color="auto"/>
      </w:divBdr>
      <w:divsChild>
        <w:div w:id="578098003">
          <w:marLeft w:val="0"/>
          <w:marRight w:val="0"/>
          <w:marTop w:val="0"/>
          <w:marBottom w:val="0"/>
          <w:divBdr>
            <w:top w:val="none" w:sz="0" w:space="0" w:color="auto"/>
            <w:left w:val="none" w:sz="0" w:space="0" w:color="auto"/>
            <w:bottom w:val="none" w:sz="0" w:space="0" w:color="auto"/>
            <w:right w:val="none" w:sz="0" w:space="0" w:color="auto"/>
          </w:divBdr>
          <w:divsChild>
            <w:div w:id="1899168155">
              <w:marLeft w:val="0"/>
              <w:marRight w:val="0"/>
              <w:marTop w:val="0"/>
              <w:marBottom w:val="0"/>
              <w:divBdr>
                <w:top w:val="none" w:sz="0" w:space="0" w:color="auto"/>
                <w:left w:val="none" w:sz="0" w:space="0" w:color="auto"/>
                <w:bottom w:val="none" w:sz="0" w:space="0" w:color="auto"/>
                <w:right w:val="none" w:sz="0" w:space="0" w:color="auto"/>
              </w:divBdr>
              <w:divsChild>
                <w:div w:id="17321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9634">
      <w:bodyDiv w:val="1"/>
      <w:marLeft w:val="0"/>
      <w:marRight w:val="0"/>
      <w:marTop w:val="0"/>
      <w:marBottom w:val="0"/>
      <w:divBdr>
        <w:top w:val="none" w:sz="0" w:space="0" w:color="auto"/>
        <w:left w:val="none" w:sz="0" w:space="0" w:color="auto"/>
        <w:bottom w:val="none" w:sz="0" w:space="0" w:color="auto"/>
        <w:right w:val="none" w:sz="0" w:space="0" w:color="auto"/>
      </w:divBdr>
    </w:div>
    <w:div w:id="1896501690">
      <w:bodyDiv w:val="1"/>
      <w:marLeft w:val="0"/>
      <w:marRight w:val="0"/>
      <w:marTop w:val="0"/>
      <w:marBottom w:val="0"/>
      <w:divBdr>
        <w:top w:val="none" w:sz="0" w:space="0" w:color="auto"/>
        <w:left w:val="none" w:sz="0" w:space="0" w:color="auto"/>
        <w:bottom w:val="none" w:sz="0" w:space="0" w:color="auto"/>
        <w:right w:val="none" w:sz="0" w:space="0" w:color="auto"/>
      </w:divBdr>
    </w:div>
    <w:div w:id="1928540878">
      <w:bodyDiv w:val="1"/>
      <w:marLeft w:val="0"/>
      <w:marRight w:val="0"/>
      <w:marTop w:val="0"/>
      <w:marBottom w:val="0"/>
      <w:divBdr>
        <w:top w:val="none" w:sz="0" w:space="0" w:color="auto"/>
        <w:left w:val="none" w:sz="0" w:space="0" w:color="auto"/>
        <w:bottom w:val="none" w:sz="0" w:space="0" w:color="auto"/>
        <w:right w:val="none" w:sz="0" w:space="0" w:color="auto"/>
      </w:divBdr>
    </w:div>
    <w:div w:id="1971544579">
      <w:bodyDiv w:val="1"/>
      <w:marLeft w:val="0"/>
      <w:marRight w:val="0"/>
      <w:marTop w:val="0"/>
      <w:marBottom w:val="0"/>
      <w:divBdr>
        <w:top w:val="none" w:sz="0" w:space="0" w:color="auto"/>
        <w:left w:val="none" w:sz="0" w:space="0" w:color="auto"/>
        <w:bottom w:val="none" w:sz="0" w:space="0" w:color="auto"/>
        <w:right w:val="none" w:sz="0" w:space="0" w:color="auto"/>
      </w:divBdr>
    </w:div>
    <w:div w:id="2000691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EB7B-FF22-A447-893C-0818522A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9905</Words>
  <Characters>56460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Masterton</dc:creator>
  <cp:keywords/>
  <dc:description/>
  <cp:lastModifiedBy>Jones, Andrew [ajj]</cp:lastModifiedBy>
  <cp:revision>2</cp:revision>
  <dcterms:created xsi:type="dcterms:W3CDTF">2020-11-30T11:06:00Z</dcterms:created>
  <dcterms:modified xsi:type="dcterms:W3CDTF">2020-11-30T11:06:00Z</dcterms:modified>
</cp:coreProperties>
</file>