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6CA12" w14:textId="77777777" w:rsidR="00D21F1D" w:rsidRDefault="00D21F1D" w:rsidP="00D21F1D">
      <w:pPr>
        <w:keepNext/>
        <w:numPr>
          <w:ilvl w:val="1"/>
          <w:numId w:val="0"/>
        </w:numPr>
        <w:spacing w:after="120" w:line="360" w:lineRule="auto"/>
        <w:jc w:val="center"/>
        <w:outlineLvl w:val="1"/>
        <w:rPr>
          <w:rFonts w:ascii="Cambria" w:eastAsia="Times New Roman" w:hAnsi="Cambria"/>
          <w:b/>
          <w:bCs/>
          <w:i/>
          <w:iCs/>
          <w:sz w:val="28"/>
          <w:szCs w:val="28"/>
          <w:lang w:val="en-US" w:eastAsia="de-CH"/>
        </w:rPr>
      </w:pPr>
      <w:r w:rsidRPr="00FF7B3B">
        <w:rPr>
          <w:rFonts w:ascii="Cambria" w:eastAsia="Times New Roman" w:hAnsi="Cambria"/>
          <w:b/>
          <w:bCs/>
          <w:i/>
          <w:iCs/>
          <w:sz w:val="28"/>
          <w:szCs w:val="28"/>
          <w:lang w:val="en-US" w:eastAsia="de-CH"/>
        </w:rPr>
        <w:t>Editorial</w:t>
      </w:r>
    </w:p>
    <w:p w14:paraId="3022BB81" w14:textId="092C1502" w:rsidR="00D21F1D" w:rsidRPr="00FF7B3B" w:rsidRDefault="00974D60" w:rsidP="00D21F1D">
      <w:pPr>
        <w:keepNext/>
        <w:numPr>
          <w:ilvl w:val="1"/>
          <w:numId w:val="0"/>
        </w:numPr>
        <w:spacing w:after="120" w:line="360" w:lineRule="auto"/>
        <w:ind w:left="576" w:hanging="576"/>
        <w:jc w:val="center"/>
        <w:outlineLvl w:val="1"/>
        <w:rPr>
          <w:rFonts w:ascii="Cambria" w:eastAsia="Times New Roman" w:hAnsi="Cambria"/>
          <w:b/>
          <w:bCs/>
          <w:i/>
          <w:iCs/>
          <w:sz w:val="28"/>
          <w:szCs w:val="28"/>
          <w:lang w:val="en-US" w:eastAsia="de-CH"/>
        </w:rPr>
      </w:pPr>
      <w:r>
        <w:rPr>
          <w:rFonts w:ascii="Cambria" w:eastAsia="Times New Roman" w:hAnsi="Cambria"/>
          <w:b/>
          <w:bCs/>
          <w:i/>
          <w:iCs/>
          <w:sz w:val="28"/>
          <w:szCs w:val="28"/>
          <w:lang w:val="en-US" w:eastAsia="de-CH"/>
        </w:rPr>
        <w:t>Online Food Marketing in the Live</w:t>
      </w:r>
      <w:r w:rsidR="0025571C">
        <w:rPr>
          <w:rFonts w:ascii="Cambria" w:eastAsia="Times New Roman" w:hAnsi="Cambria"/>
          <w:b/>
          <w:bCs/>
          <w:i/>
          <w:iCs/>
          <w:sz w:val="28"/>
          <w:szCs w:val="28"/>
          <w:lang w:val="en-US" w:eastAsia="de-CH"/>
        </w:rPr>
        <w:t>s</w:t>
      </w:r>
      <w:r>
        <w:rPr>
          <w:rFonts w:ascii="Cambria" w:eastAsia="Times New Roman" w:hAnsi="Cambria"/>
          <w:b/>
          <w:bCs/>
          <w:i/>
          <w:iCs/>
          <w:sz w:val="28"/>
          <w:szCs w:val="28"/>
          <w:lang w:val="en-US" w:eastAsia="de-CH"/>
        </w:rPr>
        <w:t>tream Environment: What is the Role of Censorship?</w:t>
      </w:r>
    </w:p>
    <w:p w14:paraId="3F8008B9" w14:textId="77777777" w:rsidR="00D21F1D" w:rsidRPr="004856A5" w:rsidRDefault="00D21F1D" w:rsidP="00D21F1D">
      <w:pPr>
        <w:keepNext/>
        <w:numPr>
          <w:ilvl w:val="1"/>
          <w:numId w:val="0"/>
        </w:numPr>
        <w:spacing w:after="120" w:line="360" w:lineRule="auto"/>
        <w:ind w:left="576" w:hanging="576"/>
        <w:jc w:val="center"/>
        <w:outlineLvl w:val="1"/>
        <w:rPr>
          <w:rFonts w:ascii="Cambria" w:eastAsia="Times New Roman" w:hAnsi="Cambria"/>
          <w:b/>
          <w:bCs/>
          <w:i/>
          <w:iCs/>
          <w:color w:val="39A956"/>
          <w:sz w:val="28"/>
          <w:szCs w:val="28"/>
          <w:lang w:val="en-US" w:eastAsia="de-CH"/>
        </w:rPr>
      </w:pPr>
    </w:p>
    <w:p w14:paraId="3FC40B6A" w14:textId="77777777" w:rsidR="009C54F5" w:rsidRPr="00AB3D81" w:rsidRDefault="009C54F5" w:rsidP="009C54F5">
      <w:pPr>
        <w:spacing w:after="120" w:line="360" w:lineRule="auto"/>
        <w:jc w:val="center"/>
        <w:rPr>
          <w:lang w:eastAsia="de-CH"/>
        </w:rPr>
      </w:pPr>
      <w:r>
        <w:rPr>
          <w:lang w:eastAsia="de-CH"/>
        </w:rPr>
        <w:t>Caitlyn G. Edwards</w:t>
      </w:r>
      <w:r w:rsidRPr="00AB3D81">
        <w:rPr>
          <w:vertAlign w:val="superscript"/>
          <w:lang w:eastAsia="de-CH"/>
        </w:rPr>
        <w:t>a</w:t>
      </w:r>
      <w:r>
        <w:rPr>
          <w:lang w:eastAsia="de-CH"/>
        </w:rPr>
        <w:t>, Catherine C. Pollack</w:t>
      </w:r>
      <w:r w:rsidRPr="00AB3D81">
        <w:rPr>
          <w:vertAlign w:val="superscript"/>
          <w:lang w:eastAsia="de-CH"/>
        </w:rPr>
        <w:t>b</w:t>
      </w:r>
      <w:r>
        <w:rPr>
          <w:vertAlign w:val="superscript"/>
          <w:lang w:eastAsia="de-CH"/>
        </w:rPr>
        <w:t>,c</w:t>
      </w:r>
      <w:r>
        <w:rPr>
          <w:lang w:eastAsia="de-CH"/>
        </w:rPr>
        <w:t xml:space="preserve"> , Emma J. Boyland</w:t>
      </w:r>
      <w:r>
        <w:rPr>
          <w:vertAlign w:val="superscript"/>
          <w:lang w:eastAsia="de-CH"/>
        </w:rPr>
        <w:t>d</w:t>
      </w:r>
      <w:r>
        <w:rPr>
          <w:lang w:eastAsia="de-CH"/>
        </w:rPr>
        <w:t>, Rebecca K. Evans</w:t>
      </w:r>
      <w:r>
        <w:rPr>
          <w:vertAlign w:val="superscript"/>
          <w:lang w:eastAsia="de-CH"/>
        </w:rPr>
        <w:t>d</w:t>
      </w:r>
      <w:r>
        <w:rPr>
          <w:lang w:eastAsia="de-CH"/>
        </w:rPr>
        <w:t>, Diane Gilbert-Diamond</w:t>
      </w:r>
      <w:r>
        <w:rPr>
          <w:vertAlign w:val="superscript"/>
          <w:lang w:eastAsia="de-CH"/>
        </w:rPr>
        <w:t>b,f</w:t>
      </w:r>
      <w:r>
        <w:rPr>
          <w:lang w:eastAsia="de-CH"/>
        </w:rPr>
        <w:t>, Travis D. Masterson</w:t>
      </w:r>
      <w:r w:rsidRPr="00AB3D81">
        <w:rPr>
          <w:vertAlign w:val="superscript"/>
          <w:lang w:eastAsia="de-CH"/>
        </w:rPr>
        <w:t>a</w:t>
      </w:r>
    </w:p>
    <w:p w14:paraId="5EF6AE02" w14:textId="77777777" w:rsidR="009C54F5" w:rsidRPr="00AB3D81" w:rsidRDefault="009C54F5" w:rsidP="009C54F5">
      <w:pPr>
        <w:spacing w:after="120" w:line="360" w:lineRule="auto"/>
        <w:rPr>
          <w:lang w:eastAsia="de-CH"/>
        </w:rPr>
      </w:pPr>
    </w:p>
    <w:p w14:paraId="387E6E06" w14:textId="77777777" w:rsidR="009C54F5" w:rsidRDefault="009C54F5" w:rsidP="009C54F5">
      <w:pPr>
        <w:spacing w:after="120" w:line="360" w:lineRule="auto"/>
        <w:rPr>
          <w:lang w:eastAsia="de-CH"/>
        </w:rPr>
      </w:pPr>
      <w:r w:rsidRPr="00AB3D81">
        <w:rPr>
          <w:vertAlign w:val="superscript"/>
          <w:lang w:eastAsia="de-CH"/>
        </w:rPr>
        <w:t>a</w:t>
      </w:r>
      <w:r w:rsidRPr="00AB3D81">
        <w:rPr>
          <w:lang w:eastAsia="de-CH"/>
        </w:rPr>
        <w:t xml:space="preserve"> Department</w:t>
      </w:r>
      <w:r>
        <w:rPr>
          <w:lang w:eastAsia="de-CH"/>
        </w:rPr>
        <w:t xml:space="preserve"> of Nutritional Sciences</w:t>
      </w:r>
      <w:r w:rsidRPr="00AB3D81">
        <w:rPr>
          <w:lang w:eastAsia="de-CH"/>
        </w:rPr>
        <w:t xml:space="preserve">, </w:t>
      </w:r>
      <w:r>
        <w:rPr>
          <w:lang w:eastAsia="de-CH"/>
        </w:rPr>
        <w:t>The Pennsylvania State University, State College, PA, USA</w:t>
      </w:r>
    </w:p>
    <w:p w14:paraId="654FBA36" w14:textId="2A0E8805" w:rsidR="009C54F5" w:rsidRPr="00AB3D81" w:rsidRDefault="009C54F5" w:rsidP="009C54F5">
      <w:pPr>
        <w:spacing w:after="120" w:line="360" w:lineRule="auto"/>
        <w:rPr>
          <w:lang w:eastAsia="de-CH"/>
        </w:rPr>
      </w:pPr>
      <w:r>
        <w:rPr>
          <w:vertAlign w:val="superscript"/>
          <w:lang w:eastAsia="de-CH"/>
        </w:rPr>
        <w:t>b</w:t>
      </w:r>
      <w:r w:rsidRPr="00AB3D81">
        <w:rPr>
          <w:lang w:eastAsia="de-CH"/>
        </w:rPr>
        <w:t xml:space="preserve"> </w:t>
      </w:r>
      <w:r w:rsidRPr="005946E6">
        <w:rPr>
          <w:rFonts w:asciiTheme="minorHAnsi" w:hAnsiTheme="minorHAnsi" w:cstheme="minorHAnsi"/>
        </w:rPr>
        <w:t>Department of Epidemiolog</w:t>
      </w:r>
      <w:r w:rsidR="006E22B6">
        <w:rPr>
          <w:rFonts w:asciiTheme="minorHAnsi" w:hAnsiTheme="minorHAnsi" w:cstheme="minorHAnsi"/>
        </w:rPr>
        <w:t xml:space="preserve">y, Geisel School of Medicine, </w:t>
      </w:r>
      <w:r w:rsidRPr="005946E6">
        <w:rPr>
          <w:rFonts w:asciiTheme="minorHAnsi" w:hAnsiTheme="minorHAnsi" w:cstheme="minorHAnsi"/>
        </w:rPr>
        <w:t xml:space="preserve">Dartmouth College, Hanover, NH, </w:t>
      </w:r>
      <w:r w:rsidRPr="005946E6">
        <w:rPr>
          <w:rFonts w:asciiTheme="minorHAnsi" w:hAnsiTheme="minorHAnsi" w:cstheme="minorHAnsi"/>
        </w:rPr>
        <w:br/>
        <w:t xml:space="preserve">  USA</w:t>
      </w:r>
    </w:p>
    <w:p w14:paraId="3EA7A83F" w14:textId="77777777" w:rsidR="009C54F5" w:rsidRDefault="009C54F5" w:rsidP="009C54F5">
      <w:pPr>
        <w:spacing w:after="120" w:line="360" w:lineRule="auto"/>
        <w:rPr>
          <w:lang w:eastAsia="de-CH"/>
        </w:rPr>
      </w:pPr>
      <w:r>
        <w:rPr>
          <w:vertAlign w:val="superscript"/>
          <w:lang w:eastAsia="de-CH"/>
        </w:rPr>
        <w:t>c</w:t>
      </w:r>
      <w:r w:rsidRPr="00AB3D81">
        <w:rPr>
          <w:lang w:eastAsia="de-CH"/>
        </w:rPr>
        <w:t xml:space="preserve"> </w:t>
      </w:r>
      <w:r>
        <w:rPr>
          <w:lang w:eastAsia="de-CH"/>
        </w:rPr>
        <w:t>Department of Biomedical Data Science, Geisel School of Medicine at Dartmouth College, Hanover, NH, USA</w:t>
      </w:r>
    </w:p>
    <w:p w14:paraId="40EE51AD" w14:textId="77777777" w:rsidR="009C54F5" w:rsidRPr="00B73C1B" w:rsidRDefault="009C54F5" w:rsidP="009C54F5">
      <w:pPr>
        <w:spacing w:after="120" w:line="360" w:lineRule="auto"/>
        <w:rPr>
          <w:lang w:eastAsia="de-CH"/>
        </w:rPr>
      </w:pPr>
      <w:r>
        <w:rPr>
          <w:vertAlign w:val="superscript"/>
          <w:lang w:eastAsia="de-CH"/>
        </w:rPr>
        <w:t>d</w:t>
      </w:r>
      <w:r w:rsidRPr="00AB3D81">
        <w:rPr>
          <w:lang w:eastAsia="de-CH"/>
        </w:rPr>
        <w:t xml:space="preserve"> Department</w:t>
      </w:r>
      <w:r>
        <w:rPr>
          <w:lang w:eastAsia="de-CH"/>
        </w:rPr>
        <w:t xml:space="preserve"> of Psychology</w:t>
      </w:r>
      <w:r w:rsidRPr="00AB3D81">
        <w:rPr>
          <w:lang w:eastAsia="de-CH"/>
        </w:rPr>
        <w:t xml:space="preserve">, </w:t>
      </w:r>
      <w:r>
        <w:rPr>
          <w:lang w:eastAsia="de-CH"/>
        </w:rPr>
        <w:t>University of Liverpool, Liverpool, UK</w:t>
      </w:r>
    </w:p>
    <w:p w14:paraId="11C03D0E" w14:textId="77777777" w:rsidR="009C54F5" w:rsidRPr="00896C35" w:rsidRDefault="009C54F5" w:rsidP="009C54F5">
      <w:pPr>
        <w:spacing w:line="240" w:lineRule="auto"/>
        <w:ind w:left="180" w:hanging="180"/>
        <w:rPr>
          <w:rFonts w:asciiTheme="minorHAnsi" w:hAnsiTheme="minorHAnsi" w:cstheme="minorHAnsi"/>
          <w:b/>
        </w:rPr>
      </w:pPr>
      <w:r>
        <w:rPr>
          <w:rFonts w:asciiTheme="minorHAnsi" w:hAnsiTheme="minorHAnsi" w:cstheme="minorHAnsi"/>
          <w:vertAlign w:val="superscript"/>
        </w:rPr>
        <w:t xml:space="preserve">f </w:t>
      </w:r>
      <w:r w:rsidRPr="005946E6">
        <w:rPr>
          <w:rFonts w:asciiTheme="minorHAnsi" w:hAnsiTheme="minorHAnsi" w:cstheme="minorHAnsi"/>
        </w:rPr>
        <w:t>Norris Cotton Cancer Center, Geisel School of Medicine, Dartmouth College, Hanover, NH, USA</w:t>
      </w:r>
    </w:p>
    <w:p w14:paraId="1BBE70BF" w14:textId="77777777" w:rsidR="007B32B2" w:rsidRPr="00AB3D81" w:rsidRDefault="007B32B2" w:rsidP="007B32B2">
      <w:pPr>
        <w:spacing w:after="120" w:line="240" w:lineRule="auto"/>
        <w:rPr>
          <w:lang w:val="en-US" w:eastAsia="de-CH"/>
        </w:rPr>
      </w:pPr>
    </w:p>
    <w:p w14:paraId="0DD1BB9B" w14:textId="685F2C35" w:rsidR="007B32B2" w:rsidRPr="00AB3D81" w:rsidRDefault="007B32B2" w:rsidP="007B32B2">
      <w:pPr>
        <w:spacing w:after="120" w:line="360" w:lineRule="auto"/>
        <w:rPr>
          <w:lang w:val="en-US" w:eastAsia="de-CH"/>
        </w:rPr>
      </w:pPr>
      <w:r w:rsidRPr="00AB3D81">
        <w:rPr>
          <w:lang w:val="en-US" w:eastAsia="de-CH"/>
        </w:rPr>
        <w:t xml:space="preserve">Short Title: </w:t>
      </w:r>
      <w:r w:rsidR="003203A4">
        <w:rPr>
          <w:lang w:val="en-US" w:eastAsia="de-CH"/>
        </w:rPr>
        <w:t>Censorship in the Live</w:t>
      </w:r>
      <w:r w:rsidR="0025571C">
        <w:rPr>
          <w:lang w:val="en-US" w:eastAsia="de-CH"/>
        </w:rPr>
        <w:t>s</w:t>
      </w:r>
      <w:r w:rsidR="003203A4">
        <w:rPr>
          <w:lang w:val="en-US" w:eastAsia="de-CH"/>
        </w:rPr>
        <w:t>tream Environment</w:t>
      </w:r>
    </w:p>
    <w:p w14:paraId="4216DF55" w14:textId="1A60927E" w:rsidR="007B32B2" w:rsidRPr="00AB3D81" w:rsidRDefault="00FD4D8F" w:rsidP="007B32B2">
      <w:pPr>
        <w:spacing w:after="120" w:line="360" w:lineRule="auto"/>
        <w:rPr>
          <w:lang w:val="en-US" w:eastAsia="de-CH"/>
        </w:rPr>
      </w:pPr>
      <w:r>
        <w:rPr>
          <w:lang w:val="en-US" w:eastAsia="de-CH"/>
        </w:rPr>
        <w:t>Corresponding Author</w:t>
      </w:r>
      <w:r w:rsidR="00EC5883">
        <w:rPr>
          <w:lang w:val="en-US" w:eastAsia="de-CH"/>
        </w:rPr>
        <w:t>:</w:t>
      </w:r>
    </w:p>
    <w:p w14:paraId="0282984C" w14:textId="0F3F50D0" w:rsidR="007B32B2" w:rsidRPr="00AB3D81" w:rsidRDefault="003203A4" w:rsidP="00EC5883">
      <w:pPr>
        <w:spacing w:after="0" w:line="240" w:lineRule="auto"/>
        <w:rPr>
          <w:lang w:val="en-US" w:eastAsia="de-CH"/>
        </w:rPr>
      </w:pPr>
      <w:r>
        <w:rPr>
          <w:lang w:val="en-US" w:eastAsia="de-CH"/>
        </w:rPr>
        <w:t>Travis D. Masterson</w:t>
      </w:r>
    </w:p>
    <w:p w14:paraId="67195BF9" w14:textId="0B0BEE4B" w:rsidR="007B32B2" w:rsidRPr="00AB3D81" w:rsidRDefault="003203A4" w:rsidP="00EC5883">
      <w:pPr>
        <w:spacing w:after="0" w:line="240" w:lineRule="auto"/>
        <w:rPr>
          <w:lang w:val="en-US" w:eastAsia="de-CH"/>
        </w:rPr>
      </w:pPr>
      <w:r>
        <w:rPr>
          <w:lang w:val="en-US" w:eastAsia="de-CH"/>
        </w:rPr>
        <w:t>Department of Nutritional Sciences</w:t>
      </w:r>
    </w:p>
    <w:p w14:paraId="52EA3A6C" w14:textId="3C6B94C5" w:rsidR="007B32B2" w:rsidRPr="00AB3D81" w:rsidRDefault="003203A4" w:rsidP="00EC5883">
      <w:pPr>
        <w:spacing w:after="0" w:line="240" w:lineRule="auto"/>
        <w:rPr>
          <w:lang w:val="en-US" w:eastAsia="de-CH"/>
        </w:rPr>
      </w:pPr>
      <w:r>
        <w:rPr>
          <w:lang w:val="en-US" w:eastAsia="de-CH"/>
        </w:rPr>
        <w:t>The Pennsylvania State University</w:t>
      </w:r>
    </w:p>
    <w:p w14:paraId="7ED01F57" w14:textId="4B97FEAD" w:rsidR="007B32B2" w:rsidRPr="00AB3D81" w:rsidRDefault="003203A4" w:rsidP="00EC5883">
      <w:pPr>
        <w:spacing w:after="0" w:line="240" w:lineRule="auto"/>
        <w:rPr>
          <w:lang w:val="en-US" w:eastAsia="de-CH"/>
        </w:rPr>
      </w:pPr>
      <w:r>
        <w:rPr>
          <w:lang w:val="en-US" w:eastAsia="de-CH"/>
        </w:rPr>
        <w:t>110 Chandlee Laboratory</w:t>
      </w:r>
    </w:p>
    <w:p w14:paraId="114F5235" w14:textId="0937FFCF" w:rsidR="007B32B2" w:rsidRPr="00AB3D81" w:rsidRDefault="003203A4" w:rsidP="00EC5883">
      <w:pPr>
        <w:spacing w:after="0" w:line="240" w:lineRule="auto"/>
        <w:rPr>
          <w:lang w:val="en-US" w:eastAsia="de-CH"/>
        </w:rPr>
      </w:pPr>
      <w:r>
        <w:rPr>
          <w:lang w:val="en-US" w:eastAsia="de-CH"/>
        </w:rPr>
        <w:t>University Park, PA, 16802</w:t>
      </w:r>
    </w:p>
    <w:p w14:paraId="2B1169A3" w14:textId="47AE9412" w:rsidR="007B32B2" w:rsidRPr="00AB3D81" w:rsidRDefault="007B32B2" w:rsidP="00EC5883">
      <w:pPr>
        <w:spacing w:after="0" w:line="240" w:lineRule="auto"/>
        <w:rPr>
          <w:lang w:val="en-US" w:eastAsia="de-CH"/>
        </w:rPr>
      </w:pPr>
      <w:r w:rsidRPr="00AB3D81">
        <w:rPr>
          <w:lang w:val="en-US" w:eastAsia="de-CH"/>
        </w:rPr>
        <w:t>Tel:</w:t>
      </w:r>
      <w:r w:rsidR="003203A4">
        <w:rPr>
          <w:lang w:val="en-US" w:eastAsia="de-CH"/>
        </w:rPr>
        <w:t xml:space="preserve"> </w:t>
      </w:r>
      <w:r w:rsidR="005946E6" w:rsidRPr="005946E6">
        <w:rPr>
          <w:lang w:val="en-US" w:eastAsia="de-CH"/>
        </w:rPr>
        <w:t>603-450-9235</w:t>
      </w:r>
    </w:p>
    <w:p w14:paraId="560E5666" w14:textId="3E5FC21F" w:rsidR="007B32B2" w:rsidRPr="00AB3D81" w:rsidRDefault="007B32B2" w:rsidP="00EC5883">
      <w:pPr>
        <w:spacing w:after="0" w:line="240" w:lineRule="auto"/>
        <w:rPr>
          <w:lang w:val="en-US" w:eastAsia="de-CH"/>
        </w:rPr>
      </w:pPr>
      <w:r w:rsidRPr="00AB3D81">
        <w:rPr>
          <w:lang w:val="en-US" w:eastAsia="de-CH"/>
        </w:rPr>
        <w:t>E-mail:</w:t>
      </w:r>
      <w:r w:rsidR="003203A4">
        <w:rPr>
          <w:lang w:val="en-US" w:eastAsia="de-CH"/>
        </w:rPr>
        <w:t xml:space="preserve"> tpm5262@psu.edu</w:t>
      </w:r>
    </w:p>
    <w:p w14:paraId="7F156C21" w14:textId="77777777" w:rsidR="007B32B2" w:rsidRPr="00AB3D81" w:rsidRDefault="007B32B2" w:rsidP="007B32B2">
      <w:pPr>
        <w:spacing w:after="120" w:line="360" w:lineRule="auto"/>
        <w:rPr>
          <w:lang w:val="en-US" w:eastAsia="de-CH"/>
        </w:rPr>
      </w:pPr>
    </w:p>
    <w:p w14:paraId="73E22F76" w14:textId="73C03FD4" w:rsidR="007B32B2" w:rsidRPr="00AB3D81" w:rsidRDefault="007B32B2" w:rsidP="007B32B2">
      <w:pPr>
        <w:spacing w:after="120" w:line="360" w:lineRule="auto"/>
        <w:rPr>
          <w:lang w:val="en-US" w:eastAsia="de-CH"/>
        </w:rPr>
      </w:pPr>
      <w:r w:rsidRPr="00AB3D81">
        <w:rPr>
          <w:lang w:val="en-US" w:eastAsia="de-CH"/>
        </w:rPr>
        <w:t xml:space="preserve">Number of Tables: </w:t>
      </w:r>
      <w:r w:rsidR="003203A4">
        <w:rPr>
          <w:lang w:val="en-US" w:eastAsia="de-CH"/>
        </w:rPr>
        <w:t>0</w:t>
      </w:r>
    </w:p>
    <w:p w14:paraId="4743BD46" w14:textId="6FCF0C50" w:rsidR="007B32B2" w:rsidRPr="00AB3D81" w:rsidRDefault="007B32B2" w:rsidP="007B32B2">
      <w:pPr>
        <w:spacing w:after="120" w:line="360" w:lineRule="auto"/>
        <w:rPr>
          <w:lang w:val="en-US" w:eastAsia="de-CH"/>
        </w:rPr>
      </w:pPr>
      <w:r w:rsidRPr="00AB3D81">
        <w:rPr>
          <w:lang w:val="en-US" w:eastAsia="de-CH"/>
        </w:rPr>
        <w:t xml:space="preserve">Number of Figures: </w:t>
      </w:r>
      <w:r w:rsidR="003203A4">
        <w:rPr>
          <w:lang w:val="en-US" w:eastAsia="de-CH"/>
        </w:rPr>
        <w:t>1</w:t>
      </w:r>
    </w:p>
    <w:p w14:paraId="0CC10691" w14:textId="7213C9C7" w:rsidR="007B32B2" w:rsidRPr="00AB3D81" w:rsidRDefault="007B32B2" w:rsidP="007B32B2">
      <w:pPr>
        <w:spacing w:after="120" w:line="360" w:lineRule="auto"/>
        <w:rPr>
          <w:lang w:val="en-US" w:eastAsia="de-CH"/>
        </w:rPr>
      </w:pPr>
      <w:r w:rsidRPr="00AB3D81">
        <w:rPr>
          <w:lang w:val="en-US" w:eastAsia="de-CH"/>
        </w:rPr>
        <w:t xml:space="preserve">Word count: </w:t>
      </w:r>
      <w:r w:rsidR="00FD4D8F">
        <w:rPr>
          <w:lang w:val="en-US" w:eastAsia="de-CH"/>
        </w:rPr>
        <w:t>1</w:t>
      </w:r>
      <w:r w:rsidR="00F54E42">
        <w:rPr>
          <w:lang w:val="en-US" w:eastAsia="de-CH"/>
        </w:rPr>
        <w:t>2</w:t>
      </w:r>
      <w:r w:rsidR="0044297C">
        <w:rPr>
          <w:lang w:val="en-US" w:eastAsia="de-CH"/>
        </w:rPr>
        <w:t>14</w:t>
      </w:r>
    </w:p>
    <w:p w14:paraId="122672DE" w14:textId="5FC03D39" w:rsidR="00D21F1D" w:rsidRPr="004856A5" w:rsidRDefault="007B32B2" w:rsidP="00721412">
      <w:pPr>
        <w:spacing w:after="120" w:line="360" w:lineRule="auto"/>
        <w:rPr>
          <w:lang w:val="en-US" w:eastAsia="de-CH"/>
        </w:rPr>
        <w:sectPr w:rsidR="00D21F1D" w:rsidRPr="004856A5">
          <w:footerReference w:type="default" r:id="rId11"/>
          <w:pgSz w:w="11906" w:h="16838"/>
          <w:pgMar w:top="1417" w:right="1417" w:bottom="1134" w:left="1417" w:header="708" w:footer="708" w:gutter="0"/>
          <w:cols w:space="708"/>
          <w:docGrid w:linePitch="360"/>
        </w:sectPr>
      </w:pPr>
      <w:r w:rsidRPr="00AB3D81">
        <w:rPr>
          <w:lang w:val="en-US" w:eastAsia="de-CH"/>
        </w:rPr>
        <w:t xml:space="preserve">Keywords: </w:t>
      </w:r>
      <w:r w:rsidR="00BA41D9">
        <w:rPr>
          <w:lang w:val="en-US" w:eastAsia="de-CH"/>
        </w:rPr>
        <w:t xml:space="preserve">Food Marketing; </w:t>
      </w:r>
      <w:r w:rsidR="00B61CBE">
        <w:rPr>
          <w:lang w:val="en-US" w:eastAsia="de-CH"/>
        </w:rPr>
        <w:t>Twitch; Lives</w:t>
      </w:r>
      <w:r w:rsidR="00712BBC">
        <w:rPr>
          <w:lang w:val="en-US" w:eastAsia="de-CH"/>
        </w:rPr>
        <w:t xml:space="preserve">treaming; </w:t>
      </w:r>
      <w:r w:rsidR="00FD4D8F">
        <w:rPr>
          <w:lang w:val="en-US" w:eastAsia="de-CH"/>
        </w:rPr>
        <w:t>Censor</w:t>
      </w:r>
      <w:r w:rsidR="00712BBC">
        <w:rPr>
          <w:lang w:val="en-US" w:eastAsia="de-CH"/>
        </w:rPr>
        <w:t>ship</w:t>
      </w:r>
      <w:r w:rsidR="00FD4D8F">
        <w:rPr>
          <w:lang w:val="en-US" w:eastAsia="de-CH"/>
        </w:rPr>
        <w:t xml:space="preserve">; </w:t>
      </w:r>
      <w:r w:rsidR="00F54E42">
        <w:rPr>
          <w:lang w:val="en-US" w:eastAsia="de-CH"/>
        </w:rPr>
        <w:t>Digital Marketin</w:t>
      </w:r>
      <w:r w:rsidR="005246F5">
        <w:rPr>
          <w:lang w:val="en-US" w:eastAsia="de-CH"/>
        </w:rPr>
        <w:t>g</w:t>
      </w:r>
    </w:p>
    <w:p w14:paraId="681175FA" w14:textId="77777777" w:rsidR="003E02A1" w:rsidRPr="005946E6" w:rsidRDefault="00387A07" w:rsidP="00721412">
      <w:pPr>
        <w:spacing w:after="120" w:line="360" w:lineRule="auto"/>
        <w:rPr>
          <w:rFonts w:ascii="Cambria" w:eastAsia="Times New Roman" w:hAnsi="Cambria"/>
          <w:b/>
          <w:bCs/>
          <w:sz w:val="26"/>
          <w:szCs w:val="26"/>
          <w:lang w:val="en-GB"/>
        </w:rPr>
      </w:pPr>
      <w:bookmarkStart w:id="0" w:name="_Toc460500633"/>
      <w:bookmarkStart w:id="1" w:name="_Toc460500638"/>
      <w:r w:rsidRPr="005946E6">
        <w:rPr>
          <w:rFonts w:ascii="Cambria" w:eastAsia="Times New Roman" w:hAnsi="Cambria"/>
          <w:b/>
          <w:bCs/>
          <w:sz w:val="26"/>
          <w:szCs w:val="26"/>
          <w:lang w:val="en-GB"/>
        </w:rPr>
        <w:lastRenderedPageBreak/>
        <w:t>Text</w:t>
      </w:r>
      <w:bookmarkEnd w:id="0"/>
    </w:p>
    <w:p w14:paraId="4ED18955" w14:textId="43C86AEF" w:rsidR="00712BBC" w:rsidRPr="005946E6" w:rsidRDefault="00712BBC" w:rsidP="00712BBC">
      <w:pPr>
        <w:spacing w:line="480" w:lineRule="auto"/>
        <w:ind w:firstLine="720"/>
        <w:rPr>
          <w:rFonts w:ascii="Times New Roman" w:hAnsi="Times New Roman"/>
        </w:rPr>
      </w:pPr>
      <w:r w:rsidRPr="005946E6">
        <w:rPr>
          <w:rFonts w:ascii="Times New Roman" w:hAnsi="Times New Roman"/>
        </w:rPr>
        <w:t>Children and adults are spending ever increasing amounts of time online</w:t>
      </w:r>
      <w:r w:rsidR="00F17C69">
        <w:rPr>
          <w:rFonts w:ascii="Times New Roman" w:hAnsi="Times New Roman"/>
        </w:rPr>
        <w:t xml:space="preserve"> </w:t>
      </w:r>
      <w:r w:rsidRPr="005946E6">
        <w:rPr>
          <w:rFonts w:ascii="Times New Roman" w:hAnsi="Times New Roman"/>
        </w:rPr>
        <w:fldChar w:fldCharType="begin" w:fldLock="1"/>
      </w:r>
      <w:r w:rsidR="006D32F1">
        <w:rPr>
          <w:rFonts w:ascii="Times New Roman" w:hAnsi="Times New Roman"/>
        </w:rPr>
        <w:instrText>ADDIN CSL_CITATION {"citationItems":[{"id":"ITEM-1","itemData":{"abstract":"There has been a significant increase in the self-reported volume of internet use since 2011. Overall estimated weekly volume of use of the internet among users has increased to an average of just under 17 hours per week (16.8 vs. 15.1 hours in 2011). Over half (53%) of UK adults now use a mobile phone to go online, rising to 86% among smartphone users, and more than one in ten use a tablet computer (16%), games console/ player (16%), or a portable media player (12%), all significant increases since 2011. On average, UK adult internet users claim to visit 19 websites in a typical week. There are considerable differences between demographic groups; for example, those over 75 estimate that they visit on average seven websites and ‘narrow users’ 1 six. This compares to people in AB households, and men, who estimate that they visit on average 27 and 24 respectively. Some 22% UK adult internet users say they visit fewer than five websites in a typical week.","author":[{"dropping-particle":"","family":"Ofcom","given":"","non-dropping-particle":"","parse-names":false,"suffix":""}],"container-title":"Ofcom","id":"ITEM-1","issue":"May","issued":{"date-parts":[["2019"]]},"number-of-pages":"1-21","title":"Adults: Media use and attitudes report 2019","type":"report"},"uris":["http://www.mendeley.com/documents/?uuid=35fcee48-4d4a-4ce2-8ae0-a1f1b957a2ae"]},{"id":"ITEM-2","itemData":{"abstract":"Our 2013 Children and Parents: Media Use and Attitudes report provides detailed evidence \\non media use, attitudes and understanding among children and young people aged 5-15. \\nFor the first time it also provides detailed information about access to, and use of, media \\namong children aged 3-4.","author":[{"dropping-particle":"","family":"OfCom","given":"","non-dropping-particle":"","parse-names":false,"suffix":""}],"container-title":"Ofcom","id":"ITEM-2","issue":"October","issued":{"date-parts":[["2019"]]},"number-of-pages":"1-34","title":"Children and Parents: Media Use and Attitudes","type":"report"},"uris":["http://www.mendeley.com/documents/?uuid=eb0488a3-7011-4cf6-ab6d-a995a5936bfb"]}],"mendeley":{"formattedCitation":"[1], [2]","plainTextFormattedCitation":"[1], [2]","previouslyFormattedCitation":"[1], [2]"},"properties":{"noteIndex":0},"schema":"https://github.com/citation-style-language/schema/raw/master/csl-citation.json"}</w:instrText>
      </w:r>
      <w:r w:rsidRPr="005946E6">
        <w:rPr>
          <w:rFonts w:ascii="Times New Roman" w:hAnsi="Times New Roman"/>
        </w:rPr>
        <w:fldChar w:fldCharType="separate"/>
      </w:r>
      <w:r w:rsidR="00FA30B0" w:rsidRPr="005946E6">
        <w:rPr>
          <w:rFonts w:ascii="Times New Roman" w:hAnsi="Times New Roman"/>
          <w:noProof/>
        </w:rPr>
        <w:t>[1], [2]</w:t>
      </w:r>
      <w:r w:rsidRPr="005946E6">
        <w:rPr>
          <w:rFonts w:ascii="Times New Roman" w:hAnsi="Times New Roman"/>
        </w:rPr>
        <w:fldChar w:fldCharType="end"/>
      </w:r>
      <w:r w:rsidRPr="005946E6">
        <w:rPr>
          <w:rFonts w:ascii="Times New Roman" w:hAnsi="Times New Roman"/>
        </w:rPr>
        <w:t xml:space="preserve">.  In recent years, companies such as Amazon, Microsoft, and Google have invested heavily in a new form of online social media referred to as “livestreaming.” Livestreaming platforms, such as the Amazon owned platform Twitch, are hybrid social media platforms that enable users to broadcast live audio and visual content to viewers. Viewers can </w:t>
      </w:r>
      <w:r w:rsidR="00EC5883">
        <w:rPr>
          <w:rFonts w:ascii="Times New Roman" w:hAnsi="Times New Roman"/>
        </w:rPr>
        <w:t>also</w:t>
      </w:r>
      <w:r w:rsidRPr="005946E6">
        <w:rPr>
          <w:rFonts w:ascii="Times New Roman" w:hAnsi="Times New Roman"/>
        </w:rPr>
        <w:t xml:space="preserve"> interact with streamers in real-time through a</w:t>
      </w:r>
      <w:r w:rsidR="00EC5883">
        <w:rPr>
          <w:rFonts w:ascii="Times New Roman" w:hAnsi="Times New Roman"/>
        </w:rPr>
        <w:t xml:space="preserve"> live </w:t>
      </w:r>
      <w:r w:rsidRPr="005946E6">
        <w:rPr>
          <w:rFonts w:ascii="Times New Roman" w:hAnsi="Times New Roman"/>
        </w:rPr>
        <w:t xml:space="preserve">interactive chat </w:t>
      </w:r>
      <w:r w:rsidR="00EC5883">
        <w:rPr>
          <w:rFonts w:ascii="Times New Roman" w:hAnsi="Times New Roman"/>
        </w:rPr>
        <w:t>room</w:t>
      </w:r>
      <w:r w:rsidRPr="005946E6">
        <w:rPr>
          <w:rFonts w:ascii="Times New Roman" w:hAnsi="Times New Roman"/>
        </w:rPr>
        <w:t xml:space="preserve">. Aside from being able to garner </w:t>
      </w:r>
      <w:r w:rsidR="00827B42">
        <w:rPr>
          <w:rFonts w:ascii="Times New Roman" w:hAnsi="Times New Roman"/>
        </w:rPr>
        <w:t>a large viewership</w:t>
      </w:r>
      <w:r w:rsidR="00F17C69">
        <w:rPr>
          <w:rFonts w:ascii="Times New Roman" w:hAnsi="Times New Roman"/>
        </w:rPr>
        <w:t xml:space="preserve"> </w:t>
      </w:r>
      <w:r w:rsidRPr="005946E6">
        <w:rPr>
          <w:rFonts w:ascii="Times New Roman" w:hAnsi="Times New Roman"/>
        </w:rPr>
        <w:fldChar w:fldCharType="begin" w:fldLock="1"/>
      </w:r>
      <w:r w:rsidR="006D32F1">
        <w:rPr>
          <w:rFonts w:ascii="Times New Roman" w:hAnsi="Times New Roman"/>
        </w:rPr>
        <w:instrText>ADDIN CSL_CITATION {"citationItems":[{"id":"ITEM-1","itemData":{"URL":"https://web.archive.org/web/20181218214411/https://www.twitch.tv/year/2017/factsheet.jpg","accessed":{"date-parts":[["2006","9","20"]]},"author":[{"dropping-particle":"","family":"Quantcast","given":"","non-dropping-particle":"","parse-names":false,"suffix":""}],"container-title":"Quantcast","id":"ITEM-1","issued":{"date-parts":[["2017"]]},"title":"Twtich.tv traffic and demographic statistics by Quantcast","type":"webpage"},"uris":["http://www.mendeley.com/documents/?uuid=8c300b71-e890-4788-bfd5-c60066c3b3a9"]}],"mendeley":{"formattedCitation":"[3]","plainTextFormattedCitation":"[3]","previouslyFormattedCitation":"[3]"},"properties":{"noteIndex":0},"schema":"https://github.com/citation-style-language/schema/raw/master/csl-citation.json"}</w:instrText>
      </w:r>
      <w:r w:rsidRPr="005946E6">
        <w:rPr>
          <w:rFonts w:ascii="Times New Roman" w:hAnsi="Times New Roman"/>
        </w:rPr>
        <w:fldChar w:fldCharType="separate"/>
      </w:r>
      <w:r w:rsidR="00FA30B0" w:rsidRPr="005946E6">
        <w:rPr>
          <w:rFonts w:ascii="Times New Roman" w:hAnsi="Times New Roman"/>
          <w:noProof/>
        </w:rPr>
        <w:t>[3]</w:t>
      </w:r>
      <w:r w:rsidRPr="005946E6">
        <w:rPr>
          <w:rFonts w:ascii="Times New Roman" w:hAnsi="Times New Roman"/>
        </w:rPr>
        <w:fldChar w:fldCharType="end"/>
      </w:r>
      <w:r w:rsidRPr="005946E6">
        <w:rPr>
          <w:rFonts w:ascii="Times New Roman" w:hAnsi="Times New Roman"/>
        </w:rPr>
        <w:t>, livestreaming provides unique marketing opportunities. The instantaneous nature of commun</w:t>
      </w:r>
      <w:r w:rsidR="0025571C">
        <w:rPr>
          <w:rFonts w:ascii="Times New Roman" w:hAnsi="Times New Roman"/>
        </w:rPr>
        <w:t>ication within the live</w:t>
      </w:r>
      <w:r w:rsidRPr="005946E6">
        <w:rPr>
          <w:rFonts w:ascii="Times New Roman" w:hAnsi="Times New Roman"/>
        </w:rPr>
        <w:t>stream environment allows for amplification of typical marketing techniques such as product placement and endorsement through direct interaction between marketers and potential consumers. For example, not only can a company place a product in the stream of content</w:t>
      </w:r>
      <w:r w:rsidR="00EC5883">
        <w:rPr>
          <w:rFonts w:ascii="Times New Roman" w:hAnsi="Times New Roman"/>
        </w:rPr>
        <w:t>,</w:t>
      </w:r>
      <w:r w:rsidRPr="005946E6">
        <w:rPr>
          <w:rFonts w:ascii="Times New Roman" w:hAnsi="Times New Roman"/>
        </w:rPr>
        <w:t xml:space="preserve"> ensuring viewer exposure to the produ</w:t>
      </w:r>
      <w:r w:rsidR="0025571C">
        <w:rPr>
          <w:rFonts w:ascii="Times New Roman" w:hAnsi="Times New Roman"/>
        </w:rPr>
        <w:t>ct</w:t>
      </w:r>
      <w:r w:rsidR="00EC5883">
        <w:rPr>
          <w:rFonts w:ascii="Times New Roman" w:hAnsi="Times New Roman"/>
        </w:rPr>
        <w:t>,</w:t>
      </w:r>
      <w:r w:rsidR="0025571C">
        <w:rPr>
          <w:rFonts w:ascii="Times New Roman" w:hAnsi="Times New Roman"/>
        </w:rPr>
        <w:t xml:space="preserve"> </w:t>
      </w:r>
      <w:r w:rsidRPr="005946E6">
        <w:rPr>
          <w:rFonts w:ascii="Times New Roman" w:hAnsi="Times New Roman"/>
        </w:rPr>
        <w:t>they can</w:t>
      </w:r>
      <w:r w:rsidR="00EC5883">
        <w:rPr>
          <w:rFonts w:ascii="Times New Roman" w:hAnsi="Times New Roman"/>
        </w:rPr>
        <w:t xml:space="preserve"> also</w:t>
      </w:r>
      <w:r w:rsidRPr="005946E6">
        <w:rPr>
          <w:rFonts w:ascii="Times New Roman" w:hAnsi="Times New Roman"/>
        </w:rPr>
        <w:t xml:space="preserve"> have the streamer interact with the product, endorse the product, and engage users about the product</w:t>
      </w:r>
      <w:r w:rsidR="00EC5883">
        <w:rPr>
          <w:rFonts w:ascii="Times New Roman" w:hAnsi="Times New Roman"/>
        </w:rPr>
        <w:t>. This set of interactions can provide</w:t>
      </w:r>
      <w:r w:rsidRPr="005946E6">
        <w:rPr>
          <w:rFonts w:ascii="Times New Roman" w:hAnsi="Times New Roman"/>
        </w:rPr>
        <w:t xml:space="preserve"> a seemingly “authentic” experience for the </w:t>
      </w:r>
      <w:r w:rsidR="00AB7E7D">
        <w:rPr>
          <w:rFonts w:ascii="Times New Roman" w:hAnsi="Times New Roman"/>
        </w:rPr>
        <w:t xml:space="preserve">potential </w:t>
      </w:r>
      <w:r w:rsidRPr="005946E6">
        <w:rPr>
          <w:rFonts w:ascii="Times New Roman" w:hAnsi="Times New Roman"/>
        </w:rPr>
        <w:t>consumer. Additionally, companies can directly and instantaneously interact with viewers by initiating</w:t>
      </w:r>
      <w:r w:rsidR="00AB7E7D">
        <w:rPr>
          <w:rFonts w:ascii="Times New Roman" w:hAnsi="Times New Roman"/>
        </w:rPr>
        <w:t xml:space="preserve"> advertisments,</w:t>
      </w:r>
      <w:r w:rsidRPr="005946E6">
        <w:rPr>
          <w:rFonts w:ascii="Times New Roman" w:hAnsi="Times New Roman"/>
        </w:rPr>
        <w:t xml:space="preserve"> real-time games</w:t>
      </w:r>
      <w:r w:rsidR="00AB7E7D">
        <w:rPr>
          <w:rFonts w:ascii="Times New Roman" w:hAnsi="Times New Roman"/>
        </w:rPr>
        <w:t>,</w:t>
      </w:r>
      <w:r w:rsidRPr="005946E6">
        <w:rPr>
          <w:rFonts w:ascii="Times New Roman" w:hAnsi="Times New Roman"/>
        </w:rPr>
        <w:t xml:space="preserve"> and </w:t>
      </w:r>
      <w:r w:rsidR="00AB7E7D">
        <w:rPr>
          <w:rFonts w:ascii="Times New Roman" w:hAnsi="Times New Roman"/>
        </w:rPr>
        <w:t xml:space="preserve">promotional </w:t>
      </w:r>
      <w:r w:rsidRPr="005946E6">
        <w:rPr>
          <w:rFonts w:ascii="Times New Roman" w:hAnsi="Times New Roman"/>
        </w:rPr>
        <w:t xml:space="preserve">giveaways </w:t>
      </w:r>
      <w:r w:rsidR="0014542D">
        <w:rPr>
          <w:rFonts w:ascii="Times New Roman" w:hAnsi="Times New Roman"/>
        </w:rPr>
        <w:t xml:space="preserve">that </w:t>
      </w:r>
      <w:r w:rsidRPr="005946E6">
        <w:rPr>
          <w:rFonts w:ascii="Times New Roman" w:hAnsi="Times New Roman"/>
        </w:rPr>
        <w:t>further generat</w:t>
      </w:r>
      <w:r w:rsidR="0014542D">
        <w:rPr>
          <w:rFonts w:ascii="Times New Roman" w:hAnsi="Times New Roman"/>
        </w:rPr>
        <w:t>e</w:t>
      </w:r>
      <w:r w:rsidRPr="005946E6">
        <w:rPr>
          <w:rFonts w:ascii="Times New Roman" w:hAnsi="Times New Roman"/>
        </w:rPr>
        <w:t xml:space="preserve"> conversation </w:t>
      </w:r>
      <w:r w:rsidR="00AB7E7D">
        <w:rPr>
          <w:rFonts w:ascii="Times New Roman" w:hAnsi="Times New Roman"/>
        </w:rPr>
        <w:t xml:space="preserve">within the chat rooms invloved </w:t>
      </w:r>
      <w:r w:rsidRPr="005946E6">
        <w:rPr>
          <w:rFonts w:ascii="Times New Roman" w:hAnsi="Times New Roman"/>
        </w:rPr>
        <w:t xml:space="preserve">around their </w:t>
      </w:r>
      <w:r w:rsidR="00FA47F4">
        <w:rPr>
          <w:rFonts w:ascii="Times New Roman" w:hAnsi="Times New Roman"/>
        </w:rPr>
        <w:t xml:space="preserve">brands </w:t>
      </w:r>
      <w:r w:rsidR="00AB7E7D">
        <w:rPr>
          <w:rFonts w:ascii="Times New Roman" w:hAnsi="Times New Roman"/>
        </w:rPr>
        <w:t>and</w:t>
      </w:r>
      <w:r w:rsidR="00FA47F4">
        <w:rPr>
          <w:rFonts w:ascii="Times New Roman" w:hAnsi="Times New Roman"/>
        </w:rPr>
        <w:t xml:space="preserve"> </w:t>
      </w:r>
      <w:r w:rsidRPr="005946E6">
        <w:rPr>
          <w:rFonts w:ascii="Times New Roman" w:hAnsi="Times New Roman"/>
        </w:rPr>
        <w:t>products.</w:t>
      </w:r>
    </w:p>
    <w:p w14:paraId="578E5F2A" w14:textId="3AB8436C" w:rsidR="00712BBC" w:rsidRPr="005946E6" w:rsidRDefault="00712BBC" w:rsidP="00712BBC">
      <w:pPr>
        <w:spacing w:line="480" w:lineRule="auto"/>
        <w:ind w:firstLine="720"/>
        <w:rPr>
          <w:rFonts w:ascii="Times New Roman" w:hAnsi="Times New Roman"/>
        </w:rPr>
      </w:pPr>
      <w:r w:rsidRPr="005946E6">
        <w:rPr>
          <w:rFonts w:ascii="Times New Roman" w:hAnsi="Times New Roman"/>
        </w:rPr>
        <w:t>Since its arrival in 2011</w:t>
      </w:r>
      <w:r w:rsidR="00FA47F4">
        <w:rPr>
          <w:rFonts w:ascii="Times New Roman" w:hAnsi="Times New Roman"/>
        </w:rPr>
        <w:t>,</w:t>
      </w:r>
      <w:r w:rsidRPr="005946E6">
        <w:rPr>
          <w:rFonts w:ascii="Times New Roman" w:hAnsi="Times New Roman"/>
        </w:rPr>
        <w:t xml:space="preserve"> Twitch has become the largest livestreaming platform, reportedly broadcasting 355 billion minutes of content to an average of 15 million unique daily visitors in 2017</w:t>
      </w:r>
      <w:r w:rsidR="00F17C69">
        <w:rPr>
          <w:rFonts w:ascii="Times New Roman" w:hAnsi="Times New Roman"/>
        </w:rPr>
        <w:t xml:space="preserve"> </w:t>
      </w:r>
      <w:r w:rsidRPr="005946E6">
        <w:rPr>
          <w:rFonts w:ascii="Times New Roman" w:hAnsi="Times New Roman"/>
        </w:rPr>
        <w:fldChar w:fldCharType="begin" w:fldLock="1"/>
      </w:r>
      <w:r w:rsidR="006D32F1">
        <w:rPr>
          <w:rFonts w:ascii="Times New Roman" w:hAnsi="Times New Roman"/>
        </w:rPr>
        <w:instrText>ADDIN CSL_CITATION {"citationItems":[{"id":"ITEM-1","itemData":{"URL":"https://web.archive.org/web/20181218214411/https://www.twitch.tv/year/2017/factsheet.jpg","accessed":{"date-parts":[["2006","9","20"]]},"author":[{"dropping-particle":"","family":"Twitch","given":"","non-dropping-particle":"","parse-names":false,"suffix":""}],"container-title":"Twitch","id":"ITEM-1","issued":{"date-parts":[["2018"]]},"title":"Twitch 2017 Year in Review","type":"webpage"},"uris":["http://www.mendeley.com/documents/?uuid=ad4241d0-0f5e-4f59-94a7-897f59dbcb88"]}],"mendeley":{"formattedCitation":"[4]","plainTextFormattedCitation":"[4]","previouslyFormattedCitation":"[4]"},"properties":{"noteIndex":0},"schema":"https://github.com/citation-style-language/schema/raw/master/csl-citation.json"}</w:instrText>
      </w:r>
      <w:r w:rsidRPr="005946E6">
        <w:rPr>
          <w:rFonts w:ascii="Times New Roman" w:hAnsi="Times New Roman"/>
        </w:rPr>
        <w:fldChar w:fldCharType="separate"/>
      </w:r>
      <w:r w:rsidR="00FA30B0" w:rsidRPr="005946E6">
        <w:rPr>
          <w:rFonts w:ascii="Times New Roman" w:hAnsi="Times New Roman"/>
          <w:noProof/>
        </w:rPr>
        <w:t>[4]</w:t>
      </w:r>
      <w:r w:rsidRPr="005946E6">
        <w:rPr>
          <w:rFonts w:ascii="Times New Roman" w:hAnsi="Times New Roman"/>
        </w:rPr>
        <w:fldChar w:fldCharType="end"/>
      </w:r>
      <w:r w:rsidRPr="005946E6">
        <w:rPr>
          <w:rFonts w:ascii="Times New Roman" w:hAnsi="Times New Roman"/>
        </w:rPr>
        <w:t>. In parallel with a growing stream of viewership (91% of whom are estimated to be male, and 60% estimated to be between the ages of 18 and 34), Twitch’s marketing revenue, including from the food and beverage industry</w:t>
      </w:r>
      <w:r w:rsidR="00FA47F4">
        <w:rPr>
          <w:rFonts w:ascii="Times New Roman" w:hAnsi="Times New Roman"/>
        </w:rPr>
        <w:t xml:space="preserve">, </w:t>
      </w:r>
      <w:r w:rsidR="00FA47F4" w:rsidRPr="005946E6">
        <w:rPr>
          <w:rFonts w:ascii="Times New Roman" w:hAnsi="Times New Roman"/>
        </w:rPr>
        <w:t xml:space="preserve">is on a rapid upward trajectory </w:t>
      </w:r>
      <w:r w:rsidRPr="005946E6">
        <w:rPr>
          <w:rFonts w:ascii="Times New Roman" w:hAnsi="Times New Roman"/>
        </w:rPr>
        <w:fldChar w:fldCharType="begin" w:fldLock="1"/>
      </w:r>
      <w:r w:rsidR="006D32F1">
        <w:rPr>
          <w:rFonts w:ascii="Times New Roman" w:hAnsi="Times New Roman"/>
        </w:rPr>
        <w:instrText>ADDIN CSL_CITATION {"citationItems":[{"id":"ITEM-1","itemData":{"URL":"https://web.archive.org/web/20181218214411/https://www.twitch.tv/year/2017/factsheet.jpg","accessed":{"date-parts":[["2006","9","20"]]},"author":[{"dropping-particle":"","family":"Quantcast","given":"","non-dropping-particle":"","parse-names":false,"suffix":""}],"container-title":"Quantcast","id":"ITEM-1","issued":{"date-parts":[["2017"]]},"title":"Twtich.tv traffic and demographic statistics by Quantcast","type":"webpage"},"uris":["http://www.mendeley.com/documents/?uuid=8c300b71-e890-4788-bfd5-c60066c3b3a9"]}],"mendeley":{"formattedCitation":"[3]","plainTextFormattedCitation":"[3]","previouslyFormattedCitation":"[3]"},"properties":{"noteIndex":0},"schema":"https://github.com/citation-style-language/schema/raw/master/csl-citation.json"}</w:instrText>
      </w:r>
      <w:r w:rsidRPr="005946E6">
        <w:rPr>
          <w:rFonts w:ascii="Times New Roman" w:hAnsi="Times New Roman"/>
        </w:rPr>
        <w:fldChar w:fldCharType="separate"/>
      </w:r>
      <w:r w:rsidR="00FA30B0" w:rsidRPr="005946E6">
        <w:rPr>
          <w:rFonts w:ascii="Times New Roman" w:hAnsi="Times New Roman"/>
          <w:noProof/>
        </w:rPr>
        <w:t>[3]</w:t>
      </w:r>
      <w:r w:rsidRPr="005946E6">
        <w:rPr>
          <w:rFonts w:ascii="Times New Roman" w:hAnsi="Times New Roman"/>
        </w:rPr>
        <w:fldChar w:fldCharType="end"/>
      </w:r>
      <w:r w:rsidRPr="005946E6">
        <w:rPr>
          <w:rFonts w:ascii="Times New Roman" w:hAnsi="Times New Roman"/>
        </w:rPr>
        <w:t>. While the largest category of marketed food and beverage items on Twitch are energy drinks, there has been a rise in other products including fat</w:t>
      </w:r>
      <w:r w:rsidR="00656420">
        <w:rPr>
          <w:rFonts w:ascii="Times New Roman" w:hAnsi="Times New Roman"/>
        </w:rPr>
        <w:t>-</w:t>
      </w:r>
      <w:r w:rsidRPr="005946E6">
        <w:rPr>
          <w:rFonts w:ascii="Times New Roman" w:hAnsi="Times New Roman"/>
        </w:rPr>
        <w:t xml:space="preserve"> and </w:t>
      </w:r>
      <w:r w:rsidR="00656420" w:rsidRPr="005946E6">
        <w:rPr>
          <w:rFonts w:ascii="Times New Roman" w:hAnsi="Times New Roman"/>
        </w:rPr>
        <w:t>sugar</w:t>
      </w:r>
      <w:r w:rsidR="00656420">
        <w:rPr>
          <w:rFonts w:ascii="Times New Roman" w:hAnsi="Times New Roman"/>
        </w:rPr>
        <w:t>-</w:t>
      </w:r>
      <w:r w:rsidRPr="005946E6">
        <w:rPr>
          <w:rFonts w:ascii="Times New Roman" w:hAnsi="Times New Roman"/>
        </w:rPr>
        <w:t>laden products such as snack foods and candy</w:t>
      </w:r>
      <w:r w:rsidR="00F17C69">
        <w:rPr>
          <w:rFonts w:ascii="Times New Roman" w:hAnsi="Times New Roman"/>
        </w:rPr>
        <w:t xml:space="preserve"> </w:t>
      </w:r>
      <w:r w:rsidRPr="005946E6">
        <w:rPr>
          <w:rFonts w:ascii="Times New Roman" w:hAnsi="Times New Roman"/>
        </w:rPr>
        <w:fldChar w:fldCharType="begin" w:fldLock="1"/>
      </w:r>
      <w:r w:rsidR="006D32F1">
        <w:rPr>
          <w:rFonts w:ascii="Times New Roman" w:hAnsi="Times New Roman"/>
        </w:rPr>
        <w:instrText>ADDIN CSL_CITATION {"citationItems":[{"id":"ITEM-1","itemData":{"DOI":"10.1017/S1368980020002128","author":[{"dropping-particle":"","family":"Pollack","given":"Catherine C","non-dropping-particle":"","parse-names":false,"suffix":""},{"dropping-particle":"","family":"Kim","given":"Jason","non-dropping-particle":"","parse-names":false,"suffix":""},{"dropping-particle":"","family":"Emond","given":"Jennifer A","non-dropping-particle":"","parse-names":false,"suffix":""},{"dropping-particle":"","family":"Brand","given":"John","non-dropping-particle":"","parse-names":false,"suffix":""},{"dropping-particle":"","family":"Gilbert-diamond","given":"Diane","non-dropping-particle":"","parse-names":false,"suffix":""},{"dropping-particle":"","family":"Masterson","given":"Travis D","non-dropping-particle":"","parse-names":false,"suffix":""}],"id":"ITEM-1","issued":{"date-parts":[["2020"]]},"page":"1-11","title":"Prevalence and strategies of energy drink, soda, processed snack, candy and restaurant product marketing on the online streaming platform Twitch","type":"article-journal"},"uris":["http://www.mendeley.com/documents/?uuid=32a09a02-0e83-4422-87eb-b527e63101c3"]}],"mendeley":{"formattedCitation":"[5]","plainTextFormattedCitation":"[5]","previouslyFormattedCitation":"[5]"},"properties":{"noteIndex":0},"schema":"https://github.com/citation-style-language/schema/raw/master/csl-citation.json"}</w:instrText>
      </w:r>
      <w:r w:rsidRPr="005946E6">
        <w:rPr>
          <w:rFonts w:ascii="Times New Roman" w:hAnsi="Times New Roman"/>
        </w:rPr>
        <w:fldChar w:fldCharType="separate"/>
      </w:r>
      <w:r w:rsidR="00FA30B0" w:rsidRPr="005946E6">
        <w:rPr>
          <w:rFonts w:ascii="Times New Roman" w:hAnsi="Times New Roman"/>
          <w:noProof/>
        </w:rPr>
        <w:t>[5]</w:t>
      </w:r>
      <w:r w:rsidRPr="005946E6">
        <w:rPr>
          <w:rFonts w:ascii="Times New Roman" w:hAnsi="Times New Roman"/>
        </w:rPr>
        <w:fldChar w:fldCharType="end"/>
      </w:r>
      <w:r w:rsidRPr="005946E6">
        <w:rPr>
          <w:rFonts w:ascii="Times New Roman" w:hAnsi="Times New Roman"/>
        </w:rPr>
        <w:t>. As an example, in March of 2019, the Hershey Company collaborated with Twitch and a number of top livestreamers to promote its Hershey</w:t>
      </w:r>
      <w:r w:rsidR="00AB7E7D">
        <w:rPr>
          <w:rFonts w:ascii="Times New Roman" w:hAnsi="Times New Roman"/>
        </w:rPr>
        <w:t xml:space="preserve">’s </w:t>
      </w:r>
      <w:r w:rsidRPr="005946E6">
        <w:rPr>
          <w:rFonts w:ascii="Times New Roman" w:hAnsi="Times New Roman"/>
        </w:rPr>
        <w:t xml:space="preserve">and Reese’s brands. </w:t>
      </w:r>
      <w:r w:rsidR="00AB7E7D">
        <w:rPr>
          <w:rFonts w:ascii="Times New Roman" w:hAnsi="Times New Roman"/>
        </w:rPr>
        <w:t>D</w:t>
      </w:r>
      <w:r w:rsidRPr="005946E6">
        <w:rPr>
          <w:rFonts w:ascii="Times New Roman" w:hAnsi="Times New Roman"/>
        </w:rPr>
        <w:t xml:space="preserve">ata </w:t>
      </w:r>
      <w:r w:rsidR="00AB7E7D">
        <w:rPr>
          <w:rFonts w:ascii="Times New Roman" w:hAnsi="Times New Roman"/>
        </w:rPr>
        <w:t xml:space="preserve">previously collected by our group showed an unprecedented spike (e.g., a 2388% increase for Reese’s) in marketing exposre for these brands during the 2 month long campaign </w:t>
      </w:r>
      <w:r w:rsidR="009921FE">
        <w:rPr>
          <w:rFonts w:ascii="Times New Roman" w:hAnsi="Times New Roman"/>
        </w:rPr>
        <w:fldChar w:fldCharType="begin" w:fldLock="1"/>
      </w:r>
      <w:r w:rsidR="00AB7EC5">
        <w:rPr>
          <w:rFonts w:ascii="Times New Roman" w:hAnsi="Times New Roman"/>
        </w:rPr>
        <w:instrText>ADDIN CSL_CITATION {"citationItems":[{"id":"ITEM-1","itemData":{"DOI":"10.1017/S1368980020002128","author":[{"dropping-particle":"","family":"Pollack","given":"Catherine C","non-dropping-particle":"","parse-names":false,"suffix":""},{"dropping-particle":"","family":"Kim","given":"Jason","non-dropping-particle":"","parse-names":false,"suffix":""},{"dropping-particle":"","family":"Emond","given":"Jennifer A","non-dropping-particle":"","parse-names":false,"suffix":""},{"dropping-particle":"","family":"Brand","given":"John","non-dropping-particle":"","parse-names":false,"suffix":""},{"dropping-particle":"","family":"Gilbert-diamond","given":"Diane","non-dropping-particle":"","parse-names":false,"suffix":""},{"dropping-particle":"","family":"Masterson","given":"Travis D","non-dropping-particle":"","parse-names":false,"suffix":""}],"id":"ITEM-1","issued":{"date-parts":[["2020"]]},"page":"1-11","title":"Prevalence and strategies of energy drink, soda, processed snack, candy and restaurant product marketing on the online streaming platform Twitch","type":"article-journal"},"uris":["http://www.mendeley.com/documents/?uuid=32a09a02-0e83-4422-87eb-b527e63101c3"]}],"mendeley":{"formattedCitation":"[5]","plainTextFormattedCitation":"[5]","previouslyFormattedCitation":"[5]"},"properties":{"noteIndex":0},"schema":"https://github.com/citation-style-language/schema/raw/master/csl-citation.json"}</w:instrText>
      </w:r>
      <w:r w:rsidR="009921FE">
        <w:rPr>
          <w:rFonts w:ascii="Times New Roman" w:hAnsi="Times New Roman"/>
        </w:rPr>
        <w:fldChar w:fldCharType="separate"/>
      </w:r>
      <w:r w:rsidR="009921FE" w:rsidRPr="009921FE">
        <w:rPr>
          <w:rFonts w:ascii="Times New Roman" w:hAnsi="Times New Roman"/>
          <w:noProof/>
        </w:rPr>
        <w:t>[5]</w:t>
      </w:r>
      <w:r w:rsidR="009921FE">
        <w:rPr>
          <w:rFonts w:ascii="Times New Roman" w:hAnsi="Times New Roman"/>
        </w:rPr>
        <w:fldChar w:fldCharType="end"/>
      </w:r>
      <w:r w:rsidRPr="005946E6">
        <w:rPr>
          <w:rFonts w:ascii="Times New Roman" w:hAnsi="Times New Roman"/>
        </w:rPr>
        <w:t>.</w:t>
      </w:r>
    </w:p>
    <w:p w14:paraId="0BE5AD92" w14:textId="42A48056" w:rsidR="00712BBC" w:rsidRPr="005946E6" w:rsidRDefault="00712BBC" w:rsidP="00712BBC">
      <w:pPr>
        <w:spacing w:line="480" w:lineRule="auto"/>
        <w:ind w:firstLine="720"/>
        <w:rPr>
          <w:rFonts w:ascii="Times New Roman" w:hAnsi="Times New Roman"/>
        </w:rPr>
      </w:pPr>
      <w:r w:rsidRPr="005946E6">
        <w:rPr>
          <w:rFonts w:ascii="Times New Roman" w:hAnsi="Times New Roman"/>
        </w:rPr>
        <w:lastRenderedPageBreak/>
        <w:t>Currently, the marketing environment on Twitch is more or less unregulated. Recently US federal laws have required that, at a minimum, the streamer should explicitly disclose whether a segment or product is part of a marketing campaign through the use of tags such as ‘#ad’ or ‘#sponsored’ in the streams title</w:t>
      </w:r>
      <w:r w:rsidR="00EF4C93">
        <w:rPr>
          <w:rFonts w:ascii="Times New Roman" w:hAnsi="Times New Roman"/>
        </w:rPr>
        <w:t xml:space="preserve"> </w:t>
      </w:r>
      <w:r w:rsidR="006D32F1">
        <w:rPr>
          <w:rFonts w:ascii="Times New Roman" w:hAnsi="Times New Roman"/>
        </w:rPr>
        <w:fldChar w:fldCharType="begin" w:fldLock="1"/>
      </w:r>
      <w:r w:rsidR="009921FE">
        <w:rPr>
          <w:rFonts w:ascii="Times New Roman" w:hAnsi="Times New Roman"/>
        </w:rPr>
        <w:instrText>ADDIN CSL_CITATION {"citationItems":[{"id":"ITEM-1","itemData":{"author":[{"dropping-particle":"","family":"Commission","given":"Federal Trade","non-dropping-particle":"","parse-names":false,"suffix":""}],"id":"ITEM-1","issued":{"date-parts":[["2009"]]},"number-of-pages":"Federal Trade Commission","publisher-place":"Washington (DC)","title":"Guides concerning the use of endorsements and testimonials in advertising","type":"report"},"uris":["http://www.mendeley.com/documents/?uuid=ef612dbf-cc35-49fe-bcb7-4c6dc949d88b"]}],"mendeley":{"formattedCitation":"[6]","plainTextFormattedCitation":"[6]","previouslyFormattedCitation":"[6]"},"properties":{"noteIndex":0},"schema":"https://github.com/citation-style-language/schema/raw/master/csl-citation.json"}</w:instrText>
      </w:r>
      <w:r w:rsidR="006D32F1">
        <w:rPr>
          <w:rFonts w:ascii="Times New Roman" w:hAnsi="Times New Roman"/>
        </w:rPr>
        <w:fldChar w:fldCharType="separate"/>
      </w:r>
      <w:r w:rsidR="006D32F1" w:rsidRPr="006D32F1">
        <w:rPr>
          <w:rFonts w:ascii="Times New Roman" w:hAnsi="Times New Roman"/>
          <w:noProof/>
        </w:rPr>
        <w:t>[6]</w:t>
      </w:r>
      <w:r w:rsidR="006D32F1">
        <w:rPr>
          <w:rFonts w:ascii="Times New Roman" w:hAnsi="Times New Roman"/>
        </w:rPr>
        <w:fldChar w:fldCharType="end"/>
      </w:r>
      <w:r w:rsidRPr="005946E6">
        <w:rPr>
          <w:rFonts w:ascii="Times New Roman" w:hAnsi="Times New Roman"/>
        </w:rPr>
        <w:t xml:space="preserve">. </w:t>
      </w:r>
      <w:r w:rsidR="00656420">
        <w:rPr>
          <w:rFonts w:ascii="Times New Roman" w:hAnsi="Times New Roman"/>
        </w:rPr>
        <w:t>Interestingly</w:t>
      </w:r>
      <w:r w:rsidRPr="005946E6">
        <w:rPr>
          <w:rFonts w:ascii="Times New Roman" w:hAnsi="Times New Roman"/>
        </w:rPr>
        <w:t xml:space="preserve">, the disclosure that content is paid for has been shown to actually cause increases in consumption of marketed products rather than deter viewers by </w:t>
      </w:r>
      <w:r w:rsidR="00447D0B">
        <w:rPr>
          <w:rFonts w:ascii="Times New Roman" w:hAnsi="Times New Roman"/>
        </w:rPr>
        <w:t xml:space="preserve">highlighting the persuasive </w:t>
      </w:r>
      <w:r w:rsidR="0007262F">
        <w:rPr>
          <w:rFonts w:ascii="Times New Roman" w:hAnsi="Times New Roman"/>
        </w:rPr>
        <w:t>intent</w:t>
      </w:r>
      <w:r w:rsidR="00896C35">
        <w:rPr>
          <w:rFonts w:ascii="Times New Roman" w:hAnsi="Times New Roman"/>
        </w:rPr>
        <w:t xml:space="preserve"> </w:t>
      </w:r>
      <w:r w:rsidRPr="005946E6">
        <w:rPr>
          <w:rFonts w:ascii="Times New Roman" w:hAnsi="Times New Roman"/>
        </w:rPr>
        <w:fldChar w:fldCharType="begin" w:fldLock="1"/>
      </w:r>
      <w:r w:rsidR="009921FE">
        <w:rPr>
          <w:rFonts w:ascii="Times New Roman" w:hAnsi="Times New Roman"/>
        </w:rPr>
        <w:instrText>ADDIN CSL_CITATION {"citationItems":[{"id":"ITEM-1","itemData":{"DOI":"10.1111/ijpo.12540","ISSN":"20476310","PMID":"31168959","abstract":"Background: Children are active on social media and consequently are exposed to new and subtle forms of food marketing. Objectives: To examine whether exposure to a YouTube video featuring influencer marketing of an unhealthy snack affects children's ad libitum snack intake and whether inclusion of an advertising disclosure moderates this effect. Methods: In a randomized between-subjects design, 151 children (aged 9-11 y; mean, 10.32 y ± 0.6) were exposed to influencer marketing of a non-food product (n = 51), or an unhealthy snack with (n = 50) or without (n = 50) an advertising disclosure. Participants' ad libitum intake of the marketed snack and an alternative brand of the same snack was measured. Results: Children exposed to food marketing with (P &lt;.001, d = 1.40) and without (P &lt;.001, d = 1.07) a disclosure consumed more (kcals) of the marketed snack relative to the alternative; the control did not differ (.186, d = 0.45). Consumption of the alterative brand did not differ across conditions (.287, ηp2 =.02). Children who viewed food marketing with a disclosure (and not those without) consumed 41% more of the marketed snack (.004, ηp2 =.06), compared with control. Conclusions: Influencer marketing increases children's immediate intake of the promoted snack relative to an alternative brand. Advertising disclosures may enhance the effect.","author":[{"dropping-particle":"","family":"Coates","given":"Anna Elizabeth","non-dropping-particle":"","parse-names":false,"suffix":""},{"dropping-particle":"","family":"Hardman","given":"Charlotte Alice","non-dropping-particle":"","parse-names":false,"suffix":""},{"dropping-particle":"","family":"Halford","given":"Jason Christian Grovenor","non-dropping-particle":"","parse-names":false,"suffix":""},{"dropping-particle":"","family":"Christiansen","given":"Paul","non-dropping-particle":"","parse-names":false,"suffix":""},{"dropping-particle":"","family":"Boyland","given":"Emma Jane","non-dropping-particle":"","parse-names":false,"suffix":""}],"container-title":"Pediatric Obesity","id":"ITEM-1","issue":"10","issued":{"date-parts":[["2019"]]},"page":"1-9","title":"The effect of influencer marketing of food and a “protective” advertising disclosure on children's food intake","type":"article-journal","volume":"14"},"uris":["http://www.mendeley.com/documents/?uuid=a8c37cb8-b22c-406d-8ca6-eaf3efc86334"]}],"mendeley":{"formattedCitation":"[7]","plainTextFormattedCitation":"[7]","previouslyFormattedCitation":"[7]"},"properties":{"noteIndex":0},"schema":"https://github.com/citation-style-language/schema/raw/master/csl-citation.json"}</w:instrText>
      </w:r>
      <w:r w:rsidRPr="005946E6">
        <w:rPr>
          <w:rFonts w:ascii="Times New Roman" w:hAnsi="Times New Roman"/>
        </w:rPr>
        <w:fldChar w:fldCharType="separate"/>
      </w:r>
      <w:r w:rsidR="006D32F1" w:rsidRPr="006D32F1">
        <w:rPr>
          <w:rFonts w:ascii="Times New Roman" w:hAnsi="Times New Roman"/>
          <w:noProof/>
        </w:rPr>
        <w:t>[7]</w:t>
      </w:r>
      <w:r w:rsidRPr="005946E6">
        <w:rPr>
          <w:rFonts w:ascii="Times New Roman" w:hAnsi="Times New Roman"/>
        </w:rPr>
        <w:fldChar w:fldCharType="end"/>
      </w:r>
      <w:r w:rsidRPr="005946E6">
        <w:rPr>
          <w:rFonts w:ascii="Times New Roman" w:hAnsi="Times New Roman"/>
        </w:rPr>
        <w:t xml:space="preserve">. </w:t>
      </w:r>
      <w:r w:rsidR="00AB7E7D">
        <w:rPr>
          <w:rFonts w:ascii="Times New Roman" w:hAnsi="Times New Roman"/>
        </w:rPr>
        <w:t>Of note, in comparision to other social media sites,</w:t>
      </w:r>
      <w:r w:rsidRPr="005946E6">
        <w:rPr>
          <w:rFonts w:ascii="Times New Roman" w:hAnsi="Times New Roman"/>
        </w:rPr>
        <w:t xml:space="preserve"> Twitch marketing campaigns </w:t>
      </w:r>
      <w:r w:rsidR="00AB7E7D">
        <w:rPr>
          <w:rFonts w:ascii="Times New Roman" w:hAnsi="Times New Roman"/>
        </w:rPr>
        <w:t>happen</w:t>
      </w:r>
      <w:r w:rsidR="00656420" w:rsidRPr="005946E6">
        <w:rPr>
          <w:rFonts w:ascii="Times New Roman" w:hAnsi="Times New Roman"/>
        </w:rPr>
        <w:t xml:space="preserve"> </w:t>
      </w:r>
      <w:r w:rsidR="006D1F22">
        <w:rPr>
          <w:rFonts w:ascii="Times New Roman" w:hAnsi="Times New Roman"/>
        </w:rPr>
        <w:t>live and in real-</w:t>
      </w:r>
      <w:r w:rsidRPr="005946E6">
        <w:rPr>
          <w:rFonts w:ascii="Times New Roman" w:hAnsi="Times New Roman"/>
        </w:rPr>
        <w:t xml:space="preserve">time. This is likely to </w:t>
      </w:r>
      <w:r w:rsidR="004D2166">
        <w:rPr>
          <w:rFonts w:ascii="Times New Roman" w:hAnsi="Times New Roman"/>
        </w:rPr>
        <w:t>reinforce an unscripted and</w:t>
      </w:r>
      <w:r w:rsidRPr="005946E6">
        <w:rPr>
          <w:rFonts w:ascii="Times New Roman" w:hAnsi="Times New Roman"/>
        </w:rPr>
        <w:t xml:space="preserve"> authentic</w:t>
      </w:r>
      <w:r w:rsidR="004D2166">
        <w:rPr>
          <w:rFonts w:ascii="Times New Roman" w:hAnsi="Times New Roman"/>
        </w:rPr>
        <w:t xml:space="preserve"> sentiment</w:t>
      </w:r>
      <w:r w:rsidRPr="005946E6">
        <w:rPr>
          <w:rFonts w:ascii="Times New Roman" w:hAnsi="Times New Roman"/>
        </w:rPr>
        <w:t xml:space="preserve"> to the </w:t>
      </w:r>
      <w:r w:rsidR="004D2166">
        <w:rPr>
          <w:rFonts w:ascii="Times New Roman" w:hAnsi="Times New Roman"/>
        </w:rPr>
        <w:t xml:space="preserve">marketing </w:t>
      </w:r>
      <w:r w:rsidRPr="005946E6">
        <w:rPr>
          <w:rFonts w:ascii="Times New Roman" w:hAnsi="Times New Roman"/>
        </w:rPr>
        <w:t>campaign</w:t>
      </w:r>
      <w:r w:rsidR="004D2166">
        <w:rPr>
          <w:rFonts w:ascii="Times New Roman" w:hAnsi="Times New Roman"/>
        </w:rPr>
        <w:t xml:space="preserve">. For example, the </w:t>
      </w:r>
      <w:r w:rsidRPr="005946E6">
        <w:rPr>
          <w:rFonts w:ascii="Times New Roman" w:hAnsi="Times New Roman"/>
        </w:rPr>
        <w:t>streamer</w:t>
      </w:r>
      <w:r w:rsidR="004D2166">
        <w:rPr>
          <w:rFonts w:ascii="Times New Roman" w:hAnsi="Times New Roman"/>
        </w:rPr>
        <w:t xml:space="preserve"> is likely </w:t>
      </w:r>
      <w:r w:rsidRPr="005946E6">
        <w:rPr>
          <w:rFonts w:ascii="Times New Roman" w:hAnsi="Times New Roman"/>
        </w:rPr>
        <w:t>presumed to be sharing their</w:t>
      </w:r>
      <w:r w:rsidR="004D2166">
        <w:rPr>
          <w:rFonts w:ascii="Times New Roman" w:hAnsi="Times New Roman"/>
        </w:rPr>
        <w:t xml:space="preserve"> original</w:t>
      </w:r>
      <w:r w:rsidRPr="005946E6">
        <w:rPr>
          <w:rFonts w:ascii="Times New Roman" w:hAnsi="Times New Roman"/>
        </w:rPr>
        <w:t xml:space="preserve"> thoughts on the product and responding to viewers</w:t>
      </w:r>
      <w:r w:rsidR="004D2166">
        <w:rPr>
          <w:rFonts w:ascii="Times New Roman" w:hAnsi="Times New Roman"/>
        </w:rPr>
        <w:t xml:space="preserve"> naturally</w:t>
      </w:r>
      <w:r w:rsidRPr="005946E6">
        <w:rPr>
          <w:rFonts w:ascii="Times New Roman" w:hAnsi="Times New Roman"/>
        </w:rPr>
        <w:t xml:space="preserve"> without external prompting. However, these situations </w:t>
      </w:r>
      <w:r w:rsidR="00241553">
        <w:rPr>
          <w:rFonts w:ascii="Times New Roman" w:hAnsi="Times New Roman"/>
        </w:rPr>
        <w:t>may be far</w:t>
      </w:r>
      <w:r w:rsidR="00241553" w:rsidRPr="005946E6">
        <w:rPr>
          <w:rFonts w:ascii="Times New Roman" w:hAnsi="Times New Roman"/>
        </w:rPr>
        <w:t xml:space="preserve"> </w:t>
      </w:r>
      <w:r w:rsidR="00896C35">
        <w:rPr>
          <w:rFonts w:ascii="Times New Roman" w:hAnsi="Times New Roman"/>
        </w:rPr>
        <w:t>less genuine</w:t>
      </w:r>
      <w:r w:rsidRPr="005946E6">
        <w:rPr>
          <w:rFonts w:ascii="Times New Roman" w:hAnsi="Times New Roman"/>
        </w:rPr>
        <w:t xml:space="preserve"> than </w:t>
      </w:r>
      <w:r w:rsidR="00241553">
        <w:rPr>
          <w:rFonts w:ascii="Times New Roman" w:hAnsi="Times New Roman"/>
        </w:rPr>
        <w:t>they appear</w:t>
      </w:r>
      <w:r w:rsidR="004D2166">
        <w:rPr>
          <w:rFonts w:ascii="Times New Roman" w:hAnsi="Times New Roman"/>
        </w:rPr>
        <w:t xml:space="preserve"> as streamers are aware that the</w:t>
      </w:r>
      <w:r w:rsidRPr="005946E6">
        <w:rPr>
          <w:rFonts w:ascii="Times New Roman" w:hAnsi="Times New Roman"/>
        </w:rPr>
        <w:t xml:space="preserve"> marketing agencies </w:t>
      </w:r>
      <w:r w:rsidR="00656420">
        <w:rPr>
          <w:rFonts w:ascii="Times New Roman" w:hAnsi="Times New Roman"/>
        </w:rPr>
        <w:t>hav</w:t>
      </w:r>
      <w:r w:rsidR="004D2166">
        <w:rPr>
          <w:rFonts w:ascii="Times New Roman" w:hAnsi="Times New Roman"/>
        </w:rPr>
        <w:t>e invested in their content and there is no transparency over the control that these companies exert over the</w:t>
      </w:r>
      <w:r w:rsidRPr="005946E6">
        <w:rPr>
          <w:rFonts w:ascii="Times New Roman" w:hAnsi="Times New Roman"/>
        </w:rPr>
        <w:t xml:space="preserve"> content</w:t>
      </w:r>
      <w:r w:rsidR="004D2166">
        <w:rPr>
          <w:rFonts w:ascii="Times New Roman" w:hAnsi="Times New Roman"/>
        </w:rPr>
        <w:t xml:space="preserve"> and user-streamer interactions during sponsored segments. </w:t>
      </w:r>
    </w:p>
    <w:p w14:paraId="05406F51" w14:textId="33948D5B" w:rsidR="00712BBC" w:rsidRPr="005946E6" w:rsidRDefault="004D2166" w:rsidP="00712BBC">
      <w:pPr>
        <w:spacing w:line="480" w:lineRule="auto"/>
        <w:ind w:firstLine="720"/>
        <w:rPr>
          <w:rFonts w:ascii="Times New Roman" w:hAnsi="Times New Roman"/>
        </w:rPr>
      </w:pPr>
      <w:r>
        <w:rPr>
          <w:rFonts w:ascii="Times New Roman" w:hAnsi="Times New Roman"/>
        </w:rPr>
        <w:t xml:space="preserve">For example, </w:t>
      </w:r>
      <w:r w:rsidR="00712BBC" w:rsidRPr="005946E6">
        <w:rPr>
          <w:rFonts w:ascii="Times New Roman" w:hAnsi="Times New Roman"/>
        </w:rPr>
        <w:t xml:space="preserve">during </w:t>
      </w:r>
      <w:r>
        <w:rPr>
          <w:rFonts w:ascii="Times New Roman" w:hAnsi="Times New Roman"/>
        </w:rPr>
        <w:t>the aformentioned</w:t>
      </w:r>
      <w:r w:rsidR="00712BBC" w:rsidRPr="005946E6">
        <w:rPr>
          <w:rFonts w:ascii="Times New Roman" w:hAnsi="Times New Roman"/>
        </w:rPr>
        <w:t xml:space="preserve"> marketing campaign for Hershey’s chocolat</w:t>
      </w:r>
      <w:r>
        <w:rPr>
          <w:rFonts w:ascii="Times New Roman" w:hAnsi="Times New Roman"/>
        </w:rPr>
        <w:t>e</w:t>
      </w:r>
      <w:r w:rsidR="00712BBC" w:rsidRPr="005946E6">
        <w:rPr>
          <w:rFonts w:ascii="Times New Roman" w:hAnsi="Times New Roman"/>
        </w:rPr>
        <w:t xml:space="preserve"> a user asked the </w:t>
      </w:r>
      <w:r>
        <w:rPr>
          <w:rFonts w:ascii="Times New Roman" w:hAnsi="Times New Roman"/>
        </w:rPr>
        <w:t>streamer through the live public chatroom,</w:t>
      </w:r>
      <w:r w:rsidR="00712BBC" w:rsidRPr="005946E6">
        <w:rPr>
          <w:rFonts w:ascii="Times New Roman" w:hAnsi="Times New Roman"/>
        </w:rPr>
        <w:t xml:space="preserve"> “why are you contributing to childhood obesity” (</w:t>
      </w:r>
      <w:r w:rsidR="00FA30B0" w:rsidRPr="005946E6">
        <w:rPr>
          <w:rFonts w:ascii="Times New Roman" w:hAnsi="Times New Roman"/>
        </w:rPr>
        <w:t>shown in Fig</w:t>
      </w:r>
      <w:r w:rsidR="00712BBC" w:rsidRPr="005946E6">
        <w:rPr>
          <w:rFonts w:ascii="Times New Roman" w:hAnsi="Times New Roman"/>
        </w:rPr>
        <w:t xml:space="preserve"> 1). </w:t>
      </w:r>
      <w:r>
        <w:rPr>
          <w:rFonts w:ascii="Times New Roman" w:hAnsi="Times New Roman"/>
        </w:rPr>
        <w:t>T</w:t>
      </w:r>
      <w:r w:rsidR="00712BBC" w:rsidRPr="005946E6">
        <w:rPr>
          <w:rFonts w:ascii="Times New Roman" w:hAnsi="Times New Roman"/>
        </w:rPr>
        <w:t xml:space="preserve">he message was promptly deleted by the chat moderator. It is unclear the </w:t>
      </w:r>
      <w:r>
        <w:rPr>
          <w:rFonts w:ascii="Times New Roman" w:hAnsi="Times New Roman"/>
        </w:rPr>
        <w:t xml:space="preserve">why </w:t>
      </w:r>
      <w:r w:rsidR="00712BBC" w:rsidRPr="005946E6">
        <w:rPr>
          <w:rFonts w:ascii="Times New Roman" w:hAnsi="Times New Roman"/>
        </w:rPr>
        <w:t>the moderator</w:t>
      </w:r>
      <w:r>
        <w:rPr>
          <w:rFonts w:ascii="Times New Roman" w:hAnsi="Times New Roman"/>
        </w:rPr>
        <w:t xml:space="preserve"> chose to censor this comment and if the sponsorship with the </w:t>
      </w:r>
      <w:r w:rsidR="00712BBC" w:rsidRPr="005946E6">
        <w:rPr>
          <w:rFonts w:ascii="Times New Roman" w:hAnsi="Times New Roman"/>
        </w:rPr>
        <w:t>Hershey company</w:t>
      </w:r>
      <w:r>
        <w:rPr>
          <w:rFonts w:ascii="Times New Roman" w:hAnsi="Times New Roman"/>
        </w:rPr>
        <w:t xml:space="preserve"> played a roll in the decision</w:t>
      </w:r>
      <w:r w:rsidR="00712BBC" w:rsidRPr="005946E6">
        <w:rPr>
          <w:rFonts w:ascii="Times New Roman" w:hAnsi="Times New Roman"/>
        </w:rPr>
        <w:t xml:space="preserve">. Regardless, </w:t>
      </w:r>
      <w:r>
        <w:rPr>
          <w:rFonts w:ascii="Times New Roman" w:hAnsi="Times New Roman"/>
        </w:rPr>
        <w:t>the</w:t>
      </w:r>
      <w:r w:rsidR="00712BBC" w:rsidRPr="005946E6">
        <w:rPr>
          <w:rFonts w:ascii="Times New Roman" w:hAnsi="Times New Roman"/>
        </w:rPr>
        <w:t xml:space="preserve"> Hershey</w:t>
      </w:r>
      <w:r>
        <w:rPr>
          <w:rFonts w:ascii="Times New Roman" w:hAnsi="Times New Roman"/>
        </w:rPr>
        <w:t xml:space="preserve"> company</w:t>
      </w:r>
      <w:r w:rsidR="00712BBC" w:rsidRPr="005946E6">
        <w:rPr>
          <w:rFonts w:ascii="Times New Roman" w:hAnsi="Times New Roman"/>
        </w:rPr>
        <w:t xml:space="preserve"> avoided a</w:t>
      </w:r>
      <w:r>
        <w:rPr>
          <w:rFonts w:ascii="Times New Roman" w:hAnsi="Times New Roman"/>
        </w:rPr>
        <w:t xml:space="preserve"> potentially</w:t>
      </w:r>
      <w:r w:rsidR="00712BBC" w:rsidRPr="005946E6">
        <w:rPr>
          <w:rFonts w:ascii="Times New Roman" w:hAnsi="Times New Roman"/>
        </w:rPr>
        <w:t xml:space="preserve"> distracting </w:t>
      </w:r>
      <w:r>
        <w:rPr>
          <w:rFonts w:ascii="Times New Roman" w:hAnsi="Times New Roman"/>
        </w:rPr>
        <w:t>neagative interaction through such censorship</w:t>
      </w:r>
      <w:r w:rsidR="00712BBC" w:rsidRPr="005946E6">
        <w:rPr>
          <w:rFonts w:ascii="Times New Roman" w:hAnsi="Times New Roman"/>
        </w:rPr>
        <w:t xml:space="preserve">. </w:t>
      </w:r>
      <w:r>
        <w:rPr>
          <w:rFonts w:ascii="Times New Roman" w:hAnsi="Times New Roman"/>
        </w:rPr>
        <w:t>We do note that c</w:t>
      </w:r>
      <w:r w:rsidR="00241553">
        <w:rPr>
          <w:rFonts w:ascii="Times New Roman" w:hAnsi="Times New Roman"/>
        </w:rPr>
        <w:t>ritical</w:t>
      </w:r>
      <w:r w:rsidR="00241553" w:rsidRPr="005946E6">
        <w:rPr>
          <w:rFonts w:ascii="Times New Roman" w:hAnsi="Times New Roman"/>
        </w:rPr>
        <w:t xml:space="preserve"> </w:t>
      </w:r>
      <w:r w:rsidR="00712BBC" w:rsidRPr="005946E6">
        <w:rPr>
          <w:rFonts w:ascii="Times New Roman" w:hAnsi="Times New Roman"/>
        </w:rPr>
        <w:t xml:space="preserve">comments </w:t>
      </w:r>
      <w:r>
        <w:rPr>
          <w:rFonts w:ascii="Times New Roman" w:hAnsi="Times New Roman"/>
        </w:rPr>
        <w:t>such as</w:t>
      </w:r>
      <w:r w:rsidR="00712BBC" w:rsidRPr="005946E6">
        <w:rPr>
          <w:rFonts w:ascii="Times New Roman" w:hAnsi="Times New Roman"/>
        </w:rPr>
        <w:t xml:space="preserve"> th</w:t>
      </w:r>
      <w:r>
        <w:rPr>
          <w:rFonts w:ascii="Times New Roman" w:hAnsi="Times New Roman"/>
        </w:rPr>
        <w:t>e one discussed here</w:t>
      </w:r>
      <w:r w:rsidR="00712BBC" w:rsidRPr="005946E6">
        <w:rPr>
          <w:rFonts w:ascii="Times New Roman" w:hAnsi="Times New Roman"/>
        </w:rPr>
        <w:t xml:space="preserve"> are not unique to Twitch and </w:t>
      </w:r>
      <w:r>
        <w:rPr>
          <w:rFonts w:ascii="Times New Roman" w:hAnsi="Times New Roman"/>
        </w:rPr>
        <w:t xml:space="preserve">are routinely </w:t>
      </w:r>
      <w:r w:rsidR="00712BBC" w:rsidRPr="005946E6">
        <w:rPr>
          <w:rFonts w:ascii="Times New Roman" w:hAnsi="Times New Roman"/>
        </w:rPr>
        <w:t xml:space="preserve">experienced </w:t>
      </w:r>
      <w:r>
        <w:rPr>
          <w:rFonts w:ascii="Times New Roman" w:hAnsi="Times New Roman"/>
        </w:rPr>
        <w:t xml:space="preserve">by companies </w:t>
      </w:r>
      <w:r w:rsidR="00712BBC" w:rsidRPr="005946E6">
        <w:rPr>
          <w:rFonts w:ascii="Times New Roman" w:hAnsi="Times New Roman"/>
        </w:rPr>
        <w:t>across a variety of social media platforms</w:t>
      </w:r>
      <w:r w:rsidR="00506B61">
        <w:rPr>
          <w:rFonts w:ascii="Times New Roman" w:hAnsi="Times New Roman"/>
        </w:rPr>
        <w:t xml:space="preserve"> </w:t>
      </w:r>
      <w:r w:rsidR="00712BBC" w:rsidRPr="005946E6">
        <w:rPr>
          <w:rFonts w:ascii="Times New Roman" w:hAnsi="Times New Roman"/>
        </w:rPr>
        <w:fldChar w:fldCharType="begin" w:fldLock="1"/>
      </w:r>
      <w:r w:rsidR="009921FE">
        <w:rPr>
          <w:rFonts w:ascii="Times New Roman" w:hAnsi="Times New Roman"/>
        </w:rPr>
        <w:instrText>ADDIN CSL_CITATION {"citationItems":[{"id":"ITEM-1","itemData":{"abstract":"Abstract - Increased usage of social media by consumers impacts businesses that find it necessary to participate to connect with customers. Because social media is conversational in nature, marketers have little control over the message, unlike more traditional forms of marketing communication. The purpose of this Relevance to Marketing Educators/ Researchers, and/or Practitioners paper is to flesh out the tensions that exist as marketers deal with consumer- generated negative social media messages and present possible responses for marketers dealing with this form of negative word of mouth (WOM). Its contribution lies in unpacking options for companies dealing with such negative social media. Case studies and a conceptual model identifying possible strategies for businesses dealing with negative social media attacks are presented. The five general strategies identified are: delay, respond, partner, legal action, and censorship. Understanding and use of these strategies can assist businesses in dealing with negative WOM and can potentially help them protect their brand image and profitability.","author":[{"dropping-particle":"","family":"Thomas","given":"Jane","non-dropping-particle":"","parse-names":false,"suffix":""},{"dropping-particle":"","family":"Peters","given":"Cara","non-dropping-particle":"","parse-names":false,"suffix":""},{"dropping-particle":"","family":"Howell","given":"Emelia","non-dropping-particle":"","parse-names":false,"suffix":""},{"dropping-particle":"","family":"Robbins","given":"Keith","non-dropping-particle":"","parse-names":false,"suffix":""}],"container-title":"Atlantic Marketing Journal","id":"ITEM-1","issue":"2","issued":{"date-parts":[["2012"]]},"page":"7","title":"Social Media and Negative Word of Mouth: Strategies for Handing Unexpecting Comments","type":"article-journal","volume":"1"},"uris":["http://www.mendeley.com/documents/?uuid=c4768882-c034-44cd-85cc-8e172df00b90"]}],"mendeley":{"formattedCitation":"[8]","plainTextFormattedCitation":"[8]","previouslyFormattedCitation":"[8]"},"properties":{"noteIndex":0},"schema":"https://github.com/citation-style-language/schema/raw/master/csl-citation.json"}</w:instrText>
      </w:r>
      <w:r w:rsidR="00712BBC" w:rsidRPr="005946E6">
        <w:rPr>
          <w:rFonts w:ascii="Times New Roman" w:hAnsi="Times New Roman"/>
        </w:rPr>
        <w:fldChar w:fldCharType="separate"/>
      </w:r>
      <w:r w:rsidR="006D32F1" w:rsidRPr="006D32F1">
        <w:rPr>
          <w:rFonts w:ascii="Times New Roman" w:hAnsi="Times New Roman"/>
          <w:noProof/>
        </w:rPr>
        <w:t>[8]</w:t>
      </w:r>
      <w:r w:rsidR="00712BBC" w:rsidRPr="005946E6">
        <w:rPr>
          <w:rFonts w:ascii="Times New Roman" w:hAnsi="Times New Roman"/>
        </w:rPr>
        <w:fldChar w:fldCharType="end"/>
      </w:r>
      <w:r w:rsidR="00712BBC" w:rsidRPr="005946E6">
        <w:rPr>
          <w:rFonts w:ascii="Times New Roman" w:hAnsi="Times New Roman"/>
        </w:rPr>
        <w:t xml:space="preserve">. Traditionally marketers </w:t>
      </w:r>
      <w:r>
        <w:rPr>
          <w:rFonts w:ascii="Times New Roman" w:hAnsi="Times New Roman"/>
        </w:rPr>
        <w:t>have</w:t>
      </w:r>
      <w:r w:rsidR="00712BBC" w:rsidRPr="005946E6">
        <w:rPr>
          <w:rFonts w:ascii="Times New Roman" w:hAnsi="Times New Roman"/>
        </w:rPr>
        <w:t xml:space="preserve"> take</w:t>
      </w:r>
      <w:r>
        <w:rPr>
          <w:rFonts w:ascii="Times New Roman" w:hAnsi="Times New Roman"/>
        </w:rPr>
        <w:t>n</w:t>
      </w:r>
      <w:r w:rsidR="00712BBC" w:rsidRPr="005946E6">
        <w:rPr>
          <w:rFonts w:ascii="Times New Roman" w:hAnsi="Times New Roman"/>
        </w:rPr>
        <w:t xml:space="preserve"> several approaches towards extinguishing public negativity, including but not limited to: delaying a response, immediately responding, partnering with the offending voice, pursuing legal action, and/or censorship</w:t>
      </w:r>
      <w:r w:rsidR="00F17C69">
        <w:rPr>
          <w:rFonts w:ascii="Times New Roman" w:hAnsi="Times New Roman"/>
        </w:rPr>
        <w:t xml:space="preserve"> </w:t>
      </w:r>
      <w:r w:rsidR="00712BBC" w:rsidRPr="005946E6">
        <w:rPr>
          <w:rFonts w:ascii="Times New Roman" w:hAnsi="Times New Roman"/>
        </w:rPr>
        <w:fldChar w:fldCharType="begin" w:fldLock="1"/>
      </w:r>
      <w:r w:rsidR="009921FE">
        <w:rPr>
          <w:rFonts w:ascii="Times New Roman" w:hAnsi="Times New Roman"/>
        </w:rPr>
        <w:instrText>ADDIN CSL_CITATION {"citationItems":[{"id":"ITEM-1","itemData":{"abstract":"Abstract - Increased usage of social media by consumers impacts businesses that find it necessary to participate to connect with customers. Because social media is conversational in nature, marketers have little control over the message, unlike more traditional forms of marketing communication. The purpose of this Relevance to Marketing Educators/ Researchers, and/or Practitioners paper is to flesh out the tensions that exist as marketers deal with consumer- generated negative social media messages and present possible responses for marketers dealing with this form of negative word of mouth (WOM). Its contribution lies in unpacking options for companies dealing with such negative social media. Case studies and a conceptual model identifying possible strategies for businesses dealing with negative social media attacks are presented. The five general strategies identified are: delay, respond, partner, legal action, and censorship. Understanding and use of these strategies can assist businesses in dealing with negative WOM and can potentially help them protect their brand image and profitability.","author":[{"dropping-particle":"","family":"Thomas","given":"Jane","non-dropping-particle":"","parse-names":false,"suffix":""},{"dropping-particle":"","family":"Peters","given":"Cara","non-dropping-particle":"","parse-names":false,"suffix":""},{"dropping-particle":"","family":"Howell","given":"Emelia","non-dropping-particle":"","parse-names":false,"suffix":""},{"dropping-particle":"","family":"Robbins","given":"Keith","non-dropping-particle":"","parse-names":false,"suffix":""}],"container-title":"Atlantic Marketing Journal","id":"ITEM-1","issue":"2","issued":{"date-parts":[["2012"]]},"page":"7","title":"Social Media and Negative Word of Mouth: Strategies for Handing Unexpecting Comments","type":"article-journal","volume":"1"},"uris":["http://www.mendeley.com/documents/?uuid=c4768882-c034-44cd-85cc-8e172df00b90"]}],"mendeley":{"formattedCitation":"[8]","plainTextFormattedCitation":"[8]","previouslyFormattedCitation":"[8]"},"properties":{"noteIndex":0},"schema":"https://github.com/citation-style-language/schema/raw/master/csl-citation.json"}</w:instrText>
      </w:r>
      <w:r w:rsidR="00712BBC" w:rsidRPr="005946E6">
        <w:rPr>
          <w:rFonts w:ascii="Times New Roman" w:hAnsi="Times New Roman"/>
        </w:rPr>
        <w:fldChar w:fldCharType="separate"/>
      </w:r>
      <w:r w:rsidR="006D32F1" w:rsidRPr="006D32F1">
        <w:rPr>
          <w:rFonts w:ascii="Times New Roman" w:hAnsi="Times New Roman"/>
          <w:noProof/>
        </w:rPr>
        <w:t>[8]</w:t>
      </w:r>
      <w:r w:rsidR="00712BBC" w:rsidRPr="005946E6">
        <w:rPr>
          <w:rFonts w:ascii="Times New Roman" w:hAnsi="Times New Roman"/>
        </w:rPr>
        <w:fldChar w:fldCharType="end"/>
      </w:r>
      <w:r w:rsidR="00712BBC" w:rsidRPr="005946E6">
        <w:rPr>
          <w:rFonts w:ascii="Times New Roman" w:hAnsi="Times New Roman"/>
        </w:rPr>
        <w:t>. Nestl</w:t>
      </w:r>
      <w:r w:rsidR="00DC4B0E" w:rsidRPr="005946E6">
        <w:rPr>
          <w:rFonts w:ascii="Times New Roman" w:hAnsi="Times New Roman"/>
        </w:rPr>
        <w:t>é</w:t>
      </w:r>
      <w:r w:rsidR="00712BBC" w:rsidRPr="005946E6">
        <w:rPr>
          <w:rFonts w:ascii="Times New Roman" w:hAnsi="Times New Roman"/>
        </w:rPr>
        <w:t xml:space="preserve">, in a now infamous case study of marketing gone wrong, chose censorship in the online space in early 2010. In its Facebook group, Nestlé notified users that messages alluding to an ongoing awareness campaign from environmental activists around its dislike of Nestlé’s palm oil supplier would be deleted. This </w:t>
      </w:r>
      <w:r>
        <w:rPr>
          <w:rFonts w:ascii="Times New Roman" w:hAnsi="Times New Roman"/>
        </w:rPr>
        <w:t xml:space="preserve">appears to have backfired </w:t>
      </w:r>
      <w:r w:rsidR="00712BBC" w:rsidRPr="005946E6">
        <w:rPr>
          <w:rFonts w:ascii="Times New Roman" w:hAnsi="Times New Roman"/>
        </w:rPr>
        <w:t>igni</w:t>
      </w:r>
      <w:r>
        <w:rPr>
          <w:rFonts w:ascii="Times New Roman" w:hAnsi="Times New Roman"/>
        </w:rPr>
        <w:t>ing</w:t>
      </w:r>
      <w:r w:rsidR="00712BBC" w:rsidRPr="005946E6">
        <w:rPr>
          <w:rFonts w:ascii="Times New Roman" w:hAnsi="Times New Roman"/>
        </w:rPr>
        <w:t xml:space="preserve"> public awareness and response </w:t>
      </w:r>
      <w:r>
        <w:rPr>
          <w:rFonts w:ascii="Times New Roman" w:hAnsi="Times New Roman"/>
        </w:rPr>
        <w:t xml:space="preserve">leading </w:t>
      </w:r>
      <w:r w:rsidR="00F15C72">
        <w:rPr>
          <w:rFonts w:ascii="Times New Roman" w:hAnsi="Times New Roman"/>
        </w:rPr>
        <w:t xml:space="preserve">to a surge of nearly </w:t>
      </w:r>
      <w:r w:rsidR="00712BBC" w:rsidRPr="005946E6">
        <w:rPr>
          <w:rFonts w:ascii="Times New Roman" w:hAnsi="Times New Roman"/>
        </w:rPr>
        <w:t xml:space="preserve">90,000 vocal </w:t>
      </w:r>
      <w:r w:rsidR="002875D1">
        <w:rPr>
          <w:rFonts w:ascii="Times New Roman" w:hAnsi="Times New Roman"/>
        </w:rPr>
        <w:t>critics</w:t>
      </w:r>
      <w:r w:rsidR="00F15C72">
        <w:rPr>
          <w:rFonts w:ascii="Times New Roman" w:hAnsi="Times New Roman"/>
        </w:rPr>
        <w:t xml:space="preserve"> on </w:t>
      </w:r>
      <w:r w:rsidR="00F15C72">
        <w:rPr>
          <w:rFonts w:ascii="Times New Roman" w:hAnsi="Times New Roman"/>
        </w:rPr>
        <w:lastRenderedPageBreak/>
        <w:t xml:space="preserve">their Facebook page. </w:t>
      </w:r>
      <w:r w:rsidR="00712BBC" w:rsidRPr="005946E6">
        <w:rPr>
          <w:rFonts w:ascii="Times New Roman" w:hAnsi="Times New Roman"/>
        </w:rPr>
        <w:t xml:space="preserve">Nestlé subsequently announced its search for a new </w:t>
      </w:r>
      <w:r w:rsidR="00F15C72">
        <w:rPr>
          <w:rFonts w:ascii="Times New Roman" w:hAnsi="Times New Roman"/>
        </w:rPr>
        <w:t xml:space="preserve">marketing </w:t>
      </w:r>
      <w:r w:rsidR="00712BBC" w:rsidRPr="005946E6">
        <w:rPr>
          <w:rFonts w:ascii="Times New Roman" w:hAnsi="Times New Roman"/>
        </w:rPr>
        <w:t>agency to handle its online image</w:t>
      </w:r>
      <w:r w:rsidR="00506B61">
        <w:rPr>
          <w:rFonts w:ascii="Times New Roman" w:hAnsi="Times New Roman"/>
        </w:rPr>
        <w:t xml:space="preserve"> </w:t>
      </w:r>
      <w:r w:rsidR="00712BBC" w:rsidRPr="005946E6">
        <w:rPr>
          <w:rFonts w:ascii="Times New Roman" w:hAnsi="Times New Roman"/>
        </w:rPr>
        <w:fldChar w:fldCharType="begin" w:fldLock="1"/>
      </w:r>
      <w:r w:rsidR="009921FE">
        <w:rPr>
          <w:rFonts w:ascii="Times New Roman" w:hAnsi="Times New Roman"/>
        </w:rPr>
        <w:instrText>ADDIN CSL_CITATION {"citationItems":[{"id":"ITEM-1","itemData":{"URL":"https://www.theguardian.com/sustainable-business/nestle-facebook","author":[{"dropping-particle":"","family":"Fox","given":"Elliott","non-dropping-particle":"","parse-names":false,"suffix":""}],"container-title":"The Guardian","id":"ITEM-1","issued":{"date-parts":[["2010"]]},"title":"Nestle hit by Facebook \"anti-social\" media surge","type":"webpage"},"uris":["http://www.mendeley.com/documents/?uuid=ff05cc4d-b312-4bde-bac6-77cb6473ecf7"]}],"mendeley":{"formattedCitation":"[9]","plainTextFormattedCitation":"[9]","previouslyFormattedCitation":"[9]"},"properties":{"noteIndex":0},"schema":"https://github.com/citation-style-language/schema/raw/master/csl-citation.json"}</w:instrText>
      </w:r>
      <w:r w:rsidR="00712BBC" w:rsidRPr="005946E6">
        <w:rPr>
          <w:rFonts w:ascii="Times New Roman" w:hAnsi="Times New Roman"/>
        </w:rPr>
        <w:fldChar w:fldCharType="separate"/>
      </w:r>
      <w:r w:rsidR="006D32F1" w:rsidRPr="006D32F1">
        <w:rPr>
          <w:rFonts w:ascii="Times New Roman" w:hAnsi="Times New Roman"/>
          <w:noProof/>
        </w:rPr>
        <w:t>[9]</w:t>
      </w:r>
      <w:r w:rsidR="00712BBC" w:rsidRPr="005946E6">
        <w:rPr>
          <w:rFonts w:ascii="Times New Roman" w:hAnsi="Times New Roman"/>
        </w:rPr>
        <w:fldChar w:fldCharType="end"/>
      </w:r>
      <w:r w:rsidR="00712BBC" w:rsidRPr="005946E6">
        <w:rPr>
          <w:rFonts w:ascii="Times New Roman" w:hAnsi="Times New Roman"/>
        </w:rPr>
        <w:t>.</w:t>
      </w:r>
    </w:p>
    <w:p w14:paraId="13FB2F86" w14:textId="087374D2" w:rsidR="00712BBC" w:rsidRPr="005946E6" w:rsidRDefault="00712BBC" w:rsidP="00712BBC">
      <w:pPr>
        <w:spacing w:line="480" w:lineRule="auto"/>
        <w:ind w:firstLine="720"/>
        <w:rPr>
          <w:rFonts w:ascii="Times New Roman" w:hAnsi="Times New Roman"/>
        </w:rPr>
      </w:pPr>
      <w:r w:rsidRPr="005946E6">
        <w:rPr>
          <w:rFonts w:ascii="Times New Roman" w:hAnsi="Times New Roman"/>
        </w:rPr>
        <w:t xml:space="preserve">In both of these </w:t>
      </w:r>
      <w:r w:rsidR="00F15C72">
        <w:rPr>
          <w:rFonts w:ascii="Times New Roman" w:hAnsi="Times New Roman"/>
        </w:rPr>
        <w:t>food makreting examples</w:t>
      </w:r>
      <w:r w:rsidRPr="005946E6">
        <w:rPr>
          <w:rFonts w:ascii="Times New Roman" w:hAnsi="Times New Roman"/>
        </w:rPr>
        <w:t xml:space="preserve"> the decision to censor was made towards content that was deemed detrimental to the brands’ image.</w:t>
      </w:r>
      <w:r w:rsidR="00F15C72" w:rsidRPr="00F15C72">
        <w:rPr>
          <w:rFonts w:ascii="Times New Roman" w:hAnsi="Times New Roman"/>
        </w:rPr>
        <w:t xml:space="preserve"> </w:t>
      </w:r>
      <w:r w:rsidR="00F15C72">
        <w:rPr>
          <w:rFonts w:ascii="Times New Roman" w:hAnsi="Times New Roman"/>
        </w:rPr>
        <w:t xml:space="preserve">Two </w:t>
      </w:r>
      <w:r w:rsidR="00F15C72" w:rsidRPr="005946E6">
        <w:rPr>
          <w:rFonts w:ascii="Times New Roman" w:hAnsi="Times New Roman"/>
        </w:rPr>
        <w:t xml:space="preserve">of the major differences between the Twitch </w:t>
      </w:r>
      <w:r w:rsidR="00F15C72">
        <w:rPr>
          <w:rFonts w:ascii="Times New Roman" w:hAnsi="Times New Roman"/>
        </w:rPr>
        <w:t>and</w:t>
      </w:r>
      <w:r w:rsidR="00F15C72" w:rsidRPr="005946E6">
        <w:rPr>
          <w:rFonts w:ascii="Times New Roman" w:hAnsi="Times New Roman"/>
        </w:rPr>
        <w:t xml:space="preserve"> the Facebook example </w:t>
      </w:r>
      <w:r w:rsidR="00F15C72">
        <w:rPr>
          <w:rFonts w:ascii="Times New Roman" w:hAnsi="Times New Roman"/>
        </w:rPr>
        <w:t>are</w:t>
      </w:r>
      <w:r w:rsidR="00F15C72" w:rsidRPr="005946E6">
        <w:rPr>
          <w:rFonts w:ascii="Times New Roman" w:hAnsi="Times New Roman"/>
        </w:rPr>
        <w:t xml:space="preserve"> the speed and </w:t>
      </w:r>
      <w:r w:rsidR="00F15C72">
        <w:rPr>
          <w:rFonts w:ascii="Times New Roman" w:hAnsi="Times New Roman"/>
        </w:rPr>
        <w:t>visibility of</w:t>
      </w:r>
      <w:r w:rsidR="00F15C72" w:rsidRPr="005946E6">
        <w:rPr>
          <w:rFonts w:ascii="Times New Roman" w:hAnsi="Times New Roman"/>
        </w:rPr>
        <w:t xml:space="preserve"> the censorship. Twitch chat</w:t>
      </w:r>
      <w:r w:rsidR="00F15C72">
        <w:rPr>
          <w:rFonts w:ascii="Times New Roman" w:hAnsi="Times New Roman"/>
        </w:rPr>
        <w:t xml:space="preserve"> boxes </w:t>
      </w:r>
      <w:r w:rsidR="00F15C72" w:rsidRPr="005946E6">
        <w:rPr>
          <w:rFonts w:ascii="Times New Roman" w:hAnsi="Times New Roman"/>
        </w:rPr>
        <w:t xml:space="preserve">move at a brisk pace and moderators can censor comments immediately leaving little time for </w:t>
      </w:r>
      <w:r w:rsidR="00F15C72">
        <w:rPr>
          <w:rFonts w:ascii="Times New Roman" w:hAnsi="Times New Roman"/>
        </w:rPr>
        <w:t xml:space="preserve">otehr </w:t>
      </w:r>
      <w:r w:rsidR="00F15C72" w:rsidRPr="005946E6">
        <w:rPr>
          <w:rFonts w:ascii="Times New Roman" w:hAnsi="Times New Roman"/>
        </w:rPr>
        <w:t>viewers to read the comments and understand that</w:t>
      </w:r>
      <w:r w:rsidR="00F15C72">
        <w:rPr>
          <w:rFonts w:ascii="Times New Roman" w:hAnsi="Times New Roman"/>
        </w:rPr>
        <w:t xml:space="preserve"> an opinion has </w:t>
      </w:r>
      <w:r w:rsidR="00F15C72" w:rsidRPr="005946E6">
        <w:rPr>
          <w:rFonts w:ascii="Times New Roman" w:hAnsi="Times New Roman"/>
        </w:rPr>
        <w:t xml:space="preserve">been censored. With </w:t>
      </w:r>
      <w:r w:rsidR="00F15C72">
        <w:rPr>
          <w:rFonts w:ascii="Times New Roman" w:hAnsi="Times New Roman"/>
        </w:rPr>
        <w:t xml:space="preserve">the ability for </w:t>
      </w:r>
      <w:r w:rsidR="00F15C72" w:rsidRPr="005946E6">
        <w:rPr>
          <w:rFonts w:ascii="Times New Roman" w:hAnsi="Times New Roman"/>
        </w:rPr>
        <w:t>such rapid censorship</w:t>
      </w:r>
      <w:r w:rsidR="00F15C72">
        <w:rPr>
          <w:rFonts w:ascii="Times New Roman" w:hAnsi="Times New Roman"/>
        </w:rPr>
        <w:t xml:space="preserve"> </w:t>
      </w:r>
      <w:r w:rsidR="00F15C72" w:rsidRPr="005946E6">
        <w:rPr>
          <w:rFonts w:ascii="Times New Roman" w:hAnsi="Times New Roman"/>
        </w:rPr>
        <w:t>th</w:t>
      </w:r>
      <w:r w:rsidR="00F15C72">
        <w:rPr>
          <w:rFonts w:ascii="Times New Roman" w:hAnsi="Times New Roman"/>
        </w:rPr>
        <w:t>is public chat space</w:t>
      </w:r>
      <w:r w:rsidR="00F15C72" w:rsidRPr="005946E6">
        <w:rPr>
          <w:rFonts w:ascii="Times New Roman" w:hAnsi="Times New Roman"/>
        </w:rPr>
        <w:t xml:space="preserve"> is no longer a space for bidirectional interaction but </w:t>
      </w:r>
      <w:r w:rsidR="00F15C72">
        <w:rPr>
          <w:rFonts w:ascii="Times New Roman" w:hAnsi="Times New Roman"/>
        </w:rPr>
        <w:t xml:space="preserve">can instead become </w:t>
      </w:r>
      <w:r w:rsidR="00F15C72" w:rsidRPr="005946E6">
        <w:rPr>
          <w:rFonts w:ascii="Times New Roman" w:hAnsi="Times New Roman"/>
        </w:rPr>
        <w:t xml:space="preserve">an advertiser dominated environment. </w:t>
      </w:r>
      <w:r w:rsidRPr="005946E6">
        <w:rPr>
          <w:rFonts w:ascii="Times New Roman" w:hAnsi="Times New Roman"/>
        </w:rPr>
        <w:t xml:space="preserve"> </w:t>
      </w:r>
      <w:r w:rsidR="00F15C72">
        <w:rPr>
          <w:rFonts w:ascii="Times New Roman" w:hAnsi="Times New Roman"/>
        </w:rPr>
        <w:t>We do acknowledge that i</w:t>
      </w:r>
      <w:r w:rsidRPr="005946E6">
        <w:rPr>
          <w:rFonts w:ascii="Times New Roman" w:hAnsi="Times New Roman"/>
        </w:rPr>
        <w:t xml:space="preserve">n some cases, deleting a user comment on Twitch may be necessary for the protection of users. However, the comment in question did not violate Twitch’s user guidelines or the </w:t>
      </w:r>
      <w:r w:rsidR="00F15C72">
        <w:rPr>
          <w:rFonts w:ascii="Times New Roman" w:hAnsi="Times New Roman"/>
        </w:rPr>
        <w:t xml:space="preserve">specific </w:t>
      </w:r>
      <w:r w:rsidRPr="005946E6">
        <w:rPr>
          <w:rFonts w:ascii="Times New Roman" w:hAnsi="Times New Roman"/>
        </w:rPr>
        <w:t>community rules set forth by the streamer</w:t>
      </w:r>
      <w:r w:rsidR="00506B61">
        <w:rPr>
          <w:rFonts w:ascii="Times New Roman" w:hAnsi="Times New Roman"/>
        </w:rPr>
        <w:t xml:space="preserve"> </w:t>
      </w:r>
      <w:r w:rsidR="00AB7EC5">
        <w:rPr>
          <w:rFonts w:ascii="Times New Roman" w:hAnsi="Times New Roman"/>
        </w:rPr>
        <w:fldChar w:fldCharType="begin" w:fldLock="1"/>
      </w:r>
      <w:r w:rsidR="00E70783">
        <w:rPr>
          <w:rFonts w:ascii="Times New Roman" w:hAnsi="Times New Roman"/>
        </w:rPr>
        <w:instrText>ADDIN CSL_CITATION {"citationItems":[{"id":"ITEM-1","itemData":{"URL":"https://www.twitch.tv/p/legal/developer-agreement/","author":[{"dropping-particle":"","family":"Twitch","given":"","non-dropping-particle":"","parse-names":false,"suffix":""}],"id":"ITEM-1","issued":{"date-parts":[["0"]]},"title":"Twitch Developer Services Agreement","type":"webpage"},"uris":["http://www.mendeley.com/documents/?uuid=9ea1051e-149f-45f3-9443-8f55dffae970"]}],"mendeley":{"formattedCitation":"[10]","plainTextFormattedCitation":"[10]","previouslyFormattedCitation":"[10]"},"properties":{"noteIndex":0},"schema":"https://github.com/citation-style-language/schema/raw/master/csl-citation.json"}</w:instrText>
      </w:r>
      <w:r w:rsidR="00AB7EC5">
        <w:rPr>
          <w:rFonts w:ascii="Times New Roman" w:hAnsi="Times New Roman"/>
        </w:rPr>
        <w:fldChar w:fldCharType="separate"/>
      </w:r>
      <w:r w:rsidR="00AB7EC5" w:rsidRPr="00AB7EC5">
        <w:rPr>
          <w:rFonts w:ascii="Times New Roman" w:hAnsi="Times New Roman"/>
          <w:noProof/>
        </w:rPr>
        <w:t>[10]</w:t>
      </w:r>
      <w:r w:rsidR="00AB7EC5">
        <w:rPr>
          <w:rFonts w:ascii="Times New Roman" w:hAnsi="Times New Roman"/>
        </w:rPr>
        <w:fldChar w:fldCharType="end"/>
      </w:r>
      <w:r w:rsidRPr="005946E6">
        <w:rPr>
          <w:rFonts w:ascii="Times New Roman" w:hAnsi="Times New Roman"/>
        </w:rPr>
        <w:t>. This is alarming and potentially a limitation of free speech, a concept in which brands are heavily dependent</w:t>
      </w:r>
      <w:r w:rsidR="005946E6" w:rsidRPr="005946E6">
        <w:rPr>
          <w:rFonts w:ascii="Times New Roman" w:hAnsi="Times New Roman"/>
        </w:rPr>
        <w:t xml:space="preserve"> on in their own lobbying against advertising rest</w:t>
      </w:r>
      <w:r w:rsidR="00241553">
        <w:rPr>
          <w:rFonts w:ascii="Times New Roman" w:hAnsi="Times New Roman"/>
        </w:rPr>
        <w:t>r</w:t>
      </w:r>
      <w:r w:rsidR="005946E6" w:rsidRPr="005946E6">
        <w:rPr>
          <w:rFonts w:ascii="Times New Roman" w:hAnsi="Times New Roman"/>
        </w:rPr>
        <w:t>ictions</w:t>
      </w:r>
      <w:r w:rsidR="00C656DA">
        <w:rPr>
          <w:rFonts w:ascii="Times New Roman" w:hAnsi="Times New Roman"/>
        </w:rPr>
        <w:t xml:space="preserve"> </w:t>
      </w:r>
      <w:r w:rsidR="00E70783">
        <w:rPr>
          <w:rFonts w:ascii="Times New Roman" w:hAnsi="Times New Roman"/>
        </w:rPr>
        <w:fldChar w:fldCharType="begin" w:fldLock="1"/>
      </w:r>
      <w:r w:rsidR="00E70783">
        <w:rPr>
          <w:rFonts w:ascii="Times New Roman" w:hAnsi="Times New Roman"/>
        </w:rPr>
        <w:instrText>ADDIN CSL_CITATION {"citationItems":[{"id":"ITEM-1","itemData":{"author":[{"dropping-particle":"","family":"Cain","given":"Rita Marie","non-dropping-particle":"","parse-names":false,"suffix":""}],"container-title":"Journal of public policy &amp; marketing : JPP &amp; M ; an annual publ. of the Division of Research, Graduate School of Business Administration, University of Michigan","id":"ITEM-1","issue":"2","issued":{"date-parts":[["2011"]]},"page":"226-238","title":"Embedded advertising on television : disclosure, deception, and free speech rights","type":"article-journal","volume":"30"},"uris":["http://www.mendeley.com/documents/?uuid=2b090751-9847-4748-96d4-8d058610b7ae"]}],"mendeley":{"formattedCitation":"[11]","plainTextFormattedCitation":"[11]"},"properties":{"noteIndex":0},"schema":"https://github.com/citation-style-language/schema/raw/master/csl-citation.json"}</w:instrText>
      </w:r>
      <w:r w:rsidR="00E70783">
        <w:rPr>
          <w:rFonts w:ascii="Times New Roman" w:hAnsi="Times New Roman"/>
        </w:rPr>
        <w:fldChar w:fldCharType="separate"/>
      </w:r>
      <w:r w:rsidR="00E70783" w:rsidRPr="00E70783">
        <w:rPr>
          <w:rFonts w:ascii="Times New Roman" w:hAnsi="Times New Roman"/>
          <w:noProof/>
        </w:rPr>
        <w:t>[11]</w:t>
      </w:r>
      <w:r w:rsidR="00E70783">
        <w:rPr>
          <w:rFonts w:ascii="Times New Roman" w:hAnsi="Times New Roman"/>
        </w:rPr>
        <w:fldChar w:fldCharType="end"/>
      </w:r>
      <w:r w:rsidRPr="005946E6">
        <w:rPr>
          <w:rFonts w:ascii="Times New Roman" w:hAnsi="Times New Roman"/>
        </w:rPr>
        <w:t>. We note that Twitch considers the chat to be “an essential component of the broadcast experience” and that Twitch streamers are allowed to “exercise control over the environment”</w:t>
      </w:r>
      <w:r w:rsidR="00F17C69">
        <w:rPr>
          <w:rFonts w:ascii="Times New Roman" w:hAnsi="Times New Roman"/>
        </w:rPr>
        <w:t xml:space="preserve"> </w:t>
      </w:r>
      <w:r w:rsidRPr="005946E6">
        <w:rPr>
          <w:rFonts w:ascii="Times New Roman" w:hAnsi="Times New Roman"/>
        </w:rPr>
        <w:fldChar w:fldCharType="begin" w:fldLock="1"/>
      </w:r>
      <w:r w:rsidR="009921FE">
        <w:rPr>
          <w:rFonts w:ascii="Times New Roman" w:hAnsi="Times New Roman"/>
        </w:rPr>
        <w:instrText>ADDIN CSL_CITATION {"citationItems":[{"id":"ITEM-1","itemData":{"URL":"https://www.twitch.tv/p/legal/developer-agreement/","author":[{"dropping-particle":"","family":"Twitch","given":"","non-dropping-particle":"","parse-names":false,"suffix":""}],"id":"ITEM-1","issued":{"date-parts":[["0"]]},"title":"Twitch Developer Services Agreement","type":"webpage"},"uris":["http://www.mendeley.com/documents/?uuid=9ea1051e-149f-45f3-9443-8f55dffae970"]}],"mendeley":{"formattedCitation":"[10]","plainTextFormattedCitation":"[10]","previouslyFormattedCitation":"[10]"},"properties":{"noteIndex":0},"schema":"https://github.com/citation-style-language/schema/raw/master/csl-citation.json"}</w:instrText>
      </w:r>
      <w:r w:rsidRPr="005946E6">
        <w:rPr>
          <w:rFonts w:ascii="Times New Roman" w:hAnsi="Times New Roman"/>
        </w:rPr>
        <w:fldChar w:fldCharType="separate"/>
      </w:r>
      <w:r w:rsidR="006D32F1" w:rsidRPr="006D32F1">
        <w:rPr>
          <w:rFonts w:ascii="Times New Roman" w:hAnsi="Times New Roman"/>
          <w:noProof/>
        </w:rPr>
        <w:t>[10]</w:t>
      </w:r>
      <w:r w:rsidRPr="005946E6">
        <w:rPr>
          <w:rFonts w:ascii="Times New Roman" w:hAnsi="Times New Roman"/>
        </w:rPr>
        <w:fldChar w:fldCharType="end"/>
      </w:r>
      <w:r w:rsidRPr="005946E6">
        <w:rPr>
          <w:rFonts w:ascii="Times New Roman" w:hAnsi="Times New Roman"/>
        </w:rPr>
        <w:t xml:space="preserve">. However, in this case, the exchange of money between the streamer and the company essentially provides marketers leverage to control the chat instead of allowing natural discussion to happen. The precedent established by this example is worrisome, particularly for younger consumers who may not be aware of such intricacies within the digital marketing environment that they are participating in. </w:t>
      </w:r>
    </w:p>
    <w:p w14:paraId="40852732" w14:textId="2E8B14DF" w:rsidR="00FA30B0" w:rsidRDefault="00712BBC" w:rsidP="00FA30B0">
      <w:pPr>
        <w:spacing w:line="480" w:lineRule="auto"/>
        <w:ind w:firstLine="720"/>
        <w:rPr>
          <w:rFonts w:ascii="Times New Roman" w:hAnsi="Times New Roman"/>
        </w:rPr>
      </w:pPr>
      <w:r w:rsidRPr="005946E6">
        <w:rPr>
          <w:rFonts w:ascii="Times New Roman" w:hAnsi="Times New Roman"/>
        </w:rPr>
        <w:t>Arguably a license for censorship is warranted when moderating a chat of thousands of people, but the present lack of guidelines for the use of censorship to stifle legitimate concerns of viewers in the endorsement of products in the new age of livestream media benefits the advertiser over the user, and contributes to the growing power or strength of influence of brands over viewers</w:t>
      </w:r>
      <w:r w:rsidR="00F17C69">
        <w:rPr>
          <w:rFonts w:ascii="Times New Roman" w:hAnsi="Times New Roman"/>
        </w:rPr>
        <w:t xml:space="preserve"> </w:t>
      </w:r>
      <w:r w:rsidRPr="005946E6">
        <w:rPr>
          <w:rFonts w:ascii="Times New Roman" w:hAnsi="Times New Roman"/>
        </w:rPr>
        <w:fldChar w:fldCharType="begin" w:fldLock="1"/>
      </w:r>
      <w:r w:rsidR="00E70783">
        <w:rPr>
          <w:rFonts w:ascii="Times New Roman" w:hAnsi="Times New Roman"/>
        </w:rPr>
        <w:instrText>ADDIN CSL_CITATION {"citationItems":[{"id":"ITEM-1","itemData":{"DOI":"10.1017/err.2017.21","ISSN":"21908249","author":[{"dropping-particle":"","family":"Boyland","given":"Emma","non-dropping-particle":"","parse-names":false,"suffix":""},{"dropping-particle":"","family":"Tatlow-Golden","given":"Mimi","non-dropping-particle":"","parse-names":false,"suffix":""}],"container-title":"European Journal of Risk Regulation","id":"ITEM-1","issue":"2","issued":{"date-parts":[["2017"]]},"page":"224-236","title":"Exposure, Power and Impact of Food Marketing on Children: Evidence Supports Strong Restrictions","type":"article-journal","volume":"8"},"uris":["http://www.mendeley.com/documents/?uuid=f6b665d0-13d2-4105-8273-17e5b425b2e7"]}],"mendeley":{"formattedCitation":"[12]","plainTextFormattedCitation":"[12]","previouslyFormattedCitation":"[11]"},"properties":{"noteIndex":0},"schema":"https://github.com/citation-style-language/schema/raw/master/csl-citation.json"}</w:instrText>
      </w:r>
      <w:r w:rsidRPr="005946E6">
        <w:rPr>
          <w:rFonts w:ascii="Times New Roman" w:hAnsi="Times New Roman"/>
        </w:rPr>
        <w:fldChar w:fldCharType="separate"/>
      </w:r>
      <w:r w:rsidR="00E70783" w:rsidRPr="00E70783">
        <w:rPr>
          <w:rFonts w:ascii="Times New Roman" w:hAnsi="Times New Roman"/>
          <w:noProof/>
        </w:rPr>
        <w:t>[12]</w:t>
      </w:r>
      <w:r w:rsidRPr="005946E6">
        <w:rPr>
          <w:rFonts w:ascii="Times New Roman" w:hAnsi="Times New Roman"/>
        </w:rPr>
        <w:fldChar w:fldCharType="end"/>
      </w:r>
      <w:r w:rsidRPr="005946E6">
        <w:rPr>
          <w:rFonts w:ascii="Times New Roman" w:hAnsi="Times New Roman"/>
        </w:rPr>
        <w:t xml:space="preserve">. As livestreaming grows in popularity both within and outside of the Twitch platform, the imbalance and lack of transparency of control that marketing groups are allowed to have compared to the voice viewers and consumers are allowed to express during marketing campaigns needs to be discussed. The </w:t>
      </w:r>
      <w:r w:rsidRPr="005946E6">
        <w:rPr>
          <w:rFonts w:ascii="Times New Roman" w:hAnsi="Times New Roman"/>
        </w:rPr>
        <w:lastRenderedPageBreak/>
        <w:t>present lack of regulations for advertising in the livestream environment enables brands to inappropriately establish the tone, expectation, and norms</w:t>
      </w:r>
      <w:r w:rsidR="00F15C72">
        <w:rPr>
          <w:rFonts w:ascii="Times New Roman" w:hAnsi="Times New Roman"/>
        </w:rPr>
        <w:t xml:space="preserve"> around their products</w:t>
      </w:r>
      <w:r w:rsidRPr="005946E6">
        <w:rPr>
          <w:rFonts w:ascii="Times New Roman" w:hAnsi="Times New Roman"/>
        </w:rPr>
        <w:t xml:space="preserve"> based on their profit-driven agenda. To move responsibly forward in an increasingly digital age, regulations must be established on the role brands</w:t>
      </w:r>
      <w:r w:rsidR="00F15C72">
        <w:rPr>
          <w:rFonts w:ascii="Times New Roman" w:hAnsi="Times New Roman"/>
        </w:rPr>
        <w:t>, particularly those related to consumer health,</w:t>
      </w:r>
      <w:r w:rsidRPr="005946E6">
        <w:rPr>
          <w:rFonts w:ascii="Times New Roman" w:hAnsi="Times New Roman"/>
        </w:rPr>
        <w:t xml:space="preserve"> may play within the livestream</w:t>
      </w:r>
      <w:r w:rsidR="00F15C72">
        <w:rPr>
          <w:rFonts w:ascii="Times New Roman" w:hAnsi="Times New Roman"/>
        </w:rPr>
        <w:t>ing</w:t>
      </w:r>
      <w:r w:rsidRPr="005946E6">
        <w:rPr>
          <w:rFonts w:ascii="Times New Roman" w:hAnsi="Times New Roman"/>
        </w:rPr>
        <w:t xml:space="preserve"> environment.</w:t>
      </w:r>
    </w:p>
    <w:p w14:paraId="0609C043" w14:textId="2EFB8CBB" w:rsidR="00FA30B0" w:rsidRPr="00FA30B0" w:rsidRDefault="00FA30B0" w:rsidP="00F15C72">
      <w:pPr>
        <w:spacing w:after="0" w:line="240" w:lineRule="auto"/>
        <w:rPr>
          <w:rFonts w:ascii="Times New Roman" w:hAnsi="Times New Roman"/>
          <w:b/>
        </w:rPr>
      </w:pPr>
    </w:p>
    <w:p w14:paraId="5DAFD506" w14:textId="5E65BAB0" w:rsidR="00E40AF8" w:rsidRPr="004856A5" w:rsidRDefault="00090585" w:rsidP="00E40AF8">
      <w:pPr>
        <w:keepNext/>
        <w:spacing w:after="120" w:line="360" w:lineRule="auto"/>
        <w:ind w:hanging="11"/>
        <w:outlineLvl w:val="2"/>
        <w:rPr>
          <w:rFonts w:ascii="Cambria" w:eastAsia="Times New Roman" w:hAnsi="Cambria"/>
          <w:b/>
          <w:bCs/>
          <w:color w:val="39A956"/>
          <w:sz w:val="26"/>
          <w:szCs w:val="26"/>
          <w:lang w:val="en-US" w:eastAsia="de-CH"/>
        </w:rPr>
      </w:pPr>
      <w:r>
        <w:rPr>
          <w:lang w:val="en-US"/>
        </w:rPr>
        <w:br w:type="page"/>
      </w:r>
      <w:bookmarkStart w:id="2" w:name="_Toc472330565"/>
      <w:bookmarkEnd w:id="1"/>
      <w:r w:rsidR="00E40AF8" w:rsidRPr="00A8354D">
        <w:rPr>
          <w:rFonts w:ascii="Cambria" w:eastAsia="Times New Roman" w:hAnsi="Cambria"/>
          <w:b/>
          <w:bCs/>
          <w:sz w:val="26"/>
          <w:szCs w:val="26"/>
          <w:lang w:val="en-US" w:eastAsia="de-CH"/>
        </w:rPr>
        <w:lastRenderedPageBreak/>
        <w:t>Statements</w:t>
      </w:r>
    </w:p>
    <w:p w14:paraId="406FCF93" w14:textId="5F8143D9" w:rsidR="00C60D57" w:rsidRPr="004A2766" w:rsidRDefault="008D25E2" w:rsidP="00C60D57">
      <w:pPr>
        <w:pStyle w:val="Heading6"/>
        <w:spacing w:before="0" w:after="120" w:line="360" w:lineRule="auto"/>
        <w:ind w:left="0"/>
        <w:rPr>
          <w:lang w:val="en-US"/>
        </w:rPr>
      </w:pPr>
      <w:bookmarkStart w:id="3" w:name="_Toc472330568"/>
      <w:bookmarkEnd w:id="2"/>
      <w:r>
        <w:rPr>
          <w:rFonts w:ascii="Cambria" w:hAnsi="Cambria"/>
          <w:color w:val="000000"/>
          <w:sz w:val="24"/>
          <w:szCs w:val="28"/>
          <w:lang w:val="en-US" w:eastAsia="de-CH"/>
        </w:rPr>
        <w:t>Conflict of Interest</w:t>
      </w:r>
      <w:r w:rsidR="00C60D57" w:rsidRPr="007C3197">
        <w:rPr>
          <w:rFonts w:ascii="Cambria" w:hAnsi="Cambria"/>
          <w:color w:val="000000"/>
          <w:sz w:val="24"/>
          <w:szCs w:val="28"/>
          <w:lang w:val="en-US" w:eastAsia="de-CH"/>
        </w:rPr>
        <w:t xml:space="preserve"> Statement</w:t>
      </w:r>
    </w:p>
    <w:p w14:paraId="1C7B09AE" w14:textId="2A475C5A" w:rsidR="00C60D57" w:rsidRPr="004A2766" w:rsidRDefault="00C60D57" w:rsidP="00C60D57">
      <w:pPr>
        <w:pStyle w:val="Standardunter5"/>
        <w:spacing w:before="0" w:line="360" w:lineRule="auto"/>
        <w:ind w:left="0"/>
      </w:pPr>
      <w:r w:rsidRPr="004A2766">
        <w:t>The authors have no co</w:t>
      </w:r>
      <w:r w:rsidR="00FA30B0">
        <w:t>nflicts of interest to declare.</w:t>
      </w:r>
    </w:p>
    <w:p w14:paraId="372F126E" w14:textId="77777777" w:rsidR="00C60D57" w:rsidRPr="004A2766" w:rsidRDefault="00C60D57" w:rsidP="00C60D57">
      <w:pPr>
        <w:pStyle w:val="Heading6"/>
        <w:spacing w:before="0" w:after="120" w:line="360" w:lineRule="auto"/>
        <w:ind w:left="0"/>
        <w:rPr>
          <w:lang w:val="en-US"/>
        </w:rPr>
      </w:pPr>
      <w:bookmarkStart w:id="4" w:name="_Toc472330566"/>
      <w:r w:rsidRPr="007C3197">
        <w:rPr>
          <w:rFonts w:ascii="Cambria" w:hAnsi="Cambria"/>
          <w:color w:val="000000"/>
          <w:sz w:val="24"/>
          <w:szCs w:val="28"/>
          <w:lang w:val="en-US" w:eastAsia="de-CH"/>
        </w:rPr>
        <w:t>Funding Sources</w:t>
      </w:r>
      <w:bookmarkEnd w:id="4"/>
    </w:p>
    <w:p w14:paraId="23E2E4F9" w14:textId="1A45C125" w:rsidR="00C60D57" w:rsidRPr="003268BA" w:rsidRDefault="00FA30B0" w:rsidP="00C60D57">
      <w:pPr>
        <w:shd w:val="clear" w:color="auto" w:fill="FCFCFC"/>
        <w:spacing w:after="120" w:line="360" w:lineRule="auto"/>
        <w:rPr>
          <w:lang w:val="en-US"/>
        </w:rPr>
      </w:pPr>
      <w:r>
        <w:rPr>
          <w:lang w:val="en-US"/>
        </w:rPr>
        <w:t>No funding was received for this work.</w:t>
      </w:r>
    </w:p>
    <w:bookmarkEnd w:id="3"/>
    <w:p w14:paraId="5276E438" w14:textId="77777777" w:rsidR="00480B02" w:rsidRPr="004A2766" w:rsidRDefault="00480B02" w:rsidP="00480B02">
      <w:pPr>
        <w:pStyle w:val="Heading6"/>
        <w:spacing w:before="0" w:after="120" w:line="360" w:lineRule="auto"/>
        <w:ind w:left="0"/>
        <w:rPr>
          <w:lang w:val="en-US"/>
        </w:rPr>
      </w:pPr>
      <w:r w:rsidRPr="007C3197">
        <w:rPr>
          <w:rFonts w:ascii="Cambria" w:hAnsi="Cambria"/>
          <w:color w:val="000000"/>
          <w:sz w:val="24"/>
          <w:szCs w:val="28"/>
          <w:lang w:val="en-US" w:eastAsia="de-CH"/>
        </w:rPr>
        <w:t>Author Contributions</w:t>
      </w:r>
    </w:p>
    <w:p w14:paraId="361E284A" w14:textId="6800BBA9" w:rsidR="00480B02" w:rsidRPr="004A2766" w:rsidRDefault="00FA30B0" w:rsidP="00480B02">
      <w:pPr>
        <w:keepNext/>
        <w:numPr>
          <w:ilvl w:val="2"/>
          <w:numId w:val="0"/>
        </w:numPr>
        <w:spacing w:after="120" w:line="360" w:lineRule="auto"/>
        <w:outlineLvl w:val="2"/>
        <w:rPr>
          <w:lang w:val="en-US" w:eastAsia="en-GB"/>
        </w:rPr>
      </w:pPr>
      <w:r>
        <w:rPr>
          <w:lang w:val="en-US" w:eastAsia="en-GB"/>
        </w:rPr>
        <w:t xml:space="preserve">T.M.D. conceptualized the work. C.G.E and T.M.D. </w:t>
      </w:r>
      <w:r w:rsidRPr="005946E6">
        <w:rPr>
          <w:lang w:val="en-US" w:eastAsia="en-GB"/>
        </w:rPr>
        <w:t xml:space="preserve">wrote the initial manuscript draft, with substantial contributions to following versions by </w:t>
      </w:r>
      <w:r w:rsidR="00F17C69">
        <w:rPr>
          <w:lang w:val="en-US" w:eastAsia="en-GB"/>
        </w:rPr>
        <w:t xml:space="preserve">C.C.P., </w:t>
      </w:r>
      <w:r w:rsidRPr="005946E6">
        <w:rPr>
          <w:lang w:val="en-US" w:eastAsia="en-GB"/>
        </w:rPr>
        <w:t xml:space="preserve">E.J.B., R.K.E, and </w:t>
      </w:r>
      <w:r w:rsidR="005946E6" w:rsidRPr="005946E6">
        <w:rPr>
          <w:lang w:val="en-US" w:eastAsia="en-GB"/>
        </w:rPr>
        <w:t>D.G-D</w:t>
      </w:r>
      <w:r w:rsidRPr="005946E6">
        <w:rPr>
          <w:lang w:val="en-US" w:eastAsia="en-GB"/>
        </w:rPr>
        <w:t>. All authors</w:t>
      </w:r>
      <w:r>
        <w:rPr>
          <w:lang w:val="en-US" w:eastAsia="en-GB"/>
        </w:rPr>
        <w:t xml:space="preserve"> approved the final manuscript as submitted and agree to be accountable for all aspects of the work. </w:t>
      </w:r>
      <w:r w:rsidR="00480B02" w:rsidRPr="004A2766">
        <w:rPr>
          <w:lang w:val="en-US" w:eastAsia="en-GB"/>
        </w:rPr>
        <w:t xml:space="preserve"> </w:t>
      </w:r>
    </w:p>
    <w:p w14:paraId="3DFC6098" w14:textId="77777777" w:rsidR="004D0608" w:rsidRPr="004856A5" w:rsidRDefault="004D0608" w:rsidP="000F38A0">
      <w:pPr>
        <w:keepNext/>
        <w:numPr>
          <w:ilvl w:val="2"/>
          <w:numId w:val="0"/>
        </w:numPr>
        <w:spacing w:after="120" w:line="360" w:lineRule="auto"/>
        <w:outlineLvl w:val="2"/>
        <w:rPr>
          <w:lang w:val="en-US"/>
        </w:rPr>
        <w:sectPr w:rsidR="004D0608" w:rsidRPr="004856A5" w:rsidSect="00446204">
          <w:pgSz w:w="11906" w:h="16838"/>
          <w:pgMar w:top="1417" w:right="1417" w:bottom="1134" w:left="1417" w:header="708" w:footer="708" w:gutter="0"/>
          <w:lnNumType w:countBy="1" w:restart="continuous"/>
          <w:cols w:space="708"/>
          <w:docGrid w:linePitch="360"/>
        </w:sectPr>
      </w:pPr>
    </w:p>
    <w:p w14:paraId="16128C86" w14:textId="68151041" w:rsidR="00020FCF" w:rsidRDefault="00FA30B0" w:rsidP="00020FCF">
      <w:pPr>
        <w:suppressLineNumbers/>
        <w:spacing w:after="120" w:line="360" w:lineRule="auto"/>
        <w:rPr>
          <w:rFonts w:ascii="Cambria" w:eastAsia="Times New Roman" w:hAnsi="Cambria"/>
          <w:b/>
          <w:bCs/>
          <w:sz w:val="26"/>
          <w:szCs w:val="26"/>
          <w:lang w:val="en-US" w:eastAsia="de-CH"/>
        </w:rPr>
      </w:pPr>
      <w:r>
        <w:rPr>
          <w:rFonts w:ascii="Cambria" w:eastAsia="Times New Roman" w:hAnsi="Cambria"/>
          <w:b/>
          <w:bCs/>
          <w:sz w:val="26"/>
          <w:szCs w:val="26"/>
          <w:lang w:val="en-US" w:eastAsia="de-CH"/>
        </w:rPr>
        <w:lastRenderedPageBreak/>
        <w:t>References</w:t>
      </w:r>
    </w:p>
    <w:p w14:paraId="1640E622" w14:textId="3F6C081E" w:rsidR="00E70783" w:rsidRPr="00E70783" w:rsidRDefault="00FA30B0" w:rsidP="00E70783">
      <w:pPr>
        <w:widowControl w:val="0"/>
        <w:autoSpaceDE w:val="0"/>
        <w:autoSpaceDN w:val="0"/>
        <w:adjustRightInd w:val="0"/>
        <w:spacing w:after="120" w:line="360" w:lineRule="auto"/>
        <w:ind w:left="640" w:hanging="640"/>
        <w:rPr>
          <w:rFonts w:eastAsia="Times New Roman"/>
          <w:noProof/>
        </w:rPr>
      </w:pPr>
      <w:r>
        <w:rPr>
          <w:lang w:val="en-US"/>
        </w:rPr>
        <w:fldChar w:fldCharType="begin" w:fldLock="1"/>
      </w:r>
      <w:r>
        <w:rPr>
          <w:lang w:val="en-US"/>
        </w:rPr>
        <w:instrText xml:space="preserve">ADDIN Mendeley Bibliography CSL_BIBLIOGRAPHY </w:instrText>
      </w:r>
      <w:r>
        <w:rPr>
          <w:lang w:val="en-US"/>
        </w:rPr>
        <w:fldChar w:fldCharType="separate"/>
      </w:r>
      <w:r w:rsidR="00E70783" w:rsidRPr="00E70783">
        <w:rPr>
          <w:rFonts w:eastAsia="Times New Roman"/>
          <w:noProof/>
        </w:rPr>
        <w:t>[1]</w:t>
      </w:r>
      <w:r w:rsidR="00E70783" w:rsidRPr="00E70783">
        <w:rPr>
          <w:rFonts w:eastAsia="Times New Roman"/>
          <w:noProof/>
        </w:rPr>
        <w:tab/>
        <w:t>Ofcom, “Adults: Media use and attitudes report 2019,” 2019.</w:t>
      </w:r>
    </w:p>
    <w:p w14:paraId="52C96D28"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[2]</w:t>
      </w:r>
      <w:r w:rsidRPr="00E70783">
        <w:rPr>
          <w:rFonts w:eastAsia="Times New Roman"/>
          <w:noProof/>
        </w:rPr>
        <w:tab/>
        <w:t>OfCom, “Children and Parents: Media Use and Attitudes,” 2019.</w:t>
      </w:r>
    </w:p>
    <w:p w14:paraId="146D8A53"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[3]</w:t>
      </w:r>
      <w:r w:rsidRPr="00E70783">
        <w:rPr>
          <w:rFonts w:eastAsia="Times New Roman"/>
          <w:noProof/>
        </w:rPr>
        <w:tab/>
        <w:t xml:space="preserve">Quantcast, “Twtich.tv traffic and demographic statistics by Quantcast,” </w:t>
      </w:r>
      <w:r w:rsidRPr="00E70783">
        <w:rPr>
          <w:rFonts w:eastAsia="Times New Roman"/>
          <w:i/>
          <w:iCs/>
          <w:noProof/>
        </w:rPr>
        <w:t>Quantcast</w:t>
      </w:r>
      <w:r w:rsidRPr="00E70783">
        <w:rPr>
          <w:rFonts w:eastAsia="Times New Roman"/>
          <w:noProof/>
        </w:rPr>
        <w:t>, 2017. [Online]. Available: https://web.archive.org/web/20181218214411/https://www.twitch.tv/year/2017/factsheet.jpg. [Accessed: 20-Sep-2006].</w:t>
      </w:r>
    </w:p>
    <w:p w14:paraId="4960501E"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[4]</w:t>
      </w:r>
      <w:r w:rsidRPr="00E70783">
        <w:rPr>
          <w:rFonts w:eastAsia="Times New Roman"/>
          <w:noProof/>
        </w:rPr>
        <w:tab/>
        <w:t xml:space="preserve">Twitch, “Twitch 2017 Year in Review,” </w:t>
      </w:r>
      <w:r w:rsidRPr="00E70783">
        <w:rPr>
          <w:rFonts w:eastAsia="Times New Roman"/>
          <w:i/>
          <w:iCs/>
          <w:noProof/>
        </w:rPr>
        <w:t>Twitch</w:t>
      </w:r>
      <w:r w:rsidRPr="00E70783">
        <w:rPr>
          <w:rFonts w:eastAsia="Times New Roman"/>
          <w:noProof/>
        </w:rPr>
        <w:t>, 2018. [Online]. Available: https://web.archive.org/web/20181218214411/https://www.twitch.tv/year/2017/factsheet.jpg. [Accessed: 20-Sep-2006].</w:t>
      </w:r>
    </w:p>
    <w:p w14:paraId="0EEE710F"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[5]</w:t>
      </w:r>
      <w:r w:rsidRPr="00E70783">
        <w:rPr>
          <w:rFonts w:eastAsia="Times New Roman"/>
          <w:noProof/>
        </w:rPr>
        <w:tab/>
        <w:t>C. C. Pollack, J. Kim, J. A. Emond, J. Brand, D. Gilbert-diamond, and T. D. Masterson, “Prevalence and strategies of energy drink, soda, processed snack, candy and restaurant product marketing on the online streaming platform Twitch,” pp. 1–11, 2020.</w:t>
      </w:r>
    </w:p>
    <w:p w14:paraId="6C73FDF9" w14:textId="51777F0D"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[6]</w:t>
      </w:r>
      <w:r w:rsidRPr="00E70783">
        <w:rPr>
          <w:rFonts w:eastAsia="Times New Roman"/>
          <w:noProof/>
        </w:rPr>
        <w:tab/>
      </w:r>
      <w:r w:rsidR="0032134F">
        <w:rPr>
          <w:rFonts w:eastAsia="Times New Roman"/>
          <w:noProof/>
        </w:rPr>
        <w:t>Federal Trade Commission</w:t>
      </w:r>
      <w:r w:rsidRPr="00E70783">
        <w:rPr>
          <w:rFonts w:eastAsia="Times New Roman"/>
          <w:noProof/>
        </w:rPr>
        <w:t>, “Guides concerning the use of endorsements and testimonials in advertising,” Washington (DC), 2009.</w:t>
      </w:r>
    </w:p>
    <w:p w14:paraId="38E33C22"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[7]</w:t>
      </w:r>
      <w:r w:rsidRPr="00E70783">
        <w:rPr>
          <w:rFonts w:eastAsia="Times New Roman"/>
          <w:noProof/>
        </w:rPr>
        <w:tab/>
        <w:t xml:space="preserve">A. E. Coates, C. A. Hardman, J. C. G. Halford, P. Christiansen, and E. J. Boyland, “The effect of influencer marketing of food and a ‘protective’ advertising disclosure on children’s food intake,” </w:t>
      </w:r>
      <w:r w:rsidRPr="00E70783">
        <w:rPr>
          <w:rFonts w:eastAsia="Times New Roman"/>
          <w:i/>
          <w:iCs/>
          <w:noProof/>
        </w:rPr>
        <w:t>Pediatr. Obes.</w:t>
      </w:r>
      <w:r w:rsidRPr="00E70783">
        <w:rPr>
          <w:rFonts w:eastAsia="Times New Roman"/>
          <w:noProof/>
        </w:rPr>
        <w:t>, vol. 14, no. 10, pp. 1–9, 2019.</w:t>
      </w:r>
    </w:p>
    <w:p w14:paraId="0086B5CE"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[8]</w:t>
      </w:r>
      <w:r w:rsidRPr="00E70783">
        <w:rPr>
          <w:rFonts w:eastAsia="Times New Roman"/>
          <w:noProof/>
        </w:rPr>
        <w:tab/>
        <w:t xml:space="preserve">J. Thomas, C. Peters, E. Howell, and K. Robbins, “Social Media and Negative Word of Mouth: Strategies for Handing Unexpecting Comments,” </w:t>
      </w:r>
      <w:r w:rsidRPr="00E70783">
        <w:rPr>
          <w:rFonts w:eastAsia="Times New Roman"/>
          <w:i/>
          <w:iCs/>
          <w:noProof/>
        </w:rPr>
        <w:t>Atl. Mark. J.</w:t>
      </w:r>
      <w:r w:rsidRPr="00E70783">
        <w:rPr>
          <w:rFonts w:eastAsia="Times New Roman"/>
          <w:noProof/>
        </w:rPr>
        <w:t>, vol. 1, no. 2, p. 7, 2012.</w:t>
      </w:r>
    </w:p>
    <w:p w14:paraId="4AF93DF5"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[9]</w:t>
      </w:r>
      <w:r w:rsidRPr="00E70783">
        <w:rPr>
          <w:rFonts w:eastAsia="Times New Roman"/>
          <w:noProof/>
        </w:rPr>
        <w:tab/>
        <w:t xml:space="preserve">E. Fox, “Nestle hit by Facebook ‘anti-social’ media surge,” </w:t>
      </w:r>
      <w:r w:rsidRPr="00E70783">
        <w:rPr>
          <w:rFonts w:eastAsia="Times New Roman"/>
          <w:i/>
          <w:iCs/>
          <w:noProof/>
        </w:rPr>
        <w:t>The Guardian</w:t>
      </w:r>
      <w:r w:rsidRPr="00E70783">
        <w:rPr>
          <w:rFonts w:eastAsia="Times New Roman"/>
          <w:noProof/>
        </w:rPr>
        <w:t>, 2010. [Online]. Available: https://www.theguardian.com/sustainable-business/nestle-facebook.</w:t>
      </w:r>
    </w:p>
    <w:p w14:paraId="56CABA98"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[10]</w:t>
      </w:r>
      <w:r w:rsidRPr="00E70783">
        <w:rPr>
          <w:rFonts w:eastAsia="Times New Roman"/>
          <w:noProof/>
        </w:rPr>
        <w:tab/>
        <w:t>Twitch, “Twitch Developer Services Agreement.” [Online]. Available: https://www.twitch.tv/p/legal/developer-agreement/.</w:t>
      </w:r>
    </w:p>
    <w:p w14:paraId="3A652F50" w14:textId="77777777" w:rsidR="00E70783" w:rsidRPr="00E70783" w:rsidRDefault="00E70783" w:rsidP="00E70783">
      <w:pPr>
        <w:widowControl w:val="0"/>
        <w:autoSpaceDE w:val="0"/>
        <w:autoSpaceDN w:val="0"/>
        <w:adjustRightInd w:val="0"/>
        <w:spacing w:after="120" w:line="360" w:lineRule="auto"/>
        <w:ind w:left="640" w:hanging="640"/>
        <w:rPr>
          <w:rFonts w:eastAsia="Times New Roman"/>
          <w:noProof/>
        </w:rPr>
      </w:pPr>
      <w:r w:rsidRPr="00E70783">
        <w:rPr>
          <w:rFonts w:eastAsia="Times New Roman"/>
          <w:noProof/>
        </w:rPr>
        <w:t>[11]</w:t>
      </w:r>
      <w:r w:rsidRPr="00E70783">
        <w:rPr>
          <w:rFonts w:eastAsia="Times New Roman"/>
          <w:noProof/>
        </w:rPr>
        <w:tab/>
        <w:t xml:space="preserve">R. M. Cain, “Embedded advertising on television : disclosure, deception, and free speech rights,” </w:t>
      </w:r>
      <w:r w:rsidRPr="00E70783">
        <w:rPr>
          <w:rFonts w:eastAsia="Times New Roman"/>
          <w:i/>
          <w:iCs/>
          <w:noProof/>
        </w:rPr>
        <w:t>J. public policy Mark.  JPP M ; an Annu. publ. Div. Res. Grad. Sch. Bus. Adm. Univ. Michigan</w:t>
      </w:r>
      <w:r w:rsidRPr="00E70783">
        <w:rPr>
          <w:rFonts w:eastAsia="Times New Roman"/>
          <w:noProof/>
        </w:rPr>
        <w:t>, vol. 30, no. 2, pp. 226–238, 2011.</w:t>
      </w:r>
    </w:p>
    <w:p w14:paraId="56D4DE96" w14:textId="77777777" w:rsidR="00E70783" w:rsidRPr="00E70783" w:rsidRDefault="00E70783" w:rsidP="00E70783">
      <w:pPr>
        <w:widowControl w:val="0"/>
        <w:autoSpaceDE w:val="0"/>
        <w:autoSpaceDN w:val="0"/>
        <w:adjustRightInd w:val="0"/>
        <w:spacing w:after="120" w:line="360" w:lineRule="auto"/>
        <w:ind w:left="640" w:hanging="640"/>
        <w:rPr>
          <w:noProof/>
        </w:rPr>
      </w:pPr>
      <w:r w:rsidRPr="00E70783">
        <w:rPr>
          <w:rFonts w:eastAsia="Times New Roman"/>
          <w:noProof/>
        </w:rPr>
        <w:t>[12]</w:t>
      </w:r>
      <w:r w:rsidRPr="00E70783">
        <w:rPr>
          <w:rFonts w:eastAsia="Times New Roman"/>
          <w:noProof/>
        </w:rPr>
        <w:tab/>
        <w:t xml:space="preserve">E. Boyland and M. Tatlow-Golden, “Exposure, Power and Impact of Food Marketing on Children: Evidence Supports Strong Restrictions,” </w:t>
      </w:r>
      <w:r w:rsidRPr="00E70783">
        <w:rPr>
          <w:rFonts w:eastAsia="Times New Roman"/>
          <w:i/>
          <w:iCs/>
          <w:noProof/>
        </w:rPr>
        <w:t>Eur. J. Risk Regul.</w:t>
      </w:r>
      <w:r w:rsidRPr="00E70783">
        <w:rPr>
          <w:rFonts w:eastAsia="Times New Roman"/>
          <w:noProof/>
        </w:rPr>
        <w:t>, vol. 8, no. 2, pp. 224–236, 2017.</w:t>
      </w:r>
    </w:p>
    <w:p w14:paraId="58B2A79B" w14:textId="7DAF7C5E" w:rsidR="00EA4FF1" w:rsidRPr="001B170B" w:rsidRDefault="00FA30B0" w:rsidP="00D32B43">
      <w:pPr>
        <w:widowControl w:val="0"/>
        <w:autoSpaceDE w:val="0"/>
        <w:autoSpaceDN w:val="0"/>
        <w:adjustRightInd w:val="0"/>
        <w:spacing w:after="120" w:line="360" w:lineRule="auto"/>
        <w:ind w:left="640" w:hanging="640"/>
        <w:rPr>
          <w:lang w:val="en-GB"/>
        </w:rPr>
      </w:pPr>
      <w:r>
        <w:rPr>
          <w:lang w:val="en-US"/>
        </w:rPr>
        <w:lastRenderedPageBreak/>
        <w:fldChar w:fldCharType="end"/>
      </w:r>
      <w:r w:rsidR="00D32B43" w:rsidRPr="001B170B">
        <w:rPr>
          <w:lang w:val="en-GB"/>
        </w:rPr>
        <w:t xml:space="preserve"> </w:t>
      </w:r>
    </w:p>
    <w:p w14:paraId="58D4B867" w14:textId="77777777" w:rsidR="004D0608" w:rsidRPr="001B170B" w:rsidRDefault="004D0608" w:rsidP="00747572">
      <w:pPr>
        <w:spacing w:after="120" w:line="240" w:lineRule="auto"/>
        <w:rPr>
          <w:lang w:val="en-GB"/>
        </w:rPr>
      </w:pPr>
    </w:p>
    <w:sectPr w:rsidR="004D0608" w:rsidRPr="001B170B" w:rsidSect="001779D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FE61E" w14:textId="77777777" w:rsidR="00052804" w:rsidRDefault="00052804" w:rsidP="001B170B">
      <w:pPr>
        <w:spacing w:after="0" w:line="240" w:lineRule="auto"/>
      </w:pPr>
      <w:r>
        <w:separator/>
      </w:r>
    </w:p>
  </w:endnote>
  <w:endnote w:type="continuationSeparator" w:id="0">
    <w:p w14:paraId="33AEE956" w14:textId="77777777" w:rsidR="00052804" w:rsidRDefault="00052804"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D169D" w14:textId="77777777" w:rsidR="004D2166" w:rsidRDefault="004D2166">
    <w:pPr>
      <w:pStyle w:val="Footer"/>
      <w:jc w:val="right"/>
    </w:pPr>
    <w:r>
      <w:fldChar w:fldCharType="begin"/>
    </w:r>
    <w:r>
      <w:instrText>PAGE   \* MERGEFORMAT</w:instrText>
    </w:r>
    <w:r>
      <w:fldChar w:fldCharType="separate"/>
    </w:r>
    <w:r w:rsidR="00D32B43" w:rsidRPr="00D32B43">
      <w:rPr>
        <w:noProof/>
        <w:lang w:val="de-DE"/>
      </w:rPr>
      <w:t>1</w:t>
    </w:r>
    <w:r>
      <w:fldChar w:fldCharType="end"/>
    </w:r>
  </w:p>
  <w:p w14:paraId="005962D9" w14:textId="77777777" w:rsidR="004D2166" w:rsidRDefault="004D2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12DAF" w14:textId="77777777" w:rsidR="00052804" w:rsidRDefault="00052804" w:rsidP="001B170B">
      <w:pPr>
        <w:spacing w:after="0" w:line="240" w:lineRule="auto"/>
      </w:pPr>
      <w:r>
        <w:separator/>
      </w:r>
    </w:p>
  </w:footnote>
  <w:footnote w:type="continuationSeparator" w:id="0">
    <w:p w14:paraId="3E7B284D" w14:textId="77777777" w:rsidR="00052804" w:rsidRDefault="00052804"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CH"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03AA4"/>
    <w:rsid w:val="000158DB"/>
    <w:rsid w:val="00015D91"/>
    <w:rsid w:val="00020FCF"/>
    <w:rsid w:val="00052804"/>
    <w:rsid w:val="00052ECD"/>
    <w:rsid w:val="00064CFC"/>
    <w:rsid w:val="0007262F"/>
    <w:rsid w:val="00074687"/>
    <w:rsid w:val="00090585"/>
    <w:rsid w:val="000F38A0"/>
    <w:rsid w:val="0014542D"/>
    <w:rsid w:val="00153407"/>
    <w:rsid w:val="001779D3"/>
    <w:rsid w:val="001A1764"/>
    <w:rsid w:val="001A6973"/>
    <w:rsid w:val="001B170B"/>
    <w:rsid w:val="001B6737"/>
    <w:rsid w:val="00230ADA"/>
    <w:rsid w:val="002360F1"/>
    <w:rsid w:val="00241553"/>
    <w:rsid w:val="00254C82"/>
    <w:rsid w:val="0025571C"/>
    <w:rsid w:val="00257B94"/>
    <w:rsid w:val="002844B3"/>
    <w:rsid w:val="002875D1"/>
    <w:rsid w:val="002B17F8"/>
    <w:rsid w:val="002B525B"/>
    <w:rsid w:val="003170EB"/>
    <w:rsid w:val="003203A4"/>
    <w:rsid w:val="0032134F"/>
    <w:rsid w:val="003232E6"/>
    <w:rsid w:val="00332B41"/>
    <w:rsid w:val="003824FD"/>
    <w:rsid w:val="00387A07"/>
    <w:rsid w:val="0039576C"/>
    <w:rsid w:val="003A44A9"/>
    <w:rsid w:val="003E02A1"/>
    <w:rsid w:val="003E5636"/>
    <w:rsid w:val="00434C6A"/>
    <w:rsid w:val="0044297C"/>
    <w:rsid w:val="00446204"/>
    <w:rsid w:val="00447D0B"/>
    <w:rsid w:val="0046670E"/>
    <w:rsid w:val="00480B02"/>
    <w:rsid w:val="004856A5"/>
    <w:rsid w:val="00494D81"/>
    <w:rsid w:val="00496342"/>
    <w:rsid w:val="004D0608"/>
    <w:rsid w:val="004D2166"/>
    <w:rsid w:val="004E1BAB"/>
    <w:rsid w:val="00506B61"/>
    <w:rsid w:val="005076D5"/>
    <w:rsid w:val="005246F5"/>
    <w:rsid w:val="005616B9"/>
    <w:rsid w:val="00575A2A"/>
    <w:rsid w:val="005946E6"/>
    <w:rsid w:val="005A4F7B"/>
    <w:rsid w:val="005B0662"/>
    <w:rsid w:val="005E216C"/>
    <w:rsid w:val="005E6392"/>
    <w:rsid w:val="00656420"/>
    <w:rsid w:val="006B6723"/>
    <w:rsid w:val="006D1F22"/>
    <w:rsid w:val="006D32F1"/>
    <w:rsid w:val="006E22B6"/>
    <w:rsid w:val="00701255"/>
    <w:rsid w:val="007063D6"/>
    <w:rsid w:val="00712BBC"/>
    <w:rsid w:val="0071669B"/>
    <w:rsid w:val="00721412"/>
    <w:rsid w:val="00734857"/>
    <w:rsid w:val="00747572"/>
    <w:rsid w:val="00757D69"/>
    <w:rsid w:val="00773AA5"/>
    <w:rsid w:val="007B32B2"/>
    <w:rsid w:val="007F34BA"/>
    <w:rsid w:val="00827B42"/>
    <w:rsid w:val="00880C5A"/>
    <w:rsid w:val="008908F6"/>
    <w:rsid w:val="008915CD"/>
    <w:rsid w:val="00894588"/>
    <w:rsid w:val="00896C35"/>
    <w:rsid w:val="008D1E78"/>
    <w:rsid w:val="008D25E2"/>
    <w:rsid w:val="008E19F8"/>
    <w:rsid w:val="008E688E"/>
    <w:rsid w:val="009456F9"/>
    <w:rsid w:val="00967C34"/>
    <w:rsid w:val="00974D60"/>
    <w:rsid w:val="00985C15"/>
    <w:rsid w:val="0099133D"/>
    <w:rsid w:val="009921FE"/>
    <w:rsid w:val="009C54F5"/>
    <w:rsid w:val="00A06039"/>
    <w:rsid w:val="00A43EEE"/>
    <w:rsid w:val="00A52418"/>
    <w:rsid w:val="00A73AF6"/>
    <w:rsid w:val="00AB7E7D"/>
    <w:rsid w:val="00AB7EC5"/>
    <w:rsid w:val="00AD352E"/>
    <w:rsid w:val="00B330CE"/>
    <w:rsid w:val="00B61CBE"/>
    <w:rsid w:val="00B62112"/>
    <w:rsid w:val="00BA1D58"/>
    <w:rsid w:val="00BA41D9"/>
    <w:rsid w:val="00BB1728"/>
    <w:rsid w:val="00BF0794"/>
    <w:rsid w:val="00C151EF"/>
    <w:rsid w:val="00C22796"/>
    <w:rsid w:val="00C26D07"/>
    <w:rsid w:val="00C60D57"/>
    <w:rsid w:val="00C656DA"/>
    <w:rsid w:val="00C67A1A"/>
    <w:rsid w:val="00CB630D"/>
    <w:rsid w:val="00D14038"/>
    <w:rsid w:val="00D21F1D"/>
    <w:rsid w:val="00D32B43"/>
    <w:rsid w:val="00D35F9A"/>
    <w:rsid w:val="00DA3EBF"/>
    <w:rsid w:val="00DC4B0E"/>
    <w:rsid w:val="00E0085F"/>
    <w:rsid w:val="00E106C1"/>
    <w:rsid w:val="00E14791"/>
    <w:rsid w:val="00E40AF8"/>
    <w:rsid w:val="00E51299"/>
    <w:rsid w:val="00E56DFA"/>
    <w:rsid w:val="00E70783"/>
    <w:rsid w:val="00E83CD0"/>
    <w:rsid w:val="00EA4FF1"/>
    <w:rsid w:val="00EA707F"/>
    <w:rsid w:val="00EB649E"/>
    <w:rsid w:val="00EC5883"/>
    <w:rsid w:val="00EC59A0"/>
    <w:rsid w:val="00EC699C"/>
    <w:rsid w:val="00ED5EA0"/>
    <w:rsid w:val="00EE3F56"/>
    <w:rsid w:val="00EF28A8"/>
    <w:rsid w:val="00EF4C93"/>
    <w:rsid w:val="00F125CA"/>
    <w:rsid w:val="00F15C72"/>
    <w:rsid w:val="00F17C69"/>
    <w:rsid w:val="00F23AD9"/>
    <w:rsid w:val="00F54E42"/>
    <w:rsid w:val="00FA30B0"/>
    <w:rsid w:val="00FA458C"/>
    <w:rsid w:val="00FA47F4"/>
    <w:rsid w:val="00FB08AF"/>
    <w:rsid w:val="00FD4D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AE893"/>
  <w15:chartTrackingRefBased/>
  <w15:docId w15:val="{B26E85FF-9D05-4D28-8D61-52228FBD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en-US"/>
    </w:rPr>
  </w:style>
  <w:style w:type="paragraph" w:styleId="Heading6">
    <w:name w:val="heading 6"/>
    <w:basedOn w:val="Normal"/>
    <w:next w:val="Normal"/>
    <w:link w:val="Heading6Char"/>
    <w:uiPriority w:val="9"/>
    <w:unhideWhenUsed/>
    <w:qFormat/>
    <w:rsid w:val="00015D91"/>
    <w:pPr>
      <w:spacing w:before="240" w:after="60"/>
      <w:ind w:left="708"/>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46204"/>
  </w:style>
  <w:style w:type="character" w:customStyle="1" w:styleId="Heading6Char">
    <w:name w:val="Heading 6 Char"/>
    <w:link w:val="Heading6"/>
    <w:uiPriority w:val="9"/>
    <w:rsid w:val="00015D91"/>
    <w:rPr>
      <w:rFonts w:eastAsia="Times New Roman"/>
      <w:b/>
      <w:bCs/>
      <w:sz w:val="22"/>
      <w:szCs w:val="22"/>
      <w:lang w:eastAsia="en-US"/>
    </w:rPr>
  </w:style>
  <w:style w:type="character" w:styleId="Hyperlink">
    <w:name w:val="Hyperlink"/>
    <w:uiPriority w:val="99"/>
    <w:unhideWhenUsed/>
    <w:rsid w:val="00015D91"/>
    <w:rPr>
      <w:color w:val="0000FF"/>
      <w:u w:val="single"/>
    </w:rPr>
  </w:style>
  <w:style w:type="paragraph" w:customStyle="1" w:styleId="Standardunter5">
    <w:name w:val="Standard unter Ü5"/>
    <w:basedOn w:val="Normal"/>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CommentReference">
    <w:name w:val="annotation reference"/>
    <w:uiPriority w:val="99"/>
    <w:semiHidden/>
    <w:unhideWhenUsed/>
    <w:rsid w:val="00015D91"/>
    <w:rPr>
      <w:sz w:val="16"/>
      <w:szCs w:val="16"/>
    </w:rPr>
  </w:style>
  <w:style w:type="paragraph" w:styleId="CommentText">
    <w:name w:val="annotation text"/>
    <w:basedOn w:val="Normal"/>
    <w:link w:val="CommentTextChar"/>
    <w:uiPriority w:val="99"/>
    <w:semiHidden/>
    <w:unhideWhenUsed/>
    <w:rsid w:val="00015D91"/>
    <w:rPr>
      <w:sz w:val="20"/>
      <w:szCs w:val="20"/>
    </w:rPr>
  </w:style>
  <w:style w:type="character" w:customStyle="1" w:styleId="CommentTextChar">
    <w:name w:val="Comment Text Char"/>
    <w:link w:val="CommentText"/>
    <w:uiPriority w:val="99"/>
    <w:semiHidden/>
    <w:rsid w:val="00015D91"/>
    <w:rPr>
      <w:lang w:eastAsia="en-US"/>
    </w:rPr>
  </w:style>
  <w:style w:type="paragraph" w:styleId="Header">
    <w:name w:val="header"/>
    <w:basedOn w:val="Normal"/>
    <w:link w:val="HeaderChar"/>
    <w:uiPriority w:val="99"/>
    <w:unhideWhenUsed/>
    <w:rsid w:val="001B170B"/>
    <w:pPr>
      <w:tabs>
        <w:tab w:val="center" w:pos="4536"/>
        <w:tab w:val="right" w:pos="9072"/>
      </w:tabs>
    </w:pPr>
  </w:style>
  <w:style w:type="character" w:customStyle="1" w:styleId="HeaderChar">
    <w:name w:val="Header Char"/>
    <w:link w:val="Header"/>
    <w:uiPriority w:val="99"/>
    <w:rsid w:val="001B170B"/>
    <w:rPr>
      <w:sz w:val="22"/>
      <w:szCs w:val="22"/>
      <w:lang w:eastAsia="en-US"/>
    </w:rPr>
  </w:style>
  <w:style w:type="paragraph" w:styleId="Footer">
    <w:name w:val="footer"/>
    <w:basedOn w:val="Normal"/>
    <w:link w:val="FooterChar"/>
    <w:uiPriority w:val="99"/>
    <w:unhideWhenUsed/>
    <w:rsid w:val="001B170B"/>
    <w:pPr>
      <w:tabs>
        <w:tab w:val="center" w:pos="4536"/>
        <w:tab w:val="right" w:pos="9072"/>
      </w:tabs>
    </w:pPr>
  </w:style>
  <w:style w:type="character" w:customStyle="1" w:styleId="FooterChar">
    <w:name w:val="Footer Char"/>
    <w:link w:val="Footer"/>
    <w:uiPriority w:val="99"/>
    <w:rsid w:val="001B170B"/>
    <w:rPr>
      <w:sz w:val="22"/>
      <w:szCs w:val="22"/>
      <w:lang w:eastAsia="en-US"/>
    </w:rPr>
  </w:style>
  <w:style w:type="paragraph" w:styleId="FootnoteText">
    <w:name w:val="footnote text"/>
    <w:basedOn w:val="Normal"/>
    <w:link w:val="FootnoteTextChar"/>
    <w:uiPriority w:val="99"/>
    <w:semiHidden/>
    <w:unhideWhenUsed/>
    <w:rsid w:val="003E02A1"/>
    <w:rPr>
      <w:sz w:val="20"/>
      <w:szCs w:val="20"/>
    </w:rPr>
  </w:style>
  <w:style w:type="character" w:customStyle="1" w:styleId="FootnoteTextChar">
    <w:name w:val="Footnote Text Char"/>
    <w:link w:val="FootnoteText"/>
    <w:uiPriority w:val="99"/>
    <w:semiHidden/>
    <w:rsid w:val="003E02A1"/>
    <w:rPr>
      <w:lang w:eastAsia="en-US"/>
    </w:rPr>
  </w:style>
  <w:style w:type="character" w:styleId="FootnoteReference">
    <w:name w:val="footnote reference"/>
    <w:uiPriority w:val="99"/>
    <w:semiHidden/>
    <w:unhideWhenUsed/>
    <w:rsid w:val="003E02A1"/>
    <w:rPr>
      <w:vertAlign w:val="superscript"/>
    </w:rPr>
  </w:style>
  <w:style w:type="paragraph" w:styleId="BalloonText">
    <w:name w:val="Balloon Text"/>
    <w:basedOn w:val="Normal"/>
    <w:link w:val="BalloonTextChar"/>
    <w:uiPriority w:val="99"/>
    <w:semiHidden/>
    <w:unhideWhenUsed/>
    <w:rsid w:val="00712BBC"/>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12BBC"/>
    <w:rPr>
      <w:rFonts w:ascii="Times New Roman" w:hAnsi="Times New Roman"/>
      <w:sz w:val="18"/>
      <w:szCs w:val="18"/>
      <w:lang w:eastAsia="en-US"/>
    </w:rPr>
  </w:style>
  <w:style w:type="character" w:styleId="FollowedHyperlink">
    <w:name w:val="FollowedHyperlink"/>
    <w:basedOn w:val="DefaultParagraphFont"/>
    <w:uiPriority w:val="99"/>
    <w:semiHidden/>
    <w:unhideWhenUsed/>
    <w:rsid w:val="00712BB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56420"/>
    <w:pPr>
      <w:spacing w:line="240" w:lineRule="auto"/>
    </w:pPr>
    <w:rPr>
      <w:b/>
      <w:bCs/>
    </w:rPr>
  </w:style>
  <w:style w:type="character" w:customStyle="1" w:styleId="CommentSubjectChar">
    <w:name w:val="Comment Subject Char"/>
    <w:basedOn w:val="CommentTextChar"/>
    <w:link w:val="CommentSubject"/>
    <w:uiPriority w:val="99"/>
    <w:semiHidden/>
    <w:rsid w:val="00656420"/>
    <w:rPr>
      <w:b/>
      <w:bCs/>
      <w:lang w:eastAsia="en-US"/>
    </w:rPr>
  </w:style>
  <w:style w:type="paragraph" w:styleId="NormalWeb">
    <w:name w:val="Normal (Web)"/>
    <w:basedOn w:val="Normal"/>
    <w:uiPriority w:val="99"/>
    <w:semiHidden/>
    <w:unhideWhenUsed/>
    <w:rsid w:val="00EF4C93"/>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841155">
      <w:bodyDiv w:val="1"/>
      <w:marLeft w:val="0"/>
      <w:marRight w:val="0"/>
      <w:marTop w:val="0"/>
      <w:marBottom w:val="0"/>
      <w:divBdr>
        <w:top w:val="none" w:sz="0" w:space="0" w:color="auto"/>
        <w:left w:val="none" w:sz="0" w:space="0" w:color="auto"/>
        <w:bottom w:val="none" w:sz="0" w:space="0" w:color="auto"/>
        <w:right w:val="none" w:sz="0" w:space="0" w:color="auto"/>
      </w:divBdr>
    </w:div>
    <w:div w:id="565722633">
      <w:bodyDiv w:val="1"/>
      <w:marLeft w:val="0"/>
      <w:marRight w:val="0"/>
      <w:marTop w:val="0"/>
      <w:marBottom w:val="0"/>
      <w:divBdr>
        <w:top w:val="none" w:sz="0" w:space="0" w:color="auto"/>
        <w:left w:val="none" w:sz="0" w:space="0" w:color="auto"/>
        <w:bottom w:val="none" w:sz="0" w:space="0" w:color="auto"/>
        <w:right w:val="none" w:sz="0" w:space="0" w:color="auto"/>
      </w:divBdr>
    </w:div>
    <w:div w:id="1727486420">
      <w:bodyDiv w:val="1"/>
      <w:marLeft w:val="0"/>
      <w:marRight w:val="0"/>
      <w:marTop w:val="0"/>
      <w:marBottom w:val="0"/>
      <w:divBdr>
        <w:top w:val="none" w:sz="0" w:space="0" w:color="auto"/>
        <w:left w:val="none" w:sz="0" w:space="0" w:color="auto"/>
        <w:bottom w:val="none" w:sz="0" w:space="0" w:color="auto"/>
        <w:right w:val="none" w:sz="0" w:space="0" w:color="auto"/>
      </w:divBdr>
    </w:div>
    <w:div w:id="19358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374FEAE1A8F419AD2947585B1EDF4" ma:contentTypeVersion="8" ma:contentTypeDescription="Create a new document." ma:contentTypeScope="" ma:versionID="de34f3122e27b0a238cb558e003d2d05">
  <xsd:schema xmlns:xsd="http://www.w3.org/2001/XMLSchema" xmlns:xs="http://www.w3.org/2001/XMLSchema" xmlns:p="http://schemas.microsoft.com/office/2006/metadata/properties" xmlns:ns2="e957063e-47c0-4ebb-b0e7-114a3e48866c" targetNamespace="http://schemas.microsoft.com/office/2006/metadata/properties" ma:root="true" ma:fieldsID="90964add71089bedd976a571d538c815" ns2:_="">
    <xsd:import namespace="e957063e-47c0-4ebb-b0e7-114a3e4886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7063e-47c0-4ebb-b0e7-114a3e488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E411B-FE62-4445-B17F-FFD1C8FFE5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E72CC-9427-43DD-9E99-05F1A410E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7063e-47c0-4ebb-b0e7-114a3e488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845B6-54A5-7C4E-9C5E-C83AFD8825ED}">
  <ds:schemaRefs>
    <ds:schemaRef ds:uri="http://schemas.openxmlformats.org/officeDocument/2006/bibliography"/>
  </ds:schemaRefs>
</ds:datastoreItem>
</file>

<file path=customXml/itemProps4.xml><?xml version="1.0" encoding="utf-8"?>
<ds:datastoreItem xmlns:ds="http://schemas.openxmlformats.org/officeDocument/2006/customXml" ds:itemID="{901F4F62-1FF7-4178-A177-4137CE947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S.Karger AG</Company>
  <LinksUpToDate>false</LinksUpToDate>
  <CharactersWithSpaces>31151</CharactersWithSpaces>
  <SharedDoc>false</SharedDoc>
  <HLinks>
    <vt:vector size="24" baseType="variant">
      <vt:variant>
        <vt:i4>7405614</vt:i4>
      </vt:variant>
      <vt:variant>
        <vt:i4>9</vt:i4>
      </vt:variant>
      <vt:variant>
        <vt:i4>0</vt:i4>
      </vt:variant>
      <vt:variant>
        <vt:i4>5</vt:i4>
      </vt:variant>
      <vt:variant>
        <vt:lpwstr>http://www.vesaliusfabrica.com/en/new-fabrica.html</vt:lpwstr>
      </vt:variant>
      <vt:variant>
        <vt:lpwstr/>
      </vt:variant>
      <vt:variant>
        <vt:i4>2687084</vt:i4>
      </vt:variant>
      <vt:variant>
        <vt:i4>6</vt:i4>
      </vt:variant>
      <vt:variant>
        <vt:i4>0</vt:i4>
      </vt:variant>
      <vt:variant>
        <vt:i4>5</vt:i4>
      </vt:variant>
      <vt:variant>
        <vt:lpwstr>https://www.ncbi.nlm.nih.gov/books/NBK7256/</vt:lpwstr>
      </vt:variant>
      <vt:variant>
        <vt:lpwstr/>
      </vt:variant>
      <vt:variant>
        <vt:i4>5701700</vt:i4>
      </vt:variant>
      <vt:variant>
        <vt:i4>3</vt:i4>
      </vt:variant>
      <vt:variant>
        <vt:i4>0</vt:i4>
      </vt:variant>
      <vt:variant>
        <vt:i4>5</vt:i4>
      </vt:variant>
      <vt:variant>
        <vt:lpwstr>http://www.icmje.org/recommendations/browse/roles-and-responsibilities/defining-the-role-of-authors-and-contributors.html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Emma Boyland</cp:lastModifiedBy>
  <cp:revision>2</cp:revision>
  <dcterms:created xsi:type="dcterms:W3CDTF">2020-09-03T10:50:00Z</dcterms:created>
  <dcterms:modified xsi:type="dcterms:W3CDTF">2020-09-03T10:50:00Z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258f0d32-de16-354f-8fb1-dadd174774e9</vt:lpwstr>
  </property>
  <property fmtid="{D5CDD505-2E9C-101B-9397-08002B2CF9AE}" pid="24" name="Mendeley Citation Style_1">
    <vt:lpwstr>http://www.zotero.org/styles/ieee</vt:lpwstr>
  </property>
  <property fmtid="{D5CDD505-2E9C-101B-9397-08002B2CF9AE}" pid="25" name="ContentTypeId">
    <vt:lpwstr>0x0101009DD374FEAE1A8F419AD2947585B1EDF4</vt:lpwstr>
  </property>
</Properties>
</file>