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04B6" w14:textId="77777777" w:rsidR="006772C6" w:rsidRPr="00913356" w:rsidRDefault="006772C6" w:rsidP="006772C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356">
        <w:rPr>
          <w:rFonts w:ascii="Times New Roman" w:hAnsi="Times New Roman" w:cs="Times New Roman"/>
          <w:b/>
          <w:bCs/>
          <w:sz w:val="28"/>
          <w:szCs w:val="28"/>
        </w:rPr>
        <w:t>Supplementary Information</w:t>
      </w:r>
    </w:p>
    <w:p w14:paraId="245B19CC" w14:textId="77777777" w:rsidR="006772C6" w:rsidRDefault="006772C6" w:rsidP="0067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Title: Developing </w:t>
      </w:r>
      <w:proofErr w:type="spellStart"/>
      <w:r w:rsidRPr="00677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Portulaca</w:t>
      </w:r>
      <w:proofErr w:type="spellEnd"/>
      <w:r w:rsidRPr="00677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oleracea</w:t>
      </w:r>
      <w:r w:rsidRPr="00677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model system for functional genomics analysis of C</w:t>
      </w:r>
      <w:r w:rsidRPr="00B85E3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6772C6">
        <w:rPr>
          <w:rFonts w:ascii="Times New Roman" w:eastAsia="Times New Roman" w:hAnsi="Times New Roman" w:cs="Times New Roman"/>
          <w:color w:val="000000"/>
          <w:sz w:val="24"/>
          <w:szCs w:val="24"/>
        </w:rPr>
        <w:t>/CAM photosynthesis</w:t>
      </w:r>
    </w:p>
    <w:p w14:paraId="5F871F70" w14:textId="77777777" w:rsidR="006772C6" w:rsidRDefault="006772C6" w:rsidP="0067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A7A5F" w14:textId="378EDE15" w:rsidR="006772C6" w:rsidRPr="006772C6" w:rsidRDefault="006772C6" w:rsidP="0067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2C6">
        <w:rPr>
          <w:rFonts w:ascii="Times New Roman" w:eastAsia="Times New Roman" w:hAnsi="Times New Roman" w:cs="Times New Roman"/>
          <w:sz w:val="24"/>
          <w:szCs w:val="24"/>
          <w:lang w:val="pt-BR"/>
        </w:rPr>
        <w:t>Authors: Renata Callegari Ferrari, Priscila Pires Bittencourt, Paula Yumi Nagumo, Willian Silva Oliveira, Maria Aurineide Rodrigues, James Hartwell, Luciano Freschi</w:t>
      </w:r>
    </w:p>
    <w:p w14:paraId="3B782A23" w14:textId="77777777" w:rsidR="006772C6" w:rsidRDefault="006772C6" w:rsidP="006772C6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96574AD" w14:textId="6FA581F9" w:rsidR="006772C6" w:rsidRDefault="006772C6" w:rsidP="006772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files included: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2C6" w:rsidRPr="00FD5031" w14:paraId="5BFBBE79" w14:textId="77777777" w:rsidTr="00AD4836">
        <w:tc>
          <w:tcPr>
            <w:tcW w:w="9350" w:type="dxa"/>
          </w:tcPr>
          <w:p w14:paraId="2439E465" w14:textId="1F8B9A13" w:rsidR="006772C6" w:rsidRPr="00AF740A" w:rsidRDefault="006772C6" w:rsidP="00AD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0490021"/>
            <w:r w:rsidRPr="004D4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Fig. S</w:t>
            </w:r>
            <w:r w:rsidR="000470B0" w:rsidRPr="004D4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3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90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772C6">
              <w:rPr>
                <w:rFonts w:ascii="Times New Roman" w:hAnsi="Times New Roman" w:cs="Times New Roman"/>
                <w:sz w:val="24"/>
                <w:szCs w:val="24"/>
              </w:rPr>
              <w:t xml:space="preserve">el images produced via Bioanalyzer 2100 for </w:t>
            </w:r>
            <w:proofErr w:type="spellStart"/>
            <w:r w:rsidRPr="00677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Portulaca</w:t>
            </w:r>
            <w:proofErr w:type="spellEnd"/>
            <w:r w:rsidRPr="00677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oleracea</w:t>
            </w:r>
            <w:r w:rsidRPr="006772C6">
              <w:rPr>
                <w:rFonts w:ascii="Times New Roman" w:hAnsi="Times New Roman" w:cs="Times New Roman"/>
                <w:sz w:val="24"/>
                <w:szCs w:val="24"/>
              </w:rPr>
              <w:t xml:space="preserve"> leaf and stem samples.</w:t>
            </w:r>
          </w:p>
        </w:tc>
      </w:tr>
      <w:tr w:rsidR="006772C6" w:rsidRPr="00FD5031" w14:paraId="64AE0001" w14:textId="77777777" w:rsidTr="00AD4836">
        <w:tc>
          <w:tcPr>
            <w:tcW w:w="9350" w:type="dxa"/>
          </w:tcPr>
          <w:p w14:paraId="63C7023E" w14:textId="49A287F8" w:rsidR="006772C6" w:rsidRPr="00AF740A" w:rsidRDefault="006772C6" w:rsidP="00AD4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Fig. S</w:t>
            </w:r>
            <w:r w:rsidR="000470B0" w:rsidRPr="004D4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B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Pairwise variation (V) analysis of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twelve</w:t>
            </w:r>
            <w:r w:rsidRPr="006B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candidate reference genes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different </w:t>
            </w:r>
            <w:proofErr w:type="spellStart"/>
            <w:r w:rsidRPr="002228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Portulaca</w:t>
            </w:r>
            <w:proofErr w:type="spellEnd"/>
            <w:r w:rsidRPr="002228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oleracea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sample sets.</w:t>
            </w:r>
          </w:p>
        </w:tc>
      </w:tr>
      <w:tr w:rsidR="006772C6" w:rsidRPr="008C6C41" w14:paraId="05A0511E" w14:textId="77777777" w:rsidTr="00F54A92">
        <w:tc>
          <w:tcPr>
            <w:tcW w:w="9350" w:type="dxa"/>
            <w:vAlign w:val="center"/>
          </w:tcPr>
          <w:p w14:paraId="00A2EE65" w14:textId="2B882F2C" w:rsidR="006772C6" w:rsidRPr="006772C6" w:rsidRDefault="006772C6" w:rsidP="0067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S1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Additional p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rimer sequence</w:t>
            </w:r>
            <w:r w:rsidR="00A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</w:t>
            </w:r>
            <w:r w:rsid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Separate Excel file)</w:t>
            </w:r>
          </w:p>
        </w:tc>
      </w:tr>
      <w:tr w:rsidR="006772C6" w:rsidRPr="008C6C41" w14:paraId="322871EB" w14:textId="77777777" w:rsidTr="00F54A92">
        <w:tc>
          <w:tcPr>
            <w:tcW w:w="9350" w:type="dxa"/>
            <w:vAlign w:val="bottom"/>
          </w:tcPr>
          <w:p w14:paraId="725496C1" w14:textId="2D5498EA" w:rsidR="006772C6" w:rsidRPr="006772C6" w:rsidRDefault="006772C6" w:rsidP="006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S2</w:t>
            </w:r>
            <w:r w:rsidRPr="006772C6">
              <w:rPr>
                <w:rFonts w:ascii="Times New Roman" w:hAnsi="Times New Roman" w:cs="Times New Roman"/>
                <w:sz w:val="24"/>
                <w:szCs w:val="24"/>
              </w:rPr>
              <w:t xml:space="preserve"> Annotation and abundance of contigs identified in the </w:t>
            </w:r>
            <w:proofErr w:type="spellStart"/>
            <w:r w:rsidRPr="00677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Portulaca</w:t>
            </w:r>
            <w:proofErr w:type="spellEnd"/>
            <w:r w:rsidRPr="00677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oleracea</w:t>
            </w:r>
            <w:r w:rsidRPr="006772C6">
              <w:rPr>
                <w:rFonts w:ascii="Times New Roman" w:hAnsi="Times New Roman" w:cs="Times New Roman"/>
                <w:sz w:val="24"/>
                <w:szCs w:val="24"/>
              </w:rPr>
              <w:t xml:space="preserve"> transcriptome.</w:t>
            </w:r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(Separate Excel file)</w:t>
            </w:r>
          </w:p>
        </w:tc>
      </w:tr>
      <w:tr w:rsidR="006772C6" w:rsidRPr="008C6C41" w14:paraId="27872E96" w14:textId="77777777" w:rsidTr="00F54A92">
        <w:tc>
          <w:tcPr>
            <w:tcW w:w="9350" w:type="dxa"/>
            <w:vAlign w:val="bottom"/>
          </w:tcPr>
          <w:p w14:paraId="54A70C14" w14:textId="0A202596" w:rsidR="006772C6" w:rsidRPr="006772C6" w:rsidRDefault="006772C6" w:rsidP="006772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S3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Primer efficiency at different concentration</w:t>
            </w:r>
            <w:r w:rsidR="00A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the selected candidate reference genes.</w:t>
            </w:r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(Separate Excel file)</w:t>
            </w:r>
          </w:p>
        </w:tc>
      </w:tr>
      <w:tr w:rsidR="006772C6" w:rsidRPr="008C6C41" w14:paraId="5D693195" w14:textId="77777777" w:rsidTr="00F54A92">
        <w:tc>
          <w:tcPr>
            <w:tcW w:w="9350" w:type="dxa"/>
            <w:vAlign w:val="bottom"/>
          </w:tcPr>
          <w:p w14:paraId="081309BC" w14:textId="7C1260C9" w:rsidR="006772C6" w:rsidRPr="006772C6" w:rsidRDefault="006772C6" w:rsidP="006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S4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Raw Ct values for different sample sets of </w:t>
            </w:r>
            <w:proofErr w:type="spellStart"/>
            <w:r w:rsidRPr="006772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Portulaca</w:t>
            </w:r>
            <w:proofErr w:type="spellEnd"/>
            <w:r w:rsidRPr="006772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oleracea</w:t>
            </w:r>
            <w:r w:rsidR="007A0B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A0B4B" w:rsidRPr="007A0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7A0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lants.</w:t>
            </w:r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(Separate Excel file)</w:t>
            </w:r>
          </w:p>
        </w:tc>
      </w:tr>
      <w:tr w:rsidR="004B0904" w:rsidRPr="008C6C41" w14:paraId="7EBF2025" w14:textId="77777777" w:rsidTr="00F54A92">
        <w:tc>
          <w:tcPr>
            <w:tcW w:w="9350" w:type="dxa"/>
            <w:vAlign w:val="bottom"/>
          </w:tcPr>
          <w:p w14:paraId="57915D8F" w14:textId="7953FA25" w:rsidR="004B0904" w:rsidRPr="006772C6" w:rsidRDefault="004B0904" w:rsidP="00677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Expression stability values of reference genes ranked by </w:t>
            </w:r>
            <w:proofErr w:type="spellStart"/>
            <w:r w:rsidRPr="004B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NormFinder</w:t>
            </w:r>
            <w:proofErr w:type="spellEnd"/>
            <w:r w:rsidRPr="004B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geNorm</w:t>
            </w:r>
            <w:proofErr w:type="spellEnd"/>
            <w:r w:rsidRPr="004B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B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BestKeeper</w:t>
            </w:r>
            <w:proofErr w:type="spellEnd"/>
            <w:r w:rsidRPr="004B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the twelve selected candidates for each sample groups together.</w:t>
            </w:r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(Separate Excel file)</w:t>
            </w:r>
          </w:p>
        </w:tc>
      </w:tr>
      <w:tr w:rsidR="006772C6" w:rsidRPr="00FD5031" w14:paraId="444B55A3" w14:textId="77777777" w:rsidTr="00F54A92">
        <w:tc>
          <w:tcPr>
            <w:tcW w:w="9350" w:type="dxa"/>
            <w:vAlign w:val="bottom"/>
          </w:tcPr>
          <w:p w14:paraId="27A01B7D" w14:textId="7B4FE5E3" w:rsidR="006772C6" w:rsidRPr="006772C6" w:rsidRDefault="006772C6" w:rsidP="0067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</w:t>
            </w:r>
            <w:r w:rsidR="004B0904" w:rsidRPr="004D4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Effect of distinct </w:t>
            </w:r>
            <w:proofErr w:type="spellStart"/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cytokinins</w:t>
            </w:r>
            <w:proofErr w:type="spellEnd"/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shoot induction </w:t>
            </w:r>
            <w:r w:rsidR="007A0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2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P. oleracea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hypocotyl explants.</w:t>
            </w:r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(Separate Excel file)</w:t>
            </w:r>
          </w:p>
        </w:tc>
      </w:tr>
      <w:tr w:rsidR="006772C6" w:rsidRPr="008C6C41" w14:paraId="2A26DA72" w14:textId="77777777" w:rsidTr="00F54A92">
        <w:tc>
          <w:tcPr>
            <w:tcW w:w="9350" w:type="dxa"/>
            <w:vAlign w:val="bottom"/>
          </w:tcPr>
          <w:p w14:paraId="19213625" w14:textId="43333598" w:rsidR="006772C6" w:rsidRPr="006772C6" w:rsidRDefault="006772C6" w:rsidP="006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</w:t>
            </w:r>
            <w:r w:rsidR="004B0904" w:rsidRPr="004D4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Effect of different concentrations of hygrom</w:t>
            </w:r>
            <w:r w:rsidR="00A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 and kanam</w:t>
            </w:r>
            <w:r w:rsidR="00AC6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 on explant mortality rate and shoot</w:t>
            </w:r>
            <w:r w:rsidR="007A0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induction. </w:t>
            </w:r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(Separate Excel file)</w:t>
            </w:r>
          </w:p>
        </w:tc>
      </w:tr>
      <w:tr w:rsidR="006772C6" w:rsidRPr="008C6C41" w14:paraId="52B2D9FE" w14:textId="77777777" w:rsidTr="00F54A92">
        <w:tc>
          <w:tcPr>
            <w:tcW w:w="9350" w:type="dxa"/>
            <w:vAlign w:val="bottom"/>
          </w:tcPr>
          <w:p w14:paraId="2F971950" w14:textId="5AFD44FC" w:rsidR="006772C6" w:rsidRPr="006772C6" w:rsidRDefault="006772C6" w:rsidP="0067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</w:t>
            </w:r>
            <w:r w:rsidR="004B0904" w:rsidRPr="00B97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Effect of infection procedure on transformation efficiency of</w:t>
            </w:r>
            <w:r w:rsidRPr="006772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P. oleracea</w:t>
            </w:r>
            <w:r w:rsidRPr="00677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5E3" w:rsidRPr="0042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(Separate Excel file)</w:t>
            </w:r>
          </w:p>
        </w:tc>
      </w:tr>
      <w:bookmarkEnd w:id="0"/>
    </w:tbl>
    <w:p w14:paraId="6B1E6EA6" w14:textId="77777777" w:rsidR="006772C6" w:rsidRPr="00AF740A" w:rsidRDefault="006772C6" w:rsidP="006772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5B31A7" w14:textId="77777777" w:rsidR="006772C6" w:rsidRDefault="006772C6">
      <w:pPr>
        <w:rPr>
          <w:rFonts w:eastAsia="Calibri"/>
          <w:b/>
          <w:bCs/>
          <w:color w:val="000000"/>
          <w:kern w:val="24"/>
          <w:lang w:val="en-GB"/>
        </w:rPr>
      </w:pPr>
      <w:r>
        <w:rPr>
          <w:rFonts w:eastAsia="Calibri"/>
          <w:b/>
          <w:bCs/>
          <w:color w:val="000000"/>
          <w:kern w:val="24"/>
          <w:lang w:val="en-GB"/>
        </w:rPr>
        <w:br w:type="page"/>
      </w:r>
    </w:p>
    <w:p w14:paraId="3361ADAA" w14:textId="76C484EF" w:rsidR="00D602F2" w:rsidRDefault="00B85E3D" w:rsidP="00D602F2">
      <w:pPr>
        <w:pStyle w:val="NormalWeb"/>
        <w:spacing w:before="0" w:beforeAutospacing="0" w:after="0" w:afterAutospacing="0"/>
        <w:rPr>
          <w:rFonts w:eastAsia="Calibri"/>
          <w:b/>
          <w:bCs/>
          <w:color w:val="000000"/>
          <w:kern w:val="24"/>
        </w:rPr>
      </w:pPr>
      <w:r>
        <w:rPr>
          <w:noProof/>
        </w:rPr>
        <w:lastRenderedPageBreak/>
        <w:drawing>
          <wp:inline distT="0" distB="0" distL="0" distR="0" wp14:anchorId="3F32588C" wp14:editId="7420DDB3">
            <wp:extent cx="5943600" cy="4065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6775E" w14:textId="77777777" w:rsidR="000720F0" w:rsidRPr="00EA5580" w:rsidRDefault="000720F0" w:rsidP="00D602F2">
      <w:pPr>
        <w:pStyle w:val="NormalWeb"/>
        <w:spacing w:before="0" w:beforeAutospacing="0" w:after="0" w:afterAutospacing="0"/>
        <w:rPr>
          <w:rFonts w:eastAsia="Calibri"/>
          <w:b/>
          <w:bCs/>
          <w:color w:val="000000"/>
          <w:kern w:val="24"/>
        </w:rPr>
      </w:pPr>
    </w:p>
    <w:p w14:paraId="6ECB4308" w14:textId="33AB0E37" w:rsidR="000470B0" w:rsidRPr="000470B0" w:rsidRDefault="00D602F2" w:rsidP="000470B0">
      <w:pPr>
        <w:pStyle w:val="NormalWeb"/>
        <w:spacing w:before="0" w:beforeAutospacing="0" w:after="0" w:afterAutospacing="0"/>
        <w:jc w:val="both"/>
        <w:rPr>
          <w:rFonts w:eastAsia="Calibri"/>
          <w:b/>
          <w:bCs/>
          <w:color w:val="000000"/>
          <w:kern w:val="24"/>
          <w:lang w:val="en-GB"/>
        </w:rPr>
      </w:pPr>
      <w:r w:rsidRPr="000470B0">
        <w:rPr>
          <w:rFonts w:eastAsia="Calibri"/>
          <w:b/>
          <w:bCs/>
          <w:color w:val="000000"/>
          <w:kern w:val="24"/>
          <w:lang w:val="en-US"/>
        </w:rPr>
        <w:t xml:space="preserve">Fig. </w:t>
      </w:r>
      <w:r w:rsidR="00D87C56" w:rsidRPr="000470B0">
        <w:rPr>
          <w:rFonts w:eastAsia="Calibri"/>
          <w:b/>
          <w:bCs/>
          <w:color w:val="000000"/>
          <w:kern w:val="24"/>
          <w:lang w:val="en-US"/>
        </w:rPr>
        <w:t>S</w:t>
      </w:r>
      <w:r w:rsidR="000470B0" w:rsidRPr="000470B0">
        <w:rPr>
          <w:rFonts w:eastAsia="Calibri"/>
          <w:b/>
          <w:bCs/>
          <w:color w:val="000000"/>
          <w:kern w:val="24"/>
          <w:lang w:val="en-US"/>
        </w:rPr>
        <w:t>1</w:t>
      </w:r>
      <w:r w:rsidRPr="000470B0">
        <w:rPr>
          <w:rFonts w:eastAsia="Calibri"/>
          <w:b/>
          <w:bCs/>
          <w:color w:val="000000"/>
          <w:kern w:val="24"/>
          <w:lang w:val="en-US"/>
        </w:rPr>
        <w:t xml:space="preserve">. </w:t>
      </w:r>
      <w:r w:rsidRPr="000470B0">
        <w:rPr>
          <w:rFonts w:eastAsia="Calibri"/>
          <w:color w:val="000000"/>
          <w:kern w:val="24"/>
          <w:lang w:val="en-GB"/>
        </w:rPr>
        <w:t>Representative gel images produced via Bioanalyzer 2100</w:t>
      </w:r>
      <w:r w:rsidR="0022288A" w:rsidRPr="000470B0">
        <w:rPr>
          <w:rFonts w:eastAsia="Calibri"/>
          <w:color w:val="000000"/>
          <w:kern w:val="24"/>
          <w:lang w:val="en-GB"/>
        </w:rPr>
        <w:t xml:space="preserve"> for </w:t>
      </w:r>
      <w:proofErr w:type="spellStart"/>
      <w:r w:rsidR="0022288A" w:rsidRPr="000470B0">
        <w:rPr>
          <w:rFonts w:eastAsia="Calibri"/>
          <w:i/>
          <w:iCs/>
          <w:color w:val="000000"/>
          <w:kern w:val="24"/>
          <w:lang w:val="en-GB"/>
        </w:rPr>
        <w:t>Portulaca</w:t>
      </w:r>
      <w:proofErr w:type="spellEnd"/>
      <w:r w:rsidR="0022288A" w:rsidRPr="000470B0">
        <w:rPr>
          <w:rFonts w:eastAsia="Calibri"/>
          <w:i/>
          <w:iCs/>
          <w:color w:val="000000"/>
          <w:kern w:val="24"/>
          <w:lang w:val="en-GB"/>
        </w:rPr>
        <w:t xml:space="preserve"> oleracea</w:t>
      </w:r>
      <w:r w:rsidR="0022288A" w:rsidRPr="000470B0">
        <w:rPr>
          <w:rFonts w:eastAsia="Calibri"/>
          <w:color w:val="000000"/>
          <w:kern w:val="24"/>
          <w:lang w:val="en-GB"/>
        </w:rPr>
        <w:t xml:space="preserve"> leaf and stem samples</w:t>
      </w:r>
      <w:r w:rsidRPr="000470B0">
        <w:rPr>
          <w:rFonts w:eastAsia="Calibri"/>
          <w:color w:val="000000"/>
          <w:kern w:val="24"/>
          <w:lang w:val="en-GB"/>
        </w:rPr>
        <w:t xml:space="preserve">. </w:t>
      </w:r>
      <w:r w:rsidR="000470B0" w:rsidRPr="000470B0">
        <w:rPr>
          <w:rFonts w:eastAsia="Calibri"/>
          <w:color w:val="000000"/>
          <w:kern w:val="24"/>
          <w:lang w:val="en-GB"/>
        </w:rPr>
        <w:t>These images were generated as a result of RNA quality assessment. RNA Integrity Number (</w:t>
      </w:r>
      <w:proofErr w:type="gramStart"/>
      <w:r w:rsidR="000470B0" w:rsidRPr="000470B0">
        <w:rPr>
          <w:rFonts w:eastAsia="Calibri"/>
          <w:color w:val="000000"/>
          <w:kern w:val="24"/>
          <w:lang w:val="en-GB"/>
        </w:rPr>
        <w:t>RIN)  ≥</w:t>
      </w:r>
      <w:proofErr w:type="gramEnd"/>
      <w:r w:rsidR="000470B0" w:rsidRPr="000470B0">
        <w:rPr>
          <w:rFonts w:eastAsia="Calibri"/>
          <w:color w:val="000000"/>
          <w:kern w:val="24"/>
          <w:lang w:val="en-GB"/>
        </w:rPr>
        <w:t xml:space="preserve"> 7 was considered good.</w:t>
      </w:r>
    </w:p>
    <w:p w14:paraId="606B54DE" w14:textId="58585832" w:rsidR="00D07A7F" w:rsidRPr="000470B0" w:rsidRDefault="00D07A7F" w:rsidP="000470B0">
      <w:pPr>
        <w:jc w:val="both"/>
        <w:rPr>
          <w:rFonts w:ascii="Times New Roman" w:hAnsi="Times New Roman" w:cs="Times New Roman"/>
          <w:sz w:val="24"/>
          <w:szCs w:val="24"/>
        </w:rPr>
      </w:pPr>
      <w:r w:rsidRPr="000470B0">
        <w:rPr>
          <w:rFonts w:ascii="Times New Roman" w:hAnsi="Times New Roman" w:cs="Times New Roman"/>
          <w:sz w:val="24"/>
          <w:szCs w:val="24"/>
        </w:rPr>
        <w:br w:type="page"/>
      </w:r>
    </w:p>
    <w:p w14:paraId="5CD5FD8D" w14:textId="77777777" w:rsidR="00B64EE0" w:rsidRPr="00B64EE0" w:rsidRDefault="00B64EE0">
      <w:pPr>
        <w:rPr>
          <w:rFonts w:ascii="Times New Roman" w:hAnsi="Times New Roman" w:cs="Times New Roman"/>
        </w:rPr>
      </w:pPr>
    </w:p>
    <w:p w14:paraId="503C4D4E" w14:textId="473D3EC9" w:rsidR="003E3AA5" w:rsidRDefault="00D07A7F">
      <w:r>
        <w:rPr>
          <w:noProof/>
        </w:rPr>
        <w:drawing>
          <wp:inline distT="0" distB="0" distL="0" distR="0" wp14:anchorId="10183699" wp14:editId="1051A2C9">
            <wp:extent cx="5943600" cy="505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29C55" w14:textId="271E0CA2" w:rsidR="00D07A7F" w:rsidRPr="006E5E81" w:rsidRDefault="00D07A7F" w:rsidP="000470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372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A0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E5E81" w:rsidRPr="006B07F2">
        <w:rPr>
          <w:rFonts w:ascii="Times New Roman" w:hAnsi="Times New Roman" w:cs="Times New Roman"/>
          <w:color w:val="000000"/>
          <w:sz w:val="24"/>
          <w:szCs w:val="24"/>
        </w:rPr>
        <w:t xml:space="preserve">Pairwise variation (V) analysis of the 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>twelve</w:t>
      </w:r>
      <w:r w:rsidR="006E5E81" w:rsidRPr="006B07F2">
        <w:rPr>
          <w:rFonts w:ascii="Times New Roman" w:hAnsi="Times New Roman" w:cs="Times New Roman"/>
          <w:color w:val="000000"/>
          <w:sz w:val="24"/>
          <w:szCs w:val="24"/>
        </w:rPr>
        <w:t xml:space="preserve"> candidate reference genes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22288A">
        <w:rPr>
          <w:rFonts w:ascii="Times New Roman" w:hAnsi="Times New Roman" w:cs="Times New Roman"/>
          <w:color w:val="000000"/>
          <w:sz w:val="24"/>
          <w:szCs w:val="24"/>
        </w:rPr>
        <w:t>different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E81" w:rsidRPr="0022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Portulaca</w:t>
      </w:r>
      <w:proofErr w:type="spellEnd"/>
      <w:r w:rsidR="006E5E81" w:rsidRPr="0022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oleracea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88A">
        <w:rPr>
          <w:rFonts w:ascii="Times New Roman" w:hAnsi="Times New Roman" w:cs="Times New Roman"/>
          <w:color w:val="000000"/>
          <w:sz w:val="24"/>
          <w:szCs w:val="24"/>
        </w:rPr>
        <w:t>sample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 xml:space="preserve"> sets. </w:t>
      </w:r>
      <w:proofErr w:type="spellStart"/>
      <w:r w:rsidR="006E5E81" w:rsidRPr="006B07F2">
        <w:rPr>
          <w:rFonts w:ascii="Times New Roman" w:hAnsi="Times New Roman" w:cs="Times New Roman"/>
          <w:color w:val="000000"/>
          <w:sz w:val="24"/>
          <w:szCs w:val="24"/>
        </w:rPr>
        <w:t>Vn</w:t>
      </w:r>
      <w:proofErr w:type="spellEnd"/>
      <w:r w:rsidR="006E5E81" w:rsidRPr="006B07F2">
        <w:rPr>
          <w:rFonts w:ascii="Times New Roman" w:hAnsi="Times New Roman" w:cs="Times New Roman"/>
          <w:color w:val="000000"/>
          <w:sz w:val="24"/>
          <w:szCs w:val="24"/>
        </w:rPr>
        <w:t>/Vn</w:t>
      </w:r>
      <w:r w:rsidR="006E5E81" w:rsidRPr="006B07F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+1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 xml:space="preserve"> was </w:t>
      </w:r>
      <w:r w:rsidR="006E5E81" w:rsidRPr="006B07F2">
        <w:rPr>
          <w:rFonts w:ascii="Times New Roman" w:hAnsi="Times New Roman" w:cs="Times New Roman"/>
          <w:color w:val="000000"/>
          <w:sz w:val="24"/>
          <w:szCs w:val="24"/>
        </w:rPr>
        <w:t>analy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E5E81" w:rsidRPr="006B07F2">
        <w:rPr>
          <w:rFonts w:ascii="Times New Roman" w:hAnsi="Times New Roman" w:cs="Times New Roman"/>
          <w:color w:val="000000"/>
          <w:sz w:val="24"/>
          <w:szCs w:val="24"/>
        </w:rPr>
        <w:t xml:space="preserve">ed between the normalization factors </w:t>
      </w:r>
      <w:proofErr w:type="spellStart"/>
      <w:r w:rsidR="006E5E81" w:rsidRPr="006B07F2">
        <w:rPr>
          <w:rFonts w:ascii="Times New Roman" w:hAnsi="Times New Roman" w:cs="Times New Roman"/>
          <w:color w:val="000000"/>
          <w:sz w:val="24"/>
          <w:szCs w:val="24"/>
        </w:rPr>
        <w:t>Vn</w:t>
      </w:r>
      <w:proofErr w:type="spellEnd"/>
      <w:r w:rsidR="006E5E81" w:rsidRPr="006B07F2">
        <w:rPr>
          <w:rFonts w:ascii="Times New Roman" w:hAnsi="Times New Roman" w:cs="Times New Roman"/>
          <w:color w:val="000000"/>
          <w:sz w:val="24"/>
          <w:szCs w:val="24"/>
        </w:rPr>
        <w:t xml:space="preserve"> and Vn</w:t>
      </w:r>
      <w:r w:rsidR="006E5E81" w:rsidRPr="006B07F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+1</w:t>
      </w:r>
      <w:r w:rsidR="006E5E81" w:rsidRPr="006B07F2">
        <w:rPr>
          <w:rFonts w:ascii="Times New Roman" w:hAnsi="Times New Roman" w:cs="Times New Roman"/>
          <w:color w:val="000000"/>
          <w:sz w:val="24"/>
          <w:szCs w:val="24"/>
        </w:rPr>
        <w:t xml:space="preserve"> by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E81" w:rsidRPr="006B07F2">
        <w:rPr>
          <w:rFonts w:ascii="Times New Roman" w:hAnsi="Times New Roman" w:cs="Times New Roman"/>
          <w:color w:val="000000"/>
          <w:sz w:val="24"/>
          <w:szCs w:val="24"/>
        </w:rPr>
        <w:t>geNorm</w:t>
      </w:r>
      <w:proofErr w:type="spellEnd"/>
      <w:r w:rsidR="006E5E81" w:rsidRPr="006B07F2">
        <w:rPr>
          <w:rFonts w:ascii="Times New Roman" w:hAnsi="Times New Roman" w:cs="Times New Roman"/>
          <w:color w:val="000000"/>
          <w:sz w:val="24"/>
          <w:szCs w:val="24"/>
        </w:rPr>
        <w:t xml:space="preserve"> to determine the optimal number of reference genes required for qPCR data normalization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5E81" w:rsidRPr="006B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 w:rsidR="0032178C">
        <w:rPr>
          <w:rFonts w:ascii="Times New Roman" w:hAnsi="Times New Roman" w:cs="Times New Roman"/>
          <w:color w:val="000000"/>
          <w:sz w:val="24"/>
          <w:szCs w:val="24"/>
        </w:rPr>
        <w:t>Leaf d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 xml:space="preserve">evelopment series. (b) Drought stress series. (c) Hormonal </w:t>
      </w:r>
      <w:r w:rsidR="0032178C">
        <w:rPr>
          <w:rFonts w:ascii="Times New Roman" w:hAnsi="Times New Roman" w:cs="Times New Roman"/>
          <w:color w:val="000000"/>
          <w:sz w:val="24"/>
          <w:szCs w:val="24"/>
        </w:rPr>
        <w:t xml:space="preserve">treatment 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 xml:space="preserve">series. (d) Salt stress series. (e) </w:t>
      </w:r>
      <w:r w:rsidR="00F049B2">
        <w:rPr>
          <w:rFonts w:ascii="Times New Roman" w:hAnsi="Times New Roman" w:cs="Times New Roman"/>
          <w:color w:val="000000"/>
          <w:sz w:val="24"/>
          <w:szCs w:val="24"/>
        </w:rPr>
        <w:t>Subspecies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 xml:space="preserve"> series. (f) </w:t>
      </w:r>
      <w:r w:rsidR="00B85E3D">
        <w:rPr>
          <w:rFonts w:ascii="Times New Roman" w:hAnsi="Times New Roman" w:cs="Times New Roman"/>
          <w:color w:val="000000"/>
          <w:sz w:val="24"/>
          <w:szCs w:val="24"/>
        </w:rPr>
        <w:t>Diel</w:t>
      </w:r>
      <w:r w:rsidR="0032178C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 xml:space="preserve">ime </w:t>
      </w:r>
      <w:r w:rsidR="00B85E3D">
        <w:rPr>
          <w:rFonts w:ascii="Times New Roman" w:hAnsi="Times New Roman" w:cs="Times New Roman"/>
          <w:color w:val="000000"/>
          <w:sz w:val="24"/>
          <w:szCs w:val="24"/>
        </w:rPr>
        <w:t>of sampling</w:t>
      </w:r>
      <w:r w:rsidR="00F04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E81">
        <w:rPr>
          <w:rFonts w:ascii="Times New Roman" w:hAnsi="Times New Roman" w:cs="Times New Roman"/>
          <w:color w:val="000000"/>
          <w:sz w:val="24"/>
          <w:szCs w:val="24"/>
        </w:rPr>
        <w:t>series. (g) Tissue series.</w:t>
      </w:r>
    </w:p>
    <w:sectPr w:rsidR="00D07A7F" w:rsidRPr="006E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tDQwNzU3MzE1NjdR0lEKTi0uzszPAykwrgUAAPaoVSwAAAA="/>
  </w:docVars>
  <w:rsids>
    <w:rsidRoot w:val="00D602F2"/>
    <w:rsid w:val="000470B0"/>
    <w:rsid w:val="000720F0"/>
    <w:rsid w:val="0021111C"/>
    <w:rsid w:val="0022288A"/>
    <w:rsid w:val="0032178C"/>
    <w:rsid w:val="00336C88"/>
    <w:rsid w:val="00372A43"/>
    <w:rsid w:val="003E3AA5"/>
    <w:rsid w:val="0042006B"/>
    <w:rsid w:val="004275E3"/>
    <w:rsid w:val="004B0904"/>
    <w:rsid w:val="004D42D0"/>
    <w:rsid w:val="00612A78"/>
    <w:rsid w:val="006542D9"/>
    <w:rsid w:val="006772C6"/>
    <w:rsid w:val="006E5E81"/>
    <w:rsid w:val="00714AAC"/>
    <w:rsid w:val="00765EBA"/>
    <w:rsid w:val="007A0B4B"/>
    <w:rsid w:val="007B5C87"/>
    <w:rsid w:val="00AC6EF2"/>
    <w:rsid w:val="00B12B65"/>
    <w:rsid w:val="00B35F91"/>
    <w:rsid w:val="00B64EE0"/>
    <w:rsid w:val="00B85E3D"/>
    <w:rsid w:val="00B973C9"/>
    <w:rsid w:val="00D07A7F"/>
    <w:rsid w:val="00D602F2"/>
    <w:rsid w:val="00D87C56"/>
    <w:rsid w:val="00DE5F1E"/>
    <w:rsid w:val="00EA5580"/>
    <w:rsid w:val="00EF0D35"/>
    <w:rsid w:val="00F0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6BF"/>
  <w15:chartTrackingRefBased/>
  <w15:docId w15:val="{2644467E-361C-498F-BF81-AF0C06D5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EE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7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87C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7C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7C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17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17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Callegari Ferrari</dc:creator>
  <cp:keywords/>
  <dc:description/>
  <cp:lastModifiedBy>Luciano Freschi</cp:lastModifiedBy>
  <cp:revision>24</cp:revision>
  <dcterms:created xsi:type="dcterms:W3CDTF">2020-06-16T18:16:00Z</dcterms:created>
  <dcterms:modified xsi:type="dcterms:W3CDTF">2020-07-11T18:31:00Z</dcterms:modified>
</cp:coreProperties>
</file>