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8B8A" w14:textId="77777777" w:rsidR="00A04488" w:rsidRDefault="00A04488" w:rsidP="007052A7">
      <w:pPr>
        <w:jc w:val="both"/>
      </w:pPr>
      <w:r>
        <w:rPr>
          <w:b/>
        </w:rPr>
        <w:t>Action, Meaning and Understanding</w:t>
      </w:r>
      <w:r w:rsidR="00D75569">
        <w:rPr>
          <w:b/>
        </w:rPr>
        <w:t xml:space="preserve">: Seeing Sociologically with </w:t>
      </w:r>
      <w:r>
        <w:rPr>
          <w:b/>
        </w:rPr>
        <w:t>Harvey</w:t>
      </w:r>
      <w:r w:rsidRPr="00C544E6">
        <w:rPr>
          <w:b/>
        </w:rPr>
        <w:t xml:space="preserve"> Sacks</w:t>
      </w:r>
    </w:p>
    <w:p w14:paraId="7ABAE866" w14:textId="31D7251E" w:rsidR="00A04488" w:rsidRDefault="00A04488" w:rsidP="007052A7">
      <w:pPr>
        <w:jc w:val="both"/>
      </w:pPr>
    </w:p>
    <w:p w14:paraId="25B7BB81" w14:textId="36737C97" w:rsidR="007052A7" w:rsidRDefault="007052A7" w:rsidP="007052A7">
      <w:pPr>
        <w:jc w:val="both"/>
      </w:pPr>
      <w:r>
        <w:t>Michael Mair &amp; Wes Sharrock</w:t>
      </w:r>
    </w:p>
    <w:p w14:paraId="018C2032" w14:textId="77777777" w:rsidR="007052A7" w:rsidRDefault="007052A7" w:rsidP="007052A7">
      <w:pPr>
        <w:jc w:val="both"/>
      </w:pPr>
    </w:p>
    <w:p w14:paraId="3B962D7B" w14:textId="55AE0670" w:rsidR="007052A7" w:rsidRPr="007052A7" w:rsidRDefault="00DD42F4" w:rsidP="007052A7">
      <w:pPr>
        <w:jc w:val="both"/>
        <w:rPr>
          <w:b/>
        </w:rPr>
      </w:pPr>
      <w:r>
        <w:rPr>
          <w:b/>
        </w:rPr>
        <w:t>Introduction</w:t>
      </w:r>
    </w:p>
    <w:p w14:paraId="541151B5" w14:textId="77777777" w:rsidR="007052A7" w:rsidRDefault="007052A7" w:rsidP="007052A7">
      <w:pPr>
        <w:jc w:val="both"/>
      </w:pPr>
    </w:p>
    <w:p w14:paraId="6F7284E4" w14:textId="7092720B" w:rsidR="008F3DFF" w:rsidRDefault="008F3DFF" w:rsidP="007052A7">
      <w:pPr>
        <w:jc w:val="both"/>
      </w:pPr>
      <w:r w:rsidRPr="00E13FFD">
        <w:t>Harvey Sacks</w:t>
      </w:r>
      <w:r>
        <w:t xml:space="preserve"> </w:t>
      </w:r>
      <w:r w:rsidRPr="00E13FFD">
        <w:t>suffers no want of</w:t>
      </w:r>
      <w:r>
        <w:t xml:space="preserve"> authoritative</w:t>
      </w:r>
      <w:r w:rsidRPr="00E13FFD">
        <w:t xml:space="preserve"> interpreters</w:t>
      </w:r>
      <w:r>
        <w:t>, and reading, for example, the likes of Coulter (1976), Schegloff (1992</w:t>
      </w:r>
      <w:r w:rsidR="00655CBB">
        <w:t>a, 1992b</w:t>
      </w:r>
      <w:r>
        <w:t>), Lynch and Bogen (1994)</w:t>
      </w:r>
      <w:r w:rsidR="00655CBB">
        <w:t>,</w:t>
      </w:r>
      <w:r>
        <w:t xml:space="preserve"> Watson’s commentaries (1994; 2009)</w:t>
      </w:r>
      <w:r w:rsidR="00655CBB">
        <w:t xml:space="preserve"> or Silverman’s introductions (1998)</w:t>
      </w:r>
      <w:r>
        <w:t xml:space="preserve"> certainly deepens our understanding by revealing layers in Sacks’ work we might otherwise </w:t>
      </w:r>
      <w:r w:rsidR="00275876">
        <w:t>miss</w:t>
      </w:r>
      <w:r w:rsidRPr="00E13FFD">
        <w:t xml:space="preserve">. </w:t>
      </w:r>
      <w:r>
        <w:t>Nonetheless, while these guides are invaluable, the real “joy of Sacks”, as Fitzgerald (2012) memorably puts it, lies in reading and engaging with his work</w:t>
      </w:r>
      <w:r w:rsidR="005330FE">
        <w:t xml:space="preserve"> for</w:t>
      </w:r>
      <w:r>
        <w:t xml:space="preserve"> ourselves, as</w:t>
      </w:r>
      <w:r w:rsidRPr="00AE468D">
        <w:t xml:space="preserve"> </w:t>
      </w:r>
      <w:r>
        <w:t xml:space="preserve">anyone who has begun to delve into </w:t>
      </w:r>
      <w:r w:rsidRPr="00D86E54">
        <w:rPr>
          <w:i/>
        </w:rPr>
        <w:t>Lectures in Conversation</w:t>
      </w:r>
      <w:r>
        <w:t>, his transcribed lecture</w:t>
      </w:r>
      <w:r w:rsidR="00DD42F4">
        <w:t>s</w:t>
      </w:r>
      <w:r>
        <w:t xml:space="preserve">, quickly comes to see. The ground Sacks covers, his breadth of interests and the diverse range of examples and materials he focuses on means his work affords all manner of opportunities for engagement – returning to it, there is always something </w:t>
      </w:r>
      <w:r w:rsidR="00CC1401">
        <w:t>else</w:t>
      </w:r>
      <w:r>
        <w:t xml:space="preserve"> to be </w:t>
      </w:r>
      <w:r w:rsidR="00275876">
        <w:t>discovered</w:t>
      </w:r>
      <w:r w:rsidR="00CC1401">
        <w:t xml:space="preserve"> in it</w:t>
      </w:r>
      <w:r>
        <w:t xml:space="preserve"> and </w:t>
      </w:r>
      <w:r w:rsidR="00655CBB">
        <w:t>taken away</w:t>
      </w:r>
      <w:r w:rsidR="0019263E">
        <w:t xml:space="preserve"> (</w:t>
      </w:r>
      <w:r w:rsidR="005C170C">
        <w:t xml:space="preserve">and </w:t>
      </w:r>
      <w:r w:rsidR="0019263E">
        <w:t>see</w:t>
      </w:r>
      <w:r w:rsidR="005C170C">
        <w:t xml:space="preserve"> </w:t>
      </w:r>
      <w:r w:rsidR="00770ADC" w:rsidRPr="00770ADC">
        <w:t>Bjelić</w:t>
      </w:r>
      <w:r w:rsidR="00770ADC">
        <w:t xml:space="preserve"> 2017, Lynch 2017</w:t>
      </w:r>
      <w:r w:rsidR="006A2120">
        <w:t>, Fitzgerald 2018</w:t>
      </w:r>
      <w:r w:rsidR="005C170C">
        <w:t xml:space="preserve"> for just some of the more recent </w:t>
      </w:r>
      <w:r w:rsidR="00A611E4">
        <w:t>returns</w:t>
      </w:r>
      <w:r w:rsidR="00770ADC">
        <w:t>)</w:t>
      </w:r>
      <w:r>
        <w:t>. Rather than</w:t>
      </w:r>
      <w:r w:rsidR="008F24AD">
        <w:t xml:space="preserve"> try to</w:t>
      </w:r>
      <w:r>
        <w:t xml:space="preserve"> </w:t>
      </w:r>
      <w:r w:rsidR="000647C8">
        <w:t xml:space="preserve">anticipate </w:t>
      </w:r>
      <w:r w:rsidR="00F552FC">
        <w:t>a</w:t>
      </w:r>
      <w:r>
        <w:t xml:space="preserve"> variety of possible engagements,</w:t>
      </w:r>
      <w:r w:rsidR="000647C8">
        <w:t xml:space="preserve"> however,</w:t>
      </w:r>
      <w:r>
        <w:t xml:space="preserve"> this chapter attempts something much more limited:</w:t>
      </w:r>
      <w:r w:rsidR="000647C8">
        <w:t xml:space="preserve"> </w:t>
      </w:r>
      <w:r>
        <w:t xml:space="preserve">it </w:t>
      </w:r>
      <w:r w:rsidR="008F24AD">
        <w:t>charts just</w:t>
      </w:r>
      <w:r>
        <w:t xml:space="preserve"> one line </w:t>
      </w:r>
      <w:r w:rsidR="008F24AD">
        <w:t>through</w:t>
      </w:r>
      <w:r>
        <w:t xml:space="preserve"> Sacks</w:t>
      </w:r>
      <w:r w:rsidR="008F24AD">
        <w:t xml:space="preserve"> wider body of work</w:t>
      </w:r>
      <w:r>
        <w:t xml:space="preserve">, </w:t>
      </w:r>
      <w:r w:rsidR="008F24AD">
        <w:t xml:space="preserve">concentrating on </w:t>
      </w:r>
      <w:r>
        <w:t xml:space="preserve">the distinctive way </w:t>
      </w:r>
      <w:r w:rsidR="00F552FC">
        <w:t>Sacks</w:t>
      </w:r>
      <w:r>
        <w:t xml:space="preserve"> </w:t>
      </w:r>
      <w:r w:rsidR="008F24AD">
        <w:t>handles</w:t>
      </w:r>
      <w:r>
        <w:t xml:space="preserve"> and helps us</w:t>
      </w:r>
      <w:r w:rsidR="008F24AD">
        <w:t xml:space="preserve"> to</w:t>
      </w:r>
      <w:r>
        <w:t xml:space="preserve"> handle the relationship between action, meaning and understanding. </w:t>
      </w:r>
      <w:r w:rsidR="000647C8">
        <w:t xml:space="preserve">While that relationship </w:t>
      </w:r>
      <w:r w:rsidR="008F24AD">
        <w:t>has</w:t>
      </w:r>
      <w:r w:rsidR="000647C8">
        <w:t xml:space="preserve"> long been treated as a problem in and for the social sciences, based on his detailed analyses of our everyday practices, Sacks r</w:t>
      </w:r>
      <w:r w:rsidR="00F552FC">
        <w:t>efused</w:t>
      </w:r>
      <w:r w:rsidR="000647C8">
        <w:t xml:space="preserve"> to </w:t>
      </w:r>
      <w:r w:rsidR="008F24AD">
        <w:t>follow suit and treat</w:t>
      </w:r>
      <w:r w:rsidR="000647C8">
        <w:t xml:space="preserve"> it as a</w:t>
      </w:r>
      <w:r w:rsidR="00F552FC">
        <w:t xml:space="preserve"> </w:t>
      </w:r>
      <w:r w:rsidR="000647C8">
        <w:t>problem</w:t>
      </w:r>
      <w:r w:rsidR="00F552FC">
        <w:t xml:space="preserve"> for the sociologist</w:t>
      </w:r>
      <w:r w:rsidR="000647C8">
        <w:t xml:space="preserve"> at all. </w:t>
      </w:r>
      <w:r>
        <w:t>For Sacks, to understand the meaning of someone’s actions is just to grasp what they’re doing</w:t>
      </w:r>
      <w:r w:rsidR="00CC1401">
        <w:t>,</w:t>
      </w:r>
      <w:r>
        <w:t xml:space="preserve"> and that is not</w:t>
      </w:r>
      <w:r w:rsidR="000647C8">
        <w:t xml:space="preserve"> a</w:t>
      </w:r>
      <w:r>
        <w:t xml:space="preserve"> theoretical</w:t>
      </w:r>
      <w:r w:rsidR="000647C8">
        <w:t xml:space="preserve"> but</w:t>
      </w:r>
      <w:r>
        <w:t xml:space="preserve"> </w:t>
      </w:r>
      <w:r w:rsidR="000647C8">
        <w:t xml:space="preserve">a practical </w:t>
      </w:r>
      <w:r>
        <w:t>matter</w:t>
      </w:r>
      <w:r w:rsidR="008F24AD">
        <w:t>, one internal to</w:t>
      </w:r>
      <w:r w:rsidR="00CC1401">
        <w:t xml:space="preserve"> and resolved in</w:t>
      </w:r>
      <w:r w:rsidR="008F24AD">
        <w:t xml:space="preserve"> social life</w:t>
      </w:r>
      <w:r>
        <w:t>.</w:t>
      </w:r>
      <w:r w:rsidR="008F24AD">
        <w:t xml:space="preserve"> </w:t>
      </w:r>
      <w:r w:rsidR="00F552FC">
        <w:t xml:space="preserve">Although </w:t>
      </w:r>
      <w:r w:rsidR="008F24AD">
        <w:t xml:space="preserve">Sacks did not dwell on this </w:t>
      </w:r>
      <w:r w:rsidR="00F552FC">
        <w:t>insight</w:t>
      </w:r>
      <w:r w:rsidR="008F24AD">
        <w:t xml:space="preserve"> but </w:t>
      </w:r>
      <w:r w:rsidR="001E23B1">
        <w:t>put it to work</w:t>
      </w:r>
      <w:r w:rsidR="00F552FC">
        <w:t xml:space="preserve"> in</w:t>
      </w:r>
      <w:r w:rsidR="00576C20">
        <w:t xml:space="preserve"> </w:t>
      </w:r>
      <w:r w:rsidR="008F24AD">
        <w:t xml:space="preserve">developing </w:t>
      </w:r>
      <w:r w:rsidR="00576C20">
        <w:t>a</w:t>
      </w:r>
      <w:r w:rsidR="008F24AD">
        <w:t xml:space="preserve"> new way of practicing sociology</w:t>
      </w:r>
      <w:r w:rsidR="00576C20">
        <w:t>,</w:t>
      </w:r>
      <w:r w:rsidR="008F24AD">
        <w:t xml:space="preserve"> </w:t>
      </w:r>
      <w:r w:rsidR="00F552FC">
        <w:t xml:space="preserve">tracing </w:t>
      </w:r>
      <w:r w:rsidR="00787A20">
        <w:t>its bases</w:t>
      </w:r>
      <w:r w:rsidR="00F552FC">
        <w:t xml:space="preserve"> and what</w:t>
      </w:r>
      <w:r w:rsidR="001E23B1">
        <w:t xml:space="preserve"> </w:t>
      </w:r>
      <w:r w:rsidR="00787A20">
        <w:t>it</w:t>
      </w:r>
      <w:r w:rsidR="00F552FC">
        <w:t xml:space="preserve"> shows about the value of his </w:t>
      </w:r>
      <w:r w:rsidR="001E23B1">
        <w:t>approach to doing sociology</w:t>
      </w:r>
      <w:r w:rsidR="00F552FC">
        <w:t xml:space="preserve"> </w:t>
      </w:r>
      <w:r w:rsidR="001E23B1">
        <w:t>is salutary in several respects</w:t>
      </w:r>
      <w:r w:rsidR="00576C20">
        <w:t>. Drawing from</w:t>
      </w:r>
      <w:r w:rsidR="00275876">
        <w:t xml:space="preserve"> material across</w:t>
      </w:r>
      <w:r w:rsidR="00576C20">
        <w:t xml:space="preserve"> his lectures and published writings, the aim of this chapter is</w:t>
      </w:r>
      <w:r w:rsidR="001E23B1">
        <w:t xml:space="preserve"> therefore</w:t>
      </w:r>
      <w:r w:rsidR="00576C20">
        <w:t xml:space="preserve"> to</w:t>
      </w:r>
      <w:r w:rsidR="001E23B1">
        <w:t xml:space="preserve"> do just that and highlight</w:t>
      </w:r>
      <w:r w:rsidR="00D75569">
        <w:t xml:space="preserve"> one of the ways in which</w:t>
      </w:r>
      <w:r w:rsidR="001E23B1">
        <w:t xml:space="preserve"> Sacks </w:t>
      </w:r>
      <w:r w:rsidR="00D75569">
        <w:t>shows us how to see sociologically</w:t>
      </w:r>
      <w:r w:rsidR="00275876">
        <w:t>.</w:t>
      </w:r>
      <w:r w:rsidR="00576C20">
        <w:t xml:space="preserve"> </w:t>
      </w:r>
    </w:p>
    <w:p w14:paraId="3D2DF9A5" w14:textId="27CF0D47" w:rsidR="00B95590" w:rsidRDefault="00B95590" w:rsidP="007052A7">
      <w:pPr>
        <w:jc w:val="both"/>
      </w:pPr>
    </w:p>
    <w:p w14:paraId="4D3D2A91" w14:textId="077D3B2B" w:rsidR="00B95590" w:rsidRDefault="00B95590" w:rsidP="007052A7">
      <w:pPr>
        <w:jc w:val="both"/>
      </w:pPr>
      <w:r>
        <w:t xml:space="preserve">In that, </w:t>
      </w:r>
      <w:r w:rsidR="004432A7">
        <w:t>this chapter</w:t>
      </w:r>
      <w:r>
        <w:t xml:space="preserve"> is also an attempt to</w:t>
      </w:r>
      <w:r w:rsidR="00F55699">
        <w:t xml:space="preserve"> excavate the grounds of and thus</w:t>
      </w:r>
      <w:r>
        <w:t xml:space="preserve"> </w:t>
      </w:r>
      <w:r w:rsidR="00F55699">
        <w:t>communicate something about</w:t>
      </w:r>
      <w:r>
        <w:t xml:space="preserve"> our own first </w:t>
      </w:r>
      <w:r w:rsidR="00F55699">
        <w:t>engagements</w:t>
      </w:r>
      <w:r>
        <w:t xml:space="preserve"> with Sacks. Reading Sacks for the first time</w:t>
      </w:r>
      <w:r w:rsidR="00F55699" w:rsidRPr="00F55699">
        <w:t xml:space="preserve"> </w:t>
      </w:r>
      <w:r w:rsidR="00F55699">
        <w:t>is an intellectually revelatory experience in many ways.</w:t>
      </w:r>
      <w:r>
        <w:t xml:space="preserve"> </w:t>
      </w:r>
      <w:r w:rsidR="00F55699">
        <w:t xml:space="preserve">It is something </w:t>
      </w:r>
      <w:r>
        <w:t>we did some 40 years apart</w:t>
      </w:r>
      <w:r w:rsidR="00F55699">
        <w:t>; with one (Sharrock)</w:t>
      </w:r>
      <w:r w:rsidR="008C0BEE">
        <w:t>,</w:t>
      </w:r>
      <w:r w:rsidR="00F55699">
        <w:t xml:space="preserve"> </w:t>
      </w:r>
      <w:r w:rsidR="008C0BEE">
        <w:t xml:space="preserve">along with other colleagues at Manchester, </w:t>
      </w:r>
      <w:r w:rsidR="00F55699">
        <w:t>making his way</w:t>
      </w:r>
      <w:r w:rsidR="004F3A11">
        <w:t xml:space="preserve"> </w:t>
      </w:r>
      <w:r w:rsidR="00F55699">
        <w:t>through mi</w:t>
      </w:r>
      <w:r w:rsidR="004F3A11">
        <w:t>m</w:t>
      </w:r>
      <w:r w:rsidR="00F55699">
        <w:t>eographed copies of the transcribed lectures distributed shortly after they had been delivered by Sacks (</w:t>
      </w:r>
      <w:r w:rsidR="004F3A11">
        <w:t xml:space="preserve">a group that </w:t>
      </w:r>
      <w:r w:rsidR="00F55699">
        <w:t xml:space="preserve">also had the benefit of meeting and discussing Sacks’ work with Sacks himself, see Carlin, this volume), </w:t>
      </w:r>
      <w:r w:rsidR="004F3A11">
        <w:t xml:space="preserve">but </w:t>
      </w:r>
      <w:r w:rsidR="00F55699">
        <w:t xml:space="preserve">with the other (Mair) making his way through the </w:t>
      </w:r>
      <w:r w:rsidR="004F3A11">
        <w:t>print version of the collected</w:t>
      </w:r>
      <w:r w:rsidR="00F55699">
        <w:t xml:space="preserve"> lectures</w:t>
      </w:r>
      <w:r w:rsidR="004F3A11">
        <w:t xml:space="preserve"> as a postgraduate student</w:t>
      </w:r>
      <w:r w:rsidR="00F55699">
        <w:t xml:space="preserve"> in discussion with</w:t>
      </w:r>
      <w:r w:rsidR="00915C35">
        <w:t xml:space="preserve"> the </w:t>
      </w:r>
      <w:r w:rsidR="00FC56E8">
        <w:t>first generation Manchester ethnomethodologists</w:t>
      </w:r>
      <w:r w:rsidR="008C0BEE">
        <w:t xml:space="preserve"> who</w:t>
      </w:r>
      <w:r w:rsidR="00F55699">
        <w:t>, like Sharrock, originally got them hot off the press</w:t>
      </w:r>
      <w:r>
        <w:t>.</w:t>
      </w:r>
      <w:r w:rsidR="004F3A11">
        <w:t xml:space="preserve"> That 40-year gap is not negligible, of course, but nor does it </w:t>
      </w:r>
      <w:r w:rsidR="00915C35">
        <w:t>over-determine a reading of</w:t>
      </w:r>
      <w:r w:rsidR="004F3A11">
        <w:t xml:space="preserve"> Sacks’</w:t>
      </w:r>
      <w:r w:rsidR="00915C35">
        <w:t xml:space="preserve"> work</w:t>
      </w:r>
      <w:r w:rsidR="004F3A11">
        <w:t>.</w:t>
      </w:r>
      <w:r>
        <w:t xml:space="preserve"> </w:t>
      </w:r>
      <w:r w:rsidR="004F3A11">
        <w:t xml:space="preserve">Any </w:t>
      </w:r>
      <w:r w:rsidR="008C0BEE">
        <w:t>first</w:t>
      </w:r>
      <w:r w:rsidR="007E28FF">
        <w:t xml:space="preserve"> </w:t>
      </w:r>
      <w:r w:rsidR="008C0BEE">
        <w:t>time</w:t>
      </w:r>
      <w:r w:rsidR="004F3A11">
        <w:t xml:space="preserve"> reader of</w:t>
      </w:r>
      <w:r w:rsidR="00F55699">
        <w:t xml:space="preserve"> Sacks, and something similar could be said </w:t>
      </w:r>
      <w:r w:rsidR="004F3A11">
        <w:t>in relation to</w:t>
      </w:r>
      <w:r w:rsidR="00F55699">
        <w:t xml:space="preserve"> the work of Harold Garfinkel</w:t>
      </w:r>
      <w:r w:rsidR="004F3A11">
        <w:t xml:space="preserve">, will </w:t>
      </w:r>
      <w:r w:rsidR="006F5E20">
        <w:t>encounter</w:t>
      </w:r>
      <w:r w:rsidR="004F3A11">
        <w:t xml:space="preserve"> the same “shock of the new” (Hughes 1980).</w:t>
      </w:r>
      <w:r w:rsidR="00FC56E8">
        <w:t xml:space="preserve"> And it is a shock</w:t>
      </w:r>
      <w:r w:rsidR="004432A7">
        <w:t>;</w:t>
      </w:r>
      <w:r w:rsidR="00FC56E8">
        <w:t xml:space="preserve"> a jolt indeed.</w:t>
      </w:r>
      <w:r w:rsidR="004F3A11">
        <w:t xml:space="preserve"> Until you read it, it’s difficult to imagine that sociology could be </w:t>
      </w:r>
      <w:r w:rsidR="00AE717C">
        <w:t>approached</w:t>
      </w:r>
      <w:r w:rsidR="004F3A11">
        <w:t xml:space="preserve"> </w:t>
      </w:r>
      <w:r w:rsidR="004F3A11" w:rsidRPr="002A1587">
        <w:rPr>
          <w:i/>
        </w:rPr>
        <w:t>that</w:t>
      </w:r>
      <w:r w:rsidR="004F3A11">
        <w:t xml:space="preserve"> way. After you read it, the idea </w:t>
      </w:r>
      <w:r w:rsidR="00FC56E8">
        <w:t xml:space="preserve">you </w:t>
      </w:r>
      <w:r w:rsidR="00AE717C">
        <w:t>could approach</w:t>
      </w:r>
      <w:r w:rsidR="00FC56E8">
        <w:t xml:space="preserve"> it any </w:t>
      </w:r>
      <w:r w:rsidR="00FC56E8" w:rsidRPr="002A1587">
        <w:rPr>
          <w:i/>
        </w:rPr>
        <w:t>other</w:t>
      </w:r>
      <w:r w:rsidR="00FC56E8">
        <w:t xml:space="preserve"> way becomes difficult to imagine. </w:t>
      </w:r>
      <w:r w:rsidR="007E28FF">
        <w:t xml:space="preserve">In light of that before and after contrast, </w:t>
      </w:r>
      <w:r w:rsidR="00FC56E8">
        <w:t xml:space="preserve">we want to draw out something which connected us as first readers. That is, we both read Sacks on the understanding that Sacks intended his work to be read </w:t>
      </w:r>
      <w:r w:rsidR="00FC56E8" w:rsidRPr="002A1587">
        <w:rPr>
          <w:i/>
        </w:rPr>
        <w:t>as</w:t>
      </w:r>
      <w:r w:rsidR="00FC56E8">
        <w:t xml:space="preserve"> sociology. Sacks was ambivalent about sociology</w:t>
      </w:r>
      <w:r w:rsidR="006F5E20">
        <w:t xml:space="preserve"> (1963) and conversation analysis has drifted away from it as it has developed. However, as part of what we might term a local “anthropology of reading” (Livingston 1992),</w:t>
      </w:r>
      <w:r w:rsidR="004432A7">
        <w:t xml:space="preserve"> here</w:t>
      </w:r>
      <w:r w:rsidR="008C0BEE">
        <w:t xml:space="preserve"> </w:t>
      </w:r>
      <w:r w:rsidR="004432A7" w:rsidRPr="007E28FF">
        <w:t>our</w:t>
      </w:r>
      <w:r w:rsidR="004432A7">
        <w:t xml:space="preserve"> </w:t>
      </w:r>
      <w:r w:rsidR="007E28FF">
        <w:t>own</w:t>
      </w:r>
      <w:r w:rsidR="004432A7">
        <w:t>,</w:t>
      </w:r>
      <w:r w:rsidR="006F5E20">
        <w:t xml:space="preserve"> we want to </w:t>
      </w:r>
      <w:r w:rsidR="006F5E20">
        <w:lastRenderedPageBreak/>
        <w:t xml:space="preserve">stress the value of preserving that connection by engaging in an explicitly sociological </w:t>
      </w:r>
      <w:r w:rsidR="007E28FF">
        <w:t>reading</w:t>
      </w:r>
      <w:r w:rsidR="006F5E20">
        <w:t xml:space="preserve"> of Sacks. For all the flaws he </w:t>
      </w:r>
      <w:r w:rsidR="00864A87">
        <w:t>diagnosed</w:t>
      </w:r>
      <w:r w:rsidR="006F5E20">
        <w:t xml:space="preserve"> in it, sociology provided Sacks</w:t>
      </w:r>
      <w:r w:rsidR="002A1587">
        <w:t xml:space="preserve"> and hence his readers</w:t>
      </w:r>
      <w:r w:rsidR="006F5E20">
        <w:t xml:space="preserve"> with </w:t>
      </w:r>
      <w:r w:rsidR="00D774BD">
        <w:t>problems</w:t>
      </w:r>
      <w:r w:rsidR="006F5E20">
        <w:t xml:space="preserve"> for thinking with</w:t>
      </w:r>
      <w:r w:rsidR="00D774BD">
        <w:t xml:space="preserve"> and pushing against</w:t>
      </w:r>
      <w:r w:rsidR="006F5E20">
        <w:t xml:space="preserve"> and it is</w:t>
      </w:r>
      <w:r w:rsidR="008F5ADD">
        <w:t xml:space="preserve"> an aspect of that critical dialogue with sociology</w:t>
      </w:r>
      <w:r w:rsidR="006F5E20">
        <w:t xml:space="preserve"> </w:t>
      </w:r>
      <w:r w:rsidR="00F23089">
        <w:t xml:space="preserve">that we seek </w:t>
      </w:r>
      <w:r w:rsidR="007E28FF">
        <w:t>to fore</w:t>
      </w:r>
      <w:r w:rsidR="008F5ADD">
        <w:t>ground</w:t>
      </w:r>
      <w:r w:rsidR="00F23089">
        <w:t xml:space="preserve"> here.</w:t>
      </w:r>
      <w:r w:rsidR="00FC56E8">
        <w:t xml:space="preserve"> </w:t>
      </w:r>
    </w:p>
    <w:p w14:paraId="17611824" w14:textId="77777777" w:rsidR="008E5EAE" w:rsidRDefault="008E5EAE" w:rsidP="007052A7">
      <w:pPr>
        <w:jc w:val="both"/>
      </w:pPr>
    </w:p>
    <w:p w14:paraId="02E7D38E" w14:textId="3FA53C60" w:rsidR="008F3DFF" w:rsidRPr="007052A7" w:rsidRDefault="00DD42F4" w:rsidP="007052A7">
      <w:pPr>
        <w:jc w:val="both"/>
        <w:rPr>
          <w:b/>
        </w:rPr>
      </w:pPr>
      <w:r>
        <w:rPr>
          <w:b/>
        </w:rPr>
        <w:t>Language, perception and social activities</w:t>
      </w:r>
    </w:p>
    <w:p w14:paraId="5371DC60" w14:textId="5A6CB6E6" w:rsidR="00A538B1" w:rsidRDefault="00A538B1" w:rsidP="007052A7">
      <w:pPr>
        <w:jc w:val="both"/>
      </w:pPr>
    </w:p>
    <w:p w14:paraId="785C9626" w14:textId="25D0F300" w:rsidR="006A2120" w:rsidRDefault="007052A7" w:rsidP="007052A7">
      <w:pPr>
        <w:jc w:val="both"/>
      </w:pPr>
      <w:r>
        <w:t>One of Harvey Sacks’ most significant</w:t>
      </w:r>
      <w:r w:rsidR="00010E98">
        <w:t xml:space="preserve"> and enduring</w:t>
      </w:r>
      <w:r>
        <w:t xml:space="preserve"> intellectual contributions, attested to</w:t>
      </w:r>
      <w:r w:rsidR="00655CBB">
        <w:t xml:space="preserve"> in various ways</w:t>
      </w:r>
      <w:r>
        <w:t xml:space="preserve"> by all contributors to this volume, was to show through fine-grained empirical analyses that</w:t>
      </w:r>
      <w:r w:rsidR="00655CBB">
        <w:t xml:space="preserve"> our </w:t>
      </w:r>
      <w:r>
        <w:t xml:space="preserve">language </w:t>
      </w:r>
      <w:r w:rsidR="00655CBB">
        <w:t>comprises</w:t>
      </w:r>
      <w:r>
        <w:t xml:space="preserve"> heterogeneous </w:t>
      </w:r>
      <w:r w:rsidR="003C3F53">
        <w:t>collections</w:t>
      </w:r>
      <w:r>
        <w:t xml:space="preserve"> of </w:t>
      </w:r>
      <w:r w:rsidR="00F10FCE">
        <w:t>methods</w:t>
      </w:r>
      <w:r>
        <w:t xml:space="preserve"> of</w:t>
      </w:r>
      <w:r w:rsidR="00221621">
        <w:t xml:space="preserve"> </w:t>
      </w:r>
      <w:r w:rsidR="00655CBB">
        <w:t xml:space="preserve">practical </w:t>
      </w:r>
      <w:r>
        <w:t>action and reasoning whose</w:t>
      </w:r>
      <w:r w:rsidR="003C3F53">
        <w:t xml:space="preserve"> </w:t>
      </w:r>
      <w:r>
        <w:t xml:space="preserve">coherence, orderliness and stability </w:t>
      </w:r>
      <w:r w:rsidR="00655CBB">
        <w:t xml:space="preserve">is grounded in </w:t>
      </w:r>
      <w:r w:rsidR="00221621">
        <w:t>their use by</w:t>
      </w:r>
      <w:r w:rsidR="00655CBB">
        <w:t xml:space="preserve"> us, as</w:t>
      </w:r>
      <w:r w:rsidR="00221621">
        <w:t xml:space="preserve"> members of society</w:t>
      </w:r>
      <w:r w:rsidR="00655CBB">
        <w:t>,</w:t>
      </w:r>
      <w:r w:rsidR="003C3F53">
        <w:t xml:space="preserve"> </w:t>
      </w:r>
      <w:r w:rsidR="006A2120">
        <w:t>on actual occasions</w:t>
      </w:r>
      <w:r w:rsidR="00221621">
        <w:t>.</w:t>
      </w:r>
      <w:r>
        <w:t xml:space="preserve"> Rather than focusing on what ‘language’ was in itself, whatever that might mean,</w:t>
      </w:r>
      <w:r w:rsidR="00010E98">
        <w:t xml:space="preserve"> as if ‘it’</w:t>
      </w:r>
      <w:r w:rsidR="00221621">
        <w:t xml:space="preserve"> somehow </w:t>
      </w:r>
      <w:r w:rsidR="00010E98">
        <w:t>stood</w:t>
      </w:r>
      <w:r w:rsidR="00221621">
        <w:t xml:space="preserve"> apart from </w:t>
      </w:r>
      <w:r w:rsidR="00010E98">
        <w:t>our practices</w:t>
      </w:r>
      <w:r w:rsidR="00221621">
        <w:t>,</w:t>
      </w:r>
      <w:r>
        <w:t xml:space="preserve"> Sacks demonstrated</w:t>
      </w:r>
      <w:r w:rsidR="00221621">
        <w:t xml:space="preserve"> time and again, particularly in his lectures, that to talk of language was to talk</w:t>
      </w:r>
      <w:r w:rsidR="00010E98">
        <w:t xml:space="preserve"> not just</w:t>
      </w:r>
      <w:r w:rsidR="00221621">
        <w:t xml:space="preserve"> of </w:t>
      </w:r>
      <w:r w:rsidR="00010E98">
        <w:t>what we do</w:t>
      </w:r>
      <w:r w:rsidR="00787A20">
        <w:t xml:space="preserve"> with language</w:t>
      </w:r>
      <w:r w:rsidR="00010E98">
        <w:t xml:space="preserve"> but of how we go about doing it</w:t>
      </w:r>
      <w:r w:rsidR="00655CBB">
        <w:t>, typically</w:t>
      </w:r>
      <w:r w:rsidR="00010E98">
        <w:t xml:space="preserve"> with others in all manner of situations</w:t>
      </w:r>
      <w:r w:rsidR="00221621">
        <w:t>.</w:t>
      </w:r>
      <w:r w:rsidR="00010E98">
        <w:t xml:space="preserve"> Considerations of recorded talk</w:t>
      </w:r>
      <w:r w:rsidR="00B26474">
        <w:t xml:space="preserve"> thus</w:t>
      </w:r>
      <w:r w:rsidR="00016676">
        <w:t xml:space="preserve"> </w:t>
      </w:r>
      <w:r w:rsidR="00010E98">
        <w:t xml:space="preserve">became a </w:t>
      </w:r>
      <w:r w:rsidR="00016676">
        <w:t>central</w:t>
      </w:r>
      <w:r w:rsidR="00010E98">
        <w:t xml:space="preserve"> focus for </w:t>
      </w:r>
      <w:r w:rsidR="00787A20">
        <w:t>a</w:t>
      </w:r>
      <w:r w:rsidR="00010E98">
        <w:t xml:space="preserve"> respecification of the ‘problem of language’</w:t>
      </w:r>
      <w:r w:rsidR="00DA4213">
        <w:t>,</w:t>
      </w:r>
      <w:r w:rsidR="00F21D65">
        <w:t xml:space="preserve"> with</w:t>
      </w:r>
      <w:r w:rsidR="006A2120">
        <w:t xml:space="preserve"> </w:t>
      </w:r>
      <w:r w:rsidR="00016676">
        <w:t xml:space="preserve">ordinary </w:t>
      </w:r>
      <w:r w:rsidR="006A2120">
        <w:t>conversations</w:t>
      </w:r>
      <w:r w:rsidR="00EA6C9D">
        <w:t xml:space="preserve"> </w:t>
      </w:r>
      <w:r w:rsidR="00615F8B">
        <w:t>provid</w:t>
      </w:r>
      <w:r w:rsidR="00F21D65">
        <w:t>ing</w:t>
      </w:r>
      <w:r w:rsidR="00EA6C9D">
        <w:t xml:space="preserve"> a primary</w:t>
      </w:r>
      <w:r w:rsidR="00010E98">
        <w:t xml:space="preserve"> </w:t>
      </w:r>
      <w:r w:rsidR="00EA6C9D">
        <w:t>site for studying “the</w:t>
      </w:r>
      <w:r w:rsidR="00615F8B">
        <w:t xml:space="preserve"> [</w:t>
      </w:r>
      <w:r w:rsidR="00E331C3">
        <w:t>variety of]</w:t>
      </w:r>
      <w:r w:rsidR="00EA6C9D">
        <w:t xml:space="preserve"> methods persons use in doing social life” (Sacks 1984</w:t>
      </w:r>
      <w:r w:rsidR="00237470">
        <w:t>a</w:t>
      </w:r>
      <w:r w:rsidR="00EA6C9D">
        <w:t>: 2</w:t>
      </w:r>
      <w:r w:rsidR="006A2120">
        <w:t>1</w:t>
      </w:r>
      <w:r w:rsidR="00EA6C9D">
        <w:t>)</w:t>
      </w:r>
      <w:r w:rsidR="00F10FCE">
        <w:t>, that is</w:t>
      </w:r>
      <w:r w:rsidR="00C0610A">
        <w:t>,</w:t>
      </w:r>
      <w:r w:rsidR="00F10FCE">
        <w:t xml:space="preserve"> how they </w:t>
      </w:r>
      <w:r w:rsidR="00F10FCE" w:rsidRPr="00F10FCE">
        <w:t>“do</w:t>
      </w:r>
      <w:r w:rsidR="00F10FCE">
        <w:t xml:space="preserve"> …</w:t>
      </w:r>
      <w:r w:rsidR="00F10FCE" w:rsidRPr="00F10FCE">
        <w:t xml:space="preserve"> whatever they do, in the ways that they do it.”</w:t>
      </w:r>
      <w:r w:rsidR="00F10FCE">
        <w:t xml:space="preserve"> (Sacks 1992: V1 416)</w:t>
      </w:r>
      <w:r w:rsidR="00EA6C9D">
        <w:t>.</w:t>
      </w:r>
      <w:r w:rsidR="006A2120">
        <w:t xml:space="preserve"> </w:t>
      </w:r>
    </w:p>
    <w:p w14:paraId="0D79E526" w14:textId="77777777" w:rsidR="007A6CBF" w:rsidRDefault="007A6CBF" w:rsidP="007A6CBF">
      <w:pPr>
        <w:jc w:val="both"/>
      </w:pPr>
    </w:p>
    <w:p w14:paraId="036EC0FD" w14:textId="5211724D" w:rsidR="00507CF5" w:rsidRDefault="00EA6C9D" w:rsidP="00CD4E48">
      <w:pPr>
        <w:jc w:val="both"/>
      </w:pPr>
      <w:r>
        <w:t xml:space="preserve">While Sacks’ influence on </w:t>
      </w:r>
      <w:r w:rsidR="00655CBB">
        <w:t>how we</w:t>
      </w:r>
      <w:r w:rsidR="006A2120">
        <w:t xml:space="preserve"> might</w:t>
      </w:r>
      <w:r w:rsidR="00655CBB">
        <w:t xml:space="preserve"> </w:t>
      </w:r>
      <w:r w:rsidR="00F10FCE">
        <w:t>revisit</w:t>
      </w:r>
      <w:r w:rsidR="000F74A5">
        <w:t xml:space="preserve"> </w:t>
      </w:r>
      <w:r w:rsidR="00D4241A">
        <w:t>(mis)</w:t>
      </w:r>
      <w:r w:rsidR="00F10FCE">
        <w:t xml:space="preserve">conceptions of </w:t>
      </w:r>
      <w:r>
        <w:t>language</w:t>
      </w:r>
      <w:r w:rsidR="00787A20">
        <w:t xml:space="preserve"> </w:t>
      </w:r>
      <w:r w:rsidR="00F10FCE">
        <w:t xml:space="preserve">by attending to </w:t>
      </w:r>
      <w:r w:rsidR="00787A20">
        <w:t>its</w:t>
      </w:r>
      <w:r w:rsidR="00DA4213">
        <w:t xml:space="preserve"> ordinary</w:t>
      </w:r>
      <w:r w:rsidR="00787A20">
        <w:t xml:space="preserve"> use</w:t>
      </w:r>
      <w:r>
        <w:t xml:space="preserve"> is profound, however, his work also </w:t>
      </w:r>
      <w:r w:rsidR="00615F8B">
        <w:t>raised a range of</w:t>
      </w:r>
      <w:r>
        <w:t xml:space="preserve"> other concerns, some fleeting, some recurrent. One of </w:t>
      </w:r>
      <w:r w:rsidR="00C0610A">
        <w:t>the recurrent</w:t>
      </w:r>
      <w:r>
        <w:t xml:space="preserve"> concerns, conventionally framed, was perception</w:t>
      </w:r>
      <w:r w:rsidR="00346788">
        <w:t>. Sacks</w:t>
      </w:r>
      <w:r w:rsidR="00615F8B">
        <w:t xml:space="preserve"> was </w:t>
      </w:r>
      <w:r w:rsidR="00346788">
        <w:t>interested</w:t>
      </w:r>
      <w:r w:rsidR="00016676">
        <w:t>, for example</w:t>
      </w:r>
      <w:r w:rsidR="00180146">
        <w:t>,</w:t>
      </w:r>
      <w:r w:rsidR="00346788">
        <w:t xml:space="preserve"> in explicating how parties to a conversation </w:t>
      </w:r>
      <w:r w:rsidR="00615F8B">
        <w:t>c</w:t>
      </w:r>
      <w:r w:rsidR="00787A20">
        <w:t>o</w:t>
      </w:r>
      <w:r w:rsidR="00615F8B">
        <w:t xml:space="preserve">me to see, to borrow from Austin, what others </w:t>
      </w:r>
      <w:r w:rsidR="00787A20">
        <w:t>are</w:t>
      </w:r>
      <w:r w:rsidR="00615F8B">
        <w:t xml:space="preserve"> doing with words</w:t>
      </w:r>
      <w:r w:rsidR="00346788">
        <w:t xml:space="preserve"> </w:t>
      </w:r>
      <w:r w:rsidR="00615F8B">
        <w:t xml:space="preserve">– not least because that </w:t>
      </w:r>
      <w:r w:rsidR="006A2120">
        <w:t>might</w:t>
      </w:r>
      <w:r w:rsidR="00615F8B">
        <w:t xml:space="preserve"> involve something being done to </w:t>
      </w:r>
      <w:r w:rsidR="00615F8B" w:rsidRPr="003C3F53">
        <w:t>them</w:t>
      </w:r>
      <w:r w:rsidR="006A2120">
        <w:t xml:space="preserve"> (e.g., Sacks 1992: V1 350-51</w:t>
      </w:r>
      <w:r w:rsidR="00864A87">
        <w:t>;</w:t>
      </w:r>
      <w:r w:rsidR="006A2120">
        <w:t xml:space="preserve"> 417-426)</w:t>
      </w:r>
      <w:r w:rsidR="001363D6">
        <w:t xml:space="preserve"> </w:t>
      </w:r>
      <w:r w:rsidR="00615F8B">
        <w:t xml:space="preserve">– but </w:t>
      </w:r>
      <w:r w:rsidR="00016676">
        <w:t>extended his examination of</w:t>
      </w:r>
      <w:r w:rsidR="00615F8B">
        <w:t xml:space="preserve"> seeing as understanding</w:t>
      </w:r>
      <w:r w:rsidR="00787A20">
        <w:t xml:space="preserve"> beyond communicative exchanges</w:t>
      </w:r>
      <w:r w:rsidR="003C3F53">
        <w:t xml:space="preserve"> </w:t>
      </w:r>
      <w:r w:rsidR="00016676">
        <w:t xml:space="preserve">to </w:t>
      </w:r>
      <w:r w:rsidR="00615F8B">
        <w:t>how we</w:t>
      </w:r>
      <w:r w:rsidR="004C1BB9">
        <w:t xml:space="preserve"> ordinarily and routinely</w:t>
      </w:r>
      <w:r w:rsidR="00615F8B">
        <w:t xml:space="preserve"> </w:t>
      </w:r>
      <w:r w:rsidR="00016676">
        <w:t>get the measure of</w:t>
      </w:r>
      <w:r w:rsidR="00615F8B">
        <w:t xml:space="preserve"> scenes of social life and what </w:t>
      </w:r>
      <w:r w:rsidR="006A2120">
        <w:t>can</w:t>
      </w:r>
      <w:r w:rsidR="00615F8B">
        <w:t xml:space="preserve"> relevantly </w:t>
      </w:r>
      <w:r w:rsidR="001363D6">
        <w:t>be said</w:t>
      </w:r>
      <w:r w:rsidR="00615F8B">
        <w:t xml:space="preserve"> to be happening within them</w:t>
      </w:r>
      <w:r w:rsidR="00F10FCE">
        <w:t xml:space="preserve"> – </w:t>
      </w:r>
      <w:r w:rsidR="00B72E33">
        <w:t>a concern</w:t>
      </w:r>
      <w:r w:rsidR="00D4241A">
        <w:t xml:space="preserve"> explicitly </w:t>
      </w:r>
      <w:r w:rsidR="00B72E33">
        <w:t>topicalised in a study of the</w:t>
      </w:r>
      <w:r w:rsidR="00F10FCE">
        <w:t xml:space="preserve"> methods the police employ to </w:t>
      </w:r>
      <w:r w:rsidR="00B72E33">
        <w:t xml:space="preserve">assess ‘moral character’ </w:t>
      </w:r>
      <w:r w:rsidR="00F10FCE">
        <w:t>(Sacks 1972)</w:t>
      </w:r>
      <w:r w:rsidR="00B72E33">
        <w:t xml:space="preserve"> </w:t>
      </w:r>
      <w:r w:rsidR="00D4241A">
        <w:t>and</w:t>
      </w:r>
      <w:r w:rsidR="00B72E33">
        <w:t xml:space="preserve"> found</w:t>
      </w:r>
      <w:r w:rsidR="00507CF5">
        <w:t xml:space="preserve"> more generally</w:t>
      </w:r>
      <w:r w:rsidR="00B72E33">
        <w:t xml:space="preserve"> throughout his work</w:t>
      </w:r>
      <w:r w:rsidR="00615F8B">
        <w:t xml:space="preserve">. </w:t>
      </w:r>
      <w:r w:rsidR="00E331C3">
        <w:t xml:space="preserve">For Sacks, and this shall provide our point of departure, part of </w:t>
      </w:r>
      <w:r w:rsidR="00016676">
        <w:t>“</w:t>
      </w:r>
      <w:r w:rsidR="00E331C3">
        <w:t>seeing sociologically</w:t>
      </w:r>
      <w:r w:rsidR="00016676">
        <w:t>” (Garfinkel 2015)</w:t>
      </w:r>
      <w:r w:rsidR="00E331C3">
        <w:t xml:space="preserve"> </w:t>
      </w:r>
      <w:r w:rsidR="001363D6">
        <w:t>involve</w:t>
      </w:r>
      <w:r w:rsidR="00787A20">
        <w:t>d</w:t>
      </w:r>
      <w:r w:rsidR="001363D6">
        <w:t xml:space="preserve"> </w:t>
      </w:r>
      <w:r w:rsidR="00016676">
        <w:t>explicat</w:t>
      </w:r>
      <w:r w:rsidR="001363D6">
        <w:t>ing</w:t>
      </w:r>
      <w:r w:rsidR="002B52A6">
        <w:t xml:space="preserve"> how</w:t>
      </w:r>
      <w:r w:rsidR="00787A20">
        <w:t xml:space="preserve"> any and all</w:t>
      </w:r>
      <w:r w:rsidR="001363D6">
        <w:t xml:space="preserve"> </w:t>
      </w:r>
      <w:r w:rsidR="002B52A6">
        <w:t>“activities … are done, and done recognizably</w:t>
      </w:r>
      <w:r w:rsidR="00361AAB">
        <w:t>”</w:t>
      </w:r>
      <w:r w:rsidR="002B52A6">
        <w:t xml:space="preserve"> (Sacks 1992: V1 245)</w:t>
      </w:r>
      <w:r w:rsidR="00E331C3">
        <w:t xml:space="preserve">. </w:t>
      </w:r>
    </w:p>
    <w:p w14:paraId="3284E0B2" w14:textId="77777777" w:rsidR="00507CF5" w:rsidRDefault="00507CF5" w:rsidP="00CD4E48">
      <w:pPr>
        <w:jc w:val="both"/>
      </w:pPr>
    </w:p>
    <w:p w14:paraId="6C144007" w14:textId="49129DA6" w:rsidR="004C1BB9" w:rsidRDefault="00507CF5" w:rsidP="001246A2">
      <w:pPr>
        <w:jc w:val="both"/>
      </w:pPr>
      <w:r>
        <w:t>J</w:t>
      </w:r>
      <w:r w:rsidR="00E331C3">
        <w:t xml:space="preserve">ust as the phenomena of language, when approached </w:t>
      </w:r>
      <w:r w:rsidR="003C3F53">
        <w:t>via Sacks</w:t>
      </w:r>
      <w:r w:rsidR="00B72E33">
        <w:t>’</w:t>
      </w:r>
      <w:r w:rsidR="003C3F53">
        <w:t xml:space="preserve"> characteristic ways of working</w:t>
      </w:r>
      <w:r w:rsidR="00E331C3">
        <w:t xml:space="preserve">, decomposed into </w:t>
      </w:r>
      <w:r w:rsidR="00D4241A">
        <w:t>assemblies</w:t>
      </w:r>
      <w:r w:rsidR="00E331C3">
        <w:t xml:space="preserve"> of</w:t>
      </w:r>
      <w:r w:rsidR="00016676">
        <w:t xml:space="preserve"> locally organised</w:t>
      </w:r>
      <w:r w:rsidR="00E331C3">
        <w:t xml:space="preserve"> </w:t>
      </w:r>
      <w:r w:rsidR="003C3F53">
        <w:t>social</w:t>
      </w:r>
      <w:r w:rsidR="00E331C3">
        <w:t xml:space="preserve"> activities</w:t>
      </w:r>
      <w:r w:rsidR="007A6CBF">
        <w:t xml:space="preserve"> </w:t>
      </w:r>
      <w:r w:rsidR="001363D6">
        <w:t>(Lynch &amp; Bogen 1994)</w:t>
      </w:r>
      <w:r w:rsidR="00E331C3">
        <w:t xml:space="preserve">, so perception did too. </w:t>
      </w:r>
      <w:r w:rsidR="00F922CE">
        <w:t>Undermining</w:t>
      </w:r>
      <w:r w:rsidR="001363D6">
        <w:t xml:space="preserve"> the</w:t>
      </w:r>
      <w:r w:rsidR="00F922CE">
        <w:t xml:space="preserve"> very</w:t>
      </w:r>
      <w:r w:rsidR="001363D6">
        <w:t xml:space="preserve"> idea of</w:t>
      </w:r>
      <w:r w:rsidR="00E331C3">
        <w:t xml:space="preserve"> a unified</w:t>
      </w:r>
      <w:r w:rsidR="00016676">
        <w:t xml:space="preserve"> </w:t>
      </w:r>
      <w:r w:rsidR="00E331C3">
        <w:t>theory of perception</w:t>
      </w:r>
      <w:r w:rsidR="00F922CE">
        <w:t xml:space="preserve"> as he went</w:t>
      </w:r>
      <w:r w:rsidR="00E331C3">
        <w:t>,</w:t>
      </w:r>
      <w:r w:rsidR="004C1BB9">
        <w:t xml:space="preserve"> social, scientific or otherwise,</w:t>
      </w:r>
      <w:r w:rsidR="003C3F53">
        <w:t xml:space="preserve"> </w:t>
      </w:r>
      <w:r w:rsidR="00E331C3">
        <w:t>Sacks</w:t>
      </w:r>
      <w:r w:rsidR="001363D6">
        <w:t xml:space="preserve"> </w:t>
      </w:r>
      <w:r w:rsidR="003C3F53">
        <w:t>provided</w:t>
      </w:r>
      <w:r w:rsidR="00E331C3">
        <w:t xml:space="preserve"> a series of vivid examples of</w:t>
      </w:r>
      <w:r w:rsidR="00F922CE">
        <w:t xml:space="preserve"> </w:t>
      </w:r>
      <w:r w:rsidR="00D4241A">
        <w:t>ways of seeing</w:t>
      </w:r>
      <w:r w:rsidR="00E331C3">
        <w:t xml:space="preserve"> and their</w:t>
      </w:r>
      <w:r w:rsidR="00016676">
        <w:t xml:space="preserve"> ordinary</w:t>
      </w:r>
      <w:r w:rsidR="00E331C3">
        <w:t xml:space="preserve"> social grounds</w:t>
      </w:r>
      <w:r w:rsidR="003C3F53">
        <w:t xml:space="preserve"> –</w:t>
      </w:r>
      <w:r w:rsidR="001363D6">
        <w:t xml:space="preserve"> i.e.,</w:t>
      </w:r>
      <w:r w:rsidR="00864A87">
        <w:t xml:space="preserve"> of</w:t>
      </w:r>
      <w:r w:rsidR="001363D6">
        <w:t xml:space="preserve"> </w:t>
      </w:r>
      <w:r w:rsidR="003C3F53">
        <w:t>‘prax</w:t>
      </w:r>
      <w:r w:rsidR="001363D6">
        <w:t>i</w:t>
      </w:r>
      <w:r w:rsidR="003C3F53">
        <w:t>olog</w:t>
      </w:r>
      <w:r w:rsidR="001363D6">
        <w:t>ies</w:t>
      </w:r>
      <w:r w:rsidR="003C3F53">
        <w:t xml:space="preserve"> of perception’</w:t>
      </w:r>
      <w:r w:rsidR="00414AA0">
        <w:t xml:space="preserve"> as they have</w:t>
      </w:r>
      <w:r w:rsidR="00C0610A">
        <w:t xml:space="preserve"> subsequently</w:t>
      </w:r>
      <w:r w:rsidR="00414AA0">
        <w:t xml:space="preserve"> </w:t>
      </w:r>
      <w:r w:rsidR="008B5A72">
        <w:t>come to be</w:t>
      </w:r>
      <w:r w:rsidR="00414AA0">
        <w:t xml:space="preserve"> called</w:t>
      </w:r>
      <w:r w:rsidR="003C3F53">
        <w:t xml:space="preserve"> (</w:t>
      </w:r>
      <w:r w:rsidR="00D4241A">
        <w:t xml:space="preserve">Coulter and Parsons </w:t>
      </w:r>
      <w:r w:rsidR="003C3F53">
        <w:t>1990)</w:t>
      </w:r>
      <w:r w:rsidR="00E331C3">
        <w:t xml:space="preserve">. </w:t>
      </w:r>
      <w:r w:rsidR="002B52A6">
        <w:t>The observability of social action</w:t>
      </w:r>
      <w:r w:rsidR="00F21D65">
        <w:t xml:space="preserve"> –</w:t>
      </w:r>
      <w:r w:rsidR="00414AA0">
        <w:t xml:space="preserve"> </w:t>
      </w:r>
      <w:r w:rsidR="005330FE">
        <w:t xml:space="preserve">that is, </w:t>
      </w:r>
      <w:r w:rsidR="00F21D65">
        <w:t>the connection</w:t>
      </w:r>
      <w:r w:rsidR="00787A20">
        <w:t>s</w:t>
      </w:r>
      <w:r w:rsidR="00F21D65">
        <w:t xml:space="preserve"> between action and</w:t>
      </w:r>
      <w:r w:rsidR="00D4241A">
        <w:t xml:space="preserve"> its</w:t>
      </w:r>
      <w:r w:rsidR="00F21D65">
        <w:t xml:space="preserve"> recognition</w:t>
      </w:r>
      <w:r w:rsidR="00787A20">
        <w:t xml:space="preserve"> and the “possibility” of both (Sacks 1992: V1 </w:t>
      </w:r>
      <w:r w:rsidR="004C1BB9">
        <w:t>422</w:t>
      </w:r>
      <w:r w:rsidR="00F150B9">
        <w:t xml:space="preserve">, see also </w:t>
      </w:r>
      <w:r w:rsidR="00C0610A">
        <w:t>Livingston 1987: 59-64 and</w:t>
      </w:r>
      <w:r w:rsidR="00F150B9">
        <w:t xml:space="preserve"> Wieder &amp; Pratt 1990</w:t>
      </w:r>
      <w:r w:rsidR="004C1BB9">
        <w:t>)</w:t>
      </w:r>
      <w:r w:rsidR="00F21D65">
        <w:t xml:space="preserve"> –</w:t>
      </w:r>
      <w:r w:rsidR="002B52A6">
        <w:t xml:space="preserve"> was a major focus in this. As Sacks puts it, “social activities are observable; you can see them all around you, and you can write them down … If you think you can see it, that means we can build an observational study, and we can build a natural study” (Sacks 1992: V1 28).</w:t>
      </w:r>
      <w:r w:rsidR="002E5AFC">
        <w:t xml:space="preserve"> Moreover, because social activities are “</w:t>
      </w:r>
      <w:r w:rsidR="002E5AFC" w:rsidRPr="002E5AFC">
        <w:t>routinely observable</w:t>
      </w:r>
      <w:r w:rsidR="002E5AFC">
        <w:t xml:space="preserve">” (Sacks 1992: V1 31), </w:t>
      </w:r>
      <w:r w:rsidR="004C1BB9">
        <w:t>that is, available to members of society’s</w:t>
      </w:r>
      <w:r w:rsidR="005330FE">
        <w:t xml:space="preserve"> (or, more simply, member’s)</w:t>
      </w:r>
      <w:r w:rsidR="004C1BB9">
        <w:t xml:space="preserve"> ordinary </w:t>
      </w:r>
      <w:r w:rsidR="00EE2953">
        <w:t>ways</w:t>
      </w:r>
      <w:r w:rsidR="004C1BB9">
        <w:t xml:space="preserve"> of looking </w:t>
      </w:r>
      <w:r w:rsidR="002E5AFC">
        <w:t xml:space="preserve">“as anyone can easily find” (Sacks 1992: V1 40), sociology </w:t>
      </w:r>
      <w:r w:rsidR="004C1BB9">
        <w:t>does</w:t>
      </w:r>
      <w:r w:rsidR="002E5AFC">
        <w:t xml:space="preserve"> not need to “await developments in … genetics or analyses of the light spectra</w:t>
      </w:r>
      <w:r w:rsidR="004C1BB9">
        <w:t xml:space="preserve"> [i.e. the presumed ‘scientific’ bases of perception]</w:t>
      </w:r>
      <w:r w:rsidR="002E5AFC">
        <w:t xml:space="preserve"> to gai</w:t>
      </w:r>
      <w:r w:rsidR="00DD42F4">
        <w:t>n a secure position from which m</w:t>
      </w:r>
      <w:r w:rsidR="002E5AFC">
        <w:t xml:space="preserve">embers’ knowledge, and the activities for which it is relevant, might be </w:t>
      </w:r>
      <w:r w:rsidR="002E5AFC">
        <w:lastRenderedPageBreak/>
        <w:t>investigated”</w:t>
      </w:r>
      <w:r w:rsidR="00CD4E48">
        <w:t xml:space="preserve"> (see also here Lynch 1993</w:t>
      </w:r>
      <w:r w:rsidR="00864A87">
        <w:t>;</w:t>
      </w:r>
      <w:r w:rsidR="00CD4E48">
        <w:t xml:space="preserve"> Lynch &amp; Bogen 1994)</w:t>
      </w:r>
      <w:r w:rsidR="002E5AFC">
        <w:t xml:space="preserve">. Instead, given social activities </w:t>
      </w:r>
      <w:r w:rsidR="002E5AFC" w:rsidRPr="002E5AFC">
        <w:rPr>
          <w:i/>
        </w:rPr>
        <w:t>are</w:t>
      </w:r>
      <w:r w:rsidR="002E5AFC">
        <w:t xml:space="preserve"> observable, sociology </w:t>
      </w:r>
      <w:r w:rsidR="004C1BB9">
        <w:t>can</w:t>
      </w:r>
      <w:r w:rsidR="002E5AFC">
        <w:t xml:space="preserve"> instead </w:t>
      </w:r>
      <w:r w:rsidR="004C1BB9">
        <w:t>proceed</w:t>
      </w:r>
      <w:r w:rsidR="002E5AFC">
        <w:t xml:space="preserve"> with the work of </w:t>
      </w:r>
      <w:r w:rsidR="004C1BB9">
        <w:t>describing</w:t>
      </w:r>
      <w:r w:rsidR="002E5AFC">
        <w:t xml:space="preserve"> “how it is that any activities</w:t>
      </w:r>
      <w:r w:rsidR="004C1BB9">
        <w:t xml:space="preserve"> …</w:t>
      </w:r>
      <w:r w:rsidR="00DD42F4">
        <w:t xml:space="preserve"> which m</w:t>
      </w:r>
      <w:r w:rsidR="002E5AFC">
        <w:t>embers do</w:t>
      </w:r>
      <w:r w:rsidR="004C1BB9">
        <w:t xml:space="preserve"> [are done]</w:t>
      </w:r>
      <w:r w:rsidR="002E5AFC">
        <w:t xml:space="preserve"> in such a way as</w:t>
      </w:r>
      <w:r w:rsidR="004C1BB9">
        <w:t xml:space="preserve"> </w:t>
      </w:r>
      <w:r w:rsidR="002E5AFC">
        <w:t xml:space="preserve">to be recognizable as such </w:t>
      </w:r>
      <w:r w:rsidR="00DD42F4">
        <w:rPr>
          <w:i/>
        </w:rPr>
        <w:t>to m</w:t>
      </w:r>
      <w:r w:rsidR="002E5AFC" w:rsidRPr="004C1BB9">
        <w:rPr>
          <w:i/>
        </w:rPr>
        <w:t>embers</w:t>
      </w:r>
      <w:r w:rsidR="004C1BB9">
        <w:t xml:space="preserve">” (Sacks 1992: V1 245, emphasis added). For Sacks, the question thus becomes: “For anybody … to do … an activity, what makes it recognizable as whatever it happens to be?” (Sacks 1992: V1 422). </w:t>
      </w:r>
      <w:r w:rsidR="00B72E33">
        <w:t xml:space="preserve">From </w:t>
      </w:r>
      <w:r w:rsidR="00915C35">
        <w:t>there</w:t>
      </w:r>
      <w:r w:rsidR="00CD4E48">
        <w:t>, “</w:t>
      </w:r>
      <w:r w:rsidR="00B72E33">
        <w:t>[w</w:t>
      </w:r>
      <w:r w:rsidR="00CD4E48">
        <w:t>hat</w:t>
      </w:r>
      <w:r w:rsidR="00B72E33">
        <w:t>]</w:t>
      </w:r>
      <w:r w:rsidR="00CD4E48">
        <w:t xml:space="preserve"> we want to do then</w:t>
      </w:r>
      <w:r w:rsidR="00B72E33">
        <w:t xml:space="preserve"> …</w:t>
      </w:r>
      <w:r w:rsidR="00CD4E48">
        <w:t xml:space="preserve"> is to provide for how it is that something that’s done is recognized for what it is, where the big thing is that some action is recognized as a something, as a case of some activity” (Sacks 1992: V1 236-7).</w:t>
      </w:r>
      <w:r w:rsidR="001246A2">
        <w:t xml:space="preserve"> </w:t>
      </w:r>
    </w:p>
    <w:p w14:paraId="018D6030" w14:textId="27AFC092" w:rsidR="000D6F53" w:rsidRDefault="000D6F53" w:rsidP="007052A7">
      <w:pPr>
        <w:jc w:val="both"/>
      </w:pPr>
    </w:p>
    <w:p w14:paraId="2393750B" w14:textId="72F80AAD" w:rsidR="007A6CBF" w:rsidRDefault="0084333A" w:rsidP="007052A7">
      <w:pPr>
        <w:jc w:val="both"/>
      </w:pPr>
      <w:r>
        <w:t>Armed with these insights, Sacks g</w:t>
      </w:r>
      <w:r w:rsidR="00864A87">
        <w:t>o</w:t>
      </w:r>
      <w:r>
        <w:t xml:space="preserve">t on </w:t>
      </w:r>
      <w:r w:rsidR="000D6F53">
        <w:t xml:space="preserve">with </w:t>
      </w:r>
      <w:r w:rsidR="00864A87">
        <w:t xml:space="preserve">his </w:t>
      </w:r>
      <w:r w:rsidR="002B52A6">
        <w:t>observational studies</w:t>
      </w:r>
      <w:r w:rsidR="000D6F53">
        <w:t xml:space="preserve"> </w:t>
      </w:r>
      <w:r w:rsidR="00F922CE">
        <w:t>rather than setting out lengthy programmatics</w:t>
      </w:r>
      <w:r w:rsidR="0083133F">
        <w:t xml:space="preserve"> as a prelude to them</w:t>
      </w:r>
      <w:r w:rsidR="000D6F53">
        <w:t>. We</w:t>
      </w:r>
      <w:r w:rsidR="00507CF5">
        <w:t xml:space="preserve"> </w:t>
      </w:r>
      <w:r w:rsidR="000D6F53">
        <w:t xml:space="preserve">want to return to </w:t>
      </w:r>
      <w:r w:rsidR="007A6CBF">
        <w:t>th</w:t>
      </w:r>
      <w:r>
        <w:t>e</w:t>
      </w:r>
      <w:r w:rsidR="007A6CBF">
        <w:t>se issues</w:t>
      </w:r>
      <w:r w:rsidR="000D6F53">
        <w:t xml:space="preserve"> and some of the better-known sections of the </w:t>
      </w:r>
      <w:r w:rsidR="000D6F53" w:rsidRPr="000D6F53">
        <w:rPr>
          <w:i/>
        </w:rPr>
        <w:t>Lectures</w:t>
      </w:r>
      <w:r w:rsidR="00507CF5">
        <w:t>, however,</w:t>
      </w:r>
      <w:r w:rsidR="000D6F53">
        <w:t xml:space="preserve"> because we think there are things worth emphasising in the</w:t>
      </w:r>
      <w:r w:rsidR="00F922CE">
        <w:t xml:space="preserve"> explicitly</w:t>
      </w:r>
      <w:r w:rsidR="000D6F53">
        <w:t xml:space="preserve"> sociological bases of what Sacks was </w:t>
      </w:r>
      <w:r w:rsidR="00F922CE">
        <w:t>seeking</w:t>
      </w:r>
      <w:r w:rsidR="00016676">
        <w:t xml:space="preserve"> to do</w:t>
      </w:r>
      <w:r w:rsidR="000D6F53">
        <w:t xml:space="preserve">. </w:t>
      </w:r>
      <w:r w:rsidR="00B72E33">
        <w:t xml:space="preserve">It can be </w:t>
      </w:r>
      <w:r w:rsidR="00F922CE">
        <w:t xml:space="preserve">easy to forget </w:t>
      </w:r>
      <w:r w:rsidR="000D6F53">
        <w:t>the enterprise</w:t>
      </w:r>
      <w:r w:rsidR="00F922CE">
        <w:t>’s</w:t>
      </w:r>
      <w:r w:rsidR="000D6F53">
        <w:t xml:space="preserve"> </w:t>
      </w:r>
      <w:r w:rsidR="00F922CE">
        <w:t xml:space="preserve">starting points and the manner in which </w:t>
      </w:r>
      <w:r w:rsidR="00B72E33">
        <w:t>Sacks</w:t>
      </w:r>
      <w:r w:rsidR="002B52A6">
        <w:t xml:space="preserve"> both</w:t>
      </w:r>
      <w:r w:rsidR="00F922CE">
        <w:t xml:space="preserve"> responded to but also departed from conventional social science </w:t>
      </w:r>
      <w:r w:rsidR="00D4241A">
        <w:t>(mis)</w:t>
      </w:r>
      <w:r w:rsidR="00F922CE">
        <w:t>treatments</w:t>
      </w:r>
      <w:r w:rsidR="002B52A6">
        <w:t xml:space="preserve"> of </w:t>
      </w:r>
      <w:r w:rsidR="00D4241A">
        <w:t>the</w:t>
      </w:r>
      <w:r w:rsidR="002B52A6">
        <w:t xml:space="preserve"> phenomena</w:t>
      </w:r>
      <w:r w:rsidR="00D4241A">
        <w:t xml:space="preserve"> he </w:t>
      </w:r>
      <w:r w:rsidR="00BC6949">
        <w:t>concentrated his analytical attention on</w:t>
      </w:r>
      <w:r w:rsidR="00F922CE">
        <w:t>.</w:t>
      </w:r>
      <w:r w:rsidR="00B72E33">
        <w:t xml:space="preserve"> Recovering those starting points may </w:t>
      </w:r>
      <w:r>
        <w:t>strike some as</w:t>
      </w:r>
      <w:r w:rsidR="00B72E33">
        <w:t xml:space="preserve"> unnecessary.</w:t>
      </w:r>
      <w:r w:rsidR="00F922CE">
        <w:t xml:space="preserve"> However, </w:t>
      </w:r>
      <w:r w:rsidR="000D6F53">
        <w:t>there are dangers in forgetfulness</w:t>
      </w:r>
      <w:r w:rsidR="00F922CE">
        <w:t>:</w:t>
      </w:r>
      <w:r w:rsidR="000D6F53">
        <w:t xml:space="preserve"> </w:t>
      </w:r>
      <w:r w:rsidR="00F922CE">
        <w:t>c</w:t>
      </w:r>
      <w:r w:rsidR="00CE55FF">
        <w:t>onfusions and misunderstandings can proliferate, for instance, if we lose sight of the care Sacks took in setting out</w:t>
      </w:r>
      <w:r w:rsidR="00F922CE">
        <w:t xml:space="preserve"> the grounds of</w:t>
      </w:r>
      <w:r w:rsidR="00CE55FF">
        <w:t xml:space="preserve"> his observational social science</w:t>
      </w:r>
      <w:r w:rsidR="00BC6949">
        <w:t>, dangers we will expand on next.</w:t>
      </w:r>
    </w:p>
    <w:p w14:paraId="2B67BAF4" w14:textId="41B57A21" w:rsidR="007A6CBF" w:rsidRDefault="007A6CBF" w:rsidP="007052A7">
      <w:pPr>
        <w:jc w:val="both"/>
      </w:pPr>
    </w:p>
    <w:p w14:paraId="6A1B2099" w14:textId="049BDC53" w:rsidR="0031679A" w:rsidRPr="0031679A" w:rsidRDefault="0031679A" w:rsidP="007052A7">
      <w:pPr>
        <w:jc w:val="both"/>
        <w:rPr>
          <w:b/>
        </w:rPr>
      </w:pPr>
      <w:r w:rsidRPr="0031679A">
        <w:rPr>
          <w:b/>
        </w:rPr>
        <w:t>Starting with not arriving at ‘the action’</w:t>
      </w:r>
    </w:p>
    <w:p w14:paraId="3DEB6AE0" w14:textId="77777777" w:rsidR="007A6CBF" w:rsidRDefault="007A6CBF" w:rsidP="007052A7">
      <w:pPr>
        <w:jc w:val="both"/>
      </w:pPr>
    </w:p>
    <w:p w14:paraId="1C7B5E2F" w14:textId="47AEF9F3" w:rsidR="000D6F53" w:rsidRDefault="007A6CBF" w:rsidP="007052A7">
      <w:pPr>
        <w:jc w:val="both"/>
      </w:pPr>
      <w:r>
        <w:t>I</w:t>
      </w:r>
      <w:r w:rsidR="002B52A6">
        <w:t>t is easy to be deceived by</w:t>
      </w:r>
      <w:r w:rsidR="00CE55FF">
        <w:t xml:space="preserve"> </w:t>
      </w:r>
      <w:r w:rsidR="002B52A6">
        <w:t>Sacks</w:t>
      </w:r>
      <w:r w:rsidR="00180146">
        <w:t xml:space="preserve"> apparently</w:t>
      </w:r>
      <w:r w:rsidR="002B52A6">
        <w:t xml:space="preserve"> ‘naïve’ stance</w:t>
      </w:r>
      <w:r w:rsidR="00237470">
        <w:t xml:space="preserve"> on what would count as sociologically relevant phenomena or an adequate treatment of them. He did indeed emphasise “unmotivated looking” and work</w:t>
      </w:r>
      <w:r w:rsidR="00EE2953">
        <w:t>ed</w:t>
      </w:r>
      <w:r w:rsidR="00237470">
        <w:t xml:space="preserve"> with “found” objects conventional social science</w:t>
      </w:r>
      <w:r>
        <w:t xml:space="preserve"> by and large</w:t>
      </w:r>
      <w:r w:rsidR="00237470">
        <w:t xml:space="preserve"> rejected as too “small” or “uninteresting”</w:t>
      </w:r>
      <w:r>
        <w:t xml:space="preserve"> to take up and</w:t>
      </w:r>
      <w:r w:rsidR="00123E24">
        <w:t xml:space="preserve"> systematically</w:t>
      </w:r>
      <w:r>
        <w:t xml:space="preserve"> study</w:t>
      </w:r>
      <w:r w:rsidR="00B72E33">
        <w:t xml:space="preserve"> </w:t>
      </w:r>
      <w:r w:rsidR="00237470">
        <w:t xml:space="preserve">(Sacks 1984a). As his various papers and off-hand references in the </w:t>
      </w:r>
      <w:r w:rsidR="00237470" w:rsidRPr="00237470">
        <w:rPr>
          <w:i/>
        </w:rPr>
        <w:t>Lectures</w:t>
      </w:r>
      <w:r w:rsidR="00237470">
        <w:t xml:space="preserve"> indicate, however, that naivety was deeply informed</w:t>
      </w:r>
      <w:r w:rsidR="000F74A5">
        <w:t>;</w:t>
      </w:r>
      <w:r w:rsidR="00237470">
        <w:t xml:space="preserve"> Sacks was</w:t>
      </w:r>
      <w:r w:rsidR="00123E24">
        <w:t xml:space="preserve"> </w:t>
      </w:r>
      <w:r w:rsidR="00237470">
        <w:t>steeped in the theoretical, methodological and empirical literatures of the social</w:t>
      </w:r>
      <w:r>
        <w:t xml:space="preserve"> and indeed natural</w:t>
      </w:r>
      <w:r w:rsidR="00237470">
        <w:t xml:space="preserve"> sciences</w:t>
      </w:r>
      <w:r w:rsidR="00DD42F4">
        <w:t xml:space="preserve"> but </w:t>
      </w:r>
      <w:r w:rsidR="00C17F39">
        <w:t xml:space="preserve">remarked that he found </w:t>
      </w:r>
      <w:r w:rsidR="00DD42F4">
        <w:t xml:space="preserve">social science </w:t>
      </w:r>
      <w:r w:rsidR="00C17F39">
        <w:t>“</w:t>
      </w:r>
      <w:r w:rsidR="00DD42F4">
        <w:t>strange</w:t>
      </w:r>
      <w:r w:rsidR="00C17F39">
        <w:t>”</w:t>
      </w:r>
      <w:r w:rsidR="00DD42F4">
        <w:t xml:space="preserve"> and sought to develop his approach to sociological description independently of the standard presuppositions </w:t>
      </w:r>
      <w:r w:rsidR="00C17F39">
        <w:t>that characterised</w:t>
      </w:r>
      <w:r w:rsidR="008B5A72">
        <w:t xml:space="preserve"> the bulk of</w:t>
      </w:r>
      <w:r w:rsidR="00C17F39">
        <w:t xml:space="preserve"> work</w:t>
      </w:r>
      <w:r w:rsidR="008B5A72">
        <w:t xml:space="preserve"> conducted</w:t>
      </w:r>
      <w:r w:rsidR="00C17F39">
        <w:t xml:space="preserve"> </w:t>
      </w:r>
      <w:r w:rsidR="008B5A72">
        <w:t xml:space="preserve">in it </w:t>
      </w:r>
      <w:r w:rsidR="00C17F39">
        <w:t>(Sacks 1963)</w:t>
      </w:r>
      <w:r w:rsidR="00237470">
        <w:t>.</w:t>
      </w:r>
      <w:r w:rsidR="00123E24">
        <w:t xml:space="preserve"> In working through an alternate approach to the study of social life, Sacks</w:t>
      </w:r>
      <w:r w:rsidR="008B5A72">
        <w:t xml:space="preserve"> thus</w:t>
      </w:r>
      <w:r w:rsidR="00123E24">
        <w:t xml:space="preserve"> paid close attention to the kinds of work it was to be an alternate too.</w:t>
      </w:r>
      <w:r w:rsidR="00237470">
        <w:t xml:space="preserve"> Missing that can have consequences</w:t>
      </w:r>
      <w:r>
        <w:t>;</w:t>
      </w:r>
      <w:r w:rsidR="002B52A6">
        <w:t xml:space="preserve"> </w:t>
      </w:r>
      <w:r>
        <w:t>c</w:t>
      </w:r>
      <w:r w:rsidR="00237470">
        <w:t>ultivated naivety is one thing, genuine naivety</w:t>
      </w:r>
      <w:r>
        <w:t xml:space="preserve"> quite</w:t>
      </w:r>
      <w:r w:rsidR="00237470">
        <w:t xml:space="preserve"> another</w:t>
      </w:r>
      <w:r>
        <w:t xml:space="preserve">. One area in particular where </w:t>
      </w:r>
      <w:r w:rsidR="00123E24">
        <w:t xml:space="preserve">those </w:t>
      </w:r>
      <w:r w:rsidR="005330FE">
        <w:t>consequences</w:t>
      </w:r>
      <w:r w:rsidR="00123E24">
        <w:t xml:space="preserve"> </w:t>
      </w:r>
      <w:r w:rsidR="005330FE">
        <w:t>can be</w:t>
      </w:r>
      <w:r w:rsidR="00123E24">
        <w:t xml:space="preserve"> particularly pronounced </w:t>
      </w:r>
      <w:r w:rsidR="008B5A72">
        <w:t xml:space="preserve">connects to </w:t>
      </w:r>
      <w:r w:rsidR="00123E24">
        <w:t xml:space="preserve">the </w:t>
      </w:r>
      <w:r w:rsidR="00B72E33">
        <w:t xml:space="preserve">classical sociological problem </w:t>
      </w:r>
      <w:r w:rsidR="00B43EBC">
        <w:t>concerning</w:t>
      </w:r>
      <w:r w:rsidR="00B72E33">
        <w:t xml:space="preserve"> the relationship</w:t>
      </w:r>
      <w:r w:rsidR="00123E24">
        <w:t xml:space="preserve"> between action, meaning and understanding. </w:t>
      </w:r>
      <w:r>
        <w:t xml:space="preserve"> </w:t>
      </w:r>
    </w:p>
    <w:p w14:paraId="09A7CFC8" w14:textId="0B22416B" w:rsidR="00372F3D" w:rsidRDefault="00372F3D" w:rsidP="007052A7">
      <w:pPr>
        <w:jc w:val="both"/>
      </w:pPr>
    </w:p>
    <w:p w14:paraId="3C344B1C" w14:textId="60A9D1BF" w:rsidR="00F922CE" w:rsidRDefault="00123E24" w:rsidP="007052A7">
      <w:pPr>
        <w:jc w:val="both"/>
      </w:pPr>
      <w:r>
        <w:t>As Wittgenstein</w:t>
      </w:r>
      <w:r w:rsidR="00C17F39">
        <w:t xml:space="preserve"> (whose work Sacks admired) once noted</w:t>
      </w:r>
      <w:r>
        <w:t xml:space="preserve">, the </w:t>
      </w:r>
      <w:r w:rsidRPr="00123E24">
        <w:t>“</w:t>
      </w:r>
      <w:r w:rsidRPr="00EE2953">
        <w:rPr>
          <w:i/>
        </w:rPr>
        <w:t>general</w:t>
      </w:r>
      <w:r w:rsidRPr="00123E24">
        <w:t xml:space="preserve"> notion of … meaning … </w:t>
      </w:r>
      <w:r>
        <w:t xml:space="preserve">[is] </w:t>
      </w:r>
      <w:r w:rsidRPr="00123E24">
        <w:t>a haze which makes clear vision impossible</w:t>
      </w:r>
      <w:r>
        <w:t>” (1953: §5</w:t>
      </w:r>
      <w:r w:rsidR="00EE2953">
        <w:t>, emphasis added</w:t>
      </w:r>
      <w:r>
        <w:t>)</w:t>
      </w:r>
      <w:r w:rsidR="00507CF5">
        <w:t xml:space="preserve"> and,</w:t>
      </w:r>
      <w:r w:rsidR="00034D01">
        <w:t xml:space="preserve"> </w:t>
      </w:r>
      <w:r w:rsidR="00507CF5">
        <w:t>f</w:t>
      </w:r>
      <w:r>
        <w:t>rom the</w:t>
      </w:r>
      <w:r w:rsidR="008B5A72">
        <w:t>ir</w:t>
      </w:r>
      <w:r>
        <w:t xml:space="preserve"> discipline’s inception, sociologists</w:t>
      </w:r>
      <w:r w:rsidR="00F21D65">
        <w:t xml:space="preserve"> have</w:t>
      </w:r>
      <w:r>
        <w:t xml:space="preserve"> found themselves</w:t>
      </w:r>
      <w:r w:rsidR="00034D01">
        <w:t xml:space="preserve"> </w:t>
      </w:r>
      <w:r>
        <w:t xml:space="preserve">lost </w:t>
      </w:r>
      <w:r w:rsidR="00034D01">
        <w:t xml:space="preserve">in </w:t>
      </w:r>
      <w:r w:rsidR="009249F6">
        <w:t xml:space="preserve">the conceptual </w:t>
      </w:r>
      <w:r w:rsidR="00034D01">
        <w:t>“fog”</w:t>
      </w:r>
      <w:r w:rsidR="009249F6">
        <w:t xml:space="preserve"> surrounding </w:t>
      </w:r>
      <w:r w:rsidR="00C17F39">
        <w:t>it</w:t>
      </w:r>
      <w:r w:rsidR="00034D01">
        <w:t>. Although committed to the study of social life, sociologists</w:t>
      </w:r>
      <w:r w:rsidR="00EE2953">
        <w:t xml:space="preserve"> have</w:t>
      </w:r>
      <w:r w:rsidR="00034D01">
        <w:t xml:space="preserve"> had great trouble specifying what would constitute an adequate account of what people </w:t>
      </w:r>
      <w:r w:rsidR="00F21D65">
        <w:t>do</w:t>
      </w:r>
      <w:r w:rsidR="00034D01">
        <w:t xml:space="preserve"> and </w:t>
      </w:r>
      <w:r w:rsidR="00F21D65">
        <w:t>do</w:t>
      </w:r>
      <w:r w:rsidR="00034D01">
        <w:t xml:space="preserve"> routinely. The typical solution </w:t>
      </w:r>
      <w:r w:rsidR="00EE2953">
        <w:t>has been</w:t>
      </w:r>
      <w:r w:rsidR="00034D01">
        <w:t xml:space="preserve"> to devise external criteria by which the sociologist could independently arrive at a</w:t>
      </w:r>
      <w:r w:rsidR="009E21B6">
        <w:t xml:space="preserve"> </w:t>
      </w:r>
      <w:r w:rsidR="00034D01">
        <w:t>determination of the meaning</w:t>
      </w:r>
      <w:r w:rsidR="009249F6">
        <w:t>ful character</w:t>
      </w:r>
      <w:r w:rsidR="00034D01">
        <w:t xml:space="preserve"> of social action</w:t>
      </w:r>
      <w:r w:rsidR="00EC06D7">
        <w:t xml:space="preserve"> but it is a solution which creates its own problems</w:t>
      </w:r>
      <w:r w:rsidR="00034D01">
        <w:t>. Even Max Weber’s attempt</w:t>
      </w:r>
      <w:r w:rsidR="00BC6949">
        <w:t xml:space="preserve"> (e.g., 1962)</w:t>
      </w:r>
      <w:r w:rsidR="00034D01">
        <w:t xml:space="preserve"> to </w:t>
      </w:r>
      <w:r w:rsidR="009E21B6">
        <w:t>found</w:t>
      </w:r>
      <w:r w:rsidR="00034D01">
        <w:t xml:space="preserve"> an interpretive sociology that would overcome these problems</w:t>
      </w:r>
      <w:r w:rsidR="009E21B6">
        <w:t xml:space="preserve"> ended up</w:t>
      </w:r>
      <w:r w:rsidR="00034D01">
        <w:t xml:space="preserve"> </w:t>
      </w:r>
      <w:r w:rsidR="009E21B6">
        <w:t xml:space="preserve">following </w:t>
      </w:r>
      <w:r w:rsidR="00034D01">
        <w:t>the same unstable twin-track</w:t>
      </w:r>
      <w:r w:rsidR="00EE2953">
        <w:t xml:space="preserve"> others had </w:t>
      </w:r>
      <w:r w:rsidR="00B72E33">
        <w:t>laid before him</w:t>
      </w:r>
      <w:r w:rsidR="00034D01">
        <w:t>, separating out action and meaning</w:t>
      </w:r>
      <w:r w:rsidR="009E21B6">
        <w:t xml:space="preserve"> by treating their relations as an observer’s problem</w:t>
      </w:r>
      <w:r w:rsidR="00EE2953">
        <w:t xml:space="preserve">, i.e. as something to be </w:t>
      </w:r>
      <w:r w:rsidR="00B72E33">
        <w:t>decided</w:t>
      </w:r>
      <w:r w:rsidR="00EE2953">
        <w:t xml:space="preserve"> outside the social activities under examination</w:t>
      </w:r>
      <w:r w:rsidR="00507CF5">
        <w:t xml:space="preserve"> and resolved through analytical means</w:t>
      </w:r>
      <w:r w:rsidR="00F21D65">
        <w:t xml:space="preserve"> (Sacks 1963</w:t>
      </w:r>
      <w:r w:rsidR="008B4B46">
        <w:t>; 1999</w:t>
      </w:r>
      <w:r w:rsidR="00F21D65">
        <w:t>)</w:t>
      </w:r>
      <w:r w:rsidR="009E21B6">
        <w:t xml:space="preserve">. Sociology </w:t>
      </w:r>
      <w:r w:rsidR="00A36C28">
        <w:t>has</w:t>
      </w:r>
      <w:r w:rsidR="006E1FEB">
        <w:t xml:space="preserve"> thus</w:t>
      </w:r>
      <w:r w:rsidR="00A36C28">
        <w:t xml:space="preserve"> been caught</w:t>
      </w:r>
      <w:r w:rsidR="009E21B6">
        <w:t xml:space="preserve"> in the grip of the </w:t>
      </w:r>
      <w:r w:rsidR="00A36C28">
        <w:t>view</w:t>
      </w:r>
      <w:r w:rsidR="009E21B6">
        <w:t xml:space="preserve"> that unless </w:t>
      </w:r>
      <w:r w:rsidR="00C17F39" w:rsidRPr="00C17F39">
        <w:t>the</w:t>
      </w:r>
      <w:r w:rsidR="00C17F39">
        <w:t xml:space="preserve"> discipline’s investigators</w:t>
      </w:r>
      <w:r w:rsidR="009E21B6">
        <w:t xml:space="preserve"> </w:t>
      </w:r>
      <w:r w:rsidR="00F21D65">
        <w:lastRenderedPageBreak/>
        <w:t>secured</w:t>
      </w:r>
      <w:r w:rsidR="009E21B6">
        <w:t xml:space="preserve"> meaning, meaning couldn’t be secured. Despairing at the difficulties associated with th</w:t>
      </w:r>
      <w:r w:rsidR="0084333A">
        <w:t>at</w:t>
      </w:r>
      <w:r w:rsidR="009E21B6">
        <w:t xml:space="preserve"> task, many social scientists simply sought to do</w:t>
      </w:r>
      <w:r w:rsidR="009249F6">
        <w:t xml:space="preserve"> </w:t>
      </w:r>
      <w:r w:rsidR="009E21B6">
        <w:t>with</w:t>
      </w:r>
      <w:r w:rsidR="009249F6">
        <w:t>out</w:t>
      </w:r>
      <w:r w:rsidR="009E21B6">
        <w:t xml:space="preserve"> meaning altogether, offering instead various reductive schemes in which action would be accounted for in</w:t>
      </w:r>
      <w:r w:rsidR="00EC06D7">
        <w:t xml:space="preserve"> more ‘basic’</w:t>
      </w:r>
      <w:r w:rsidR="009E21B6">
        <w:t xml:space="preserve"> terms. The 20</w:t>
      </w:r>
      <w:r w:rsidR="009E21B6" w:rsidRPr="009E21B6">
        <w:rPr>
          <w:vertAlign w:val="superscript"/>
        </w:rPr>
        <w:t>th</w:t>
      </w:r>
      <w:r w:rsidR="009E21B6">
        <w:t xml:space="preserve"> C thus saw a raft of reductionist projects</w:t>
      </w:r>
      <w:r w:rsidR="00180146">
        <w:t xml:space="preserve"> that aimed to </w:t>
      </w:r>
      <w:r w:rsidR="00EC06D7">
        <w:t>achieve that goal</w:t>
      </w:r>
      <w:r w:rsidR="00817D48">
        <w:t xml:space="preserve">, </w:t>
      </w:r>
      <w:r w:rsidR="009E21B6">
        <w:t>but with no more success</w:t>
      </w:r>
      <w:r w:rsidR="00180146">
        <w:t xml:space="preserve"> that than their </w:t>
      </w:r>
      <w:r w:rsidR="00C16450">
        <w:t>‘</w:t>
      </w:r>
      <w:r w:rsidR="00180146">
        <w:t>integrationist</w:t>
      </w:r>
      <w:r w:rsidR="00C16450">
        <w:t>’</w:t>
      </w:r>
      <w:r w:rsidR="00180146">
        <w:t xml:space="preserve"> precursors</w:t>
      </w:r>
      <w:r w:rsidR="009E21B6">
        <w:t>. In seeking to do away with the meaningful bases of our ordinary practices</w:t>
      </w:r>
      <w:r w:rsidR="00EC06D7">
        <w:t xml:space="preserve"> in favour of something putatively more elementary</w:t>
      </w:r>
      <w:r w:rsidR="009E21B6">
        <w:t>, these projects effectively did away</w:t>
      </w:r>
      <w:r w:rsidR="00F21D65">
        <w:t xml:space="preserve"> with </w:t>
      </w:r>
      <w:r w:rsidR="00B72E33">
        <w:t>the sense of</w:t>
      </w:r>
      <w:r w:rsidR="009E21B6">
        <w:t xml:space="preserve"> </w:t>
      </w:r>
      <w:r w:rsidR="008B5A72">
        <w:t>those</w:t>
      </w:r>
      <w:r w:rsidR="009E21B6">
        <w:t xml:space="preserve"> practices</w:t>
      </w:r>
      <w:r w:rsidR="00EC06D7">
        <w:t xml:space="preserve">, </w:t>
      </w:r>
      <w:r w:rsidR="00C17F39">
        <w:t>making</w:t>
      </w:r>
      <w:r w:rsidR="00EC06D7">
        <w:t xml:space="preserve"> them</w:t>
      </w:r>
      <w:r w:rsidR="00C17F39">
        <w:t xml:space="preserve"> systematically</w:t>
      </w:r>
      <w:r w:rsidR="00EC06D7">
        <w:t xml:space="preserve"> </w:t>
      </w:r>
      <w:r w:rsidR="00EC06D7" w:rsidRPr="00EC06D7">
        <w:rPr>
          <w:i/>
        </w:rPr>
        <w:t>un</w:t>
      </w:r>
      <w:r w:rsidR="00EC06D7">
        <w:t>recognisable</w:t>
      </w:r>
      <w:r w:rsidR="00EE2953">
        <w:t>.</w:t>
      </w:r>
      <w:r w:rsidR="009E21B6">
        <w:t xml:space="preserve"> </w:t>
      </w:r>
      <w:r w:rsidR="00EE2953">
        <w:t>T</w:t>
      </w:r>
      <w:r w:rsidR="009E21B6">
        <w:t>hey had not been accounted for</w:t>
      </w:r>
      <w:r w:rsidR="00EC06D7">
        <w:t>,</w:t>
      </w:r>
      <w:r w:rsidR="009E21B6">
        <w:t xml:space="preserve"> they had</w:t>
      </w:r>
      <w:r w:rsidR="00F21D65">
        <w:t xml:space="preserve"> simply</w:t>
      </w:r>
      <w:r w:rsidR="009E21B6">
        <w:t xml:space="preserve"> </w:t>
      </w:r>
      <w:r w:rsidR="00F21D65">
        <w:t xml:space="preserve">been </w:t>
      </w:r>
      <w:r w:rsidR="00D248FD">
        <w:t>blocked out of</w:t>
      </w:r>
      <w:r w:rsidR="009E21B6">
        <w:t xml:space="preserve"> analytical view</w:t>
      </w:r>
      <w:r w:rsidR="00EE2953">
        <w:t>;</w:t>
      </w:r>
      <w:r w:rsidR="00361AAB">
        <w:t xml:space="preserve"> and</w:t>
      </w:r>
      <w:r w:rsidR="00EE2953">
        <w:t xml:space="preserve"> pretending </w:t>
      </w:r>
      <w:r w:rsidR="00361AAB">
        <w:t xml:space="preserve">something is not there </w:t>
      </w:r>
      <w:r w:rsidR="00EE2953">
        <w:t>has never</w:t>
      </w:r>
      <w:r w:rsidR="00361AAB">
        <w:t xml:space="preserve"> </w:t>
      </w:r>
      <w:r w:rsidR="00EE2953">
        <w:t xml:space="preserve">been </w:t>
      </w:r>
      <w:r w:rsidR="00361AAB">
        <w:t xml:space="preserve">a particularly satisfactory </w:t>
      </w:r>
      <w:r w:rsidR="00E40CB5">
        <w:t>way of dealing with it</w:t>
      </w:r>
      <w:r w:rsidR="00EE2953">
        <w:t xml:space="preserve">, </w:t>
      </w:r>
      <w:r w:rsidR="005247A9">
        <w:t>whether among</w:t>
      </w:r>
      <w:r w:rsidR="00EE2953">
        <w:t xml:space="preserve"> ostriches or sociologists</w:t>
      </w:r>
      <w:r w:rsidR="009E21B6">
        <w:t xml:space="preserve">. </w:t>
      </w:r>
    </w:p>
    <w:p w14:paraId="684A5F52" w14:textId="0837CB1F" w:rsidR="00361AAB" w:rsidRDefault="00361AAB" w:rsidP="007052A7">
      <w:pPr>
        <w:jc w:val="both"/>
      </w:pPr>
    </w:p>
    <w:p w14:paraId="7AAE04C5" w14:textId="5C3A7E9D" w:rsidR="006A5DE5" w:rsidRDefault="00361AAB" w:rsidP="007052A7">
      <w:pPr>
        <w:jc w:val="both"/>
      </w:pPr>
      <w:r>
        <w:t>As Sacks saw clearly, it is the</w:t>
      </w:r>
      <w:r w:rsidR="00534742">
        <w:t>ir</w:t>
      </w:r>
      <w:r>
        <w:t xml:space="preserve"> starting point which generates </w:t>
      </w:r>
      <w:r w:rsidR="00EE2953">
        <w:t>the</w:t>
      </w:r>
      <w:r>
        <w:t xml:space="preserve"> intractable analytical problems </w:t>
      </w:r>
      <w:r w:rsidR="00FF575A">
        <w:t>as well as</w:t>
      </w:r>
      <w:r w:rsidR="00EE2953">
        <w:t xml:space="preserve"> the need for</w:t>
      </w:r>
      <w:r>
        <w:t xml:space="preserve"> increasingly extreme </w:t>
      </w:r>
      <w:r w:rsidR="00EE2953">
        <w:t>measures</w:t>
      </w:r>
      <w:r>
        <w:t xml:space="preserve"> to ‘resolve’ them. Once we have accepted there is something called ‘action’ and something else called ‘meaning’ which somehow stands separately from it or is layered on top it</w:t>
      </w:r>
      <w:r w:rsidR="006E1FEB">
        <w:t xml:space="preserve"> and</w:t>
      </w:r>
      <w:r w:rsidR="00B72E33">
        <w:t xml:space="preserve"> </w:t>
      </w:r>
      <w:r w:rsidR="00A36C28">
        <w:t>where</w:t>
      </w:r>
      <w:r w:rsidR="00B72E33">
        <w:t xml:space="preserve"> </w:t>
      </w:r>
      <w:r w:rsidR="00180146">
        <w:t xml:space="preserve">an </w:t>
      </w:r>
      <w:r w:rsidR="00C16450">
        <w:t>analytical</w:t>
      </w:r>
      <w:r w:rsidR="00B72E33">
        <w:t xml:space="preserve"> reconciliation</w:t>
      </w:r>
      <w:r w:rsidR="00A36C28">
        <w:t xml:space="preserve"> is required if the two are</w:t>
      </w:r>
      <w:r w:rsidR="00B72E33">
        <w:t xml:space="preserve"> to be brought back together again</w:t>
      </w:r>
      <w:r>
        <w:t xml:space="preserve">, we are already lost. It is not that people do things and then find meaning in them, as part of </w:t>
      </w:r>
      <w:r w:rsidR="00EE2953">
        <w:t>a</w:t>
      </w:r>
      <w:r>
        <w:t xml:space="preserve"> separate process</w:t>
      </w:r>
      <w:r w:rsidR="00534742">
        <w:t>.</w:t>
      </w:r>
      <w:r>
        <w:t xml:space="preserve"> </w:t>
      </w:r>
      <w:r w:rsidR="00534742">
        <w:t>I</w:t>
      </w:r>
      <w:r>
        <w:t>t is</w:t>
      </w:r>
      <w:r w:rsidR="00534742">
        <w:t xml:space="preserve"> instead</w:t>
      </w:r>
      <w:r>
        <w:t xml:space="preserve"> that action is something which is done </w:t>
      </w:r>
      <w:r w:rsidR="00FF575A">
        <w:t>recognisably</w:t>
      </w:r>
      <w:r>
        <w:t xml:space="preserve"> and that in ordinary</w:t>
      </w:r>
      <w:r w:rsidR="00FF575A">
        <w:t>,</w:t>
      </w:r>
      <w:r>
        <w:t xml:space="preserve"> routine</w:t>
      </w:r>
      <w:r w:rsidR="00FF575A">
        <w:t xml:space="preserve"> and unproblematic</w:t>
      </w:r>
      <w:r>
        <w:t xml:space="preserve"> ways</w:t>
      </w:r>
      <w:r w:rsidR="005247A9">
        <w:t xml:space="preserve"> – something Sacks reminds us of time and again in his work</w:t>
      </w:r>
      <w:r>
        <w:t xml:space="preserve">. That is, we do not see some doing and then work out what it </w:t>
      </w:r>
      <w:r w:rsidR="006E1FEB">
        <w:t>is</w:t>
      </w:r>
      <w:r>
        <w:t xml:space="preserve"> that ha</w:t>
      </w:r>
      <w:r w:rsidR="006E1FEB">
        <w:t>s</w:t>
      </w:r>
      <w:r>
        <w:t xml:space="preserve"> been done</w:t>
      </w:r>
      <w:r w:rsidR="00FF575A">
        <w:t xml:space="preserve"> as if that were an addition to the action</w:t>
      </w:r>
      <w:r w:rsidR="004A2067">
        <w:rPr>
          <w:rStyle w:val="FootnoteReference"/>
        </w:rPr>
        <w:footnoteReference w:id="1"/>
      </w:r>
      <w:r w:rsidR="00D66214">
        <w:t>. Instead,</w:t>
      </w:r>
      <w:r>
        <w:t xml:space="preserve"> we see what was done in </w:t>
      </w:r>
      <w:r w:rsidR="00FF575A">
        <w:t>its</w:t>
      </w:r>
      <w:r>
        <w:t xml:space="preserve"> doing</w:t>
      </w:r>
      <w:r w:rsidR="005247A9">
        <w:t>;</w:t>
      </w:r>
      <w:r w:rsidR="00FF575A">
        <w:t xml:space="preserve"> action</w:t>
      </w:r>
      <w:r w:rsidR="006E1FEB">
        <w:t xml:space="preserve"> and</w:t>
      </w:r>
      <w:r w:rsidR="00FF575A">
        <w:t xml:space="preserve"> meaning</w:t>
      </w:r>
      <w:r w:rsidR="006E1FEB">
        <w:t xml:space="preserve"> </w:t>
      </w:r>
      <w:r w:rsidR="00FF575A">
        <w:t xml:space="preserve">are, as we might say, “internally related” (Read, Hutchinson </w:t>
      </w:r>
      <w:r w:rsidR="003568F1">
        <w:t>&amp;</w:t>
      </w:r>
      <w:r w:rsidR="00FF575A">
        <w:t xml:space="preserve"> Sharrock</w:t>
      </w:r>
      <w:r w:rsidR="003568F1">
        <w:t xml:space="preserve"> 2009</w:t>
      </w:r>
      <w:r w:rsidR="00FF575A">
        <w:t>: 96)</w:t>
      </w:r>
      <w:r>
        <w:t xml:space="preserve">. Moreover, and this was Sacks’ central </w:t>
      </w:r>
      <w:r w:rsidR="00FF575A">
        <w:t>insight</w:t>
      </w:r>
      <w:r>
        <w:t xml:space="preserve"> and one he developed in </w:t>
      </w:r>
      <w:r w:rsidR="00C17F39">
        <w:t>conjunction</w:t>
      </w:r>
      <w:r>
        <w:t xml:space="preserve"> with Harold Garfinkel, </w:t>
      </w:r>
      <w:r w:rsidR="00FF575A">
        <w:t>‘understanding</w:t>
      </w:r>
      <w:r w:rsidR="006E1FEB">
        <w:t xml:space="preserve"> that relation</w:t>
      </w:r>
      <w:r w:rsidR="00534742">
        <w:t>’</w:t>
      </w:r>
      <w:r>
        <w:t xml:space="preserve"> isn’t and could not be the analyst</w:t>
      </w:r>
      <w:r w:rsidR="00DC4F4B">
        <w:t>’</w:t>
      </w:r>
      <w:r>
        <w:t>s problem</w:t>
      </w:r>
      <w:r w:rsidR="00FF575A">
        <w:t xml:space="preserve"> in any primary sense</w:t>
      </w:r>
      <w:r>
        <w:t>. Insofar as it is a problem</w:t>
      </w:r>
      <w:r w:rsidR="00FF575A">
        <w:t xml:space="preserve"> </w:t>
      </w:r>
      <w:r w:rsidR="00453928">
        <w:t>(</w:t>
      </w:r>
      <w:r w:rsidR="00FF575A">
        <w:t>and it generally isn’t as Wittgenstein reminds us</w:t>
      </w:r>
      <w:r w:rsidR="00453928">
        <w:t>)</w:t>
      </w:r>
      <w:r>
        <w:t>, it is one which is encountered and dealt with by members of society</w:t>
      </w:r>
      <w:r w:rsidR="00A36C28">
        <w:t xml:space="preserve"> on specific occasions</w:t>
      </w:r>
      <w:r>
        <w:t xml:space="preserve"> in the course of their</w:t>
      </w:r>
      <w:r w:rsidR="006E1FEB">
        <w:t xml:space="preserve"> ongoing</w:t>
      </w:r>
      <w:r w:rsidR="00DC4F4B">
        <w:t xml:space="preserve"> </w:t>
      </w:r>
      <w:r>
        <w:t>dealings with one another.</w:t>
      </w:r>
      <w:r w:rsidR="00EC06D7">
        <w:t xml:space="preserve"> It is a practical matter </w:t>
      </w:r>
      <w:r w:rsidR="00D65536">
        <w:t>not a theoretical one</w:t>
      </w:r>
      <w:r w:rsidR="00EC06D7">
        <w:t>.</w:t>
      </w:r>
      <w:r>
        <w:t xml:space="preserve"> </w:t>
      </w:r>
      <w:r w:rsidR="00FF575A">
        <w:t>In starting with the</w:t>
      </w:r>
      <w:r w:rsidR="005247A9">
        <w:t xml:space="preserve"> ordinary</w:t>
      </w:r>
      <w:r w:rsidR="00FF575A">
        <w:t xml:space="preserve"> recognisability of social action in its contexts,</w:t>
      </w:r>
      <w:r w:rsidR="006E1FEB">
        <w:t xml:space="preserve"> taking action and</w:t>
      </w:r>
      <w:r w:rsidR="00EC06D7">
        <w:t xml:space="preserve"> its displayed</w:t>
      </w:r>
      <w:r w:rsidR="006E1FEB">
        <w:t xml:space="preserve"> meaning together,</w:t>
      </w:r>
      <w:r w:rsidR="00FF575A">
        <w:t xml:space="preserve"> Sacks short-circuits the analytical problems that</w:t>
      </w:r>
      <w:r w:rsidR="005247A9">
        <w:t xml:space="preserve"> ha</w:t>
      </w:r>
      <w:r w:rsidR="00B26474">
        <w:t>ve</w:t>
      </w:r>
      <w:r w:rsidR="00FF575A">
        <w:t xml:space="preserve"> continued to waylay conventional social science</w:t>
      </w:r>
      <w:r w:rsidR="006A5DE5">
        <w:t>:</w:t>
      </w:r>
      <w:r w:rsidR="00FF575A">
        <w:t xml:space="preserve"> </w:t>
      </w:r>
      <w:r w:rsidR="006A5DE5">
        <w:t>we cannot advance down the twin-track</w:t>
      </w:r>
      <w:r w:rsidR="00453928">
        <w:t xml:space="preserve"> when we begin</w:t>
      </w:r>
      <w:r w:rsidR="006A5DE5">
        <w:t xml:space="preserve"> </w:t>
      </w:r>
      <w:r w:rsidR="00EC06D7">
        <w:t>where Sacks begins</w:t>
      </w:r>
      <w:r w:rsidR="006A5DE5">
        <w:t>.</w:t>
      </w:r>
    </w:p>
    <w:p w14:paraId="0FDEB887" w14:textId="77777777" w:rsidR="006A5DE5" w:rsidRDefault="006A5DE5" w:rsidP="007052A7">
      <w:pPr>
        <w:jc w:val="both"/>
      </w:pPr>
    </w:p>
    <w:p w14:paraId="5F78212D" w14:textId="31021DF3" w:rsidR="00361AAB" w:rsidRDefault="006A5DE5" w:rsidP="007052A7">
      <w:pPr>
        <w:jc w:val="both"/>
      </w:pPr>
      <w:r>
        <w:t xml:space="preserve">Unfortunately, the picture of action and meaning as separate retains its </w:t>
      </w:r>
      <w:r w:rsidR="00534742">
        <w:t>grip</w:t>
      </w:r>
      <w:r>
        <w:t xml:space="preserve"> on the sociological imagination</w:t>
      </w:r>
      <w:r w:rsidR="003950D7">
        <w:t>. In setting out to undertake a</w:t>
      </w:r>
      <w:r w:rsidR="00A36C28">
        <w:t>n</w:t>
      </w:r>
      <w:r w:rsidR="003950D7">
        <w:t xml:space="preserve"> </w:t>
      </w:r>
      <w:r w:rsidR="00A36C28">
        <w:t>“</w:t>
      </w:r>
      <w:r w:rsidR="003950D7">
        <w:t>observational study</w:t>
      </w:r>
      <w:r w:rsidR="00A36C28">
        <w:t>”</w:t>
      </w:r>
      <w:r w:rsidR="003950D7">
        <w:t>,</w:t>
      </w:r>
      <w:r>
        <w:t xml:space="preserve"> it is all too easy to imagine the best way to </w:t>
      </w:r>
      <w:r w:rsidR="003950D7">
        <w:t>develop at an understanding of</w:t>
      </w:r>
      <w:r>
        <w:t xml:space="preserve"> </w:t>
      </w:r>
      <w:r w:rsidR="00453928">
        <w:t>what is going on</w:t>
      </w:r>
      <w:r w:rsidR="003950D7">
        <w:t xml:space="preserve"> in any social scene</w:t>
      </w:r>
      <w:r w:rsidR="00453928">
        <w:t xml:space="preserve"> </w:t>
      </w:r>
      <w:r>
        <w:t xml:space="preserve">is first to watch the doings and then arrive at an account of what </w:t>
      </w:r>
      <w:r w:rsidR="003950D7">
        <w:t>has been</w:t>
      </w:r>
      <w:r>
        <w:t xml:space="preserve"> done – but then, to repeat what we said above, we </w:t>
      </w:r>
      <w:r w:rsidR="00C17F39">
        <w:t>have simply reinstated the same insoluble problem</w:t>
      </w:r>
      <w:r>
        <w:t xml:space="preserve">. </w:t>
      </w:r>
      <w:r w:rsidR="00CA6E1E">
        <w:t>A</w:t>
      </w:r>
      <w:r>
        <w:t>s Sacks notes,</w:t>
      </w:r>
      <w:r w:rsidR="00CA6E1E">
        <w:t xml:space="preserve"> that</w:t>
      </w:r>
      <w:r>
        <w:t xml:space="preserve"> is precisely </w:t>
      </w:r>
      <w:r w:rsidRPr="00453928">
        <w:rPr>
          <w:i/>
        </w:rPr>
        <w:t>not</w:t>
      </w:r>
      <w:r>
        <w:t xml:space="preserve"> how members of the society</w:t>
      </w:r>
      <w:r w:rsidR="00453928">
        <w:t xml:space="preserve"> </w:t>
      </w:r>
      <w:r w:rsidR="00E27079">
        <w:t>either</w:t>
      </w:r>
      <w:r w:rsidR="00453928">
        <w:t xml:space="preserve"> act </w:t>
      </w:r>
      <w:r w:rsidR="00E27079">
        <w:t>or</w:t>
      </w:r>
      <w:r>
        <w:t xml:space="preserve"> </w:t>
      </w:r>
      <w:r w:rsidR="00453928">
        <w:t>recognise actions in the doing.</w:t>
      </w:r>
      <w:r w:rsidR="00E27079">
        <w:t xml:space="preserve"> </w:t>
      </w:r>
      <w:r w:rsidR="00CA6E1E">
        <w:t xml:space="preserve">Yet the misconception </w:t>
      </w:r>
      <w:r w:rsidR="00D063B6">
        <w:t>persists</w:t>
      </w:r>
      <w:r w:rsidR="00CA6E1E">
        <w:t xml:space="preserve">, often in research which invokes Sacks as a precursor. </w:t>
      </w:r>
      <w:r w:rsidR="00D063B6">
        <w:t>We therefore want to show</w:t>
      </w:r>
      <w:r w:rsidR="00534742">
        <w:t xml:space="preserve"> next</w:t>
      </w:r>
      <w:r w:rsidR="00D063B6">
        <w:t xml:space="preserve"> how a return to Sacks can help dispel </w:t>
      </w:r>
      <w:r w:rsidR="00534742">
        <w:t>that misconception</w:t>
      </w:r>
      <w:r w:rsidR="00D063B6">
        <w:t>.</w:t>
      </w:r>
      <w:r w:rsidR="00CA6E1E">
        <w:t xml:space="preserve"> </w:t>
      </w:r>
    </w:p>
    <w:p w14:paraId="4F09D187" w14:textId="071677CB" w:rsidR="00F922CE" w:rsidRDefault="00F922CE" w:rsidP="007052A7">
      <w:pPr>
        <w:jc w:val="both"/>
      </w:pPr>
    </w:p>
    <w:p w14:paraId="536AC286" w14:textId="77777777" w:rsidR="0031679A" w:rsidRPr="007A6CBF" w:rsidRDefault="0031679A" w:rsidP="0031679A">
      <w:pPr>
        <w:jc w:val="both"/>
        <w:rPr>
          <w:b/>
        </w:rPr>
      </w:pPr>
      <w:r>
        <w:rPr>
          <w:b/>
        </w:rPr>
        <w:t>N</w:t>
      </w:r>
      <w:r w:rsidRPr="007A6CBF">
        <w:rPr>
          <w:b/>
        </w:rPr>
        <w:t>atural observational</w:t>
      </w:r>
      <w:r>
        <w:rPr>
          <w:b/>
        </w:rPr>
        <w:t xml:space="preserve"> studies</w:t>
      </w:r>
    </w:p>
    <w:p w14:paraId="02E9839D" w14:textId="2D19196F" w:rsidR="0031679A" w:rsidRDefault="0031679A" w:rsidP="007052A7">
      <w:pPr>
        <w:jc w:val="both"/>
      </w:pPr>
    </w:p>
    <w:p w14:paraId="3AA02CF1" w14:textId="7D7409F9" w:rsidR="007E3FDF" w:rsidRDefault="00F569DA" w:rsidP="00D81F79">
      <w:pPr>
        <w:jc w:val="both"/>
      </w:pPr>
      <w:r>
        <w:t>‘</w:t>
      </w:r>
      <w:r w:rsidR="00C17B93">
        <w:t>N</w:t>
      </w:r>
      <w:r>
        <w:t xml:space="preserve">atural observational studies’ as conceived and practiced by </w:t>
      </w:r>
      <w:r w:rsidR="00C17B93">
        <w:t>Sacks have a particular character</w:t>
      </w:r>
      <w:r>
        <w:t>.</w:t>
      </w:r>
      <w:r w:rsidR="00D81F79">
        <w:t xml:space="preserve"> Some elements of what Sacks was proposing and doing</w:t>
      </w:r>
      <w:r w:rsidR="007E3FDF">
        <w:t xml:space="preserve"> can</w:t>
      </w:r>
      <w:r w:rsidR="00D81F79">
        <w:t xml:space="preserve"> seem relatively transparent. For example, according to Sacks, </w:t>
      </w:r>
      <w:r w:rsidR="00D81F79" w:rsidRPr="00D81F79">
        <w:t>“</w:t>
      </w:r>
      <w:r w:rsidR="00D81F79">
        <w:t>w</w:t>
      </w:r>
      <w:r w:rsidR="00D81F79" w:rsidRPr="00D81F79">
        <w:t xml:space="preserve">hat we want to watch for is the kind of components that complex activities have, and the ways that sets of complex activities can be put together” </w:t>
      </w:r>
      <w:r w:rsidR="00D81F79">
        <w:t xml:space="preserve">(1992: </w:t>
      </w:r>
      <w:r w:rsidR="00D81F79">
        <w:lastRenderedPageBreak/>
        <w:t xml:space="preserve">V1 </w:t>
      </w:r>
      <w:r w:rsidR="00D81F79" w:rsidRPr="00D81F79">
        <w:t>425</w:t>
      </w:r>
      <w:r w:rsidR="00D81F79">
        <w:t>). Proceeding in this way, “</w:t>
      </w:r>
      <w:r w:rsidR="00D81F79" w:rsidRPr="002E54E8">
        <w:t>it may be that we can come up</w:t>
      </w:r>
      <w:r w:rsidR="00D81F79">
        <w:t xml:space="preserve"> </w:t>
      </w:r>
      <w:r w:rsidR="00D81F79" w:rsidRPr="002E54E8">
        <w:t>with findings of some considerable generality by looking at very singular,</w:t>
      </w:r>
      <w:r w:rsidR="00D81F79">
        <w:t xml:space="preserve"> </w:t>
      </w:r>
      <w:r w:rsidR="00D81F79" w:rsidRPr="002E54E8">
        <w:t>particular things. By asking what it takes for those things to have come off</w:t>
      </w:r>
      <w:r w:rsidR="00D81F79">
        <w:t xml:space="preserve">” (1992: V1 298). The question is, however, what things? How are they to be identified? </w:t>
      </w:r>
      <w:r w:rsidR="006255FA">
        <w:t>This is important because it can sometimes appear as if Sacks is advocating a sociologically inflected version of</w:t>
      </w:r>
      <w:r w:rsidR="002B20D2">
        <w:t xml:space="preserve"> something like</w:t>
      </w:r>
      <w:r w:rsidR="006255FA">
        <w:t xml:space="preserve"> the work of </w:t>
      </w:r>
      <w:r w:rsidR="00793580">
        <w:t>Eadweard</w:t>
      </w:r>
      <w:r w:rsidR="006255FA">
        <w:t xml:space="preserve"> Muybridge, the Victorian photographer who undertook some of the first photographic studies of bodies in motion, capturing</w:t>
      </w:r>
      <w:r w:rsidR="00793580">
        <w:t xml:space="preserve"> for example</w:t>
      </w:r>
      <w:r w:rsidR="006255FA">
        <w:t xml:space="preserve"> the </w:t>
      </w:r>
      <w:r w:rsidR="00002E68">
        <w:t>“component parts”</w:t>
      </w:r>
      <w:r w:rsidR="006255FA">
        <w:t xml:space="preserve"> of the </w:t>
      </w:r>
      <w:r w:rsidR="00002E68">
        <w:t xml:space="preserve">“complex” </w:t>
      </w:r>
      <w:r w:rsidR="006255FA">
        <w:t>physical movements</w:t>
      </w:r>
      <w:r w:rsidR="007E3FDF">
        <w:t xml:space="preserve"> involved</w:t>
      </w:r>
      <w:r w:rsidR="006255FA">
        <w:t xml:space="preserve"> </w:t>
      </w:r>
      <w:r w:rsidR="007E3FDF">
        <w:t>in</w:t>
      </w:r>
      <w:r w:rsidR="00002E68">
        <w:t xml:space="preserve"> such things as</w:t>
      </w:r>
      <w:r w:rsidR="007E3FDF">
        <w:t xml:space="preserve"> walking, </w:t>
      </w:r>
      <w:r w:rsidR="006255FA">
        <w:t xml:space="preserve">climbing stairs </w:t>
      </w:r>
      <w:r w:rsidR="007E3FDF">
        <w:t>or throwing a discus</w:t>
      </w:r>
      <w:r w:rsidR="00B314B8">
        <w:t xml:space="preserve">. In Muybridge’s photo-studies, a specific human body (often his own) was made to stand for </w:t>
      </w:r>
      <w:proofErr w:type="spellStart"/>
      <w:r w:rsidR="00B314B8" w:rsidRPr="00B314B8">
        <w:rPr>
          <w:i/>
        </w:rPr>
        <w:t>any</w:t>
      </w:r>
      <w:r w:rsidR="00B314B8">
        <w:t xml:space="preserve"> body</w:t>
      </w:r>
      <w:proofErr w:type="spellEnd"/>
      <w:r w:rsidR="00B314B8">
        <w:t xml:space="preserve"> by instantiating what were treated as typical forms,</w:t>
      </w:r>
      <w:r w:rsidR="007E3FDF">
        <w:t xml:space="preserve"> see Figure 1 below</w:t>
      </w:r>
      <w:r w:rsidR="00B314B8">
        <w:t>, something that could be and was extended to equivalent studies of how non-human animals typically move too</w:t>
      </w:r>
      <w:r w:rsidR="006255FA">
        <w:t>.</w:t>
      </w:r>
      <w:r w:rsidR="00EC06D7">
        <w:t xml:space="preserve"> In </w:t>
      </w:r>
      <w:r w:rsidR="00D248FD">
        <w:t>its</w:t>
      </w:r>
      <w:r w:rsidR="00EC06D7">
        <w:t xml:space="preserve"> pursuit of generality via specifics, then, </w:t>
      </w:r>
      <w:r w:rsidR="00D248FD">
        <w:t>Muybridge’s project</w:t>
      </w:r>
      <w:r w:rsidR="00EC06D7">
        <w:t xml:space="preserve"> may seem to have affinities with the</w:t>
      </w:r>
      <w:r w:rsidR="000D794B">
        <w:t xml:space="preserve"> analytical</w:t>
      </w:r>
      <w:r w:rsidR="00EC06D7">
        <w:t xml:space="preserve"> </w:t>
      </w:r>
      <w:r w:rsidR="000D794B">
        <w:t>“</w:t>
      </w:r>
      <w:r w:rsidR="00EC06D7">
        <w:t>aesthetic</w:t>
      </w:r>
      <w:r w:rsidR="000D794B">
        <w:t>”</w:t>
      </w:r>
      <w:r w:rsidR="00EC06D7">
        <w:t xml:space="preserve"> Sacks outlines (1992: V1 113).</w:t>
      </w:r>
    </w:p>
    <w:p w14:paraId="7410E8EB" w14:textId="47C4644D" w:rsidR="007E3FDF" w:rsidRDefault="007E3FDF" w:rsidP="00D81F79">
      <w:pPr>
        <w:jc w:val="both"/>
      </w:pPr>
    </w:p>
    <w:p w14:paraId="5448AB39" w14:textId="64C53E90" w:rsidR="007E3FDF" w:rsidRPr="007E3FDF" w:rsidRDefault="007E3FDF" w:rsidP="00D81F79">
      <w:pPr>
        <w:jc w:val="both"/>
        <w:rPr>
          <w:b/>
        </w:rPr>
      </w:pPr>
      <w:r w:rsidRPr="007E3FDF">
        <w:rPr>
          <w:b/>
        </w:rPr>
        <w:t xml:space="preserve">Figure 1, </w:t>
      </w:r>
      <w:r w:rsidR="00793580" w:rsidRPr="007E3FDF">
        <w:rPr>
          <w:b/>
        </w:rPr>
        <w:t>Eadweard</w:t>
      </w:r>
      <w:r w:rsidRPr="007E3FDF">
        <w:rPr>
          <w:b/>
        </w:rPr>
        <w:t xml:space="preserve"> Muybridge’s Studies of Bodies in Motion</w:t>
      </w:r>
      <w:r>
        <w:rPr>
          <w:rStyle w:val="FootnoteReference"/>
          <w:b/>
        </w:rPr>
        <w:footnoteReference w:id="2"/>
      </w:r>
    </w:p>
    <w:p w14:paraId="58FCC0F8" w14:textId="77777777" w:rsidR="007E3FDF" w:rsidRDefault="007E3FDF" w:rsidP="00D81F79">
      <w:pPr>
        <w:jc w:val="both"/>
      </w:pPr>
    </w:p>
    <w:p w14:paraId="2E85AE44" w14:textId="33541425" w:rsidR="00D81F79" w:rsidRDefault="007E3FDF" w:rsidP="007E3FDF">
      <w:pPr>
        <w:jc w:val="center"/>
      </w:pPr>
      <w:r w:rsidRPr="007E3FDF">
        <w:rPr>
          <w:noProof/>
          <w:lang w:eastAsia="en-GB"/>
        </w:rPr>
        <w:drawing>
          <wp:inline distT="0" distB="0" distL="0" distR="0" wp14:anchorId="6B647083" wp14:editId="261FF704">
            <wp:extent cx="5731510" cy="4611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611370"/>
                    </a:xfrm>
                    <a:prstGeom prst="rect">
                      <a:avLst/>
                    </a:prstGeom>
                  </pic:spPr>
                </pic:pic>
              </a:graphicData>
            </a:graphic>
          </wp:inline>
        </w:drawing>
      </w:r>
    </w:p>
    <w:p w14:paraId="045C8F62" w14:textId="6DF56583" w:rsidR="00D81F79" w:rsidRDefault="00D81F79" w:rsidP="00D81F79">
      <w:pPr>
        <w:jc w:val="both"/>
      </w:pPr>
    </w:p>
    <w:p w14:paraId="0A7142BD" w14:textId="0B6DDE5F" w:rsidR="00E81145" w:rsidRDefault="00793580" w:rsidP="00952B3C">
      <w:pPr>
        <w:jc w:val="both"/>
      </w:pPr>
      <w:r>
        <w:lastRenderedPageBreak/>
        <w:t>The parallels</w:t>
      </w:r>
      <w:r w:rsidR="001D3518">
        <w:t xml:space="preserve"> in approach</w:t>
      </w:r>
      <w:r>
        <w:t xml:space="preserve"> </w:t>
      </w:r>
      <w:r w:rsidR="00D248FD">
        <w:t>may</w:t>
      </w:r>
      <w:r>
        <w:t xml:space="preserve"> seem clear: pick some quotidian activity, meticulously record how it ‘comes off’ in detail and then construct an account of the components it is built up out of based upon </w:t>
      </w:r>
      <w:r w:rsidR="004A2067">
        <w:t>an</w:t>
      </w:r>
      <w:r w:rsidR="00B314B8">
        <w:t>,</w:t>
      </w:r>
      <w:r>
        <w:t xml:space="preserve"> ideally</w:t>
      </w:r>
      <w:r w:rsidR="00B314B8">
        <w:t>,</w:t>
      </w:r>
      <w:r>
        <w:t xml:space="preserve"> mechanically recovered</w:t>
      </w:r>
      <w:r w:rsidR="00B314B8">
        <w:t xml:space="preserve"> and ‘</w:t>
      </w:r>
      <w:proofErr w:type="spellStart"/>
      <w:r w:rsidR="00B314B8">
        <w:t>replayable</w:t>
      </w:r>
      <w:proofErr w:type="spellEnd"/>
      <w:r w:rsidR="00B314B8">
        <w:t>’</w:t>
      </w:r>
      <w:r>
        <w:t xml:space="preserve"> record. However, the idea </w:t>
      </w:r>
      <w:r w:rsidR="00D063B6">
        <w:t>that</w:t>
      </w:r>
      <w:r>
        <w:t xml:space="preserve"> Sacks’ observational sociology </w:t>
      </w:r>
      <w:r w:rsidR="00D063B6">
        <w:t>i</w:t>
      </w:r>
      <w:r>
        <w:t>s</w:t>
      </w:r>
      <w:r w:rsidR="000D794B">
        <w:t xml:space="preserve"> akin to</w:t>
      </w:r>
      <w:r>
        <w:t xml:space="preserve"> stop</w:t>
      </w:r>
      <w:r w:rsidR="00B314B8">
        <w:t>-</w:t>
      </w:r>
      <w:r>
        <w:t>motion photography is misleading in several respects</w:t>
      </w:r>
      <w:r w:rsidR="00C43CDA">
        <w:t xml:space="preserve">. Part of the problem derives from the idea that we could come to an understanding of </w:t>
      </w:r>
      <w:r w:rsidR="00C43CDA" w:rsidRPr="00C43CDA">
        <w:t>social</w:t>
      </w:r>
      <w:r w:rsidR="00C43CDA">
        <w:t xml:space="preserve"> activities just by </w:t>
      </w:r>
      <w:r w:rsidR="00C0610A">
        <w:t>inspecting</w:t>
      </w:r>
      <w:r w:rsidR="00C43CDA">
        <w:t xml:space="preserve"> them</w:t>
      </w:r>
      <w:r w:rsidR="002A1587">
        <w:t xml:space="preserve"> (Sacks 1963: 15)</w:t>
      </w:r>
      <w:r w:rsidR="00C43CDA">
        <w:t>. While we might be able to begin a study of the biomechanical organisation of typical human movements based on Muybridge-style pictures, i.e. flexing joints, twisting ligaments, progressively tensed and relaxed muscles and so on, this is not a sociological account</w:t>
      </w:r>
      <w:r w:rsidR="00B314B8">
        <w:t>.</w:t>
      </w:r>
      <w:r w:rsidR="00C43CDA">
        <w:t xml:space="preserve"> </w:t>
      </w:r>
      <w:r w:rsidR="00B314B8">
        <w:t>N</w:t>
      </w:r>
      <w:r w:rsidR="00C43CDA">
        <w:t xml:space="preserve">or does it provide materials that might be used in </w:t>
      </w:r>
      <w:r w:rsidR="00B314B8">
        <w:t>developing</w:t>
      </w:r>
      <w:r w:rsidR="00C43CDA">
        <w:t xml:space="preserve"> one. </w:t>
      </w:r>
      <w:r w:rsidR="005F5F30">
        <w:t>This is</w:t>
      </w:r>
      <w:r w:rsidR="002E0978">
        <w:t xml:space="preserve"> primarily</w:t>
      </w:r>
      <w:r w:rsidR="005F5F30">
        <w:t xml:space="preserve"> because observational studies, at least in Sacks’ </w:t>
      </w:r>
      <w:r w:rsidR="00534742">
        <w:t>hands</w:t>
      </w:r>
      <w:r w:rsidR="005F5F30">
        <w:t xml:space="preserve">, proceed from the recognition that ‘observation’ is something that those being studied engage in </w:t>
      </w:r>
      <w:r w:rsidR="00B314B8">
        <w:t>as well</w:t>
      </w:r>
      <w:r w:rsidR="005F5F30">
        <w:t>. What is more, their ways of looking are</w:t>
      </w:r>
      <w:r w:rsidR="002E0978">
        <w:t xml:space="preserve"> analytically </w:t>
      </w:r>
      <w:r w:rsidR="005F5F30">
        <w:t xml:space="preserve">primitive, the sociological observer’s </w:t>
      </w:r>
      <w:r w:rsidR="00C0610A">
        <w:t>derivative</w:t>
      </w:r>
      <w:r w:rsidR="005F5F30">
        <w:t xml:space="preserve">. </w:t>
      </w:r>
      <w:r w:rsidR="00D063B6">
        <w:t>That is, o</w:t>
      </w:r>
      <w:r w:rsidR="00C0610A">
        <w:t>bservation</w:t>
      </w:r>
      <w:r w:rsidR="005F5F30">
        <w:t xml:space="preserve"> is</w:t>
      </w:r>
      <w:r w:rsidR="00E81145">
        <w:t xml:space="preserve"> </w:t>
      </w:r>
      <w:r w:rsidR="005F5F30">
        <w:t>already a feature of the social world and, because it is, i</w:t>
      </w:r>
      <w:r w:rsidR="00180146">
        <w:t>t</w:t>
      </w:r>
      <w:r w:rsidR="00CE05A6">
        <w:t xml:space="preserve"> has to be accounted for;</w:t>
      </w:r>
      <w:r w:rsidR="005F5F30">
        <w:t xml:space="preserve"> it cannot be naively employed in accounts</w:t>
      </w:r>
      <w:r w:rsidR="002E0978">
        <w:t xml:space="preserve"> of it</w:t>
      </w:r>
      <w:r w:rsidR="00E81145">
        <w:t>s organisation</w:t>
      </w:r>
      <w:r w:rsidR="002E0978">
        <w:t xml:space="preserve"> as this would presuppose its availability to and for description</w:t>
      </w:r>
      <w:r w:rsidR="00E81145">
        <w:t>, the</w:t>
      </w:r>
      <w:r w:rsidR="00180146">
        <w:t xml:space="preserve"> very</w:t>
      </w:r>
      <w:r w:rsidR="00E81145">
        <w:t xml:space="preserve"> aim of the exercise</w:t>
      </w:r>
      <w:r w:rsidR="005F5F30">
        <w:t xml:space="preserve"> (Sacks 1963</w:t>
      </w:r>
      <w:r w:rsidR="004A2067">
        <w:t>;</w:t>
      </w:r>
      <w:r w:rsidR="00D063B6">
        <w:t xml:space="preserve"> 1992: V1 </w:t>
      </w:r>
      <w:r w:rsidR="00D063B6" w:rsidRPr="00A36C28">
        <w:t>295</w:t>
      </w:r>
      <w:r w:rsidR="004A2067">
        <w:t>;</w:t>
      </w:r>
      <w:r w:rsidR="00D063B6">
        <w:t xml:space="preserve"> 1999</w:t>
      </w:r>
      <w:r w:rsidR="005F5F30">
        <w:t>). There is in Sacks</w:t>
      </w:r>
      <w:r w:rsidR="00CE05A6">
        <w:t>’</w:t>
      </w:r>
      <w:r w:rsidR="005F5F30">
        <w:t xml:space="preserve"> work, therefore, “no room in the world”</w:t>
      </w:r>
      <w:r w:rsidR="002E0978">
        <w:t xml:space="preserve"> (Garfinkel &amp; Sacks 1970</w:t>
      </w:r>
      <w:r w:rsidR="00E81145">
        <w:t>: 176</w:t>
      </w:r>
      <w:r w:rsidR="001D3518">
        <w:t>; Sacks 1992 V1: 516</w:t>
      </w:r>
      <w:r w:rsidR="002E0978">
        <w:t>)</w:t>
      </w:r>
      <w:r w:rsidR="005F5F30">
        <w:t xml:space="preserve"> for ‘just looking’,</w:t>
      </w:r>
      <w:r w:rsidR="002E0978">
        <w:t xml:space="preserve"> i.e., </w:t>
      </w:r>
      <w:r w:rsidR="00E81145">
        <w:t>for</w:t>
      </w:r>
      <w:r w:rsidR="005F5F30">
        <w:t xml:space="preserve"> </w:t>
      </w:r>
      <w:r w:rsidR="00E81145">
        <w:t>observing</w:t>
      </w:r>
      <w:r w:rsidR="005F5F30">
        <w:t>, scrutinis</w:t>
      </w:r>
      <w:r w:rsidR="00E81145">
        <w:t>ing</w:t>
      </w:r>
      <w:r w:rsidR="005F5F30">
        <w:t>, eyeball</w:t>
      </w:r>
      <w:r w:rsidR="00E81145">
        <w:t>ing</w:t>
      </w:r>
      <w:r w:rsidR="005F5F30">
        <w:t xml:space="preserve"> </w:t>
      </w:r>
      <w:r w:rsidR="002E0978">
        <w:t>or otherwise siz</w:t>
      </w:r>
      <w:r w:rsidR="00E81145">
        <w:t>ing</w:t>
      </w:r>
      <w:r w:rsidR="002E0978">
        <w:t xml:space="preserve"> up what members of society are doing</w:t>
      </w:r>
      <w:r w:rsidR="008F3B77">
        <w:t xml:space="preserve"> (Sacks 1992: V1 258</w:t>
      </w:r>
      <w:r w:rsidR="004A2067">
        <w:t>;</w:t>
      </w:r>
      <w:r w:rsidR="008F3B77">
        <w:t xml:space="preserve"> </w:t>
      </w:r>
      <w:r w:rsidR="00D063B6">
        <w:t>cf.</w:t>
      </w:r>
      <w:r w:rsidR="008F3B77">
        <w:t xml:space="preserve"> Foucault 1976: ix)</w:t>
      </w:r>
      <w:r w:rsidR="002E0978">
        <w:t>.</w:t>
      </w:r>
      <w:r w:rsidR="00E81145">
        <w:t xml:space="preserve"> </w:t>
      </w:r>
      <w:r w:rsidR="00C0610A">
        <w:t>Witnessing</w:t>
      </w:r>
      <w:r w:rsidR="00E81145">
        <w:t xml:space="preserve"> is already part of the action and has to be dealt with on that basis. As Sacks himself put it,</w:t>
      </w:r>
    </w:p>
    <w:p w14:paraId="2124B220" w14:textId="77777777" w:rsidR="00E81145" w:rsidRDefault="00E81145" w:rsidP="00952B3C">
      <w:pPr>
        <w:jc w:val="both"/>
      </w:pPr>
    </w:p>
    <w:p w14:paraId="11B7BD22" w14:textId="587049B7" w:rsidR="00E81145" w:rsidRDefault="00E81145" w:rsidP="00ED0182">
      <w:pPr>
        <w:ind w:left="567" w:right="521"/>
        <w:jc w:val="both"/>
      </w:pPr>
      <w:r>
        <w:t>“[W</w:t>
      </w:r>
      <w:r w:rsidRPr="00103DCA">
        <w:t>hat</w:t>
      </w:r>
      <w:r>
        <w:t>]</w:t>
      </w:r>
      <w:r w:rsidRPr="00103DCA">
        <w:t xml:space="preserve"> I have been proposing could be restated as follows: For</w:t>
      </w:r>
      <w:r>
        <w:t xml:space="preserve"> </w:t>
      </w:r>
      <w:r w:rsidR="001246A2">
        <w:t>m</w:t>
      </w:r>
      <w:r w:rsidRPr="00103DCA">
        <w:t>embers, activities are observables. They see activities. They see persons</w:t>
      </w:r>
      <w:r>
        <w:t xml:space="preserve"> </w:t>
      </w:r>
      <w:r w:rsidRPr="00103DCA">
        <w:t>doing intimacy, they see persons lying, etc</w:t>
      </w:r>
      <w:r>
        <w:t xml:space="preserve"> … </w:t>
      </w:r>
      <w:r w:rsidRPr="00103DCA">
        <w:t>And that poses for us the</w:t>
      </w:r>
      <w:r>
        <w:t xml:space="preserve"> </w:t>
      </w:r>
      <w:r w:rsidRPr="00103DCA">
        <w:t xml:space="preserve">task of being </w:t>
      </w:r>
      <w:proofErr w:type="spellStart"/>
      <w:r w:rsidRPr="00103DCA">
        <w:t>behaviorists</w:t>
      </w:r>
      <w:proofErr w:type="spellEnd"/>
      <w:r w:rsidRPr="00103DCA">
        <w:t xml:space="preserve"> in this sense: Finding how it is that people can</w:t>
      </w:r>
      <w:r>
        <w:t xml:space="preserve"> </w:t>
      </w:r>
      <w:r w:rsidRPr="00103DCA">
        <w:t>produce sets of actions that provide that others can see such things.</w:t>
      </w:r>
      <w:r>
        <w:t>” (1992: V1 119)</w:t>
      </w:r>
    </w:p>
    <w:p w14:paraId="2B3DB066" w14:textId="77777777" w:rsidR="00E81145" w:rsidRDefault="00E81145" w:rsidP="00952B3C">
      <w:pPr>
        <w:jc w:val="both"/>
      </w:pPr>
    </w:p>
    <w:p w14:paraId="2EA1EA9C" w14:textId="7A41E57D" w:rsidR="002B31D1" w:rsidRDefault="00E81145" w:rsidP="002B31D1">
      <w:pPr>
        <w:jc w:val="both"/>
      </w:pPr>
      <w:r>
        <w:t>That characterisation is important; if this is a form of naturalistic</w:t>
      </w:r>
      <w:r w:rsidR="00002E68">
        <w:t xml:space="preserve"> behavioural</w:t>
      </w:r>
      <w:r>
        <w:t xml:space="preserve"> study it is so in a highly qualified way. Such studies </w:t>
      </w:r>
      <w:r w:rsidR="00ED0182">
        <w:t>are</w:t>
      </w:r>
      <w:r>
        <w:t xml:space="preserve"> behaviouristic</w:t>
      </w:r>
      <w:r w:rsidR="00ED0182">
        <w:t xml:space="preserve"> only</w:t>
      </w:r>
      <w:r w:rsidR="002E0978">
        <w:t xml:space="preserve"> </w:t>
      </w:r>
      <w:r>
        <w:t xml:space="preserve">in the sense that they would focus on how </w:t>
      </w:r>
      <w:r w:rsidR="002B31D1">
        <w:rPr>
          <w:i/>
        </w:rPr>
        <w:t xml:space="preserve">members </w:t>
      </w:r>
      <w:r>
        <w:t>go about making use of “</w:t>
      </w:r>
      <w:r w:rsidRPr="00103DCA">
        <w:t>procedures</w:t>
      </w:r>
      <w:r>
        <w:t xml:space="preserve"> </w:t>
      </w:r>
      <w:r w:rsidRPr="00103DCA">
        <w:t>to find the sense of some set of observables</w:t>
      </w:r>
      <w:r>
        <w:t>” (Sacks 1992: V1 120).</w:t>
      </w:r>
      <w:r w:rsidR="00ED0182">
        <w:t xml:space="preserve"> </w:t>
      </w:r>
      <w:r w:rsidR="004A2067">
        <w:t>Contra</w:t>
      </w:r>
      <w:r w:rsidR="00ED0182">
        <w:t xml:space="preserve"> behaviouris</w:t>
      </w:r>
      <w:r w:rsidR="004A2067">
        <w:t>m</w:t>
      </w:r>
      <w:r w:rsidR="00ED0182">
        <w:t>,</w:t>
      </w:r>
      <w:r w:rsidR="00534742">
        <w:t xml:space="preserve"> however,</w:t>
      </w:r>
      <w:r w:rsidR="00ED0182">
        <w:t xml:space="preserve"> Sacks’ ‘observational studies’ treat observation as part of the phenomenon and not a privileged means for accessing it.</w:t>
      </w:r>
      <w:r w:rsidR="002B31D1">
        <w:t xml:space="preserve"> </w:t>
      </w:r>
      <w:r w:rsidR="004A2067">
        <w:t>Those</w:t>
      </w:r>
      <w:r w:rsidR="002B31D1">
        <w:t xml:space="preserve"> studies unavoidably start where members start, with the witnessed and witnessable scenes of social life and the sense those scenes demonstrably have for those within them. As Schegloff neatly puts it,</w:t>
      </w:r>
    </w:p>
    <w:p w14:paraId="10D46CCA" w14:textId="77777777" w:rsidR="002B31D1" w:rsidRDefault="002B31D1" w:rsidP="002B31D1">
      <w:pPr>
        <w:jc w:val="both"/>
      </w:pPr>
    </w:p>
    <w:p w14:paraId="4015FB9D" w14:textId="270D994F" w:rsidR="002B31D1" w:rsidRDefault="002B31D1" w:rsidP="002B31D1">
      <w:pPr>
        <w:ind w:left="567" w:right="521"/>
        <w:jc w:val="both"/>
      </w:pPr>
      <w:r>
        <w:t>“This way of working, then, mixe</w:t>
      </w:r>
      <w:r w:rsidR="00534742">
        <w:t>s</w:t>
      </w:r>
      <w:r>
        <w:t xml:space="preserve"> a </w:t>
      </w:r>
      <w:r w:rsidRPr="00002E68">
        <w:rPr>
          <w:i/>
        </w:rPr>
        <w:t>kind</w:t>
      </w:r>
      <w:r>
        <w:t xml:space="preserve"> of naturalism (in its insistence on noticing and crediting the potential seriousness of particulars of the natural occurrences of conduct) with the ethnomethodological concern for Members’ methods for the production of a mundane world and commonsense understandings of it.” (1992a: xxx</w:t>
      </w:r>
      <w:r w:rsidR="00002E68">
        <w:t>, emphasis added</w:t>
      </w:r>
      <w:r>
        <w:t>)</w:t>
      </w:r>
    </w:p>
    <w:p w14:paraId="649D64A6" w14:textId="77933013" w:rsidR="00ED0182" w:rsidRDefault="00ED0182" w:rsidP="00E81145">
      <w:pPr>
        <w:tabs>
          <w:tab w:val="left" w:pos="5020"/>
        </w:tabs>
        <w:jc w:val="both"/>
      </w:pPr>
    </w:p>
    <w:p w14:paraId="70560A0B" w14:textId="77777777" w:rsidR="008248FF" w:rsidRDefault="002B31D1" w:rsidP="00952B3C">
      <w:pPr>
        <w:jc w:val="both"/>
      </w:pPr>
      <w:r>
        <w:t>Seeing sociologically</w:t>
      </w:r>
      <w:r w:rsidR="008248FF">
        <w:t>, for Sacks,</w:t>
      </w:r>
      <w:r>
        <w:t xml:space="preserve"> turns on </w:t>
      </w:r>
      <w:r w:rsidR="008248FF">
        <w:t xml:space="preserve">just these considerations. This comes across very strongly in Lecture 11 of Sacks’ </w:t>
      </w:r>
      <w:r w:rsidR="008248FF" w:rsidRPr="008248FF">
        <w:t>Fall 1964-Spring 1965</w:t>
      </w:r>
      <w:r w:rsidR="008248FF">
        <w:t xml:space="preserve"> lecture series, ‘On Exchanging Glances’ (1992: V1 81-94). In the lecture Sacks discusses an assignment he had set the class in which they had to report back on observations they had made of people exchanging glances. In a much-quoted passage, Sacks has the following to say:</w:t>
      </w:r>
    </w:p>
    <w:p w14:paraId="4A372711" w14:textId="77777777" w:rsidR="008248FF" w:rsidRDefault="008248FF" w:rsidP="00952B3C">
      <w:pPr>
        <w:jc w:val="both"/>
      </w:pPr>
    </w:p>
    <w:p w14:paraId="0ED1BDB5" w14:textId="46994DBF" w:rsidR="008248FF" w:rsidRPr="008248FF" w:rsidRDefault="008248FF" w:rsidP="008248FF">
      <w:pPr>
        <w:ind w:left="567" w:right="521"/>
        <w:jc w:val="both"/>
      </w:pPr>
      <w:r w:rsidRPr="008248FF">
        <w:t>“Let me make a couple of remarks about the problem of ‘feigning ignorance’. I found in these papers that people will occasionally say things like, “I didn</w:t>
      </w:r>
      <w:r>
        <w:t>’</w:t>
      </w:r>
      <w:r w:rsidRPr="008248FF">
        <w:t xml:space="preserve">t really </w:t>
      </w:r>
      <w:r w:rsidRPr="008248FF">
        <w:lastRenderedPageBreak/>
        <w:t xml:space="preserve">know what was going on, but I made the inference that he was looking at her because she’s an attractive girl”. So one claims to not really know. And here’s a first thought I have. I can fully well understand how you come to say that. It’s part of the way in which what’s called your education here gets in the way of your doing what you in fact know how to do. And you begin to call things ‘concepts’ and acts ‘inferences’, when nothing of the sort is involved. And that nothing of the sort is involved, is perfectly clear in that if it were the case that you didn’t know what was going on – if you were the usual made up observer, the man from Mars – then the question of what you would see would be a far more obscure matter than that she was an attractive girl, perhaps. How would you go about seeing in the first place that one was looking at the other, seeing what they were looking at, and locating those features which are perhaps relevant?” </w:t>
      </w:r>
      <w:r>
        <w:t xml:space="preserve">(1992: V1 </w:t>
      </w:r>
      <w:r w:rsidRPr="008248FF">
        <w:t>83</w:t>
      </w:r>
      <w:r>
        <w:t>)</w:t>
      </w:r>
    </w:p>
    <w:p w14:paraId="691EC02F" w14:textId="298D0005" w:rsidR="00E50449" w:rsidRDefault="008248FF" w:rsidP="00952B3C">
      <w:pPr>
        <w:jc w:val="both"/>
      </w:pPr>
      <w:r>
        <w:t xml:space="preserve"> </w:t>
      </w:r>
    </w:p>
    <w:p w14:paraId="21469683" w14:textId="22660433" w:rsidR="008248FF" w:rsidRDefault="008248FF" w:rsidP="00952B3C">
      <w:pPr>
        <w:jc w:val="both"/>
      </w:pPr>
      <w:r>
        <w:t>He continues,</w:t>
      </w:r>
    </w:p>
    <w:p w14:paraId="3EBBE960" w14:textId="49F4E157" w:rsidR="008248FF" w:rsidRDefault="008248FF" w:rsidP="00952B3C">
      <w:pPr>
        <w:jc w:val="both"/>
      </w:pPr>
    </w:p>
    <w:p w14:paraId="52759BCC" w14:textId="507C3A15" w:rsidR="008248FF" w:rsidRDefault="008248FF" w:rsidP="008248FF">
      <w:pPr>
        <w:ind w:left="567" w:right="521"/>
        <w:jc w:val="both"/>
      </w:pPr>
      <w:r>
        <w:t>“</w:t>
      </w:r>
      <w:r w:rsidRPr="008248FF">
        <w:t xml:space="preserve">And that’s why it’s sort of a pain to intellectualize this stuff such that you already talk about it as though, “I see a blob, and then I infer that it’s my mother because she’s a blob like that”, when what you see is not that … You may find that some philosopher has convinced you of this. But ‘inference’ has another kind of use.” </w:t>
      </w:r>
      <w:r>
        <w:t xml:space="preserve">(1992: V1 </w:t>
      </w:r>
      <w:r w:rsidRPr="008248FF">
        <w:t>86</w:t>
      </w:r>
      <w:r>
        <w:t>)</w:t>
      </w:r>
    </w:p>
    <w:p w14:paraId="18741A4F" w14:textId="575650DD" w:rsidR="002B31D1" w:rsidRDefault="002B31D1" w:rsidP="00952B3C">
      <w:pPr>
        <w:jc w:val="both"/>
      </w:pPr>
    </w:p>
    <w:p w14:paraId="25691504" w14:textId="2F8CD73F" w:rsidR="008248FF" w:rsidRDefault="00826AFE" w:rsidP="00952B3C">
      <w:pPr>
        <w:jc w:val="both"/>
      </w:pPr>
      <w:r>
        <w:t xml:space="preserve">In ‘On Doing Being Ordinary’, Sacks underlines </w:t>
      </w:r>
      <w:r w:rsidR="000D794B">
        <w:t>his non-inferential, non-interpretive</w:t>
      </w:r>
      <w:r w:rsidR="00180146">
        <w:t xml:space="preserve"> point</w:t>
      </w:r>
      <w:r>
        <w:t xml:space="preserve"> again:</w:t>
      </w:r>
    </w:p>
    <w:p w14:paraId="3E399E16" w14:textId="43728DEE" w:rsidR="00826AFE" w:rsidRDefault="00826AFE" w:rsidP="00952B3C">
      <w:pPr>
        <w:jc w:val="both"/>
      </w:pPr>
    </w:p>
    <w:p w14:paraId="1CBBB86F" w14:textId="7B8EEC7C" w:rsidR="00826AFE" w:rsidRDefault="00826AFE" w:rsidP="00826AFE">
      <w:pPr>
        <w:ind w:left="567" w:right="521"/>
        <w:jc w:val="both"/>
      </w:pPr>
      <w:r>
        <w:t>“</w:t>
      </w:r>
      <w:r w:rsidRPr="00826AFE">
        <w:t>[People] are not [from their perspective] arguing anything, they are not imagining anything … [All] they are doing is scanning a scene to see what is happening” (Sacks 1984</w:t>
      </w:r>
      <w:r>
        <w:t>b</w:t>
      </w:r>
      <w:r w:rsidRPr="00826AFE">
        <w:t>: 420-421, adapted)</w:t>
      </w:r>
    </w:p>
    <w:p w14:paraId="077AB332" w14:textId="6795595F" w:rsidR="008248FF" w:rsidRDefault="008248FF" w:rsidP="00952B3C">
      <w:pPr>
        <w:jc w:val="both"/>
      </w:pPr>
    </w:p>
    <w:p w14:paraId="772C7406" w14:textId="6E60C4B8" w:rsidR="00826AFE" w:rsidRDefault="00826AFE" w:rsidP="00952B3C">
      <w:pPr>
        <w:jc w:val="both"/>
      </w:pPr>
      <w:r>
        <w:t xml:space="preserve">The sorts of issues involved in conducting studies which </w:t>
      </w:r>
      <w:r w:rsidR="000D794B">
        <w:t>would</w:t>
      </w:r>
      <w:r>
        <w:t xml:space="preserve"> not (pseudo)intellectualise the recognisability of social activities are illustrated in ‘The Navy Pilot’ (1992: V1 205-22).</w:t>
      </w:r>
      <w:r w:rsidR="00002E68">
        <w:t xml:space="preserve"> There</w:t>
      </w:r>
      <w:r>
        <w:t xml:space="preserve"> Sacks begins with a piece of ‘found data’, a newspaper article,</w:t>
      </w:r>
      <w:r w:rsidR="00D063B6">
        <w:t xml:space="preserve"> a</w:t>
      </w:r>
      <w:r w:rsidR="00534742">
        <w:t xml:space="preserve"> typically brilliant</w:t>
      </w:r>
      <w:r w:rsidR="00D063B6">
        <w:t xml:space="preserve"> examination of</w:t>
      </w:r>
      <w:r>
        <w:t xml:space="preserve"> which</w:t>
      </w:r>
      <w:r w:rsidR="00A34C87">
        <w:t xml:space="preserve"> leads</w:t>
      </w:r>
      <w:r>
        <w:t xml:space="preserve"> </w:t>
      </w:r>
      <w:r w:rsidR="00A34C87">
        <w:t xml:space="preserve">him to </w:t>
      </w:r>
      <w:r>
        <w:t xml:space="preserve">the following </w:t>
      </w:r>
      <w:r w:rsidR="00A34C87">
        <w:t>point</w:t>
      </w:r>
      <w:r>
        <w:t>:</w:t>
      </w:r>
    </w:p>
    <w:p w14:paraId="62DB429E" w14:textId="1097934C" w:rsidR="00826AFE" w:rsidRDefault="00826AFE" w:rsidP="00952B3C">
      <w:pPr>
        <w:jc w:val="both"/>
      </w:pPr>
    </w:p>
    <w:p w14:paraId="022FBE3A" w14:textId="36AB8A6D" w:rsidR="007277B8" w:rsidRPr="007277B8" w:rsidRDefault="007277B8" w:rsidP="007277B8">
      <w:pPr>
        <w:ind w:left="567" w:right="521"/>
        <w:jc w:val="both"/>
      </w:pPr>
      <w:bookmarkStart w:id="0" w:name="_Hlk527374841"/>
      <w:r w:rsidRPr="007277B8">
        <w:t>“Knowing thyself does not mean knowing something very private, it means knowing oneself as a member of a community, knowing, that is, the things that obtain for one, which obtain for persons commonly</w:t>
      </w:r>
      <w:r>
        <w:t xml:space="preserve"> … [It does]</w:t>
      </w:r>
      <w:r w:rsidRPr="007277B8">
        <w:t xml:space="preserve"> not involve knowing something about one</w:t>
      </w:r>
      <w:r>
        <w:t>[self]</w:t>
      </w:r>
      <w:r w:rsidRPr="007277B8">
        <w:t xml:space="preserve"> which </w:t>
      </w:r>
      <w:r>
        <w:t>… [is]</w:t>
      </w:r>
      <w:r w:rsidRPr="007277B8">
        <w:t xml:space="preserve"> distinctive, or special, or private</w:t>
      </w:r>
      <w:bookmarkEnd w:id="0"/>
      <w:r w:rsidRPr="007277B8">
        <w:t xml:space="preserve">” </w:t>
      </w:r>
      <w:r>
        <w:t xml:space="preserve">(1992: V1 </w:t>
      </w:r>
      <w:r w:rsidRPr="007277B8">
        <w:t>221</w:t>
      </w:r>
      <w:r>
        <w:t>)</w:t>
      </w:r>
    </w:p>
    <w:p w14:paraId="21FA93AB" w14:textId="54CC8DB3" w:rsidR="00826AFE" w:rsidRDefault="00826AFE" w:rsidP="00952B3C">
      <w:pPr>
        <w:jc w:val="both"/>
      </w:pPr>
    </w:p>
    <w:p w14:paraId="4664F826" w14:textId="4E738D63" w:rsidR="007277B8" w:rsidRDefault="007277B8" w:rsidP="00952B3C">
      <w:pPr>
        <w:jc w:val="both"/>
      </w:pPr>
      <w:r>
        <w:t>Sacks, ever attendant to the need for analytical consistency, understood that these considerations apply equally to researchers</w:t>
      </w:r>
      <w:r w:rsidR="005B0EBE">
        <w:t xml:space="preserve"> as these are the local conditions of possibility for their work too</w:t>
      </w:r>
      <w:r>
        <w:t>. Insofar as social activities are available to</w:t>
      </w:r>
      <w:r w:rsidR="00002E68">
        <w:t xml:space="preserve"> overlooking</w:t>
      </w:r>
      <w:r>
        <w:t xml:space="preserve"> analysts,</w:t>
      </w:r>
      <w:r w:rsidR="005B0EBE">
        <w:t xml:space="preserve"> it is because</w:t>
      </w:r>
      <w:r>
        <w:t xml:space="preserve"> they are available in the first instance to members</w:t>
      </w:r>
      <w:r w:rsidR="005B0EBE">
        <w:t xml:space="preserve"> of society</w:t>
      </w:r>
      <w:r>
        <w:t>, where an “</w:t>
      </w:r>
      <w:r w:rsidRPr="007277B8">
        <w:t xml:space="preserve">equally extraordinary part of this … </w:t>
      </w:r>
      <w:r w:rsidR="005B0EBE">
        <w:t>[is]</w:t>
      </w:r>
      <w:r w:rsidRPr="007277B8">
        <w:t xml:space="preserve"> that they</w:t>
      </w:r>
      <w:r w:rsidR="005B0EBE">
        <w:t xml:space="preserve"> [typically also]</w:t>
      </w:r>
      <w:r w:rsidRPr="007277B8">
        <w:t xml:space="preserve"> know what it is that you saw, that they saw the same thing, … and they make the same assessment.” </w:t>
      </w:r>
      <w:r w:rsidR="005B0EBE">
        <w:t xml:space="preserve">(1992: V1 </w:t>
      </w:r>
      <w:r w:rsidRPr="007277B8">
        <w:t>93</w:t>
      </w:r>
      <w:r w:rsidR="005B0EBE">
        <w:t>). If this was not the case, then we would be in the position of the observers from Mars. This comes across in an exchange with a student at the end of the lecture on exchanging glances:</w:t>
      </w:r>
    </w:p>
    <w:p w14:paraId="217FCB92" w14:textId="3EB15863" w:rsidR="005B0EBE" w:rsidRDefault="005B0EBE" w:rsidP="00952B3C">
      <w:pPr>
        <w:jc w:val="both"/>
      </w:pPr>
    </w:p>
    <w:p w14:paraId="690A4872" w14:textId="32DAC1E2" w:rsidR="005B0EBE" w:rsidRPr="005B0EBE" w:rsidRDefault="005B0EBE" w:rsidP="005B0EBE">
      <w:pPr>
        <w:ind w:left="1437" w:right="521" w:hanging="870"/>
        <w:jc w:val="both"/>
      </w:pPr>
      <w:r>
        <w:t>“</w:t>
      </w:r>
      <w:r w:rsidRPr="005B0EBE">
        <w:t xml:space="preserve">Q: </w:t>
      </w:r>
      <w:r>
        <w:tab/>
      </w:r>
      <w:r w:rsidRPr="005B0EBE">
        <w:t>It seems like that was the basic assumption of the assignment; that we could</w:t>
      </w:r>
      <w:r>
        <w:t xml:space="preserve"> </w:t>
      </w:r>
      <w:r w:rsidRPr="005B0EBE">
        <w:t>notice them doing it</w:t>
      </w:r>
      <w:r>
        <w:t xml:space="preserve"> [i.e., exchanging glances]</w:t>
      </w:r>
      <w:r w:rsidRPr="005B0EBE">
        <w:t>.</w:t>
      </w:r>
    </w:p>
    <w:p w14:paraId="4A8A3320" w14:textId="63CFF438" w:rsidR="005B0EBE" w:rsidRPr="005B0EBE" w:rsidRDefault="005B0EBE" w:rsidP="005B0EBE">
      <w:pPr>
        <w:ind w:left="1437" w:right="521" w:hanging="870"/>
        <w:jc w:val="both"/>
      </w:pPr>
      <w:r>
        <w:lastRenderedPageBreak/>
        <w:t xml:space="preserve"> </w:t>
      </w:r>
      <w:r w:rsidRPr="005B0EBE">
        <w:t xml:space="preserve">HS: </w:t>
      </w:r>
      <w:r>
        <w:tab/>
      </w:r>
      <w:r w:rsidRPr="005B0EBE">
        <w:t>Right. It was the basic assumption, which could have been wrong. But of course it’s not like I came into this world the day before I gave that assignment. I know that people can do this, I’ve watched it many times, and I take it that you’ve seen it also. However, people who get this far in their education are very prone to intellectualize the whole operation and not see it. And so you don’t see</w:t>
      </w:r>
      <w:r>
        <w:t xml:space="preserve"> [it,]</w:t>
      </w:r>
      <w:r w:rsidRPr="005B0EBE">
        <w:t xml:space="preserve"> </w:t>
      </w:r>
      <w:r>
        <w:t>…</w:t>
      </w:r>
      <w:r w:rsidRPr="005B0EBE">
        <w:t xml:space="preserve"> </w:t>
      </w:r>
      <w:r>
        <w:t>y</w:t>
      </w:r>
      <w:r w:rsidRPr="005B0EBE">
        <w:t>ou figure it’s a philosophical impossibility, or you’d have to go through four years of analysis, etc.</w:t>
      </w:r>
      <w:r>
        <w:t>”</w:t>
      </w:r>
      <w:r w:rsidRPr="005B0EBE">
        <w:t xml:space="preserve"> </w:t>
      </w:r>
      <w:r>
        <w:t xml:space="preserve">(1992: V1 </w:t>
      </w:r>
      <w:r w:rsidRPr="005B0EBE">
        <w:t>94</w:t>
      </w:r>
      <w:r>
        <w:t>)</w:t>
      </w:r>
    </w:p>
    <w:p w14:paraId="34989838" w14:textId="2332B750" w:rsidR="005B0EBE" w:rsidRDefault="005B0EBE" w:rsidP="00952B3C">
      <w:pPr>
        <w:jc w:val="both"/>
      </w:pPr>
    </w:p>
    <w:p w14:paraId="639F05BC" w14:textId="7FF8F4FB" w:rsidR="00E50449" w:rsidRDefault="005B0EBE" w:rsidP="00952B3C">
      <w:pPr>
        <w:jc w:val="both"/>
      </w:pPr>
      <w:r>
        <w:t xml:space="preserve">The lesson, as we see it, is straightforward: to proceed as if </w:t>
      </w:r>
      <w:r w:rsidR="00A82DB4">
        <w:t>we came into the world the day before yesterday, to operate on the basis that we don’t know what we’re dealing with</w:t>
      </w:r>
      <w:r w:rsidR="00180146">
        <w:t>,</w:t>
      </w:r>
      <w:r w:rsidR="00A82DB4">
        <w:t xml:space="preserve"> is to deny the very bases of </w:t>
      </w:r>
      <w:r w:rsidR="00C0610A">
        <w:t>our whole enterprise</w:t>
      </w:r>
      <w:r w:rsidR="00A82DB4">
        <w:t>. We may</w:t>
      </w:r>
      <w:r w:rsidR="008F3B77">
        <w:t xml:space="preserve"> seek to</w:t>
      </w:r>
      <w:r w:rsidR="00A82DB4">
        <w:t xml:space="preserve"> offer procedural accounts which show how people go about producing actions recognised as such by others</w:t>
      </w:r>
      <w:r w:rsidR="000D794B">
        <w:t xml:space="preserve"> in the doing</w:t>
      </w:r>
      <w:r w:rsidR="00A82DB4">
        <w:t xml:space="preserve"> but the action is where we begin. Where that is obscured, the whole edifice becomes unstable. On this last point, and as part of reaching a conclusion, we want to offer a brief comment on the ways in which a </w:t>
      </w:r>
      <w:r w:rsidR="00A82DB4" w:rsidRPr="00A82DB4">
        <w:rPr>
          <w:i/>
        </w:rPr>
        <w:t>natural</w:t>
      </w:r>
      <w:r w:rsidR="00A82DB4">
        <w:t xml:space="preserve"> observational study, specifically, might address</w:t>
      </w:r>
      <w:r w:rsidR="000D794B">
        <w:t xml:space="preserve"> – by refusing to accept –</w:t>
      </w:r>
      <w:r w:rsidR="00A82DB4">
        <w:t xml:space="preserve"> the separation of action, meaning and understanding. </w:t>
      </w:r>
      <w:r w:rsidR="00E50449">
        <w:t>We think Wittgenstein is again helpful here. As he put</w:t>
      </w:r>
      <w:r w:rsidR="00A82DB4">
        <w:t>s</w:t>
      </w:r>
      <w:r w:rsidR="00E50449">
        <w:t xml:space="preserve"> it</w:t>
      </w:r>
      <w:r w:rsidR="00A82DB4">
        <w:t xml:space="preserve"> in the </w:t>
      </w:r>
      <w:r w:rsidR="00A82DB4" w:rsidRPr="00A82DB4">
        <w:rPr>
          <w:i/>
        </w:rPr>
        <w:t>Philosophical Investigations</w:t>
      </w:r>
      <w:r w:rsidR="00E50449">
        <w:t xml:space="preserve">, </w:t>
      </w:r>
    </w:p>
    <w:p w14:paraId="73915E12" w14:textId="2AD2D6B8" w:rsidR="00E50449" w:rsidRDefault="00E50449" w:rsidP="00952B3C">
      <w:pPr>
        <w:jc w:val="both"/>
      </w:pPr>
    </w:p>
    <w:p w14:paraId="69B9D501" w14:textId="77777777" w:rsidR="00E50449" w:rsidRDefault="00E50449" w:rsidP="00A82DB4">
      <w:pPr>
        <w:ind w:left="567" w:right="521"/>
        <w:jc w:val="both"/>
      </w:pPr>
      <w:r>
        <w:t xml:space="preserve">“Commanding, questioning, recounting, chatting, are as much a part of our natural history as walking, eating, drinking, playing.” </w:t>
      </w:r>
      <w:r w:rsidRPr="00AF6F6A">
        <w:t>(Wittgenstein 1953: §</w:t>
      </w:r>
      <w:r>
        <w:t>25</w:t>
      </w:r>
      <w:r w:rsidRPr="00AF6F6A">
        <w:t>)</w:t>
      </w:r>
    </w:p>
    <w:p w14:paraId="7584262F" w14:textId="6EA155B6" w:rsidR="00E50449" w:rsidRDefault="00E50449" w:rsidP="00952B3C">
      <w:pPr>
        <w:jc w:val="both"/>
      </w:pPr>
    </w:p>
    <w:p w14:paraId="3E621377" w14:textId="75CC65BC" w:rsidR="00E50449" w:rsidRDefault="00A82DB4" w:rsidP="00952B3C">
      <w:pPr>
        <w:jc w:val="both"/>
      </w:pPr>
      <w:r>
        <w:t xml:space="preserve">He </w:t>
      </w:r>
      <w:r w:rsidR="00E50449">
        <w:t>later ad</w:t>
      </w:r>
      <w:r>
        <w:t>ds</w:t>
      </w:r>
      <w:r w:rsidR="00E50449">
        <w:t>,</w:t>
      </w:r>
    </w:p>
    <w:p w14:paraId="113D18FA" w14:textId="77777777" w:rsidR="00E50449" w:rsidRDefault="00E50449" w:rsidP="00952B3C">
      <w:pPr>
        <w:jc w:val="both"/>
      </w:pPr>
    </w:p>
    <w:p w14:paraId="0CDA1715" w14:textId="77777777" w:rsidR="00E50449" w:rsidRPr="00E50449" w:rsidRDefault="00E50449" w:rsidP="00A82DB4">
      <w:pPr>
        <w:ind w:left="567" w:right="521"/>
        <w:jc w:val="both"/>
      </w:pPr>
      <w:r w:rsidRPr="00E50449">
        <w:t>“What we are supplying are really remarks on the natural history of human beings; we are not contributing curiosities however, but observations which no one has doubted, but which have escaped remark only because they are always before our eyes.” (Wittgenstein 1953: §415)</w:t>
      </w:r>
    </w:p>
    <w:p w14:paraId="38A2EF1C" w14:textId="77777777" w:rsidR="00E50449" w:rsidRDefault="00E50449" w:rsidP="00952B3C">
      <w:pPr>
        <w:jc w:val="both"/>
      </w:pPr>
    </w:p>
    <w:p w14:paraId="6081EE09" w14:textId="31ABDD8A" w:rsidR="00A82DB4" w:rsidRDefault="00E50449" w:rsidP="00952B3C">
      <w:pPr>
        <w:jc w:val="both"/>
      </w:pPr>
      <w:r>
        <w:t>Sacks’</w:t>
      </w:r>
      <w:r w:rsidR="00A82DB4">
        <w:t xml:space="preserve"> advocacy of</w:t>
      </w:r>
      <w:r>
        <w:t xml:space="preserve"> ‘naturalism’ seem</w:t>
      </w:r>
      <w:r w:rsidR="000D794B">
        <w:t>s</w:t>
      </w:r>
      <w:r>
        <w:t xml:space="preserve"> to us to</w:t>
      </w:r>
      <w:r w:rsidR="00A82DB4">
        <w:t xml:space="preserve"> </w:t>
      </w:r>
      <w:r w:rsidR="000D794B">
        <w:t xml:space="preserve">follow from </w:t>
      </w:r>
      <w:r w:rsidR="00A82DB4">
        <w:t>similar insights</w:t>
      </w:r>
      <w:r>
        <w:t xml:space="preserve">. </w:t>
      </w:r>
      <w:r w:rsidR="00A82DB4">
        <w:t xml:space="preserve">One of the initial mis-steps that led sociologists into trouble was to divide actions and meaning from the </w:t>
      </w:r>
      <w:r w:rsidR="003B5137">
        <w:t>outset</w:t>
      </w:r>
      <w:r w:rsidR="00A82DB4">
        <w:t xml:space="preserve">. </w:t>
      </w:r>
      <w:r w:rsidR="008B4B46">
        <w:t xml:space="preserve">The components of action </w:t>
      </w:r>
      <w:r w:rsidR="00A82DB4">
        <w:t xml:space="preserve">were </w:t>
      </w:r>
      <w:r w:rsidR="000D794B">
        <w:t>primitive and first on the scene</w:t>
      </w:r>
      <w:r w:rsidR="00A82DB4">
        <w:t xml:space="preserve">, meanings </w:t>
      </w:r>
      <w:r w:rsidR="000D794B">
        <w:t xml:space="preserve">secondary </w:t>
      </w:r>
      <w:r w:rsidR="00A82DB4">
        <w:t>and</w:t>
      </w:r>
      <w:r w:rsidR="000D794B">
        <w:t xml:space="preserve"> arrived</w:t>
      </w:r>
      <w:r w:rsidR="008B4B46">
        <w:t xml:space="preserve"> at</w:t>
      </w:r>
      <w:r w:rsidR="000D794B">
        <w:t xml:space="preserve"> after-the-fact, and</w:t>
      </w:r>
      <w:r w:rsidR="00A82DB4">
        <w:t xml:space="preserve"> </w:t>
      </w:r>
      <w:r w:rsidR="003B5137">
        <w:t>one</w:t>
      </w:r>
      <w:r w:rsidR="00A82DB4">
        <w:t>, it seemed,</w:t>
      </w:r>
      <w:r w:rsidR="000D794B">
        <w:t xml:space="preserve"> had</w:t>
      </w:r>
      <w:r w:rsidR="00A82DB4">
        <w:t xml:space="preserve"> </w:t>
      </w:r>
      <w:r w:rsidR="00002E68">
        <w:t xml:space="preserve">to </w:t>
      </w:r>
      <w:r w:rsidR="00A82DB4">
        <w:t xml:space="preserve">be dealt with independently of the other. This, in effect, created a special realm of activities involved in </w:t>
      </w:r>
      <w:r w:rsidR="00FB24B8">
        <w:t>determining meaning which were supervenient on other</w:t>
      </w:r>
      <w:r w:rsidR="003B5137">
        <w:t xml:space="preserve"> apparently</w:t>
      </w:r>
      <w:r w:rsidR="00FB24B8">
        <w:t xml:space="preserve"> </w:t>
      </w:r>
      <w:r w:rsidR="003B5137">
        <w:t>‘</w:t>
      </w:r>
      <w:r w:rsidR="00FB24B8">
        <w:t>more basic</w:t>
      </w:r>
      <w:r w:rsidR="003B5137">
        <w:t>’</w:t>
      </w:r>
      <w:r w:rsidR="00FB24B8">
        <w:t xml:space="preserve"> forms of activity</w:t>
      </w:r>
      <w:r w:rsidR="003B5137">
        <w:t>, a substrate of</w:t>
      </w:r>
      <w:r w:rsidR="000D794B">
        <w:t xml:space="preserve"> bodily</w:t>
      </w:r>
      <w:r w:rsidR="003B5137">
        <w:t xml:space="preserve"> movements,</w:t>
      </w:r>
      <w:r w:rsidR="000D794B">
        <w:t xml:space="preserve"> physical</w:t>
      </w:r>
      <w:r w:rsidR="003B5137">
        <w:t xml:space="preserve"> gestures and the like</w:t>
      </w:r>
      <w:r w:rsidR="00FB24B8">
        <w:t>. Sacks, like Wittgenstein, wanted to collapse that artificial partition. Our tutored sensibilities, shaped by “what’s called … [our] education”</w:t>
      </w:r>
      <w:r w:rsidR="000D794B">
        <w:t xml:space="preserve"> (Sacks ibid)</w:t>
      </w:r>
      <w:r w:rsidR="00FB24B8">
        <w:t xml:space="preserve">, leave us blind to what </w:t>
      </w:r>
      <w:r w:rsidR="00002E68">
        <w:t>is</w:t>
      </w:r>
      <w:r w:rsidR="00FB24B8">
        <w:t xml:space="preserve"> “before our eyes”</w:t>
      </w:r>
      <w:r w:rsidR="000D794B">
        <w:t xml:space="preserve"> (Wittgenstein ibid)</w:t>
      </w:r>
      <w:r w:rsidR="00FB24B8">
        <w:t xml:space="preserve">, namely, the fact that meaningful activities are as much in the world as anything else. Equally plainly, however, </w:t>
      </w:r>
      <w:r w:rsidR="008B4B46">
        <w:t>Sacks, like Wittgenstein,</w:t>
      </w:r>
      <w:r w:rsidR="00FB24B8">
        <w:t xml:space="preserve"> knew we </w:t>
      </w:r>
      <w:r w:rsidR="00DF3ADC">
        <w:t>have to tailor our inquiries to the</w:t>
      </w:r>
      <w:r w:rsidR="00176157">
        <w:t xml:space="preserve"> available</w:t>
      </w:r>
      <w:r w:rsidR="00DF3ADC">
        <w:t xml:space="preserve"> particularities of the activities, like exchanging glances, we are attempting to make sense of</w:t>
      </w:r>
      <w:r w:rsidR="00A56A64">
        <w:t xml:space="preserve">. </w:t>
      </w:r>
      <w:r w:rsidR="00A34C87">
        <w:t>All</w:t>
      </w:r>
      <w:r w:rsidR="00A56A64">
        <w:t xml:space="preserve"> activit</w:t>
      </w:r>
      <w:r w:rsidR="00A34C87">
        <w:t>ies</w:t>
      </w:r>
      <w:r w:rsidR="00A56A64">
        <w:t xml:space="preserve"> require a</w:t>
      </w:r>
      <w:r w:rsidR="00176157">
        <w:t>n</w:t>
      </w:r>
      <w:r w:rsidR="00A56A64">
        <w:t xml:space="preserve"> approach suited to </w:t>
      </w:r>
      <w:r w:rsidR="00A34C87">
        <w:t>their</w:t>
      </w:r>
      <w:r w:rsidR="00A56A64">
        <w:t xml:space="preserve"> particular character and Sacks’ great contribution was to open new vistas in that regard</w:t>
      </w:r>
      <w:r w:rsidR="001246A2">
        <w:t xml:space="preserve">, whether </w:t>
      </w:r>
      <w:r w:rsidR="0089606B">
        <w:t>by attending to the particularities of</w:t>
      </w:r>
      <w:r w:rsidR="001246A2">
        <w:t xml:space="preserve"> language-in-use or “how we see”</w:t>
      </w:r>
      <w:r w:rsidR="00C85CE7">
        <w:t xml:space="preserve"> on actual occasions</w:t>
      </w:r>
      <w:r w:rsidR="001246A2">
        <w:t xml:space="preserve"> (Sacks 1992: V1 488)</w:t>
      </w:r>
      <w:r w:rsidR="00A56A64">
        <w:t>.</w:t>
      </w:r>
    </w:p>
    <w:p w14:paraId="1B2B1B90" w14:textId="30724E65" w:rsidR="00453928" w:rsidRDefault="00453928" w:rsidP="007052A7">
      <w:pPr>
        <w:jc w:val="both"/>
      </w:pPr>
    </w:p>
    <w:p w14:paraId="2C3633E3" w14:textId="642018D8" w:rsidR="00A56A64" w:rsidRPr="00A56A64" w:rsidRDefault="00A56A64" w:rsidP="007052A7">
      <w:pPr>
        <w:jc w:val="both"/>
        <w:rPr>
          <w:b/>
        </w:rPr>
      </w:pPr>
      <w:r w:rsidRPr="00A56A64">
        <w:rPr>
          <w:b/>
        </w:rPr>
        <w:t>Conclusion</w:t>
      </w:r>
    </w:p>
    <w:p w14:paraId="39C92310" w14:textId="3E660A29" w:rsidR="00A56A64" w:rsidRDefault="00A56A64" w:rsidP="007052A7">
      <w:pPr>
        <w:jc w:val="both"/>
      </w:pPr>
    </w:p>
    <w:p w14:paraId="3FF5576B" w14:textId="7FBFCD38" w:rsidR="003B5137" w:rsidRDefault="00002E68" w:rsidP="007052A7">
      <w:pPr>
        <w:jc w:val="both"/>
      </w:pPr>
      <w:r>
        <w:t>In this short</w:t>
      </w:r>
      <w:r w:rsidR="004A2067">
        <w:t xml:space="preserve">, </w:t>
      </w:r>
      <w:r w:rsidR="004432A7">
        <w:t>‘</w:t>
      </w:r>
      <w:r w:rsidR="004A2067">
        <w:t>alternate</w:t>
      </w:r>
      <w:r w:rsidR="004432A7">
        <w:t>’</w:t>
      </w:r>
      <w:r>
        <w:t xml:space="preserve"> </w:t>
      </w:r>
      <w:r w:rsidR="00A34C87">
        <w:t>sociological reading</w:t>
      </w:r>
      <w:r>
        <w:t xml:space="preserve"> of Sacks’ work, we have attempted to draw out aspects of his way of working through a consideration of his response to the problem of meaning in the social sciences. </w:t>
      </w:r>
      <w:r w:rsidR="00BE29B1">
        <w:t>Based on that, we have argued that Sacks began his studies</w:t>
      </w:r>
      <w:r w:rsidR="001D3518">
        <w:t xml:space="preserve">, in </w:t>
      </w:r>
      <w:r w:rsidR="001D3518">
        <w:lastRenderedPageBreak/>
        <w:t>the first instance,</w:t>
      </w:r>
      <w:r w:rsidR="000718F6">
        <w:t xml:space="preserve"> from the position</w:t>
      </w:r>
      <w:r w:rsidR="00BE29B1">
        <w:t xml:space="preserve"> of “another member” (Garfinkel &amp; Sacks 1970: 175</w:t>
      </w:r>
      <w:r w:rsidR="00A34C87">
        <w:t xml:space="preserve">; </w:t>
      </w:r>
      <w:r w:rsidR="002A1587">
        <w:t>Sacks 1992: V1 486-488</w:t>
      </w:r>
      <w:r w:rsidR="00BE29B1">
        <w:t>). That is, Sacks’ starting point was the unproblematic recognisability of action in context, its “routine observability” for members of society on particular occasions. From there, Sacks would investigate its production procedurally, seeking to find ways members could have arrived at those “products” together. This for Sacks was the basis of “natural observational studies”, studies in which observability would be treated as a</w:t>
      </w:r>
      <w:r w:rsidR="008B4B46">
        <w:t xml:space="preserve"> </w:t>
      </w:r>
      <w:r w:rsidR="00BE29B1">
        <w:t>phenomenon</w:t>
      </w:r>
      <w:r w:rsidR="00C62AC2">
        <w:t xml:space="preserve"> in its own right</w:t>
      </w:r>
      <w:r w:rsidR="00BE29B1">
        <w:t xml:space="preserve">. What we have argued, drawing on passages from Sacks’ lectures and writings, is that Sacks always understood such considerations to apply equally </w:t>
      </w:r>
      <w:r w:rsidR="000A02C9">
        <w:t>to the analyst’s task</w:t>
      </w:r>
      <w:r w:rsidR="000D794B">
        <w:t xml:space="preserve"> in producing accounts of social action</w:t>
      </w:r>
      <w:r w:rsidR="000A02C9">
        <w:t>. That is, if “observation” is part of the phenomenon, social scientists can’t hope to</w:t>
      </w:r>
      <w:r w:rsidR="00354A0E">
        <w:t xml:space="preserve"> naively</w:t>
      </w:r>
      <w:r w:rsidR="000A02C9">
        <w:t xml:space="preserve"> make use of it to study social life. Seeing sociologically with Harvey Sacks involves, then, attempts to come to terms with the sense witnessed scenes</w:t>
      </w:r>
      <w:r w:rsidR="000718F6">
        <w:t xml:space="preserve"> and witnessed activities</w:t>
      </w:r>
      <w:r w:rsidR="000A02C9">
        <w:t xml:space="preserve"> have for members in the ways they routinely do. </w:t>
      </w:r>
    </w:p>
    <w:p w14:paraId="0213E984" w14:textId="77777777" w:rsidR="003B5137" w:rsidRDefault="003B5137" w:rsidP="007052A7">
      <w:pPr>
        <w:jc w:val="both"/>
      </w:pPr>
    </w:p>
    <w:p w14:paraId="6BA08BC0" w14:textId="404C5786" w:rsidR="00A56A64" w:rsidRDefault="000A02C9" w:rsidP="007052A7">
      <w:pPr>
        <w:jc w:val="both"/>
      </w:pPr>
      <w:r>
        <w:t>This may strike many as yesterday’s news but we feel it is worth repeating. As social scientists, ethnomethodologists and conversation analysts among them,</w:t>
      </w:r>
      <w:r w:rsidR="00843F9F">
        <w:t xml:space="preserve"> increasingly</w:t>
      </w:r>
      <w:r>
        <w:t xml:space="preserve"> make use of video in their studies of social life,</w:t>
      </w:r>
      <w:r w:rsidR="00B560A8">
        <w:t xml:space="preserve"> for example,</w:t>
      </w:r>
      <w:r>
        <w:t xml:space="preserve"> there is a danger that such studies collapse back into</w:t>
      </w:r>
      <w:r w:rsidR="00843F9F">
        <w:t xml:space="preserve"> the</w:t>
      </w:r>
      <w:r>
        <w:t xml:space="preserve"> sociology </w:t>
      </w:r>
      <w:r w:rsidR="00843F9F">
        <w:t xml:space="preserve">of the </w:t>
      </w:r>
      <w:r>
        <w:t>spectator. Muybridgean collages, under such conditions, can come to be seen as</w:t>
      </w:r>
      <w:r w:rsidR="003B5137">
        <w:t xml:space="preserve"> adequate</w:t>
      </w:r>
      <w:r>
        <w:t xml:space="preserve"> sociological analyses. Such </w:t>
      </w:r>
      <w:r w:rsidR="004A2067">
        <w:t>collages</w:t>
      </w:r>
      <w:r>
        <w:t xml:space="preserve">, however, resurrect the very problems Sacks’ observational studies </w:t>
      </w:r>
      <w:r w:rsidR="000718F6">
        <w:t>worked</w:t>
      </w:r>
      <w:r>
        <w:t xml:space="preserve"> to dissolve. Treating ‘meaningful actions’, for instance, as amalgams of </w:t>
      </w:r>
      <w:r w:rsidR="002410D5">
        <w:t xml:space="preserve">non-meaningful </w:t>
      </w:r>
      <w:r>
        <w:t xml:space="preserve">movements, gestures and other ‘more basic’ elements of conduct puts the componential cart before the analytical horse. Ethnomethodology and conversation analysis may now be </w:t>
      </w:r>
      <w:r w:rsidR="00F06F22">
        <w:t>following different paths but neither can afford to forget Sacks’</w:t>
      </w:r>
      <w:r>
        <w:t xml:space="preserve"> </w:t>
      </w:r>
      <w:r w:rsidR="00F06F22">
        <w:t>starting points: both seek to treat commonsense knowledge of social structures, however it is displayed, as their fundamental phenomenon, but, even though they do, both still start from a social world whose features are known</w:t>
      </w:r>
      <w:r w:rsidR="00B560A8">
        <w:t xml:space="preserve"> </w:t>
      </w:r>
      <w:r w:rsidR="00D0232F">
        <w:t>and knowable by virtue of it</w:t>
      </w:r>
      <w:r w:rsidR="00F06F22">
        <w:t>.</w:t>
      </w:r>
      <w:r w:rsidR="000718F6">
        <w:t xml:space="preserve"> Proceeding otherwise leads to a re-entanglement in ‘the problem of meaning’.</w:t>
      </w:r>
      <w:r w:rsidR="00F06F22">
        <w:t xml:space="preserve"> </w:t>
      </w:r>
      <w:r w:rsidR="00B560A8">
        <w:t>As Sacks shows us,</w:t>
      </w:r>
      <w:r w:rsidR="000718F6">
        <w:t xml:space="preserve"> </w:t>
      </w:r>
      <w:r w:rsidR="00B560A8">
        <w:t>the relationship between action, meaning and understanding</w:t>
      </w:r>
      <w:r w:rsidR="00F06F22">
        <w:t xml:space="preserve"> </w:t>
      </w:r>
      <w:r w:rsidR="00B560A8">
        <w:t xml:space="preserve">is not ordinarily a problem at all, it is only when social activities are approached in a particular way that </w:t>
      </w:r>
      <w:r w:rsidR="008B4B46">
        <w:t>it</w:t>
      </w:r>
      <w:r w:rsidR="00B560A8">
        <w:t xml:space="preserve"> </w:t>
      </w:r>
      <w:r w:rsidR="000718F6">
        <w:t>become</w:t>
      </w:r>
      <w:r w:rsidR="008B4B46">
        <w:t>s</w:t>
      </w:r>
      <w:r w:rsidR="000718F6">
        <w:t xml:space="preserve"> problematic</w:t>
      </w:r>
      <w:r w:rsidR="00B560A8">
        <w:t xml:space="preserve"> – the problem</w:t>
      </w:r>
      <w:r w:rsidR="000718F6">
        <w:t xml:space="preserve"> of meaning</w:t>
      </w:r>
      <w:r w:rsidR="00B560A8">
        <w:t xml:space="preserve"> is thus </w:t>
      </w:r>
      <w:proofErr w:type="spellStart"/>
      <w:r w:rsidR="00B560A8">
        <w:t>methodogenic</w:t>
      </w:r>
      <w:proofErr w:type="spellEnd"/>
      <w:r w:rsidR="00B560A8">
        <w:t>, a conceptual oubliette of t</w:t>
      </w:r>
      <w:r w:rsidR="00C0610A">
        <w:t>he social scientist’s own devising</w:t>
      </w:r>
      <w:r w:rsidR="00B560A8">
        <w:t>. The only way of avoiding this self-constructed trap is to ensure the “methods persons use in doing social life” are recognised as the practical grounds of our inquiries too.</w:t>
      </w:r>
      <w:r w:rsidR="000D794B">
        <w:t xml:space="preserve"> </w:t>
      </w:r>
      <w:r w:rsidR="00F5704B">
        <w:t>We</w:t>
      </w:r>
      <w:r w:rsidR="00F5704B" w:rsidRPr="00F5704B">
        <w:t xml:space="preserve"> can watch </w:t>
      </w:r>
      <w:r w:rsidR="00F5704B">
        <w:t>o</w:t>
      </w:r>
      <w:r w:rsidR="00F5704B" w:rsidRPr="00F5704B">
        <w:t>r film</w:t>
      </w:r>
      <w:r w:rsidR="00F5704B">
        <w:t xml:space="preserve"> people going about their affairs</w:t>
      </w:r>
      <w:r w:rsidR="00F5704B" w:rsidRPr="00F5704B">
        <w:t xml:space="preserve"> as much as </w:t>
      </w:r>
      <w:r w:rsidR="00F5704B">
        <w:t>we</w:t>
      </w:r>
      <w:r w:rsidR="00F5704B" w:rsidRPr="00F5704B">
        <w:t xml:space="preserve"> like but it does not resolve </w:t>
      </w:r>
      <w:r w:rsidR="002410D5">
        <w:t>the</w:t>
      </w:r>
      <w:r w:rsidR="000718F6">
        <w:t xml:space="preserve"> crucial</w:t>
      </w:r>
      <w:r w:rsidR="00F5704B">
        <w:t xml:space="preserve"> </w:t>
      </w:r>
      <w:r w:rsidR="00F5704B" w:rsidRPr="00F5704B">
        <w:t>prior problem</w:t>
      </w:r>
      <w:r w:rsidR="00F5704B">
        <w:t>:</w:t>
      </w:r>
      <w:r w:rsidR="00F5704B" w:rsidRPr="00F5704B">
        <w:t xml:space="preserve"> </w:t>
      </w:r>
      <w:r w:rsidR="00F5704B">
        <w:t>i</w:t>
      </w:r>
      <w:r w:rsidR="00F5704B" w:rsidRPr="00F5704B">
        <w:t xml:space="preserve">f </w:t>
      </w:r>
      <w:r w:rsidR="00F5704B">
        <w:t>we</w:t>
      </w:r>
      <w:r w:rsidR="00F5704B" w:rsidRPr="00F5704B">
        <w:t xml:space="preserve"> don</w:t>
      </w:r>
      <w:r w:rsidR="00F5704B">
        <w:t>’</w:t>
      </w:r>
      <w:r w:rsidR="00F5704B" w:rsidRPr="00F5704B">
        <w:t xml:space="preserve">t know what </w:t>
      </w:r>
      <w:r w:rsidR="00F5704B">
        <w:t>we</w:t>
      </w:r>
      <w:r w:rsidR="00F5704B" w:rsidRPr="00F5704B">
        <w:t xml:space="preserve"> are looking at,</w:t>
      </w:r>
      <w:r w:rsidR="00F5704B">
        <w:t xml:space="preserve"> what the action properly speaking is,</w:t>
      </w:r>
      <w:r w:rsidR="00F5704B" w:rsidRPr="00F5704B">
        <w:t xml:space="preserve"> </w:t>
      </w:r>
      <w:r w:rsidR="00F5704B">
        <w:t>we</w:t>
      </w:r>
      <w:r w:rsidR="00F5704B" w:rsidRPr="00F5704B">
        <w:t xml:space="preserve"> cannot arrive at an account of how it was done</w:t>
      </w:r>
      <w:r w:rsidR="00C527F4">
        <w:t>. This</w:t>
      </w:r>
      <w:r w:rsidR="00F5704B" w:rsidRPr="00F5704B">
        <w:t xml:space="preserve"> because </w:t>
      </w:r>
      <w:r w:rsidR="00F5704B">
        <w:t>what was specifically done</w:t>
      </w:r>
      <w:r w:rsidR="00F5704B" w:rsidRPr="00F5704B">
        <w:t xml:space="preserve"> </w:t>
      </w:r>
      <w:r w:rsidR="00C527F4">
        <w:t>won</w:t>
      </w:r>
      <w:r w:rsidR="00F5704B">
        <w:t>’</w:t>
      </w:r>
      <w:r w:rsidR="00F5704B" w:rsidRPr="00F5704B">
        <w:t>t</w:t>
      </w:r>
      <w:r w:rsidR="00C527F4">
        <w:t xml:space="preserve"> be</w:t>
      </w:r>
      <w:r w:rsidR="00F5704B" w:rsidRPr="00F5704B">
        <w:t xml:space="preserve"> available to </w:t>
      </w:r>
      <w:r w:rsidR="000718F6">
        <w:t>us</w:t>
      </w:r>
      <w:r w:rsidR="008B4B46">
        <w:t>, leaving us to</w:t>
      </w:r>
      <w:r w:rsidR="000718F6">
        <w:t xml:space="preserve"> </w:t>
      </w:r>
      <w:r w:rsidR="008B4B46">
        <w:t>offer</w:t>
      </w:r>
      <w:r w:rsidR="00F5704B">
        <w:t xml:space="preserve"> descriptions in</w:t>
      </w:r>
      <w:r w:rsidR="008B4B46">
        <w:t>to</w:t>
      </w:r>
      <w:r w:rsidR="00F5704B">
        <w:t xml:space="preserve"> a sociological void</w:t>
      </w:r>
      <w:r w:rsidR="00F5704B" w:rsidRPr="00F5704B">
        <w:t>.</w:t>
      </w:r>
      <w:r w:rsidR="00B560A8">
        <w:t xml:space="preserve"> </w:t>
      </w:r>
      <w:r w:rsidR="005E3B1B">
        <w:t xml:space="preserve">That lesson remains as </w:t>
      </w:r>
      <w:r w:rsidR="00F5704B">
        <w:t>important</w:t>
      </w:r>
      <w:r w:rsidR="005E3B1B">
        <w:t xml:space="preserve"> as</w:t>
      </w:r>
      <w:r w:rsidR="000718F6">
        <w:t xml:space="preserve"> it was</w:t>
      </w:r>
      <w:r w:rsidR="005E3B1B">
        <w:t xml:space="preserve"> when Sacks first </w:t>
      </w:r>
      <w:r w:rsidR="00F5704B">
        <w:t>began his demonstrations of its salience in, to and for our everyday practices</w:t>
      </w:r>
      <w:r w:rsidR="00CD5CE1">
        <w:t xml:space="preserve"> and, by extension, studies which</w:t>
      </w:r>
      <w:r w:rsidR="00BD7B38">
        <w:t xml:space="preserve"> might</w:t>
      </w:r>
      <w:r w:rsidR="008B4B46">
        <w:t xml:space="preserve"> seek to</w:t>
      </w:r>
      <w:r w:rsidR="00CD5CE1">
        <w:t xml:space="preserve"> get </w:t>
      </w:r>
      <w:r w:rsidR="00CD5CE1" w:rsidRPr="008B4B46">
        <w:rPr>
          <w:i/>
        </w:rPr>
        <w:t>their</w:t>
      </w:r>
      <w:r w:rsidR="00CD5CE1">
        <w:t xml:space="preserve"> measure</w:t>
      </w:r>
      <w:r w:rsidR="005E3B1B">
        <w:t>.</w:t>
      </w:r>
      <w:r w:rsidR="00DF3ADC">
        <w:t xml:space="preserve"> It</w:t>
      </w:r>
      <w:r w:rsidR="00C527F4">
        <w:t xml:space="preserve"> is</w:t>
      </w:r>
      <w:r w:rsidR="00DF3ADC">
        <w:t xml:space="preserve"> also </w:t>
      </w:r>
      <w:r w:rsidR="00CA6E1E">
        <w:t xml:space="preserve">an insight which </w:t>
      </w:r>
      <w:r w:rsidR="00DF3ADC">
        <w:t>remains as striking for us now as it did upon our first reading.</w:t>
      </w:r>
    </w:p>
    <w:p w14:paraId="4BC67716" w14:textId="17D364CE" w:rsidR="003B037C" w:rsidRDefault="003B037C" w:rsidP="007052A7">
      <w:pPr>
        <w:jc w:val="both"/>
      </w:pPr>
    </w:p>
    <w:p w14:paraId="610BB66E" w14:textId="77777777" w:rsidR="003B037C" w:rsidRDefault="003B037C" w:rsidP="003B037C">
      <w:pPr>
        <w:jc w:val="both"/>
      </w:pPr>
      <w:r w:rsidRPr="00372F3D">
        <w:rPr>
          <w:b/>
        </w:rPr>
        <w:t>References</w:t>
      </w:r>
    </w:p>
    <w:p w14:paraId="196279CC" w14:textId="77777777" w:rsidR="003B037C" w:rsidRDefault="003B037C" w:rsidP="003B037C">
      <w:pPr>
        <w:jc w:val="both"/>
      </w:pPr>
    </w:p>
    <w:p w14:paraId="71E746CC" w14:textId="77777777" w:rsidR="003B037C" w:rsidRDefault="003B037C" w:rsidP="003B037C">
      <w:pPr>
        <w:jc w:val="both"/>
      </w:pPr>
      <w:proofErr w:type="spellStart"/>
      <w:r w:rsidRPr="00770ADC">
        <w:t>Bjelić</w:t>
      </w:r>
      <w:proofErr w:type="spellEnd"/>
      <w:r>
        <w:t>, D.I. (2017)</w:t>
      </w:r>
      <w:r w:rsidRPr="00770ADC">
        <w:t xml:space="preserve"> </w:t>
      </w:r>
      <w:r>
        <w:t>‘“</w:t>
      </w:r>
      <w:r w:rsidRPr="00770ADC">
        <w:t>Hotrodder: A Revolutionary Category”- A Genealogy of a Sacks’</w:t>
      </w:r>
      <w:r>
        <w:t xml:space="preserve"> </w:t>
      </w:r>
      <w:r w:rsidRPr="00770ADC">
        <w:t>Conversation(al) Analytic Method</w:t>
      </w:r>
      <w:r>
        <w:t xml:space="preserve">’, Paper </w:t>
      </w:r>
      <w:r w:rsidRPr="00770ADC">
        <w:t xml:space="preserve">Presented at </w:t>
      </w:r>
      <w:r w:rsidRPr="00F103BE">
        <w:rPr>
          <w:i/>
        </w:rPr>
        <w:t>IIEMCA 2017: A Half-Century of Studies International Institute for Ethnomethodology and Conversation Analysis</w:t>
      </w:r>
      <w:r>
        <w:t xml:space="preserve">, </w:t>
      </w:r>
      <w:r w:rsidRPr="00770ADC">
        <w:t>Otterbein College, Westerville, OH</w:t>
      </w:r>
      <w:r>
        <w:t xml:space="preserve">, </w:t>
      </w:r>
      <w:r w:rsidRPr="00770ADC">
        <w:t>July 10-13, 2017</w:t>
      </w:r>
      <w:r>
        <w:t xml:space="preserve">, available at: </w:t>
      </w:r>
      <w:hyperlink r:id="rId9" w:history="1">
        <w:r w:rsidRPr="003C2C5D">
          <w:rPr>
            <w:rStyle w:val="Hyperlink"/>
          </w:rPr>
          <w:t>https://radicalethno.org/documents/bjelichotrodder.pdf</w:t>
        </w:r>
      </w:hyperlink>
      <w:r>
        <w:t xml:space="preserve"> </w:t>
      </w:r>
    </w:p>
    <w:p w14:paraId="5093E915" w14:textId="77777777" w:rsidR="003B037C" w:rsidRDefault="003B037C" w:rsidP="003B037C">
      <w:pPr>
        <w:jc w:val="both"/>
      </w:pPr>
    </w:p>
    <w:p w14:paraId="5561B6E6" w14:textId="77777777" w:rsidR="003B037C" w:rsidRDefault="003B037C" w:rsidP="003B037C">
      <w:pPr>
        <w:jc w:val="both"/>
      </w:pPr>
      <w:r>
        <w:t>Coulter, J. (</w:t>
      </w:r>
      <w:r w:rsidRPr="00655CBB">
        <w:t>1976</w:t>
      </w:r>
      <w:r>
        <w:t>)</w:t>
      </w:r>
      <w:r w:rsidRPr="00655CBB">
        <w:t xml:space="preserve"> </w:t>
      </w:r>
      <w:r>
        <w:t>‘</w:t>
      </w:r>
      <w:r w:rsidRPr="00655CBB">
        <w:t xml:space="preserve">Harvey Sacks: A </w:t>
      </w:r>
      <w:r>
        <w:t>P</w:t>
      </w:r>
      <w:r w:rsidRPr="00655CBB">
        <w:t xml:space="preserve">reliminary </w:t>
      </w:r>
      <w:r>
        <w:t>A</w:t>
      </w:r>
      <w:r w:rsidRPr="00655CBB">
        <w:t>ppreciation</w:t>
      </w:r>
      <w:r>
        <w:t>’,</w:t>
      </w:r>
      <w:r w:rsidRPr="00655CBB">
        <w:t xml:space="preserve"> </w:t>
      </w:r>
      <w:r w:rsidRPr="00655CBB">
        <w:rPr>
          <w:i/>
          <w:iCs/>
        </w:rPr>
        <w:t>Sociology</w:t>
      </w:r>
      <w:r w:rsidRPr="00655CBB">
        <w:t xml:space="preserve">, </w:t>
      </w:r>
      <w:r w:rsidRPr="00655CBB">
        <w:rPr>
          <w:iCs/>
        </w:rPr>
        <w:t>10</w:t>
      </w:r>
      <w:r w:rsidRPr="00655CBB">
        <w:t>(3)</w:t>
      </w:r>
      <w:r>
        <w:t>:</w:t>
      </w:r>
      <w:r w:rsidRPr="00655CBB">
        <w:t xml:space="preserve"> 507-512</w:t>
      </w:r>
    </w:p>
    <w:p w14:paraId="20B28174" w14:textId="77777777" w:rsidR="003B037C" w:rsidRDefault="003B037C" w:rsidP="003B037C">
      <w:pPr>
        <w:jc w:val="both"/>
      </w:pPr>
    </w:p>
    <w:p w14:paraId="7B1D0831" w14:textId="77777777" w:rsidR="003B037C" w:rsidRDefault="003B037C" w:rsidP="003B037C">
      <w:pPr>
        <w:jc w:val="both"/>
      </w:pPr>
      <w:r w:rsidRPr="001363D6">
        <w:lastRenderedPageBreak/>
        <w:t xml:space="preserve">Coulter, J. </w:t>
      </w:r>
      <w:r>
        <w:t>&amp;</w:t>
      </w:r>
      <w:r w:rsidRPr="001363D6">
        <w:t xml:space="preserve"> Parsons, E.D. </w:t>
      </w:r>
      <w:r>
        <w:t>(</w:t>
      </w:r>
      <w:r w:rsidRPr="001363D6">
        <w:t>1990</w:t>
      </w:r>
      <w:r>
        <w:t>)</w:t>
      </w:r>
      <w:r w:rsidRPr="001363D6">
        <w:t xml:space="preserve"> </w:t>
      </w:r>
      <w:r>
        <w:t>‘</w:t>
      </w:r>
      <w:r w:rsidRPr="001363D6">
        <w:t xml:space="preserve">The </w:t>
      </w:r>
      <w:r>
        <w:t>P</w:t>
      </w:r>
      <w:r w:rsidRPr="001363D6">
        <w:t xml:space="preserve">raxiology of </w:t>
      </w:r>
      <w:r>
        <w:t>P</w:t>
      </w:r>
      <w:r w:rsidRPr="001363D6">
        <w:t xml:space="preserve">erception: Visual Orientations </w:t>
      </w:r>
      <w:r>
        <w:t>a</w:t>
      </w:r>
      <w:r w:rsidRPr="001363D6">
        <w:t>nd Practical Action</w:t>
      </w:r>
      <w:r>
        <w:t>’,</w:t>
      </w:r>
      <w:r w:rsidRPr="001363D6">
        <w:t xml:space="preserve"> </w:t>
      </w:r>
      <w:r w:rsidRPr="001363D6">
        <w:rPr>
          <w:i/>
        </w:rPr>
        <w:t>Inquiry</w:t>
      </w:r>
      <w:r w:rsidRPr="001363D6">
        <w:t>, 33(3)</w:t>
      </w:r>
      <w:r>
        <w:t xml:space="preserve">: </w:t>
      </w:r>
      <w:r w:rsidRPr="001363D6">
        <w:t>251-272</w:t>
      </w:r>
    </w:p>
    <w:p w14:paraId="23D043D4" w14:textId="77777777" w:rsidR="003B037C" w:rsidRDefault="003B037C" w:rsidP="003B037C">
      <w:pPr>
        <w:jc w:val="both"/>
      </w:pPr>
    </w:p>
    <w:p w14:paraId="07C6D198" w14:textId="77777777" w:rsidR="003B037C" w:rsidRPr="00554505" w:rsidRDefault="003B037C" w:rsidP="003B037C">
      <w:pPr>
        <w:jc w:val="both"/>
      </w:pPr>
      <w:r w:rsidRPr="00554505">
        <w:t xml:space="preserve">Ebersole, F. (2001) </w:t>
      </w:r>
      <w:r w:rsidRPr="00554505">
        <w:rPr>
          <w:rFonts w:hint="eastAsia"/>
        </w:rPr>
        <w:t>‘</w:t>
      </w:r>
      <w:r w:rsidRPr="00554505">
        <w:t>Where the Action is</w:t>
      </w:r>
      <w:r w:rsidRPr="00554505">
        <w:rPr>
          <w:rFonts w:hint="eastAsia"/>
        </w:rPr>
        <w:t>’</w:t>
      </w:r>
      <w:r w:rsidRPr="00554505">
        <w:t>,</w:t>
      </w:r>
      <w:r>
        <w:t xml:space="preserve"> pp.</w:t>
      </w:r>
      <w:r w:rsidRPr="00554505">
        <w:t xml:space="preserve"> </w:t>
      </w:r>
      <w:r>
        <w:t>356-381 in</w:t>
      </w:r>
      <w:r w:rsidRPr="00554505">
        <w:t xml:space="preserve"> Ebersole, F. (ed.) </w:t>
      </w:r>
      <w:r w:rsidRPr="00554505">
        <w:rPr>
          <w:i/>
          <w:iCs/>
        </w:rPr>
        <w:t>Things We Know: Fifteen Essays in the Problem of Knowledg</w:t>
      </w:r>
      <w:r w:rsidRPr="00554505">
        <w:t>e, Philadelphia, PA: Xlibris</w:t>
      </w:r>
    </w:p>
    <w:p w14:paraId="716362D2" w14:textId="77777777" w:rsidR="003B037C" w:rsidRDefault="003B037C" w:rsidP="003B037C">
      <w:pPr>
        <w:jc w:val="both"/>
      </w:pPr>
    </w:p>
    <w:p w14:paraId="0CD311BF" w14:textId="77777777" w:rsidR="003B037C" w:rsidRDefault="003B037C" w:rsidP="003B037C">
      <w:pPr>
        <w:jc w:val="both"/>
      </w:pPr>
      <w:r>
        <w:t xml:space="preserve">Fish, S. (2018) ‘The Interpretive Poverty of Data’, online article, available at: </w:t>
      </w:r>
      <w:hyperlink r:id="rId10" w:history="1">
        <w:r w:rsidRPr="00BE4A6B">
          <w:rPr>
            <w:rStyle w:val="Hyperlink"/>
          </w:rPr>
          <w:t>https://balkin.blogspot.com/2018/03/the-interpretive-poverty-of-data.html</w:t>
        </w:r>
      </w:hyperlink>
      <w:r>
        <w:t xml:space="preserve"> </w:t>
      </w:r>
    </w:p>
    <w:p w14:paraId="185C7ED1" w14:textId="77777777" w:rsidR="003B037C" w:rsidRDefault="003B037C" w:rsidP="003B037C">
      <w:pPr>
        <w:jc w:val="both"/>
      </w:pPr>
    </w:p>
    <w:p w14:paraId="2F79D4C5" w14:textId="77777777" w:rsidR="003B037C" w:rsidRDefault="003B037C" w:rsidP="003B037C">
      <w:pPr>
        <w:jc w:val="both"/>
      </w:pPr>
      <w:r w:rsidRPr="00407778">
        <w:t>Fitzgerald, R.</w:t>
      </w:r>
      <w:r>
        <w:t xml:space="preserve"> (</w:t>
      </w:r>
      <w:r w:rsidRPr="00407778">
        <w:t>2012</w:t>
      </w:r>
      <w:r>
        <w:t>)</w:t>
      </w:r>
      <w:r w:rsidRPr="00407778">
        <w:t xml:space="preserve"> </w:t>
      </w:r>
      <w:r>
        <w:t>‘</w:t>
      </w:r>
      <w:r w:rsidRPr="00407778">
        <w:t xml:space="preserve">Membership Categorization Analysis: Wild and </w:t>
      </w:r>
      <w:r>
        <w:t>P</w:t>
      </w:r>
      <w:r w:rsidRPr="00407778">
        <w:t xml:space="preserve">romiscuous or </w:t>
      </w:r>
      <w:r>
        <w:t>S</w:t>
      </w:r>
      <w:r w:rsidRPr="00407778">
        <w:t xml:space="preserve">imply the </w:t>
      </w:r>
      <w:r>
        <w:t>J</w:t>
      </w:r>
      <w:r w:rsidRPr="00407778">
        <w:t>oy of Sacks?</w:t>
      </w:r>
      <w:r>
        <w:t>’,</w:t>
      </w:r>
      <w:r w:rsidRPr="00407778">
        <w:t xml:space="preserve"> </w:t>
      </w:r>
      <w:r w:rsidRPr="00407778">
        <w:rPr>
          <w:i/>
        </w:rPr>
        <w:t>Discourse Studies</w:t>
      </w:r>
      <w:r w:rsidRPr="00407778">
        <w:t>, 14(3)</w:t>
      </w:r>
      <w:r>
        <w:t xml:space="preserve">: </w:t>
      </w:r>
      <w:r w:rsidRPr="00407778">
        <w:t>305-311.</w:t>
      </w:r>
    </w:p>
    <w:p w14:paraId="6FE44FEC" w14:textId="77777777" w:rsidR="003B037C" w:rsidRDefault="003B037C" w:rsidP="003B037C">
      <w:pPr>
        <w:jc w:val="both"/>
      </w:pPr>
    </w:p>
    <w:p w14:paraId="24DB0014" w14:textId="77777777" w:rsidR="003B037C" w:rsidRDefault="003B037C" w:rsidP="003B037C">
      <w:pPr>
        <w:jc w:val="both"/>
      </w:pPr>
      <w:r>
        <w:t xml:space="preserve">Fitzgerald, R. (2018) ‘The Data and Methodology of Harvey Sacks: Lessons from the Archive’, </w:t>
      </w:r>
      <w:r w:rsidRPr="00407778">
        <w:rPr>
          <w:i/>
        </w:rPr>
        <w:t>Journal of Pragmatics</w:t>
      </w:r>
      <w:r>
        <w:t>, DOI: 10.1016/j.pragma.2018.04.005</w:t>
      </w:r>
    </w:p>
    <w:p w14:paraId="009ED61D" w14:textId="77777777" w:rsidR="003B037C" w:rsidRDefault="003B037C" w:rsidP="003B037C">
      <w:pPr>
        <w:jc w:val="both"/>
      </w:pPr>
    </w:p>
    <w:p w14:paraId="6888B7A7" w14:textId="77777777" w:rsidR="003B037C" w:rsidRDefault="003B037C" w:rsidP="003B037C">
      <w:pPr>
        <w:jc w:val="both"/>
      </w:pPr>
      <w:r>
        <w:t xml:space="preserve">Foucault, M. (1973) </w:t>
      </w:r>
      <w:r w:rsidRPr="004A397A">
        <w:rPr>
          <w:i/>
        </w:rPr>
        <w:t>The Birth of the Clinic: An Archaeology of Medical Perception</w:t>
      </w:r>
      <w:r>
        <w:t>, London: Tavistock</w:t>
      </w:r>
    </w:p>
    <w:p w14:paraId="5FFA6672" w14:textId="77777777" w:rsidR="003B037C" w:rsidRDefault="003B037C" w:rsidP="003B037C">
      <w:pPr>
        <w:jc w:val="both"/>
      </w:pPr>
    </w:p>
    <w:p w14:paraId="2439147C" w14:textId="77777777" w:rsidR="003B037C" w:rsidRDefault="003B037C" w:rsidP="003B037C">
      <w:pPr>
        <w:jc w:val="both"/>
      </w:pPr>
      <w:r w:rsidRPr="00080612">
        <w:t xml:space="preserve">Garfinkel, H. (2015) </w:t>
      </w:r>
      <w:r w:rsidRPr="00E03AEE">
        <w:rPr>
          <w:i/>
        </w:rPr>
        <w:t>Seeing Sociologically: The Routine Grounds of Social Action</w:t>
      </w:r>
      <w:r w:rsidRPr="00080612">
        <w:t>, London: Routledge</w:t>
      </w:r>
    </w:p>
    <w:p w14:paraId="3CD39032" w14:textId="77777777" w:rsidR="003B037C" w:rsidRDefault="003B037C" w:rsidP="003B037C">
      <w:pPr>
        <w:jc w:val="both"/>
      </w:pPr>
    </w:p>
    <w:p w14:paraId="1B4F9C04" w14:textId="77777777" w:rsidR="003B037C" w:rsidRPr="00080612" w:rsidRDefault="003B037C" w:rsidP="003B037C">
      <w:pPr>
        <w:jc w:val="both"/>
      </w:pPr>
      <w:r w:rsidRPr="00080612">
        <w:t xml:space="preserve">Garfinkel, H. &amp; Sacks, H. (1970) ‘On Formal Structures of Practical Actions’, pp. 338-66 in McKinney, J.C. &amp; </w:t>
      </w:r>
      <w:proofErr w:type="spellStart"/>
      <w:r w:rsidRPr="00080612">
        <w:t>Tiryakian</w:t>
      </w:r>
      <w:proofErr w:type="spellEnd"/>
      <w:r w:rsidRPr="00080612">
        <w:t xml:space="preserve">, E. (eds.) </w:t>
      </w:r>
      <w:r w:rsidRPr="00080612">
        <w:rPr>
          <w:i/>
        </w:rPr>
        <w:t>Theoretical Sociology</w:t>
      </w:r>
      <w:r w:rsidRPr="00080612">
        <w:t>, New York, NY: Appleton Century Crofts</w:t>
      </w:r>
    </w:p>
    <w:p w14:paraId="582114BA" w14:textId="77777777" w:rsidR="003B037C" w:rsidRDefault="003B037C" w:rsidP="003B037C">
      <w:pPr>
        <w:jc w:val="both"/>
      </w:pPr>
    </w:p>
    <w:p w14:paraId="08250428" w14:textId="77777777" w:rsidR="003B037C" w:rsidRDefault="003B037C" w:rsidP="003B037C">
      <w:pPr>
        <w:jc w:val="both"/>
      </w:pPr>
      <w:r>
        <w:t xml:space="preserve">Hughes, R. (1980) </w:t>
      </w:r>
      <w:r w:rsidRPr="006F5E20">
        <w:rPr>
          <w:i/>
        </w:rPr>
        <w:t>The Shock of the New</w:t>
      </w:r>
      <w:r>
        <w:t>, London: BBC</w:t>
      </w:r>
    </w:p>
    <w:p w14:paraId="0F1D2B2E" w14:textId="77777777" w:rsidR="003B037C" w:rsidRDefault="003B037C" w:rsidP="003B037C">
      <w:pPr>
        <w:jc w:val="both"/>
      </w:pPr>
    </w:p>
    <w:p w14:paraId="6D0E4379" w14:textId="77777777" w:rsidR="003B037C" w:rsidRPr="003568F1" w:rsidRDefault="003B037C" w:rsidP="003B037C">
      <w:pPr>
        <w:jc w:val="both"/>
      </w:pPr>
      <w:r w:rsidRPr="003568F1">
        <w:t xml:space="preserve">Hutchinson, P. (2012) ‘Two Worlds of Action: Social Science, Social Theory and Systems of Sociological Refraction’, </w:t>
      </w:r>
      <w:r w:rsidRPr="003568F1">
        <w:rPr>
          <w:i/>
        </w:rPr>
        <w:t>Russian Sociological Review</w:t>
      </w:r>
      <w:r w:rsidRPr="003568F1">
        <w:t>, 11(2): 75-99</w:t>
      </w:r>
    </w:p>
    <w:p w14:paraId="573F68E6" w14:textId="77777777" w:rsidR="003B037C" w:rsidRDefault="003B037C" w:rsidP="003B037C">
      <w:pPr>
        <w:jc w:val="both"/>
      </w:pPr>
    </w:p>
    <w:p w14:paraId="36A827C8" w14:textId="77777777" w:rsidR="003B037C" w:rsidRDefault="003B037C" w:rsidP="003B037C">
      <w:pPr>
        <w:jc w:val="both"/>
      </w:pPr>
      <w:r w:rsidRPr="00D86CEA">
        <w:t xml:space="preserve">Lavin, D. </w:t>
      </w:r>
      <w:r>
        <w:t>(</w:t>
      </w:r>
      <w:r w:rsidRPr="00D86CEA">
        <w:t>2013</w:t>
      </w:r>
      <w:r>
        <w:t>)</w:t>
      </w:r>
      <w:r w:rsidRPr="00D86CEA">
        <w:t xml:space="preserve"> </w:t>
      </w:r>
      <w:r>
        <w:t>‘</w:t>
      </w:r>
      <w:r w:rsidRPr="00D86CEA">
        <w:t xml:space="preserve">Must </w:t>
      </w:r>
      <w:r>
        <w:t>T</w:t>
      </w:r>
      <w:r w:rsidRPr="00D86CEA">
        <w:t xml:space="preserve">here </w:t>
      </w:r>
      <w:r>
        <w:t>B</w:t>
      </w:r>
      <w:r w:rsidRPr="00D86CEA">
        <w:t xml:space="preserve">e </w:t>
      </w:r>
      <w:r>
        <w:t>B</w:t>
      </w:r>
      <w:r w:rsidRPr="00D86CEA">
        <w:t xml:space="preserve">asic </w:t>
      </w:r>
      <w:r>
        <w:t>A</w:t>
      </w:r>
      <w:r w:rsidRPr="00D86CEA">
        <w:t>ction?</w:t>
      </w:r>
      <w:r>
        <w:t>’,</w:t>
      </w:r>
      <w:r w:rsidRPr="00D86CEA">
        <w:t xml:space="preserve"> </w:t>
      </w:r>
      <w:proofErr w:type="spellStart"/>
      <w:r w:rsidRPr="00D86CEA">
        <w:rPr>
          <w:i/>
          <w:iCs/>
        </w:rPr>
        <w:t>Noûs</w:t>
      </w:r>
      <w:proofErr w:type="spellEnd"/>
      <w:r w:rsidRPr="00D86CEA">
        <w:t xml:space="preserve">, </w:t>
      </w:r>
      <w:r w:rsidRPr="00D86CEA">
        <w:rPr>
          <w:iCs/>
        </w:rPr>
        <w:t>47</w:t>
      </w:r>
      <w:r w:rsidRPr="00D86CEA">
        <w:t>(2)</w:t>
      </w:r>
      <w:r>
        <w:t xml:space="preserve">: </w:t>
      </w:r>
      <w:r w:rsidRPr="00D86CEA">
        <w:t>273-301</w:t>
      </w:r>
    </w:p>
    <w:p w14:paraId="6C0AF088" w14:textId="77777777" w:rsidR="003B037C" w:rsidRDefault="003B037C" w:rsidP="003B037C">
      <w:pPr>
        <w:jc w:val="both"/>
      </w:pPr>
    </w:p>
    <w:p w14:paraId="7ABA792E" w14:textId="77777777" w:rsidR="003B037C" w:rsidRDefault="003B037C" w:rsidP="003B037C">
      <w:pPr>
        <w:jc w:val="both"/>
      </w:pPr>
      <w:r>
        <w:t xml:space="preserve">Livingston, E. (1987) </w:t>
      </w:r>
      <w:r w:rsidRPr="00C0610A">
        <w:rPr>
          <w:i/>
        </w:rPr>
        <w:t>Making Sense of Ethnomethodology</w:t>
      </w:r>
      <w:r>
        <w:t>, London: Routledge</w:t>
      </w:r>
    </w:p>
    <w:p w14:paraId="5EC7C994" w14:textId="77777777" w:rsidR="003B037C" w:rsidRDefault="003B037C" w:rsidP="003B037C">
      <w:pPr>
        <w:jc w:val="both"/>
      </w:pPr>
    </w:p>
    <w:p w14:paraId="318D13F3" w14:textId="77777777" w:rsidR="003B037C" w:rsidRDefault="003B037C" w:rsidP="003B037C">
      <w:pPr>
        <w:jc w:val="both"/>
      </w:pPr>
      <w:r>
        <w:t xml:space="preserve">Livingston, E. (1995) </w:t>
      </w:r>
      <w:r w:rsidRPr="006F5E20">
        <w:rPr>
          <w:i/>
        </w:rPr>
        <w:t>An Anthropology of Reading</w:t>
      </w:r>
      <w:r>
        <w:t xml:space="preserve">, Bloomington, IN: </w:t>
      </w:r>
      <w:r w:rsidRPr="006F5E20">
        <w:t>Indiana University Press</w:t>
      </w:r>
      <w:r>
        <w:t xml:space="preserve"> </w:t>
      </w:r>
    </w:p>
    <w:p w14:paraId="0C431B4F" w14:textId="77777777" w:rsidR="003B037C" w:rsidRDefault="003B037C" w:rsidP="003B037C">
      <w:pPr>
        <w:jc w:val="both"/>
      </w:pPr>
    </w:p>
    <w:p w14:paraId="057B6ADD" w14:textId="77777777" w:rsidR="003B037C" w:rsidRPr="00407778" w:rsidRDefault="003B037C" w:rsidP="003B037C">
      <w:pPr>
        <w:jc w:val="both"/>
        <w:rPr>
          <w:lang w:val="en-US"/>
        </w:rPr>
      </w:pPr>
      <w:r w:rsidRPr="00407778">
        <w:rPr>
          <w:lang w:val="en-US"/>
        </w:rPr>
        <w:t xml:space="preserve">Lynch, M. </w:t>
      </w:r>
      <w:r>
        <w:rPr>
          <w:lang w:val="en-US"/>
        </w:rPr>
        <w:t>(</w:t>
      </w:r>
      <w:r w:rsidRPr="00407778">
        <w:rPr>
          <w:lang w:val="en-US"/>
        </w:rPr>
        <w:t>1993</w:t>
      </w:r>
      <w:r>
        <w:rPr>
          <w:lang w:val="en-US"/>
        </w:rPr>
        <w:t>)</w:t>
      </w:r>
      <w:r w:rsidRPr="00407778">
        <w:rPr>
          <w:lang w:val="en-US"/>
        </w:rPr>
        <w:t xml:space="preserve"> </w:t>
      </w:r>
      <w:r w:rsidRPr="00407778">
        <w:rPr>
          <w:i/>
          <w:lang w:val="en-US"/>
        </w:rPr>
        <w:t>Scientific Practice and Ordinary Action: Ethnomethodology and Social Studies of Science</w:t>
      </w:r>
      <w:r>
        <w:rPr>
          <w:lang w:val="en-US"/>
        </w:rPr>
        <w:t>,</w:t>
      </w:r>
      <w:r w:rsidRPr="00407778">
        <w:rPr>
          <w:lang w:val="en-US"/>
        </w:rPr>
        <w:t xml:space="preserve"> Cambridge: Cambridge University Press</w:t>
      </w:r>
    </w:p>
    <w:p w14:paraId="6ABF467F" w14:textId="77777777" w:rsidR="003B037C" w:rsidRDefault="003B037C" w:rsidP="003B037C">
      <w:pPr>
        <w:jc w:val="both"/>
      </w:pPr>
    </w:p>
    <w:p w14:paraId="47006867" w14:textId="77777777" w:rsidR="003B037C" w:rsidRDefault="003B037C" w:rsidP="003B037C">
      <w:pPr>
        <w:jc w:val="both"/>
      </w:pPr>
      <w:r>
        <w:t xml:space="preserve">Lynch, M. (2017) ‘Garfinkel, Sacks and Formal Structures: Collaborative Origins, Divergences and the Vexed Unity of Ethnomethodology and Conversation Analysis’, Keynote Address, </w:t>
      </w:r>
      <w:r w:rsidRPr="00F103BE">
        <w:rPr>
          <w:i/>
        </w:rPr>
        <w:t>IIEMCA 2017: A Half-Century of Studies International Institute for Ethnomethodology and Conversation Analysis,</w:t>
      </w:r>
      <w:r>
        <w:t xml:space="preserve"> Otterbein College, Westerville, OH, July 10-13, 2017, available at: </w:t>
      </w:r>
      <w:hyperlink r:id="rId11" w:history="1">
        <w:r w:rsidRPr="003C2C5D">
          <w:rPr>
            <w:rStyle w:val="Hyperlink"/>
          </w:rPr>
          <w:t>https://radicalethno.org/documents/lynchbanquet.pdf</w:t>
        </w:r>
      </w:hyperlink>
      <w:r>
        <w:t xml:space="preserve"> </w:t>
      </w:r>
    </w:p>
    <w:p w14:paraId="75B21154" w14:textId="77777777" w:rsidR="003B037C" w:rsidRDefault="003B037C" w:rsidP="003B037C">
      <w:pPr>
        <w:jc w:val="both"/>
      </w:pPr>
    </w:p>
    <w:p w14:paraId="4B4FC285" w14:textId="77777777" w:rsidR="003B037C" w:rsidRDefault="003B037C" w:rsidP="003B037C">
      <w:pPr>
        <w:jc w:val="both"/>
      </w:pPr>
      <w:r w:rsidRPr="00080612">
        <w:t xml:space="preserve">Lynch, M. </w:t>
      </w:r>
      <w:r>
        <w:t>&amp;</w:t>
      </w:r>
      <w:r w:rsidRPr="00080612">
        <w:t xml:space="preserve"> Bogen, D. </w:t>
      </w:r>
      <w:r>
        <w:t>(</w:t>
      </w:r>
      <w:r w:rsidRPr="00080612">
        <w:t>1994</w:t>
      </w:r>
      <w:r>
        <w:t>)</w:t>
      </w:r>
      <w:r w:rsidRPr="00080612">
        <w:t xml:space="preserve"> </w:t>
      </w:r>
      <w:r>
        <w:t>‘</w:t>
      </w:r>
      <w:r w:rsidRPr="00080612">
        <w:t>Harvey Sacks</w:t>
      </w:r>
      <w:r>
        <w:t>’</w:t>
      </w:r>
      <w:r w:rsidRPr="00080612">
        <w:t>s Primitive Natural Science</w:t>
      </w:r>
      <w:r>
        <w:t>’,</w:t>
      </w:r>
      <w:r w:rsidRPr="00080612">
        <w:t xml:space="preserve"> </w:t>
      </w:r>
      <w:r w:rsidRPr="00080612">
        <w:rPr>
          <w:i/>
          <w:iCs/>
        </w:rPr>
        <w:t>Theory, Culture &amp; Society</w:t>
      </w:r>
      <w:r w:rsidRPr="00080612">
        <w:t xml:space="preserve">, </w:t>
      </w:r>
      <w:r w:rsidRPr="00080612">
        <w:rPr>
          <w:iCs/>
        </w:rPr>
        <w:t>11</w:t>
      </w:r>
      <w:r w:rsidRPr="00080612">
        <w:t>(4)</w:t>
      </w:r>
      <w:r>
        <w:t xml:space="preserve">: </w:t>
      </w:r>
      <w:r w:rsidRPr="00080612">
        <w:t>65-104</w:t>
      </w:r>
    </w:p>
    <w:p w14:paraId="4DE63DA9" w14:textId="77777777" w:rsidR="003B037C" w:rsidRPr="00554505" w:rsidRDefault="003B037C" w:rsidP="003B037C">
      <w:pPr>
        <w:jc w:val="both"/>
      </w:pPr>
    </w:p>
    <w:p w14:paraId="14D851F7" w14:textId="77777777" w:rsidR="003B037C" w:rsidRPr="00554505" w:rsidRDefault="003B037C" w:rsidP="003B037C">
      <w:pPr>
        <w:jc w:val="both"/>
      </w:pPr>
      <w:r w:rsidRPr="00554505">
        <w:t xml:space="preserve">Read, R., Hutchinson, P &amp; Sharrock, W.W. (2009) </w:t>
      </w:r>
      <w:r w:rsidRPr="00554505">
        <w:rPr>
          <w:i/>
        </w:rPr>
        <w:t>There is No Such Thing as a Social Science: In Defence of Peter Winch</w:t>
      </w:r>
      <w:r w:rsidRPr="00554505">
        <w:t>, Farnham, UK: Ashgate Press</w:t>
      </w:r>
    </w:p>
    <w:p w14:paraId="49CD34D7" w14:textId="77777777" w:rsidR="003B037C" w:rsidRDefault="003B037C" w:rsidP="003B037C">
      <w:pPr>
        <w:jc w:val="both"/>
      </w:pPr>
    </w:p>
    <w:p w14:paraId="6070FA37" w14:textId="77777777" w:rsidR="003B037C" w:rsidRDefault="003B037C" w:rsidP="003B037C">
      <w:pPr>
        <w:jc w:val="both"/>
      </w:pPr>
      <w:r>
        <w:t xml:space="preserve">Sacks, H. (1963) ‘Sociological Description’, </w:t>
      </w:r>
      <w:r w:rsidRPr="00DA4213">
        <w:rPr>
          <w:i/>
          <w:iCs/>
        </w:rPr>
        <w:t xml:space="preserve">Berkeley Journal of Sociology </w:t>
      </w:r>
      <w:r w:rsidRPr="00DA4213">
        <w:t>8(1): 1</w:t>
      </w:r>
      <w:r>
        <w:t>-</w:t>
      </w:r>
      <w:r w:rsidRPr="00DA4213">
        <w:t>16</w:t>
      </w:r>
    </w:p>
    <w:p w14:paraId="693BEF36" w14:textId="77777777" w:rsidR="003B037C" w:rsidRDefault="003B037C" w:rsidP="003B037C">
      <w:pPr>
        <w:jc w:val="both"/>
      </w:pPr>
    </w:p>
    <w:p w14:paraId="3B54E5A6" w14:textId="77777777" w:rsidR="003B037C" w:rsidRDefault="003B037C" w:rsidP="003B037C">
      <w:pPr>
        <w:jc w:val="both"/>
      </w:pPr>
      <w:r>
        <w:t xml:space="preserve">Sacks, H. </w:t>
      </w:r>
      <w:r w:rsidRPr="00F10FCE">
        <w:t xml:space="preserve">(1972) </w:t>
      </w:r>
      <w:r>
        <w:t>‘</w:t>
      </w:r>
      <w:r w:rsidRPr="00F10FCE">
        <w:t>Notes on Police Assessment of Moral Character</w:t>
      </w:r>
      <w:r>
        <w:t>’, pp280-93 i</w:t>
      </w:r>
      <w:r w:rsidRPr="00F10FCE">
        <w:t>n Sudnow</w:t>
      </w:r>
      <w:r>
        <w:t>, D.</w:t>
      </w:r>
      <w:r w:rsidRPr="00F10FCE">
        <w:t xml:space="preserve"> (ed.) </w:t>
      </w:r>
      <w:r w:rsidRPr="00F10FCE">
        <w:rPr>
          <w:i/>
          <w:iCs/>
        </w:rPr>
        <w:t>Studies in Social</w:t>
      </w:r>
      <w:r>
        <w:rPr>
          <w:i/>
          <w:iCs/>
        </w:rPr>
        <w:t xml:space="preserve"> </w:t>
      </w:r>
      <w:r w:rsidRPr="00F10FCE">
        <w:rPr>
          <w:i/>
          <w:iCs/>
        </w:rPr>
        <w:t>Interaction</w:t>
      </w:r>
      <w:r>
        <w:t>, Glencoe, IL:</w:t>
      </w:r>
      <w:r w:rsidRPr="00F10FCE">
        <w:t xml:space="preserve"> The Free Press</w:t>
      </w:r>
    </w:p>
    <w:p w14:paraId="42FAF4E2" w14:textId="77777777" w:rsidR="003B037C" w:rsidRDefault="003B037C" w:rsidP="003B037C">
      <w:pPr>
        <w:jc w:val="both"/>
      </w:pPr>
    </w:p>
    <w:p w14:paraId="30916B4D" w14:textId="77777777" w:rsidR="003B037C" w:rsidRDefault="003B037C" w:rsidP="003B037C">
      <w:pPr>
        <w:jc w:val="both"/>
      </w:pPr>
      <w:r w:rsidRPr="00407778">
        <w:t xml:space="preserve">Sacks, H. </w:t>
      </w:r>
      <w:r>
        <w:t>(</w:t>
      </w:r>
      <w:r w:rsidRPr="00407778">
        <w:t>1984</w:t>
      </w:r>
      <w:r>
        <w:t>a)</w:t>
      </w:r>
      <w:r w:rsidRPr="00407778">
        <w:t xml:space="preserve"> </w:t>
      </w:r>
      <w:r>
        <w:t>‘</w:t>
      </w:r>
      <w:r w:rsidRPr="00407778">
        <w:t xml:space="preserve">Notes on </w:t>
      </w:r>
      <w:r>
        <w:t>M</w:t>
      </w:r>
      <w:r w:rsidRPr="00407778">
        <w:t>ethodology</w:t>
      </w:r>
      <w:r>
        <w:t xml:space="preserve">’, </w:t>
      </w:r>
      <w:r w:rsidRPr="00407778">
        <w:t>pp.</w:t>
      </w:r>
      <w:r>
        <w:t xml:space="preserve"> </w:t>
      </w:r>
      <w:r w:rsidRPr="00407778">
        <w:t>21-27</w:t>
      </w:r>
      <w:r>
        <w:t xml:space="preserve"> in Atkinson, J.M. &amp; Heritage, J. (eds.)</w:t>
      </w:r>
      <w:r w:rsidRPr="00407778">
        <w:t xml:space="preserve"> </w:t>
      </w:r>
      <w:r w:rsidRPr="00407778">
        <w:rPr>
          <w:i/>
          <w:iCs/>
        </w:rPr>
        <w:t xml:space="preserve">Structures of </w:t>
      </w:r>
      <w:r>
        <w:rPr>
          <w:i/>
          <w:iCs/>
        </w:rPr>
        <w:t>S</w:t>
      </w:r>
      <w:r w:rsidRPr="00407778">
        <w:rPr>
          <w:i/>
          <w:iCs/>
        </w:rPr>
        <w:t xml:space="preserve">ocial action: Studies in </w:t>
      </w:r>
      <w:r>
        <w:rPr>
          <w:i/>
          <w:iCs/>
        </w:rPr>
        <w:t>C</w:t>
      </w:r>
      <w:r w:rsidRPr="00407778">
        <w:rPr>
          <w:i/>
          <w:iCs/>
        </w:rPr>
        <w:t xml:space="preserve">onversation </w:t>
      </w:r>
      <w:r>
        <w:rPr>
          <w:i/>
          <w:iCs/>
        </w:rPr>
        <w:t>A</w:t>
      </w:r>
      <w:r w:rsidRPr="00407778">
        <w:rPr>
          <w:i/>
          <w:iCs/>
        </w:rPr>
        <w:t>nalysis</w:t>
      </w:r>
      <w:r w:rsidRPr="00407778">
        <w:t>,</w:t>
      </w:r>
      <w:r>
        <w:t xml:space="preserve"> </w:t>
      </w:r>
      <w:r w:rsidRPr="00080612">
        <w:t>Cambridge</w:t>
      </w:r>
      <w:r>
        <w:t>:</w:t>
      </w:r>
      <w:r w:rsidRPr="00080612">
        <w:t xml:space="preserve"> Cambridge University Press</w:t>
      </w:r>
    </w:p>
    <w:p w14:paraId="55CE43B6" w14:textId="77777777" w:rsidR="003B037C" w:rsidRDefault="003B037C" w:rsidP="003B037C">
      <w:pPr>
        <w:jc w:val="both"/>
      </w:pPr>
    </w:p>
    <w:p w14:paraId="650875AE" w14:textId="77777777" w:rsidR="003B037C" w:rsidRDefault="003B037C" w:rsidP="003B037C">
      <w:pPr>
        <w:jc w:val="both"/>
      </w:pPr>
      <w:r w:rsidRPr="00407778">
        <w:t xml:space="preserve">Sacks, H. </w:t>
      </w:r>
      <w:r>
        <w:t>(</w:t>
      </w:r>
      <w:r w:rsidRPr="00407778">
        <w:t>1984</w:t>
      </w:r>
      <w:r>
        <w:t>b)</w:t>
      </w:r>
      <w:r w:rsidRPr="00407778">
        <w:t xml:space="preserve"> </w:t>
      </w:r>
      <w:r>
        <w:t xml:space="preserve">‘On Doing “Being Ordinary”’, </w:t>
      </w:r>
      <w:r w:rsidRPr="00407778">
        <w:t>pp.</w:t>
      </w:r>
      <w:r>
        <w:t xml:space="preserve"> </w:t>
      </w:r>
      <w:r w:rsidRPr="00080612">
        <w:t>413-429</w:t>
      </w:r>
      <w:r>
        <w:t xml:space="preserve"> in Atkinson, J.M. &amp; Heritage, J. (eds.)</w:t>
      </w:r>
      <w:r w:rsidRPr="00407778">
        <w:t xml:space="preserve"> </w:t>
      </w:r>
      <w:r w:rsidRPr="00407778">
        <w:rPr>
          <w:i/>
          <w:iCs/>
        </w:rPr>
        <w:t xml:space="preserve">Structures of </w:t>
      </w:r>
      <w:r>
        <w:rPr>
          <w:i/>
          <w:iCs/>
        </w:rPr>
        <w:t>S</w:t>
      </w:r>
      <w:r w:rsidRPr="00407778">
        <w:rPr>
          <w:i/>
          <w:iCs/>
        </w:rPr>
        <w:t xml:space="preserve">ocial action: Studies in </w:t>
      </w:r>
      <w:r>
        <w:rPr>
          <w:i/>
          <w:iCs/>
        </w:rPr>
        <w:t>C</w:t>
      </w:r>
      <w:r w:rsidRPr="00407778">
        <w:rPr>
          <w:i/>
          <w:iCs/>
        </w:rPr>
        <w:t xml:space="preserve">onversation </w:t>
      </w:r>
      <w:r>
        <w:rPr>
          <w:i/>
          <w:iCs/>
        </w:rPr>
        <w:t>A</w:t>
      </w:r>
      <w:r w:rsidRPr="00407778">
        <w:rPr>
          <w:i/>
          <w:iCs/>
        </w:rPr>
        <w:t>nalysis</w:t>
      </w:r>
      <w:r w:rsidRPr="00407778">
        <w:t>,</w:t>
      </w:r>
      <w:r>
        <w:t xml:space="preserve"> </w:t>
      </w:r>
      <w:r w:rsidRPr="00080612">
        <w:t>Cambridge</w:t>
      </w:r>
      <w:r>
        <w:t>:</w:t>
      </w:r>
      <w:r w:rsidRPr="00080612">
        <w:t xml:space="preserve"> Cambridge University Press</w:t>
      </w:r>
    </w:p>
    <w:p w14:paraId="109788E1" w14:textId="77777777" w:rsidR="003B037C" w:rsidRDefault="003B037C" w:rsidP="003B037C">
      <w:pPr>
        <w:jc w:val="both"/>
      </w:pPr>
    </w:p>
    <w:p w14:paraId="206ACC19" w14:textId="77777777" w:rsidR="003B037C" w:rsidRPr="00372F3D" w:rsidRDefault="003B037C" w:rsidP="003B037C">
      <w:pPr>
        <w:jc w:val="both"/>
      </w:pPr>
      <w:r>
        <w:t xml:space="preserve">Sacks, H. (1992) Jefferson, G. (ed.) </w:t>
      </w:r>
      <w:r w:rsidRPr="00F77CB3">
        <w:rPr>
          <w:i/>
        </w:rPr>
        <w:t>Lectures on Conversation</w:t>
      </w:r>
      <w:r>
        <w:rPr>
          <w:i/>
        </w:rPr>
        <w:t>:</w:t>
      </w:r>
      <w:r w:rsidRPr="00F77CB3">
        <w:rPr>
          <w:i/>
        </w:rPr>
        <w:t xml:space="preserve"> Vol</w:t>
      </w:r>
      <w:r>
        <w:rPr>
          <w:i/>
        </w:rPr>
        <w:t>umes</w:t>
      </w:r>
      <w:r w:rsidRPr="00F77CB3">
        <w:rPr>
          <w:i/>
        </w:rPr>
        <w:t xml:space="preserve"> 1 &amp; 2</w:t>
      </w:r>
      <w:r>
        <w:t>, Oxford: Blackwell</w:t>
      </w:r>
    </w:p>
    <w:p w14:paraId="3C24A2F0" w14:textId="77777777" w:rsidR="003B037C" w:rsidRDefault="003B037C" w:rsidP="003B037C">
      <w:pPr>
        <w:jc w:val="both"/>
      </w:pPr>
    </w:p>
    <w:p w14:paraId="648BB271" w14:textId="77777777" w:rsidR="003B037C" w:rsidRDefault="003B037C" w:rsidP="003B037C">
      <w:pPr>
        <w:jc w:val="both"/>
      </w:pPr>
      <w:r w:rsidRPr="00294A34">
        <w:t xml:space="preserve">Sacks, H. </w:t>
      </w:r>
      <w:r>
        <w:t>(</w:t>
      </w:r>
      <w:r w:rsidRPr="00294A34">
        <w:t>1999</w:t>
      </w:r>
      <w:r>
        <w:t>)</w:t>
      </w:r>
      <w:r w:rsidRPr="00294A34">
        <w:t xml:space="preserve"> </w:t>
      </w:r>
      <w:r>
        <w:t>‘</w:t>
      </w:r>
      <w:r w:rsidRPr="00294A34">
        <w:t>Max Weber</w:t>
      </w:r>
      <w:r>
        <w:t>’</w:t>
      </w:r>
      <w:r w:rsidRPr="00294A34">
        <w:t>s Ancient Judaism</w:t>
      </w:r>
      <w:r>
        <w:t>’,</w:t>
      </w:r>
      <w:r w:rsidRPr="00294A34">
        <w:t xml:space="preserve"> </w:t>
      </w:r>
      <w:r w:rsidRPr="00294A34">
        <w:rPr>
          <w:i/>
          <w:iCs/>
        </w:rPr>
        <w:t xml:space="preserve">Theory, </w:t>
      </w:r>
      <w:r>
        <w:rPr>
          <w:i/>
          <w:iCs/>
        </w:rPr>
        <w:t>C</w:t>
      </w:r>
      <w:r w:rsidRPr="00294A34">
        <w:rPr>
          <w:i/>
          <w:iCs/>
        </w:rPr>
        <w:t xml:space="preserve">ulture &amp; </w:t>
      </w:r>
      <w:r>
        <w:rPr>
          <w:i/>
          <w:iCs/>
        </w:rPr>
        <w:t>S</w:t>
      </w:r>
      <w:r w:rsidRPr="00294A34">
        <w:rPr>
          <w:i/>
          <w:iCs/>
        </w:rPr>
        <w:t>ociety</w:t>
      </w:r>
      <w:r w:rsidRPr="00294A34">
        <w:t xml:space="preserve">, </w:t>
      </w:r>
      <w:r w:rsidRPr="00294A34">
        <w:rPr>
          <w:iCs/>
        </w:rPr>
        <w:t>16</w:t>
      </w:r>
      <w:r w:rsidRPr="00294A34">
        <w:t>(1)</w:t>
      </w:r>
      <w:r>
        <w:t>:</w:t>
      </w:r>
      <w:r w:rsidRPr="00294A34">
        <w:t xml:space="preserve"> 31-39</w:t>
      </w:r>
    </w:p>
    <w:p w14:paraId="5E499069" w14:textId="77777777" w:rsidR="003B037C" w:rsidRDefault="003B037C" w:rsidP="003B037C">
      <w:pPr>
        <w:jc w:val="both"/>
      </w:pPr>
    </w:p>
    <w:p w14:paraId="4735F38C" w14:textId="77777777" w:rsidR="003B037C" w:rsidRDefault="003B037C" w:rsidP="003B037C">
      <w:pPr>
        <w:jc w:val="both"/>
      </w:pPr>
      <w:r w:rsidRPr="00554505">
        <w:t>Schegloff, E</w:t>
      </w:r>
      <w:r>
        <w:t>.</w:t>
      </w:r>
      <w:r w:rsidRPr="00554505">
        <w:t>A. (1992</w:t>
      </w:r>
      <w:r>
        <w:t>a</w:t>
      </w:r>
      <w:r w:rsidRPr="00554505">
        <w:t xml:space="preserve">) </w:t>
      </w:r>
      <w:r>
        <w:t>‘</w:t>
      </w:r>
      <w:r w:rsidRPr="00554505">
        <w:t>Introduction</w:t>
      </w:r>
      <w:r>
        <w:t>’</w:t>
      </w:r>
      <w:r w:rsidRPr="00554505">
        <w:t>.</w:t>
      </w:r>
      <w:r>
        <w:t xml:space="preserve"> p</w:t>
      </w:r>
      <w:r w:rsidRPr="00554505">
        <w:t>p. ix-lxii in Sacks,</w:t>
      </w:r>
      <w:r>
        <w:t xml:space="preserve"> H., (1992) </w:t>
      </w:r>
      <w:r w:rsidRPr="00554505">
        <w:rPr>
          <w:i/>
          <w:iCs/>
        </w:rPr>
        <w:t>Lectures</w:t>
      </w:r>
      <w:r>
        <w:rPr>
          <w:i/>
          <w:iCs/>
        </w:rPr>
        <w:t xml:space="preserve"> </w:t>
      </w:r>
      <w:r w:rsidRPr="00554505">
        <w:rPr>
          <w:i/>
          <w:iCs/>
        </w:rPr>
        <w:t>on Conversation</w:t>
      </w:r>
      <w:r w:rsidRPr="00554505">
        <w:rPr>
          <w:i/>
        </w:rPr>
        <w:t>, Vol</w:t>
      </w:r>
      <w:r>
        <w:rPr>
          <w:i/>
        </w:rPr>
        <w:t>ume</w:t>
      </w:r>
      <w:r w:rsidRPr="00554505">
        <w:rPr>
          <w:i/>
        </w:rPr>
        <w:t xml:space="preserve"> 1</w:t>
      </w:r>
      <w:r>
        <w:t>,</w:t>
      </w:r>
      <w:r w:rsidRPr="00554505">
        <w:t xml:space="preserve"> Oxford: Blackwell</w:t>
      </w:r>
    </w:p>
    <w:p w14:paraId="7BCD0ECF" w14:textId="77777777" w:rsidR="003B037C" w:rsidRDefault="003B037C" w:rsidP="003B037C">
      <w:pPr>
        <w:jc w:val="both"/>
      </w:pPr>
    </w:p>
    <w:p w14:paraId="04BE09F2" w14:textId="77777777" w:rsidR="003B037C" w:rsidRDefault="003B037C" w:rsidP="003B037C">
      <w:pPr>
        <w:jc w:val="both"/>
      </w:pPr>
      <w:r w:rsidRPr="00554505">
        <w:t>Schegloff, E</w:t>
      </w:r>
      <w:r>
        <w:t>.</w:t>
      </w:r>
      <w:r w:rsidRPr="00554505">
        <w:t>A. (1992</w:t>
      </w:r>
      <w:r>
        <w:t>b</w:t>
      </w:r>
      <w:r w:rsidRPr="00554505">
        <w:t xml:space="preserve">) </w:t>
      </w:r>
      <w:r>
        <w:t>‘</w:t>
      </w:r>
      <w:r w:rsidRPr="00554505">
        <w:t>Introduction</w:t>
      </w:r>
      <w:r>
        <w:t>’,</w:t>
      </w:r>
      <w:r w:rsidRPr="00554505">
        <w:t xml:space="preserve"> </w:t>
      </w:r>
      <w:r>
        <w:t>p</w:t>
      </w:r>
      <w:r w:rsidRPr="00554505">
        <w:t>p. ix-lii in Sacks,</w:t>
      </w:r>
      <w:r>
        <w:t xml:space="preserve"> H. (1992)</w:t>
      </w:r>
      <w:r w:rsidRPr="00554505">
        <w:t xml:space="preserve"> </w:t>
      </w:r>
      <w:r w:rsidRPr="00554505">
        <w:rPr>
          <w:i/>
        </w:rPr>
        <w:t>Lectures on Conversation, Vol</w:t>
      </w:r>
      <w:r>
        <w:rPr>
          <w:i/>
        </w:rPr>
        <w:t>ume</w:t>
      </w:r>
      <w:r w:rsidRPr="00554505">
        <w:rPr>
          <w:i/>
        </w:rPr>
        <w:t xml:space="preserve"> 2</w:t>
      </w:r>
      <w:r>
        <w:t>,</w:t>
      </w:r>
      <w:r w:rsidRPr="00554505">
        <w:t xml:space="preserve"> Oxford: Blackwell</w:t>
      </w:r>
    </w:p>
    <w:p w14:paraId="09904E60" w14:textId="77777777" w:rsidR="003B037C" w:rsidRDefault="003B037C" w:rsidP="003B037C">
      <w:pPr>
        <w:jc w:val="both"/>
      </w:pPr>
    </w:p>
    <w:p w14:paraId="001B7AF7" w14:textId="77777777" w:rsidR="003B037C" w:rsidRPr="003568F1" w:rsidRDefault="003B037C" w:rsidP="003B037C">
      <w:pPr>
        <w:jc w:val="both"/>
      </w:pPr>
      <w:proofErr w:type="spellStart"/>
      <w:r w:rsidRPr="003568F1">
        <w:t>Sidnell</w:t>
      </w:r>
      <w:proofErr w:type="spellEnd"/>
      <w:r w:rsidRPr="003568F1">
        <w:t xml:space="preserve">, J. (2017) ‘Action in Interaction is Conduct under a Description’, </w:t>
      </w:r>
      <w:r w:rsidRPr="003568F1">
        <w:rPr>
          <w:i/>
        </w:rPr>
        <w:t>Language in Society</w:t>
      </w:r>
      <w:r w:rsidRPr="003568F1">
        <w:t>, 46(3): 313-337</w:t>
      </w:r>
    </w:p>
    <w:p w14:paraId="39491126" w14:textId="77777777" w:rsidR="003B037C" w:rsidRPr="00554505" w:rsidRDefault="003B037C" w:rsidP="003B037C">
      <w:pPr>
        <w:jc w:val="both"/>
      </w:pPr>
    </w:p>
    <w:p w14:paraId="4323BA38" w14:textId="77777777" w:rsidR="003B037C" w:rsidRDefault="003B037C" w:rsidP="003B037C">
      <w:pPr>
        <w:jc w:val="both"/>
      </w:pPr>
      <w:r w:rsidRPr="00554505">
        <w:t xml:space="preserve">Silverman, D. (1998) </w:t>
      </w:r>
      <w:r w:rsidRPr="00554505">
        <w:rPr>
          <w:i/>
        </w:rPr>
        <w:t>Harvey Sacks: Social Science and Conversation Analysis</w:t>
      </w:r>
      <w:r w:rsidRPr="00554505">
        <w:t>, New York, NY: Oxford University Press</w:t>
      </w:r>
    </w:p>
    <w:p w14:paraId="4CABCF48" w14:textId="77777777" w:rsidR="003B037C" w:rsidRDefault="003B037C" w:rsidP="003B037C">
      <w:pPr>
        <w:jc w:val="both"/>
      </w:pPr>
    </w:p>
    <w:p w14:paraId="763BEE4C" w14:textId="77777777" w:rsidR="003B037C" w:rsidRPr="003F0E0D" w:rsidRDefault="003B037C" w:rsidP="003B037C">
      <w:pPr>
        <w:jc w:val="both"/>
      </w:pPr>
      <w:r w:rsidRPr="003F0E0D">
        <w:t xml:space="preserve">Watson, R. </w:t>
      </w:r>
      <w:r>
        <w:t>(</w:t>
      </w:r>
      <w:r w:rsidRPr="003F0E0D">
        <w:t>1994</w:t>
      </w:r>
      <w:r>
        <w:t>)</w:t>
      </w:r>
      <w:r w:rsidRPr="003F0E0D">
        <w:t xml:space="preserve"> </w:t>
      </w:r>
      <w:r>
        <w:t>‘</w:t>
      </w:r>
      <w:r w:rsidRPr="003F0E0D">
        <w:t>Harvey Sacks</w:t>
      </w:r>
      <w:r>
        <w:t>’</w:t>
      </w:r>
      <w:r w:rsidRPr="003F0E0D">
        <w:t xml:space="preserve">s Sociology </w:t>
      </w:r>
      <w:r>
        <w:t>o</w:t>
      </w:r>
      <w:r w:rsidRPr="003F0E0D">
        <w:t xml:space="preserve">f Mind </w:t>
      </w:r>
      <w:r>
        <w:t>i</w:t>
      </w:r>
      <w:r w:rsidRPr="003F0E0D">
        <w:t>n Action</w:t>
      </w:r>
      <w:r>
        <w:t>’,</w:t>
      </w:r>
      <w:r w:rsidRPr="003F0E0D">
        <w:t xml:space="preserve"> </w:t>
      </w:r>
      <w:r w:rsidRPr="003F0E0D">
        <w:rPr>
          <w:i/>
          <w:iCs/>
        </w:rPr>
        <w:t>Theory, Culture &amp; Society</w:t>
      </w:r>
      <w:r w:rsidRPr="003F0E0D">
        <w:t xml:space="preserve">, </w:t>
      </w:r>
      <w:r w:rsidRPr="003F0E0D">
        <w:rPr>
          <w:iCs/>
        </w:rPr>
        <w:t>11</w:t>
      </w:r>
      <w:r w:rsidRPr="003F0E0D">
        <w:t>(4)</w:t>
      </w:r>
      <w:r>
        <w:t xml:space="preserve">: </w:t>
      </w:r>
      <w:r w:rsidRPr="003F0E0D">
        <w:t>169-186</w:t>
      </w:r>
    </w:p>
    <w:p w14:paraId="7431BE16" w14:textId="77777777" w:rsidR="003B037C" w:rsidRDefault="003B037C" w:rsidP="003B037C">
      <w:pPr>
        <w:jc w:val="both"/>
      </w:pPr>
    </w:p>
    <w:p w14:paraId="33564229" w14:textId="77777777" w:rsidR="003B037C" w:rsidRDefault="003B037C" w:rsidP="003B037C">
      <w:pPr>
        <w:jc w:val="both"/>
      </w:pPr>
      <w:r w:rsidRPr="003F0E0D">
        <w:t xml:space="preserve">Watson, R. </w:t>
      </w:r>
      <w:r>
        <w:t>(</w:t>
      </w:r>
      <w:r w:rsidRPr="003F0E0D">
        <w:t>2009</w:t>
      </w:r>
      <w:r>
        <w:t>)</w:t>
      </w:r>
      <w:r w:rsidRPr="003F0E0D">
        <w:t xml:space="preserve"> </w:t>
      </w:r>
      <w:r>
        <w:t>‘</w:t>
      </w:r>
      <w:r w:rsidRPr="003F0E0D">
        <w:t>Harvey Sacks</w:t>
      </w:r>
      <w:r>
        <w:t>’,</w:t>
      </w:r>
      <w:r w:rsidRPr="003F0E0D">
        <w:t xml:space="preserve"> pp.</w:t>
      </w:r>
      <w:r>
        <w:t xml:space="preserve"> </w:t>
      </w:r>
      <w:r w:rsidRPr="003F0E0D">
        <w:t>206-214</w:t>
      </w:r>
      <w:r>
        <w:t xml:space="preserve"> in </w:t>
      </w:r>
      <w:proofErr w:type="spellStart"/>
      <w:r>
        <w:t>D’hondt</w:t>
      </w:r>
      <w:proofErr w:type="spellEnd"/>
      <w:r>
        <w:t xml:space="preserve">, S, </w:t>
      </w:r>
      <w:proofErr w:type="spellStart"/>
      <w:r w:rsidRPr="003F0E0D">
        <w:t>Östman</w:t>
      </w:r>
      <w:proofErr w:type="spellEnd"/>
      <w:r w:rsidRPr="003F0E0D">
        <w:t xml:space="preserve">, J.O. </w:t>
      </w:r>
      <w:r>
        <w:t>&amp;</w:t>
      </w:r>
      <w:r w:rsidRPr="003F0E0D">
        <w:t xml:space="preserve"> </w:t>
      </w:r>
      <w:proofErr w:type="spellStart"/>
      <w:r w:rsidRPr="003F0E0D">
        <w:t>Verschueren</w:t>
      </w:r>
      <w:proofErr w:type="spellEnd"/>
      <w:r w:rsidRPr="003F0E0D">
        <w:t xml:space="preserve">, J. </w:t>
      </w:r>
      <w:r>
        <w:t>(</w:t>
      </w:r>
      <w:r w:rsidRPr="003F0E0D">
        <w:t>eds.</w:t>
      </w:r>
      <w:r>
        <w:t>)</w:t>
      </w:r>
      <w:r w:rsidRPr="003F0E0D">
        <w:t xml:space="preserve"> </w:t>
      </w:r>
      <w:r>
        <w:t>(</w:t>
      </w:r>
      <w:r w:rsidRPr="003F0E0D">
        <w:t>2009</w:t>
      </w:r>
      <w:r>
        <w:t>)</w:t>
      </w:r>
      <w:r w:rsidRPr="003F0E0D">
        <w:t xml:space="preserve"> </w:t>
      </w:r>
      <w:r w:rsidRPr="003F0E0D">
        <w:rPr>
          <w:i/>
          <w:iCs/>
        </w:rPr>
        <w:t xml:space="preserve">The </w:t>
      </w:r>
      <w:r>
        <w:rPr>
          <w:i/>
          <w:iCs/>
        </w:rPr>
        <w:t>P</w:t>
      </w:r>
      <w:r w:rsidRPr="003F0E0D">
        <w:rPr>
          <w:i/>
          <w:iCs/>
        </w:rPr>
        <w:t xml:space="preserve">ragmatics of </w:t>
      </w:r>
      <w:r>
        <w:rPr>
          <w:i/>
          <w:iCs/>
        </w:rPr>
        <w:t>I</w:t>
      </w:r>
      <w:r w:rsidRPr="003F0E0D">
        <w:rPr>
          <w:i/>
          <w:iCs/>
        </w:rPr>
        <w:t>nteraction</w:t>
      </w:r>
      <w:r>
        <w:rPr>
          <w:i/>
          <w:iCs/>
        </w:rPr>
        <w:t>:</w:t>
      </w:r>
      <w:r w:rsidRPr="003F0E0D">
        <w:t xml:space="preserve"> </w:t>
      </w:r>
      <w:r w:rsidRPr="00080612">
        <w:rPr>
          <w:i/>
        </w:rPr>
        <w:t>Handbook of Pragmatics Highlights Volume 4</w:t>
      </w:r>
      <w:r>
        <w:t>, Amsterdam:</w:t>
      </w:r>
      <w:r w:rsidRPr="003F0E0D">
        <w:t xml:space="preserve"> John </w:t>
      </w:r>
      <w:proofErr w:type="spellStart"/>
      <w:r w:rsidRPr="003F0E0D">
        <w:t>Benjamins</w:t>
      </w:r>
      <w:proofErr w:type="spellEnd"/>
      <w:r w:rsidRPr="003F0E0D">
        <w:t xml:space="preserve"> Publishing</w:t>
      </w:r>
    </w:p>
    <w:p w14:paraId="0F34F597" w14:textId="77777777" w:rsidR="003B037C" w:rsidRDefault="003B037C" w:rsidP="003B037C">
      <w:pPr>
        <w:jc w:val="both"/>
      </w:pPr>
    </w:p>
    <w:p w14:paraId="7DBE5B66" w14:textId="77777777" w:rsidR="003B037C" w:rsidRDefault="003B037C" w:rsidP="003B037C">
      <w:pPr>
        <w:jc w:val="both"/>
      </w:pPr>
      <w:r>
        <w:t>Weber, M. (1962)</w:t>
      </w:r>
      <w:r w:rsidRPr="006E1FEB">
        <w:t xml:space="preserve"> </w:t>
      </w:r>
      <w:r w:rsidRPr="006E1FEB">
        <w:rPr>
          <w:i/>
          <w:iCs/>
        </w:rPr>
        <w:t>Basic Concepts in So</w:t>
      </w:r>
      <w:r>
        <w:rPr>
          <w:i/>
          <w:iCs/>
        </w:rPr>
        <w:t>ci</w:t>
      </w:r>
      <w:r w:rsidRPr="006E1FEB">
        <w:rPr>
          <w:i/>
          <w:iCs/>
        </w:rPr>
        <w:t>ology</w:t>
      </w:r>
      <w:r w:rsidRPr="006E1FEB">
        <w:t>,</w:t>
      </w:r>
      <w:r>
        <w:t xml:space="preserve"> </w:t>
      </w:r>
      <w:r w:rsidRPr="006E1FEB">
        <w:t>London</w:t>
      </w:r>
      <w:r>
        <w:t xml:space="preserve">: </w:t>
      </w:r>
      <w:r w:rsidRPr="006E1FEB">
        <w:t>Peter Owen</w:t>
      </w:r>
    </w:p>
    <w:p w14:paraId="0AC54514" w14:textId="77777777" w:rsidR="003B037C" w:rsidRDefault="003B037C" w:rsidP="003B037C">
      <w:pPr>
        <w:jc w:val="both"/>
      </w:pPr>
    </w:p>
    <w:p w14:paraId="4CF7CED5" w14:textId="77777777" w:rsidR="003B037C" w:rsidRPr="003F0E0D" w:rsidRDefault="003B037C" w:rsidP="003B037C">
      <w:pPr>
        <w:jc w:val="both"/>
      </w:pPr>
      <w:r w:rsidRPr="003F0E0D">
        <w:t xml:space="preserve">Wieder, D.L. </w:t>
      </w:r>
      <w:r>
        <w:t>&amp;</w:t>
      </w:r>
      <w:r w:rsidRPr="003F0E0D">
        <w:t xml:space="preserve"> Pratt, S. (1990) ‘On Being a Recognizable Indian among Indians’, pp. 45-64</w:t>
      </w:r>
      <w:r>
        <w:t xml:space="preserve"> </w:t>
      </w:r>
      <w:r w:rsidRPr="003F0E0D">
        <w:t xml:space="preserve">in </w:t>
      </w:r>
      <w:proofErr w:type="spellStart"/>
      <w:r w:rsidRPr="003F0E0D">
        <w:t>Carbaugh</w:t>
      </w:r>
      <w:proofErr w:type="spellEnd"/>
      <w:r>
        <w:t>, D.</w:t>
      </w:r>
      <w:r w:rsidRPr="003F0E0D">
        <w:t xml:space="preserve"> (ed.) </w:t>
      </w:r>
      <w:r w:rsidRPr="003F0E0D">
        <w:rPr>
          <w:i/>
        </w:rPr>
        <w:t>Cultural Communication and Intercultural Contact</w:t>
      </w:r>
      <w:r w:rsidRPr="003F0E0D">
        <w:t>, Hillsdale, NJ: Lawrence Erlbaum Associates</w:t>
      </w:r>
    </w:p>
    <w:p w14:paraId="59C68E8E" w14:textId="77777777" w:rsidR="003B037C" w:rsidRDefault="003B037C" w:rsidP="003B037C">
      <w:pPr>
        <w:jc w:val="both"/>
      </w:pPr>
    </w:p>
    <w:p w14:paraId="23CEF633" w14:textId="36BE620F" w:rsidR="003B037C" w:rsidRDefault="003B037C" w:rsidP="007052A7">
      <w:pPr>
        <w:jc w:val="both"/>
      </w:pPr>
      <w:r w:rsidRPr="003F0E0D">
        <w:t xml:space="preserve">Wittgenstein, L.W. (1953) </w:t>
      </w:r>
      <w:r w:rsidRPr="003F0E0D">
        <w:rPr>
          <w:i/>
        </w:rPr>
        <w:t>Philosophical Investigations</w:t>
      </w:r>
      <w:r w:rsidRPr="003F0E0D">
        <w:t>. Oxford: Blackwell</w:t>
      </w:r>
    </w:p>
    <w:p w14:paraId="68DDBB3F" w14:textId="77777777" w:rsidR="00A56A64" w:rsidRDefault="00A56A64" w:rsidP="007052A7">
      <w:pPr>
        <w:jc w:val="both"/>
      </w:pPr>
    </w:p>
    <w:sectPr w:rsidR="00A56A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F48D" w14:textId="77777777" w:rsidR="00620530" w:rsidRDefault="00620530" w:rsidP="005247A9">
      <w:r>
        <w:separator/>
      </w:r>
    </w:p>
  </w:endnote>
  <w:endnote w:type="continuationSeparator" w:id="0">
    <w:p w14:paraId="405F1248" w14:textId="77777777" w:rsidR="00620530" w:rsidRDefault="00620530" w:rsidP="0052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43056"/>
      <w:docPartObj>
        <w:docPartGallery w:val="Page Numbers (Bottom of Page)"/>
        <w:docPartUnique/>
      </w:docPartObj>
    </w:sdtPr>
    <w:sdtEndPr>
      <w:rPr>
        <w:noProof/>
      </w:rPr>
    </w:sdtEndPr>
    <w:sdtContent>
      <w:p w14:paraId="29E35714" w14:textId="69E06E3A" w:rsidR="003B037C" w:rsidRDefault="003B0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028D57" w14:textId="77777777" w:rsidR="003B037C" w:rsidRDefault="003B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1C25" w14:textId="77777777" w:rsidR="00620530" w:rsidRDefault="00620530" w:rsidP="005247A9">
      <w:r>
        <w:separator/>
      </w:r>
    </w:p>
  </w:footnote>
  <w:footnote w:type="continuationSeparator" w:id="0">
    <w:p w14:paraId="3A875B74" w14:textId="77777777" w:rsidR="00620530" w:rsidRDefault="00620530" w:rsidP="005247A9">
      <w:r>
        <w:continuationSeparator/>
      </w:r>
    </w:p>
  </w:footnote>
  <w:footnote w:id="1">
    <w:p w14:paraId="5666FD7F" w14:textId="7364BB6F" w:rsidR="004A2067" w:rsidRDefault="004A2067" w:rsidP="004A2067">
      <w:pPr>
        <w:pStyle w:val="FootnoteText"/>
        <w:jc w:val="both"/>
      </w:pPr>
      <w:r>
        <w:rPr>
          <w:rStyle w:val="FootnoteReference"/>
        </w:rPr>
        <w:footnoteRef/>
      </w:r>
      <w:r>
        <w:t xml:space="preserve"> Indeed, if we did have to begin with doings, if that was all we had, we’d never be able to specify “where the action is” (Ebersole 2001). This is because an account of action in ‘brute’ terms </w:t>
      </w:r>
      <w:r w:rsidRPr="00CA6E1E">
        <w:rPr>
          <w:i/>
        </w:rPr>
        <w:t>fails</w:t>
      </w:r>
      <w:r>
        <w:t xml:space="preserve"> to specify the action</w:t>
      </w:r>
      <w:r w:rsidR="00534742">
        <w:t xml:space="preserve"> at all</w:t>
      </w:r>
      <w:r>
        <w:t xml:space="preserve"> (Ebersole 2001: 379, Read, Hutchinson &amp; Sharrock 2009: 98-100; Hutchinson 2012; Lavin 2013; Sidnell 2017; Fish 2018: para 21).</w:t>
      </w:r>
    </w:p>
  </w:footnote>
  <w:footnote w:id="2">
    <w:p w14:paraId="3B150CF4" w14:textId="77777777" w:rsidR="005B0EBE" w:rsidRDefault="005B0EBE" w:rsidP="004A2067">
      <w:pPr>
        <w:pStyle w:val="FootnoteText"/>
        <w:jc w:val="both"/>
      </w:pPr>
      <w:r>
        <w:rPr>
          <w:rStyle w:val="FootnoteReference"/>
        </w:rPr>
        <w:footnoteRef/>
      </w:r>
      <w:r>
        <w:t xml:space="preserve"> </w:t>
      </w:r>
      <w:r w:rsidRPr="007E3FDF">
        <w:t>Image courtesy of Wikimedia Commons:</w:t>
      </w:r>
    </w:p>
    <w:p w14:paraId="597EE4D1" w14:textId="319ED04C" w:rsidR="005B0EBE" w:rsidRPr="007E3FDF" w:rsidRDefault="00620530" w:rsidP="004A2067">
      <w:pPr>
        <w:pStyle w:val="FootnoteText"/>
        <w:jc w:val="both"/>
      </w:pPr>
      <w:hyperlink r:id="rId1" w:anchor="/media/File:Muybridge_disk_step_walk.jpg" w:history="1">
        <w:r w:rsidR="005B0EBE" w:rsidRPr="007E3FDF">
          <w:rPr>
            <w:rStyle w:val="Hyperlink"/>
          </w:rPr>
          <w:t>https://commons.wikimedia.org/wiki/Eadweard_Muybridge#/media/File:Muybridge_disk_step_walk.jpg</w:t>
        </w:r>
      </w:hyperlink>
      <w:r w:rsidR="005B0EBE" w:rsidRPr="007E3FDF">
        <w:t xml:space="preserve"> </w:t>
      </w:r>
    </w:p>
    <w:p w14:paraId="741D077B" w14:textId="77777777" w:rsidR="005B0EBE" w:rsidRPr="007E3FDF" w:rsidRDefault="005B0EBE" w:rsidP="004A2067">
      <w:pPr>
        <w:pStyle w:val="FootnoteText"/>
        <w:jc w:val="both"/>
      </w:pPr>
    </w:p>
    <w:p w14:paraId="340EF30E" w14:textId="1ECF038C" w:rsidR="005B0EBE" w:rsidRDefault="005B0EBE" w:rsidP="004A2067">
      <w:pPr>
        <w:pStyle w:val="FootnoteText"/>
        <w:jc w:val="both"/>
      </w:pPr>
      <w:r w:rsidRPr="007E3FDF">
        <w:t xml:space="preserve">This work is in the </w:t>
      </w:r>
      <w:hyperlink r:id="rId2" w:tooltip="en:public domain" w:history="1">
        <w:r w:rsidRPr="007E3FDF">
          <w:rPr>
            <w:rStyle w:val="Hyperlink"/>
            <w:b/>
            <w:bCs/>
          </w:rPr>
          <w:t>public domain</w:t>
        </w:r>
      </w:hyperlink>
      <w:r w:rsidRPr="007E3FDF">
        <w:t xml:space="preserve"> in its country of origin and other countries and areas where the </w:t>
      </w:r>
      <w:hyperlink r:id="rId3" w:tooltip="w:List of countries' copyright length" w:history="1">
        <w:r w:rsidRPr="007E3FDF">
          <w:rPr>
            <w:rStyle w:val="Hyperlink"/>
          </w:rPr>
          <w:t>copyright term</w:t>
        </w:r>
      </w:hyperlink>
      <w:r w:rsidRPr="007E3FDF">
        <w:t xml:space="preserve"> is the author's </w:t>
      </w:r>
      <w:r w:rsidRPr="007E3FDF">
        <w:rPr>
          <w:b/>
          <w:bCs/>
        </w:rPr>
        <w:t>life plus 100 years or less</w:t>
      </w:r>
      <w:r w:rsidRPr="007E3FDF">
        <w:t xml:space="preserve">. Additionally, This work is in the </w:t>
      </w:r>
      <w:hyperlink r:id="rId4" w:tooltip="en:public domain" w:history="1">
        <w:r w:rsidRPr="007E3FDF">
          <w:rPr>
            <w:rStyle w:val="Hyperlink"/>
            <w:b/>
            <w:bCs/>
          </w:rPr>
          <w:t>public domain</w:t>
        </w:r>
      </w:hyperlink>
      <w:r w:rsidRPr="007E3FDF">
        <w:t xml:space="preserve"> in the </w:t>
      </w:r>
      <w:hyperlink r:id="rId5" w:tooltip="en:United States" w:history="1">
        <w:r w:rsidRPr="007E3FDF">
          <w:rPr>
            <w:rStyle w:val="Hyperlink"/>
          </w:rPr>
          <w:t>United States</w:t>
        </w:r>
      </w:hyperlink>
      <w:r w:rsidRPr="007E3FDF">
        <w:t xml:space="preserve"> because it was </w:t>
      </w:r>
      <w:hyperlink r:id="rId6" w:tooltip="Commons:Publication" w:history="1">
        <w:r w:rsidRPr="007E3FDF">
          <w:rPr>
            <w:rStyle w:val="Hyperlink"/>
          </w:rPr>
          <w:t>published</w:t>
        </w:r>
      </w:hyperlink>
      <w:r w:rsidRPr="007E3FDF">
        <w:t xml:space="preserve"> (or registered with the </w:t>
      </w:r>
      <w:hyperlink r:id="rId7" w:tooltip="en:United States Copyright Office" w:history="1">
        <w:r w:rsidRPr="007E3FDF">
          <w:rPr>
            <w:rStyle w:val="Hyperlink"/>
          </w:rPr>
          <w:t>U.S. Copyright Office</w:t>
        </w:r>
      </w:hyperlink>
      <w:r w:rsidRPr="007E3FDF">
        <w:t>) before January 1, 1923.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319"/>
    <w:multiLevelType w:val="hybridMultilevel"/>
    <w:tmpl w:val="EA6CCD4C"/>
    <w:lvl w:ilvl="0" w:tplc="995857D4">
      <w:start w:val="1"/>
      <w:numFmt w:val="bullet"/>
      <w:lvlText w:val="•"/>
      <w:lvlJc w:val="left"/>
      <w:pPr>
        <w:tabs>
          <w:tab w:val="num" w:pos="720"/>
        </w:tabs>
        <w:ind w:left="720" w:hanging="360"/>
      </w:pPr>
      <w:rPr>
        <w:rFonts w:ascii="Times New Roman" w:hAnsi="Times New Roman" w:hint="default"/>
      </w:rPr>
    </w:lvl>
    <w:lvl w:ilvl="1" w:tplc="F216C658" w:tentative="1">
      <w:start w:val="1"/>
      <w:numFmt w:val="bullet"/>
      <w:lvlText w:val="•"/>
      <w:lvlJc w:val="left"/>
      <w:pPr>
        <w:tabs>
          <w:tab w:val="num" w:pos="1440"/>
        </w:tabs>
        <w:ind w:left="1440" w:hanging="360"/>
      </w:pPr>
      <w:rPr>
        <w:rFonts w:ascii="Times New Roman" w:hAnsi="Times New Roman" w:hint="default"/>
      </w:rPr>
    </w:lvl>
    <w:lvl w:ilvl="2" w:tplc="D3DAE1BE" w:tentative="1">
      <w:start w:val="1"/>
      <w:numFmt w:val="bullet"/>
      <w:lvlText w:val="•"/>
      <w:lvlJc w:val="left"/>
      <w:pPr>
        <w:tabs>
          <w:tab w:val="num" w:pos="2160"/>
        </w:tabs>
        <w:ind w:left="2160" w:hanging="360"/>
      </w:pPr>
      <w:rPr>
        <w:rFonts w:ascii="Times New Roman" w:hAnsi="Times New Roman" w:hint="default"/>
      </w:rPr>
    </w:lvl>
    <w:lvl w:ilvl="3" w:tplc="C9D0C37A" w:tentative="1">
      <w:start w:val="1"/>
      <w:numFmt w:val="bullet"/>
      <w:lvlText w:val="•"/>
      <w:lvlJc w:val="left"/>
      <w:pPr>
        <w:tabs>
          <w:tab w:val="num" w:pos="2880"/>
        </w:tabs>
        <w:ind w:left="2880" w:hanging="360"/>
      </w:pPr>
      <w:rPr>
        <w:rFonts w:ascii="Times New Roman" w:hAnsi="Times New Roman" w:hint="default"/>
      </w:rPr>
    </w:lvl>
    <w:lvl w:ilvl="4" w:tplc="ACD4C95E" w:tentative="1">
      <w:start w:val="1"/>
      <w:numFmt w:val="bullet"/>
      <w:lvlText w:val="•"/>
      <w:lvlJc w:val="left"/>
      <w:pPr>
        <w:tabs>
          <w:tab w:val="num" w:pos="3600"/>
        </w:tabs>
        <w:ind w:left="3600" w:hanging="360"/>
      </w:pPr>
      <w:rPr>
        <w:rFonts w:ascii="Times New Roman" w:hAnsi="Times New Roman" w:hint="default"/>
      </w:rPr>
    </w:lvl>
    <w:lvl w:ilvl="5" w:tplc="AD74D1E6" w:tentative="1">
      <w:start w:val="1"/>
      <w:numFmt w:val="bullet"/>
      <w:lvlText w:val="•"/>
      <w:lvlJc w:val="left"/>
      <w:pPr>
        <w:tabs>
          <w:tab w:val="num" w:pos="4320"/>
        </w:tabs>
        <w:ind w:left="4320" w:hanging="360"/>
      </w:pPr>
      <w:rPr>
        <w:rFonts w:ascii="Times New Roman" w:hAnsi="Times New Roman" w:hint="default"/>
      </w:rPr>
    </w:lvl>
    <w:lvl w:ilvl="6" w:tplc="DD247258" w:tentative="1">
      <w:start w:val="1"/>
      <w:numFmt w:val="bullet"/>
      <w:lvlText w:val="•"/>
      <w:lvlJc w:val="left"/>
      <w:pPr>
        <w:tabs>
          <w:tab w:val="num" w:pos="5040"/>
        </w:tabs>
        <w:ind w:left="5040" w:hanging="360"/>
      </w:pPr>
      <w:rPr>
        <w:rFonts w:ascii="Times New Roman" w:hAnsi="Times New Roman" w:hint="default"/>
      </w:rPr>
    </w:lvl>
    <w:lvl w:ilvl="7" w:tplc="FBC41FDA" w:tentative="1">
      <w:start w:val="1"/>
      <w:numFmt w:val="bullet"/>
      <w:lvlText w:val="•"/>
      <w:lvlJc w:val="left"/>
      <w:pPr>
        <w:tabs>
          <w:tab w:val="num" w:pos="5760"/>
        </w:tabs>
        <w:ind w:left="5760" w:hanging="360"/>
      </w:pPr>
      <w:rPr>
        <w:rFonts w:ascii="Times New Roman" w:hAnsi="Times New Roman" w:hint="default"/>
      </w:rPr>
    </w:lvl>
    <w:lvl w:ilvl="8" w:tplc="75BC3E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88"/>
    <w:rsid w:val="00002E68"/>
    <w:rsid w:val="00010E98"/>
    <w:rsid w:val="00013B90"/>
    <w:rsid w:val="00016676"/>
    <w:rsid w:val="00025E5D"/>
    <w:rsid w:val="00034D01"/>
    <w:rsid w:val="00043F6B"/>
    <w:rsid w:val="00056C2E"/>
    <w:rsid w:val="000647C8"/>
    <w:rsid w:val="000718F6"/>
    <w:rsid w:val="00080612"/>
    <w:rsid w:val="00085FED"/>
    <w:rsid w:val="000A02C9"/>
    <w:rsid w:val="000D0AF7"/>
    <w:rsid w:val="000D6F53"/>
    <w:rsid w:val="000D794B"/>
    <w:rsid w:val="000F74A5"/>
    <w:rsid w:val="00121ADF"/>
    <w:rsid w:val="00123E24"/>
    <w:rsid w:val="001246A2"/>
    <w:rsid w:val="001363D6"/>
    <w:rsid w:val="00176157"/>
    <w:rsid w:val="00180146"/>
    <w:rsid w:val="0019263E"/>
    <w:rsid w:val="001B472E"/>
    <w:rsid w:val="001C1AE0"/>
    <w:rsid w:val="001D3518"/>
    <w:rsid w:val="001E23B1"/>
    <w:rsid w:val="00221621"/>
    <w:rsid w:val="0022440B"/>
    <w:rsid w:val="00237470"/>
    <w:rsid w:val="002410D5"/>
    <w:rsid w:val="00255F64"/>
    <w:rsid w:val="00275876"/>
    <w:rsid w:val="00294A34"/>
    <w:rsid w:val="00295620"/>
    <w:rsid w:val="002A1587"/>
    <w:rsid w:val="002B06A4"/>
    <w:rsid w:val="002B20D2"/>
    <w:rsid w:val="002B31D1"/>
    <w:rsid w:val="002B3240"/>
    <w:rsid w:val="002B52A6"/>
    <w:rsid w:val="002B705B"/>
    <w:rsid w:val="002D142A"/>
    <w:rsid w:val="002E0978"/>
    <w:rsid w:val="002E5AFC"/>
    <w:rsid w:val="002F0854"/>
    <w:rsid w:val="00312800"/>
    <w:rsid w:val="0031679A"/>
    <w:rsid w:val="00330BD6"/>
    <w:rsid w:val="003406B4"/>
    <w:rsid w:val="00341100"/>
    <w:rsid w:val="00345FF9"/>
    <w:rsid w:val="00346788"/>
    <w:rsid w:val="0035007E"/>
    <w:rsid w:val="00350C65"/>
    <w:rsid w:val="00354A0E"/>
    <w:rsid w:val="003568F1"/>
    <w:rsid w:val="00361AAB"/>
    <w:rsid w:val="00372F3D"/>
    <w:rsid w:val="003950D7"/>
    <w:rsid w:val="003A46E9"/>
    <w:rsid w:val="003B037C"/>
    <w:rsid w:val="003B5137"/>
    <w:rsid w:val="003C3F53"/>
    <w:rsid w:val="003F0E0D"/>
    <w:rsid w:val="003F784F"/>
    <w:rsid w:val="00407778"/>
    <w:rsid w:val="00414AA0"/>
    <w:rsid w:val="00415CEF"/>
    <w:rsid w:val="00417F2F"/>
    <w:rsid w:val="00431577"/>
    <w:rsid w:val="004432A7"/>
    <w:rsid w:val="00453928"/>
    <w:rsid w:val="004A2067"/>
    <w:rsid w:val="004A397A"/>
    <w:rsid w:val="004C1BB9"/>
    <w:rsid w:val="004F3A11"/>
    <w:rsid w:val="005051C9"/>
    <w:rsid w:val="00507CF5"/>
    <w:rsid w:val="0052066E"/>
    <w:rsid w:val="005247A9"/>
    <w:rsid w:val="005330FE"/>
    <w:rsid w:val="00534742"/>
    <w:rsid w:val="00541A64"/>
    <w:rsid w:val="00554505"/>
    <w:rsid w:val="00576C20"/>
    <w:rsid w:val="00577EE7"/>
    <w:rsid w:val="00577F52"/>
    <w:rsid w:val="005B0EBE"/>
    <w:rsid w:val="005C170C"/>
    <w:rsid w:val="005E0540"/>
    <w:rsid w:val="005E3B1B"/>
    <w:rsid w:val="005F5F30"/>
    <w:rsid w:val="00606C0C"/>
    <w:rsid w:val="00615F8B"/>
    <w:rsid w:val="00620530"/>
    <w:rsid w:val="00623D8F"/>
    <w:rsid w:val="006255FA"/>
    <w:rsid w:val="00637302"/>
    <w:rsid w:val="00655CBB"/>
    <w:rsid w:val="00692829"/>
    <w:rsid w:val="006A2120"/>
    <w:rsid w:val="006A5DE5"/>
    <w:rsid w:val="006C73D0"/>
    <w:rsid w:val="006E1FEB"/>
    <w:rsid w:val="006F4A8D"/>
    <w:rsid w:val="006F5E20"/>
    <w:rsid w:val="007052A7"/>
    <w:rsid w:val="007277B8"/>
    <w:rsid w:val="00770ADC"/>
    <w:rsid w:val="007853CC"/>
    <w:rsid w:val="00787A20"/>
    <w:rsid w:val="00793580"/>
    <w:rsid w:val="007A6CBF"/>
    <w:rsid w:val="007E1ACC"/>
    <w:rsid w:val="007E28FF"/>
    <w:rsid w:val="007E3FDF"/>
    <w:rsid w:val="00817D48"/>
    <w:rsid w:val="008248FF"/>
    <w:rsid w:val="00826AFE"/>
    <w:rsid w:val="0083133F"/>
    <w:rsid w:val="0084333A"/>
    <w:rsid w:val="00843F9F"/>
    <w:rsid w:val="00864A87"/>
    <w:rsid w:val="00870C48"/>
    <w:rsid w:val="00874E88"/>
    <w:rsid w:val="0089606B"/>
    <w:rsid w:val="008B4B46"/>
    <w:rsid w:val="008B5A72"/>
    <w:rsid w:val="008C0BEE"/>
    <w:rsid w:val="008E5EAE"/>
    <w:rsid w:val="008F24AD"/>
    <w:rsid w:val="008F3B77"/>
    <w:rsid w:val="008F3DFF"/>
    <w:rsid w:val="008F5ADD"/>
    <w:rsid w:val="00910DA4"/>
    <w:rsid w:val="00915C35"/>
    <w:rsid w:val="009249F6"/>
    <w:rsid w:val="00947A4F"/>
    <w:rsid w:val="00952B3C"/>
    <w:rsid w:val="009572A7"/>
    <w:rsid w:val="009736AA"/>
    <w:rsid w:val="00996153"/>
    <w:rsid w:val="009B4C16"/>
    <w:rsid w:val="009D113F"/>
    <w:rsid w:val="009E21B6"/>
    <w:rsid w:val="00A04488"/>
    <w:rsid w:val="00A04489"/>
    <w:rsid w:val="00A34C87"/>
    <w:rsid w:val="00A36C28"/>
    <w:rsid w:val="00A538B1"/>
    <w:rsid w:val="00A56A64"/>
    <w:rsid w:val="00A611E4"/>
    <w:rsid w:val="00A82DB4"/>
    <w:rsid w:val="00A904F1"/>
    <w:rsid w:val="00AD103C"/>
    <w:rsid w:val="00AE717C"/>
    <w:rsid w:val="00B26474"/>
    <w:rsid w:val="00B314B8"/>
    <w:rsid w:val="00B37C5F"/>
    <w:rsid w:val="00B43EBC"/>
    <w:rsid w:val="00B560A8"/>
    <w:rsid w:val="00B72E33"/>
    <w:rsid w:val="00B8402B"/>
    <w:rsid w:val="00B95590"/>
    <w:rsid w:val="00BC6949"/>
    <w:rsid w:val="00BD7B38"/>
    <w:rsid w:val="00BE29B1"/>
    <w:rsid w:val="00C0610A"/>
    <w:rsid w:val="00C077E3"/>
    <w:rsid w:val="00C16450"/>
    <w:rsid w:val="00C17B93"/>
    <w:rsid w:val="00C17F39"/>
    <w:rsid w:val="00C43CDA"/>
    <w:rsid w:val="00C527F4"/>
    <w:rsid w:val="00C538C8"/>
    <w:rsid w:val="00C62AC2"/>
    <w:rsid w:val="00C85CE7"/>
    <w:rsid w:val="00C95A00"/>
    <w:rsid w:val="00CA6E1E"/>
    <w:rsid w:val="00CB0182"/>
    <w:rsid w:val="00CC1401"/>
    <w:rsid w:val="00CD3CD6"/>
    <w:rsid w:val="00CD4031"/>
    <w:rsid w:val="00CD4E48"/>
    <w:rsid w:val="00CD5CE1"/>
    <w:rsid w:val="00CE05A6"/>
    <w:rsid w:val="00CE55FF"/>
    <w:rsid w:val="00CF47E0"/>
    <w:rsid w:val="00D0232F"/>
    <w:rsid w:val="00D063B6"/>
    <w:rsid w:val="00D248FD"/>
    <w:rsid w:val="00D4241A"/>
    <w:rsid w:val="00D65536"/>
    <w:rsid w:val="00D66214"/>
    <w:rsid w:val="00D75569"/>
    <w:rsid w:val="00D774BD"/>
    <w:rsid w:val="00D81F79"/>
    <w:rsid w:val="00D86CEA"/>
    <w:rsid w:val="00D87A4D"/>
    <w:rsid w:val="00DA4213"/>
    <w:rsid w:val="00DC4F4B"/>
    <w:rsid w:val="00DC5DB2"/>
    <w:rsid w:val="00DD42F4"/>
    <w:rsid w:val="00DF29A3"/>
    <w:rsid w:val="00DF3ADC"/>
    <w:rsid w:val="00DF75BA"/>
    <w:rsid w:val="00E03AEE"/>
    <w:rsid w:val="00E27079"/>
    <w:rsid w:val="00E318B3"/>
    <w:rsid w:val="00E331C3"/>
    <w:rsid w:val="00E36CD1"/>
    <w:rsid w:val="00E40CB5"/>
    <w:rsid w:val="00E46571"/>
    <w:rsid w:val="00E50449"/>
    <w:rsid w:val="00E81145"/>
    <w:rsid w:val="00E91ADE"/>
    <w:rsid w:val="00EA6C9D"/>
    <w:rsid w:val="00EC06D7"/>
    <w:rsid w:val="00ED0182"/>
    <w:rsid w:val="00EE2953"/>
    <w:rsid w:val="00F06F22"/>
    <w:rsid w:val="00F103BE"/>
    <w:rsid w:val="00F10FCE"/>
    <w:rsid w:val="00F150B9"/>
    <w:rsid w:val="00F21D65"/>
    <w:rsid w:val="00F23089"/>
    <w:rsid w:val="00F23BA3"/>
    <w:rsid w:val="00F24BB7"/>
    <w:rsid w:val="00F552FC"/>
    <w:rsid w:val="00F55699"/>
    <w:rsid w:val="00F569DA"/>
    <w:rsid w:val="00F5704B"/>
    <w:rsid w:val="00F60286"/>
    <w:rsid w:val="00F70EE6"/>
    <w:rsid w:val="00F77CB3"/>
    <w:rsid w:val="00F922CE"/>
    <w:rsid w:val="00FB24B8"/>
    <w:rsid w:val="00FC56E8"/>
    <w:rsid w:val="00FD70AA"/>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DD7E"/>
  <w15:docId w15:val="{BC1D9072-D846-491F-81E9-60EE0AB2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612"/>
    <w:rPr>
      <w:color w:val="0000FF" w:themeColor="hyperlink"/>
      <w:u w:val="single"/>
    </w:rPr>
  </w:style>
  <w:style w:type="character" w:customStyle="1" w:styleId="UnresolvedMention1">
    <w:name w:val="Unresolved Mention1"/>
    <w:basedOn w:val="DefaultParagraphFont"/>
    <w:uiPriority w:val="99"/>
    <w:semiHidden/>
    <w:unhideWhenUsed/>
    <w:rsid w:val="00080612"/>
    <w:rPr>
      <w:color w:val="605E5C"/>
      <w:shd w:val="clear" w:color="auto" w:fill="E1DFDD"/>
    </w:rPr>
  </w:style>
  <w:style w:type="character" w:styleId="CommentReference">
    <w:name w:val="annotation reference"/>
    <w:basedOn w:val="DefaultParagraphFont"/>
    <w:uiPriority w:val="99"/>
    <w:semiHidden/>
    <w:unhideWhenUsed/>
    <w:rsid w:val="009D113F"/>
    <w:rPr>
      <w:sz w:val="16"/>
      <w:szCs w:val="16"/>
    </w:rPr>
  </w:style>
  <w:style w:type="paragraph" w:styleId="CommentText">
    <w:name w:val="annotation text"/>
    <w:basedOn w:val="Normal"/>
    <w:link w:val="CommentTextChar"/>
    <w:uiPriority w:val="99"/>
    <w:semiHidden/>
    <w:unhideWhenUsed/>
    <w:rsid w:val="009D113F"/>
    <w:rPr>
      <w:sz w:val="20"/>
      <w:szCs w:val="20"/>
    </w:rPr>
  </w:style>
  <w:style w:type="character" w:customStyle="1" w:styleId="CommentTextChar">
    <w:name w:val="Comment Text Char"/>
    <w:basedOn w:val="DefaultParagraphFont"/>
    <w:link w:val="CommentText"/>
    <w:uiPriority w:val="99"/>
    <w:semiHidden/>
    <w:rsid w:val="009D11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13F"/>
    <w:rPr>
      <w:b/>
      <w:bCs/>
    </w:rPr>
  </w:style>
  <w:style w:type="character" w:customStyle="1" w:styleId="CommentSubjectChar">
    <w:name w:val="Comment Subject Char"/>
    <w:basedOn w:val="CommentTextChar"/>
    <w:link w:val="CommentSubject"/>
    <w:uiPriority w:val="99"/>
    <w:semiHidden/>
    <w:rsid w:val="009D11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3F"/>
    <w:rPr>
      <w:rFonts w:ascii="Segoe UI" w:eastAsia="Times New Roman" w:hAnsi="Segoe UI" w:cs="Segoe UI"/>
      <w:sz w:val="18"/>
      <w:szCs w:val="18"/>
    </w:rPr>
  </w:style>
  <w:style w:type="paragraph" w:styleId="Header">
    <w:name w:val="header"/>
    <w:basedOn w:val="Normal"/>
    <w:link w:val="HeaderChar"/>
    <w:uiPriority w:val="99"/>
    <w:unhideWhenUsed/>
    <w:rsid w:val="005247A9"/>
    <w:pPr>
      <w:tabs>
        <w:tab w:val="center" w:pos="4513"/>
        <w:tab w:val="right" w:pos="9026"/>
      </w:tabs>
    </w:pPr>
  </w:style>
  <w:style w:type="character" w:customStyle="1" w:styleId="HeaderChar">
    <w:name w:val="Header Char"/>
    <w:basedOn w:val="DefaultParagraphFont"/>
    <w:link w:val="Header"/>
    <w:uiPriority w:val="99"/>
    <w:rsid w:val="005247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7A9"/>
    <w:pPr>
      <w:tabs>
        <w:tab w:val="center" w:pos="4513"/>
        <w:tab w:val="right" w:pos="9026"/>
      </w:tabs>
    </w:pPr>
  </w:style>
  <w:style w:type="character" w:customStyle="1" w:styleId="FooterChar">
    <w:name w:val="Footer Char"/>
    <w:basedOn w:val="DefaultParagraphFont"/>
    <w:link w:val="Footer"/>
    <w:uiPriority w:val="99"/>
    <w:rsid w:val="005247A9"/>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E3FDF"/>
    <w:rPr>
      <w:sz w:val="20"/>
      <w:szCs w:val="20"/>
    </w:rPr>
  </w:style>
  <w:style w:type="character" w:customStyle="1" w:styleId="FootnoteTextChar">
    <w:name w:val="Footnote Text Char"/>
    <w:basedOn w:val="DefaultParagraphFont"/>
    <w:link w:val="FootnoteText"/>
    <w:uiPriority w:val="99"/>
    <w:rsid w:val="007E3F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3FDF"/>
    <w:rPr>
      <w:vertAlign w:val="superscript"/>
    </w:rPr>
  </w:style>
  <w:style w:type="character" w:customStyle="1" w:styleId="UnresolvedMention2">
    <w:name w:val="Unresolved Mention2"/>
    <w:basedOn w:val="DefaultParagraphFont"/>
    <w:uiPriority w:val="99"/>
    <w:semiHidden/>
    <w:unhideWhenUsed/>
    <w:rsid w:val="005E0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2514">
      <w:bodyDiv w:val="1"/>
      <w:marLeft w:val="0"/>
      <w:marRight w:val="0"/>
      <w:marTop w:val="0"/>
      <w:marBottom w:val="0"/>
      <w:divBdr>
        <w:top w:val="none" w:sz="0" w:space="0" w:color="auto"/>
        <w:left w:val="none" w:sz="0" w:space="0" w:color="auto"/>
        <w:bottom w:val="none" w:sz="0" w:space="0" w:color="auto"/>
        <w:right w:val="none" w:sz="0" w:space="0" w:color="auto"/>
      </w:divBdr>
    </w:div>
    <w:div w:id="297995835">
      <w:bodyDiv w:val="1"/>
      <w:marLeft w:val="0"/>
      <w:marRight w:val="0"/>
      <w:marTop w:val="0"/>
      <w:marBottom w:val="0"/>
      <w:divBdr>
        <w:top w:val="none" w:sz="0" w:space="0" w:color="auto"/>
        <w:left w:val="none" w:sz="0" w:space="0" w:color="auto"/>
        <w:bottom w:val="none" w:sz="0" w:space="0" w:color="auto"/>
        <w:right w:val="none" w:sz="0" w:space="0" w:color="auto"/>
      </w:divBdr>
      <w:divsChild>
        <w:div w:id="630862178">
          <w:marLeft w:val="0"/>
          <w:marRight w:val="0"/>
          <w:marTop w:val="0"/>
          <w:marBottom w:val="0"/>
          <w:divBdr>
            <w:top w:val="none" w:sz="0" w:space="0" w:color="auto"/>
            <w:left w:val="none" w:sz="0" w:space="0" w:color="auto"/>
            <w:bottom w:val="none" w:sz="0" w:space="0" w:color="auto"/>
            <w:right w:val="none" w:sz="0" w:space="0" w:color="auto"/>
          </w:divBdr>
        </w:div>
      </w:divsChild>
    </w:div>
    <w:div w:id="348339059">
      <w:bodyDiv w:val="1"/>
      <w:marLeft w:val="0"/>
      <w:marRight w:val="0"/>
      <w:marTop w:val="0"/>
      <w:marBottom w:val="0"/>
      <w:divBdr>
        <w:top w:val="none" w:sz="0" w:space="0" w:color="auto"/>
        <w:left w:val="none" w:sz="0" w:space="0" w:color="auto"/>
        <w:bottom w:val="none" w:sz="0" w:space="0" w:color="auto"/>
        <w:right w:val="none" w:sz="0" w:space="0" w:color="auto"/>
      </w:divBdr>
      <w:divsChild>
        <w:div w:id="1430197417">
          <w:marLeft w:val="0"/>
          <w:marRight w:val="0"/>
          <w:marTop w:val="0"/>
          <w:marBottom w:val="0"/>
          <w:divBdr>
            <w:top w:val="none" w:sz="0" w:space="0" w:color="auto"/>
            <w:left w:val="none" w:sz="0" w:space="0" w:color="auto"/>
            <w:bottom w:val="none" w:sz="0" w:space="0" w:color="auto"/>
            <w:right w:val="none" w:sz="0" w:space="0" w:color="auto"/>
          </w:divBdr>
        </w:div>
      </w:divsChild>
    </w:div>
    <w:div w:id="396823368">
      <w:bodyDiv w:val="1"/>
      <w:marLeft w:val="0"/>
      <w:marRight w:val="0"/>
      <w:marTop w:val="0"/>
      <w:marBottom w:val="0"/>
      <w:divBdr>
        <w:top w:val="none" w:sz="0" w:space="0" w:color="auto"/>
        <w:left w:val="none" w:sz="0" w:space="0" w:color="auto"/>
        <w:bottom w:val="none" w:sz="0" w:space="0" w:color="auto"/>
        <w:right w:val="none" w:sz="0" w:space="0" w:color="auto"/>
      </w:divBdr>
      <w:divsChild>
        <w:div w:id="610668522">
          <w:marLeft w:val="0"/>
          <w:marRight w:val="0"/>
          <w:marTop w:val="0"/>
          <w:marBottom w:val="0"/>
          <w:divBdr>
            <w:top w:val="none" w:sz="0" w:space="0" w:color="auto"/>
            <w:left w:val="none" w:sz="0" w:space="0" w:color="auto"/>
            <w:bottom w:val="none" w:sz="0" w:space="0" w:color="auto"/>
            <w:right w:val="none" w:sz="0" w:space="0" w:color="auto"/>
          </w:divBdr>
        </w:div>
      </w:divsChild>
    </w:div>
    <w:div w:id="542836310">
      <w:bodyDiv w:val="1"/>
      <w:marLeft w:val="0"/>
      <w:marRight w:val="0"/>
      <w:marTop w:val="0"/>
      <w:marBottom w:val="0"/>
      <w:divBdr>
        <w:top w:val="none" w:sz="0" w:space="0" w:color="auto"/>
        <w:left w:val="none" w:sz="0" w:space="0" w:color="auto"/>
        <w:bottom w:val="none" w:sz="0" w:space="0" w:color="auto"/>
        <w:right w:val="none" w:sz="0" w:space="0" w:color="auto"/>
      </w:divBdr>
    </w:div>
    <w:div w:id="732125796">
      <w:bodyDiv w:val="1"/>
      <w:marLeft w:val="0"/>
      <w:marRight w:val="0"/>
      <w:marTop w:val="0"/>
      <w:marBottom w:val="0"/>
      <w:divBdr>
        <w:top w:val="none" w:sz="0" w:space="0" w:color="auto"/>
        <w:left w:val="none" w:sz="0" w:space="0" w:color="auto"/>
        <w:bottom w:val="none" w:sz="0" w:space="0" w:color="auto"/>
        <w:right w:val="none" w:sz="0" w:space="0" w:color="auto"/>
      </w:divBdr>
    </w:div>
    <w:div w:id="950285734">
      <w:bodyDiv w:val="1"/>
      <w:marLeft w:val="0"/>
      <w:marRight w:val="0"/>
      <w:marTop w:val="0"/>
      <w:marBottom w:val="0"/>
      <w:divBdr>
        <w:top w:val="none" w:sz="0" w:space="0" w:color="auto"/>
        <w:left w:val="none" w:sz="0" w:space="0" w:color="auto"/>
        <w:bottom w:val="none" w:sz="0" w:space="0" w:color="auto"/>
        <w:right w:val="none" w:sz="0" w:space="0" w:color="auto"/>
      </w:divBdr>
      <w:divsChild>
        <w:div w:id="1084183793">
          <w:marLeft w:val="0"/>
          <w:marRight w:val="0"/>
          <w:marTop w:val="0"/>
          <w:marBottom w:val="0"/>
          <w:divBdr>
            <w:top w:val="none" w:sz="0" w:space="0" w:color="auto"/>
            <w:left w:val="none" w:sz="0" w:space="0" w:color="auto"/>
            <w:bottom w:val="none" w:sz="0" w:space="0" w:color="auto"/>
            <w:right w:val="none" w:sz="0" w:space="0" w:color="auto"/>
          </w:divBdr>
        </w:div>
      </w:divsChild>
    </w:div>
    <w:div w:id="989406290">
      <w:bodyDiv w:val="1"/>
      <w:marLeft w:val="0"/>
      <w:marRight w:val="0"/>
      <w:marTop w:val="0"/>
      <w:marBottom w:val="0"/>
      <w:divBdr>
        <w:top w:val="none" w:sz="0" w:space="0" w:color="auto"/>
        <w:left w:val="none" w:sz="0" w:space="0" w:color="auto"/>
        <w:bottom w:val="none" w:sz="0" w:space="0" w:color="auto"/>
        <w:right w:val="none" w:sz="0" w:space="0" w:color="auto"/>
      </w:divBdr>
      <w:divsChild>
        <w:div w:id="767310994">
          <w:marLeft w:val="547"/>
          <w:marRight w:val="0"/>
          <w:marTop w:val="134"/>
          <w:marBottom w:val="0"/>
          <w:divBdr>
            <w:top w:val="none" w:sz="0" w:space="0" w:color="auto"/>
            <w:left w:val="none" w:sz="0" w:space="0" w:color="auto"/>
            <w:bottom w:val="none" w:sz="0" w:space="0" w:color="auto"/>
            <w:right w:val="none" w:sz="0" w:space="0" w:color="auto"/>
          </w:divBdr>
        </w:div>
      </w:divsChild>
    </w:div>
    <w:div w:id="1182664769">
      <w:bodyDiv w:val="1"/>
      <w:marLeft w:val="0"/>
      <w:marRight w:val="0"/>
      <w:marTop w:val="0"/>
      <w:marBottom w:val="0"/>
      <w:divBdr>
        <w:top w:val="none" w:sz="0" w:space="0" w:color="auto"/>
        <w:left w:val="none" w:sz="0" w:space="0" w:color="auto"/>
        <w:bottom w:val="none" w:sz="0" w:space="0" w:color="auto"/>
        <w:right w:val="none" w:sz="0" w:space="0" w:color="auto"/>
      </w:divBdr>
      <w:divsChild>
        <w:div w:id="1594119523">
          <w:marLeft w:val="0"/>
          <w:marRight w:val="0"/>
          <w:marTop w:val="0"/>
          <w:marBottom w:val="0"/>
          <w:divBdr>
            <w:top w:val="none" w:sz="0" w:space="0" w:color="auto"/>
            <w:left w:val="none" w:sz="0" w:space="0" w:color="auto"/>
            <w:bottom w:val="none" w:sz="0" w:space="0" w:color="auto"/>
            <w:right w:val="none" w:sz="0" w:space="0" w:color="auto"/>
          </w:divBdr>
        </w:div>
      </w:divsChild>
    </w:div>
    <w:div w:id="1314529594">
      <w:bodyDiv w:val="1"/>
      <w:marLeft w:val="0"/>
      <w:marRight w:val="0"/>
      <w:marTop w:val="0"/>
      <w:marBottom w:val="0"/>
      <w:divBdr>
        <w:top w:val="none" w:sz="0" w:space="0" w:color="auto"/>
        <w:left w:val="none" w:sz="0" w:space="0" w:color="auto"/>
        <w:bottom w:val="none" w:sz="0" w:space="0" w:color="auto"/>
        <w:right w:val="none" w:sz="0" w:space="0" w:color="auto"/>
      </w:divBdr>
      <w:divsChild>
        <w:div w:id="1399088904">
          <w:marLeft w:val="0"/>
          <w:marRight w:val="0"/>
          <w:marTop w:val="0"/>
          <w:marBottom w:val="0"/>
          <w:divBdr>
            <w:top w:val="none" w:sz="0" w:space="0" w:color="auto"/>
            <w:left w:val="none" w:sz="0" w:space="0" w:color="auto"/>
            <w:bottom w:val="none" w:sz="0" w:space="0" w:color="auto"/>
            <w:right w:val="none" w:sz="0" w:space="0" w:color="auto"/>
          </w:divBdr>
        </w:div>
      </w:divsChild>
    </w:div>
    <w:div w:id="1795325566">
      <w:bodyDiv w:val="1"/>
      <w:marLeft w:val="0"/>
      <w:marRight w:val="0"/>
      <w:marTop w:val="0"/>
      <w:marBottom w:val="0"/>
      <w:divBdr>
        <w:top w:val="none" w:sz="0" w:space="0" w:color="auto"/>
        <w:left w:val="none" w:sz="0" w:space="0" w:color="auto"/>
        <w:bottom w:val="none" w:sz="0" w:space="0" w:color="auto"/>
        <w:right w:val="none" w:sz="0" w:space="0" w:color="auto"/>
      </w:divBdr>
      <w:divsChild>
        <w:div w:id="1040326754">
          <w:marLeft w:val="0"/>
          <w:marRight w:val="0"/>
          <w:marTop w:val="0"/>
          <w:marBottom w:val="0"/>
          <w:divBdr>
            <w:top w:val="none" w:sz="0" w:space="0" w:color="auto"/>
            <w:left w:val="none" w:sz="0" w:space="0" w:color="auto"/>
            <w:bottom w:val="none" w:sz="0" w:space="0" w:color="auto"/>
            <w:right w:val="none" w:sz="0" w:space="0" w:color="auto"/>
          </w:divBdr>
        </w:div>
      </w:divsChild>
    </w:div>
    <w:div w:id="1870949989">
      <w:bodyDiv w:val="1"/>
      <w:marLeft w:val="0"/>
      <w:marRight w:val="0"/>
      <w:marTop w:val="0"/>
      <w:marBottom w:val="0"/>
      <w:divBdr>
        <w:top w:val="none" w:sz="0" w:space="0" w:color="auto"/>
        <w:left w:val="none" w:sz="0" w:space="0" w:color="auto"/>
        <w:bottom w:val="none" w:sz="0" w:space="0" w:color="auto"/>
        <w:right w:val="none" w:sz="0" w:space="0" w:color="auto"/>
      </w:divBdr>
      <w:divsChild>
        <w:div w:id="84308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calethno.org/documents/lynchbanquet.pdf" TargetMode="External"/><Relationship Id="rId5" Type="http://schemas.openxmlformats.org/officeDocument/2006/relationships/webSettings" Target="webSettings.xml"/><Relationship Id="rId10" Type="http://schemas.openxmlformats.org/officeDocument/2006/relationships/hyperlink" Target="https://balkin.blogspot.com/2018/03/the-interpretive-poverty-of-data.html" TargetMode="External"/><Relationship Id="rId4" Type="http://schemas.openxmlformats.org/officeDocument/2006/relationships/settings" Target="settings.xml"/><Relationship Id="rId9" Type="http://schemas.openxmlformats.org/officeDocument/2006/relationships/hyperlink" Target="https://radicalethno.org/documents/bjelichotrodder.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ist_of_countries%27_copyright_length" TargetMode="External"/><Relationship Id="rId7" Type="http://schemas.openxmlformats.org/officeDocument/2006/relationships/hyperlink" Target="https://en.wikipedia.org/wiki/United_States_Copyright_Office" TargetMode="External"/><Relationship Id="rId2" Type="http://schemas.openxmlformats.org/officeDocument/2006/relationships/hyperlink" Target="https://en.wikipedia.org/wiki/public_domain" TargetMode="External"/><Relationship Id="rId1" Type="http://schemas.openxmlformats.org/officeDocument/2006/relationships/hyperlink" Target="https://commons.wikimedia.org/wiki/Eadweard_Muybridge" TargetMode="External"/><Relationship Id="rId6" Type="http://schemas.openxmlformats.org/officeDocument/2006/relationships/hyperlink" Target="https://commons.wikimedia.org/wiki/Commons:Publication" TargetMode="External"/><Relationship Id="rId5" Type="http://schemas.openxmlformats.org/officeDocument/2006/relationships/hyperlink" Target="https://en.wikipedia.org/wiki/United_States" TargetMode="External"/><Relationship Id="rId4" Type="http://schemas.openxmlformats.org/officeDocument/2006/relationships/hyperlink" Target="https://en.wikipedia.org/wiki/public_d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FD4A-4E2F-445B-9D2A-D74E2B1F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Mair</dc:creator>
  <cp:lastModifiedBy>Michael Mair</cp:lastModifiedBy>
  <cp:revision>2</cp:revision>
  <dcterms:created xsi:type="dcterms:W3CDTF">2021-01-03T20:19:00Z</dcterms:created>
  <dcterms:modified xsi:type="dcterms:W3CDTF">2021-01-03T20:19:00Z</dcterms:modified>
</cp:coreProperties>
</file>