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8A986" w14:textId="77777777" w:rsidR="00DF30E7" w:rsidRDefault="00DF30E7" w:rsidP="00DF30E7">
      <w:pPr>
        <w:jc w:val="center"/>
        <w:rPr>
          <w:rFonts w:ascii="Arial" w:hAnsi="Arial" w:cs="Arial"/>
          <w:b/>
          <w:sz w:val="28"/>
        </w:rPr>
      </w:pPr>
      <w:r>
        <w:rPr>
          <w:rFonts w:ascii="Arial" w:hAnsi="Arial" w:cs="Arial"/>
          <w:b/>
          <w:sz w:val="28"/>
        </w:rPr>
        <w:t>COVID-19-related social support service closures and mental well-being in older adults and those affected by dementia: A UK longitudinal survey</w:t>
      </w:r>
    </w:p>
    <w:p w14:paraId="082C6701" w14:textId="0775AB0D" w:rsidR="00DF30E7" w:rsidRPr="002743AF" w:rsidRDefault="00DF30E7" w:rsidP="00DF30E7">
      <w:pPr>
        <w:jc w:val="center"/>
        <w:rPr>
          <w:rFonts w:ascii="Arial" w:hAnsi="Arial" w:cs="Arial"/>
          <w:b/>
          <w:sz w:val="24"/>
          <w:vertAlign w:val="superscript"/>
        </w:rPr>
      </w:pPr>
      <w:r>
        <w:rPr>
          <w:rFonts w:ascii="Arial" w:hAnsi="Arial" w:cs="Arial"/>
          <w:b/>
          <w:sz w:val="24"/>
        </w:rPr>
        <w:t>Clarissa Giebel</w:t>
      </w:r>
      <w:r>
        <w:rPr>
          <w:rFonts w:ascii="Arial" w:hAnsi="Arial" w:cs="Arial"/>
          <w:b/>
          <w:sz w:val="24"/>
          <w:vertAlign w:val="superscript"/>
        </w:rPr>
        <w:t>1,</w:t>
      </w:r>
      <w:proofErr w:type="gramStart"/>
      <w:r>
        <w:rPr>
          <w:rFonts w:ascii="Arial" w:hAnsi="Arial" w:cs="Arial"/>
          <w:b/>
          <w:sz w:val="24"/>
          <w:vertAlign w:val="superscript"/>
        </w:rPr>
        <w:t>2,*</w:t>
      </w:r>
      <w:proofErr w:type="gramEnd"/>
      <w:r>
        <w:rPr>
          <w:rFonts w:ascii="Arial" w:hAnsi="Arial" w:cs="Arial"/>
          <w:b/>
          <w:sz w:val="24"/>
        </w:rPr>
        <w:t>, Daniel Pulford</w:t>
      </w:r>
      <w:r>
        <w:rPr>
          <w:rFonts w:ascii="Arial" w:hAnsi="Arial" w:cs="Arial"/>
          <w:b/>
          <w:sz w:val="24"/>
          <w:vertAlign w:val="superscript"/>
        </w:rPr>
        <w:t>3</w:t>
      </w:r>
      <w:r>
        <w:rPr>
          <w:rFonts w:ascii="Arial" w:hAnsi="Arial" w:cs="Arial"/>
          <w:b/>
          <w:sz w:val="24"/>
        </w:rPr>
        <w:t>, Claudia Cooper</w:t>
      </w:r>
      <w:r>
        <w:rPr>
          <w:rFonts w:ascii="Arial" w:hAnsi="Arial" w:cs="Arial"/>
          <w:b/>
          <w:sz w:val="24"/>
          <w:vertAlign w:val="superscript"/>
        </w:rPr>
        <w:t>4</w:t>
      </w:r>
      <w:r>
        <w:rPr>
          <w:rFonts w:ascii="Arial" w:hAnsi="Arial" w:cs="Arial"/>
          <w:b/>
          <w:sz w:val="24"/>
        </w:rPr>
        <w:t>, Kathryn Lord</w:t>
      </w:r>
      <w:r>
        <w:rPr>
          <w:rFonts w:ascii="Arial" w:hAnsi="Arial" w:cs="Arial"/>
          <w:b/>
          <w:sz w:val="24"/>
          <w:vertAlign w:val="superscript"/>
        </w:rPr>
        <w:t>5</w:t>
      </w:r>
      <w:r>
        <w:rPr>
          <w:rFonts w:ascii="Arial" w:hAnsi="Arial" w:cs="Arial"/>
          <w:b/>
          <w:sz w:val="24"/>
        </w:rPr>
        <w:t>, Justine Shenton</w:t>
      </w:r>
      <w:r>
        <w:rPr>
          <w:rFonts w:ascii="Arial" w:hAnsi="Arial" w:cs="Arial"/>
          <w:b/>
          <w:sz w:val="24"/>
          <w:vertAlign w:val="superscript"/>
        </w:rPr>
        <w:t>6</w:t>
      </w:r>
      <w:r>
        <w:rPr>
          <w:rFonts w:ascii="Arial" w:hAnsi="Arial" w:cs="Arial"/>
          <w:b/>
          <w:sz w:val="24"/>
        </w:rPr>
        <w:t>, Jacqueline Cannon</w:t>
      </w:r>
      <w:r>
        <w:rPr>
          <w:rFonts w:ascii="Arial" w:hAnsi="Arial" w:cs="Arial"/>
          <w:b/>
          <w:sz w:val="24"/>
          <w:vertAlign w:val="superscript"/>
        </w:rPr>
        <w:t>7</w:t>
      </w:r>
      <w:r>
        <w:rPr>
          <w:rFonts w:ascii="Arial" w:hAnsi="Arial" w:cs="Arial"/>
          <w:b/>
          <w:sz w:val="24"/>
        </w:rPr>
        <w:t>, Lisa Shaw</w:t>
      </w:r>
      <w:r>
        <w:rPr>
          <w:rFonts w:ascii="Arial" w:hAnsi="Arial" w:cs="Arial"/>
          <w:b/>
          <w:sz w:val="24"/>
          <w:vertAlign w:val="superscript"/>
        </w:rPr>
        <w:t>8</w:t>
      </w:r>
      <w:r>
        <w:rPr>
          <w:rFonts w:ascii="Arial" w:hAnsi="Arial" w:cs="Arial"/>
          <w:b/>
          <w:sz w:val="24"/>
        </w:rPr>
        <w:t>, Hilary Tetlow</w:t>
      </w:r>
      <w:r>
        <w:rPr>
          <w:rFonts w:ascii="Arial" w:hAnsi="Arial" w:cs="Arial"/>
          <w:b/>
          <w:sz w:val="24"/>
          <w:vertAlign w:val="superscript"/>
        </w:rPr>
        <w:t>9</w:t>
      </w:r>
      <w:r>
        <w:rPr>
          <w:rFonts w:ascii="Arial" w:hAnsi="Arial" w:cs="Arial"/>
          <w:b/>
          <w:sz w:val="24"/>
        </w:rPr>
        <w:t>, Stan Limbert</w:t>
      </w:r>
      <w:r>
        <w:rPr>
          <w:rFonts w:ascii="Arial" w:hAnsi="Arial" w:cs="Arial"/>
          <w:b/>
          <w:sz w:val="24"/>
          <w:vertAlign w:val="superscript"/>
        </w:rPr>
        <w:t>2</w:t>
      </w:r>
      <w:r>
        <w:rPr>
          <w:rFonts w:ascii="Arial" w:hAnsi="Arial" w:cs="Arial"/>
          <w:b/>
          <w:sz w:val="24"/>
        </w:rPr>
        <w:t>, Steve Callaghan</w:t>
      </w:r>
      <w:r>
        <w:rPr>
          <w:rFonts w:ascii="Arial" w:hAnsi="Arial" w:cs="Arial"/>
          <w:b/>
          <w:sz w:val="24"/>
          <w:vertAlign w:val="superscript"/>
        </w:rPr>
        <w:t>10</w:t>
      </w:r>
      <w:r>
        <w:rPr>
          <w:rFonts w:ascii="Arial" w:hAnsi="Arial" w:cs="Arial"/>
          <w:b/>
          <w:sz w:val="24"/>
        </w:rPr>
        <w:t>, Rosie Whittington</w:t>
      </w:r>
      <w:r>
        <w:rPr>
          <w:rFonts w:ascii="Arial" w:hAnsi="Arial" w:cs="Arial"/>
          <w:b/>
          <w:sz w:val="24"/>
          <w:vertAlign w:val="superscript"/>
        </w:rPr>
        <w:t>11</w:t>
      </w:r>
      <w:r>
        <w:rPr>
          <w:rFonts w:ascii="Arial" w:hAnsi="Arial" w:cs="Arial"/>
          <w:b/>
          <w:sz w:val="24"/>
        </w:rPr>
        <w:t>, Carol Rogers</w:t>
      </w:r>
      <w:r>
        <w:rPr>
          <w:rFonts w:ascii="Arial" w:hAnsi="Arial" w:cs="Arial"/>
          <w:b/>
          <w:sz w:val="24"/>
          <w:vertAlign w:val="superscript"/>
        </w:rPr>
        <w:t>12</w:t>
      </w:r>
      <w:r>
        <w:rPr>
          <w:rFonts w:ascii="Arial" w:hAnsi="Arial" w:cs="Arial"/>
          <w:b/>
          <w:sz w:val="24"/>
        </w:rPr>
        <w:t>, Aravind Komuravelli</w:t>
      </w:r>
      <w:r>
        <w:rPr>
          <w:rFonts w:ascii="Arial" w:hAnsi="Arial" w:cs="Arial"/>
          <w:b/>
          <w:sz w:val="24"/>
          <w:vertAlign w:val="superscript"/>
        </w:rPr>
        <w:t>13</w:t>
      </w:r>
      <w:r>
        <w:rPr>
          <w:rFonts w:ascii="Arial" w:hAnsi="Arial" w:cs="Arial"/>
          <w:b/>
          <w:sz w:val="24"/>
        </w:rPr>
        <w:t>, Manoj Rajagopal</w:t>
      </w:r>
      <w:r>
        <w:rPr>
          <w:rFonts w:ascii="Arial" w:hAnsi="Arial" w:cs="Arial"/>
          <w:b/>
          <w:sz w:val="24"/>
          <w:vertAlign w:val="superscript"/>
        </w:rPr>
        <w:t>3</w:t>
      </w:r>
      <w:r>
        <w:rPr>
          <w:rFonts w:ascii="Arial" w:hAnsi="Arial" w:cs="Arial"/>
          <w:b/>
          <w:sz w:val="24"/>
        </w:rPr>
        <w:t>, Ruth Eley</w:t>
      </w:r>
      <w:r>
        <w:rPr>
          <w:rFonts w:ascii="Arial" w:hAnsi="Arial" w:cs="Arial"/>
          <w:b/>
          <w:sz w:val="24"/>
          <w:vertAlign w:val="superscript"/>
        </w:rPr>
        <w:t>14</w:t>
      </w:r>
      <w:r>
        <w:rPr>
          <w:rFonts w:ascii="Arial" w:hAnsi="Arial" w:cs="Arial"/>
          <w:b/>
          <w:sz w:val="24"/>
        </w:rPr>
        <w:t xml:space="preserve">, </w:t>
      </w:r>
      <w:proofErr w:type="spellStart"/>
      <w:r>
        <w:rPr>
          <w:rFonts w:ascii="Arial" w:hAnsi="Arial" w:cs="Arial"/>
          <w:b/>
          <w:sz w:val="24"/>
        </w:rPr>
        <w:t>Murna</w:t>
      </w:r>
      <w:proofErr w:type="spellEnd"/>
      <w:r>
        <w:rPr>
          <w:rFonts w:ascii="Arial" w:hAnsi="Arial" w:cs="Arial"/>
          <w:b/>
          <w:sz w:val="24"/>
        </w:rPr>
        <w:t xml:space="preserve"> Downs</w:t>
      </w:r>
      <w:r>
        <w:rPr>
          <w:rFonts w:ascii="Arial" w:hAnsi="Arial" w:cs="Arial"/>
          <w:b/>
          <w:sz w:val="24"/>
          <w:vertAlign w:val="superscript"/>
        </w:rPr>
        <w:t>5</w:t>
      </w:r>
      <w:r>
        <w:rPr>
          <w:rFonts w:ascii="Arial" w:hAnsi="Arial" w:cs="Arial"/>
          <w:b/>
          <w:sz w:val="24"/>
        </w:rPr>
        <w:t>, Siobhan Reilly</w:t>
      </w:r>
      <w:r>
        <w:rPr>
          <w:rFonts w:ascii="Arial" w:hAnsi="Arial" w:cs="Arial"/>
          <w:b/>
          <w:sz w:val="24"/>
          <w:vertAlign w:val="superscript"/>
        </w:rPr>
        <w:t>5</w:t>
      </w:r>
      <w:r>
        <w:rPr>
          <w:rFonts w:ascii="Arial" w:hAnsi="Arial" w:cs="Arial"/>
          <w:b/>
          <w:sz w:val="24"/>
        </w:rPr>
        <w:t>, Kym Ward</w:t>
      </w:r>
      <w:r>
        <w:rPr>
          <w:rFonts w:ascii="Arial" w:hAnsi="Arial" w:cs="Arial"/>
          <w:b/>
          <w:sz w:val="24"/>
          <w:vertAlign w:val="superscript"/>
        </w:rPr>
        <w:t>15</w:t>
      </w:r>
      <w:r>
        <w:rPr>
          <w:rFonts w:ascii="Arial" w:hAnsi="Arial" w:cs="Arial"/>
          <w:b/>
          <w:sz w:val="24"/>
        </w:rPr>
        <w:t>, Anna Gaughan</w:t>
      </w:r>
      <w:r>
        <w:rPr>
          <w:rFonts w:ascii="Arial" w:hAnsi="Arial" w:cs="Arial"/>
          <w:b/>
          <w:sz w:val="24"/>
          <w:vertAlign w:val="superscript"/>
        </w:rPr>
        <w:t>16</w:t>
      </w:r>
      <w:r>
        <w:rPr>
          <w:rFonts w:ascii="Arial" w:hAnsi="Arial" w:cs="Arial"/>
          <w:b/>
          <w:sz w:val="24"/>
        </w:rPr>
        <w:t>, Sarah Butchard</w:t>
      </w:r>
      <w:r>
        <w:rPr>
          <w:rFonts w:ascii="Arial" w:hAnsi="Arial" w:cs="Arial"/>
          <w:b/>
          <w:sz w:val="24"/>
          <w:vertAlign w:val="superscript"/>
        </w:rPr>
        <w:t>17</w:t>
      </w:r>
      <w:r>
        <w:rPr>
          <w:rFonts w:ascii="Arial" w:hAnsi="Arial" w:cs="Arial"/>
          <w:b/>
          <w:sz w:val="24"/>
        </w:rPr>
        <w:t>, Jules Beresford</w:t>
      </w:r>
      <w:r>
        <w:rPr>
          <w:rFonts w:ascii="Arial" w:hAnsi="Arial" w:cs="Arial"/>
          <w:b/>
          <w:sz w:val="24"/>
          <w:vertAlign w:val="superscript"/>
        </w:rPr>
        <w:t>5</w:t>
      </w:r>
      <w:r>
        <w:rPr>
          <w:rFonts w:ascii="Arial" w:hAnsi="Arial" w:cs="Arial"/>
          <w:b/>
          <w:sz w:val="24"/>
        </w:rPr>
        <w:t>, Caroline Watkins</w:t>
      </w:r>
      <w:r>
        <w:rPr>
          <w:rFonts w:ascii="Arial" w:hAnsi="Arial" w:cs="Arial"/>
          <w:b/>
          <w:sz w:val="24"/>
          <w:vertAlign w:val="superscript"/>
        </w:rPr>
        <w:t>2,18</w:t>
      </w:r>
      <w:r>
        <w:rPr>
          <w:rFonts w:ascii="Arial" w:hAnsi="Arial" w:cs="Arial"/>
          <w:b/>
          <w:sz w:val="24"/>
        </w:rPr>
        <w:t>, Kate Bennett</w:t>
      </w:r>
      <w:r>
        <w:rPr>
          <w:rFonts w:ascii="Arial" w:hAnsi="Arial" w:cs="Arial"/>
          <w:b/>
          <w:sz w:val="24"/>
          <w:vertAlign w:val="superscript"/>
        </w:rPr>
        <w:t>19</w:t>
      </w:r>
      <w:r>
        <w:rPr>
          <w:rFonts w:ascii="Arial" w:hAnsi="Arial" w:cs="Arial"/>
          <w:b/>
          <w:sz w:val="24"/>
        </w:rPr>
        <w:t>, Mark Gabbay</w:t>
      </w:r>
      <w:r>
        <w:rPr>
          <w:rFonts w:ascii="Arial" w:hAnsi="Arial" w:cs="Arial"/>
          <w:b/>
          <w:sz w:val="24"/>
          <w:vertAlign w:val="superscript"/>
        </w:rPr>
        <w:t>1,2</w:t>
      </w:r>
    </w:p>
    <w:p w14:paraId="2A784571" w14:textId="77777777" w:rsidR="00DF30E7" w:rsidRDefault="00DF30E7" w:rsidP="00DF30E7">
      <w:pPr>
        <w:spacing w:after="0" w:line="240" w:lineRule="auto"/>
        <w:jc w:val="center"/>
        <w:rPr>
          <w:rFonts w:ascii="Arial" w:hAnsi="Arial" w:cs="Arial"/>
          <w:sz w:val="20"/>
        </w:rPr>
      </w:pPr>
      <w:r w:rsidRPr="001A7C5E">
        <w:rPr>
          <w:rFonts w:ascii="Arial" w:hAnsi="Arial" w:cs="Arial"/>
          <w:sz w:val="20"/>
        </w:rPr>
        <w:t>1</w:t>
      </w:r>
      <w:r>
        <w:rPr>
          <w:rFonts w:ascii="Arial" w:hAnsi="Arial" w:cs="Arial"/>
          <w:sz w:val="20"/>
        </w:rPr>
        <w:t xml:space="preserve"> Department of Primary Care &amp; Mental Health, University of Liverpool, UK</w:t>
      </w:r>
    </w:p>
    <w:p w14:paraId="630CBCBE"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2</w:t>
      </w:r>
      <w:r>
        <w:rPr>
          <w:rFonts w:ascii="Arial" w:hAnsi="Arial" w:cs="Arial"/>
          <w:sz w:val="20"/>
        </w:rPr>
        <w:t xml:space="preserve"> NIHR ARC NWC, Liverpool, UK</w:t>
      </w:r>
    </w:p>
    <w:p w14:paraId="7AB1A3CE"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3</w:t>
      </w:r>
      <w:r>
        <w:rPr>
          <w:rFonts w:ascii="Arial" w:hAnsi="Arial" w:cs="Arial"/>
          <w:sz w:val="20"/>
        </w:rPr>
        <w:t xml:space="preserve"> Lancashire and South Cumbria NHS Trust, UK</w:t>
      </w:r>
    </w:p>
    <w:p w14:paraId="0BE60D6D"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4</w:t>
      </w:r>
      <w:r>
        <w:rPr>
          <w:rFonts w:ascii="Arial" w:hAnsi="Arial" w:cs="Arial"/>
          <w:sz w:val="20"/>
        </w:rPr>
        <w:t xml:space="preserve"> </w:t>
      </w:r>
      <w:r w:rsidRPr="00FA1C98">
        <w:rPr>
          <w:rFonts w:ascii="Arial" w:hAnsi="Arial" w:cs="Arial"/>
          <w:sz w:val="20"/>
        </w:rPr>
        <w:t>Division of Psychiatry, UCL, UK</w:t>
      </w:r>
    </w:p>
    <w:p w14:paraId="139DBE2E"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5</w:t>
      </w:r>
      <w:r>
        <w:rPr>
          <w:rFonts w:ascii="Arial" w:hAnsi="Arial" w:cs="Arial"/>
          <w:sz w:val="20"/>
        </w:rPr>
        <w:t xml:space="preserve"> </w:t>
      </w:r>
      <w:r w:rsidRPr="00FA1C98">
        <w:rPr>
          <w:rFonts w:ascii="Arial" w:hAnsi="Arial" w:cs="Arial"/>
          <w:sz w:val="20"/>
        </w:rPr>
        <w:t>Centre for Applied Dementia Studies, University</w:t>
      </w:r>
      <w:r>
        <w:rPr>
          <w:rFonts w:ascii="Arial" w:hAnsi="Arial" w:cs="Arial"/>
          <w:sz w:val="20"/>
        </w:rPr>
        <w:t xml:space="preserve"> of Bradford, UK</w:t>
      </w:r>
    </w:p>
    <w:p w14:paraId="2595AB4D"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6</w:t>
      </w:r>
      <w:r>
        <w:rPr>
          <w:rFonts w:ascii="Arial" w:hAnsi="Arial" w:cs="Arial"/>
          <w:sz w:val="20"/>
        </w:rPr>
        <w:t xml:space="preserve"> Sefton Older People’s Forum, Sefton, UK</w:t>
      </w:r>
    </w:p>
    <w:p w14:paraId="79D97279"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7</w:t>
      </w:r>
      <w:r>
        <w:rPr>
          <w:rFonts w:ascii="Arial" w:hAnsi="Arial" w:cs="Arial"/>
          <w:sz w:val="20"/>
        </w:rPr>
        <w:t xml:space="preserve"> Lewy Body Society, Wigan, UK</w:t>
      </w:r>
    </w:p>
    <w:p w14:paraId="2609936E"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8</w:t>
      </w:r>
      <w:r>
        <w:rPr>
          <w:rFonts w:ascii="Arial" w:hAnsi="Arial" w:cs="Arial"/>
          <w:sz w:val="20"/>
        </w:rPr>
        <w:t xml:space="preserve"> </w:t>
      </w:r>
      <w:r w:rsidRPr="00FA1C98">
        <w:rPr>
          <w:rFonts w:ascii="Arial" w:hAnsi="Arial" w:cs="Arial"/>
          <w:sz w:val="20"/>
        </w:rPr>
        <w:t>Department of Modern Languages and Cultures, University of</w:t>
      </w:r>
      <w:r>
        <w:rPr>
          <w:rFonts w:ascii="Arial" w:hAnsi="Arial" w:cs="Arial"/>
          <w:sz w:val="20"/>
        </w:rPr>
        <w:t xml:space="preserve"> Liverpool, UK</w:t>
      </w:r>
    </w:p>
    <w:p w14:paraId="5869A605" w14:textId="77777777" w:rsidR="00DF30E7" w:rsidRPr="001A7C5E" w:rsidRDefault="00DF30E7" w:rsidP="00DF30E7">
      <w:pPr>
        <w:spacing w:after="0" w:line="240" w:lineRule="auto"/>
        <w:jc w:val="center"/>
        <w:rPr>
          <w:rFonts w:ascii="Arial" w:hAnsi="Arial" w:cs="Arial"/>
          <w:sz w:val="20"/>
        </w:rPr>
      </w:pPr>
      <w:r w:rsidRPr="001A7C5E">
        <w:rPr>
          <w:rFonts w:ascii="Arial" w:hAnsi="Arial" w:cs="Arial"/>
          <w:sz w:val="20"/>
        </w:rPr>
        <w:t>9</w:t>
      </w:r>
      <w:r>
        <w:rPr>
          <w:rFonts w:ascii="Arial" w:hAnsi="Arial" w:cs="Arial"/>
          <w:sz w:val="20"/>
        </w:rPr>
        <w:t xml:space="preserve"> SURF Liverpool, UK</w:t>
      </w:r>
    </w:p>
    <w:p w14:paraId="6812FD75" w14:textId="77777777" w:rsidR="00DF30E7" w:rsidRDefault="00DF30E7" w:rsidP="00DF30E7">
      <w:pPr>
        <w:spacing w:after="0" w:line="240" w:lineRule="auto"/>
        <w:jc w:val="center"/>
        <w:rPr>
          <w:rFonts w:ascii="Arial" w:hAnsi="Arial" w:cs="Arial"/>
          <w:sz w:val="20"/>
        </w:rPr>
      </w:pPr>
      <w:r w:rsidRPr="001A7C5E">
        <w:rPr>
          <w:rFonts w:ascii="Arial" w:hAnsi="Arial" w:cs="Arial"/>
          <w:sz w:val="20"/>
        </w:rPr>
        <w:t>10</w:t>
      </w:r>
      <w:r>
        <w:rPr>
          <w:rFonts w:ascii="Arial" w:hAnsi="Arial" w:cs="Arial"/>
          <w:sz w:val="20"/>
        </w:rPr>
        <w:t xml:space="preserve"> EQE Health, Liverpool, UK</w:t>
      </w:r>
    </w:p>
    <w:p w14:paraId="3B926412" w14:textId="77777777" w:rsidR="00DF30E7" w:rsidRDefault="00DF30E7" w:rsidP="00DF30E7">
      <w:pPr>
        <w:spacing w:after="0" w:line="240" w:lineRule="auto"/>
        <w:jc w:val="center"/>
        <w:rPr>
          <w:rFonts w:ascii="Arial" w:hAnsi="Arial" w:cs="Arial"/>
          <w:sz w:val="20"/>
        </w:rPr>
      </w:pPr>
      <w:r>
        <w:rPr>
          <w:rFonts w:ascii="Arial" w:hAnsi="Arial" w:cs="Arial"/>
          <w:sz w:val="20"/>
        </w:rPr>
        <w:t>11 Me2U Care, Liverpool, UK</w:t>
      </w:r>
    </w:p>
    <w:p w14:paraId="7A15D5F6" w14:textId="77777777" w:rsidR="00DF30E7" w:rsidRDefault="00DF30E7" w:rsidP="00DF30E7">
      <w:pPr>
        <w:spacing w:after="0" w:line="240" w:lineRule="auto"/>
        <w:jc w:val="center"/>
        <w:rPr>
          <w:rFonts w:ascii="Arial" w:hAnsi="Arial" w:cs="Arial"/>
          <w:sz w:val="20"/>
        </w:rPr>
      </w:pPr>
      <w:r>
        <w:rPr>
          <w:rFonts w:ascii="Arial" w:hAnsi="Arial" w:cs="Arial"/>
          <w:sz w:val="20"/>
        </w:rPr>
        <w:t>12 National Museums Liverpool, UK</w:t>
      </w:r>
    </w:p>
    <w:p w14:paraId="32BE2CE3" w14:textId="77777777" w:rsidR="00DF30E7" w:rsidRDefault="00DF30E7" w:rsidP="00DF30E7">
      <w:pPr>
        <w:spacing w:after="0" w:line="240" w:lineRule="auto"/>
        <w:jc w:val="center"/>
        <w:rPr>
          <w:rFonts w:ascii="Arial" w:hAnsi="Arial" w:cs="Arial"/>
          <w:sz w:val="20"/>
        </w:rPr>
      </w:pPr>
      <w:r>
        <w:rPr>
          <w:rFonts w:ascii="Arial" w:hAnsi="Arial" w:cs="Arial"/>
          <w:sz w:val="20"/>
        </w:rPr>
        <w:t>13 North West Boroughs NHS Trust, Warrington, UK</w:t>
      </w:r>
    </w:p>
    <w:p w14:paraId="44CCD74F" w14:textId="77777777" w:rsidR="00DF30E7" w:rsidRDefault="00DF30E7" w:rsidP="00DF30E7">
      <w:pPr>
        <w:spacing w:after="0" w:line="240" w:lineRule="auto"/>
        <w:jc w:val="center"/>
        <w:rPr>
          <w:rFonts w:ascii="Arial" w:hAnsi="Arial" w:cs="Arial"/>
          <w:sz w:val="20"/>
        </w:rPr>
      </w:pPr>
      <w:r>
        <w:rPr>
          <w:rFonts w:ascii="Arial" w:hAnsi="Arial" w:cs="Arial"/>
          <w:sz w:val="20"/>
        </w:rPr>
        <w:t>14 Liverpool Dementia Action Alliance, UK</w:t>
      </w:r>
    </w:p>
    <w:p w14:paraId="016CB92F" w14:textId="77777777" w:rsidR="00DF30E7" w:rsidRDefault="00DF30E7" w:rsidP="00DF30E7">
      <w:pPr>
        <w:spacing w:after="0" w:line="240" w:lineRule="auto"/>
        <w:jc w:val="center"/>
        <w:rPr>
          <w:rFonts w:ascii="Arial" w:hAnsi="Arial" w:cs="Arial"/>
          <w:sz w:val="20"/>
        </w:rPr>
      </w:pPr>
      <w:r>
        <w:rPr>
          <w:rFonts w:ascii="Arial" w:hAnsi="Arial" w:cs="Arial"/>
          <w:sz w:val="20"/>
        </w:rPr>
        <w:t>15 The Brain Charity, Liverpool, UK</w:t>
      </w:r>
    </w:p>
    <w:p w14:paraId="4308FE7D" w14:textId="77777777" w:rsidR="00DF30E7" w:rsidRDefault="00DF30E7" w:rsidP="00DF30E7">
      <w:pPr>
        <w:spacing w:after="0" w:line="240" w:lineRule="auto"/>
        <w:jc w:val="center"/>
        <w:rPr>
          <w:rFonts w:ascii="Arial" w:hAnsi="Arial" w:cs="Arial"/>
          <w:sz w:val="20"/>
        </w:rPr>
      </w:pPr>
      <w:r>
        <w:rPr>
          <w:rFonts w:ascii="Arial" w:hAnsi="Arial" w:cs="Arial"/>
          <w:sz w:val="20"/>
        </w:rPr>
        <w:t>16 TIDE, Liverpool, UK</w:t>
      </w:r>
    </w:p>
    <w:p w14:paraId="4B17E704" w14:textId="77777777" w:rsidR="00DF30E7" w:rsidRDefault="00DF30E7" w:rsidP="00DF30E7">
      <w:pPr>
        <w:spacing w:after="0" w:line="240" w:lineRule="auto"/>
        <w:jc w:val="center"/>
        <w:rPr>
          <w:rFonts w:ascii="Arial" w:hAnsi="Arial" w:cs="Arial"/>
          <w:sz w:val="20"/>
        </w:rPr>
      </w:pPr>
      <w:r>
        <w:rPr>
          <w:rFonts w:ascii="Arial" w:hAnsi="Arial" w:cs="Arial"/>
          <w:sz w:val="20"/>
        </w:rPr>
        <w:t>17 Mersey Care NHS Trust, Liverpool, UK</w:t>
      </w:r>
    </w:p>
    <w:p w14:paraId="6F064F14" w14:textId="77777777" w:rsidR="00DF30E7" w:rsidRDefault="00DF30E7" w:rsidP="00DF30E7">
      <w:pPr>
        <w:spacing w:after="0" w:line="240" w:lineRule="auto"/>
        <w:jc w:val="center"/>
        <w:rPr>
          <w:rFonts w:ascii="Arial" w:hAnsi="Arial" w:cs="Arial"/>
          <w:sz w:val="20"/>
        </w:rPr>
      </w:pPr>
      <w:r>
        <w:rPr>
          <w:rFonts w:ascii="Arial" w:hAnsi="Arial" w:cs="Arial"/>
          <w:sz w:val="20"/>
        </w:rPr>
        <w:t xml:space="preserve">18 </w:t>
      </w:r>
      <w:r w:rsidRPr="00FA1C98">
        <w:rPr>
          <w:rFonts w:ascii="Arial" w:hAnsi="Arial" w:cs="Arial"/>
          <w:sz w:val="20"/>
        </w:rPr>
        <w:t>Department of Health Research, UCLAN</w:t>
      </w:r>
      <w:r>
        <w:rPr>
          <w:rFonts w:ascii="Arial" w:hAnsi="Arial" w:cs="Arial"/>
          <w:sz w:val="20"/>
        </w:rPr>
        <w:t>, UK</w:t>
      </w:r>
    </w:p>
    <w:p w14:paraId="6014AF2B" w14:textId="77777777" w:rsidR="00DF30E7" w:rsidRDefault="00DF30E7" w:rsidP="00DF30E7">
      <w:pPr>
        <w:spacing w:after="0" w:line="240" w:lineRule="auto"/>
        <w:jc w:val="center"/>
        <w:rPr>
          <w:rFonts w:ascii="Arial" w:hAnsi="Arial" w:cs="Arial"/>
          <w:sz w:val="20"/>
        </w:rPr>
      </w:pPr>
      <w:r w:rsidRPr="00FA1C98">
        <w:rPr>
          <w:rFonts w:ascii="Arial" w:hAnsi="Arial" w:cs="Arial"/>
          <w:sz w:val="20"/>
        </w:rPr>
        <w:t>19 School of Psychology,</w:t>
      </w:r>
      <w:r>
        <w:rPr>
          <w:rFonts w:ascii="Arial" w:hAnsi="Arial" w:cs="Arial"/>
          <w:sz w:val="20"/>
        </w:rPr>
        <w:t xml:space="preserve"> University of Liverpool, UK</w:t>
      </w:r>
    </w:p>
    <w:p w14:paraId="1490FD09" w14:textId="77777777" w:rsidR="00DF30E7" w:rsidRPr="000D6CDF" w:rsidRDefault="00DF30E7" w:rsidP="00DF30E7">
      <w:pPr>
        <w:jc w:val="center"/>
        <w:rPr>
          <w:rFonts w:ascii="Arial" w:hAnsi="Arial" w:cs="Arial"/>
          <w:sz w:val="24"/>
        </w:rPr>
      </w:pPr>
    </w:p>
    <w:p w14:paraId="1947F1C7" w14:textId="77777777" w:rsidR="00DF30E7" w:rsidRDefault="00DF30E7" w:rsidP="00DF30E7">
      <w:pPr>
        <w:jc w:val="center"/>
        <w:rPr>
          <w:rFonts w:ascii="Arial" w:hAnsi="Arial" w:cs="Arial"/>
          <w:b/>
          <w:sz w:val="28"/>
        </w:rPr>
      </w:pPr>
    </w:p>
    <w:p w14:paraId="781318E9" w14:textId="7E570D98" w:rsidR="00DF30E7" w:rsidRPr="00762701" w:rsidRDefault="00762701" w:rsidP="00762701">
      <w:pPr>
        <w:jc w:val="both"/>
        <w:rPr>
          <w:rFonts w:ascii="Arial" w:hAnsi="Arial" w:cs="Arial"/>
        </w:rPr>
      </w:pPr>
      <w:r w:rsidRPr="00762701">
        <w:rPr>
          <w:rFonts w:ascii="Arial" w:hAnsi="Arial" w:cs="Arial"/>
          <w:sz w:val="20"/>
        </w:rPr>
        <w:t>*</w:t>
      </w:r>
      <w:r w:rsidRPr="00762701">
        <w:rPr>
          <w:rFonts w:ascii="Arial" w:hAnsi="Arial" w:cs="Arial"/>
          <w:i/>
          <w:sz w:val="20"/>
        </w:rPr>
        <w:t xml:space="preserve">Correspondence should be addressed to: </w:t>
      </w:r>
      <w:r>
        <w:rPr>
          <w:rFonts w:ascii="Arial" w:hAnsi="Arial" w:cs="Arial"/>
          <w:sz w:val="20"/>
        </w:rPr>
        <w:t>Clarissa Giebel, Waterhouse Building, University of Liverpool, Liverpool, L69 3GL. Email: Clarissa.giebel@liverpool.ac.uk</w:t>
      </w:r>
    </w:p>
    <w:p w14:paraId="0FAF96A3" w14:textId="77777777" w:rsidR="00DF30E7" w:rsidRDefault="00DF30E7" w:rsidP="00DF30E7">
      <w:pPr>
        <w:jc w:val="center"/>
        <w:rPr>
          <w:rFonts w:ascii="Arial" w:hAnsi="Arial" w:cs="Arial"/>
          <w:b/>
          <w:sz w:val="28"/>
        </w:rPr>
      </w:pPr>
    </w:p>
    <w:p w14:paraId="2718E0CA" w14:textId="079DA5CC" w:rsidR="00DF30E7" w:rsidRDefault="00DF30E7" w:rsidP="00DF30E7">
      <w:pPr>
        <w:jc w:val="center"/>
        <w:rPr>
          <w:rFonts w:ascii="Arial" w:hAnsi="Arial" w:cs="Arial"/>
          <w:b/>
          <w:sz w:val="28"/>
        </w:rPr>
      </w:pPr>
    </w:p>
    <w:p w14:paraId="45EE3862" w14:textId="5EF5E70F" w:rsidR="00762701" w:rsidRDefault="00762701" w:rsidP="00DF30E7">
      <w:pPr>
        <w:jc w:val="center"/>
        <w:rPr>
          <w:rFonts w:ascii="Arial" w:hAnsi="Arial" w:cs="Arial"/>
          <w:b/>
          <w:sz w:val="28"/>
        </w:rPr>
      </w:pPr>
    </w:p>
    <w:p w14:paraId="1AAE1407" w14:textId="23430166" w:rsidR="00762701" w:rsidRDefault="00762701" w:rsidP="00DF30E7">
      <w:pPr>
        <w:jc w:val="center"/>
        <w:rPr>
          <w:rFonts w:ascii="Arial" w:hAnsi="Arial" w:cs="Arial"/>
          <w:b/>
          <w:sz w:val="28"/>
        </w:rPr>
      </w:pPr>
    </w:p>
    <w:p w14:paraId="5C996A03" w14:textId="0484EBA1" w:rsidR="00762701" w:rsidRDefault="00762701" w:rsidP="00DF30E7">
      <w:pPr>
        <w:jc w:val="center"/>
        <w:rPr>
          <w:rFonts w:ascii="Arial" w:hAnsi="Arial" w:cs="Arial"/>
          <w:b/>
          <w:sz w:val="28"/>
        </w:rPr>
      </w:pPr>
    </w:p>
    <w:p w14:paraId="7A504099" w14:textId="73CB27DD" w:rsidR="00762701" w:rsidRDefault="00762701" w:rsidP="00DF30E7">
      <w:pPr>
        <w:jc w:val="center"/>
        <w:rPr>
          <w:rFonts w:ascii="Arial" w:hAnsi="Arial" w:cs="Arial"/>
          <w:b/>
          <w:sz w:val="28"/>
        </w:rPr>
      </w:pPr>
    </w:p>
    <w:p w14:paraId="53C533E8" w14:textId="77777777" w:rsidR="00762701" w:rsidRDefault="00762701" w:rsidP="00DF30E7">
      <w:pPr>
        <w:jc w:val="center"/>
        <w:rPr>
          <w:rFonts w:ascii="Arial" w:hAnsi="Arial" w:cs="Arial"/>
          <w:b/>
          <w:sz w:val="28"/>
        </w:rPr>
      </w:pPr>
    </w:p>
    <w:p w14:paraId="00746FB7" w14:textId="77777777" w:rsidR="00DF30E7" w:rsidRDefault="00DF30E7" w:rsidP="00DF30E7">
      <w:pPr>
        <w:jc w:val="center"/>
        <w:rPr>
          <w:rFonts w:ascii="Arial" w:hAnsi="Arial" w:cs="Arial"/>
          <w:b/>
          <w:sz w:val="28"/>
        </w:rPr>
      </w:pPr>
    </w:p>
    <w:p w14:paraId="0DEE7A27" w14:textId="77777777" w:rsidR="00DF30E7" w:rsidRDefault="00DF30E7" w:rsidP="00DF30E7">
      <w:pPr>
        <w:jc w:val="both"/>
        <w:rPr>
          <w:rFonts w:ascii="Arial" w:hAnsi="Arial" w:cs="Arial"/>
          <w:b/>
        </w:rPr>
      </w:pPr>
    </w:p>
    <w:p w14:paraId="10D0E644" w14:textId="77777777" w:rsidR="00DF30E7" w:rsidRDefault="00DF30E7" w:rsidP="00DF30E7">
      <w:pPr>
        <w:jc w:val="both"/>
        <w:rPr>
          <w:rFonts w:ascii="Arial" w:hAnsi="Arial" w:cs="Arial"/>
          <w:b/>
        </w:rPr>
      </w:pPr>
    </w:p>
    <w:p w14:paraId="009AEE1B" w14:textId="4F11CA35" w:rsidR="00BE5D44" w:rsidRDefault="005D636C" w:rsidP="0053442F">
      <w:pPr>
        <w:jc w:val="both"/>
        <w:rPr>
          <w:rFonts w:ascii="Arial" w:hAnsi="Arial" w:cs="Arial"/>
          <w:b/>
          <w:sz w:val="24"/>
        </w:rPr>
      </w:pPr>
      <w:r>
        <w:rPr>
          <w:rFonts w:ascii="Arial" w:hAnsi="Arial" w:cs="Arial"/>
          <w:b/>
          <w:sz w:val="24"/>
        </w:rPr>
        <w:lastRenderedPageBreak/>
        <w:t>A</w:t>
      </w:r>
      <w:r w:rsidR="0053442F">
        <w:rPr>
          <w:rFonts w:ascii="Arial" w:hAnsi="Arial" w:cs="Arial"/>
          <w:b/>
          <w:sz w:val="24"/>
        </w:rPr>
        <w:t>bstract</w:t>
      </w:r>
      <w:r w:rsidR="003340B7">
        <w:rPr>
          <w:rFonts w:ascii="Arial" w:hAnsi="Arial" w:cs="Arial"/>
          <w:b/>
          <w:sz w:val="24"/>
        </w:rPr>
        <w:t xml:space="preserve"> </w:t>
      </w:r>
    </w:p>
    <w:p w14:paraId="0B9AD5D6" w14:textId="70C6EDA1" w:rsidR="0053442F" w:rsidRPr="003B4147" w:rsidRDefault="007C4981" w:rsidP="0053442F">
      <w:pPr>
        <w:jc w:val="both"/>
        <w:rPr>
          <w:rFonts w:ascii="Arial" w:hAnsi="Arial" w:cs="Arial"/>
        </w:rPr>
      </w:pPr>
      <w:r>
        <w:rPr>
          <w:rFonts w:ascii="Arial" w:hAnsi="Arial" w:cs="Arial"/>
          <w:b/>
        </w:rPr>
        <w:t>Background</w:t>
      </w:r>
      <w:r w:rsidR="00570628">
        <w:rPr>
          <w:rFonts w:ascii="Arial" w:hAnsi="Arial" w:cs="Arial"/>
          <w:b/>
        </w:rPr>
        <w:t>:</w:t>
      </w:r>
      <w:r w:rsidR="00C66A0A">
        <w:rPr>
          <w:rFonts w:ascii="Arial" w:hAnsi="Arial" w:cs="Arial"/>
          <w:b/>
        </w:rPr>
        <w:t xml:space="preserve"> </w:t>
      </w:r>
      <w:r w:rsidR="00C66A0A">
        <w:rPr>
          <w:rFonts w:ascii="Arial" w:hAnsi="Arial" w:cs="Arial"/>
        </w:rPr>
        <w:t xml:space="preserve">The COVID-19 pandemic has </w:t>
      </w:r>
      <w:r w:rsidR="003B673B">
        <w:rPr>
          <w:rFonts w:ascii="Arial" w:hAnsi="Arial" w:cs="Arial"/>
        </w:rPr>
        <w:t>had a major impact</w:t>
      </w:r>
      <w:r w:rsidR="00C66A0A">
        <w:rPr>
          <w:rFonts w:ascii="Arial" w:hAnsi="Arial" w:cs="Arial"/>
        </w:rPr>
        <w:t xml:space="preserve"> on</w:t>
      </w:r>
      <w:r w:rsidR="003B673B">
        <w:rPr>
          <w:rFonts w:ascii="Arial" w:hAnsi="Arial" w:cs="Arial"/>
        </w:rPr>
        <w:t xml:space="preserve"> delivery of</w:t>
      </w:r>
      <w:r w:rsidR="00C66A0A">
        <w:rPr>
          <w:rFonts w:ascii="Arial" w:hAnsi="Arial" w:cs="Arial"/>
        </w:rPr>
        <w:t xml:space="preserve"> social support services</w:t>
      </w:r>
      <w:r w:rsidR="00DD11A4">
        <w:rPr>
          <w:rFonts w:ascii="Arial" w:hAnsi="Arial" w:cs="Arial"/>
        </w:rPr>
        <w:t xml:space="preserve">. </w:t>
      </w:r>
      <w:r w:rsidR="003B673B">
        <w:rPr>
          <w:rFonts w:ascii="Arial" w:hAnsi="Arial" w:cs="Arial"/>
        </w:rPr>
        <w:t>This might be expected to particularly affect</w:t>
      </w:r>
      <w:r w:rsidR="00DD11A4">
        <w:rPr>
          <w:rFonts w:ascii="Arial" w:hAnsi="Arial" w:cs="Arial"/>
        </w:rPr>
        <w:t xml:space="preserve"> older adults and </w:t>
      </w:r>
      <w:r w:rsidR="00E7129B">
        <w:rPr>
          <w:rFonts w:ascii="Arial" w:hAnsi="Arial" w:cs="Arial"/>
        </w:rPr>
        <w:t>people</w:t>
      </w:r>
      <w:r w:rsidR="00DD11A4">
        <w:rPr>
          <w:rFonts w:ascii="Arial" w:hAnsi="Arial" w:cs="Arial"/>
        </w:rPr>
        <w:t xml:space="preserve"> </w:t>
      </w:r>
      <w:r w:rsidR="003B673B">
        <w:rPr>
          <w:rFonts w:ascii="Arial" w:hAnsi="Arial" w:cs="Arial"/>
        </w:rPr>
        <w:t>living with</w:t>
      </w:r>
      <w:r w:rsidR="00DD11A4">
        <w:rPr>
          <w:rFonts w:ascii="Arial" w:hAnsi="Arial" w:cs="Arial"/>
        </w:rPr>
        <w:t xml:space="preserve"> dementia</w:t>
      </w:r>
      <w:r w:rsidR="00E7129B">
        <w:rPr>
          <w:rFonts w:ascii="Arial" w:hAnsi="Arial" w:cs="Arial"/>
        </w:rPr>
        <w:t xml:space="preserve"> (PLWD)</w:t>
      </w:r>
      <w:r w:rsidR="003B673B">
        <w:rPr>
          <w:rFonts w:ascii="Arial" w:hAnsi="Arial" w:cs="Arial"/>
        </w:rPr>
        <w:t xml:space="preserve">, and to reduce </w:t>
      </w:r>
      <w:r w:rsidR="003B673B" w:rsidRPr="003B4147">
        <w:rPr>
          <w:rFonts w:ascii="Arial" w:hAnsi="Arial" w:cs="Arial"/>
        </w:rPr>
        <w:t>their wellbeing</w:t>
      </w:r>
      <w:r w:rsidR="00DD11A4" w:rsidRPr="003B4147">
        <w:rPr>
          <w:rFonts w:ascii="Arial" w:hAnsi="Arial" w:cs="Arial"/>
        </w:rPr>
        <w:t xml:space="preserve">. </w:t>
      </w:r>
    </w:p>
    <w:p w14:paraId="65FB07CE" w14:textId="3ADE46D5" w:rsidR="00570628" w:rsidRPr="003B4147" w:rsidRDefault="00AE6985" w:rsidP="0053442F">
      <w:pPr>
        <w:jc w:val="both"/>
        <w:rPr>
          <w:rFonts w:ascii="Arial" w:hAnsi="Arial" w:cs="Arial"/>
        </w:rPr>
      </w:pPr>
      <w:r w:rsidRPr="003B4147">
        <w:rPr>
          <w:rFonts w:ascii="Arial" w:hAnsi="Arial" w:cs="Arial"/>
          <w:b/>
        </w:rPr>
        <w:t>Aims</w:t>
      </w:r>
      <w:r w:rsidR="00570628" w:rsidRPr="003B4147">
        <w:rPr>
          <w:rFonts w:ascii="Arial" w:hAnsi="Arial" w:cs="Arial"/>
          <w:b/>
        </w:rPr>
        <w:t>:</w:t>
      </w:r>
      <w:r w:rsidR="003340B7" w:rsidRPr="003B4147">
        <w:rPr>
          <w:rFonts w:ascii="Arial" w:hAnsi="Arial" w:cs="Arial"/>
          <w:b/>
        </w:rPr>
        <w:t xml:space="preserve"> </w:t>
      </w:r>
      <w:r w:rsidR="003340B7" w:rsidRPr="003B4147">
        <w:rPr>
          <w:rFonts w:ascii="Arial" w:hAnsi="Arial" w:cs="Arial"/>
        </w:rPr>
        <w:t xml:space="preserve">To explore </w:t>
      </w:r>
      <w:r w:rsidR="003B673B" w:rsidRPr="003B4147">
        <w:rPr>
          <w:rFonts w:ascii="Arial" w:hAnsi="Arial" w:cs="Arial"/>
        </w:rPr>
        <w:t>how</w:t>
      </w:r>
      <w:r w:rsidR="003340B7" w:rsidRPr="003B4147">
        <w:rPr>
          <w:rFonts w:ascii="Arial" w:hAnsi="Arial" w:cs="Arial"/>
        </w:rPr>
        <w:t xml:space="preserve"> social support service</w:t>
      </w:r>
      <w:r w:rsidR="003B673B" w:rsidRPr="003B4147">
        <w:rPr>
          <w:rFonts w:ascii="Arial" w:hAnsi="Arial" w:cs="Arial"/>
        </w:rPr>
        <w:t xml:space="preserve"> use by</w:t>
      </w:r>
      <w:r w:rsidR="003340B7" w:rsidRPr="003B4147">
        <w:rPr>
          <w:rFonts w:ascii="Arial" w:hAnsi="Arial" w:cs="Arial"/>
        </w:rPr>
        <w:t xml:space="preserve"> </w:t>
      </w:r>
      <w:r w:rsidR="00517BC0" w:rsidRPr="003B4147">
        <w:rPr>
          <w:rFonts w:ascii="Arial" w:hAnsi="Arial" w:cs="Arial"/>
        </w:rPr>
        <w:t>older ad</w:t>
      </w:r>
      <w:r w:rsidR="008A3602" w:rsidRPr="003B4147">
        <w:rPr>
          <w:rFonts w:ascii="Arial" w:hAnsi="Arial" w:cs="Arial"/>
        </w:rPr>
        <w:t>u</w:t>
      </w:r>
      <w:r w:rsidR="00517BC0" w:rsidRPr="003B4147">
        <w:rPr>
          <w:rFonts w:ascii="Arial" w:hAnsi="Arial" w:cs="Arial"/>
        </w:rPr>
        <w:t>lts</w:t>
      </w:r>
      <w:r w:rsidR="00BA13F3" w:rsidRPr="003B4147">
        <w:rPr>
          <w:rFonts w:ascii="Arial" w:hAnsi="Arial" w:cs="Arial"/>
        </w:rPr>
        <w:t>, carers, and PLWD</w:t>
      </w:r>
      <w:r w:rsidR="0081543A" w:rsidRPr="003B4147">
        <w:rPr>
          <w:rFonts w:ascii="Arial" w:hAnsi="Arial" w:cs="Arial"/>
        </w:rPr>
        <w:t>, and their mental wellbeing</w:t>
      </w:r>
      <w:r w:rsidR="00AD469D" w:rsidRPr="003B4147">
        <w:rPr>
          <w:rFonts w:ascii="Arial" w:hAnsi="Arial" w:cs="Arial"/>
        </w:rPr>
        <w:t xml:space="preserve"> </w:t>
      </w:r>
      <w:r w:rsidR="003B673B" w:rsidRPr="003B4147">
        <w:rPr>
          <w:rFonts w:ascii="Arial" w:hAnsi="Arial" w:cs="Arial"/>
        </w:rPr>
        <w:t>changed over the first three months since</w:t>
      </w:r>
      <w:r w:rsidR="003340B7" w:rsidRPr="003B4147">
        <w:rPr>
          <w:rFonts w:ascii="Arial" w:hAnsi="Arial" w:cs="Arial"/>
        </w:rPr>
        <w:t xml:space="preserve"> the pandemic outbreak</w:t>
      </w:r>
      <w:r w:rsidR="008932BA" w:rsidRPr="003B4147">
        <w:rPr>
          <w:rFonts w:ascii="Arial" w:hAnsi="Arial" w:cs="Arial"/>
        </w:rPr>
        <w:t>.</w:t>
      </w:r>
    </w:p>
    <w:p w14:paraId="3D034D88" w14:textId="71568054" w:rsidR="003340B7" w:rsidRPr="003B4147" w:rsidRDefault="003340B7" w:rsidP="0053442F">
      <w:pPr>
        <w:jc w:val="both"/>
        <w:rPr>
          <w:rFonts w:ascii="Arial" w:hAnsi="Arial" w:cs="Arial"/>
        </w:rPr>
      </w:pPr>
      <w:r w:rsidRPr="003B4147">
        <w:rPr>
          <w:rFonts w:ascii="Arial" w:hAnsi="Arial" w:cs="Arial"/>
          <w:b/>
        </w:rPr>
        <w:t xml:space="preserve">Methods: </w:t>
      </w:r>
      <w:r w:rsidR="009817EA" w:rsidRPr="003B4147">
        <w:rPr>
          <w:rFonts w:ascii="Arial" w:hAnsi="Arial" w:cs="Arial"/>
        </w:rPr>
        <w:t xml:space="preserve">Unpaid </w:t>
      </w:r>
      <w:r w:rsidR="00E7129B" w:rsidRPr="003B4147">
        <w:rPr>
          <w:rFonts w:ascii="Arial" w:hAnsi="Arial" w:cs="Arial"/>
        </w:rPr>
        <w:t xml:space="preserve">dementia </w:t>
      </w:r>
      <w:r w:rsidR="009817EA" w:rsidRPr="003B4147">
        <w:rPr>
          <w:rFonts w:ascii="Arial" w:hAnsi="Arial" w:cs="Arial"/>
        </w:rPr>
        <w:t xml:space="preserve">carers, PLWD, and older adults </w:t>
      </w:r>
      <w:r w:rsidR="00E7129B" w:rsidRPr="003B4147">
        <w:rPr>
          <w:rFonts w:ascii="Arial" w:hAnsi="Arial" w:cs="Arial"/>
        </w:rPr>
        <w:t>took</w:t>
      </w:r>
      <w:r w:rsidR="009817EA" w:rsidRPr="003B4147">
        <w:rPr>
          <w:rFonts w:ascii="Arial" w:hAnsi="Arial" w:cs="Arial"/>
        </w:rPr>
        <w:t xml:space="preserve"> part in a</w:t>
      </w:r>
      <w:r w:rsidR="009817EA" w:rsidRPr="003B4147">
        <w:rPr>
          <w:rFonts w:ascii="Arial" w:hAnsi="Arial" w:cs="Arial"/>
          <w:b/>
        </w:rPr>
        <w:t xml:space="preserve"> </w:t>
      </w:r>
      <w:r w:rsidR="00C77FCB" w:rsidRPr="003B4147">
        <w:rPr>
          <w:rFonts w:ascii="Arial" w:hAnsi="Arial" w:cs="Arial"/>
        </w:rPr>
        <w:t>l</w:t>
      </w:r>
      <w:r w:rsidRPr="003B4147">
        <w:rPr>
          <w:rFonts w:ascii="Arial" w:hAnsi="Arial" w:cs="Arial"/>
        </w:rPr>
        <w:t xml:space="preserve">ongitudinal online or telephone survey </w:t>
      </w:r>
      <w:r w:rsidR="005848A7" w:rsidRPr="003B4147">
        <w:rPr>
          <w:rFonts w:ascii="Arial" w:hAnsi="Arial" w:cs="Arial"/>
        </w:rPr>
        <w:t>collected in April</w:t>
      </w:r>
      <w:r w:rsidR="00BB2893" w:rsidRPr="003B4147">
        <w:rPr>
          <w:rFonts w:ascii="Arial" w:hAnsi="Arial" w:cs="Arial"/>
        </w:rPr>
        <w:t>-May</w:t>
      </w:r>
      <w:r w:rsidR="005848A7" w:rsidRPr="003B4147">
        <w:rPr>
          <w:rFonts w:ascii="Arial" w:hAnsi="Arial" w:cs="Arial"/>
        </w:rPr>
        <w:t xml:space="preserve"> 2020</w:t>
      </w:r>
      <w:r w:rsidR="00BB2893" w:rsidRPr="003B4147">
        <w:rPr>
          <w:rFonts w:ascii="Arial" w:hAnsi="Arial" w:cs="Arial"/>
        </w:rPr>
        <w:t xml:space="preserve">, and at two subsequent time points </w:t>
      </w:r>
      <w:r w:rsidR="00AD255A" w:rsidRPr="003B4147">
        <w:rPr>
          <w:rFonts w:ascii="Arial" w:hAnsi="Arial" w:cs="Arial"/>
        </w:rPr>
        <w:t>6</w:t>
      </w:r>
      <w:r w:rsidR="00BB2893" w:rsidRPr="003B4147">
        <w:rPr>
          <w:rFonts w:ascii="Arial" w:hAnsi="Arial" w:cs="Arial"/>
        </w:rPr>
        <w:t xml:space="preserve"> and 12 weeks after baseline.</w:t>
      </w:r>
      <w:r w:rsidRPr="003B4147">
        <w:rPr>
          <w:rFonts w:ascii="Arial" w:hAnsi="Arial" w:cs="Arial"/>
        </w:rPr>
        <w:t xml:space="preserve"> Participants were asked about their social support service usage </w:t>
      </w:r>
      <w:r w:rsidR="00B00268" w:rsidRPr="003B4147">
        <w:rPr>
          <w:rFonts w:ascii="Arial" w:hAnsi="Arial" w:cs="Arial"/>
        </w:rPr>
        <w:t xml:space="preserve">in a typical week </w:t>
      </w:r>
      <w:r w:rsidRPr="003B4147">
        <w:rPr>
          <w:rFonts w:ascii="Arial" w:hAnsi="Arial" w:cs="Arial"/>
        </w:rPr>
        <w:t>pr</w:t>
      </w:r>
      <w:r w:rsidR="00517BC0" w:rsidRPr="003B4147">
        <w:rPr>
          <w:rFonts w:ascii="Arial" w:hAnsi="Arial" w:cs="Arial"/>
        </w:rPr>
        <w:t xml:space="preserve">ior to </w:t>
      </w:r>
      <w:r w:rsidRPr="003B4147">
        <w:rPr>
          <w:rFonts w:ascii="Arial" w:hAnsi="Arial" w:cs="Arial"/>
        </w:rPr>
        <w:t>the pandemic</w:t>
      </w:r>
      <w:r w:rsidR="00B00268" w:rsidRPr="003B4147">
        <w:rPr>
          <w:rFonts w:ascii="Arial" w:hAnsi="Arial" w:cs="Arial"/>
        </w:rPr>
        <w:t xml:space="preserve"> (at baseline), and in the past week at each of the</w:t>
      </w:r>
      <w:r w:rsidR="000B6A03" w:rsidRPr="003B4147">
        <w:rPr>
          <w:rFonts w:ascii="Arial" w:hAnsi="Arial" w:cs="Arial"/>
        </w:rPr>
        <w:t xml:space="preserve"> three time points</w:t>
      </w:r>
      <w:r w:rsidR="00B00268" w:rsidRPr="003B4147">
        <w:rPr>
          <w:rFonts w:ascii="Arial" w:hAnsi="Arial" w:cs="Arial"/>
        </w:rPr>
        <w:t xml:space="preserve">. They also completed </w:t>
      </w:r>
      <w:r w:rsidRPr="003B4147">
        <w:rPr>
          <w:rFonts w:ascii="Arial" w:hAnsi="Arial" w:cs="Arial"/>
        </w:rPr>
        <w:t>measures o</w:t>
      </w:r>
      <w:r w:rsidR="00517BC0" w:rsidRPr="003B4147">
        <w:rPr>
          <w:rFonts w:ascii="Arial" w:hAnsi="Arial" w:cs="Arial"/>
        </w:rPr>
        <w:t>f</w:t>
      </w:r>
      <w:r w:rsidRPr="003B4147">
        <w:rPr>
          <w:rFonts w:ascii="Arial" w:hAnsi="Arial" w:cs="Arial"/>
        </w:rPr>
        <w:t xml:space="preserve"> </w:t>
      </w:r>
      <w:r w:rsidR="00BA3B25" w:rsidRPr="003B4147">
        <w:rPr>
          <w:rFonts w:ascii="Arial" w:hAnsi="Arial" w:cs="Arial"/>
        </w:rPr>
        <w:t xml:space="preserve">levels of </w:t>
      </w:r>
      <w:r w:rsidR="00B00268" w:rsidRPr="003B4147">
        <w:rPr>
          <w:rFonts w:ascii="Arial" w:hAnsi="Arial" w:cs="Arial"/>
        </w:rPr>
        <w:t xml:space="preserve">depression, anxiety and </w:t>
      </w:r>
      <w:r w:rsidRPr="003B4147">
        <w:rPr>
          <w:rFonts w:ascii="Arial" w:hAnsi="Arial" w:cs="Arial"/>
        </w:rPr>
        <w:t xml:space="preserve">mental </w:t>
      </w:r>
      <w:r w:rsidR="003F3A52" w:rsidRPr="003B4147">
        <w:rPr>
          <w:rFonts w:ascii="Arial" w:hAnsi="Arial" w:cs="Arial"/>
        </w:rPr>
        <w:t>well-being</w:t>
      </w:r>
      <w:r w:rsidRPr="003B4147">
        <w:rPr>
          <w:rFonts w:ascii="Arial" w:hAnsi="Arial" w:cs="Arial"/>
        </w:rPr>
        <w:t>.</w:t>
      </w:r>
    </w:p>
    <w:p w14:paraId="50E736FD" w14:textId="4D17A314" w:rsidR="003340B7" w:rsidRPr="003B4147" w:rsidRDefault="003340B7" w:rsidP="0053442F">
      <w:pPr>
        <w:jc w:val="both"/>
        <w:rPr>
          <w:rFonts w:ascii="Arial" w:hAnsi="Arial" w:cs="Arial"/>
        </w:rPr>
      </w:pPr>
      <w:r w:rsidRPr="003B4147">
        <w:rPr>
          <w:rFonts w:ascii="Arial" w:hAnsi="Arial" w:cs="Arial"/>
          <w:b/>
        </w:rPr>
        <w:t xml:space="preserve">Results: </w:t>
      </w:r>
      <w:r w:rsidR="00BB3EF7" w:rsidRPr="003B4147">
        <w:rPr>
          <w:rFonts w:ascii="Arial" w:hAnsi="Arial" w:cs="Arial"/>
        </w:rPr>
        <w:t>377 participants had complete data at all three time points.</w:t>
      </w:r>
      <w:r w:rsidR="00BB3EF7" w:rsidRPr="003B4147">
        <w:rPr>
          <w:rFonts w:ascii="Arial" w:hAnsi="Arial" w:cs="Arial"/>
          <w:b/>
        </w:rPr>
        <w:t xml:space="preserve"> </w:t>
      </w:r>
      <w:r w:rsidRPr="003B4147">
        <w:rPr>
          <w:rFonts w:ascii="Arial" w:hAnsi="Arial" w:cs="Arial"/>
        </w:rPr>
        <w:t xml:space="preserve">Social support service usage dropped shortly after lockdown measures were imposed at timepoint 1 (T1), to then increase again </w:t>
      </w:r>
      <w:r w:rsidR="00517BC0" w:rsidRPr="003B4147">
        <w:rPr>
          <w:rFonts w:ascii="Arial" w:hAnsi="Arial" w:cs="Arial"/>
        </w:rPr>
        <w:t xml:space="preserve">by </w:t>
      </w:r>
      <w:r w:rsidRPr="003B4147">
        <w:rPr>
          <w:rFonts w:ascii="Arial" w:hAnsi="Arial" w:cs="Arial"/>
        </w:rPr>
        <w:t xml:space="preserve">T3. </w:t>
      </w:r>
      <w:r w:rsidR="00517BC0" w:rsidRPr="003B4147">
        <w:rPr>
          <w:rFonts w:ascii="Arial" w:hAnsi="Arial" w:cs="Arial"/>
        </w:rPr>
        <w:t>The a</w:t>
      </w:r>
      <w:r w:rsidRPr="003B4147">
        <w:rPr>
          <w:rFonts w:ascii="Arial" w:hAnsi="Arial" w:cs="Arial"/>
        </w:rPr>
        <w:t>ccess</w:t>
      </w:r>
      <w:r w:rsidR="00517BC0" w:rsidRPr="003B4147">
        <w:rPr>
          <w:rFonts w:ascii="Arial" w:hAnsi="Arial" w:cs="Arial"/>
        </w:rPr>
        <w:t xml:space="preserve"> to</w:t>
      </w:r>
      <w:r w:rsidRPr="003B4147">
        <w:rPr>
          <w:rFonts w:ascii="Arial" w:hAnsi="Arial" w:cs="Arial"/>
        </w:rPr>
        <w:t xml:space="preserve"> paid care was least affected by COVID-19. </w:t>
      </w:r>
      <w:r w:rsidR="001103CE" w:rsidRPr="003B4147">
        <w:rPr>
          <w:rFonts w:ascii="Arial" w:hAnsi="Arial" w:cs="Arial"/>
        </w:rPr>
        <w:t>Cases of anxiety dropped significantly across the study period, w</w:t>
      </w:r>
      <w:r w:rsidR="00517BC0" w:rsidRPr="003B4147">
        <w:rPr>
          <w:rFonts w:ascii="Arial" w:hAnsi="Arial" w:cs="Arial"/>
        </w:rPr>
        <w:t xml:space="preserve">hilst </w:t>
      </w:r>
      <w:r w:rsidR="001103CE" w:rsidRPr="003B4147">
        <w:rPr>
          <w:rFonts w:ascii="Arial" w:hAnsi="Arial" w:cs="Arial"/>
        </w:rPr>
        <w:t xml:space="preserve">cases of depression </w:t>
      </w:r>
      <w:r w:rsidR="00517BC0" w:rsidRPr="003B4147">
        <w:rPr>
          <w:rFonts w:ascii="Arial" w:hAnsi="Arial" w:cs="Arial"/>
        </w:rPr>
        <w:t>rose</w:t>
      </w:r>
      <w:r w:rsidR="001103CE" w:rsidRPr="003B4147">
        <w:rPr>
          <w:rFonts w:ascii="Arial" w:hAnsi="Arial" w:cs="Arial"/>
        </w:rPr>
        <w:t xml:space="preserve">. </w:t>
      </w:r>
      <w:r w:rsidR="000B6A03" w:rsidRPr="003B4147">
        <w:rPr>
          <w:rFonts w:ascii="Arial" w:hAnsi="Arial" w:cs="Arial"/>
        </w:rPr>
        <w:t>We</w:t>
      </w:r>
      <w:r w:rsidR="00CA412A" w:rsidRPr="003B4147">
        <w:rPr>
          <w:rFonts w:ascii="Arial" w:hAnsi="Arial" w:cs="Arial"/>
        </w:rPr>
        <w:t xml:space="preserve">ll-being increased significantly for older adults and PLWD from T1 to T3. </w:t>
      </w:r>
    </w:p>
    <w:p w14:paraId="0F91A024" w14:textId="447AA386" w:rsidR="003340B7" w:rsidRPr="003B4147" w:rsidRDefault="003340B7" w:rsidP="0053442F">
      <w:pPr>
        <w:jc w:val="both"/>
        <w:rPr>
          <w:rFonts w:ascii="Arial" w:hAnsi="Arial" w:cs="Arial"/>
        </w:rPr>
      </w:pPr>
      <w:r w:rsidRPr="003B4147">
        <w:rPr>
          <w:rFonts w:ascii="Arial" w:hAnsi="Arial" w:cs="Arial"/>
          <w:b/>
        </w:rPr>
        <w:t>Conclusions:</w:t>
      </w:r>
      <w:r w:rsidR="00CA412A" w:rsidRPr="003B4147">
        <w:rPr>
          <w:rFonts w:ascii="Arial" w:hAnsi="Arial" w:cs="Arial"/>
        </w:rPr>
        <w:t xml:space="preserve"> Access to social support services has been significantly affected by the pandemic, which </w:t>
      </w:r>
      <w:r w:rsidR="001B43C6" w:rsidRPr="003B4147">
        <w:rPr>
          <w:rFonts w:ascii="Arial" w:hAnsi="Arial" w:cs="Arial"/>
        </w:rPr>
        <w:t>is</w:t>
      </w:r>
      <w:r w:rsidR="00CA412A" w:rsidRPr="003B4147">
        <w:rPr>
          <w:rFonts w:ascii="Arial" w:hAnsi="Arial" w:cs="Arial"/>
        </w:rPr>
        <w:t xml:space="preserve"> starting to recover slowly. With mental well-being differently affected across groups,</w:t>
      </w:r>
      <w:r w:rsidR="00EB1B3E" w:rsidRPr="003B4147">
        <w:rPr>
          <w:rFonts w:ascii="Arial" w:hAnsi="Arial" w:cs="Arial"/>
        </w:rPr>
        <w:t xml:space="preserve"> support needs to be put in place </w:t>
      </w:r>
      <w:r w:rsidR="000C4C98" w:rsidRPr="003B4147">
        <w:rPr>
          <w:rFonts w:ascii="Arial" w:hAnsi="Arial" w:cs="Arial"/>
        </w:rPr>
        <w:t>to maintain better well-being across those vulnerable groups during the ongoing pandemic.</w:t>
      </w:r>
    </w:p>
    <w:p w14:paraId="78DE87B1" w14:textId="0C087CE7" w:rsidR="0053442F" w:rsidRPr="003B4147" w:rsidRDefault="0053442F" w:rsidP="0053442F">
      <w:pPr>
        <w:jc w:val="both"/>
        <w:rPr>
          <w:rFonts w:ascii="Arial" w:hAnsi="Arial" w:cs="Arial"/>
          <w:b/>
          <w:sz w:val="24"/>
        </w:rPr>
      </w:pPr>
    </w:p>
    <w:p w14:paraId="3CAC571A" w14:textId="3A96483A" w:rsidR="0053442F" w:rsidRPr="003B4147" w:rsidRDefault="0053442F" w:rsidP="0053442F">
      <w:pPr>
        <w:jc w:val="both"/>
        <w:rPr>
          <w:rFonts w:ascii="Arial" w:hAnsi="Arial" w:cs="Arial"/>
          <w:b/>
          <w:sz w:val="24"/>
        </w:rPr>
      </w:pPr>
    </w:p>
    <w:p w14:paraId="325DB35C" w14:textId="4FB6A58A" w:rsidR="0053442F" w:rsidRPr="003B4147" w:rsidRDefault="0053442F" w:rsidP="0053442F">
      <w:pPr>
        <w:jc w:val="both"/>
        <w:rPr>
          <w:rFonts w:ascii="Arial" w:hAnsi="Arial" w:cs="Arial"/>
          <w:b/>
          <w:sz w:val="24"/>
        </w:rPr>
      </w:pPr>
    </w:p>
    <w:p w14:paraId="2CF98629" w14:textId="7B9CA35D" w:rsidR="0053442F" w:rsidRPr="003B4147" w:rsidRDefault="0053442F" w:rsidP="0053442F">
      <w:pPr>
        <w:jc w:val="both"/>
        <w:rPr>
          <w:rFonts w:ascii="Arial" w:hAnsi="Arial" w:cs="Arial"/>
          <w:b/>
          <w:sz w:val="24"/>
        </w:rPr>
      </w:pPr>
    </w:p>
    <w:p w14:paraId="43342A22" w14:textId="4341443A" w:rsidR="0053442F" w:rsidRPr="003B4147" w:rsidRDefault="0053442F" w:rsidP="0053442F">
      <w:pPr>
        <w:jc w:val="both"/>
        <w:rPr>
          <w:rFonts w:ascii="Arial" w:hAnsi="Arial" w:cs="Arial"/>
          <w:b/>
          <w:sz w:val="24"/>
        </w:rPr>
      </w:pPr>
    </w:p>
    <w:p w14:paraId="39E331CC" w14:textId="5BFA38F2" w:rsidR="0053442F" w:rsidRPr="003B4147" w:rsidRDefault="0053442F" w:rsidP="0053442F">
      <w:pPr>
        <w:jc w:val="both"/>
        <w:rPr>
          <w:rFonts w:ascii="Arial" w:hAnsi="Arial" w:cs="Arial"/>
          <w:b/>
          <w:sz w:val="24"/>
        </w:rPr>
      </w:pPr>
    </w:p>
    <w:p w14:paraId="296793F3" w14:textId="05A3AAAC" w:rsidR="0053442F" w:rsidRPr="003B4147" w:rsidRDefault="0053442F" w:rsidP="0053442F">
      <w:pPr>
        <w:jc w:val="both"/>
        <w:rPr>
          <w:rFonts w:ascii="Arial" w:hAnsi="Arial" w:cs="Arial"/>
          <w:b/>
          <w:sz w:val="24"/>
        </w:rPr>
      </w:pPr>
    </w:p>
    <w:p w14:paraId="72D73058" w14:textId="44669216" w:rsidR="0053442F" w:rsidRPr="003B4147" w:rsidRDefault="0053442F" w:rsidP="0053442F">
      <w:pPr>
        <w:jc w:val="both"/>
        <w:rPr>
          <w:rFonts w:ascii="Arial" w:hAnsi="Arial" w:cs="Arial"/>
          <w:b/>
          <w:sz w:val="24"/>
        </w:rPr>
      </w:pPr>
    </w:p>
    <w:p w14:paraId="2DFF220C" w14:textId="2FC9E7D9" w:rsidR="0053442F" w:rsidRPr="003B4147" w:rsidRDefault="0053442F" w:rsidP="0053442F">
      <w:pPr>
        <w:jc w:val="both"/>
        <w:rPr>
          <w:rFonts w:ascii="Arial" w:hAnsi="Arial" w:cs="Arial"/>
          <w:b/>
          <w:sz w:val="24"/>
        </w:rPr>
      </w:pPr>
    </w:p>
    <w:p w14:paraId="6FD0403A" w14:textId="233CED74" w:rsidR="0053442F" w:rsidRPr="003B4147" w:rsidRDefault="0053442F" w:rsidP="0053442F">
      <w:pPr>
        <w:jc w:val="both"/>
        <w:rPr>
          <w:rFonts w:ascii="Arial" w:hAnsi="Arial" w:cs="Arial"/>
          <w:b/>
          <w:sz w:val="24"/>
        </w:rPr>
      </w:pPr>
    </w:p>
    <w:p w14:paraId="736E42B2" w14:textId="68019269" w:rsidR="0053442F" w:rsidRPr="003B4147" w:rsidRDefault="0053442F" w:rsidP="0053442F">
      <w:pPr>
        <w:jc w:val="both"/>
        <w:rPr>
          <w:rFonts w:ascii="Arial" w:hAnsi="Arial" w:cs="Arial"/>
          <w:b/>
          <w:sz w:val="24"/>
        </w:rPr>
      </w:pPr>
    </w:p>
    <w:p w14:paraId="1F5AA7C7" w14:textId="7E9BA5D8" w:rsidR="0053442F" w:rsidRPr="003B4147" w:rsidRDefault="0053442F" w:rsidP="0053442F">
      <w:pPr>
        <w:jc w:val="both"/>
        <w:rPr>
          <w:rFonts w:ascii="Arial" w:hAnsi="Arial" w:cs="Arial"/>
          <w:b/>
          <w:sz w:val="24"/>
        </w:rPr>
      </w:pPr>
    </w:p>
    <w:p w14:paraId="343650A5" w14:textId="77777777" w:rsidR="00BE4385" w:rsidRPr="003B4147" w:rsidRDefault="00BE4385" w:rsidP="0053442F">
      <w:pPr>
        <w:jc w:val="both"/>
        <w:rPr>
          <w:rFonts w:ascii="Arial" w:hAnsi="Arial" w:cs="Arial"/>
          <w:b/>
          <w:sz w:val="24"/>
        </w:rPr>
      </w:pPr>
    </w:p>
    <w:p w14:paraId="71B83A5C" w14:textId="43A3D0AF" w:rsidR="0053442F" w:rsidRPr="003B4147" w:rsidRDefault="0053442F" w:rsidP="0053442F">
      <w:pPr>
        <w:jc w:val="both"/>
        <w:rPr>
          <w:rFonts w:ascii="Arial" w:hAnsi="Arial" w:cs="Arial"/>
          <w:b/>
          <w:sz w:val="24"/>
        </w:rPr>
      </w:pPr>
    </w:p>
    <w:p w14:paraId="7E89ADC0" w14:textId="7C3BA14C" w:rsidR="0053442F" w:rsidRPr="003B4147" w:rsidRDefault="0053442F" w:rsidP="0053442F">
      <w:pPr>
        <w:jc w:val="both"/>
        <w:rPr>
          <w:rFonts w:ascii="Arial" w:hAnsi="Arial" w:cs="Arial"/>
          <w:b/>
          <w:sz w:val="24"/>
        </w:rPr>
      </w:pPr>
    </w:p>
    <w:p w14:paraId="16A7DC18" w14:textId="2ABB7990" w:rsidR="00E7129B" w:rsidRPr="003B4147" w:rsidRDefault="00E7129B" w:rsidP="0053442F">
      <w:pPr>
        <w:jc w:val="both"/>
        <w:rPr>
          <w:rFonts w:ascii="Arial" w:hAnsi="Arial" w:cs="Arial"/>
          <w:b/>
          <w:sz w:val="24"/>
        </w:rPr>
      </w:pPr>
    </w:p>
    <w:p w14:paraId="753341E1" w14:textId="79F2F9F9" w:rsidR="00E155AE" w:rsidRPr="003B4147" w:rsidRDefault="00E155AE" w:rsidP="0053442F">
      <w:pPr>
        <w:jc w:val="both"/>
        <w:rPr>
          <w:rFonts w:ascii="Arial" w:hAnsi="Arial" w:cs="Arial"/>
          <w:b/>
          <w:sz w:val="24"/>
        </w:rPr>
      </w:pPr>
      <w:r w:rsidRPr="003B4147">
        <w:rPr>
          <w:rFonts w:ascii="Arial" w:hAnsi="Arial" w:cs="Arial"/>
          <w:b/>
          <w:sz w:val="24"/>
        </w:rPr>
        <w:lastRenderedPageBreak/>
        <w:t>Strengths and limitations of this study</w:t>
      </w:r>
    </w:p>
    <w:p w14:paraId="68261552" w14:textId="17DF398D" w:rsidR="00EA5943" w:rsidRPr="003B4147" w:rsidRDefault="00E155AE" w:rsidP="00EA5943">
      <w:pPr>
        <w:pStyle w:val="ListParagraph"/>
        <w:numPr>
          <w:ilvl w:val="0"/>
          <w:numId w:val="5"/>
        </w:numPr>
        <w:jc w:val="both"/>
        <w:rPr>
          <w:rFonts w:ascii="Arial" w:hAnsi="Arial" w:cs="Arial"/>
        </w:rPr>
      </w:pPr>
      <w:r w:rsidRPr="003B4147">
        <w:rPr>
          <w:rFonts w:ascii="Arial" w:hAnsi="Arial" w:cs="Arial"/>
        </w:rPr>
        <w:t>Data on social support service usage and mental health were collected at three time points in the early stages of the pandemic</w:t>
      </w:r>
    </w:p>
    <w:p w14:paraId="2D8C562A" w14:textId="4140EEB6" w:rsidR="00E155AE" w:rsidRPr="003B4147" w:rsidRDefault="00E155AE" w:rsidP="00E155AE">
      <w:pPr>
        <w:pStyle w:val="ListParagraph"/>
        <w:numPr>
          <w:ilvl w:val="0"/>
          <w:numId w:val="5"/>
        </w:numPr>
        <w:jc w:val="both"/>
        <w:rPr>
          <w:rFonts w:ascii="Arial" w:hAnsi="Arial" w:cs="Arial"/>
        </w:rPr>
      </w:pPr>
      <w:r w:rsidRPr="003B4147">
        <w:rPr>
          <w:rFonts w:ascii="Arial" w:hAnsi="Arial" w:cs="Arial"/>
        </w:rPr>
        <w:t>63% of participants completed all three survey time points</w:t>
      </w:r>
    </w:p>
    <w:p w14:paraId="3DF6530E" w14:textId="667F7C18" w:rsidR="00E155AE" w:rsidRPr="003B4147" w:rsidRDefault="00EA5943" w:rsidP="00E155AE">
      <w:pPr>
        <w:pStyle w:val="ListParagraph"/>
        <w:numPr>
          <w:ilvl w:val="0"/>
          <w:numId w:val="5"/>
        </w:numPr>
        <w:jc w:val="both"/>
        <w:rPr>
          <w:rFonts w:ascii="Arial" w:hAnsi="Arial" w:cs="Arial"/>
        </w:rPr>
      </w:pPr>
      <w:r w:rsidRPr="003B4147">
        <w:rPr>
          <w:rFonts w:ascii="Arial" w:hAnsi="Arial" w:cs="Arial"/>
        </w:rPr>
        <w:t>The survey was co-produced with people affected by dementia</w:t>
      </w:r>
    </w:p>
    <w:p w14:paraId="40C6C767" w14:textId="6A87839D" w:rsidR="00E155AE" w:rsidRPr="003B4147" w:rsidRDefault="00E155AE" w:rsidP="00E155AE">
      <w:pPr>
        <w:pStyle w:val="ListParagraph"/>
        <w:numPr>
          <w:ilvl w:val="0"/>
          <w:numId w:val="5"/>
        </w:numPr>
        <w:jc w:val="both"/>
        <w:rPr>
          <w:rFonts w:ascii="Arial" w:hAnsi="Arial" w:cs="Arial"/>
        </w:rPr>
      </w:pPr>
      <w:r w:rsidRPr="003B4147">
        <w:rPr>
          <w:rFonts w:ascii="Arial" w:hAnsi="Arial" w:cs="Arial"/>
        </w:rPr>
        <w:t>The study was mostly completed by people from a White ethnic background, and lacks ethnic minority representation despite actively approaching community groups</w:t>
      </w:r>
    </w:p>
    <w:p w14:paraId="6BD0FDA4" w14:textId="467D37B1" w:rsidR="00766A72" w:rsidRPr="003B4147" w:rsidRDefault="00766A72" w:rsidP="00E155AE">
      <w:pPr>
        <w:pStyle w:val="ListParagraph"/>
        <w:numPr>
          <w:ilvl w:val="0"/>
          <w:numId w:val="5"/>
        </w:numPr>
        <w:jc w:val="both"/>
        <w:rPr>
          <w:rFonts w:ascii="Arial" w:hAnsi="Arial" w:cs="Arial"/>
        </w:rPr>
      </w:pPr>
      <w:r w:rsidRPr="003B4147">
        <w:rPr>
          <w:rFonts w:ascii="Arial" w:hAnsi="Arial" w:cs="Arial"/>
        </w:rPr>
        <w:t>Some people with dementia completed the survey, who may have had difficulties in recalling the services they received pre-pandemic</w:t>
      </w:r>
    </w:p>
    <w:p w14:paraId="2B9544C8" w14:textId="77777777" w:rsidR="00E155AE" w:rsidRPr="003B4147" w:rsidRDefault="00E155AE" w:rsidP="00F75F63">
      <w:pPr>
        <w:pStyle w:val="ListParagraph"/>
        <w:jc w:val="both"/>
        <w:rPr>
          <w:rFonts w:ascii="Arial" w:hAnsi="Arial" w:cs="Arial"/>
        </w:rPr>
      </w:pPr>
    </w:p>
    <w:p w14:paraId="5DD056CE" w14:textId="76915EB2" w:rsidR="00E155AE" w:rsidRPr="003B4147" w:rsidRDefault="00E155AE" w:rsidP="00E155AE">
      <w:pPr>
        <w:jc w:val="both"/>
        <w:rPr>
          <w:rFonts w:ascii="Arial" w:hAnsi="Arial" w:cs="Arial"/>
        </w:rPr>
      </w:pPr>
    </w:p>
    <w:p w14:paraId="41EACA53" w14:textId="6760AF23" w:rsidR="00E155AE" w:rsidRPr="003B4147" w:rsidRDefault="00E155AE" w:rsidP="00E155AE">
      <w:pPr>
        <w:jc w:val="both"/>
        <w:rPr>
          <w:rFonts w:ascii="Arial" w:hAnsi="Arial" w:cs="Arial"/>
        </w:rPr>
      </w:pPr>
    </w:p>
    <w:p w14:paraId="032BBB85" w14:textId="3FC57CB6" w:rsidR="00E155AE" w:rsidRPr="003B4147" w:rsidRDefault="00E155AE" w:rsidP="00E155AE">
      <w:pPr>
        <w:jc w:val="both"/>
        <w:rPr>
          <w:rFonts w:ascii="Arial" w:hAnsi="Arial" w:cs="Arial"/>
        </w:rPr>
      </w:pPr>
    </w:p>
    <w:p w14:paraId="164E3015" w14:textId="50975791" w:rsidR="00E155AE" w:rsidRPr="003B4147" w:rsidRDefault="00E155AE" w:rsidP="00E155AE">
      <w:pPr>
        <w:jc w:val="both"/>
        <w:rPr>
          <w:rFonts w:ascii="Arial" w:hAnsi="Arial" w:cs="Arial"/>
        </w:rPr>
      </w:pPr>
    </w:p>
    <w:p w14:paraId="59072985" w14:textId="02D0B6FA" w:rsidR="00E155AE" w:rsidRPr="003B4147" w:rsidRDefault="00E155AE" w:rsidP="00E155AE">
      <w:pPr>
        <w:jc w:val="both"/>
        <w:rPr>
          <w:rFonts w:ascii="Arial" w:hAnsi="Arial" w:cs="Arial"/>
        </w:rPr>
      </w:pPr>
    </w:p>
    <w:p w14:paraId="1C083844" w14:textId="026338F7" w:rsidR="00E155AE" w:rsidRPr="003B4147" w:rsidRDefault="00E155AE" w:rsidP="00E155AE">
      <w:pPr>
        <w:jc w:val="both"/>
        <w:rPr>
          <w:rFonts w:ascii="Arial" w:hAnsi="Arial" w:cs="Arial"/>
        </w:rPr>
      </w:pPr>
    </w:p>
    <w:p w14:paraId="338CFEF3" w14:textId="431D71FE" w:rsidR="00E155AE" w:rsidRPr="003B4147" w:rsidRDefault="00E155AE" w:rsidP="00E155AE">
      <w:pPr>
        <w:jc w:val="both"/>
        <w:rPr>
          <w:rFonts w:ascii="Arial" w:hAnsi="Arial" w:cs="Arial"/>
        </w:rPr>
      </w:pPr>
    </w:p>
    <w:p w14:paraId="5BAAF337" w14:textId="48416BEF" w:rsidR="00E155AE" w:rsidRPr="003B4147" w:rsidRDefault="00E155AE" w:rsidP="00E155AE">
      <w:pPr>
        <w:jc w:val="both"/>
        <w:rPr>
          <w:rFonts w:ascii="Arial" w:hAnsi="Arial" w:cs="Arial"/>
        </w:rPr>
      </w:pPr>
    </w:p>
    <w:p w14:paraId="10D67955" w14:textId="0EF96CA0" w:rsidR="00E155AE" w:rsidRPr="003B4147" w:rsidRDefault="00E155AE" w:rsidP="00E155AE">
      <w:pPr>
        <w:jc w:val="both"/>
        <w:rPr>
          <w:rFonts w:ascii="Arial" w:hAnsi="Arial" w:cs="Arial"/>
        </w:rPr>
      </w:pPr>
    </w:p>
    <w:p w14:paraId="11C8F930" w14:textId="660C6FB7" w:rsidR="00E155AE" w:rsidRPr="003B4147" w:rsidRDefault="00E155AE" w:rsidP="00E155AE">
      <w:pPr>
        <w:jc w:val="both"/>
        <w:rPr>
          <w:rFonts w:ascii="Arial" w:hAnsi="Arial" w:cs="Arial"/>
        </w:rPr>
      </w:pPr>
    </w:p>
    <w:p w14:paraId="0626B20D" w14:textId="158945C9" w:rsidR="00E155AE" w:rsidRPr="003B4147" w:rsidRDefault="00E155AE" w:rsidP="00E155AE">
      <w:pPr>
        <w:jc w:val="both"/>
        <w:rPr>
          <w:rFonts w:ascii="Arial" w:hAnsi="Arial" w:cs="Arial"/>
        </w:rPr>
      </w:pPr>
    </w:p>
    <w:p w14:paraId="4E46F82D" w14:textId="13ABAD1E" w:rsidR="00E155AE" w:rsidRPr="003B4147" w:rsidRDefault="00E155AE" w:rsidP="00E155AE">
      <w:pPr>
        <w:jc w:val="both"/>
        <w:rPr>
          <w:rFonts w:ascii="Arial" w:hAnsi="Arial" w:cs="Arial"/>
        </w:rPr>
      </w:pPr>
    </w:p>
    <w:p w14:paraId="3C1D186A" w14:textId="433E5D0B" w:rsidR="00E155AE" w:rsidRPr="003B4147" w:rsidRDefault="00E155AE" w:rsidP="00E155AE">
      <w:pPr>
        <w:jc w:val="both"/>
        <w:rPr>
          <w:rFonts w:ascii="Arial" w:hAnsi="Arial" w:cs="Arial"/>
        </w:rPr>
      </w:pPr>
    </w:p>
    <w:p w14:paraId="4A845439" w14:textId="519FF7C1" w:rsidR="00E155AE" w:rsidRPr="003B4147" w:rsidRDefault="00E155AE" w:rsidP="00E155AE">
      <w:pPr>
        <w:jc w:val="both"/>
        <w:rPr>
          <w:rFonts w:ascii="Arial" w:hAnsi="Arial" w:cs="Arial"/>
        </w:rPr>
      </w:pPr>
    </w:p>
    <w:p w14:paraId="00F09A48" w14:textId="295B769A" w:rsidR="00E155AE" w:rsidRPr="003B4147" w:rsidRDefault="00E155AE" w:rsidP="00E155AE">
      <w:pPr>
        <w:jc w:val="both"/>
        <w:rPr>
          <w:rFonts w:ascii="Arial" w:hAnsi="Arial" w:cs="Arial"/>
        </w:rPr>
      </w:pPr>
    </w:p>
    <w:p w14:paraId="34E1BF80" w14:textId="537C5067" w:rsidR="00E155AE" w:rsidRPr="003B4147" w:rsidRDefault="00E155AE" w:rsidP="00E155AE">
      <w:pPr>
        <w:jc w:val="both"/>
        <w:rPr>
          <w:rFonts w:ascii="Arial" w:hAnsi="Arial" w:cs="Arial"/>
        </w:rPr>
      </w:pPr>
    </w:p>
    <w:p w14:paraId="632558C5" w14:textId="2ACB5B87" w:rsidR="00E155AE" w:rsidRPr="003B4147" w:rsidRDefault="00E155AE" w:rsidP="00E155AE">
      <w:pPr>
        <w:jc w:val="both"/>
        <w:rPr>
          <w:rFonts w:ascii="Arial" w:hAnsi="Arial" w:cs="Arial"/>
        </w:rPr>
      </w:pPr>
    </w:p>
    <w:p w14:paraId="56831B57" w14:textId="7EBCB583" w:rsidR="00E155AE" w:rsidRPr="003B4147" w:rsidRDefault="00E155AE" w:rsidP="00E155AE">
      <w:pPr>
        <w:jc w:val="both"/>
        <w:rPr>
          <w:rFonts w:ascii="Arial" w:hAnsi="Arial" w:cs="Arial"/>
        </w:rPr>
      </w:pPr>
    </w:p>
    <w:p w14:paraId="288C6BC9" w14:textId="2E0FC7FA" w:rsidR="00E155AE" w:rsidRPr="003B4147" w:rsidRDefault="00E155AE" w:rsidP="00E155AE">
      <w:pPr>
        <w:jc w:val="both"/>
        <w:rPr>
          <w:rFonts w:ascii="Arial" w:hAnsi="Arial" w:cs="Arial"/>
        </w:rPr>
      </w:pPr>
    </w:p>
    <w:p w14:paraId="2E778003" w14:textId="3976C3CA" w:rsidR="00E155AE" w:rsidRPr="003B4147" w:rsidRDefault="00E155AE" w:rsidP="00E155AE">
      <w:pPr>
        <w:jc w:val="both"/>
        <w:rPr>
          <w:rFonts w:ascii="Arial" w:hAnsi="Arial" w:cs="Arial"/>
        </w:rPr>
      </w:pPr>
    </w:p>
    <w:p w14:paraId="1C41E7EA" w14:textId="276AB315" w:rsidR="00E155AE" w:rsidRPr="003B4147" w:rsidRDefault="00E155AE" w:rsidP="00E155AE">
      <w:pPr>
        <w:jc w:val="both"/>
        <w:rPr>
          <w:rFonts w:ascii="Arial" w:hAnsi="Arial" w:cs="Arial"/>
        </w:rPr>
      </w:pPr>
    </w:p>
    <w:p w14:paraId="4364F383" w14:textId="12DEBBFD" w:rsidR="00E155AE" w:rsidRPr="003B4147" w:rsidRDefault="00E155AE" w:rsidP="00E155AE">
      <w:pPr>
        <w:jc w:val="both"/>
        <w:rPr>
          <w:rFonts w:ascii="Arial" w:hAnsi="Arial" w:cs="Arial"/>
        </w:rPr>
      </w:pPr>
    </w:p>
    <w:p w14:paraId="746CE5EB" w14:textId="10BD583E" w:rsidR="00E155AE" w:rsidRPr="003B4147" w:rsidRDefault="00E155AE" w:rsidP="0053442F">
      <w:pPr>
        <w:jc w:val="both"/>
        <w:rPr>
          <w:rFonts w:ascii="Arial" w:hAnsi="Arial" w:cs="Arial"/>
          <w:b/>
          <w:sz w:val="24"/>
        </w:rPr>
      </w:pPr>
    </w:p>
    <w:p w14:paraId="4AEEFD58" w14:textId="77777777" w:rsidR="00E155AE" w:rsidRPr="003B4147" w:rsidRDefault="00E155AE" w:rsidP="0053442F">
      <w:pPr>
        <w:jc w:val="both"/>
        <w:rPr>
          <w:rFonts w:ascii="Arial" w:hAnsi="Arial" w:cs="Arial"/>
          <w:b/>
          <w:sz w:val="24"/>
        </w:rPr>
      </w:pPr>
    </w:p>
    <w:p w14:paraId="465A8A31" w14:textId="77777777" w:rsidR="00E155AE" w:rsidRPr="003B4147" w:rsidRDefault="00E155AE" w:rsidP="0053442F">
      <w:pPr>
        <w:jc w:val="both"/>
        <w:rPr>
          <w:rFonts w:ascii="Arial" w:hAnsi="Arial" w:cs="Arial"/>
          <w:b/>
          <w:sz w:val="24"/>
        </w:rPr>
      </w:pPr>
    </w:p>
    <w:p w14:paraId="11E26312" w14:textId="339B0383" w:rsidR="0053442F" w:rsidRPr="003B4147" w:rsidRDefault="0053442F" w:rsidP="0053442F">
      <w:pPr>
        <w:jc w:val="both"/>
        <w:rPr>
          <w:rFonts w:ascii="Arial" w:hAnsi="Arial" w:cs="Arial"/>
          <w:b/>
          <w:sz w:val="24"/>
        </w:rPr>
      </w:pPr>
      <w:r w:rsidRPr="003B4147">
        <w:rPr>
          <w:rFonts w:ascii="Arial" w:hAnsi="Arial" w:cs="Arial"/>
          <w:b/>
          <w:sz w:val="24"/>
        </w:rPr>
        <w:lastRenderedPageBreak/>
        <w:t>Introduction</w:t>
      </w:r>
    </w:p>
    <w:p w14:paraId="67A4FEFD" w14:textId="3C9E06FF" w:rsidR="0075017F" w:rsidRPr="00C52D25" w:rsidRDefault="0075017F" w:rsidP="00607323">
      <w:pPr>
        <w:spacing w:after="0"/>
        <w:jc w:val="both"/>
        <w:rPr>
          <w:rFonts w:ascii="Arial" w:hAnsi="Arial" w:cs="Arial"/>
        </w:rPr>
      </w:pPr>
      <w:r w:rsidRPr="003B4147">
        <w:rPr>
          <w:rFonts w:ascii="Arial" w:hAnsi="Arial" w:cs="Arial"/>
        </w:rPr>
        <w:t xml:space="preserve">In the UK, 11.9 million people are aged 65 and over </w:t>
      </w:r>
      <w:r w:rsidR="006C51E0" w:rsidRPr="003B4147">
        <w:rPr>
          <w:rFonts w:ascii="Arial" w:hAnsi="Arial" w:cs="Arial"/>
        </w:rPr>
        <w:t>[1]</w:t>
      </w:r>
      <w:r w:rsidRPr="003B4147">
        <w:rPr>
          <w:rFonts w:ascii="Arial" w:hAnsi="Arial" w:cs="Arial"/>
        </w:rPr>
        <w:t xml:space="preserve">, with over 850,000 living with dementia </w:t>
      </w:r>
      <w:r w:rsidR="006C51E0" w:rsidRPr="003B4147">
        <w:rPr>
          <w:rFonts w:ascii="Arial" w:hAnsi="Arial" w:cs="Arial"/>
        </w:rPr>
        <w:t>[2]</w:t>
      </w:r>
      <w:r w:rsidRPr="003B4147">
        <w:rPr>
          <w:rFonts w:ascii="Arial" w:hAnsi="Arial" w:cs="Arial"/>
        </w:rPr>
        <w:t xml:space="preserve">. Social support services, including day care centres, support groups, paid home carers, and </w:t>
      </w:r>
      <w:r w:rsidR="00B00268" w:rsidRPr="003B4147">
        <w:rPr>
          <w:rFonts w:ascii="Arial" w:hAnsi="Arial" w:cs="Arial"/>
        </w:rPr>
        <w:t xml:space="preserve">community </w:t>
      </w:r>
      <w:r w:rsidRPr="003B4147">
        <w:rPr>
          <w:rFonts w:ascii="Arial" w:hAnsi="Arial" w:cs="Arial"/>
        </w:rPr>
        <w:t>activities</w:t>
      </w:r>
      <w:r w:rsidR="00B00268" w:rsidRPr="003B4147">
        <w:rPr>
          <w:rFonts w:ascii="Arial" w:hAnsi="Arial" w:cs="Arial"/>
        </w:rPr>
        <w:t>,</w:t>
      </w:r>
      <w:r w:rsidRPr="003B4147">
        <w:rPr>
          <w:rFonts w:ascii="Arial" w:hAnsi="Arial" w:cs="Arial"/>
        </w:rPr>
        <w:t xml:space="preserve"> such as singing or arts groups, are important </w:t>
      </w:r>
      <w:r w:rsidR="00460054" w:rsidRPr="003B4147">
        <w:rPr>
          <w:rFonts w:ascii="Arial" w:hAnsi="Arial" w:cs="Arial"/>
        </w:rPr>
        <w:t xml:space="preserve">for </w:t>
      </w:r>
      <w:r w:rsidRPr="003B4147">
        <w:rPr>
          <w:rFonts w:ascii="Arial" w:hAnsi="Arial" w:cs="Arial"/>
        </w:rPr>
        <w:t>maintain</w:t>
      </w:r>
      <w:r w:rsidR="00460054" w:rsidRPr="003B4147">
        <w:rPr>
          <w:rFonts w:ascii="Arial" w:hAnsi="Arial" w:cs="Arial"/>
        </w:rPr>
        <w:t>ing</w:t>
      </w:r>
      <w:r w:rsidRPr="003B4147">
        <w:rPr>
          <w:rFonts w:ascii="Arial" w:hAnsi="Arial" w:cs="Arial"/>
        </w:rPr>
        <w:t xml:space="preserve"> a good quality of life for older </w:t>
      </w:r>
      <w:r w:rsidRPr="00C52D25">
        <w:rPr>
          <w:rFonts w:ascii="Arial" w:hAnsi="Arial" w:cs="Arial"/>
        </w:rPr>
        <w:t xml:space="preserve">people and people </w:t>
      </w:r>
      <w:r w:rsidR="00460054" w:rsidRPr="00C52D25">
        <w:rPr>
          <w:rFonts w:ascii="Arial" w:hAnsi="Arial" w:cs="Arial"/>
        </w:rPr>
        <w:t xml:space="preserve">living with </w:t>
      </w:r>
      <w:r w:rsidRPr="00C52D25">
        <w:rPr>
          <w:rFonts w:ascii="Arial" w:hAnsi="Arial" w:cs="Arial"/>
        </w:rPr>
        <w:t>dementia (</w:t>
      </w:r>
      <w:r w:rsidR="00460054" w:rsidRPr="00C52D25">
        <w:rPr>
          <w:rFonts w:ascii="Arial" w:hAnsi="Arial" w:cs="Arial"/>
        </w:rPr>
        <w:t>PLWD</w:t>
      </w:r>
      <w:r w:rsidR="00BA13F3" w:rsidRPr="00C52D25">
        <w:rPr>
          <w:rFonts w:ascii="Arial" w:hAnsi="Arial" w:cs="Arial"/>
        </w:rPr>
        <w:t xml:space="preserve">) </w:t>
      </w:r>
      <w:r w:rsidR="006C51E0" w:rsidRPr="00C52D25">
        <w:rPr>
          <w:rFonts w:ascii="Arial" w:hAnsi="Arial" w:cs="Arial"/>
        </w:rPr>
        <w:t>[3-4]</w:t>
      </w:r>
      <w:r w:rsidRPr="00C52D25">
        <w:rPr>
          <w:rFonts w:ascii="Arial" w:hAnsi="Arial" w:cs="Arial"/>
        </w:rPr>
        <w:t xml:space="preserve">. </w:t>
      </w:r>
      <w:r w:rsidR="00460054" w:rsidRPr="00C52D25">
        <w:rPr>
          <w:rFonts w:ascii="Arial" w:hAnsi="Arial" w:cs="Arial"/>
        </w:rPr>
        <w:t xml:space="preserve">In view of </w:t>
      </w:r>
      <w:r w:rsidRPr="00C52D25">
        <w:rPr>
          <w:rFonts w:ascii="Arial" w:hAnsi="Arial" w:cs="Arial"/>
        </w:rPr>
        <w:t>an ageing population and increasing numbers of PLWD, easily accessible services are crucial to support people socially</w:t>
      </w:r>
      <w:r w:rsidR="00685D73" w:rsidRPr="00C52D25">
        <w:rPr>
          <w:rFonts w:ascii="Arial" w:hAnsi="Arial" w:cs="Arial"/>
        </w:rPr>
        <w:t>, as well as</w:t>
      </w:r>
      <w:r w:rsidRPr="00C52D25">
        <w:rPr>
          <w:rFonts w:ascii="Arial" w:hAnsi="Arial" w:cs="Arial"/>
        </w:rPr>
        <w:t xml:space="preserve"> with their care needs. </w:t>
      </w:r>
    </w:p>
    <w:p w14:paraId="5F5C06F9" w14:textId="1AA35903" w:rsidR="0053442F" w:rsidRPr="00C52D25" w:rsidRDefault="0075017F" w:rsidP="00AB4321">
      <w:pPr>
        <w:spacing w:after="0"/>
        <w:jc w:val="both"/>
        <w:rPr>
          <w:rFonts w:ascii="Arial" w:hAnsi="Arial" w:cs="Arial"/>
        </w:rPr>
      </w:pPr>
      <w:r w:rsidRPr="00C52D25">
        <w:rPr>
          <w:rFonts w:ascii="Arial" w:hAnsi="Arial" w:cs="Arial"/>
        </w:rPr>
        <w:tab/>
      </w:r>
      <w:r w:rsidR="00685D73" w:rsidRPr="00C52D25">
        <w:rPr>
          <w:rFonts w:ascii="Arial" w:hAnsi="Arial" w:cs="Arial"/>
        </w:rPr>
        <w:t>T</w:t>
      </w:r>
      <w:r w:rsidRPr="00C52D25">
        <w:rPr>
          <w:rFonts w:ascii="Arial" w:hAnsi="Arial" w:cs="Arial"/>
        </w:rPr>
        <w:t>he COVID-19 pandemic</w:t>
      </w:r>
      <w:r w:rsidR="00607323" w:rsidRPr="00C52D25">
        <w:rPr>
          <w:rFonts w:ascii="Arial" w:hAnsi="Arial" w:cs="Arial"/>
        </w:rPr>
        <w:t xml:space="preserve"> </w:t>
      </w:r>
      <w:r w:rsidR="0031374B" w:rsidRPr="00C52D25">
        <w:rPr>
          <w:rFonts w:ascii="Arial" w:hAnsi="Arial" w:cs="Arial"/>
        </w:rPr>
        <w:t>has affected</w:t>
      </w:r>
      <w:r w:rsidR="00607323" w:rsidRPr="00C52D25">
        <w:rPr>
          <w:rFonts w:ascii="Arial" w:hAnsi="Arial" w:cs="Arial"/>
        </w:rPr>
        <w:t xml:space="preserve"> these</w:t>
      </w:r>
      <w:r w:rsidR="008A3602" w:rsidRPr="00C52D25">
        <w:rPr>
          <w:rFonts w:ascii="Arial" w:hAnsi="Arial" w:cs="Arial"/>
        </w:rPr>
        <w:t xml:space="preserve"> social support</w:t>
      </w:r>
      <w:r w:rsidR="00607323" w:rsidRPr="00C52D25">
        <w:rPr>
          <w:rFonts w:ascii="Arial" w:hAnsi="Arial" w:cs="Arial"/>
        </w:rPr>
        <w:t xml:space="preserve"> services significantly. Social isolation </w:t>
      </w:r>
      <w:r w:rsidR="00465A74" w:rsidRPr="00C52D25">
        <w:rPr>
          <w:rFonts w:ascii="Arial" w:hAnsi="Arial" w:cs="Arial"/>
        </w:rPr>
        <w:t>a</w:t>
      </w:r>
      <w:r w:rsidR="00C2481B" w:rsidRPr="00C52D25">
        <w:rPr>
          <w:rFonts w:ascii="Arial" w:hAnsi="Arial" w:cs="Arial"/>
        </w:rPr>
        <w:t>s a result of social distancing, lockdowns, and shielding is</w:t>
      </w:r>
      <w:r w:rsidR="00607323" w:rsidRPr="00C52D25">
        <w:rPr>
          <w:rFonts w:ascii="Arial" w:hAnsi="Arial" w:cs="Arial"/>
        </w:rPr>
        <w:t xml:space="preserve"> a huge concern for older people across the globe since the beginning of the pandemic </w:t>
      </w:r>
      <w:r w:rsidR="006C1685" w:rsidRPr="00C52D25">
        <w:rPr>
          <w:rFonts w:ascii="Arial" w:hAnsi="Arial" w:cs="Arial"/>
        </w:rPr>
        <w:t>[5-6]</w:t>
      </w:r>
      <w:r w:rsidR="00607323" w:rsidRPr="00C52D25">
        <w:rPr>
          <w:rFonts w:ascii="Arial" w:hAnsi="Arial" w:cs="Arial"/>
        </w:rPr>
        <w:t xml:space="preserve">, with similar issues highlighted early </w:t>
      </w:r>
      <w:r w:rsidR="00FF72E2" w:rsidRPr="00C52D25">
        <w:rPr>
          <w:rFonts w:ascii="Arial" w:hAnsi="Arial" w:cs="Arial"/>
        </w:rPr>
        <w:t xml:space="preserve">for </w:t>
      </w:r>
      <w:r w:rsidR="0031374B" w:rsidRPr="00C52D25">
        <w:rPr>
          <w:rFonts w:ascii="Arial" w:hAnsi="Arial" w:cs="Arial"/>
        </w:rPr>
        <w:t>PLWD</w:t>
      </w:r>
      <w:r w:rsidR="00607323" w:rsidRPr="00C52D25">
        <w:rPr>
          <w:rFonts w:ascii="Arial" w:hAnsi="Arial" w:cs="Arial"/>
        </w:rPr>
        <w:t xml:space="preserve"> </w:t>
      </w:r>
      <w:r w:rsidR="006C1685" w:rsidRPr="00C52D25">
        <w:rPr>
          <w:rFonts w:ascii="Arial" w:hAnsi="Arial" w:cs="Arial"/>
        </w:rPr>
        <w:t>[7]</w:t>
      </w:r>
      <w:r w:rsidR="00607323" w:rsidRPr="00C52D25">
        <w:rPr>
          <w:rFonts w:ascii="Arial" w:hAnsi="Arial" w:cs="Arial"/>
        </w:rPr>
        <w:t xml:space="preserve">. </w:t>
      </w:r>
      <w:r w:rsidR="00FF72E2" w:rsidRPr="00C52D25">
        <w:rPr>
          <w:rFonts w:ascii="Arial" w:hAnsi="Arial" w:cs="Arial"/>
        </w:rPr>
        <w:t>However, there is still</w:t>
      </w:r>
      <w:r w:rsidR="00607323" w:rsidRPr="00C52D25">
        <w:rPr>
          <w:rFonts w:ascii="Arial" w:hAnsi="Arial" w:cs="Arial"/>
        </w:rPr>
        <w:t xml:space="preserve"> a dearth of evidence on the mental well-being and access to care for those in need. </w:t>
      </w:r>
    </w:p>
    <w:p w14:paraId="2C25A43B" w14:textId="08F9D072" w:rsidR="00607323" w:rsidRPr="00C52D25" w:rsidRDefault="00607323" w:rsidP="00607323">
      <w:pPr>
        <w:spacing w:after="0"/>
        <w:ind w:firstLine="720"/>
        <w:jc w:val="both"/>
        <w:rPr>
          <w:rFonts w:ascii="Arial" w:hAnsi="Arial" w:cs="Arial"/>
        </w:rPr>
      </w:pPr>
      <w:r w:rsidRPr="00C52D25">
        <w:rPr>
          <w:rFonts w:ascii="Arial" w:hAnsi="Arial" w:cs="Arial"/>
        </w:rPr>
        <w:t>Specifically, i</w:t>
      </w:r>
      <w:r w:rsidR="001E67DD" w:rsidRPr="00C52D25">
        <w:rPr>
          <w:rFonts w:ascii="Arial" w:hAnsi="Arial" w:cs="Arial"/>
        </w:rPr>
        <w:t xml:space="preserve">n the UK, a nationwide </w:t>
      </w:r>
      <w:r w:rsidR="00D82528" w:rsidRPr="00C52D25">
        <w:rPr>
          <w:rFonts w:ascii="Arial" w:hAnsi="Arial" w:cs="Arial"/>
        </w:rPr>
        <w:t>thre</w:t>
      </w:r>
      <w:r w:rsidR="007B6F86" w:rsidRPr="00C52D25">
        <w:rPr>
          <w:rFonts w:ascii="Arial" w:hAnsi="Arial" w:cs="Arial"/>
        </w:rPr>
        <w:t>e</w:t>
      </w:r>
      <w:r w:rsidR="00C2481B" w:rsidRPr="00C52D25">
        <w:rPr>
          <w:rFonts w:ascii="Arial" w:hAnsi="Arial" w:cs="Arial"/>
        </w:rPr>
        <w:t>-</w:t>
      </w:r>
      <w:r w:rsidR="0031374B" w:rsidRPr="00C52D25">
        <w:rPr>
          <w:rFonts w:ascii="Arial" w:hAnsi="Arial" w:cs="Arial"/>
        </w:rPr>
        <w:t xml:space="preserve">month </w:t>
      </w:r>
      <w:r w:rsidR="001E67DD" w:rsidRPr="00C52D25">
        <w:rPr>
          <w:rFonts w:ascii="Arial" w:hAnsi="Arial" w:cs="Arial"/>
        </w:rPr>
        <w:t>lockdown was imposed on the 23</w:t>
      </w:r>
      <w:r w:rsidR="001E67DD" w:rsidRPr="00C52D25">
        <w:rPr>
          <w:rFonts w:ascii="Arial" w:hAnsi="Arial" w:cs="Arial"/>
          <w:vertAlign w:val="superscript"/>
        </w:rPr>
        <w:t>rd</w:t>
      </w:r>
      <w:r w:rsidR="001E67DD" w:rsidRPr="00C52D25">
        <w:rPr>
          <w:rFonts w:ascii="Arial" w:hAnsi="Arial" w:cs="Arial"/>
        </w:rPr>
        <w:t xml:space="preserve"> of March</w:t>
      </w:r>
      <w:r w:rsidR="00B00268" w:rsidRPr="00C52D25">
        <w:rPr>
          <w:rFonts w:ascii="Arial" w:hAnsi="Arial" w:cs="Arial"/>
        </w:rPr>
        <w:t xml:space="preserve">. Older people </w:t>
      </w:r>
      <w:r w:rsidR="006D6632" w:rsidRPr="00C52D25">
        <w:rPr>
          <w:rFonts w:ascii="Arial" w:hAnsi="Arial" w:cs="Arial"/>
        </w:rPr>
        <w:t xml:space="preserve">were over-represented in the group </w:t>
      </w:r>
      <w:r w:rsidR="00B00268" w:rsidRPr="00C52D25">
        <w:rPr>
          <w:rFonts w:ascii="Arial" w:hAnsi="Arial" w:cs="Arial"/>
        </w:rPr>
        <w:t>who were clinically extremely vulnerable, that is at greatest risk of severe illness from COVID-19</w:t>
      </w:r>
      <w:r w:rsidR="006D6632" w:rsidRPr="00C52D25">
        <w:rPr>
          <w:rFonts w:ascii="Arial" w:hAnsi="Arial" w:cs="Arial"/>
        </w:rPr>
        <w:t>, who</w:t>
      </w:r>
      <w:r w:rsidR="001E67DD" w:rsidRPr="00C52D25">
        <w:rPr>
          <w:rFonts w:ascii="Arial" w:hAnsi="Arial" w:cs="Arial"/>
        </w:rPr>
        <w:t xml:space="preserve"> </w:t>
      </w:r>
      <w:r w:rsidR="0031374B" w:rsidRPr="00C52D25">
        <w:rPr>
          <w:rFonts w:ascii="Arial" w:hAnsi="Arial" w:cs="Arial"/>
        </w:rPr>
        <w:t xml:space="preserve">were </w:t>
      </w:r>
      <w:r w:rsidR="001E67DD" w:rsidRPr="00C52D25">
        <w:rPr>
          <w:rFonts w:ascii="Arial" w:hAnsi="Arial" w:cs="Arial"/>
        </w:rPr>
        <w:t xml:space="preserve">asked to shield by the government </w:t>
      </w:r>
      <w:r w:rsidR="00524B5C" w:rsidRPr="00C52D25">
        <w:rPr>
          <w:rFonts w:ascii="Arial" w:hAnsi="Arial" w:cs="Arial"/>
        </w:rPr>
        <w:t>until early August</w:t>
      </w:r>
      <w:r w:rsidR="001E67DD" w:rsidRPr="00C52D25">
        <w:rPr>
          <w:rFonts w:ascii="Arial" w:hAnsi="Arial" w:cs="Arial"/>
        </w:rPr>
        <w:t xml:space="preserve">. </w:t>
      </w:r>
      <w:r w:rsidR="006D6632" w:rsidRPr="00C52D25">
        <w:rPr>
          <w:rFonts w:ascii="Arial" w:hAnsi="Arial" w:cs="Arial"/>
        </w:rPr>
        <w:t>All adults aged 70+ were classified as being at least moderate risk of severe illness from COVID-19</w:t>
      </w:r>
      <w:r w:rsidR="00BE4F63" w:rsidRPr="00C52D25">
        <w:rPr>
          <w:rFonts w:ascii="Arial" w:hAnsi="Arial" w:cs="Arial"/>
        </w:rPr>
        <w:t xml:space="preserve"> [8].</w:t>
      </w:r>
      <w:r w:rsidR="006D6632" w:rsidRPr="00C52D25">
        <w:rPr>
          <w:rFonts w:ascii="Arial" w:hAnsi="Arial" w:cs="Arial"/>
        </w:rPr>
        <w:t xml:space="preserve">  During the most restrictive, earlier period of l</w:t>
      </w:r>
      <w:r w:rsidR="001E67DD" w:rsidRPr="00C52D25">
        <w:rPr>
          <w:rFonts w:ascii="Arial" w:hAnsi="Arial" w:cs="Arial"/>
        </w:rPr>
        <w:t>ockdown</w:t>
      </w:r>
      <w:r w:rsidR="006D6632" w:rsidRPr="00C52D25">
        <w:rPr>
          <w:rFonts w:ascii="Arial" w:hAnsi="Arial" w:cs="Arial"/>
        </w:rPr>
        <w:t>,</w:t>
      </w:r>
      <w:r w:rsidR="001E67DD" w:rsidRPr="00C52D25">
        <w:rPr>
          <w:rFonts w:ascii="Arial" w:hAnsi="Arial" w:cs="Arial"/>
        </w:rPr>
        <w:t xml:space="preserve"> </w:t>
      </w:r>
      <w:r w:rsidR="00524B5C" w:rsidRPr="00C52D25">
        <w:rPr>
          <w:rFonts w:ascii="Arial" w:hAnsi="Arial" w:cs="Arial"/>
        </w:rPr>
        <w:t>people</w:t>
      </w:r>
      <w:r w:rsidR="001E67DD" w:rsidRPr="00C52D25">
        <w:rPr>
          <w:rFonts w:ascii="Arial" w:hAnsi="Arial" w:cs="Arial"/>
        </w:rPr>
        <w:t xml:space="preserve"> w</w:t>
      </w:r>
      <w:r w:rsidR="00524B5C" w:rsidRPr="00C52D25">
        <w:rPr>
          <w:rFonts w:ascii="Arial" w:hAnsi="Arial" w:cs="Arial"/>
        </w:rPr>
        <w:t>ere</w:t>
      </w:r>
      <w:r w:rsidR="001E67DD" w:rsidRPr="00C52D25">
        <w:rPr>
          <w:rFonts w:ascii="Arial" w:hAnsi="Arial" w:cs="Arial"/>
        </w:rPr>
        <w:t xml:space="preserve"> </w:t>
      </w:r>
      <w:r w:rsidR="000923B8" w:rsidRPr="00C52D25">
        <w:rPr>
          <w:rFonts w:ascii="Arial" w:hAnsi="Arial" w:cs="Arial"/>
        </w:rPr>
        <w:t xml:space="preserve">advised </w:t>
      </w:r>
      <w:r w:rsidR="001E67DD" w:rsidRPr="00C52D25">
        <w:rPr>
          <w:rFonts w:ascii="Arial" w:hAnsi="Arial" w:cs="Arial"/>
        </w:rPr>
        <w:t>to</w:t>
      </w:r>
      <w:r w:rsidR="000923B8" w:rsidRPr="00C52D25">
        <w:rPr>
          <w:rFonts w:ascii="Arial" w:hAnsi="Arial" w:cs="Arial"/>
        </w:rPr>
        <w:t xml:space="preserve"> only</w:t>
      </w:r>
      <w:r w:rsidR="00524B5C" w:rsidRPr="00C52D25">
        <w:rPr>
          <w:rFonts w:ascii="Arial" w:hAnsi="Arial" w:cs="Arial"/>
        </w:rPr>
        <w:t xml:space="preserve"> go outside </w:t>
      </w:r>
      <w:r w:rsidR="001E67DD" w:rsidRPr="00C52D25">
        <w:rPr>
          <w:rFonts w:ascii="Arial" w:hAnsi="Arial" w:cs="Arial"/>
        </w:rPr>
        <w:t>once a day</w:t>
      </w:r>
      <w:r w:rsidR="00524B5C" w:rsidRPr="00C52D25">
        <w:rPr>
          <w:rFonts w:ascii="Arial" w:hAnsi="Arial" w:cs="Arial"/>
        </w:rPr>
        <w:t xml:space="preserve"> for essential food </w:t>
      </w:r>
      <w:r w:rsidR="003F3A52" w:rsidRPr="00C52D25">
        <w:rPr>
          <w:rFonts w:ascii="Arial" w:hAnsi="Arial" w:cs="Arial"/>
        </w:rPr>
        <w:t>shopping,</w:t>
      </w:r>
      <w:r w:rsidR="00524B5C" w:rsidRPr="00C52D25">
        <w:rPr>
          <w:rFonts w:ascii="Arial" w:hAnsi="Arial" w:cs="Arial"/>
        </w:rPr>
        <w:t xml:space="preserve"> pharmacy visits, or to exercise. </w:t>
      </w:r>
      <w:r w:rsidR="006D6632" w:rsidRPr="00C52D25">
        <w:rPr>
          <w:rFonts w:ascii="Arial" w:hAnsi="Arial" w:cs="Arial"/>
        </w:rPr>
        <w:t>Non-essential s</w:t>
      </w:r>
      <w:r w:rsidR="00524B5C" w:rsidRPr="00C52D25">
        <w:rPr>
          <w:rFonts w:ascii="Arial" w:hAnsi="Arial" w:cs="Arial"/>
        </w:rPr>
        <w:t>hops</w:t>
      </w:r>
      <w:r w:rsidR="006D6632" w:rsidRPr="00C52D25">
        <w:rPr>
          <w:rFonts w:ascii="Arial" w:hAnsi="Arial" w:cs="Arial"/>
        </w:rPr>
        <w:t xml:space="preserve"> </w:t>
      </w:r>
      <w:r w:rsidR="00524B5C" w:rsidRPr="00C52D25">
        <w:rPr>
          <w:rFonts w:ascii="Arial" w:hAnsi="Arial" w:cs="Arial"/>
        </w:rPr>
        <w:t xml:space="preserve">were closed, and only started reopening in July. With additional social distancing for the general population, and use of personal protective equipment (PPE) for the health and social care taskforce in place, these measures </w:t>
      </w:r>
      <w:r w:rsidR="006D6632" w:rsidRPr="00C52D25">
        <w:rPr>
          <w:rFonts w:ascii="Arial" w:hAnsi="Arial" w:cs="Arial"/>
        </w:rPr>
        <w:t>significantly</w:t>
      </w:r>
      <w:r w:rsidR="00524B5C" w:rsidRPr="00C52D25">
        <w:rPr>
          <w:rFonts w:ascii="Arial" w:hAnsi="Arial" w:cs="Arial"/>
        </w:rPr>
        <w:t xml:space="preserve"> impact the social support services that PLWD, carers, and older adults could receive. Recent qualitative evidence has highlighted how PLWD and unpaid carers have faced a sudden crisis in terms of accessing social support services since the pandemic </w:t>
      </w:r>
      <w:r w:rsidR="006C1685" w:rsidRPr="00C52D25">
        <w:rPr>
          <w:rFonts w:ascii="Arial" w:hAnsi="Arial" w:cs="Arial"/>
        </w:rPr>
        <w:t>[</w:t>
      </w:r>
      <w:r w:rsidR="00BE4F63" w:rsidRPr="00C52D25">
        <w:rPr>
          <w:rFonts w:ascii="Arial" w:hAnsi="Arial" w:cs="Arial"/>
        </w:rPr>
        <w:t>9</w:t>
      </w:r>
      <w:r w:rsidR="006C1685" w:rsidRPr="00C52D25">
        <w:rPr>
          <w:rFonts w:ascii="Arial" w:hAnsi="Arial" w:cs="Arial"/>
        </w:rPr>
        <w:t>]</w:t>
      </w:r>
      <w:r w:rsidR="00524B5C" w:rsidRPr="00C52D25">
        <w:rPr>
          <w:rFonts w:ascii="Arial" w:hAnsi="Arial" w:cs="Arial"/>
        </w:rPr>
        <w:t xml:space="preserve">, and have faced difficult decisions whether to continue or discontinue paid carers entering the home of the PLWD, for fear of potential virus transmission </w:t>
      </w:r>
      <w:r w:rsidR="006C1685" w:rsidRPr="00C52D25">
        <w:rPr>
          <w:rFonts w:ascii="Arial" w:hAnsi="Arial" w:cs="Arial"/>
        </w:rPr>
        <w:t>[</w:t>
      </w:r>
      <w:r w:rsidR="00BE4F63" w:rsidRPr="00C52D25">
        <w:rPr>
          <w:rFonts w:ascii="Arial" w:hAnsi="Arial" w:cs="Arial"/>
        </w:rPr>
        <w:t>10</w:t>
      </w:r>
      <w:r w:rsidR="006C1685" w:rsidRPr="00C52D25">
        <w:rPr>
          <w:rFonts w:ascii="Arial" w:hAnsi="Arial" w:cs="Arial"/>
        </w:rPr>
        <w:t>]</w:t>
      </w:r>
      <w:r w:rsidR="00524B5C" w:rsidRPr="00C52D25">
        <w:rPr>
          <w:rFonts w:ascii="Arial" w:hAnsi="Arial" w:cs="Arial"/>
        </w:rPr>
        <w:t xml:space="preserve">. Whilst these qualitative accounts provide rich information on the experiences of having accessed (or failed to access) social support services during the pandemic, </w:t>
      </w:r>
      <w:r w:rsidR="009A672A" w:rsidRPr="00C52D25">
        <w:rPr>
          <w:rFonts w:ascii="Arial" w:hAnsi="Arial" w:cs="Arial"/>
        </w:rPr>
        <w:t xml:space="preserve">there appears to be no </w:t>
      </w:r>
      <w:r w:rsidR="000923B8" w:rsidRPr="00C52D25">
        <w:rPr>
          <w:rFonts w:ascii="Arial" w:hAnsi="Arial" w:cs="Arial"/>
        </w:rPr>
        <w:t xml:space="preserve">empirical </w:t>
      </w:r>
      <w:r w:rsidR="009A672A" w:rsidRPr="00C52D25">
        <w:rPr>
          <w:rFonts w:ascii="Arial" w:hAnsi="Arial" w:cs="Arial"/>
        </w:rPr>
        <w:t>evidence to date quantifying those experiences and linking these with mental well-being.</w:t>
      </w:r>
      <w:r w:rsidRPr="00C52D25">
        <w:rPr>
          <w:rFonts w:ascii="Arial" w:hAnsi="Arial" w:cs="Arial"/>
        </w:rPr>
        <w:t xml:space="preserve"> </w:t>
      </w:r>
    </w:p>
    <w:p w14:paraId="663E5174" w14:textId="6ACD4D32" w:rsidR="0053442F" w:rsidRPr="00C52D25" w:rsidRDefault="009A672A" w:rsidP="0053442F">
      <w:pPr>
        <w:ind w:firstLine="720"/>
        <w:jc w:val="both"/>
        <w:rPr>
          <w:rFonts w:ascii="Arial" w:hAnsi="Arial" w:cs="Arial"/>
        </w:rPr>
      </w:pPr>
      <w:bookmarkStart w:id="0" w:name="_Hlk50042543"/>
      <w:r w:rsidRPr="00C52D25">
        <w:rPr>
          <w:rFonts w:ascii="Arial" w:hAnsi="Arial" w:cs="Arial"/>
        </w:rPr>
        <w:t>The</w:t>
      </w:r>
      <w:r w:rsidR="0053442F" w:rsidRPr="00C52D25">
        <w:rPr>
          <w:rFonts w:ascii="Arial" w:hAnsi="Arial" w:cs="Arial"/>
        </w:rPr>
        <w:t xml:space="preserve"> aim of this </w:t>
      </w:r>
      <w:r w:rsidR="00D92DBC" w:rsidRPr="00C52D25">
        <w:rPr>
          <w:rFonts w:ascii="Arial" w:hAnsi="Arial" w:cs="Arial"/>
        </w:rPr>
        <w:t xml:space="preserve">exploratory </w:t>
      </w:r>
      <w:r w:rsidR="0053442F" w:rsidRPr="00C52D25">
        <w:rPr>
          <w:rFonts w:ascii="Arial" w:hAnsi="Arial" w:cs="Arial"/>
        </w:rPr>
        <w:t xml:space="preserve">study was to explore the impacts of COVID-19 </w:t>
      </w:r>
      <w:r w:rsidR="00A64C06" w:rsidRPr="00C52D25">
        <w:rPr>
          <w:rFonts w:ascii="Arial" w:hAnsi="Arial" w:cs="Arial"/>
        </w:rPr>
        <w:t xml:space="preserve">on </w:t>
      </w:r>
      <w:r w:rsidR="0053442F" w:rsidRPr="00C52D25">
        <w:rPr>
          <w:rFonts w:ascii="Arial" w:hAnsi="Arial" w:cs="Arial"/>
        </w:rPr>
        <w:t xml:space="preserve">social support service closures </w:t>
      </w:r>
      <w:r w:rsidR="00A64C06" w:rsidRPr="00C52D25">
        <w:rPr>
          <w:rFonts w:ascii="Arial" w:hAnsi="Arial" w:cs="Arial"/>
        </w:rPr>
        <w:t xml:space="preserve">and longitudinal changes in </w:t>
      </w:r>
      <w:r w:rsidR="0053442F" w:rsidRPr="00C52D25">
        <w:rPr>
          <w:rFonts w:ascii="Arial" w:hAnsi="Arial" w:cs="Arial"/>
        </w:rPr>
        <w:t xml:space="preserve">the mental </w:t>
      </w:r>
      <w:r w:rsidR="006D6632" w:rsidRPr="00C52D25">
        <w:rPr>
          <w:rFonts w:ascii="Arial" w:hAnsi="Arial" w:cs="Arial"/>
        </w:rPr>
        <w:t xml:space="preserve">illness and </w:t>
      </w:r>
      <w:r w:rsidR="0053442F" w:rsidRPr="00C52D25">
        <w:rPr>
          <w:rFonts w:ascii="Arial" w:hAnsi="Arial" w:cs="Arial"/>
        </w:rPr>
        <w:t xml:space="preserve">well-being of older adults, </w:t>
      </w:r>
      <w:r w:rsidR="003F3A52" w:rsidRPr="00C52D25">
        <w:rPr>
          <w:rFonts w:ascii="Arial" w:hAnsi="Arial" w:cs="Arial"/>
        </w:rPr>
        <w:t>PLWD</w:t>
      </w:r>
      <w:r w:rsidR="0053442F" w:rsidRPr="00C52D25">
        <w:rPr>
          <w:rFonts w:ascii="Arial" w:hAnsi="Arial" w:cs="Arial"/>
        </w:rPr>
        <w:t xml:space="preserve">, and unpaid carers. </w:t>
      </w:r>
      <w:r w:rsidR="003B4147" w:rsidRPr="00C52D25">
        <w:rPr>
          <w:rFonts w:ascii="Arial" w:hAnsi="Arial" w:cs="Arial"/>
        </w:rPr>
        <w:t xml:space="preserve">Considering the new emergence of this field and thus lack of previous evidence, we hypothesised that </w:t>
      </w:r>
      <w:r w:rsidR="000E1A10" w:rsidRPr="00C52D25">
        <w:rPr>
          <w:rFonts w:ascii="Arial" w:hAnsi="Arial" w:cs="Arial"/>
        </w:rPr>
        <w:t>would be associated with reduced social support service provision, which in turn was hypothesised to be associated with poorer mental health.</w:t>
      </w:r>
    </w:p>
    <w:p w14:paraId="7BE53462" w14:textId="4C5391C8" w:rsidR="00BE5D44" w:rsidRPr="00C52D25" w:rsidRDefault="00BE5D44" w:rsidP="00BE5D44">
      <w:pPr>
        <w:jc w:val="both"/>
        <w:rPr>
          <w:rFonts w:ascii="Arial" w:hAnsi="Arial" w:cs="Arial"/>
          <w:b/>
          <w:sz w:val="24"/>
        </w:rPr>
      </w:pPr>
      <w:r w:rsidRPr="00C52D25">
        <w:rPr>
          <w:rFonts w:ascii="Arial" w:hAnsi="Arial" w:cs="Arial"/>
          <w:b/>
          <w:sz w:val="24"/>
        </w:rPr>
        <w:t>Methods</w:t>
      </w:r>
    </w:p>
    <w:p w14:paraId="2DBFE5E9" w14:textId="6EB3B333" w:rsidR="00AE623B" w:rsidRPr="00C52D25" w:rsidRDefault="00AE623B" w:rsidP="00466E3E">
      <w:pPr>
        <w:spacing w:after="0"/>
        <w:jc w:val="both"/>
        <w:rPr>
          <w:rFonts w:ascii="Arial" w:hAnsi="Arial" w:cs="Arial"/>
          <w:b/>
        </w:rPr>
      </w:pPr>
      <w:r w:rsidRPr="00C52D25">
        <w:rPr>
          <w:rFonts w:ascii="Arial" w:hAnsi="Arial" w:cs="Arial"/>
          <w:b/>
        </w:rPr>
        <w:t>Participants and recruitment</w:t>
      </w:r>
    </w:p>
    <w:p w14:paraId="5F397C54" w14:textId="660715CF" w:rsidR="00466E3E" w:rsidRPr="00C52D25" w:rsidRDefault="00FA5B90" w:rsidP="000C4636">
      <w:pPr>
        <w:shd w:val="clear" w:color="auto" w:fill="FFFFFF"/>
        <w:spacing w:after="0" w:line="276" w:lineRule="auto"/>
        <w:jc w:val="both"/>
        <w:rPr>
          <w:rFonts w:ascii="Arial" w:eastAsia="Times New Roman" w:hAnsi="Arial" w:cs="Arial"/>
          <w:iCs/>
          <w:lang w:eastAsia="en-GB"/>
        </w:rPr>
      </w:pPr>
      <w:r w:rsidRPr="00C52D25">
        <w:rPr>
          <w:rFonts w:ascii="Arial" w:eastAsia="Times New Roman" w:hAnsi="Arial" w:cs="Arial"/>
          <w:iCs/>
          <w:lang w:eastAsia="en-GB"/>
        </w:rPr>
        <w:t xml:space="preserve">We recruited UK residents who were aged 18+. </w:t>
      </w:r>
      <w:r w:rsidR="00466E3E" w:rsidRPr="00C52D25">
        <w:rPr>
          <w:rFonts w:ascii="Arial" w:eastAsia="Times New Roman" w:hAnsi="Arial" w:cs="Arial"/>
          <w:iCs/>
          <w:lang w:eastAsia="en-GB"/>
        </w:rPr>
        <w:t xml:space="preserve">PLWD were eligible to take part if they had a diagnosis of dementia. Unpaid carers were eligible to take part if they were </w:t>
      </w:r>
      <w:r w:rsidR="00B77BA7" w:rsidRPr="00C52D25">
        <w:rPr>
          <w:rFonts w:ascii="Arial" w:eastAsia="Times New Roman" w:hAnsi="Arial" w:cs="Arial"/>
          <w:iCs/>
          <w:lang w:eastAsia="en-GB"/>
        </w:rPr>
        <w:t xml:space="preserve">(current carers) </w:t>
      </w:r>
      <w:r w:rsidR="00466E3E" w:rsidRPr="00C52D25">
        <w:rPr>
          <w:rFonts w:ascii="Arial" w:eastAsia="Times New Roman" w:hAnsi="Arial" w:cs="Arial"/>
          <w:iCs/>
          <w:lang w:eastAsia="en-GB"/>
        </w:rPr>
        <w:t>or had been caring for a relative or friend with dementia</w:t>
      </w:r>
      <w:r w:rsidR="00B77BA7" w:rsidRPr="00C52D25">
        <w:rPr>
          <w:rFonts w:ascii="Arial" w:eastAsia="Times New Roman" w:hAnsi="Arial" w:cs="Arial"/>
          <w:iCs/>
          <w:lang w:eastAsia="en-GB"/>
        </w:rPr>
        <w:t xml:space="preserve"> (former carers)</w:t>
      </w:r>
      <w:r w:rsidR="00466E3E" w:rsidRPr="00C52D25">
        <w:rPr>
          <w:rFonts w:ascii="Arial" w:eastAsia="Times New Roman" w:hAnsi="Arial" w:cs="Arial"/>
          <w:iCs/>
          <w:lang w:eastAsia="en-GB"/>
        </w:rPr>
        <w:t>. Older adults were eligible to take part if they were aged 65</w:t>
      </w:r>
      <w:r w:rsidR="003F3A52" w:rsidRPr="00C52D25">
        <w:rPr>
          <w:rFonts w:ascii="Arial" w:eastAsia="Times New Roman" w:hAnsi="Arial" w:cs="Arial"/>
          <w:iCs/>
          <w:lang w:eastAsia="en-GB"/>
        </w:rPr>
        <w:t xml:space="preserve"> years or older</w:t>
      </w:r>
      <w:r w:rsidR="00466E3E" w:rsidRPr="00C52D25">
        <w:rPr>
          <w:rFonts w:ascii="Arial" w:eastAsia="Times New Roman" w:hAnsi="Arial" w:cs="Arial"/>
          <w:iCs/>
          <w:lang w:eastAsia="en-GB"/>
        </w:rPr>
        <w:t xml:space="preserve">. </w:t>
      </w:r>
    </w:p>
    <w:p w14:paraId="27CDBED8" w14:textId="1997EF6A" w:rsidR="00701BB4" w:rsidRPr="00C52D25" w:rsidRDefault="00701BB4" w:rsidP="000C4636">
      <w:pPr>
        <w:shd w:val="clear" w:color="auto" w:fill="FFFFFF"/>
        <w:spacing w:after="0" w:line="276" w:lineRule="auto"/>
        <w:jc w:val="both"/>
        <w:rPr>
          <w:rFonts w:ascii="Arial" w:eastAsia="Times New Roman" w:hAnsi="Arial" w:cs="Arial"/>
          <w:iCs/>
          <w:lang w:eastAsia="en-GB"/>
        </w:rPr>
      </w:pPr>
      <w:r w:rsidRPr="00C52D25">
        <w:rPr>
          <w:rFonts w:ascii="Arial" w:eastAsia="Times New Roman" w:hAnsi="Arial" w:cs="Arial"/>
          <w:iCs/>
          <w:lang w:eastAsia="en-GB"/>
        </w:rPr>
        <w:tab/>
        <w:t>Participants were recruited via different social support servic</w:t>
      </w:r>
      <w:r w:rsidR="009A36B5" w:rsidRPr="00C52D25">
        <w:rPr>
          <w:rFonts w:ascii="Arial" w:eastAsia="Times New Roman" w:hAnsi="Arial" w:cs="Arial"/>
          <w:iCs/>
          <w:lang w:eastAsia="en-GB"/>
        </w:rPr>
        <w:t xml:space="preserve">es </w:t>
      </w:r>
      <w:r w:rsidRPr="00C52D25">
        <w:rPr>
          <w:rFonts w:ascii="Arial" w:eastAsia="Times New Roman" w:hAnsi="Arial" w:cs="Arial"/>
          <w:iCs/>
          <w:lang w:eastAsia="en-GB"/>
        </w:rPr>
        <w:t>third sector organisations</w:t>
      </w:r>
      <w:r w:rsidR="009A36B5" w:rsidRPr="00C52D25">
        <w:rPr>
          <w:rFonts w:ascii="Arial" w:eastAsia="Times New Roman" w:hAnsi="Arial" w:cs="Arial"/>
          <w:iCs/>
          <w:lang w:eastAsia="en-GB"/>
        </w:rPr>
        <w:t>, such as peer support group organisations, carer networks, cultural dementia training programme organisations, and national dementia subtype specific organisations, and</w:t>
      </w:r>
      <w:r w:rsidRPr="00C52D25">
        <w:rPr>
          <w:rFonts w:ascii="Arial" w:eastAsia="Times New Roman" w:hAnsi="Arial" w:cs="Arial"/>
          <w:iCs/>
          <w:lang w:eastAsia="en-GB"/>
        </w:rPr>
        <w:t xml:space="preserve"> by contacting people on their email circulation lists, via newsletters</w:t>
      </w:r>
      <w:r w:rsidR="00C2481B" w:rsidRPr="00C52D25">
        <w:rPr>
          <w:rFonts w:ascii="Arial" w:eastAsia="Times New Roman" w:hAnsi="Arial" w:cs="Arial"/>
          <w:iCs/>
          <w:lang w:eastAsia="en-GB"/>
        </w:rPr>
        <w:t xml:space="preserve"> and</w:t>
      </w:r>
      <w:r w:rsidRPr="00C52D25">
        <w:rPr>
          <w:rFonts w:ascii="Arial" w:eastAsia="Times New Roman" w:hAnsi="Arial" w:cs="Arial"/>
          <w:iCs/>
          <w:lang w:eastAsia="en-GB"/>
        </w:rPr>
        <w:t xml:space="preserve"> social media accounts</w:t>
      </w:r>
      <w:r w:rsidR="00A83080" w:rsidRPr="00C52D25">
        <w:rPr>
          <w:rFonts w:ascii="Arial" w:eastAsia="Times New Roman" w:hAnsi="Arial" w:cs="Arial"/>
          <w:iCs/>
          <w:lang w:eastAsia="en-GB"/>
        </w:rPr>
        <w:t xml:space="preserve">. We also </w:t>
      </w:r>
      <w:r w:rsidRPr="00C52D25">
        <w:rPr>
          <w:rFonts w:ascii="Arial" w:eastAsia="Times New Roman" w:hAnsi="Arial" w:cs="Arial"/>
          <w:iCs/>
          <w:lang w:eastAsia="en-GB"/>
        </w:rPr>
        <w:t xml:space="preserve">directly </w:t>
      </w:r>
      <w:r w:rsidR="00A83080" w:rsidRPr="00C52D25">
        <w:rPr>
          <w:rFonts w:ascii="Arial" w:eastAsia="Times New Roman" w:hAnsi="Arial" w:cs="Arial"/>
          <w:iCs/>
          <w:lang w:eastAsia="en-GB"/>
        </w:rPr>
        <w:t xml:space="preserve">contacted </w:t>
      </w:r>
      <w:r w:rsidRPr="00C52D25">
        <w:rPr>
          <w:rFonts w:ascii="Arial" w:eastAsia="Times New Roman" w:hAnsi="Arial" w:cs="Arial"/>
          <w:iCs/>
          <w:lang w:eastAsia="en-GB"/>
        </w:rPr>
        <w:t>people who were accessing regular services, such as support groups or older people fora, via telephone. This ensure</w:t>
      </w:r>
      <w:r w:rsidR="00A83080" w:rsidRPr="00C52D25">
        <w:rPr>
          <w:rFonts w:ascii="Arial" w:eastAsia="Times New Roman" w:hAnsi="Arial" w:cs="Arial"/>
          <w:iCs/>
          <w:lang w:eastAsia="en-GB"/>
        </w:rPr>
        <w:t>d</w:t>
      </w:r>
      <w:r w:rsidRPr="00C52D25">
        <w:rPr>
          <w:rFonts w:ascii="Arial" w:eastAsia="Times New Roman" w:hAnsi="Arial" w:cs="Arial"/>
          <w:iCs/>
          <w:lang w:eastAsia="en-GB"/>
        </w:rPr>
        <w:t xml:space="preserve"> that people without internet access were able to participate in this research. We also utilised </w:t>
      </w:r>
      <w:r w:rsidRPr="00C52D25">
        <w:rPr>
          <w:rFonts w:ascii="Arial" w:eastAsia="Times New Roman" w:hAnsi="Arial" w:cs="Arial"/>
          <w:i/>
          <w:iCs/>
          <w:lang w:eastAsia="en-GB"/>
        </w:rPr>
        <w:t>Join Dementia Research</w:t>
      </w:r>
      <w:r w:rsidRPr="00C52D25">
        <w:rPr>
          <w:rFonts w:ascii="Arial" w:eastAsia="Times New Roman" w:hAnsi="Arial" w:cs="Arial"/>
          <w:iCs/>
          <w:lang w:eastAsia="en-GB"/>
        </w:rPr>
        <w:t xml:space="preserve">, a UK-wide </w:t>
      </w:r>
      <w:r w:rsidRPr="00C52D25">
        <w:rPr>
          <w:rFonts w:ascii="Arial" w:eastAsia="Times New Roman" w:hAnsi="Arial" w:cs="Arial"/>
          <w:iCs/>
          <w:lang w:eastAsia="en-GB"/>
        </w:rPr>
        <w:lastRenderedPageBreak/>
        <w:t xml:space="preserve">national online register of PLWD, carers, older adults, and health volunteers who are interested in taking part in dementia and ageing research. </w:t>
      </w:r>
    </w:p>
    <w:p w14:paraId="74C87D49" w14:textId="3A3546FE" w:rsidR="009062AD" w:rsidRPr="00C52D25" w:rsidRDefault="009062AD" w:rsidP="000C4636">
      <w:pPr>
        <w:shd w:val="clear" w:color="auto" w:fill="FFFFFF"/>
        <w:spacing w:after="0" w:line="276" w:lineRule="auto"/>
        <w:jc w:val="both"/>
        <w:rPr>
          <w:rFonts w:ascii="Arial" w:eastAsia="Times New Roman" w:hAnsi="Arial" w:cs="Arial"/>
          <w:iCs/>
          <w:lang w:eastAsia="en-GB"/>
        </w:rPr>
      </w:pPr>
      <w:r w:rsidRPr="00C52D25">
        <w:rPr>
          <w:rFonts w:ascii="Arial" w:eastAsia="Times New Roman" w:hAnsi="Arial" w:cs="Arial"/>
          <w:iCs/>
          <w:lang w:eastAsia="en-GB"/>
        </w:rPr>
        <w:tab/>
        <w:t>Ethical approval was obtained from the University of Liverpool</w:t>
      </w:r>
      <w:r w:rsidR="005235F2" w:rsidRPr="00C52D25">
        <w:rPr>
          <w:rFonts w:ascii="Arial" w:eastAsia="Times New Roman" w:hAnsi="Arial" w:cs="Arial"/>
          <w:iCs/>
          <w:lang w:eastAsia="en-GB"/>
        </w:rPr>
        <w:t xml:space="preserve"> prior to study begin</w:t>
      </w:r>
      <w:r w:rsidRPr="00C52D25">
        <w:rPr>
          <w:rFonts w:ascii="Arial" w:eastAsia="Times New Roman" w:hAnsi="Arial" w:cs="Arial"/>
          <w:iCs/>
          <w:lang w:eastAsia="en-GB"/>
        </w:rPr>
        <w:t xml:space="preserve"> [Ref: </w:t>
      </w:r>
      <w:r w:rsidR="005235F2" w:rsidRPr="00C52D25">
        <w:rPr>
          <w:rFonts w:ascii="Arial" w:eastAsia="Times New Roman" w:hAnsi="Arial" w:cs="Arial"/>
          <w:iCs/>
          <w:lang w:eastAsia="en-GB"/>
        </w:rPr>
        <w:t>7626</w:t>
      </w:r>
      <w:r w:rsidRPr="00C52D25">
        <w:rPr>
          <w:rFonts w:ascii="Arial" w:eastAsia="Times New Roman" w:hAnsi="Arial" w:cs="Arial"/>
          <w:iCs/>
          <w:lang w:eastAsia="en-GB"/>
        </w:rPr>
        <w:t>].</w:t>
      </w:r>
    </w:p>
    <w:p w14:paraId="105644BB" w14:textId="77777777" w:rsidR="00F72177" w:rsidRPr="00C52D25" w:rsidRDefault="00F72177" w:rsidP="00F72177">
      <w:pPr>
        <w:spacing w:after="0"/>
        <w:jc w:val="both"/>
        <w:rPr>
          <w:rFonts w:ascii="Arial" w:hAnsi="Arial" w:cs="Arial"/>
          <w:b/>
        </w:rPr>
      </w:pPr>
    </w:p>
    <w:p w14:paraId="55481413" w14:textId="5D654007" w:rsidR="00F72177" w:rsidRPr="00C52D25" w:rsidRDefault="00F72177" w:rsidP="00F72177">
      <w:pPr>
        <w:spacing w:after="0"/>
        <w:jc w:val="both"/>
        <w:rPr>
          <w:rFonts w:ascii="Arial" w:hAnsi="Arial" w:cs="Arial"/>
          <w:b/>
        </w:rPr>
      </w:pPr>
      <w:r w:rsidRPr="00C52D25">
        <w:rPr>
          <w:rFonts w:ascii="Arial" w:hAnsi="Arial" w:cs="Arial"/>
          <w:b/>
        </w:rPr>
        <w:t>Data collection</w:t>
      </w:r>
    </w:p>
    <w:p w14:paraId="4936FBC3" w14:textId="050C6B03" w:rsidR="00F72177" w:rsidRPr="00C52D25" w:rsidRDefault="00F72177" w:rsidP="00F72177">
      <w:pPr>
        <w:shd w:val="clear" w:color="auto" w:fill="FFFFFF"/>
        <w:spacing w:after="0" w:line="276" w:lineRule="auto"/>
        <w:jc w:val="both"/>
        <w:rPr>
          <w:rFonts w:ascii="Arial" w:eastAsia="Times New Roman" w:hAnsi="Arial" w:cs="Arial"/>
          <w:lang w:eastAsia="en-GB"/>
        </w:rPr>
      </w:pPr>
      <w:r w:rsidRPr="00C52D25">
        <w:rPr>
          <w:rFonts w:ascii="Arial" w:eastAsia="Times New Roman" w:hAnsi="Arial" w:cs="Arial"/>
          <w:iCs/>
          <w:lang w:eastAsia="en-GB"/>
        </w:rPr>
        <w:t>The study was completed at three time points (T1, T2, T3), 5 and 6 weeks apart, respectively. Participants could complete the survey either online or over the phone with a research team member who entered their details into the online survey on their behalf. Participants from T1 (baseline) were followed-up with the same mental well-being questionnaires at T2 and T3 and were followed-up either by telephone or email, depending on how they completed T1 survey. T1 ran from 17</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April to 15</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May (+/- 3 days). T2 ran from 29</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May to 26</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June (+/- 3 days). T3 ran from 10</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July to 7</w:t>
      </w:r>
      <w:r w:rsidRPr="00C52D25">
        <w:rPr>
          <w:rFonts w:ascii="Arial" w:eastAsia="Times New Roman" w:hAnsi="Arial" w:cs="Arial"/>
          <w:iCs/>
          <w:vertAlign w:val="superscript"/>
          <w:lang w:eastAsia="en-GB"/>
        </w:rPr>
        <w:t>th</w:t>
      </w:r>
      <w:r w:rsidRPr="00C52D25">
        <w:rPr>
          <w:rFonts w:ascii="Arial" w:eastAsia="Times New Roman" w:hAnsi="Arial" w:cs="Arial"/>
          <w:iCs/>
          <w:lang w:eastAsia="en-GB"/>
        </w:rPr>
        <w:t> August (+/- 3 days).</w:t>
      </w:r>
    </w:p>
    <w:p w14:paraId="7EEEA79B" w14:textId="24A0DDB8" w:rsidR="00AE623B" w:rsidRPr="00C52D25" w:rsidRDefault="00AE623B" w:rsidP="00BE5D44">
      <w:pPr>
        <w:jc w:val="both"/>
        <w:rPr>
          <w:rFonts w:ascii="Arial" w:hAnsi="Arial" w:cs="Arial"/>
          <w:b/>
        </w:rPr>
      </w:pPr>
    </w:p>
    <w:p w14:paraId="4A66B1C9" w14:textId="7336F3EA" w:rsidR="00AE623B" w:rsidRPr="00C52D25" w:rsidRDefault="00AE623B" w:rsidP="00802608">
      <w:pPr>
        <w:spacing w:after="0"/>
        <w:jc w:val="both"/>
        <w:rPr>
          <w:rFonts w:ascii="Arial" w:hAnsi="Arial" w:cs="Arial"/>
          <w:b/>
        </w:rPr>
      </w:pPr>
      <w:r w:rsidRPr="00C52D25">
        <w:rPr>
          <w:rFonts w:ascii="Arial" w:hAnsi="Arial" w:cs="Arial"/>
          <w:b/>
        </w:rPr>
        <w:t>Variables and tools</w:t>
      </w:r>
    </w:p>
    <w:p w14:paraId="4EC686E9" w14:textId="1602AE08" w:rsidR="00FA5B90" w:rsidRPr="00C52D25" w:rsidRDefault="00581980" w:rsidP="00B42554">
      <w:pPr>
        <w:spacing w:after="0" w:line="276" w:lineRule="auto"/>
        <w:jc w:val="both"/>
        <w:rPr>
          <w:rFonts w:ascii="Arial" w:hAnsi="Arial" w:cs="Arial"/>
        </w:rPr>
      </w:pPr>
      <w:r w:rsidRPr="00C52D25">
        <w:rPr>
          <w:rFonts w:ascii="Arial" w:hAnsi="Arial" w:cs="Arial"/>
        </w:rPr>
        <w:t>At</w:t>
      </w:r>
      <w:r w:rsidR="00F72177" w:rsidRPr="00C52D25">
        <w:rPr>
          <w:rFonts w:ascii="Arial" w:hAnsi="Arial" w:cs="Arial"/>
        </w:rPr>
        <w:t xml:space="preserve"> </w:t>
      </w:r>
      <w:r w:rsidRPr="00C52D25">
        <w:rPr>
          <w:rFonts w:ascii="Arial" w:hAnsi="Arial" w:cs="Arial"/>
        </w:rPr>
        <w:t>T1</w:t>
      </w:r>
      <w:r w:rsidR="00F72177" w:rsidRPr="00C52D25">
        <w:rPr>
          <w:rFonts w:ascii="Arial" w:hAnsi="Arial" w:cs="Arial"/>
        </w:rPr>
        <w:t>,</w:t>
      </w:r>
      <w:r w:rsidRPr="00C52D25">
        <w:rPr>
          <w:rFonts w:ascii="Arial" w:hAnsi="Arial" w:cs="Arial"/>
        </w:rPr>
        <w:t xml:space="preserve"> participants were asked about their background characteristics (including age, gender, ethnicity, postcode, living situation, type of dementia (if applicable), and employment)</w:t>
      </w:r>
      <w:r w:rsidR="00FA5B90" w:rsidRPr="00C52D25">
        <w:rPr>
          <w:rFonts w:ascii="Arial" w:hAnsi="Arial" w:cs="Arial"/>
        </w:rPr>
        <w:t>.</w:t>
      </w:r>
      <w:r w:rsidRPr="00C52D25">
        <w:rPr>
          <w:rFonts w:ascii="Arial" w:hAnsi="Arial" w:cs="Arial"/>
        </w:rPr>
        <w:t xml:space="preserve"> </w:t>
      </w:r>
      <w:r w:rsidR="00FA5B90" w:rsidRPr="00C52D25">
        <w:rPr>
          <w:rFonts w:ascii="Arial" w:hAnsi="Arial" w:cs="Arial"/>
        </w:rPr>
        <w:t>Postcode data were collected to generate an Index of Multiple Deprivation (IMD) quintile. IMD provides a measure of neighbourhood deprivation, taking into account income, education, crime, and health, amongst others. Quintile 1 indicates least deprived neighbourhoods, with quintile 5 indicating the most deprived neighbourhoods.</w:t>
      </w:r>
    </w:p>
    <w:p w14:paraId="629B1C50" w14:textId="64A3DDAE" w:rsidR="00C82EC6" w:rsidRPr="00C52D25" w:rsidRDefault="00FA5B90" w:rsidP="00FA5B90">
      <w:pPr>
        <w:spacing w:after="0" w:line="276" w:lineRule="auto"/>
        <w:ind w:firstLine="720"/>
        <w:jc w:val="both"/>
        <w:rPr>
          <w:rFonts w:ascii="Arial" w:hAnsi="Arial" w:cs="Arial"/>
        </w:rPr>
      </w:pPr>
      <w:r w:rsidRPr="00C52D25">
        <w:rPr>
          <w:rFonts w:ascii="Arial" w:hAnsi="Arial" w:cs="Arial"/>
        </w:rPr>
        <w:t xml:space="preserve">Service usage was measured by asking about </w:t>
      </w:r>
      <w:r w:rsidR="00581980" w:rsidRPr="00C52D25">
        <w:rPr>
          <w:rFonts w:ascii="Arial" w:hAnsi="Arial" w:cs="Arial"/>
        </w:rPr>
        <w:t>pre-pandemic and current receipt of different social support services (including paid carers, support groups, befrienders, day care centres, respite, meal deliveries, transport, social activities, clinical mental health support, and clinical physical support) and equipment, such as hand rails or shower seats, as well as the weekly total hours of social support services.</w:t>
      </w:r>
      <w:r w:rsidRPr="00C52D25">
        <w:rPr>
          <w:rFonts w:ascii="Arial" w:hAnsi="Arial" w:cs="Arial"/>
        </w:rPr>
        <w:t xml:space="preserve"> Pre-pandemic service usage was defined as use of social support services in a typical week before the pandemic.</w:t>
      </w:r>
    </w:p>
    <w:p w14:paraId="53FAE135" w14:textId="7A21D3AF" w:rsidR="00581980" w:rsidRPr="00C52D25" w:rsidRDefault="00581980" w:rsidP="00B42554">
      <w:pPr>
        <w:spacing w:line="276" w:lineRule="auto"/>
        <w:ind w:firstLine="720"/>
        <w:jc w:val="both"/>
        <w:rPr>
          <w:rFonts w:ascii="Arial" w:hAnsi="Arial" w:cs="Arial"/>
        </w:rPr>
      </w:pPr>
      <w:r w:rsidRPr="00C52D25">
        <w:rPr>
          <w:rFonts w:ascii="Arial" w:hAnsi="Arial" w:cs="Arial"/>
        </w:rPr>
        <w:t>Participants were also asked to complete the Personalised Health Questionnaire 9 (PHQ-9)</w:t>
      </w:r>
      <w:r w:rsidR="006C1685" w:rsidRPr="00C52D25">
        <w:rPr>
          <w:rFonts w:ascii="Arial" w:hAnsi="Arial" w:cs="Arial"/>
        </w:rPr>
        <w:t xml:space="preserve"> [1</w:t>
      </w:r>
      <w:r w:rsidR="00BE4F63" w:rsidRPr="00C52D25">
        <w:rPr>
          <w:rFonts w:ascii="Arial" w:hAnsi="Arial" w:cs="Arial"/>
        </w:rPr>
        <w:t>1</w:t>
      </w:r>
      <w:r w:rsidR="006C1685" w:rsidRPr="00C52D25">
        <w:rPr>
          <w:rFonts w:ascii="Arial" w:hAnsi="Arial" w:cs="Arial"/>
        </w:rPr>
        <w:t>]</w:t>
      </w:r>
      <w:r w:rsidRPr="00C52D25">
        <w:rPr>
          <w:rFonts w:ascii="Arial" w:hAnsi="Arial" w:cs="Arial"/>
        </w:rPr>
        <w:t xml:space="preserve"> for </w:t>
      </w:r>
      <w:r w:rsidR="00BA3B25" w:rsidRPr="00C52D25">
        <w:rPr>
          <w:rFonts w:ascii="Arial" w:hAnsi="Arial" w:cs="Arial"/>
        </w:rPr>
        <w:t xml:space="preserve">levels of </w:t>
      </w:r>
      <w:r w:rsidRPr="00C52D25">
        <w:rPr>
          <w:rFonts w:ascii="Arial" w:hAnsi="Arial" w:cs="Arial"/>
        </w:rPr>
        <w:t>depressi</w:t>
      </w:r>
      <w:r w:rsidR="00960B35" w:rsidRPr="00C52D25">
        <w:rPr>
          <w:rFonts w:ascii="Arial" w:hAnsi="Arial" w:cs="Arial"/>
        </w:rPr>
        <w:t>ve symptoms</w:t>
      </w:r>
      <w:r w:rsidRPr="00C52D25">
        <w:rPr>
          <w:rFonts w:ascii="Arial" w:hAnsi="Arial" w:cs="Arial"/>
        </w:rPr>
        <w:t>, the Generalised Anxiety D</w:t>
      </w:r>
      <w:r w:rsidR="00FA5B90" w:rsidRPr="00C52D25">
        <w:rPr>
          <w:rFonts w:ascii="Arial" w:hAnsi="Arial" w:cs="Arial"/>
        </w:rPr>
        <w:t>isorder</w:t>
      </w:r>
      <w:r w:rsidRPr="00C52D25">
        <w:rPr>
          <w:rFonts w:ascii="Arial" w:hAnsi="Arial" w:cs="Arial"/>
        </w:rPr>
        <w:t xml:space="preserve"> 7 (GAD-7)</w:t>
      </w:r>
      <w:r w:rsidR="006C1685" w:rsidRPr="00C52D25">
        <w:rPr>
          <w:rFonts w:ascii="Arial" w:hAnsi="Arial" w:cs="Arial"/>
        </w:rPr>
        <w:t xml:space="preserve"> [1</w:t>
      </w:r>
      <w:r w:rsidR="00BE4F63" w:rsidRPr="00C52D25">
        <w:rPr>
          <w:rFonts w:ascii="Arial" w:hAnsi="Arial" w:cs="Arial"/>
        </w:rPr>
        <w:t>2</w:t>
      </w:r>
      <w:r w:rsidR="006C1685" w:rsidRPr="00C52D25">
        <w:rPr>
          <w:rFonts w:ascii="Arial" w:hAnsi="Arial" w:cs="Arial"/>
        </w:rPr>
        <w:t>]</w:t>
      </w:r>
      <w:r w:rsidRPr="00C52D25">
        <w:rPr>
          <w:rFonts w:ascii="Arial" w:hAnsi="Arial" w:cs="Arial"/>
        </w:rPr>
        <w:t xml:space="preserve"> for </w:t>
      </w:r>
      <w:r w:rsidR="00BA3B25" w:rsidRPr="00C52D25">
        <w:rPr>
          <w:rFonts w:ascii="Arial" w:hAnsi="Arial" w:cs="Arial"/>
        </w:rPr>
        <w:t xml:space="preserve">levels of </w:t>
      </w:r>
      <w:r w:rsidRPr="00C52D25">
        <w:rPr>
          <w:rFonts w:ascii="Arial" w:hAnsi="Arial" w:cs="Arial"/>
        </w:rPr>
        <w:t>anxiety</w:t>
      </w:r>
      <w:r w:rsidR="00960B35" w:rsidRPr="00C52D25">
        <w:rPr>
          <w:rFonts w:ascii="Arial" w:hAnsi="Arial" w:cs="Arial"/>
        </w:rPr>
        <w:t xml:space="preserve"> symptoms</w:t>
      </w:r>
      <w:r w:rsidRPr="00C52D25">
        <w:rPr>
          <w:rFonts w:ascii="Arial" w:hAnsi="Arial" w:cs="Arial"/>
        </w:rPr>
        <w:t xml:space="preserve">, and the Short </w:t>
      </w:r>
      <w:r w:rsidR="00051D40" w:rsidRPr="00C52D25">
        <w:rPr>
          <w:rFonts w:ascii="Arial" w:hAnsi="Arial" w:cs="Arial"/>
        </w:rPr>
        <w:t>Warwick-Edinburgh Mental Well-Being Scale</w:t>
      </w:r>
      <w:r w:rsidRPr="00C52D25">
        <w:rPr>
          <w:rFonts w:ascii="Arial" w:hAnsi="Arial" w:cs="Arial"/>
        </w:rPr>
        <w:t xml:space="preserve"> </w:t>
      </w:r>
      <w:r w:rsidR="006C1685" w:rsidRPr="00C52D25">
        <w:rPr>
          <w:rFonts w:ascii="Arial" w:hAnsi="Arial" w:cs="Arial"/>
        </w:rPr>
        <w:t>[1</w:t>
      </w:r>
      <w:r w:rsidR="00BE4F63" w:rsidRPr="00C52D25">
        <w:rPr>
          <w:rFonts w:ascii="Arial" w:hAnsi="Arial" w:cs="Arial"/>
        </w:rPr>
        <w:t>3</w:t>
      </w:r>
      <w:r w:rsidR="006C1685" w:rsidRPr="00C52D25">
        <w:rPr>
          <w:rFonts w:ascii="Arial" w:hAnsi="Arial" w:cs="Arial"/>
        </w:rPr>
        <w:t xml:space="preserve">] </w:t>
      </w:r>
      <w:r w:rsidRPr="00C52D25">
        <w:rPr>
          <w:rFonts w:ascii="Arial" w:hAnsi="Arial" w:cs="Arial"/>
        </w:rPr>
        <w:t>(SWEMWBS) for quality of life. Higher scores on the PHQ-9, GAD-7, and the SWEMWBS indicated higher levels of depressi</w:t>
      </w:r>
      <w:r w:rsidR="00960B35" w:rsidRPr="00C52D25">
        <w:rPr>
          <w:rFonts w:ascii="Arial" w:hAnsi="Arial" w:cs="Arial"/>
        </w:rPr>
        <w:t>ve symptomatology</w:t>
      </w:r>
      <w:r w:rsidRPr="00C52D25">
        <w:rPr>
          <w:rFonts w:ascii="Arial" w:hAnsi="Arial" w:cs="Arial"/>
        </w:rPr>
        <w:t>, anxiety</w:t>
      </w:r>
      <w:r w:rsidR="00960B35" w:rsidRPr="00C52D25">
        <w:rPr>
          <w:rFonts w:ascii="Arial" w:hAnsi="Arial" w:cs="Arial"/>
        </w:rPr>
        <w:t xml:space="preserve"> symptomatology</w:t>
      </w:r>
      <w:r w:rsidRPr="00C52D25">
        <w:rPr>
          <w:rFonts w:ascii="Arial" w:hAnsi="Arial" w:cs="Arial"/>
        </w:rPr>
        <w:t>, and quality of life, respectively.</w:t>
      </w:r>
      <w:r w:rsidR="00DF4190" w:rsidRPr="00C52D25">
        <w:rPr>
          <w:rFonts w:ascii="Arial" w:hAnsi="Arial" w:cs="Arial"/>
        </w:rPr>
        <w:t xml:space="preserve"> </w:t>
      </w:r>
      <w:r w:rsidR="006E1131" w:rsidRPr="00C52D25">
        <w:rPr>
          <w:rFonts w:ascii="Arial" w:hAnsi="Arial" w:cs="Arial"/>
        </w:rPr>
        <w:t xml:space="preserve">We categorised participants who </w:t>
      </w:r>
      <w:r w:rsidR="00DF4190" w:rsidRPr="00C52D25">
        <w:rPr>
          <w:rFonts w:ascii="Arial" w:hAnsi="Arial" w:cs="Arial"/>
        </w:rPr>
        <w:t>score</w:t>
      </w:r>
      <w:r w:rsidR="006E1131" w:rsidRPr="00C52D25">
        <w:rPr>
          <w:rFonts w:ascii="Arial" w:hAnsi="Arial" w:cs="Arial"/>
        </w:rPr>
        <w:t>d</w:t>
      </w:r>
      <w:r w:rsidR="00DF4190" w:rsidRPr="00C52D25">
        <w:rPr>
          <w:rFonts w:ascii="Arial" w:hAnsi="Arial" w:cs="Arial"/>
        </w:rPr>
        <w:t xml:space="preserve"> of 10 </w:t>
      </w:r>
      <w:r w:rsidR="006E1131" w:rsidRPr="00C52D25">
        <w:rPr>
          <w:rFonts w:ascii="Arial" w:hAnsi="Arial" w:cs="Arial"/>
        </w:rPr>
        <w:t xml:space="preserve">or more on </w:t>
      </w:r>
      <w:r w:rsidR="00DF1C59" w:rsidRPr="00C52D25">
        <w:rPr>
          <w:rFonts w:ascii="Arial" w:hAnsi="Arial" w:cs="Arial"/>
        </w:rPr>
        <w:t>the PHQ-9</w:t>
      </w:r>
      <w:r w:rsidR="006E1131" w:rsidRPr="00C52D25">
        <w:rPr>
          <w:rFonts w:ascii="Arial" w:hAnsi="Arial" w:cs="Arial"/>
        </w:rPr>
        <w:t xml:space="preserve"> as ‘depressed’</w:t>
      </w:r>
      <w:r w:rsidR="00DF1C59" w:rsidRPr="00C52D25">
        <w:rPr>
          <w:rFonts w:ascii="Arial" w:hAnsi="Arial" w:cs="Arial"/>
        </w:rPr>
        <w:t xml:space="preserve"> and </w:t>
      </w:r>
      <w:r w:rsidR="006E1131" w:rsidRPr="00C52D25">
        <w:rPr>
          <w:rFonts w:ascii="Arial" w:hAnsi="Arial" w:cs="Arial"/>
        </w:rPr>
        <w:t xml:space="preserve">on the </w:t>
      </w:r>
      <w:r w:rsidR="00DF1C59" w:rsidRPr="00C52D25">
        <w:rPr>
          <w:rFonts w:ascii="Arial" w:hAnsi="Arial" w:cs="Arial"/>
        </w:rPr>
        <w:t xml:space="preserve">GAD-7 </w:t>
      </w:r>
      <w:r w:rsidR="006E1131" w:rsidRPr="00C52D25">
        <w:rPr>
          <w:rFonts w:ascii="Arial" w:hAnsi="Arial" w:cs="Arial"/>
        </w:rPr>
        <w:t>as ‘anxious’</w:t>
      </w:r>
      <w:r w:rsidR="00BA3B25" w:rsidRPr="00C52D25">
        <w:rPr>
          <w:rFonts w:ascii="Arial" w:hAnsi="Arial" w:cs="Arial"/>
        </w:rPr>
        <w:t>, as based on previous extensive research, indicating that these cut offs indicate general anxiety disorder and depression, respectively</w:t>
      </w:r>
      <w:r w:rsidR="006E1131" w:rsidRPr="00C52D25">
        <w:rPr>
          <w:rFonts w:ascii="Arial" w:hAnsi="Arial" w:cs="Arial"/>
        </w:rPr>
        <w:t xml:space="preserve"> </w:t>
      </w:r>
      <w:r w:rsidR="006C1685" w:rsidRPr="00C52D25">
        <w:rPr>
          <w:rFonts w:ascii="Arial" w:hAnsi="Arial" w:cs="Arial"/>
        </w:rPr>
        <w:t>[1</w:t>
      </w:r>
      <w:r w:rsidR="00BE4F63" w:rsidRPr="00C52D25">
        <w:rPr>
          <w:rFonts w:ascii="Arial" w:hAnsi="Arial" w:cs="Arial"/>
        </w:rPr>
        <w:t>4</w:t>
      </w:r>
      <w:r w:rsidR="006C1685" w:rsidRPr="00C52D25">
        <w:rPr>
          <w:rFonts w:ascii="Arial" w:hAnsi="Arial" w:cs="Arial"/>
        </w:rPr>
        <w:t>]</w:t>
      </w:r>
      <w:r w:rsidR="00DF1C59" w:rsidRPr="00C52D25">
        <w:rPr>
          <w:rFonts w:ascii="Arial" w:hAnsi="Arial" w:cs="Arial"/>
        </w:rPr>
        <w:t xml:space="preserve">. At T2 and T3, participants were asked again about their current levels of social support service receipt, weekly hours of support, equipment, as well as the PHQ-9, GAD-7, and SWEMWBS. </w:t>
      </w:r>
    </w:p>
    <w:p w14:paraId="3E446A67" w14:textId="31A38E57" w:rsidR="00AE623B" w:rsidRPr="00C52D25" w:rsidRDefault="00AE623B" w:rsidP="004D63EB">
      <w:pPr>
        <w:spacing w:after="0"/>
        <w:jc w:val="both"/>
        <w:rPr>
          <w:rFonts w:ascii="Arial" w:hAnsi="Arial" w:cs="Arial"/>
          <w:b/>
        </w:rPr>
      </w:pPr>
      <w:r w:rsidRPr="00C52D25">
        <w:rPr>
          <w:rFonts w:ascii="Arial" w:hAnsi="Arial" w:cs="Arial"/>
          <w:b/>
        </w:rPr>
        <w:t>Data analysis</w:t>
      </w:r>
    </w:p>
    <w:p w14:paraId="46C5CF3F" w14:textId="0C4BFB40" w:rsidR="00BC31D8" w:rsidRPr="00C52D25" w:rsidRDefault="006527D9" w:rsidP="00BE5D44">
      <w:pPr>
        <w:jc w:val="both"/>
        <w:rPr>
          <w:rFonts w:ascii="Arial" w:hAnsi="Arial" w:cs="Arial"/>
        </w:rPr>
      </w:pPr>
      <w:r w:rsidRPr="00C52D25">
        <w:rPr>
          <w:rFonts w:ascii="Arial" w:hAnsi="Arial" w:cs="Arial"/>
        </w:rPr>
        <w:t>Data were analysed using SPSS 2</w:t>
      </w:r>
      <w:r w:rsidR="004D63EB" w:rsidRPr="00C52D25">
        <w:rPr>
          <w:rFonts w:ascii="Arial" w:hAnsi="Arial" w:cs="Arial"/>
        </w:rPr>
        <w:t>5</w:t>
      </w:r>
      <w:r w:rsidRPr="00C52D25">
        <w:rPr>
          <w:rFonts w:ascii="Arial" w:hAnsi="Arial" w:cs="Arial"/>
        </w:rPr>
        <w:t>, and the significance level was set at p&lt;</w:t>
      </w:r>
      <w:r w:rsidR="0016575D" w:rsidRPr="00C52D25">
        <w:rPr>
          <w:rFonts w:ascii="Arial" w:hAnsi="Arial" w:cs="Arial"/>
        </w:rPr>
        <w:t>0</w:t>
      </w:r>
      <w:r w:rsidRPr="00C52D25">
        <w:rPr>
          <w:rFonts w:ascii="Arial" w:hAnsi="Arial" w:cs="Arial"/>
        </w:rPr>
        <w:t xml:space="preserve">.05. Participant demographic characteristics and social support service usage and mental well-being variables were analysed using frequency analysis. </w:t>
      </w:r>
      <w:r w:rsidR="00075E6B" w:rsidRPr="00C52D25">
        <w:rPr>
          <w:rFonts w:ascii="Arial" w:hAnsi="Arial" w:cs="Arial"/>
        </w:rPr>
        <w:t xml:space="preserve">Chi-square tests were used to assess variations in the proportions of participants who </w:t>
      </w:r>
      <w:r w:rsidR="000923B8" w:rsidRPr="00C52D25">
        <w:rPr>
          <w:rFonts w:ascii="Arial" w:hAnsi="Arial" w:cs="Arial"/>
        </w:rPr>
        <w:t>were categorised as ‘depressed’ or ‘anxious’.</w:t>
      </w:r>
      <w:r w:rsidR="00075E6B" w:rsidRPr="00C52D25">
        <w:rPr>
          <w:rFonts w:ascii="Arial" w:hAnsi="Arial" w:cs="Arial"/>
        </w:rPr>
        <w:t xml:space="preserve"> </w:t>
      </w:r>
      <w:r w:rsidRPr="00C52D25">
        <w:rPr>
          <w:rFonts w:ascii="Arial" w:hAnsi="Arial" w:cs="Arial"/>
        </w:rPr>
        <w:t>Repeated measures ANOVA</w:t>
      </w:r>
      <w:r w:rsidR="005332B8" w:rsidRPr="00C52D25">
        <w:rPr>
          <w:rFonts w:ascii="Arial" w:hAnsi="Arial" w:cs="Arial"/>
        </w:rPr>
        <w:t>s</w:t>
      </w:r>
      <w:r w:rsidRPr="00C52D25">
        <w:rPr>
          <w:rFonts w:ascii="Arial" w:hAnsi="Arial" w:cs="Arial"/>
        </w:rPr>
        <w:t xml:space="preserve"> with </w:t>
      </w:r>
      <w:r w:rsidR="00466E3E" w:rsidRPr="00C52D25">
        <w:rPr>
          <w:rFonts w:ascii="Arial" w:hAnsi="Arial" w:cs="Arial"/>
        </w:rPr>
        <w:t xml:space="preserve">Greenhouse </w:t>
      </w:r>
      <w:proofErr w:type="spellStart"/>
      <w:r w:rsidR="00466E3E" w:rsidRPr="00C52D25">
        <w:rPr>
          <w:rFonts w:ascii="Arial" w:hAnsi="Arial" w:cs="Arial"/>
        </w:rPr>
        <w:t>Geisser</w:t>
      </w:r>
      <w:proofErr w:type="spellEnd"/>
      <w:r w:rsidR="00466E3E" w:rsidRPr="00C52D25">
        <w:rPr>
          <w:rFonts w:ascii="Arial" w:hAnsi="Arial" w:cs="Arial"/>
        </w:rPr>
        <w:t xml:space="preserve"> </w:t>
      </w:r>
      <w:proofErr w:type="spellStart"/>
      <w:r w:rsidR="00466E3E" w:rsidRPr="00C52D25">
        <w:rPr>
          <w:rFonts w:ascii="Arial" w:hAnsi="Arial" w:cs="Arial"/>
        </w:rPr>
        <w:t>posthoc</w:t>
      </w:r>
      <w:proofErr w:type="spellEnd"/>
      <w:r w:rsidR="00466E3E" w:rsidRPr="00C52D25">
        <w:rPr>
          <w:rFonts w:ascii="Arial" w:hAnsi="Arial" w:cs="Arial"/>
        </w:rPr>
        <w:t xml:space="preserve"> </w:t>
      </w:r>
      <w:r w:rsidRPr="00C52D25">
        <w:rPr>
          <w:rFonts w:ascii="Arial" w:hAnsi="Arial" w:cs="Arial"/>
        </w:rPr>
        <w:t>correction w</w:t>
      </w:r>
      <w:r w:rsidR="005332B8" w:rsidRPr="00C52D25">
        <w:rPr>
          <w:rFonts w:ascii="Arial" w:hAnsi="Arial" w:cs="Arial"/>
        </w:rPr>
        <w:t>ere used to analyse differences</w:t>
      </w:r>
      <w:r w:rsidR="000923B8" w:rsidRPr="00C52D25">
        <w:rPr>
          <w:rFonts w:ascii="Arial" w:hAnsi="Arial" w:cs="Arial"/>
        </w:rPr>
        <w:t xml:space="preserve"> between T1, T2, and T3</w:t>
      </w:r>
      <w:r w:rsidR="005332B8" w:rsidRPr="00C52D25">
        <w:rPr>
          <w:rFonts w:ascii="Arial" w:hAnsi="Arial" w:cs="Arial"/>
        </w:rPr>
        <w:t xml:space="preserve"> in GAD-7 total, PHQ-9 total, and SWEMWBS total </w:t>
      </w:r>
      <w:r w:rsidR="00793A82" w:rsidRPr="00C52D25">
        <w:rPr>
          <w:rFonts w:ascii="Arial" w:hAnsi="Arial" w:cs="Arial"/>
        </w:rPr>
        <w:t>scores</w:t>
      </w:r>
      <w:r w:rsidR="005332B8" w:rsidRPr="00C52D25">
        <w:rPr>
          <w:rFonts w:ascii="Arial" w:hAnsi="Arial" w:cs="Arial"/>
        </w:rPr>
        <w:t>.</w:t>
      </w:r>
      <w:r w:rsidRPr="00C52D25">
        <w:rPr>
          <w:rFonts w:ascii="Arial" w:hAnsi="Arial" w:cs="Arial"/>
        </w:rPr>
        <w:t xml:space="preserve"> </w:t>
      </w:r>
      <w:r w:rsidR="00793A82" w:rsidRPr="00C52D25">
        <w:rPr>
          <w:rFonts w:ascii="Arial" w:hAnsi="Arial" w:cs="Arial"/>
        </w:rPr>
        <w:t>For this analysis, only participants with complete GAD-7, PHQ-9, and SWEMWBS w</w:t>
      </w:r>
      <w:r w:rsidR="00A50C57" w:rsidRPr="00C52D25">
        <w:rPr>
          <w:rFonts w:ascii="Arial" w:hAnsi="Arial" w:cs="Arial"/>
        </w:rPr>
        <w:t>ere included</w:t>
      </w:r>
      <w:r w:rsidR="00466E3E" w:rsidRPr="00C52D25">
        <w:rPr>
          <w:rFonts w:ascii="Arial" w:hAnsi="Arial" w:cs="Arial"/>
        </w:rPr>
        <w:t xml:space="preserve"> (n=377)</w:t>
      </w:r>
      <w:r w:rsidR="00793A82" w:rsidRPr="00C52D25">
        <w:rPr>
          <w:rFonts w:ascii="Arial" w:hAnsi="Arial" w:cs="Arial"/>
        </w:rPr>
        <w:t xml:space="preserve">. </w:t>
      </w:r>
      <w:r w:rsidR="00BB5021" w:rsidRPr="00C52D25">
        <w:rPr>
          <w:rFonts w:ascii="Arial" w:hAnsi="Arial" w:cs="Arial"/>
        </w:rPr>
        <w:t xml:space="preserve">Paired samples t-tests were employed to compare the means </w:t>
      </w:r>
      <w:r w:rsidR="00142206" w:rsidRPr="00C52D25">
        <w:rPr>
          <w:rFonts w:ascii="Arial" w:hAnsi="Arial" w:cs="Arial"/>
        </w:rPr>
        <w:t>of</w:t>
      </w:r>
      <w:r w:rsidR="00BB5021" w:rsidRPr="00C52D25">
        <w:rPr>
          <w:rFonts w:ascii="Arial" w:hAnsi="Arial" w:cs="Arial"/>
        </w:rPr>
        <w:t xml:space="preserve"> GAD-</w:t>
      </w:r>
      <w:r w:rsidR="00142206" w:rsidRPr="00C52D25">
        <w:rPr>
          <w:rFonts w:ascii="Arial" w:hAnsi="Arial" w:cs="Arial"/>
        </w:rPr>
        <w:t>7</w:t>
      </w:r>
      <w:r w:rsidR="00BB5021" w:rsidRPr="00C52D25">
        <w:rPr>
          <w:rFonts w:ascii="Arial" w:hAnsi="Arial" w:cs="Arial"/>
        </w:rPr>
        <w:t xml:space="preserve">, </w:t>
      </w:r>
      <w:r w:rsidR="00BB5021" w:rsidRPr="00C52D25">
        <w:rPr>
          <w:rFonts w:ascii="Arial" w:hAnsi="Arial" w:cs="Arial"/>
        </w:rPr>
        <w:lastRenderedPageBreak/>
        <w:t xml:space="preserve">PHQ-9, and SWEMWBS </w:t>
      </w:r>
      <w:r w:rsidR="00142206" w:rsidRPr="00C52D25">
        <w:rPr>
          <w:rFonts w:ascii="Arial" w:hAnsi="Arial" w:cs="Arial"/>
        </w:rPr>
        <w:t>at T1 between those who completed all three time points (n=377) and those who dropped out after T1 or T2 (n=192).</w:t>
      </w:r>
      <w:r w:rsidR="003677FC" w:rsidRPr="00C52D25">
        <w:rPr>
          <w:rFonts w:ascii="Arial" w:hAnsi="Arial" w:cs="Arial"/>
        </w:rPr>
        <w:t xml:space="preserve"> Bivariate correlation analysis was employed to assess whether changes in weekly social support service usage </w:t>
      </w:r>
      <w:r w:rsidR="003F5F52" w:rsidRPr="00C52D25">
        <w:rPr>
          <w:rFonts w:ascii="Arial" w:hAnsi="Arial" w:cs="Arial"/>
        </w:rPr>
        <w:t>from pre-pandemic to T1 were associated with changes in GAD-7, PHQ-9, and SWEMWBS between T1 and T3.</w:t>
      </w:r>
    </w:p>
    <w:p w14:paraId="7E5A8341" w14:textId="003150DA" w:rsidR="00EA2323" w:rsidRPr="00C52D25" w:rsidRDefault="00EA2323" w:rsidP="00142206">
      <w:pPr>
        <w:spacing w:after="0"/>
        <w:jc w:val="both"/>
        <w:rPr>
          <w:rFonts w:ascii="Arial" w:hAnsi="Arial" w:cs="Arial"/>
          <w:b/>
        </w:rPr>
      </w:pPr>
      <w:r w:rsidRPr="00C52D25">
        <w:rPr>
          <w:rFonts w:ascii="Arial" w:hAnsi="Arial" w:cs="Arial"/>
          <w:b/>
        </w:rPr>
        <w:t>Public involvement</w:t>
      </w:r>
    </w:p>
    <w:p w14:paraId="49B45779" w14:textId="749F8D6C" w:rsidR="00EA2323" w:rsidRPr="00C52D25" w:rsidRDefault="00EA2323" w:rsidP="00BE5D44">
      <w:pPr>
        <w:jc w:val="both"/>
        <w:rPr>
          <w:rFonts w:ascii="Arial" w:hAnsi="Arial" w:cs="Arial"/>
        </w:rPr>
      </w:pPr>
      <w:r w:rsidRPr="00C52D25">
        <w:rPr>
          <w:rFonts w:ascii="Arial" w:hAnsi="Arial" w:cs="Arial"/>
        </w:rPr>
        <w:t xml:space="preserve">Unpaid carers and a PLWD were involved as equal team members in all aspects of the study – from conceptualisation and design through to analysis and dissemination. </w:t>
      </w:r>
    </w:p>
    <w:p w14:paraId="7F28CF16" w14:textId="38E250D1" w:rsidR="00BC31D8" w:rsidRPr="00C52D25" w:rsidRDefault="00BC31D8" w:rsidP="00BE5D44">
      <w:pPr>
        <w:jc w:val="both"/>
        <w:rPr>
          <w:rFonts w:ascii="Arial" w:hAnsi="Arial" w:cs="Arial"/>
          <w:b/>
          <w:sz w:val="24"/>
        </w:rPr>
      </w:pPr>
      <w:r w:rsidRPr="00C52D25">
        <w:rPr>
          <w:rFonts w:ascii="Arial" w:hAnsi="Arial" w:cs="Arial"/>
          <w:b/>
          <w:sz w:val="24"/>
        </w:rPr>
        <w:t>Results</w:t>
      </w:r>
    </w:p>
    <w:p w14:paraId="415075DC" w14:textId="414A4D87" w:rsidR="00D5140F" w:rsidRPr="00C52D25" w:rsidRDefault="00D5140F" w:rsidP="00D5140F">
      <w:pPr>
        <w:spacing w:after="0"/>
        <w:jc w:val="both"/>
        <w:rPr>
          <w:rFonts w:ascii="Arial" w:hAnsi="Arial" w:cs="Arial"/>
          <w:b/>
        </w:rPr>
      </w:pPr>
      <w:r w:rsidRPr="00C52D25">
        <w:rPr>
          <w:rFonts w:ascii="Arial" w:hAnsi="Arial" w:cs="Arial"/>
          <w:b/>
        </w:rPr>
        <w:t>Survey completion</w:t>
      </w:r>
    </w:p>
    <w:p w14:paraId="05EF3FF1" w14:textId="5654252C" w:rsidR="00B0145E" w:rsidRPr="00C52D25" w:rsidRDefault="00FA5B90" w:rsidP="00991862">
      <w:pPr>
        <w:jc w:val="both"/>
        <w:rPr>
          <w:rFonts w:ascii="Arial" w:hAnsi="Arial" w:cs="Arial"/>
        </w:rPr>
      </w:pPr>
      <w:r w:rsidRPr="00C52D25">
        <w:rPr>
          <w:rFonts w:ascii="Arial" w:hAnsi="Arial" w:cs="Arial"/>
        </w:rPr>
        <w:t xml:space="preserve">Figure 1 outlines the participant flow and completion rates in further detail. </w:t>
      </w:r>
      <w:r w:rsidR="00D5140F" w:rsidRPr="00C52D25">
        <w:rPr>
          <w:rFonts w:ascii="Arial" w:hAnsi="Arial" w:cs="Arial"/>
        </w:rPr>
        <w:t>5</w:t>
      </w:r>
      <w:r w:rsidR="00CB2CC5" w:rsidRPr="00C52D25">
        <w:rPr>
          <w:rFonts w:ascii="Arial" w:hAnsi="Arial" w:cs="Arial"/>
        </w:rPr>
        <w:t>69</w:t>
      </w:r>
      <w:r w:rsidR="003D6A62" w:rsidRPr="00C52D25">
        <w:rPr>
          <w:rFonts w:ascii="Arial" w:hAnsi="Arial" w:cs="Arial"/>
        </w:rPr>
        <w:t xml:space="preserve"> participants completed </w:t>
      </w:r>
      <w:r w:rsidR="00D5140F" w:rsidRPr="00C52D25">
        <w:rPr>
          <w:rFonts w:ascii="Arial" w:hAnsi="Arial" w:cs="Arial"/>
        </w:rPr>
        <w:t xml:space="preserve">the survey at </w:t>
      </w:r>
      <w:r w:rsidR="003D6A62" w:rsidRPr="00C52D25">
        <w:rPr>
          <w:rFonts w:ascii="Arial" w:hAnsi="Arial" w:cs="Arial"/>
        </w:rPr>
        <w:t>T1 (</w:t>
      </w:r>
      <w:r w:rsidR="004955A5" w:rsidRPr="00C52D25">
        <w:rPr>
          <w:rFonts w:ascii="Arial" w:hAnsi="Arial" w:cs="Arial"/>
        </w:rPr>
        <w:t>61</w:t>
      </w:r>
      <w:r w:rsidR="00D5140F" w:rsidRPr="00C52D25">
        <w:rPr>
          <w:rFonts w:ascii="Arial" w:hAnsi="Arial" w:cs="Arial"/>
        </w:rPr>
        <w:t xml:space="preserve"> PLWD</w:t>
      </w:r>
      <w:r w:rsidR="000B43B7" w:rsidRPr="00C52D25">
        <w:rPr>
          <w:rFonts w:ascii="Arial" w:hAnsi="Arial" w:cs="Arial"/>
        </w:rPr>
        <w:t>;</w:t>
      </w:r>
      <w:r w:rsidR="00D5140F" w:rsidRPr="00C52D25">
        <w:rPr>
          <w:rFonts w:ascii="Arial" w:hAnsi="Arial" w:cs="Arial"/>
        </w:rPr>
        <w:t xml:space="preserve"> </w:t>
      </w:r>
      <w:r w:rsidR="004955A5" w:rsidRPr="00C52D25">
        <w:rPr>
          <w:rFonts w:ascii="Arial" w:hAnsi="Arial" w:cs="Arial"/>
        </w:rPr>
        <w:t>219</w:t>
      </w:r>
      <w:r w:rsidR="00D5140F" w:rsidRPr="00C52D25">
        <w:rPr>
          <w:rFonts w:ascii="Arial" w:hAnsi="Arial" w:cs="Arial"/>
        </w:rPr>
        <w:t xml:space="preserve"> current carers;</w:t>
      </w:r>
      <w:r w:rsidR="00EB43E5" w:rsidRPr="00C52D25">
        <w:rPr>
          <w:rFonts w:ascii="Arial" w:hAnsi="Arial" w:cs="Arial"/>
        </w:rPr>
        <w:t xml:space="preserve"> 66</w:t>
      </w:r>
      <w:r w:rsidR="00D5140F" w:rsidRPr="00C52D25">
        <w:rPr>
          <w:rFonts w:ascii="Arial" w:hAnsi="Arial" w:cs="Arial"/>
        </w:rPr>
        <w:t xml:space="preserve"> former carers; </w:t>
      </w:r>
      <w:r w:rsidR="00A44023" w:rsidRPr="00C52D25">
        <w:rPr>
          <w:rFonts w:ascii="Arial" w:hAnsi="Arial" w:cs="Arial"/>
        </w:rPr>
        <w:t>2</w:t>
      </w:r>
      <w:r w:rsidR="00EB43E5" w:rsidRPr="00C52D25">
        <w:rPr>
          <w:rFonts w:ascii="Arial" w:hAnsi="Arial" w:cs="Arial"/>
        </w:rPr>
        <w:t>23</w:t>
      </w:r>
      <w:r w:rsidR="00D5140F" w:rsidRPr="00C52D25">
        <w:rPr>
          <w:rFonts w:ascii="Arial" w:hAnsi="Arial" w:cs="Arial"/>
        </w:rPr>
        <w:t xml:space="preserve"> older adults)</w:t>
      </w:r>
      <w:r w:rsidR="00A83080" w:rsidRPr="00C52D25">
        <w:rPr>
          <w:rFonts w:ascii="Arial" w:hAnsi="Arial" w:cs="Arial"/>
        </w:rPr>
        <w:t>.</w:t>
      </w:r>
      <w:r w:rsidRPr="00C52D25">
        <w:rPr>
          <w:rFonts w:ascii="Arial" w:hAnsi="Arial" w:cs="Arial"/>
        </w:rPr>
        <w:t xml:space="preserve"> </w:t>
      </w:r>
      <w:r w:rsidR="00991862" w:rsidRPr="00C52D25">
        <w:rPr>
          <w:rFonts w:ascii="Arial" w:hAnsi="Arial" w:cs="Arial"/>
        </w:rPr>
        <w:t>4</w:t>
      </w:r>
      <w:r w:rsidR="0059276F" w:rsidRPr="00C52D25">
        <w:rPr>
          <w:rFonts w:ascii="Arial" w:hAnsi="Arial" w:cs="Arial"/>
        </w:rPr>
        <w:t>20</w:t>
      </w:r>
      <w:r w:rsidR="00991862" w:rsidRPr="00C52D25">
        <w:rPr>
          <w:rFonts w:ascii="Arial" w:hAnsi="Arial" w:cs="Arial"/>
        </w:rPr>
        <w:t xml:space="preserve"> participants </w:t>
      </w:r>
      <w:r w:rsidR="00A83080" w:rsidRPr="00C52D25">
        <w:rPr>
          <w:rFonts w:ascii="Arial" w:hAnsi="Arial" w:cs="Arial"/>
        </w:rPr>
        <w:t xml:space="preserve">completed the survey </w:t>
      </w:r>
      <w:r w:rsidR="00991862" w:rsidRPr="00C52D25">
        <w:rPr>
          <w:rFonts w:ascii="Arial" w:hAnsi="Arial" w:cs="Arial"/>
        </w:rPr>
        <w:t>at T2 (</w:t>
      </w:r>
      <w:r w:rsidR="0059276F" w:rsidRPr="00C52D25">
        <w:rPr>
          <w:rFonts w:ascii="Arial" w:hAnsi="Arial" w:cs="Arial"/>
        </w:rPr>
        <w:t>38</w:t>
      </w:r>
      <w:r w:rsidR="00991862" w:rsidRPr="00C52D25">
        <w:rPr>
          <w:rFonts w:ascii="Arial" w:hAnsi="Arial" w:cs="Arial"/>
        </w:rPr>
        <w:t xml:space="preserve"> PLWD</w:t>
      </w:r>
      <w:r w:rsidR="000B43B7" w:rsidRPr="00C52D25">
        <w:rPr>
          <w:rFonts w:ascii="Arial" w:hAnsi="Arial" w:cs="Arial"/>
        </w:rPr>
        <w:t>;</w:t>
      </w:r>
      <w:r w:rsidR="00991862" w:rsidRPr="00C52D25">
        <w:rPr>
          <w:rFonts w:ascii="Arial" w:hAnsi="Arial" w:cs="Arial"/>
        </w:rPr>
        <w:t xml:space="preserve"> </w:t>
      </w:r>
      <w:r w:rsidR="00CB2CC5" w:rsidRPr="00C52D25">
        <w:rPr>
          <w:rFonts w:ascii="Arial" w:hAnsi="Arial" w:cs="Arial"/>
        </w:rPr>
        <w:t>16</w:t>
      </w:r>
      <w:r w:rsidR="0059276F" w:rsidRPr="00C52D25">
        <w:rPr>
          <w:rFonts w:ascii="Arial" w:hAnsi="Arial" w:cs="Arial"/>
        </w:rPr>
        <w:t>8</w:t>
      </w:r>
      <w:r w:rsidR="00991862" w:rsidRPr="00C52D25">
        <w:rPr>
          <w:rFonts w:ascii="Arial" w:hAnsi="Arial" w:cs="Arial"/>
        </w:rPr>
        <w:t xml:space="preserve"> current carers; </w:t>
      </w:r>
      <w:r w:rsidR="0059276F" w:rsidRPr="00C52D25">
        <w:rPr>
          <w:rFonts w:ascii="Arial" w:hAnsi="Arial" w:cs="Arial"/>
        </w:rPr>
        <w:t>45</w:t>
      </w:r>
      <w:r w:rsidR="00991862" w:rsidRPr="00C52D25">
        <w:rPr>
          <w:rFonts w:ascii="Arial" w:hAnsi="Arial" w:cs="Arial"/>
        </w:rPr>
        <w:t xml:space="preserve"> former carers; </w:t>
      </w:r>
      <w:r w:rsidR="00CB2CC5" w:rsidRPr="00C52D25">
        <w:rPr>
          <w:rFonts w:ascii="Arial" w:hAnsi="Arial" w:cs="Arial"/>
        </w:rPr>
        <w:t>1</w:t>
      </w:r>
      <w:r w:rsidR="0059276F" w:rsidRPr="00C52D25">
        <w:rPr>
          <w:rFonts w:ascii="Arial" w:hAnsi="Arial" w:cs="Arial"/>
        </w:rPr>
        <w:t>69</w:t>
      </w:r>
      <w:r w:rsidR="00991862" w:rsidRPr="00C52D25">
        <w:rPr>
          <w:rFonts w:ascii="Arial" w:hAnsi="Arial" w:cs="Arial"/>
        </w:rPr>
        <w:t xml:space="preserve"> older adults)</w:t>
      </w:r>
      <w:r w:rsidR="00A83080" w:rsidRPr="00C52D25">
        <w:rPr>
          <w:rFonts w:ascii="Arial" w:hAnsi="Arial" w:cs="Arial"/>
        </w:rPr>
        <w:t xml:space="preserve">. </w:t>
      </w:r>
      <w:r w:rsidR="00E07302" w:rsidRPr="00C52D25">
        <w:rPr>
          <w:rFonts w:ascii="Arial" w:hAnsi="Arial" w:cs="Arial"/>
        </w:rPr>
        <w:t>3</w:t>
      </w:r>
      <w:r w:rsidR="003148E3" w:rsidRPr="00C52D25">
        <w:rPr>
          <w:rFonts w:ascii="Arial" w:hAnsi="Arial" w:cs="Arial"/>
        </w:rPr>
        <w:t>7</w:t>
      </w:r>
      <w:r w:rsidR="0059276F" w:rsidRPr="00C52D25">
        <w:rPr>
          <w:rFonts w:ascii="Arial" w:hAnsi="Arial" w:cs="Arial"/>
        </w:rPr>
        <w:t>7</w:t>
      </w:r>
      <w:r w:rsidR="00991862" w:rsidRPr="00C52D25">
        <w:rPr>
          <w:rFonts w:ascii="Arial" w:hAnsi="Arial" w:cs="Arial"/>
        </w:rPr>
        <w:t xml:space="preserve"> participants completed all three waves of the survey (</w:t>
      </w:r>
      <w:bookmarkStart w:id="1" w:name="_Hlk51837544"/>
      <w:r w:rsidR="00E07302" w:rsidRPr="00C52D25">
        <w:rPr>
          <w:rFonts w:ascii="Arial" w:hAnsi="Arial" w:cs="Arial"/>
        </w:rPr>
        <w:t>37</w:t>
      </w:r>
      <w:r w:rsidR="00991862" w:rsidRPr="00C52D25">
        <w:rPr>
          <w:rFonts w:ascii="Arial" w:hAnsi="Arial" w:cs="Arial"/>
        </w:rPr>
        <w:t xml:space="preserve"> PLWD; </w:t>
      </w:r>
      <w:r w:rsidR="00E07302" w:rsidRPr="00C52D25">
        <w:rPr>
          <w:rFonts w:ascii="Arial" w:hAnsi="Arial" w:cs="Arial"/>
        </w:rPr>
        <w:t>14</w:t>
      </w:r>
      <w:r w:rsidR="001A2A30" w:rsidRPr="00C52D25">
        <w:rPr>
          <w:rFonts w:ascii="Arial" w:hAnsi="Arial" w:cs="Arial"/>
        </w:rPr>
        <w:t>9</w:t>
      </w:r>
      <w:r w:rsidR="00991862" w:rsidRPr="00C52D25">
        <w:rPr>
          <w:rFonts w:ascii="Arial" w:hAnsi="Arial" w:cs="Arial"/>
        </w:rPr>
        <w:t xml:space="preserve"> current carers; </w:t>
      </w:r>
      <w:r w:rsidR="001A2A30" w:rsidRPr="00C52D25">
        <w:rPr>
          <w:rFonts w:ascii="Arial" w:hAnsi="Arial" w:cs="Arial"/>
        </w:rPr>
        <w:t>39</w:t>
      </w:r>
      <w:r w:rsidR="00991862" w:rsidRPr="00C52D25">
        <w:rPr>
          <w:rFonts w:ascii="Arial" w:hAnsi="Arial" w:cs="Arial"/>
        </w:rPr>
        <w:t xml:space="preserve"> former carers; </w:t>
      </w:r>
      <w:r w:rsidR="00E07302" w:rsidRPr="00C52D25">
        <w:rPr>
          <w:rFonts w:ascii="Arial" w:hAnsi="Arial" w:cs="Arial"/>
        </w:rPr>
        <w:t>1</w:t>
      </w:r>
      <w:r w:rsidR="001A2A30" w:rsidRPr="00C52D25">
        <w:rPr>
          <w:rFonts w:ascii="Arial" w:hAnsi="Arial" w:cs="Arial"/>
        </w:rPr>
        <w:t>52</w:t>
      </w:r>
      <w:r w:rsidR="00991862" w:rsidRPr="00C52D25">
        <w:rPr>
          <w:rFonts w:ascii="Arial" w:hAnsi="Arial" w:cs="Arial"/>
        </w:rPr>
        <w:t xml:space="preserve"> older adults</w:t>
      </w:r>
      <w:bookmarkEnd w:id="1"/>
      <w:r w:rsidR="00991862" w:rsidRPr="00C52D25">
        <w:rPr>
          <w:rFonts w:ascii="Arial" w:hAnsi="Arial" w:cs="Arial"/>
        </w:rPr>
        <w:t xml:space="preserve">). </w:t>
      </w:r>
    </w:p>
    <w:p w14:paraId="06F87216" w14:textId="77777777" w:rsidR="00D5140F" w:rsidRPr="00C52D25" w:rsidRDefault="00D5140F" w:rsidP="00D5140F">
      <w:pPr>
        <w:spacing w:after="0"/>
        <w:jc w:val="both"/>
        <w:rPr>
          <w:rFonts w:ascii="Arial" w:hAnsi="Arial" w:cs="Arial"/>
          <w:b/>
        </w:rPr>
      </w:pPr>
      <w:r w:rsidRPr="00C52D25">
        <w:rPr>
          <w:rFonts w:ascii="Arial" w:hAnsi="Arial" w:cs="Arial"/>
          <w:b/>
        </w:rPr>
        <w:t>Participant characteristics</w:t>
      </w:r>
    </w:p>
    <w:p w14:paraId="320B63F8" w14:textId="246664F3" w:rsidR="006527D9" w:rsidRPr="00C52D25" w:rsidRDefault="004276F4" w:rsidP="00BE5D44">
      <w:pPr>
        <w:jc w:val="both"/>
        <w:rPr>
          <w:rFonts w:ascii="Arial" w:hAnsi="Arial" w:cs="Arial"/>
        </w:rPr>
      </w:pPr>
      <w:r w:rsidRPr="00C52D25">
        <w:rPr>
          <w:rFonts w:ascii="Arial" w:hAnsi="Arial" w:cs="Arial"/>
        </w:rPr>
        <w:t xml:space="preserve">Table 1 shows the demographic characteristics of </w:t>
      </w:r>
      <w:r w:rsidR="0096718A" w:rsidRPr="00C52D25">
        <w:rPr>
          <w:rFonts w:ascii="Arial" w:hAnsi="Arial" w:cs="Arial"/>
        </w:rPr>
        <w:t xml:space="preserve">those who completed T1 and those that completed all three survey time points, by </w:t>
      </w:r>
      <w:r w:rsidR="00C82EC6" w:rsidRPr="00C52D25">
        <w:rPr>
          <w:rFonts w:ascii="Arial" w:hAnsi="Arial" w:cs="Arial"/>
        </w:rPr>
        <w:t>sub</w:t>
      </w:r>
      <w:r w:rsidR="0096718A" w:rsidRPr="00C52D25">
        <w:rPr>
          <w:rFonts w:ascii="Arial" w:hAnsi="Arial" w:cs="Arial"/>
        </w:rPr>
        <w:t xml:space="preserve">group. </w:t>
      </w:r>
      <w:r w:rsidR="00C82EC6" w:rsidRPr="00C52D25">
        <w:rPr>
          <w:rFonts w:ascii="Arial" w:hAnsi="Arial" w:cs="Arial"/>
        </w:rPr>
        <w:t xml:space="preserve">For those who completed all three time points, carers and older adults were mostly female (59-82%), whilst the majority of PLWD were male (62%). The majority of participants were </w:t>
      </w:r>
      <w:r w:rsidR="007B3D55" w:rsidRPr="00C52D25">
        <w:rPr>
          <w:rFonts w:ascii="Arial" w:hAnsi="Arial" w:cs="Arial"/>
        </w:rPr>
        <w:t xml:space="preserve">from a </w:t>
      </w:r>
      <w:r w:rsidR="00C82EC6" w:rsidRPr="00C52D25">
        <w:rPr>
          <w:rFonts w:ascii="Arial" w:hAnsi="Arial" w:cs="Arial"/>
        </w:rPr>
        <w:t xml:space="preserve">White </w:t>
      </w:r>
      <w:r w:rsidR="007B3D55" w:rsidRPr="00C52D25">
        <w:rPr>
          <w:rFonts w:ascii="Arial" w:hAnsi="Arial" w:cs="Arial"/>
        </w:rPr>
        <w:t xml:space="preserve">ethnic background </w:t>
      </w:r>
      <w:r w:rsidR="00C82EC6" w:rsidRPr="00C52D25">
        <w:rPr>
          <w:rFonts w:ascii="Arial" w:hAnsi="Arial" w:cs="Arial"/>
        </w:rPr>
        <w:t xml:space="preserve">(95-99%) and lived with someone else (61-88%), with current carers having the highest proportion of living with someone else. </w:t>
      </w:r>
      <w:r w:rsidR="00A83080" w:rsidRPr="00C52D25">
        <w:rPr>
          <w:rFonts w:ascii="Arial" w:hAnsi="Arial" w:cs="Arial"/>
        </w:rPr>
        <w:t>The majority of</w:t>
      </w:r>
      <w:r w:rsidR="007B3D55" w:rsidRPr="00C52D25">
        <w:rPr>
          <w:rFonts w:ascii="Arial" w:hAnsi="Arial" w:cs="Arial"/>
        </w:rPr>
        <w:t xml:space="preserve"> participants across all four groups lived in less deprived neighbourhoods (Quintiles 1 and 2) (52-61%). </w:t>
      </w:r>
      <w:r w:rsidR="002967FD" w:rsidRPr="00C52D25">
        <w:rPr>
          <w:rFonts w:ascii="Arial" w:hAnsi="Arial" w:cs="Arial"/>
        </w:rPr>
        <w:t>Thirty</w:t>
      </w:r>
      <w:r w:rsidR="000B43B7" w:rsidRPr="00C52D25">
        <w:rPr>
          <w:rFonts w:ascii="Arial" w:hAnsi="Arial" w:cs="Arial"/>
        </w:rPr>
        <w:t>-</w:t>
      </w:r>
      <w:r w:rsidR="002967FD" w:rsidRPr="00C52D25">
        <w:rPr>
          <w:rFonts w:ascii="Arial" w:hAnsi="Arial" w:cs="Arial"/>
        </w:rPr>
        <w:t xml:space="preserve">seven </w:t>
      </w:r>
      <w:r w:rsidR="003C778B" w:rsidRPr="00C52D25">
        <w:rPr>
          <w:rFonts w:ascii="Arial" w:hAnsi="Arial" w:cs="Arial"/>
        </w:rPr>
        <w:t>PLWD</w:t>
      </w:r>
      <w:r w:rsidR="002967FD" w:rsidRPr="00C52D25">
        <w:rPr>
          <w:rFonts w:ascii="Arial" w:hAnsi="Arial" w:cs="Arial"/>
        </w:rPr>
        <w:t xml:space="preserve"> took part in all three time points; t</w:t>
      </w:r>
      <w:r w:rsidR="007B3D55" w:rsidRPr="00C52D25">
        <w:rPr>
          <w:rFonts w:ascii="Arial" w:hAnsi="Arial" w:cs="Arial"/>
        </w:rPr>
        <w:t xml:space="preserve">he most common </w:t>
      </w:r>
      <w:r w:rsidR="002967FD" w:rsidRPr="00C52D25">
        <w:rPr>
          <w:rFonts w:ascii="Arial" w:hAnsi="Arial" w:cs="Arial"/>
        </w:rPr>
        <w:t xml:space="preserve">diagnostic </w:t>
      </w:r>
      <w:r w:rsidR="007B3D55" w:rsidRPr="00C52D25">
        <w:rPr>
          <w:rFonts w:ascii="Arial" w:hAnsi="Arial" w:cs="Arial"/>
        </w:rPr>
        <w:t xml:space="preserve">subtype </w:t>
      </w:r>
      <w:r w:rsidR="002967FD" w:rsidRPr="00C52D25">
        <w:rPr>
          <w:rFonts w:ascii="Arial" w:hAnsi="Arial" w:cs="Arial"/>
        </w:rPr>
        <w:t xml:space="preserve">was </w:t>
      </w:r>
      <w:r w:rsidR="007B3D55" w:rsidRPr="00C52D25">
        <w:rPr>
          <w:rFonts w:ascii="Arial" w:hAnsi="Arial" w:cs="Arial"/>
        </w:rPr>
        <w:t>Alzheimer’s disease</w:t>
      </w:r>
      <w:r w:rsidR="004F3325" w:rsidRPr="00C52D25">
        <w:rPr>
          <w:rFonts w:ascii="Arial" w:hAnsi="Arial" w:cs="Arial"/>
        </w:rPr>
        <w:t>.</w:t>
      </w:r>
      <w:r w:rsidR="007B3D55" w:rsidRPr="00C52D25">
        <w:rPr>
          <w:rFonts w:ascii="Arial" w:hAnsi="Arial" w:cs="Arial"/>
        </w:rPr>
        <w:t xml:space="preserve"> </w:t>
      </w:r>
    </w:p>
    <w:p w14:paraId="7D21CD12" w14:textId="0607036B" w:rsidR="00075E6B" w:rsidRPr="00C52D25" w:rsidRDefault="00075E6B" w:rsidP="00BE5D44">
      <w:pPr>
        <w:jc w:val="both"/>
        <w:rPr>
          <w:rFonts w:ascii="Arial" w:hAnsi="Arial" w:cs="Arial"/>
          <w:b/>
          <w:i/>
        </w:rPr>
      </w:pPr>
      <w:r w:rsidRPr="00C52D25">
        <w:rPr>
          <w:rFonts w:ascii="Arial" w:hAnsi="Arial" w:cs="Arial"/>
          <w:b/>
          <w:i/>
        </w:rPr>
        <w:t>[Figure 1 and Table 1]</w:t>
      </w:r>
    </w:p>
    <w:p w14:paraId="606994A4" w14:textId="70C97A36" w:rsidR="00814617" w:rsidRPr="00C52D25" w:rsidRDefault="006527D9" w:rsidP="002D122E">
      <w:pPr>
        <w:spacing w:after="0"/>
        <w:jc w:val="both"/>
        <w:rPr>
          <w:rFonts w:ascii="Arial" w:hAnsi="Arial" w:cs="Arial"/>
          <w:b/>
        </w:rPr>
      </w:pPr>
      <w:r w:rsidRPr="00C52D25">
        <w:rPr>
          <w:rFonts w:ascii="Arial" w:hAnsi="Arial" w:cs="Arial"/>
          <w:b/>
        </w:rPr>
        <w:t>Social support service</w:t>
      </w:r>
      <w:r w:rsidR="002568C9" w:rsidRPr="00C52D25">
        <w:rPr>
          <w:rFonts w:ascii="Arial" w:hAnsi="Arial" w:cs="Arial"/>
          <w:b/>
        </w:rPr>
        <w:t xml:space="preserve"> </w:t>
      </w:r>
      <w:r w:rsidR="000B43B7" w:rsidRPr="00C52D25">
        <w:rPr>
          <w:rFonts w:ascii="Arial" w:hAnsi="Arial" w:cs="Arial"/>
          <w:b/>
        </w:rPr>
        <w:t>and</w:t>
      </w:r>
      <w:r w:rsidR="002568C9" w:rsidRPr="00C52D25">
        <w:rPr>
          <w:rFonts w:ascii="Arial" w:hAnsi="Arial" w:cs="Arial"/>
          <w:b/>
        </w:rPr>
        <w:t xml:space="preserve"> activities</w:t>
      </w:r>
      <w:r w:rsidRPr="00C52D25">
        <w:rPr>
          <w:rFonts w:ascii="Arial" w:hAnsi="Arial" w:cs="Arial"/>
          <w:b/>
        </w:rPr>
        <w:t xml:space="preserve"> usage </w:t>
      </w:r>
    </w:p>
    <w:p w14:paraId="3E921C4B" w14:textId="15300158" w:rsidR="003C768F" w:rsidRPr="00C52D25" w:rsidRDefault="000078E3" w:rsidP="0010264A">
      <w:pPr>
        <w:spacing w:after="0"/>
        <w:jc w:val="both"/>
        <w:rPr>
          <w:rFonts w:ascii="Arial" w:hAnsi="Arial" w:cs="Arial"/>
        </w:rPr>
      </w:pPr>
      <w:r w:rsidRPr="00C52D25">
        <w:rPr>
          <w:rFonts w:ascii="Arial" w:hAnsi="Arial" w:cs="Arial"/>
        </w:rPr>
        <w:t>Participants had accessed a range of social support service</w:t>
      </w:r>
      <w:r w:rsidR="0016575D" w:rsidRPr="00C52D25">
        <w:rPr>
          <w:rFonts w:ascii="Arial" w:hAnsi="Arial" w:cs="Arial"/>
        </w:rPr>
        <w:t>s</w:t>
      </w:r>
      <w:r w:rsidRPr="00C52D25">
        <w:rPr>
          <w:rFonts w:ascii="Arial" w:hAnsi="Arial" w:cs="Arial"/>
        </w:rPr>
        <w:t xml:space="preserve"> pre-pandemic, including day care centres, support groups, meal deliveries, respite, and paid carers. </w:t>
      </w:r>
      <w:r w:rsidR="00CF0828" w:rsidRPr="00C52D25">
        <w:rPr>
          <w:rFonts w:ascii="Arial" w:hAnsi="Arial" w:cs="Arial"/>
        </w:rPr>
        <w:t xml:space="preserve">Figure 2 (A) shows the proportion of participants of the total sample (n=377) who reported accessing paid carers, support groups, day care, befrienders, and social activities </w:t>
      </w:r>
      <w:r w:rsidR="003C778B" w:rsidRPr="00C52D25">
        <w:rPr>
          <w:rFonts w:ascii="Arial" w:hAnsi="Arial" w:cs="Arial"/>
        </w:rPr>
        <w:t>prior to the p</w:t>
      </w:r>
      <w:r w:rsidR="00CF0828" w:rsidRPr="00C52D25">
        <w:rPr>
          <w:rFonts w:ascii="Arial" w:hAnsi="Arial" w:cs="Arial"/>
        </w:rPr>
        <w:t xml:space="preserve">andemic, and at T1, T2, and T3. These were the most commonly used types of social support services </w:t>
      </w:r>
      <w:r w:rsidR="003C778B" w:rsidRPr="00C52D25">
        <w:rPr>
          <w:rFonts w:ascii="Arial" w:hAnsi="Arial" w:cs="Arial"/>
        </w:rPr>
        <w:t xml:space="preserve">prior to the </w:t>
      </w:r>
      <w:r w:rsidR="00CF0828" w:rsidRPr="00C52D25">
        <w:rPr>
          <w:rFonts w:ascii="Arial" w:hAnsi="Arial" w:cs="Arial"/>
        </w:rPr>
        <w:t xml:space="preserve">pandemic. </w:t>
      </w:r>
      <w:r w:rsidR="006B6F6F" w:rsidRPr="00C52D25">
        <w:rPr>
          <w:rFonts w:ascii="Arial" w:hAnsi="Arial" w:cs="Arial"/>
        </w:rPr>
        <w:t xml:space="preserve">Social support services </w:t>
      </w:r>
      <w:r w:rsidR="009937B8" w:rsidRPr="00C52D25">
        <w:rPr>
          <w:rFonts w:ascii="Arial" w:hAnsi="Arial" w:cs="Arial"/>
        </w:rPr>
        <w:t>usage had dropped</w:t>
      </w:r>
      <w:r w:rsidR="00CF0828" w:rsidRPr="00C52D25">
        <w:rPr>
          <w:rFonts w:ascii="Arial" w:hAnsi="Arial" w:cs="Arial"/>
        </w:rPr>
        <w:t xml:space="preserve"> </w:t>
      </w:r>
      <w:r w:rsidR="003C778B" w:rsidRPr="00C52D25">
        <w:rPr>
          <w:rFonts w:ascii="Arial" w:hAnsi="Arial" w:cs="Arial"/>
        </w:rPr>
        <w:t xml:space="preserve">since the </w:t>
      </w:r>
      <w:r w:rsidR="00CF0828" w:rsidRPr="00C52D25">
        <w:rPr>
          <w:rFonts w:ascii="Arial" w:hAnsi="Arial" w:cs="Arial"/>
        </w:rPr>
        <w:t>pandemic outbreak. Pre-pandemic, 27% of participants accessed social activities in the community, which dropped to 6% at T1</w:t>
      </w:r>
      <w:r w:rsidR="009937B8" w:rsidRPr="00C52D25">
        <w:rPr>
          <w:rFonts w:ascii="Arial" w:hAnsi="Arial" w:cs="Arial"/>
        </w:rPr>
        <w:t>, T2, and</w:t>
      </w:r>
      <w:r w:rsidR="00CF0828" w:rsidRPr="00C52D25">
        <w:rPr>
          <w:rFonts w:ascii="Arial" w:hAnsi="Arial" w:cs="Arial"/>
        </w:rPr>
        <w:t xml:space="preserve"> T3. Paid care saw the smallest change – with 17% having accessed paid carers pre-pandemic, dropping to 12% at T1 and increasing slightly again to 15% at T3. Day care saw the largest drop, with only 1-2 % receiving day care </w:t>
      </w:r>
      <w:r w:rsidR="003C778B" w:rsidRPr="00C52D25">
        <w:rPr>
          <w:rFonts w:ascii="Arial" w:hAnsi="Arial" w:cs="Arial"/>
        </w:rPr>
        <w:t xml:space="preserve">since </w:t>
      </w:r>
      <w:r w:rsidR="00CF0828" w:rsidRPr="00C52D25">
        <w:rPr>
          <w:rFonts w:ascii="Arial" w:hAnsi="Arial" w:cs="Arial"/>
        </w:rPr>
        <w:t xml:space="preserve">the outbreak, compared to 15% previously. </w:t>
      </w:r>
    </w:p>
    <w:p w14:paraId="4FA4C5EA" w14:textId="72CEDDE4" w:rsidR="0010264A" w:rsidRPr="00C52D25" w:rsidRDefault="0010264A" w:rsidP="00BE5D44">
      <w:pPr>
        <w:jc w:val="both"/>
        <w:rPr>
          <w:rFonts w:ascii="Arial" w:hAnsi="Arial" w:cs="Arial"/>
        </w:rPr>
      </w:pPr>
      <w:r w:rsidRPr="00C52D25">
        <w:rPr>
          <w:rFonts w:ascii="Arial" w:hAnsi="Arial" w:cs="Arial"/>
        </w:rPr>
        <w:tab/>
        <w:t xml:space="preserve">Figure 2 (B) shows the proportion of participants by group who have received </w:t>
      </w:r>
      <w:r w:rsidR="00B84197" w:rsidRPr="00C52D25">
        <w:rPr>
          <w:rFonts w:ascii="Arial" w:hAnsi="Arial" w:cs="Arial"/>
        </w:rPr>
        <w:t>any form of</w:t>
      </w:r>
      <w:r w:rsidRPr="00C52D25">
        <w:rPr>
          <w:rFonts w:ascii="Arial" w:hAnsi="Arial" w:cs="Arial"/>
        </w:rPr>
        <w:t xml:space="preserve"> social support services pre-pandemic and at all three survey time points. Pre-pandemic, </w:t>
      </w:r>
      <w:r w:rsidR="00B84197" w:rsidRPr="00C52D25">
        <w:rPr>
          <w:rFonts w:ascii="Arial" w:hAnsi="Arial" w:cs="Arial"/>
        </w:rPr>
        <w:t>9</w:t>
      </w:r>
      <w:r w:rsidRPr="00C52D25">
        <w:rPr>
          <w:rFonts w:ascii="Arial" w:hAnsi="Arial" w:cs="Arial"/>
        </w:rPr>
        <w:t xml:space="preserve">0% of current carers had received social support of any form, with </w:t>
      </w:r>
      <w:r w:rsidR="003B79FB" w:rsidRPr="00C52D25">
        <w:rPr>
          <w:rFonts w:ascii="Arial" w:hAnsi="Arial" w:cs="Arial"/>
        </w:rPr>
        <w:t>between 45% and</w:t>
      </w:r>
      <w:r w:rsidRPr="00C52D25">
        <w:rPr>
          <w:rFonts w:ascii="Arial" w:hAnsi="Arial" w:cs="Arial"/>
        </w:rPr>
        <w:t xml:space="preserve"> 50% of former carers and older adults having received </w:t>
      </w:r>
      <w:r w:rsidR="003B79FB" w:rsidRPr="00C52D25">
        <w:rPr>
          <w:rFonts w:ascii="Arial" w:hAnsi="Arial" w:cs="Arial"/>
        </w:rPr>
        <w:t>some</w:t>
      </w:r>
      <w:r w:rsidRPr="00C52D25">
        <w:rPr>
          <w:rFonts w:ascii="Arial" w:hAnsi="Arial" w:cs="Arial"/>
        </w:rPr>
        <w:t xml:space="preserve"> support. This </w:t>
      </w:r>
      <w:r w:rsidR="003B79FB" w:rsidRPr="00C52D25">
        <w:rPr>
          <w:rFonts w:ascii="Arial" w:hAnsi="Arial" w:cs="Arial"/>
        </w:rPr>
        <w:t>de</w:t>
      </w:r>
      <w:r w:rsidRPr="00C52D25">
        <w:rPr>
          <w:rFonts w:ascii="Arial" w:hAnsi="Arial" w:cs="Arial"/>
        </w:rPr>
        <w:t>creased at T1</w:t>
      </w:r>
      <w:r w:rsidR="003B79FB" w:rsidRPr="00C52D25">
        <w:rPr>
          <w:rFonts w:ascii="Arial" w:hAnsi="Arial" w:cs="Arial"/>
        </w:rPr>
        <w:t xml:space="preserve"> for all groups</w:t>
      </w:r>
      <w:r w:rsidRPr="00C52D25">
        <w:rPr>
          <w:rFonts w:ascii="Arial" w:hAnsi="Arial" w:cs="Arial"/>
        </w:rPr>
        <w:t xml:space="preserve"> to between </w:t>
      </w:r>
      <w:r w:rsidR="003B79FB" w:rsidRPr="00C52D25">
        <w:rPr>
          <w:rFonts w:ascii="Arial" w:hAnsi="Arial" w:cs="Arial"/>
        </w:rPr>
        <w:t>20% (older adults) to 55% (current carers)</w:t>
      </w:r>
      <w:r w:rsidRPr="00C52D25">
        <w:rPr>
          <w:rFonts w:ascii="Arial" w:hAnsi="Arial" w:cs="Arial"/>
        </w:rPr>
        <w:t xml:space="preserve"> receiving </w:t>
      </w:r>
      <w:r w:rsidR="003B79FB" w:rsidRPr="00C52D25">
        <w:rPr>
          <w:rFonts w:ascii="Arial" w:hAnsi="Arial" w:cs="Arial"/>
        </w:rPr>
        <w:t>some</w:t>
      </w:r>
      <w:r w:rsidRPr="00C52D25">
        <w:rPr>
          <w:rFonts w:ascii="Arial" w:hAnsi="Arial" w:cs="Arial"/>
        </w:rPr>
        <w:t xml:space="preserve"> type of support. Through T2 and T3, a</w:t>
      </w:r>
      <w:r w:rsidR="003B79FB" w:rsidRPr="00C52D25">
        <w:rPr>
          <w:rFonts w:ascii="Arial" w:hAnsi="Arial" w:cs="Arial"/>
        </w:rPr>
        <w:t>n</w:t>
      </w:r>
      <w:r w:rsidRPr="00C52D25">
        <w:rPr>
          <w:rFonts w:ascii="Arial" w:hAnsi="Arial" w:cs="Arial"/>
        </w:rPr>
        <w:t xml:space="preserve"> </w:t>
      </w:r>
      <w:r w:rsidR="003B79FB" w:rsidRPr="00C52D25">
        <w:rPr>
          <w:rFonts w:ascii="Arial" w:hAnsi="Arial" w:cs="Arial"/>
        </w:rPr>
        <w:t>up</w:t>
      </w:r>
      <w:r w:rsidRPr="00C52D25">
        <w:rPr>
          <w:rFonts w:ascii="Arial" w:hAnsi="Arial" w:cs="Arial"/>
        </w:rPr>
        <w:t xml:space="preserve">ward trend emerged with more participants gaining access to some services again, </w:t>
      </w:r>
      <w:r w:rsidR="003B79FB" w:rsidRPr="00C52D25">
        <w:rPr>
          <w:rFonts w:ascii="Arial" w:hAnsi="Arial" w:cs="Arial"/>
        </w:rPr>
        <w:t>with levels for PLWD and former carers being higher at T3 than at pre-pandemic levels.</w:t>
      </w:r>
    </w:p>
    <w:p w14:paraId="67E98E43" w14:textId="5CCBFB1D" w:rsidR="00075E6B" w:rsidRPr="00C52D25" w:rsidRDefault="00075E6B" w:rsidP="00BE5D44">
      <w:pPr>
        <w:jc w:val="both"/>
        <w:rPr>
          <w:rFonts w:ascii="Arial" w:hAnsi="Arial" w:cs="Arial"/>
          <w:b/>
          <w:i/>
        </w:rPr>
      </w:pPr>
      <w:r w:rsidRPr="00C52D25">
        <w:rPr>
          <w:rFonts w:ascii="Arial" w:hAnsi="Arial" w:cs="Arial"/>
          <w:b/>
          <w:i/>
        </w:rPr>
        <w:t>[Figure 2]</w:t>
      </w:r>
    </w:p>
    <w:p w14:paraId="16B0ABAF" w14:textId="24E2843C" w:rsidR="00814617" w:rsidRPr="00C52D25" w:rsidRDefault="00814617" w:rsidP="007669FD">
      <w:pPr>
        <w:spacing w:after="0"/>
        <w:jc w:val="both"/>
        <w:rPr>
          <w:rFonts w:ascii="Arial" w:hAnsi="Arial" w:cs="Arial"/>
          <w:b/>
        </w:rPr>
      </w:pPr>
      <w:r w:rsidRPr="00C52D25">
        <w:rPr>
          <w:rFonts w:ascii="Arial" w:hAnsi="Arial" w:cs="Arial"/>
          <w:b/>
        </w:rPr>
        <w:lastRenderedPageBreak/>
        <w:t>Mental well-being</w:t>
      </w:r>
    </w:p>
    <w:p w14:paraId="6BC5B511" w14:textId="3E4CD329" w:rsidR="00220C4D" w:rsidRPr="00C52D25" w:rsidRDefault="00220C4D" w:rsidP="003E1C84">
      <w:pPr>
        <w:spacing w:after="0"/>
        <w:jc w:val="both"/>
        <w:rPr>
          <w:rFonts w:ascii="Arial" w:hAnsi="Arial" w:cs="Arial"/>
          <w:highlight w:val="yellow"/>
        </w:rPr>
      </w:pPr>
      <w:r w:rsidRPr="00C52D25">
        <w:rPr>
          <w:rFonts w:ascii="Arial" w:hAnsi="Arial" w:cs="Arial"/>
        </w:rPr>
        <w:t>Figure 3 shows the proportion of participants across the total sample (n=377) who were categorised</w:t>
      </w:r>
      <w:r w:rsidR="00BA3B25" w:rsidRPr="00C52D25">
        <w:rPr>
          <w:rFonts w:ascii="Arial" w:hAnsi="Arial" w:cs="Arial"/>
        </w:rPr>
        <w:t xml:space="preserve"> and identified</w:t>
      </w:r>
      <w:r w:rsidRPr="00C52D25">
        <w:rPr>
          <w:rFonts w:ascii="Arial" w:hAnsi="Arial" w:cs="Arial"/>
        </w:rPr>
        <w:t xml:space="preserve"> as anxious and depressed</w:t>
      </w:r>
      <w:r w:rsidR="00960B35" w:rsidRPr="00C52D25">
        <w:rPr>
          <w:rFonts w:ascii="Arial" w:hAnsi="Arial" w:cs="Arial"/>
        </w:rPr>
        <w:t>, based on scoring above the GAD-7 and PHQ-9 cut off,</w:t>
      </w:r>
      <w:r w:rsidRPr="00C52D25">
        <w:rPr>
          <w:rFonts w:ascii="Arial" w:hAnsi="Arial" w:cs="Arial"/>
        </w:rPr>
        <w:t xml:space="preserve"> across all three time points. For anxiety, we noted a downward trend in number of cases from T1 (16.5%) to T3 (14.1%). The proportion of participants with anxiety was significantly lower at T2 (x</w:t>
      </w:r>
      <w:r w:rsidRPr="00C52D25">
        <w:rPr>
          <w:rFonts w:ascii="Arial" w:hAnsi="Arial" w:cs="Arial"/>
          <w:vertAlign w:val="superscript"/>
        </w:rPr>
        <w:t>2</w:t>
      </w:r>
      <w:r w:rsidRPr="00C52D25">
        <w:rPr>
          <w:rFonts w:ascii="Arial" w:hAnsi="Arial" w:cs="Arial"/>
        </w:rPr>
        <w:t>=186.399, p&lt;0.001) and T3 (x</w:t>
      </w:r>
      <w:r w:rsidRPr="00C52D25">
        <w:rPr>
          <w:rFonts w:ascii="Arial" w:hAnsi="Arial" w:cs="Arial"/>
          <w:vertAlign w:val="superscript"/>
        </w:rPr>
        <w:t>2</w:t>
      </w:r>
      <w:r w:rsidRPr="00C52D25">
        <w:rPr>
          <w:rFonts w:ascii="Arial" w:hAnsi="Arial" w:cs="Arial"/>
        </w:rPr>
        <w:t>=136.562, p&lt;0.001) compared to T1. For depression, we noted an upward trend in cases</w:t>
      </w:r>
      <w:r w:rsidR="00BA3B25" w:rsidRPr="00C52D25">
        <w:rPr>
          <w:rFonts w:ascii="Arial" w:hAnsi="Arial" w:cs="Arial"/>
        </w:rPr>
        <w:t>, as indicated based on their cut off on the PHQ-9,</w:t>
      </w:r>
      <w:r w:rsidRPr="00C52D25">
        <w:rPr>
          <w:rFonts w:ascii="Arial" w:hAnsi="Arial" w:cs="Arial"/>
        </w:rPr>
        <w:t xml:space="preserve"> from T1 (14.4%) to T3 (17.5%). The proportion of participants with depression was significantly </w:t>
      </w:r>
      <w:r w:rsidR="003E1C84" w:rsidRPr="00C52D25">
        <w:rPr>
          <w:rFonts w:ascii="Arial" w:hAnsi="Arial" w:cs="Arial"/>
        </w:rPr>
        <w:t>higher</w:t>
      </w:r>
      <w:r w:rsidRPr="00C52D25">
        <w:rPr>
          <w:rFonts w:ascii="Arial" w:hAnsi="Arial" w:cs="Arial"/>
        </w:rPr>
        <w:t xml:space="preserve"> at T2 (x</w:t>
      </w:r>
      <w:r w:rsidRPr="00C52D25">
        <w:rPr>
          <w:rFonts w:ascii="Arial" w:hAnsi="Arial" w:cs="Arial"/>
          <w:vertAlign w:val="superscript"/>
        </w:rPr>
        <w:t>2</w:t>
      </w:r>
      <w:r w:rsidRPr="00C52D25">
        <w:rPr>
          <w:rFonts w:ascii="Arial" w:hAnsi="Arial" w:cs="Arial"/>
        </w:rPr>
        <w:t>= 176.248, p&lt;0.001) and T3 (x</w:t>
      </w:r>
      <w:r w:rsidRPr="00C52D25">
        <w:rPr>
          <w:rFonts w:ascii="Arial" w:hAnsi="Arial" w:cs="Arial"/>
          <w:vertAlign w:val="superscript"/>
        </w:rPr>
        <w:t>2</w:t>
      </w:r>
      <w:r w:rsidRPr="00C52D25">
        <w:rPr>
          <w:rFonts w:ascii="Arial" w:hAnsi="Arial" w:cs="Arial"/>
        </w:rPr>
        <w:t>=158.031, p&lt;0.001) compared to T1.</w:t>
      </w:r>
    </w:p>
    <w:p w14:paraId="3960F6D3" w14:textId="2DC7506C" w:rsidR="00D459E4" w:rsidRPr="00C52D25" w:rsidRDefault="00D459E4" w:rsidP="00220C4D">
      <w:pPr>
        <w:spacing w:after="0"/>
        <w:ind w:firstLine="720"/>
        <w:jc w:val="both"/>
        <w:rPr>
          <w:rFonts w:ascii="Arial" w:hAnsi="Arial" w:cs="Arial"/>
        </w:rPr>
      </w:pPr>
      <w:r w:rsidRPr="00C52D25">
        <w:rPr>
          <w:rFonts w:ascii="Arial" w:hAnsi="Arial" w:cs="Arial"/>
        </w:rPr>
        <w:t xml:space="preserve">Figure </w:t>
      </w:r>
      <w:r w:rsidR="00220C4D" w:rsidRPr="00C52D25">
        <w:rPr>
          <w:rFonts w:ascii="Arial" w:hAnsi="Arial" w:cs="Arial"/>
        </w:rPr>
        <w:t>4</w:t>
      </w:r>
      <w:r w:rsidRPr="00C52D25">
        <w:rPr>
          <w:rFonts w:ascii="Arial" w:hAnsi="Arial" w:cs="Arial"/>
        </w:rPr>
        <w:t xml:space="preserve"> shows the median of the GAD-7, PHQ-9, and SWEMWBS total scores by group over time</w:t>
      </w:r>
      <w:r w:rsidR="00C17137" w:rsidRPr="00C52D25">
        <w:rPr>
          <w:rFonts w:ascii="Arial" w:hAnsi="Arial" w:cs="Arial"/>
        </w:rPr>
        <w:t xml:space="preserve"> for those who </w:t>
      </w:r>
      <w:r w:rsidR="0003194B" w:rsidRPr="00C52D25">
        <w:rPr>
          <w:rFonts w:ascii="Arial" w:hAnsi="Arial" w:cs="Arial"/>
        </w:rPr>
        <w:t>completed all three survey time points</w:t>
      </w:r>
      <w:r w:rsidRPr="00C52D25">
        <w:rPr>
          <w:rFonts w:ascii="Arial" w:hAnsi="Arial" w:cs="Arial"/>
        </w:rPr>
        <w:t xml:space="preserve">. Based on the median scores, levels of anxiety and depression appear to decrease from T1 to T3, whilst quality of life increases from T1 to T3. </w:t>
      </w:r>
    </w:p>
    <w:p w14:paraId="52651972" w14:textId="1F275457" w:rsidR="00142206" w:rsidRPr="00C52D25" w:rsidRDefault="00142206" w:rsidP="00220C4D">
      <w:pPr>
        <w:spacing w:after="0"/>
        <w:ind w:firstLine="720"/>
        <w:jc w:val="both"/>
        <w:rPr>
          <w:rFonts w:ascii="Arial" w:hAnsi="Arial" w:cs="Arial"/>
        </w:rPr>
      </w:pPr>
      <w:r w:rsidRPr="00C52D25">
        <w:rPr>
          <w:rFonts w:ascii="Arial" w:hAnsi="Arial" w:cs="Arial"/>
        </w:rPr>
        <w:t>Paired samples t-test showed that there were no significant differences in means of GAD-7 (p=.468), PHQ-9 (p=.183), and SWEMWBS (p=.332) at T1 between those who completed all three survey time points and those who dropped out after T1 or T2.</w:t>
      </w:r>
    </w:p>
    <w:p w14:paraId="650B83B3" w14:textId="51985F25" w:rsidR="00DB18F9" w:rsidRPr="00C52D25" w:rsidRDefault="00F16A71" w:rsidP="0036760F">
      <w:pPr>
        <w:spacing w:after="0"/>
        <w:ind w:firstLine="720"/>
        <w:jc w:val="both"/>
        <w:rPr>
          <w:rFonts w:ascii="Arial" w:hAnsi="Arial" w:cs="Arial"/>
        </w:rPr>
      </w:pPr>
      <w:r w:rsidRPr="00C52D25">
        <w:rPr>
          <w:rFonts w:ascii="Arial" w:hAnsi="Arial" w:cs="Arial"/>
        </w:rPr>
        <w:t>For anxiety, r</w:t>
      </w:r>
      <w:r w:rsidR="0096718A" w:rsidRPr="00C52D25">
        <w:rPr>
          <w:rFonts w:ascii="Arial" w:hAnsi="Arial" w:cs="Arial"/>
        </w:rPr>
        <w:t>epeated-measure</w:t>
      </w:r>
      <w:r w:rsidRPr="00C52D25">
        <w:rPr>
          <w:rFonts w:ascii="Arial" w:hAnsi="Arial" w:cs="Arial"/>
        </w:rPr>
        <w:t>s</w:t>
      </w:r>
      <w:r w:rsidR="0096718A" w:rsidRPr="00C52D25">
        <w:rPr>
          <w:rFonts w:ascii="Arial" w:hAnsi="Arial" w:cs="Arial"/>
        </w:rPr>
        <w:t xml:space="preserve"> ANOVA</w:t>
      </w:r>
      <w:r w:rsidRPr="00C52D25">
        <w:rPr>
          <w:rFonts w:ascii="Arial" w:hAnsi="Arial" w:cs="Arial"/>
        </w:rPr>
        <w:t>s</w:t>
      </w:r>
      <w:r w:rsidR="00DB18F9" w:rsidRPr="00C52D25">
        <w:rPr>
          <w:rFonts w:ascii="Arial" w:hAnsi="Arial" w:cs="Arial"/>
        </w:rPr>
        <w:t xml:space="preserve"> with Greenhouse-</w:t>
      </w:r>
      <w:proofErr w:type="spellStart"/>
      <w:r w:rsidR="00DB18F9" w:rsidRPr="00C52D25">
        <w:rPr>
          <w:rFonts w:ascii="Arial" w:hAnsi="Arial" w:cs="Arial"/>
        </w:rPr>
        <w:t>Geisser</w:t>
      </w:r>
      <w:proofErr w:type="spellEnd"/>
      <w:r w:rsidR="006B5924" w:rsidRPr="00C52D25">
        <w:rPr>
          <w:rFonts w:ascii="Arial" w:hAnsi="Arial" w:cs="Arial"/>
        </w:rPr>
        <w:t xml:space="preserve"> </w:t>
      </w:r>
      <w:proofErr w:type="spellStart"/>
      <w:r w:rsidR="00DB18F9" w:rsidRPr="00C52D25">
        <w:rPr>
          <w:rFonts w:ascii="Arial" w:hAnsi="Arial" w:cs="Arial"/>
        </w:rPr>
        <w:t>posthoc</w:t>
      </w:r>
      <w:proofErr w:type="spellEnd"/>
      <w:r w:rsidR="00DB18F9" w:rsidRPr="00C52D25">
        <w:rPr>
          <w:rFonts w:ascii="Arial" w:hAnsi="Arial" w:cs="Arial"/>
        </w:rPr>
        <w:t xml:space="preserve"> correction</w:t>
      </w:r>
      <w:r w:rsidR="00A50C57" w:rsidRPr="00C52D25">
        <w:rPr>
          <w:rFonts w:ascii="Arial" w:hAnsi="Arial" w:cs="Arial"/>
        </w:rPr>
        <w:t xml:space="preserve"> showed that </w:t>
      </w:r>
      <w:r w:rsidRPr="00C52D25">
        <w:rPr>
          <w:rFonts w:ascii="Arial" w:hAnsi="Arial" w:cs="Arial"/>
        </w:rPr>
        <w:t xml:space="preserve">GAD-7 total scores </w:t>
      </w:r>
      <w:r w:rsidR="00FE1A85" w:rsidRPr="00C52D25">
        <w:rPr>
          <w:rFonts w:ascii="Arial" w:hAnsi="Arial" w:cs="Arial"/>
        </w:rPr>
        <w:t>did not vary significantly</w:t>
      </w:r>
      <w:r w:rsidRPr="00C52D25">
        <w:rPr>
          <w:rFonts w:ascii="Arial" w:hAnsi="Arial" w:cs="Arial"/>
        </w:rPr>
        <w:t xml:space="preserve"> </w:t>
      </w:r>
      <w:r w:rsidR="0036760F" w:rsidRPr="00C52D25">
        <w:rPr>
          <w:rFonts w:ascii="Arial" w:hAnsi="Arial" w:cs="Arial"/>
        </w:rPr>
        <w:t xml:space="preserve">from T1 to T3 </w:t>
      </w:r>
      <w:r w:rsidRPr="00C52D25">
        <w:rPr>
          <w:rFonts w:ascii="Arial" w:hAnsi="Arial" w:cs="Arial"/>
        </w:rPr>
        <w:t>for PLWD</w:t>
      </w:r>
      <w:r w:rsidR="0036760F" w:rsidRPr="00C52D25">
        <w:rPr>
          <w:rFonts w:ascii="Arial" w:hAnsi="Arial" w:cs="Arial"/>
        </w:rPr>
        <w:t xml:space="preserve"> [F(1.856, 64.962)= 1.429, p= </w:t>
      </w:r>
      <w:r w:rsidR="0016575D" w:rsidRPr="00C52D25">
        <w:rPr>
          <w:rFonts w:ascii="Arial" w:hAnsi="Arial" w:cs="Arial"/>
        </w:rPr>
        <w:t>0</w:t>
      </w:r>
      <w:r w:rsidR="0036760F" w:rsidRPr="00C52D25">
        <w:rPr>
          <w:rFonts w:ascii="Arial" w:hAnsi="Arial" w:cs="Arial"/>
        </w:rPr>
        <w:t>.247]</w:t>
      </w:r>
      <w:r w:rsidR="0016575D" w:rsidRPr="00C52D25">
        <w:rPr>
          <w:rFonts w:ascii="Arial" w:hAnsi="Arial" w:cs="Arial"/>
        </w:rPr>
        <w:t xml:space="preserve">or among </w:t>
      </w:r>
      <w:r w:rsidRPr="00C52D25">
        <w:rPr>
          <w:rFonts w:ascii="Arial" w:hAnsi="Arial" w:cs="Arial"/>
        </w:rPr>
        <w:t>current carers</w:t>
      </w:r>
      <w:r w:rsidR="0036760F" w:rsidRPr="00C52D25">
        <w:rPr>
          <w:rFonts w:ascii="Arial" w:hAnsi="Arial" w:cs="Arial"/>
        </w:rPr>
        <w:t xml:space="preserve"> [F(1.898, 277.063)= 1.938, p=</w:t>
      </w:r>
      <w:r w:rsidR="0016575D" w:rsidRPr="00C52D25">
        <w:rPr>
          <w:rFonts w:ascii="Arial" w:hAnsi="Arial" w:cs="Arial"/>
        </w:rPr>
        <w:t>0</w:t>
      </w:r>
      <w:r w:rsidR="0036760F" w:rsidRPr="00C52D25">
        <w:rPr>
          <w:rFonts w:ascii="Arial" w:hAnsi="Arial" w:cs="Arial"/>
        </w:rPr>
        <w:t>.148]</w:t>
      </w:r>
      <w:r w:rsidRPr="00C52D25">
        <w:rPr>
          <w:rFonts w:ascii="Arial" w:hAnsi="Arial" w:cs="Arial"/>
        </w:rPr>
        <w:t>, former carers</w:t>
      </w:r>
      <w:r w:rsidR="0036760F" w:rsidRPr="00C52D25">
        <w:rPr>
          <w:rFonts w:ascii="Arial" w:hAnsi="Arial" w:cs="Arial"/>
        </w:rPr>
        <w:t>[F(1.801, 68.419)=.139, p=.139],</w:t>
      </w:r>
      <w:r w:rsidRPr="00C52D25">
        <w:rPr>
          <w:rFonts w:ascii="Arial" w:hAnsi="Arial" w:cs="Arial"/>
        </w:rPr>
        <w:t xml:space="preserve"> </w:t>
      </w:r>
      <w:r w:rsidR="0016575D" w:rsidRPr="00C52D25">
        <w:rPr>
          <w:rFonts w:ascii="Arial" w:hAnsi="Arial" w:cs="Arial"/>
        </w:rPr>
        <w:t xml:space="preserve">or </w:t>
      </w:r>
      <w:r w:rsidRPr="00C52D25">
        <w:rPr>
          <w:rFonts w:ascii="Arial" w:hAnsi="Arial" w:cs="Arial"/>
        </w:rPr>
        <w:t xml:space="preserve">older adults </w:t>
      </w:r>
      <w:r w:rsidR="0036760F" w:rsidRPr="00C52D25">
        <w:rPr>
          <w:rFonts w:ascii="Arial" w:hAnsi="Arial" w:cs="Arial"/>
        </w:rPr>
        <w:t>[F(1.924, 286.727)= 2.688, p=.</w:t>
      </w:r>
      <w:r w:rsidR="0016575D" w:rsidRPr="00C52D25">
        <w:rPr>
          <w:rFonts w:ascii="Arial" w:hAnsi="Arial" w:cs="Arial"/>
        </w:rPr>
        <w:t>0</w:t>
      </w:r>
      <w:r w:rsidR="0036760F" w:rsidRPr="00C52D25">
        <w:rPr>
          <w:rFonts w:ascii="Arial" w:hAnsi="Arial" w:cs="Arial"/>
        </w:rPr>
        <w:t>072]</w:t>
      </w:r>
      <w:r w:rsidRPr="00C52D25">
        <w:rPr>
          <w:rFonts w:ascii="Arial" w:hAnsi="Arial" w:cs="Arial"/>
        </w:rPr>
        <w:t xml:space="preserve">, based on those participants who completed in all three survey time points. </w:t>
      </w:r>
    </w:p>
    <w:p w14:paraId="34826576" w14:textId="5D86F7B7" w:rsidR="00F16A71" w:rsidRPr="00C52D25" w:rsidRDefault="00F16A71" w:rsidP="0036760F">
      <w:pPr>
        <w:spacing w:after="0"/>
        <w:ind w:firstLine="720"/>
        <w:jc w:val="both"/>
        <w:rPr>
          <w:rFonts w:ascii="Arial" w:hAnsi="Arial" w:cs="Arial"/>
        </w:rPr>
      </w:pPr>
      <w:r w:rsidRPr="00C52D25">
        <w:rPr>
          <w:rFonts w:ascii="Arial" w:hAnsi="Arial" w:cs="Arial"/>
        </w:rPr>
        <w:t xml:space="preserve">For depression, repeated-measures ANOVAs showed that PHQ-9 total scores </w:t>
      </w:r>
      <w:r w:rsidR="0036760F" w:rsidRPr="00C52D25">
        <w:rPr>
          <w:rFonts w:ascii="Arial" w:hAnsi="Arial" w:cs="Arial"/>
        </w:rPr>
        <w:t>did not significantly vary from T1 to T3</w:t>
      </w:r>
      <w:r w:rsidRPr="00C52D25">
        <w:rPr>
          <w:rFonts w:ascii="Arial" w:hAnsi="Arial" w:cs="Arial"/>
        </w:rPr>
        <w:t xml:space="preserve"> for PLWD</w:t>
      </w:r>
      <w:r w:rsidR="0036760F" w:rsidRPr="00C52D25">
        <w:rPr>
          <w:rFonts w:ascii="Arial" w:hAnsi="Arial" w:cs="Arial"/>
        </w:rPr>
        <w:t xml:space="preserve"> [</w:t>
      </w:r>
      <w:proofErr w:type="gramStart"/>
      <w:r w:rsidR="0036760F" w:rsidRPr="00C52D25">
        <w:rPr>
          <w:rFonts w:ascii="Arial" w:hAnsi="Arial" w:cs="Arial"/>
        </w:rPr>
        <w:t>F(</w:t>
      </w:r>
      <w:proofErr w:type="gramEnd"/>
      <w:r w:rsidR="0036760F" w:rsidRPr="00C52D25">
        <w:rPr>
          <w:rFonts w:ascii="Arial" w:hAnsi="Arial" w:cs="Arial"/>
        </w:rPr>
        <w:t>1.896, 66.370)= 1.461, p=</w:t>
      </w:r>
      <w:r w:rsidR="0016575D" w:rsidRPr="00C52D25">
        <w:rPr>
          <w:rFonts w:ascii="Arial" w:hAnsi="Arial" w:cs="Arial"/>
        </w:rPr>
        <w:t>0</w:t>
      </w:r>
      <w:r w:rsidR="0036760F" w:rsidRPr="00C52D25">
        <w:rPr>
          <w:rFonts w:ascii="Arial" w:hAnsi="Arial" w:cs="Arial"/>
        </w:rPr>
        <w:t>.240]</w:t>
      </w:r>
      <w:r w:rsidRPr="00C52D25">
        <w:rPr>
          <w:rFonts w:ascii="Arial" w:hAnsi="Arial" w:cs="Arial"/>
        </w:rPr>
        <w:t>, current carers</w:t>
      </w:r>
      <w:r w:rsidR="0036760F" w:rsidRPr="00C52D25">
        <w:rPr>
          <w:rFonts w:ascii="Arial" w:hAnsi="Arial" w:cs="Arial"/>
        </w:rPr>
        <w:t xml:space="preserve"> [F(1.900, 277.453)= .639, p=</w:t>
      </w:r>
      <w:r w:rsidR="0016575D" w:rsidRPr="00C52D25">
        <w:rPr>
          <w:rFonts w:ascii="Arial" w:hAnsi="Arial" w:cs="Arial"/>
        </w:rPr>
        <w:t>0</w:t>
      </w:r>
      <w:r w:rsidR="0036760F" w:rsidRPr="00C52D25">
        <w:rPr>
          <w:rFonts w:ascii="Arial" w:hAnsi="Arial" w:cs="Arial"/>
        </w:rPr>
        <w:t>.521]</w:t>
      </w:r>
      <w:r w:rsidRPr="00C52D25">
        <w:rPr>
          <w:rFonts w:ascii="Arial" w:hAnsi="Arial" w:cs="Arial"/>
        </w:rPr>
        <w:t>, former carers</w:t>
      </w:r>
      <w:r w:rsidR="0036760F" w:rsidRPr="00C52D25">
        <w:rPr>
          <w:rFonts w:ascii="Arial" w:hAnsi="Arial" w:cs="Arial"/>
        </w:rPr>
        <w:t xml:space="preserve"> [F(1.677, 68.419)= .024, p=</w:t>
      </w:r>
      <w:r w:rsidR="0016575D" w:rsidRPr="00C52D25">
        <w:rPr>
          <w:rFonts w:ascii="Arial" w:hAnsi="Arial" w:cs="Arial"/>
        </w:rPr>
        <w:t>0</w:t>
      </w:r>
      <w:r w:rsidR="0036760F" w:rsidRPr="00C52D25">
        <w:rPr>
          <w:rFonts w:ascii="Arial" w:hAnsi="Arial" w:cs="Arial"/>
        </w:rPr>
        <w:t>.960]</w:t>
      </w:r>
      <w:r w:rsidRPr="00C52D25">
        <w:rPr>
          <w:rFonts w:ascii="Arial" w:hAnsi="Arial" w:cs="Arial"/>
        </w:rPr>
        <w:t xml:space="preserve">, </w:t>
      </w:r>
      <w:r w:rsidR="0016575D" w:rsidRPr="00C52D25">
        <w:rPr>
          <w:rFonts w:ascii="Arial" w:hAnsi="Arial" w:cs="Arial"/>
        </w:rPr>
        <w:t>or</w:t>
      </w:r>
      <w:r w:rsidRPr="00C52D25">
        <w:rPr>
          <w:rFonts w:ascii="Arial" w:hAnsi="Arial" w:cs="Arial"/>
        </w:rPr>
        <w:t xml:space="preserve"> older adults </w:t>
      </w:r>
      <w:r w:rsidR="0036760F" w:rsidRPr="00C52D25">
        <w:rPr>
          <w:rFonts w:ascii="Arial" w:hAnsi="Arial" w:cs="Arial"/>
        </w:rPr>
        <w:t>[F(1.889, 281.414)= .857, p=</w:t>
      </w:r>
      <w:r w:rsidR="0016575D" w:rsidRPr="00C52D25">
        <w:rPr>
          <w:rFonts w:ascii="Arial" w:hAnsi="Arial" w:cs="Arial"/>
        </w:rPr>
        <w:t>0</w:t>
      </w:r>
      <w:r w:rsidR="0036760F" w:rsidRPr="00C52D25">
        <w:rPr>
          <w:rFonts w:ascii="Arial" w:hAnsi="Arial" w:cs="Arial"/>
        </w:rPr>
        <w:t>.420]</w:t>
      </w:r>
      <w:r w:rsidRPr="00C52D25">
        <w:rPr>
          <w:rFonts w:ascii="Arial" w:hAnsi="Arial" w:cs="Arial"/>
        </w:rPr>
        <w:t>.</w:t>
      </w:r>
    </w:p>
    <w:p w14:paraId="3EB2D35B" w14:textId="5B2233B3" w:rsidR="00F16A71" w:rsidRPr="00C52D25" w:rsidRDefault="00F16A71" w:rsidP="005D2BA2">
      <w:pPr>
        <w:spacing w:after="0"/>
        <w:ind w:firstLine="720"/>
        <w:jc w:val="both"/>
        <w:rPr>
          <w:rFonts w:ascii="Arial" w:hAnsi="Arial" w:cs="Arial"/>
        </w:rPr>
      </w:pPr>
      <w:r w:rsidRPr="00C52D25">
        <w:rPr>
          <w:rFonts w:ascii="Arial" w:hAnsi="Arial" w:cs="Arial"/>
        </w:rPr>
        <w:t xml:space="preserve">For well-being, repeated-measures ANOVAs showed that SWEMWBS total scores significantly </w:t>
      </w:r>
      <w:r w:rsidR="0036760F" w:rsidRPr="00C52D25">
        <w:rPr>
          <w:rFonts w:ascii="Arial" w:hAnsi="Arial" w:cs="Arial"/>
        </w:rPr>
        <w:t>increased from T1 to T3</w:t>
      </w:r>
      <w:r w:rsidRPr="00C52D25">
        <w:rPr>
          <w:rFonts w:ascii="Arial" w:hAnsi="Arial" w:cs="Arial"/>
        </w:rPr>
        <w:t xml:space="preserve"> for PLWD</w:t>
      </w:r>
      <w:r w:rsidR="0036760F" w:rsidRPr="00C52D25">
        <w:rPr>
          <w:rFonts w:ascii="Arial" w:hAnsi="Arial" w:cs="Arial"/>
        </w:rPr>
        <w:t xml:space="preserve"> [</w:t>
      </w:r>
      <w:proofErr w:type="gramStart"/>
      <w:r w:rsidR="0036760F" w:rsidRPr="00C52D25">
        <w:rPr>
          <w:rFonts w:ascii="Arial" w:hAnsi="Arial" w:cs="Arial"/>
        </w:rPr>
        <w:t>F(</w:t>
      </w:r>
      <w:proofErr w:type="gramEnd"/>
      <w:r w:rsidR="0036760F" w:rsidRPr="00C52D25">
        <w:rPr>
          <w:rFonts w:ascii="Arial" w:hAnsi="Arial" w:cs="Arial"/>
        </w:rPr>
        <w:t>1.726, 60.423)= 5.412, p&lt;</w:t>
      </w:r>
      <w:r w:rsidR="0016575D" w:rsidRPr="00C52D25">
        <w:rPr>
          <w:rFonts w:ascii="Arial" w:hAnsi="Arial" w:cs="Arial"/>
        </w:rPr>
        <w:t>0</w:t>
      </w:r>
      <w:r w:rsidR="0036760F" w:rsidRPr="00C52D25">
        <w:rPr>
          <w:rFonts w:ascii="Arial" w:hAnsi="Arial" w:cs="Arial"/>
        </w:rPr>
        <w:t>.05 [Mean(SD) T1-T3= 22.1(6.4); 24.3(5.6); 24.4(5.6)</w:t>
      </w:r>
      <w:r w:rsidR="00792818" w:rsidRPr="00C52D25">
        <w:rPr>
          <w:rFonts w:ascii="Arial" w:hAnsi="Arial" w:cs="Arial"/>
        </w:rPr>
        <w:t>]</w:t>
      </w:r>
      <w:r w:rsidR="0036760F" w:rsidRPr="00C52D25">
        <w:rPr>
          <w:rFonts w:ascii="Arial" w:hAnsi="Arial" w:cs="Arial"/>
        </w:rPr>
        <w:t xml:space="preserve">] </w:t>
      </w:r>
      <w:r w:rsidRPr="00C52D25">
        <w:rPr>
          <w:rFonts w:ascii="Arial" w:hAnsi="Arial" w:cs="Arial"/>
        </w:rPr>
        <w:t>and older adults</w:t>
      </w:r>
      <w:r w:rsidR="0036760F" w:rsidRPr="00C52D25">
        <w:rPr>
          <w:rFonts w:ascii="Arial" w:hAnsi="Arial" w:cs="Arial"/>
        </w:rPr>
        <w:t xml:space="preserve"> [F(1.804, 268.807)= 3.632, p&lt;</w:t>
      </w:r>
      <w:r w:rsidR="0016575D" w:rsidRPr="00C52D25">
        <w:rPr>
          <w:rFonts w:ascii="Arial" w:hAnsi="Arial" w:cs="Arial"/>
        </w:rPr>
        <w:t>0</w:t>
      </w:r>
      <w:r w:rsidR="0036760F" w:rsidRPr="00C52D25">
        <w:rPr>
          <w:rFonts w:ascii="Arial" w:hAnsi="Arial" w:cs="Arial"/>
        </w:rPr>
        <w:t>.05 [Mean(SD) T1-T3= 27.5(5.1); 28.0(5.1); 28.3(4.9)</w:t>
      </w:r>
      <w:r w:rsidR="00792818" w:rsidRPr="00C52D25">
        <w:rPr>
          <w:rFonts w:ascii="Arial" w:hAnsi="Arial" w:cs="Arial"/>
        </w:rPr>
        <w:t>]</w:t>
      </w:r>
      <w:r w:rsidR="0036760F" w:rsidRPr="00C52D25">
        <w:rPr>
          <w:rFonts w:ascii="Arial" w:hAnsi="Arial" w:cs="Arial"/>
        </w:rPr>
        <w:t xml:space="preserve">]. </w:t>
      </w:r>
      <w:r w:rsidR="0016575D" w:rsidRPr="00C52D25">
        <w:rPr>
          <w:rFonts w:ascii="Arial" w:hAnsi="Arial" w:cs="Arial"/>
        </w:rPr>
        <w:t xml:space="preserve">However there were no significant changes among </w:t>
      </w:r>
      <w:r w:rsidR="0036760F" w:rsidRPr="00C52D25">
        <w:rPr>
          <w:rFonts w:ascii="Arial" w:hAnsi="Arial" w:cs="Arial"/>
        </w:rPr>
        <w:t>current [</w:t>
      </w:r>
      <w:proofErr w:type="gramStart"/>
      <w:r w:rsidR="0036760F" w:rsidRPr="00C52D25">
        <w:rPr>
          <w:rFonts w:ascii="Arial" w:hAnsi="Arial" w:cs="Arial"/>
        </w:rPr>
        <w:t>F(</w:t>
      </w:r>
      <w:proofErr w:type="gramEnd"/>
      <w:r w:rsidR="0036760F" w:rsidRPr="00C52D25">
        <w:rPr>
          <w:rFonts w:ascii="Arial" w:hAnsi="Arial" w:cs="Arial"/>
        </w:rPr>
        <w:t>1.982,289.325)=2.185, p=</w:t>
      </w:r>
      <w:r w:rsidR="0016575D" w:rsidRPr="00C52D25">
        <w:rPr>
          <w:rFonts w:ascii="Arial" w:hAnsi="Arial" w:cs="Arial"/>
        </w:rPr>
        <w:t>0</w:t>
      </w:r>
      <w:r w:rsidR="0036760F" w:rsidRPr="00C52D25">
        <w:rPr>
          <w:rFonts w:ascii="Arial" w:hAnsi="Arial" w:cs="Arial"/>
        </w:rPr>
        <w:t xml:space="preserve">.115] </w:t>
      </w:r>
      <w:r w:rsidR="0016575D" w:rsidRPr="00C52D25">
        <w:rPr>
          <w:rFonts w:ascii="Arial" w:hAnsi="Arial" w:cs="Arial"/>
        </w:rPr>
        <w:t>or</w:t>
      </w:r>
      <w:r w:rsidR="0036760F" w:rsidRPr="00C52D25">
        <w:rPr>
          <w:rFonts w:ascii="Arial" w:hAnsi="Arial" w:cs="Arial"/>
        </w:rPr>
        <w:t xml:space="preserve"> former carers [F(1.728, 63.725)= .268, p=</w:t>
      </w:r>
      <w:r w:rsidR="0016575D" w:rsidRPr="00C52D25">
        <w:rPr>
          <w:rFonts w:ascii="Arial" w:hAnsi="Arial" w:cs="Arial"/>
        </w:rPr>
        <w:t>0</w:t>
      </w:r>
      <w:r w:rsidR="0036760F" w:rsidRPr="00C52D25">
        <w:rPr>
          <w:rFonts w:ascii="Arial" w:hAnsi="Arial" w:cs="Arial"/>
        </w:rPr>
        <w:t xml:space="preserve">.733]. </w:t>
      </w:r>
      <w:r w:rsidRPr="00C52D25">
        <w:rPr>
          <w:rFonts w:ascii="Arial" w:hAnsi="Arial" w:cs="Arial"/>
        </w:rPr>
        <w:t xml:space="preserve"> </w:t>
      </w:r>
    </w:p>
    <w:p w14:paraId="2DA68234" w14:textId="77777777" w:rsidR="00220C4D" w:rsidRPr="00C52D25" w:rsidRDefault="00220C4D" w:rsidP="005D2BA2">
      <w:pPr>
        <w:spacing w:after="0"/>
        <w:ind w:firstLine="720"/>
        <w:jc w:val="both"/>
        <w:rPr>
          <w:rFonts w:ascii="Arial" w:hAnsi="Arial" w:cs="Arial"/>
        </w:rPr>
      </w:pPr>
    </w:p>
    <w:p w14:paraId="45CD924B" w14:textId="25B93922" w:rsidR="00282DB6" w:rsidRPr="00C52D25" w:rsidRDefault="00075E6B" w:rsidP="00075E6B">
      <w:pPr>
        <w:jc w:val="both"/>
        <w:rPr>
          <w:rFonts w:ascii="Arial" w:hAnsi="Arial" w:cs="Arial"/>
          <w:b/>
          <w:i/>
        </w:rPr>
      </w:pPr>
      <w:r w:rsidRPr="00C52D25">
        <w:rPr>
          <w:rFonts w:ascii="Arial" w:hAnsi="Arial" w:cs="Arial"/>
          <w:b/>
          <w:i/>
        </w:rPr>
        <w:t>[Figure 3 and 4]</w:t>
      </w:r>
    </w:p>
    <w:p w14:paraId="4DD1810D" w14:textId="568CFBA6" w:rsidR="00744E3E" w:rsidRPr="00C52D25" w:rsidRDefault="008312A3" w:rsidP="00997E94">
      <w:pPr>
        <w:spacing w:after="0"/>
        <w:jc w:val="both"/>
        <w:rPr>
          <w:rFonts w:ascii="Arial" w:hAnsi="Arial" w:cs="Arial"/>
          <w:b/>
          <w:i/>
        </w:rPr>
      </w:pPr>
      <w:r w:rsidRPr="00C52D25">
        <w:rPr>
          <w:rFonts w:ascii="Arial" w:hAnsi="Arial" w:cs="Arial"/>
          <w:b/>
          <w:i/>
        </w:rPr>
        <w:t>Social support and mental health</w:t>
      </w:r>
    </w:p>
    <w:p w14:paraId="799F00D1" w14:textId="7D317585" w:rsidR="008312A3" w:rsidRPr="00C52D25" w:rsidRDefault="00FC7626" w:rsidP="00997E94">
      <w:pPr>
        <w:spacing w:after="0"/>
        <w:jc w:val="both"/>
        <w:rPr>
          <w:rFonts w:ascii="Arial" w:hAnsi="Arial" w:cs="Arial"/>
        </w:rPr>
      </w:pPr>
      <w:r w:rsidRPr="00C52D25">
        <w:rPr>
          <w:rFonts w:ascii="Arial" w:hAnsi="Arial" w:cs="Arial"/>
        </w:rPr>
        <w:t xml:space="preserve">Bivariate correlation analyses showed no significant </w:t>
      </w:r>
      <w:r w:rsidR="00997E94" w:rsidRPr="00C52D25">
        <w:rPr>
          <w:rFonts w:ascii="Arial" w:hAnsi="Arial" w:cs="Arial"/>
        </w:rPr>
        <w:t>associations between variations in social support service hours between pre-pandemic and at T1 and changes in SWEMWBS (</w:t>
      </w:r>
      <w:r w:rsidR="00F2429A" w:rsidRPr="00C52D25">
        <w:rPr>
          <w:rFonts w:ascii="Arial" w:hAnsi="Arial" w:cs="Arial"/>
        </w:rPr>
        <w:t>p=.332</w:t>
      </w:r>
      <w:r w:rsidR="00997E94" w:rsidRPr="00C52D25">
        <w:rPr>
          <w:rFonts w:ascii="Arial" w:hAnsi="Arial" w:cs="Arial"/>
        </w:rPr>
        <w:t>), GAD-7 (</w:t>
      </w:r>
      <w:r w:rsidR="00F2429A" w:rsidRPr="00C52D25">
        <w:rPr>
          <w:rFonts w:ascii="Arial" w:hAnsi="Arial" w:cs="Arial"/>
        </w:rPr>
        <w:t>p=.310</w:t>
      </w:r>
      <w:r w:rsidR="00997E94" w:rsidRPr="00C52D25">
        <w:rPr>
          <w:rFonts w:ascii="Arial" w:hAnsi="Arial" w:cs="Arial"/>
        </w:rPr>
        <w:t>), and PHQ-9 (</w:t>
      </w:r>
      <w:r w:rsidR="00F2429A" w:rsidRPr="00C52D25">
        <w:rPr>
          <w:rFonts w:ascii="Arial" w:hAnsi="Arial" w:cs="Arial"/>
        </w:rPr>
        <w:t>p=.351</w:t>
      </w:r>
      <w:r w:rsidR="00997E94" w:rsidRPr="00C52D25">
        <w:rPr>
          <w:rFonts w:ascii="Arial" w:hAnsi="Arial" w:cs="Arial"/>
        </w:rPr>
        <w:t>) between T1 and T3 for those who completed all three survey time points.</w:t>
      </w:r>
    </w:p>
    <w:p w14:paraId="0036B1FE" w14:textId="77777777" w:rsidR="00744E3E" w:rsidRPr="00C52D25" w:rsidRDefault="00744E3E" w:rsidP="00075E6B">
      <w:pPr>
        <w:jc w:val="both"/>
        <w:rPr>
          <w:rFonts w:ascii="Arial" w:hAnsi="Arial" w:cs="Arial"/>
          <w:b/>
          <w:i/>
        </w:rPr>
      </w:pPr>
    </w:p>
    <w:bookmarkEnd w:id="0"/>
    <w:p w14:paraId="0D6A26F1" w14:textId="755EBF59" w:rsidR="00282DB6" w:rsidRPr="00C52D25" w:rsidRDefault="00282DB6" w:rsidP="00282DB6">
      <w:pPr>
        <w:jc w:val="both"/>
        <w:rPr>
          <w:rFonts w:ascii="Arial" w:hAnsi="Arial" w:cs="Arial"/>
          <w:b/>
          <w:sz w:val="24"/>
        </w:rPr>
      </w:pPr>
      <w:r w:rsidRPr="00C52D25">
        <w:rPr>
          <w:rFonts w:ascii="Arial" w:hAnsi="Arial" w:cs="Arial"/>
          <w:b/>
          <w:sz w:val="24"/>
        </w:rPr>
        <w:t>Discussion</w:t>
      </w:r>
    </w:p>
    <w:p w14:paraId="4EDFA3A8" w14:textId="5101079E" w:rsidR="00F600A8" w:rsidRPr="00C52D25" w:rsidRDefault="00F600A8" w:rsidP="00446E91">
      <w:pPr>
        <w:spacing w:after="0"/>
        <w:jc w:val="both"/>
        <w:rPr>
          <w:rFonts w:ascii="Arial" w:hAnsi="Arial" w:cs="Arial"/>
        </w:rPr>
      </w:pPr>
      <w:r w:rsidRPr="00C52D25">
        <w:rPr>
          <w:rFonts w:ascii="Arial" w:hAnsi="Arial" w:cs="Arial"/>
        </w:rPr>
        <w:t xml:space="preserve">This is one of the first studies to show that social support service usage in dementia and ageing </w:t>
      </w:r>
      <w:r w:rsidR="0081543A" w:rsidRPr="00C52D25">
        <w:rPr>
          <w:rFonts w:ascii="Arial" w:hAnsi="Arial" w:cs="Arial"/>
        </w:rPr>
        <w:t>reduced</w:t>
      </w:r>
      <w:r w:rsidRPr="00C52D25">
        <w:rPr>
          <w:rFonts w:ascii="Arial" w:hAnsi="Arial" w:cs="Arial"/>
        </w:rPr>
        <w:t xml:space="preserve"> significantly compared to pre-pandemic levels, whilst slowly rising in the months post-nationwide lockdown. In addition, we also show that </w:t>
      </w:r>
      <w:r w:rsidR="00A307A3" w:rsidRPr="00C52D25">
        <w:rPr>
          <w:rFonts w:ascii="Arial" w:hAnsi="Arial" w:cs="Arial"/>
        </w:rPr>
        <w:t>cases of anxiety reduced w</w:t>
      </w:r>
      <w:r w:rsidR="00BD0271" w:rsidRPr="00C52D25">
        <w:rPr>
          <w:rFonts w:ascii="Arial" w:hAnsi="Arial" w:cs="Arial"/>
        </w:rPr>
        <w:t>hilst</w:t>
      </w:r>
      <w:r w:rsidR="00A307A3" w:rsidRPr="00C52D25">
        <w:rPr>
          <w:rFonts w:ascii="Arial" w:hAnsi="Arial" w:cs="Arial"/>
        </w:rPr>
        <w:t xml:space="preserve"> cases of depression increa</w:t>
      </w:r>
      <w:r w:rsidR="007B469B" w:rsidRPr="00C52D25">
        <w:rPr>
          <w:rFonts w:ascii="Arial" w:hAnsi="Arial" w:cs="Arial"/>
        </w:rPr>
        <w:t>sed</w:t>
      </w:r>
      <w:r w:rsidR="00A307A3" w:rsidRPr="00C52D25">
        <w:rPr>
          <w:rFonts w:ascii="Arial" w:hAnsi="Arial" w:cs="Arial"/>
        </w:rPr>
        <w:t xml:space="preserve"> in the months since lockdown, with quality of life significantly increasing for PLWD and older adults only. </w:t>
      </w:r>
    </w:p>
    <w:p w14:paraId="728CB21B" w14:textId="1DBDEC28" w:rsidR="007B469B" w:rsidRPr="00C52D25" w:rsidRDefault="007B469B" w:rsidP="005E040D">
      <w:pPr>
        <w:spacing w:after="0"/>
        <w:jc w:val="both"/>
        <w:rPr>
          <w:rFonts w:ascii="Arial" w:hAnsi="Arial" w:cs="Arial"/>
        </w:rPr>
      </w:pPr>
      <w:r w:rsidRPr="00C52D25">
        <w:rPr>
          <w:rFonts w:ascii="Arial" w:hAnsi="Arial" w:cs="Arial"/>
        </w:rPr>
        <w:tab/>
      </w:r>
      <w:r w:rsidR="00446E91" w:rsidRPr="00C52D25">
        <w:rPr>
          <w:rFonts w:ascii="Arial" w:hAnsi="Arial" w:cs="Arial"/>
        </w:rPr>
        <w:t xml:space="preserve">Social support service usage for PLWD, unpaid carers, and older adults has seen a significant decrease since the COVID-19 pandemic, </w:t>
      </w:r>
      <w:r w:rsidR="008C34FD" w:rsidRPr="00C52D25">
        <w:rPr>
          <w:rFonts w:ascii="Arial" w:hAnsi="Arial" w:cs="Arial"/>
        </w:rPr>
        <w:t>leaving</w:t>
      </w:r>
      <w:r w:rsidR="00446E91" w:rsidRPr="00C52D25">
        <w:rPr>
          <w:rFonts w:ascii="Arial" w:hAnsi="Arial" w:cs="Arial"/>
        </w:rPr>
        <w:t xml:space="preserve"> many people </w:t>
      </w:r>
      <w:r w:rsidR="0073174E" w:rsidRPr="00C52D25">
        <w:rPr>
          <w:rFonts w:ascii="Arial" w:hAnsi="Arial" w:cs="Arial"/>
        </w:rPr>
        <w:t xml:space="preserve">suddenly </w:t>
      </w:r>
      <w:r w:rsidR="00446E91" w:rsidRPr="00C52D25">
        <w:rPr>
          <w:rFonts w:ascii="Arial" w:hAnsi="Arial" w:cs="Arial"/>
        </w:rPr>
        <w:t xml:space="preserve">without vital support – ranging from day care centres to respite to support groups. </w:t>
      </w:r>
      <w:r w:rsidR="008C34FD" w:rsidRPr="00C52D25">
        <w:rPr>
          <w:rFonts w:ascii="Arial" w:hAnsi="Arial" w:cs="Arial"/>
        </w:rPr>
        <w:t xml:space="preserve">In the months </w:t>
      </w:r>
      <w:r w:rsidR="008C34FD" w:rsidRPr="00C52D25">
        <w:rPr>
          <w:rFonts w:ascii="Arial" w:hAnsi="Arial" w:cs="Arial"/>
        </w:rPr>
        <w:lastRenderedPageBreak/>
        <w:t>following the nationwide lockdown, usage has gradually increased</w:t>
      </w:r>
      <w:r w:rsidR="003F202E" w:rsidRPr="00C52D25">
        <w:rPr>
          <w:rFonts w:ascii="Arial" w:hAnsi="Arial" w:cs="Arial"/>
        </w:rPr>
        <w:t xml:space="preserve"> again</w:t>
      </w:r>
      <w:r w:rsidR="00EE301A" w:rsidRPr="00C52D25">
        <w:rPr>
          <w:rFonts w:ascii="Arial" w:hAnsi="Arial" w:cs="Arial"/>
        </w:rPr>
        <w:t xml:space="preserve"> </w:t>
      </w:r>
      <w:r w:rsidR="00A91551" w:rsidRPr="00C52D25">
        <w:rPr>
          <w:rFonts w:ascii="Arial" w:hAnsi="Arial" w:cs="Arial"/>
        </w:rPr>
        <w:t>but varie</w:t>
      </w:r>
      <w:r w:rsidR="0073174E" w:rsidRPr="00C52D25">
        <w:rPr>
          <w:rFonts w:ascii="Arial" w:hAnsi="Arial" w:cs="Arial"/>
        </w:rPr>
        <w:t>d</w:t>
      </w:r>
      <w:r w:rsidR="00A91551" w:rsidRPr="00C52D25">
        <w:rPr>
          <w:rFonts w:ascii="Arial" w:hAnsi="Arial" w:cs="Arial"/>
        </w:rPr>
        <w:t xml:space="preserve"> among providers and</w:t>
      </w:r>
      <w:r w:rsidR="003F202E" w:rsidRPr="00C52D25">
        <w:rPr>
          <w:rFonts w:ascii="Arial" w:hAnsi="Arial" w:cs="Arial"/>
        </w:rPr>
        <w:t xml:space="preserve"> type of support</w:t>
      </w:r>
      <w:r w:rsidR="008C34FD" w:rsidRPr="00C52D25">
        <w:rPr>
          <w:rFonts w:ascii="Arial" w:hAnsi="Arial" w:cs="Arial"/>
        </w:rPr>
        <w:t xml:space="preserve">. With public health restrictions still remaining in place however during that period, including social distancing, </w:t>
      </w:r>
      <w:r w:rsidR="00EE301A" w:rsidRPr="00C52D25">
        <w:rPr>
          <w:rFonts w:ascii="Arial" w:hAnsi="Arial" w:cs="Arial"/>
        </w:rPr>
        <w:t xml:space="preserve">shielding and </w:t>
      </w:r>
      <w:r w:rsidR="008C34FD" w:rsidRPr="00C52D25">
        <w:rPr>
          <w:rFonts w:ascii="Arial" w:hAnsi="Arial" w:cs="Arial"/>
        </w:rPr>
        <w:t>th</w:t>
      </w:r>
      <w:r w:rsidR="00EE301A" w:rsidRPr="00C52D25">
        <w:rPr>
          <w:rFonts w:ascii="Arial" w:hAnsi="Arial" w:cs="Arial"/>
        </w:rPr>
        <w:t>us</w:t>
      </w:r>
      <w:r w:rsidR="008C34FD" w:rsidRPr="00C52D25">
        <w:rPr>
          <w:rFonts w:ascii="Arial" w:hAnsi="Arial" w:cs="Arial"/>
        </w:rPr>
        <w:t xml:space="preserve"> inability to meet members of different households,</w:t>
      </w:r>
      <w:r w:rsidR="0073174E" w:rsidRPr="00C52D25">
        <w:rPr>
          <w:rFonts w:ascii="Arial" w:hAnsi="Arial" w:cs="Arial"/>
        </w:rPr>
        <w:t xml:space="preserve"> </w:t>
      </w:r>
      <w:r w:rsidR="00EE301A" w:rsidRPr="00C52D25">
        <w:rPr>
          <w:rFonts w:ascii="Arial" w:hAnsi="Arial" w:cs="Arial"/>
        </w:rPr>
        <w:t xml:space="preserve">such support </w:t>
      </w:r>
      <w:r w:rsidR="008C34FD" w:rsidRPr="00C52D25">
        <w:rPr>
          <w:rFonts w:ascii="Arial" w:hAnsi="Arial" w:cs="Arial"/>
        </w:rPr>
        <w:t xml:space="preserve">is most likely to </w:t>
      </w:r>
      <w:r w:rsidR="003F202E" w:rsidRPr="00C52D25">
        <w:rPr>
          <w:rFonts w:ascii="Arial" w:hAnsi="Arial" w:cs="Arial"/>
        </w:rPr>
        <w:t>be implemented</w:t>
      </w:r>
      <w:r w:rsidR="008C34FD" w:rsidRPr="00C52D25">
        <w:rPr>
          <w:rFonts w:ascii="Arial" w:hAnsi="Arial" w:cs="Arial"/>
        </w:rPr>
        <w:t xml:space="preserve"> via digital technologies. </w:t>
      </w:r>
      <w:r w:rsidR="00C06266" w:rsidRPr="00C52D25">
        <w:rPr>
          <w:rFonts w:ascii="Arial" w:hAnsi="Arial" w:cs="Arial"/>
        </w:rPr>
        <w:t>Considering that in our sample 9</w:t>
      </w:r>
      <w:r w:rsidR="00EB43E5" w:rsidRPr="00C52D25">
        <w:rPr>
          <w:rFonts w:ascii="Arial" w:hAnsi="Arial" w:cs="Arial"/>
        </w:rPr>
        <w:t>4</w:t>
      </w:r>
      <w:r w:rsidR="00C06266" w:rsidRPr="00C52D25">
        <w:rPr>
          <w:rFonts w:ascii="Arial" w:hAnsi="Arial" w:cs="Arial"/>
        </w:rPr>
        <w:t>% of participants completed the survey online</w:t>
      </w:r>
      <w:r w:rsidR="00315B9B" w:rsidRPr="00C52D25">
        <w:rPr>
          <w:rFonts w:ascii="Arial" w:hAnsi="Arial" w:cs="Arial"/>
        </w:rPr>
        <w:t xml:space="preserve"> rather than </w:t>
      </w:r>
      <w:r w:rsidR="00250D74" w:rsidRPr="00C52D25">
        <w:rPr>
          <w:rFonts w:ascii="Arial" w:hAnsi="Arial" w:cs="Arial"/>
        </w:rPr>
        <w:t xml:space="preserve">the </w:t>
      </w:r>
      <w:r w:rsidR="00315B9B" w:rsidRPr="00C52D25">
        <w:rPr>
          <w:rFonts w:ascii="Arial" w:hAnsi="Arial" w:cs="Arial"/>
        </w:rPr>
        <w:t>telephone option</w:t>
      </w:r>
      <w:r w:rsidR="00C06266" w:rsidRPr="00C52D25">
        <w:rPr>
          <w:rFonts w:ascii="Arial" w:hAnsi="Arial" w:cs="Arial"/>
        </w:rPr>
        <w:t>, nearly all participants had access to the internet. However, many older adults and PLWD are less likely to be</w:t>
      </w:r>
      <w:r w:rsidR="003F202E" w:rsidRPr="00C52D25">
        <w:rPr>
          <w:rFonts w:ascii="Arial" w:hAnsi="Arial" w:cs="Arial"/>
        </w:rPr>
        <w:t xml:space="preserve"> digitally</w:t>
      </w:r>
      <w:r w:rsidR="00C06266" w:rsidRPr="00C52D25">
        <w:rPr>
          <w:rFonts w:ascii="Arial" w:hAnsi="Arial" w:cs="Arial"/>
        </w:rPr>
        <w:t xml:space="preserve"> literate </w:t>
      </w:r>
      <w:r w:rsidR="00BE4F63" w:rsidRPr="00C52D25">
        <w:rPr>
          <w:rFonts w:ascii="Arial" w:hAnsi="Arial" w:cs="Arial"/>
        </w:rPr>
        <w:t>[15]</w:t>
      </w:r>
      <w:r w:rsidR="00C06266" w:rsidRPr="00C52D25">
        <w:rPr>
          <w:rFonts w:ascii="Arial" w:hAnsi="Arial" w:cs="Arial"/>
        </w:rPr>
        <w:t>, making it difficult for all people to access services equally. This has already been an issue pre-</w:t>
      </w:r>
      <w:r w:rsidR="005E040D" w:rsidRPr="00C52D25">
        <w:rPr>
          <w:rFonts w:ascii="Arial" w:hAnsi="Arial" w:cs="Arial"/>
        </w:rPr>
        <w:t>COVID-19</w:t>
      </w:r>
      <w:r w:rsidR="00C06266" w:rsidRPr="00C52D25">
        <w:rPr>
          <w:rFonts w:ascii="Arial" w:hAnsi="Arial" w:cs="Arial"/>
        </w:rPr>
        <w:t xml:space="preserve"> </w:t>
      </w:r>
      <w:r w:rsidR="006C1685" w:rsidRPr="00C52D25">
        <w:rPr>
          <w:rFonts w:ascii="Arial" w:hAnsi="Arial" w:cs="Arial"/>
        </w:rPr>
        <w:t>[1</w:t>
      </w:r>
      <w:r w:rsidR="00BE4F63" w:rsidRPr="00C52D25">
        <w:rPr>
          <w:rFonts w:ascii="Arial" w:hAnsi="Arial" w:cs="Arial"/>
        </w:rPr>
        <w:t>6</w:t>
      </w:r>
      <w:r w:rsidR="006C1685" w:rsidRPr="00C52D25">
        <w:rPr>
          <w:rFonts w:ascii="Arial" w:hAnsi="Arial" w:cs="Arial"/>
        </w:rPr>
        <w:t>]</w:t>
      </w:r>
      <w:r w:rsidR="00C06266" w:rsidRPr="00C52D25">
        <w:rPr>
          <w:rFonts w:ascii="Arial" w:hAnsi="Arial" w:cs="Arial"/>
        </w:rPr>
        <w:t>, suggesting that the pandemic has further exacerbated potential inequalities in access</w:t>
      </w:r>
      <w:r w:rsidR="005E040D" w:rsidRPr="00C52D25">
        <w:rPr>
          <w:rFonts w:ascii="Arial" w:hAnsi="Arial" w:cs="Arial"/>
        </w:rPr>
        <w:t xml:space="preserve"> and </w:t>
      </w:r>
      <w:r w:rsidR="003F202E" w:rsidRPr="00C52D25">
        <w:rPr>
          <w:rFonts w:ascii="Arial" w:hAnsi="Arial" w:cs="Arial"/>
        </w:rPr>
        <w:t xml:space="preserve">thus </w:t>
      </w:r>
      <w:r w:rsidR="005E040D" w:rsidRPr="00C52D25">
        <w:rPr>
          <w:rFonts w:ascii="Arial" w:hAnsi="Arial" w:cs="Arial"/>
        </w:rPr>
        <w:t>further isolat</w:t>
      </w:r>
      <w:r w:rsidR="003F202E" w:rsidRPr="00C52D25">
        <w:rPr>
          <w:rFonts w:ascii="Arial" w:hAnsi="Arial" w:cs="Arial"/>
        </w:rPr>
        <w:t>ed</w:t>
      </w:r>
      <w:r w:rsidR="005E040D" w:rsidRPr="00C52D25">
        <w:rPr>
          <w:rFonts w:ascii="Arial" w:hAnsi="Arial" w:cs="Arial"/>
        </w:rPr>
        <w:t xml:space="preserve"> people who would benefit from social support the most.</w:t>
      </w:r>
      <w:r w:rsidR="00C06266" w:rsidRPr="00C52D25">
        <w:rPr>
          <w:rFonts w:ascii="Arial" w:hAnsi="Arial" w:cs="Arial"/>
        </w:rPr>
        <w:t xml:space="preserve"> </w:t>
      </w:r>
    </w:p>
    <w:p w14:paraId="74CFD557" w14:textId="27AC25E6" w:rsidR="00721F39" w:rsidRPr="00C52D25" w:rsidRDefault="005E040D" w:rsidP="00F61BEB">
      <w:pPr>
        <w:spacing w:after="0"/>
        <w:jc w:val="both"/>
        <w:rPr>
          <w:rFonts w:ascii="Arial" w:hAnsi="Arial" w:cs="Arial"/>
        </w:rPr>
      </w:pPr>
      <w:r w:rsidRPr="00C52D25">
        <w:rPr>
          <w:rFonts w:ascii="Arial" w:hAnsi="Arial" w:cs="Arial"/>
          <w:b/>
        </w:rPr>
        <w:tab/>
      </w:r>
      <w:r w:rsidRPr="00C52D25">
        <w:rPr>
          <w:rFonts w:ascii="Arial" w:hAnsi="Arial" w:cs="Arial"/>
        </w:rPr>
        <w:t xml:space="preserve">One type of support which has been affected the least by the pandemic has been paid home care. </w:t>
      </w:r>
      <w:r w:rsidR="00316E8B" w:rsidRPr="00C52D25">
        <w:rPr>
          <w:rFonts w:ascii="Arial" w:hAnsi="Arial" w:cs="Arial"/>
        </w:rPr>
        <w:t>Receiving paid home care enable</w:t>
      </w:r>
      <w:r w:rsidR="003F202E" w:rsidRPr="00C52D25">
        <w:rPr>
          <w:rFonts w:ascii="Arial" w:hAnsi="Arial" w:cs="Arial"/>
        </w:rPr>
        <w:t>s</w:t>
      </w:r>
      <w:r w:rsidR="00316E8B" w:rsidRPr="00C52D25">
        <w:rPr>
          <w:rFonts w:ascii="Arial" w:hAnsi="Arial" w:cs="Arial"/>
        </w:rPr>
        <w:t xml:space="preserve"> PLWD and older adults to stay at home independently for longer – as people wish to avoid entering a care home and stay in their familiar environment </w:t>
      </w:r>
      <w:r w:rsidR="006C1685" w:rsidRPr="00C52D25">
        <w:rPr>
          <w:rFonts w:ascii="Arial" w:hAnsi="Arial" w:cs="Arial"/>
        </w:rPr>
        <w:t>[1</w:t>
      </w:r>
      <w:r w:rsidR="00BE4F63" w:rsidRPr="00C52D25">
        <w:rPr>
          <w:rFonts w:ascii="Arial" w:hAnsi="Arial" w:cs="Arial"/>
        </w:rPr>
        <w:t>7</w:t>
      </w:r>
      <w:r w:rsidR="006C1685" w:rsidRPr="00C52D25">
        <w:rPr>
          <w:rFonts w:ascii="Arial" w:hAnsi="Arial" w:cs="Arial"/>
        </w:rPr>
        <w:t>]</w:t>
      </w:r>
      <w:r w:rsidR="00536555" w:rsidRPr="00C52D25">
        <w:rPr>
          <w:rFonts w:ascii="Arial" w:hAnsi="Arial" w:cs="Arial"/>
        </w:rPr>
        <w:t xml:space="preserve">. </w:t>
      </w:r>
      <w:r w:rsidR="00316E8B" w:rsidRPr="00C52D25">
        <w:rPr>
          <w:rFonts w:ascii="Arial" w:hAnsi="Arial" w:cs="Arial"/>
        </w:rPr>
        <w:t>Whilst there was a reduction in paid home care usage compared to pre-pandemic levels, overall paid home carers were utilised the most. A qualitative exploration into decision-making for whether</w:t>
      </w:r>
      <w:r w:rsidR="003F202E" w:rsidRPr="00C52D25">
        <w:rPr>
          <w:rFonts w:ascii="Arial" w:hAnsi="Arial" w:cs="Arial"/>
        </w:rPr>
        <w:t xml:space="preserve"> or not</w:t>
      </w:r>
      <w:r w:rsidR="00316E8B" w:rsidRPr="00C52D25">
        <w:rPr>
          <w:rFonts w:ascii="Arial" w:hAnsi="Arial" w:cs="Arial"/>
        </w:rPr>
        <w:t xml:space="preserve"> to continue paid home care during the pandemic has shown that many unpaid carers were afraid of having paid carers enter the home (often with inadequate PPE) for risk of potential virus transmission</w:t>
      </w:r>
      <w:r w:rsidR="006C1685" w:rsidRPr="00C52D25">
        <w:rPr>
          <w:rFonts w:ascii="Arial" w:hAnsi="Arial" w:cs="Arial"/>
        </w:rPr>
        <w:t xml:space="preserve"> [</w:t>
      </w:r>
      <w:r w:rsidR="00BE4F63" w:rsidRPr="00C52D25">
        <w:rPr>
          <w:rFonts w:ascii="Arial" w:hAnsi="Arial" w:cs="Arial"/>
        </w:rPr>
        <w:t>10</w:t>
      </w:r>
      <w:r w:rsidR="006C1685" w:rsidRPr="00C52D25">
        <w:rPr>
          <w:rFonts w:ascii="Arial" w:hAnsi="Arial" w:cs="Arial"/>
        </w:rPr>
        <w:t>]</w:t>
      </w:r>
      <w:r w:rsidR="00316E8B" w:rsidRPr="00C52D25">
        <w:rPr>
          <w:rFonts w:ascii="Arial" w:hAnsi="Arial" w:cs="Arial"/>
        </w:rPr>
        <w:t>. Other unpaid carers however felt unable to cope without the support, or indeed accepted the potential risks, and continued paid home care. There is also a notable difference between social care provision (</w:t>
      </w:r>
      <w:r w:rsidR="00721F39" w:rsidRPr="00C52D25">
        <w:rPr>
          <w:rFonts w:ascii="Arial" w:hAnsi="Arial" w:cs="Arial"/>
        </w:rPr>
        <w:t xml:space="preserve">which is paid home care) and third sector care provision (which involves support groups and social activities for example). The third sector relies on volunteers providing services, and has also suffered during the pandemic, whereas </w:t>
      </w:r>
      <w:r w:rsidR="00F23D9B" w:rsidRPr="00C52D25">
        <w:rPr>
          <w:rFonts w:ascii="Arial" w:hAnsi="Arial" w:cs="Arial"/>
        </w:rPr>
        <w:t xml:space="preserve">the </w:t>
      </w:r>
      <w:r w:rsidR="00721F39" w:rsidRPr="00C52D25">
        <w:rPr>
          <w:rFonts w:ascii="Arial" w:hAnsi="Arial" w:cs="Arial"/>
        </w:rPr>
        <w:t>social care</w:t>
      </w:r>
      <w:r w:rsidR="00F23D9B" w:rsidRPr="00C52D25">
        <w:rPr>
          <w:rFonts w:ascii="Arial" w:hAnsi="Arial" w:cs="Arial"/>
        </w:rPr>
        <w:t xml:space="preserve"> sector</w:t>
      </w:r>
      <w:r w:rsidR="00721F39" w:rsidRPr="00C52D25">
        <w:rPr>
          <w:rFonts w:ascii="Arial" w:hAnsi="Arial" w:cs="Arial"/>
        </w:rPr>
        <w:t xml:space="preserve"> is financially supported by the government. </w:t>
      </w:r>
      <w:r w:rsidR="00F23D9B" w:rsidRPr="00C52D25">
        <w:rPr>
          <w:rFonts w:ascii="Arial" w:hAnsi="Arial" w:cs="Arial"/>
        </w:rPr>
        <w:t xml:space="preserve">Therefore, the ability to receive home care might not have been affected </w:t>
      </w:r>
      <w:r w:rsidR="003F202E" w:rsidRPr="00C52D25">
        <w:rPr>
          <w:rFonts w:ascii="Arial" w:hAnsi="Arial" w:cs="Arial"/>
        </w:rPr>
        <w:t>to the same extent</w:t>
      </w:r>
      <w:r w:rsidR="00F23D9B" w:rsidRPr="00C52D25">
        <w:rPr>
          <w:rFonts w:ascii="Arial" w:hAnsi="Arial" w:cs="Arial"/>
        </w:rPr>
        <w:t xml:space="preserve"> as accessing support groups for instance. Another potential reason for variations </w:t>
      </w:r>
      <w:r w:rsidR="00BB6CAC" w:rsidRPr="00C52D25">
        <w:rPr>
          <w:rFonts w:ascii="Arial" w:hAnsi="Arial" w:cs="Arial"/>
        </w:rPr>
        <w:t>in</w:t>
      </w:r>
      <w:r w:rsidR="00F23D9B" w:rsidRPr="00C52D25">
        <w:rPr>
          <w:rFonts w:ascii="Arial" w:hAnsi="Arial" w:cs="Arial"/>
        </w:rPr>
        <w:t xml:space="preserve"> usage between </w:t>
      </w:r>
      <w:r w:rsidR="00BB6CAC" w:rsidRPr="00C52D25">
        <w:rPr>
          <w:rFonts w:ascii="Arial" w:hAnsi="Arial" w:cs="Arial"/>
        </w:rPr>
        <w:t>activity types</w:t>
      </w:r>
      <w:r w:rsidR="00F23D9B" w:rsidRPr="00C52D25">
        <w:rPr>
          <w:rFonts w:ascii="Arial" w:hAnsi="Arial" w:cs="Arial"/>
        </w:rPr>
        <w:t xml:space="preserve"> is that home care involves someone from the outside entering someone’s home. In contrast, day care centres, respite care, and social activities involve older adults and PLWD going outside to larger social gatherings. Due to public health restrictions, these have been temporarily rendered largely</w:t>
      </w:r>
      <w:r w:rsidR="00E82704" w:rsidRPr="00C52D25">
        <w:rPr>
          <w:rFonts w:ascii="Arial" w:hAnsi="Arial" w:cs="Arial"/>
        </w:rPr>
        <w:t>,</w:t>
      </w:r>
      <w:r w:rsidR="00F23D9B" w:rsidRPr="00C52D25">
        <w:rPr>
          <w:rFonts w:ascii="Arial" w:hAnsi="Arial" w:cs="Arial"/>
        </w:rPr>
        <w:t xml:space="preserve"> if not completely</w:t>
      </w:r>
      <w:r w:rsidR="00E82704" w:rsidRPr="00C52D25">
        <w:rPr>
          <w:rFonts w:ascii="Arial" w:hAnsi="Arial" w:cs="Arial"/>
        </w:rPr>
        <w:t>,</w:t>
      </w:r>
      <w:r w:rsidR="00F23D9B" w:rsidRPr="00C52D25">
        <w:rPr>
          <w:rFonts w:ascii="Arial" w:hAnsi="Arial" w:cs="Arial"/>
        </w:rPr>
        <w:t xml:space="preserve"> impossible to take place in their original face-to-face </w:t>
      </w:r>
      <w:r w:rsidR="00E82704" w:rsidRPr="00C52D25">
        <w:rPr>
          <w:rFonts w:ascii="Arial" w:hAnsi="Arial" w:cs="Arial"/>
        </w:rPr>
        <w:t>formats</w:t>
      </w:r>
      <w:r w:rsidR="00F23D9B" w:rsidRPr="00C52D25">
        <w:rPr>
          <w:rFonts w:ascii="Arial" w:hAnsi="Arial" w:cs="Arial"/>
        </w:rPr>
        <w:t xml:space="preserve">. </w:t>
      </w:r>
      <w:r w:rsidR="00EE301A" w:rsidRPr="00C52D25">
        <w:rPr>
          <w:rFonts w:ascii="Arial" w:hAnsi="Arial" w:cs="Arial"/>
        </w:rPr>
        <w:t>As numbers of infections rise again, these restrictions are being strengthened and re-imposed with large fines possible for those transgressing them.</w:t>
      </w:r>
    </w:p>
    <w:p w14:paraId="02E74A11" w14:textId="512F515E" w:rsidR="007B469B" w:rsidRPr="00C52D25" w:rsidRDefault="00B70A96" w:rsidP="009D428C">
      <w:pPr>
        <w:spacing w:after="0"/>
        <w:jc w:val="both"/>
        <w:rPr>
          <w:rFonts w:ascii="Arial" w:hAnsi="Arial" w:cs="Arial"/>
        </w:rPr>
      </w:pPr>
      <w:r w:rsidRPr="00C52D25">
        <w:rPr>
          <w:rFonts w:ascii="Arial" w:hAnsi="Arial" w:cs="Arial"/>
        </w:rPr>
        <w:tab/>
      </w:r>
      <w:r w:rsidR="0031422A" w:rsidRPr="00C52D25">
        <w:rPr>
          <w:rFonts w:ascii="Arial" w:hAnsi="Arial" w:cs="Arial"/>
        </w:rPr>
        <w:t>Levels of a</w:t>
      </w:r>
      <w:r w:rsidR="00CB1997" w:rsidRPr="00C52D25">
        <w:rPr>
          <w:rFonts w:ascii="Arial" w:hAnsi="Arial" w:cs="Arial"/>
        </w:rPr>
        <w:t>nxiety, depression, and well-being changed over the course of the study period</w:t>
      </w:r>
      <w:r w:rsidR="00F61BEB" w:rsidRPr="00C52D25">
        <w:rPr>
          <w:rFonts w:ascii="Arial" w:hAnsi="Arial" w:cs="Arial"/>
        </w:rPr>
        <w:t xml:space="preserve">. Over 12 weeks, cases of anxiety across the total sample dropped, whilst cases of depression increased significantly. However, when exploring levels of anxiety and depression </w:t>
      </w:r>
      <w:r w:rsidR="00EE301A" w:rsidRPr="00C52D25">
        <w:rPr>
          <w:rFonts w:ascii="Arial" w:hAnsi="Arial" w:cs="Arial"/>
        </w:rPr>
        <w:t xml:space="preserve">within </w:t>
      </w:r>
      <w:r w:rsidR="00F61BEB" w:rsidRPr="00C52D25">
        <w:rPr>
          <w:rFonts w:ascii="Arial" w:hAnsi="Arial" w:cs="Arial"/>
        </w:rPr>
        <w:t>group</w:t>
      </w:r>
      <w:r w:rsidR="00EE301A" w:rsidRPr="00C52D25">
        <w:rPr>
          <w:rFonts w:ascii="Arial" w:hAnsi="Arial" w:cs="Arial"/>
        </w:rPr>
        <w:t>s</w:t>
      </w:r>
      <w:r w:rsidR="00F61BEB" w:rsidRPr="00C52D25">
        <w:rPr>
          <w:rFonts w:ascii="Arial" w:hAnsi="Arial" w:cs="Arial"/>
        </w:rPr>
        <w:t>, no significant changes were noted</w:t>
      </w:r>
      <w:r w:rsidR="00220C4D" w:rsidRPr="00C52D25">
        <w:rPr>
          <w:rFonts w:ascii="Arial" w:hAnsi="Arial" w:cs="Arial"/>
        </w:rPr>
        <w:t>, which is likely to have been due to small and varied sample sizes for each subgroup</w:t>
      </w:r>
      <w:r w:rsidR="00F61BEB" w:rsidRPr="00C52D25">
        <w:rPr>
          <w:rFonts w:ascii="Arial" w:hAnsi="Arial" w:cs="Arial"/>
        </w:rPr>
        <w:t xml:space="preserve">. </w:t>
      </w:r>
      <w:r w:rsidR="006F027A" w:rsidRPr="00C52D25">
        <w:rPr>
          <w:rFonts w:ascii="Arial" w:hAnsi="Arial" w:cs="Arial"/>
        </w:rPr>
        <w:t xml:space="preserve">Similarly, no significant variations in levels of anxiety, depression, and mental well-being were found between those who completed all three survey time points, and those who had dropped out after T1 or T2. </w:t>
      </w:r>
      <w:r w:rsidR="003F202E" w:rsidRPr="00C52D25">
        <w:rPr>
          <w:rFonts w:ascii="Arial" w:hAnsi="Arial" w:cs="Arial"/>
        </w:rPr>
        <w:t>I</w:t>
      </w:r>
      <w:r w:rsidR="00F61BEB" w:rsidRPr="00C52D25">
        <w:rPr>
          <w:rFonts w:ascii="Arial" w:hAnsi="Arial" w:cs="Arial"/>
        </w:rPr>
        <w:t>t is possible</w:t>
      </w:r>
      <w:r w:rsidR="003F202E" w:rsidRPr="00C52D25">
        <w:rPr>
          <w:rFonts w:ascii="Arial" w:hAnsi="Arial" w:cs="Arial"/>
        </w:rPr>
        <w:t xml:space="preserve"> </w:t>
      </w:r>
      <w:r w:rsidR="00F61BEB" w:rsidRPr="00C52D25">
        <w:rPr>
          <w:rFonts w:ascii="Arial" w:hAnsi="Arial" w:cs="Arial"/>
        </w:rPr>
        <w:t xml:space="preserve">that participants felt more connected over time, particularly considering again that the majority of participants completed the survey online and thus were able to participate in remote services, where these existed. </w:t>
      </w:r>
      <w:r w:rsidR="00FE36E3" w:rsidRPr="00C52D25">
        <w:rPr>
          <w:rFonts w:ascii="Arial" w:hAnsi="Arial" w:cs="Arial"/>
        </w:rPr>
        <w:t xml:space="preserve">Recent evidence from Spain showed how older adults were less likely to suffer from psychological distress as a result of the pandemic than people aged below 60 </w:t>
      </w:r>
      <w:r w:rsidR="006C1685" w:rsidRPr="00C52D25">
        <w:rPr>
          <w:rFonts w:ascii="Arial" w:hAnsi="Arial" w:cs="Arial"/>
        </w:rPr>
        <w:t>[1</w:t>
      </w:r>
      <w:r w:rsidR="00BE4F63" w:rsidRPr="00C52D25">
        <w:rPr>
          <w:rFonts w:ascii="Arial" w:hAnsi="Arial" w:cs="Arial"/>
        </w:rPr>
        <w:t>8</w:t>
      </w:r>
      <w:r w:rsidR="006C1685" w:rsidRPr="00C52D25">
        <w:rPr>
          <w:rFonts w:ascii="Arial" w:hAnsi="Arial" w:cs="Arial"/>
        </w:rPr>
        <w:t>]</w:t>
      </w:r>
      <w:r w:rsidR="00FE36E3" w:rsidRPr="00C52D25">
        <w:rPr>
          <w:rFonts w:ascii="Arial" w:hAnsi="Arial" w:cs="Arial"/>
        </w:rPr>
        <w:t xml:space="preserve">. Nevertheless, overall the pandemic is having a heightened impact on the mental health of the general population </w:t>
      </w:r>
      <w:r w:rsidR="006C1685" w:rsidRPr="00C52D25">
        <w:rPr>
          <w:rFonts w:ascii="Arial" w:hAnsi="Arial" w:cs="Arial"/>
        </w:rPr>
        <w:t>[1</w:t>
      </w:r>
      <w:r w:rsidR="00BE4F63" w:rsidRPr="00C52D25">
        <w:rPr>
          <w:rFonts w:ascii="Arial" w:hAnsi="Arial" w:cs="Arial"/>
        </w:rPr>
        <w:t>9-20</w:t>
      </w:r>
      <w:r w:rsidR="006C1685" w:rsidRPr="00C52D25">
        <w:rPr>
          <w:rFonts w:ascii="Arial" w:hAnsi="Arial" w:cs="Arial"/>
        </w:rPr>
        <w:t>]</w:t>
      </w:r>
      <w:r w:rsidR="00831D66" w:rsidRPr="00C52D25">
        <w:rPr>
          <w:rFonts w:ascii="Arial" w:hAnsi="Arial" w:cs="Arial"/>
        </w:rPr>
        <w:t>. E</w:t>
      </w:r>
      <w:r w:rsidR="002E1F73" w:rsidRPr="00C52D25">
        <w:rPr>
          <w:rFonts w:ascii="Arial" w:hAnsi="Arial" w:cs="Arial"/>
        </w:rPr>
        <w:t>ngaging in social activities</w:t>
      </w:r>
      <w:r w:rsidR="00831D66" w:rsidRPr="00C52D25">
        <w:rPr>
          <w:rFonts w:ascii="Arial" w:hAnsi="Arial" w:cs="Arial"/>
        </w:rPr>
        <w:t xml:space="preserve"> can be one avenue to</w:t>
      </w:r>
      <w:r w:rsidR="00FE36E3" w:rsidRPr="00C52D25">
        <w:rPr>
          <w:rFonts w:ascii="Arial" w:hAnsi="Arial" w:cs="Arial"/>
        </w:rPr>
        <w:t xml:space="preserve"> help maintain </w:t>
      </w:r>
      <w:r w:rsidR="00C4413B" w:rsidRPr="00C52D25">
        <w:rPr>
          <w:rFonts w:ascii="Arial" w:hAnsi="Arial" w:cs="Arial"/>
        </w:rPr>
        <w:t xml:space="preserve">good mental health </w:t>
      </w:r>
      <w:r w:rsidR="006C1685" w:rsidRPr="00C52D25">
        <w:rPr>
          <w:rFonts w:ascii="Arial" w:hAnsi="Arial" w:cs="Arial"/>
        </w:rPr>
        <w:t>[</w:t>
      </w:r>
      <w:r w:rsidR="00BE4F63" w:rsidRPr="00C52D25">
        <w:rPr>
          <w:rFonts w:ascii="Arial" w:hAnsi="Arial" w:cs="Arial"/>
        </w:rPr>
        <w:t>21</w:t>
      </w:r>
      <w:r w:rsidR="006C1685" w:rsidRPr="00C52D25">
        <w:rPr>
          <w:rFonts w:ascii="Arial" w:hAnsi="Arial" w:cs="Arial"/>
        </w:rPr>
        <w:t>]</w:t>
      </w:r>
      <w:r w:rsidR="00C4413B" w:rsidRPr="00C52D25">
        <w:rPr>
          <w:rFonts w:ascii="Arial" w:hAnsi="Arial" w:cs="Arial"/>
        </w:rPr>
        <w:t xml:space="preserve">. Considering that reductions in social engagement both before and after a dementia diagnosis are common </w:t>
      </w:r>
      <w:r w:rsidR="006C1685" w:rsidRPr="00C52D25">
        <w:rPr>
          <w:rFonts w:ascii="Arial" w:hAnsi="Arial" w:cs="Arial"/>
        </w:rPr>
        <w:t>[2</w:t>
      </w:r>
      <w:r w:rsidR="00BE4F63" w:rsidRPr="00C52D25">
        <w:rPr>
          <w:rFonts w:ascii="Arial" w:hAnsi="Arial" w:cs="Arial"/>
        </w:rPr>
        <w:t>2</w:t>
      </w:r>
      <w:r w:rsidR="006C1685" w:rsidRPr="00C52D25">
        <w:rPr>
          <w:rFonts w:ascii="Arial" w:hAnsi="Arial" w:cs="Arial"/>
        </w:rPr>
        <w:t>]</w:t>
      </w:r>
      <w:r w:rsidR="00C4413B" w:rsidRPr="00C52D25">
        <w:rPr>
          <w:rFonts w:ascii="Arial" w:hAnsi="Arial" w:cs="Arial"/>
        </w:rPr>
        <w:t>, enabling continued engagement throughout the pandemic is important to support PLWD, carers, and older adults adequately</w:t>
      </w:r>
      <w:r w:rsidR="00185259" w:rsidRPr="00C52D25">
        <w:rPr>
          <w:rFonts w:ascii="Arial" w:hAnsi="Arial" w:cs="Arial"/>
        </w:rPr>
        <w:t xml:space="preserve">. This is corroborated by </w:t>
      </w:r>
      <w:r w:rsidR="00C4413B" w:rsidRPr="00C52D25">
        <w:rPr>
          <w:rFonts w:ascii="Arial" w:hAnsi="Arial" w:cs="Arial"/>
        </w:rPr>
        <w:t xml:space="preserve">evidence </w:t>
      </w:r>
      <w:r w:rsidR="00185259" w:rsidRPr="00C52D25">
        <w:rPr>
          <w:rFonts w:ascii="Arial" w:hAnsi="Arial" w:cs="Arial"/>
        </w:rPr>
        <w:t>from the baseline survey showing that</w:t>
      </w:r>
      <w:r w:rsidR="00C4413B" w:rsidRPr="00C52D25">
        <w:rPr>
          <w:rFonts w:ascii="Arial" w:hAnsi="Arial" w:cs="Arial"/>
        </w:rPr>
        <w:t xml:space="preserve"> reductions in social support usage were linked to mental well-being </w:t>
      </w:r>
      <w:r w:rsidR="006C1685" w:rsidRPr="00C52D25">
        <w:rPr>
          <w:rFonts w:ascii="Arial" w:hAnsi="Arial" w:cs="Arial"/>
        </w:rPr>
        <w:t>[2</w:t>
      </w:r>
      <w:r w:rsidR="00BE4F63" w:rsidRPr="00C52D25">
        <w:rPr>
          <w:rFonts w:ascii="Arial" w:hAnsi="Arial" w:cs="Arial"/>
        </w:rPr>
        <w:t>3</w:t>
      </w:r>
      <w:r w:rsidR="006C1685" w:rsidRPr="00C52D25">
        <w:rPr>
          <w:rFonts w:ascii="Arial" w:hAnsi="Arial" w:cs="Arial"/>
        </w:rPr>
        <w:t>]</w:t>
      </w:r>
      <w:r w:rsidR="00C4413B" w:rsidRPr="00C52D25">
        <w:rPr>
          <w:rFonts w:ascii="Arial" w:hAnsi="Arial" w:cs="Arial"/>
        </w:rPr>
        <w:t xml:space="preserve">. </w:t>
      </w:r>
      <w:r w:rsidR="00CB1997" w:rsidRPr="00C52D25">
        <w:rPr>
          <w:rFonts w:ascii="Arial" w:hAnsi="Arial" w:cs="Arial"/>
        </w:rPr>
        <w:t xml:space="preserve">It is possible that for this study, merging groups of older adults, PLWD, and carers resulted in no significant associations, as each group was </w:t>
      </w:r>
      <w:r w:rsidR="00CB1997" w:rsidRPr="00C52D25">
        <w:rPr>
          <w:rFonts w:ascii="Arial" w:hAnsi="Arial" w:cs="Arial"/>
        </w:rPr>
        <w:lastRenderedPageBreak/>
        <w:t>differently affected, as indicated by looking at changes of mental well-being for each group across the 12 weeks.</w:t>
      </w:r>
    </w:p>
    <w:p w14:paraId="1DE0FFC0" w14:textId="1D70BED8" w:rsidR="00282DB6" w:rsidRPr="00C52D25" w:rsidRDefault="00EE29F7" w:rsidP="00CA1C76">
      <w:pPr>
        <w:spacing w:after="0"/>
        <w:ind w:firstLine="720"/>
        <w:jc w:val="both"/>
        <w:rPr>
          <w:rFonts w:ascii="Arial" w:hAnsi="Arial" w:cs="Arial"/>
        </w:rPr>
      </w:pPr>
      <w:r w:rsidRPr="00C52D25">
        <w:rPr>
          <w:rFonts w:ascii="Arial" w:hAnsi="Arial" w:cs="Arial"/>
        </w:rPr>
        <w:t xml:space="preserve">There were some limitations to our </w:t>
      </w:r>
      <w:r w:rsidR="00D92DBC" w:rsidRPr="00C52D25">
        <w:rPr>
          <w:rFonts w:ascii="Arial" w:hAnsi="Arial" w:cs="Arial"/>
        </w:rPr>
        <w:t xml:space="preserve">exploratory </w:t>
      </w:r>
      <w:r w:rsidRPr="00C52D25">
        <w:rPr>
          <w:rFonts w:ascii="Arial" w:hAnsi="Arial" w:cs="Arial"/>
        </w:rPr>
        <w:t xml:space="preserve">study. Whilst benefitting from a large sample size and good retention rate over </w:t>
      </w:r>
      <w:r w:rsidR="00B222D2" w:rsidRPr="00C52D25">
        <w:rPr>
          <w:rFonts w:ascii="Arial" w:hAnsi="Arial" w:cs="Arial"/>
        </w:rPr>
        <w:t xml:space="preserve">a relatively short time period of </w:t>
      </w:r>
      <w:r w:rsidRPr="00C52D25">
        <w:rPr>
          <w:rFonts w:ascii="Arial" w:hAnsi="Arial" w:cs="Arial"/>
        </w:rPr>
        <w:t xml:space="preserve">12 weeks, </w:t>
      </w:r>
      <w:r w:rsidR="008F592E" w:rsidRPr="00C52D25">
        <w:rPr>
          <w:rFonts w:ascii="Arial" w:hAnsi="Arial" w:cs="Arial"/>
        </w:rPr>
        <w:t>there was some missing data and not everyone completed all three survey time points. However, this is standard in longitudinal survey-based research, and we still generated a large sample size across all three time points. By comparing those who completed all three survey time points and those who dropped out after T1 or T2, we established that there no significant differences in their mental health scores. Concerning the participant population, it is to be noted that t</w:t>
      </w:r>
      <w:r w:rsidRPr="00C52D25">
        <w:rPr>
          <w:rFonts w:ascii="Arial" w:hAnsi="Arial" w:cs="Arial"/>
        </w:rPr>
        <w:t xml:space="preserve">he majority of participants had internet access and were thus also able to join in remote social support. Although we actively approached older adults, PLWD, and carers </w:t>
      </w:r>
      <w:r w:rsidR="0028066C" w:rsidRPr="00C52D25">
        <w:rPr>
          <w:rFonts w:ascii="Arial" w:hAnsi="Arial" w:cs="Arial"/>
        </w:rPr>
        <w:t xml:space="preserve">via phone through recruiting organisations, only some people took part over the phone. It is likely however that those people without internet access have been even more isolated through the pandemic, with potentially severe mental health needs, which we have only captured a snapshot of. </w:t>
      </w:r>
      <w:r w:rsidR="00CA1C76" w:rsidRPr="00C52D25">
        <w:rPr>
          <w:rFonts w:ascii="Arial" w:hAnsi="Arial" w:cs="Arial"/>
        </w:rPr>
        <w:t xml:space="preserve">This also links to the fact that there are likely to be longer-term effects on mental well-being, with our survey only providing a snap shot of the first few months since the start of the pandemic. </w:t>
      </w:r>
      <w:r w:rsidR="00901420" w:rsidRPr="00C52D25">
        <w:rPr>
          <w:rFonts w:ascii="Arial" w:hAnsi="Arial" w:cs="Arial"/>
        </w:rPr>
        <w:t xml:space="preserve">Equally, our survey did not include pre-pandemic levels of mental well-being (anxiety, depression, and quality of life), which would have provided additional insight into changes in mental well-being. However, due to the unforeseen circumstance of the pandemic, it was not feasible to collect these data. </w:t>
      </w:r>
      <w:r w:rsidR="002568C9" w:rsidRPr="00C52D25">
        <w:rPr>
          <w:rFonts w:ascii="Arial" w:hAnsi="Arial" w:cs="Arial"/>
        </w:rPr>
        <w:t>W</w:t>
      </w:r>
      <w:r w:rsidR="00D93458" w:rsidRPr="00C52D25">
        <w:rPr>
          <w:rFonts w:ascii="Arial" w:hAnsi="Arial" w:cs="Arial"/>
        </w:rPr>
        <w:t>e only enquired about weekly hours of total social support usage, and not for each specific type of activity</w:t>
      </w:r>
      <w:r w:rsidR="00B222D2" w:rsidRPr="00C52D25">
        <w:rPr>
          <w:rFonts w:ascii="Arial" w:hAnsi="Arial" w:cs="Arial"/>
        </w:rPr>
        <w:t xml:space="preserve">. </w:t>
      </w:r>
      <w:r w:rsidR="00D93458" w:rsidRPr="00C52D25">
        <w:rPr>
          <w:rFonts w:ascii="Arial" w:hAnsi="Arial" w:cs="Arial"/>
        </w:rPr>
        <w:t xml:space="preserve"> </w:t>
      </w:r>
      <w:r w:rsidR="00B222D2" w:rsidRPr="00C52D25">
        <w:rPr>
          <w:rFonts w:ascii="Arial" w:hAnsi="Arial" w:cs="Arial"/>
        </w:rPr>
        <w:t xml:space="preserve">Some </w:t>
      </w:r>
      <w:r w:rsidR="00D93458" w:rsidRPr="00C52D25">
        <w:rPr>
          <w:rFonts w:ascii="Arial" w:hAnsi="Arial" w:cs="Arial"/>
        </w:rPr>
        <w:t>participants might have accessed</w:t>
      </w:r>
      <w:r w:rsidR="00B222D2" w:rsidRPr="00C52D25">
        <w:rPr>
          <w:rFonts w:ascii="Arial" w:hAnsi="Arial" w:cs="Arial"/>
        </w:rPr>
        <w:t>,</w:t>
      </w:r>
      <w:r w:rsidR="00D93458" w:rsidRPr="00C52D25">
        <w:rPr>
          <w:rFonts w:ascii="Arial" w:hAnsi="Arial" w:cs="Arial"/>
        </w:rPr>
        <w:t xml:space="preserve"> for example</w:t>
      </w:r>
      <w:r w:rsidR="00B222D2" w:rsidRPr="00C52D25">
        <w:rPr>
          <w:rFonts w:ascii="Arial" w:hAnsi="Arial" w:cs="Arial"/>
        </w:rPr>
        <w:t>,</w:t>
      </w:r>
      <w:r w:rsidR="00D93458" w:rsidRPr="00C52D25">
        <w:rPr>
          <w:rFonts w:ascii="Arial" w:hAnsi="Arial" w:cs="Arial"/>
        </w:rPr>
        <w:t xml:space="preserve"> paid home care, but only for </w:t>
      </w:r>
      <w:r w:rsidR="00185259" w:rsidRPr="00C52D25">
        <w:rPr>
          <w:rFonts w:ascii="Arial" w:hAnsi="Arial" w:cs="Arial"/>
        </w:rPr>
        <w:t>two</w:t>
      </w:r>
      <w:r w:rsidR="00D93458" w:rsidRPr="00C52D25">
        <w:rPr>
          <w:rFonts w:ascii="Arial" w:hAnsi="Arial" w:cs="Arial"/>
        </w:rPr>
        <w:t xml:space="preserve"> hours as opposed to others who might have received 40 hours a week. We are thus unable to state in detail how the pandemic has affected the level of each different type of support, but instead we provide a more general overview of activities and general service usage variations since the nationwide lockdown, which to existing knowledge has not been captured elsewhere.</w:t>
      </w:r>
    </w:p>
    <w:p w14:paraId="07CEAE8B" w14:textId="77777777" w:rsidR="00E47B5A" w:rsidRPr="00C52D25" w:rsidRDefault="00E47B5A" w:rsidP="00CA1C76">
      <w:pPr>
        <w:spacing w:after="0"/>
        <w:ind w:firstLine="720"/>
        <w:jc w:val="both"/>
        <w:rPr>
          <w:rFonts w:ascii="Arial" w:hAnsi="Arial" w:cs="Arial"/>
        </w:rPr>
      </w:pPr>
    </w:p>
    <w:p w14:paraId="74AB875E" w14:textId="29A3FAE6" w:rsidR="00282DB6" w:rsidRPr="00C52D25" w:rsidRDefault="00282DB6" w:rsidP="00282DB6">
      <w:pPr>
        <w:jc w:val="both"/>
        <w:rPr>
          <w:rFonts w:ascii="Arial" w:hAnsi="Arial" w:cs="Arial"/>
          <w:b/>
          <w:sz w:val="24"/>
        </w:rPr>
      </w:pPr>
      <w:r w:rsidRPr="00C52D25">
        <w:rPr>
          <w:rFonts w:ascii="Arial" w:hAnsi="Arial" w:cs="Arial"/>
          <w:b/>
          <w:sz w:val="24"/>
        </w:rPr>
        <w:t>Conclusions</w:t>
      </w:r>
    </w:p>
    <w:p w14:paraId="119A2ED0" w14:textId="595C0789" w:rsidR="00E44DE8" w:rsidRPr="00C52D25" w:rsidRDefault="00F818D0" w:rsidP="00282DB6">
      <w:pPr>
        <w:jc w:val="both"/>
        <w:rPr>
          <w:rFonts w:ascii="Arial" w:hAnsi="Arial" w:cs="Arial"/>
        </w:rPr>
      </w:pPr>
      <w:r w:rsidRPr="00C52D25">
        <w:rPr>
          <w:rFonts w:ascii="Arial" w:hAnsi="Arial" w:cs="Arial"/>
        </w:rPr>
        <w:t xml:space="preserve">The pandemic is having a </w:t>
      </w:r>
      <w:r w:rsidR="0073174E" w:rsidRPr="00C52D25">
        <w:rPr>
          <w:rFonts w:ascii="Arial" w:hAnsi="Arial" w:cs="Arial"/>
        </w:rPr>
        <w:t xml:space="preserve">sudden and </w:t>
      </w:r>
      <w:r w:rsidRPr="00C52D25">
        <w:rPr>
          <w:rFonts w:ascii="Arial" w:hAnsi="Arial" w:cs="Arial"/>
        </w:rPr>
        <w:t>severe long-term impact on social support service usage for older adults and people affected by dementia</w:t>
      </w:r>
      <w:r w:rsidR="007B6356" w:rsidRPr="00C52D25">
        <w:rPr>
          <w:rFonts w:ascii="Arial" w:hAnsi="Arial" w:cs="Arial"/>
        </w:rPr>
        <w:t>, which sees somewhat of a limited increase in usage over the first few months since nationwide lockdown</w:t>
      </w:r>
      <w:r w:rsidR="00A2615F" w:rsidRPr="00C52D25">
        <w:rPr>
          <w:rFonts w:ascii="Arial" w:hAnsi="Arial" w:cs="Arial"/>
        </w:rPr>
        <w:t>.</w:t>
      </w:r>
      <w:r w:rsidR="009A01FB" w:rsidRPr="00C52D25">
        <w:rPr>
          <w:rFonts w:ascii="Arial" w:hAnsi="Arial" w:cs="Arial"/>
        </w:rPr>
        <w:t xml:space="preserve"> Whilst it appears that some services have started providing remote support, not everyone will be able to access </w:t>
      </w:r>
      <w:r w:rsidR="00007C38" w:rsidRPr="00C52D25">
        <w:rPr>
          <w:rFonts w:ascii="Arial" w:hAnsi="Arial" w:cs="Arial"/>
        </w:rPr>
        <w:t>these</w:t>
      </w:r>
      <w:r w:rsidR="00E44DE8" w:rsidRPr="00C52D25">
        <w:rPr>
          <w:rFonts w:ascii="Arial" w:hAnsi="Arial" w:cs="Arial"/>
        </w:rPr>
        <w:t xml:space="preserve">, leaving many people without much needed support. Future research needs to assess how older adults and people affected by dementia are accessing social support services in the time of COVID-19, with clearer support for people to access any format of services – either face-to-face or remotely. </w:t>
      </w:r>
      <w:r w:rsidR="002C3EB7" w:rsidRPr="00C52D25">
        <w:rPr>
          <w:rFonts w:ascii="Arial" w:hAnsi="Arial" w:cs="Arial"/>
        </w:rPr>
        <w:t>Considering that the pandemic is going to continue for the foreseeable future, the mental health of older adults and those affected by dementia needs to be closely monitored, particularly when more stringent public health measures are put in place again.</w:t>
      </w:r>
    </w:p>
    <w:p w14:paraId="76DCDE20" w14:textId="77777777" w:rsidR="00E44DE8" w:rsidRPr="00C52D25" w:rsidRDefault="00E44DE8" w:rsidP="00282DB6">
      <w:pPr>
        <w:jc w:val="both"/>
        <w:rPr>
          <w:rFonts w:ascii="Arial" w:hAnsi="Arial" w:cs="Arial"/>
        </w:rPr>
      </w:pPr>
    </w:p>
    <w:p w14:paraId="0E7B9585" w14:textId="3623D4B3" w:rsidR="00BE5D44" w:rsidRPr="00C52D25" w:rsidRDefault="00BE5D44" w:rsidP="00BE5D44">
      <w:pPr>
        <w:jc w:val="center"/>
        <w:rPr>
          <w:rFonts w:ascii="Arial" w:hAnsi="Arial" w:cs="Arial"/>
          <w:b/>
          <w:sz w:val="28"/>
        </w:rPr>
      </w:pPr>
    </w:p>
    <w:p w14:paraId="17A3B883" w14:textId="7EEA3920" w:rsidR="00BE5D44" w:rsidRPr="00C52D25" w:rsidRDefault="00BE5D44" w:rsidP="00BE5D44">
      <w:pPr>
        <w:jc w:val="center"/>
        <w:rPr>
          <w:rFonts w:ascii="Arial" w:hAnsi="Arial" w:cs="Arial"/>
          <w:b/>
          <w:sz w:val="28"/>
        </w:rPr>
      </w:pPr>
    </w:p>
    <w:p w14:paraId="7A9E8206" w14:textId="78CA0F34" w:rsidR="00BE5D44" w:rsidRPr="00C52D25" w:rsidRDefault="00BE5D44" w:rsidP="00BE5D44">
      <w:pPr>
        <w:jc w:val="center"/>
        <w:rPr>
          <w:rFonts w:ascii="Arial" w:hAnsi="Arial" w:cs="Arial"/>
          <w:b/>
          <w:sz w:val="28"/>
        </w:rPr>
      </w:pPr>
    </w:p>
    <w:p w14:paraId="7AB62F7B" w14:textId="3A48699C" w:rsidR="00E44DE8" w:rsidRPr="00C52D25" w:rsidRDefault="00E44DE8" w:rsidP="00BE5D44">
      <w:pPr>
        <w:jc w:val="center"/>
        <w:rPr>
          <w:rFonts w:ascii="Arial" w:hAnsi="Arial" w:cs="Arial"/>
          <w:b/>
          <w:sz w:val="28"/>
        </w:rPr>
      </w:pPr>
    </w:p>
    <w:p w14:paraId="07085D1E" w14:textId="66E8FA66" w:rsidR="00E44DE8" w:rsidRPr="00C52D25" w:rsidRDefault="00E44DE8" w:rsidP="00BE5D44">
      <w:pPr>
        <w:jc w:val="center"/>
        <w:rPr>
          <w:rFonts w:ascii="Arial" w:hAnsi="Arial" w:cs="Arial"/>
          <w:b/>
          <w:sz w:val="28"/>
        </w:rPr>
      </w:pPr>
    </w:p>
    <w:p w14:paraId="296F0FF5" w14:textId="020CF50D" w:rsidR="00E44DE8" w:rsidRPr="00C52D25" w:rsidRDefault="00E44DE8" w:rsidP="00584FA4">
      <w:pPr>
        <w:spacing w:after="0"/>
        <w:jc w:val="both"/>
        <w:rPr>
          <w:rFonts w:ascii="Arial" w:hAnsi="Arial" w:cs="Arial"/>
          <w:b/>
        </w:rPr>
      </w:pPr>
      <w:r w:rsidRPr="00C52D25">
        <w:rPr>
          <w:rFonts w:ascii="Arial" w:hAnsi="Arial" w:cs="Arial"/>
          <w:b/>
        </w:rPr>
        <w:lastRenderedPageBreak/>
        <w:t>Conflicts of interest</w:t>
      </w:r>
    </w:p>
    <w:p w14:paraId="4E3DC0C0" w14:textId="156A9251" w:rsidR="00E44DE8" w:rsidRPr="00C52D25" w:rsidRDefault="00584FA4" w:rsidP="00E44DE8">
      <w:pPr>
        <w:jc w:val="both"/>
        <w:rPr>
          <w:rFonts w:ascii="Arial" w:hAnsi="Arial" w:cs="Arial"/>
        </w:rPr>
      </w:pPr>
      <w:r w:rsidRPr="00C52D25">
        <w:rPr>
          <w:rFonts w:ascii="Arial" w:hAnsi="Arial" w:cs="Arial"/>
        </w:rPr>
        <w:t>None.</w:t>
      </w:r>
    </w:p>
    <w:p w14:paraId="0EF1DECB" w14:textId="0D579631" w:rsidR="00E44DE8" w:rsidRPr="00C52D25" w:rsidRDefault="00E44DE8" w:rsidP="00584FA4">
      <w:pPr>
        <w:spacing w:after="0"/>
        <w:jc w:val="both"/>
        <w:rPr>
          <w:rFonts w:ascii="Arial" w:hAnsi="Arial" w:cs="Arial"/>
          <w:b/>
        </w:rPr>
      </w:pPr>
      <w:r w:rsidRPr="00C52D25">
        <w:rPr>
          <w:rFonts w:ascii="Arial" w:hAnsi="Arial" w:cs="Arial"/>
          <w:b/>
        </w:rPr>
        <w:t>Acknowledgements</w:t>
      </w:r>
    </w:p>
    <w:p w14:paraId="7429817B" w14:textId="1383F883" w:rsidR="00E44DE8" w:rsidRPr="00C52D25" w:rsidRDefault="00584FA4" w:rsidP="00E44DE8">
      <w:pPr>
        <w:jc w:val="both"/>
        <w:rPr>
          <w:rFonts w:ascii="Arial" w:hAnsi="Arial" w:cs="Arial"/>
        </w:rPr>
      </w:pPr>
      <w:bookmarkStart w:id="2" w:name="_GoBack"/>
      <w:r w:rsidRPr="00C52D25">
        <w:rPr>
          <w:rFonts w:ascii="Arial" w:hAnsi="Arial" w:cs="Arial"/>
        </w:rPr>
        <w:t>This study would not have been possible without our participants, thank you very much. We also wish to thank Join Dementia Research for helping us recruit to our study</w:t>
      </w:r>
      <w:r w:rsidR="00DD1D99">
        <w:rPr>
          <w:rFonts w:ascii="Arial" w:hAnsi="Arial" w:cs="Arial"/>
        </w:rPr>
        <w:t xml:space="preserve"> as well as Emma Riley from Liverpool House of Memory in helping share the link to our survey in their newsletter.</w:t>
      </w:r>
    </w:p>
    <w:bookmarkEnd w:id="2"/>
    <w:p w14:paraId="2D7F54BF" w14:textId="77777777" w:rsidR="00762701" w:rsidRPr="00C52D25" w:rsidRDefault="00762701" w:rsidP="00762701">
      <w:pPr>
        <w:spacing w:after="0"/>
        <w:jc w:val="both"/>
        <w:rPr>
          <w:rFonts w:ascii="Arial" w:hAnsi="Arial" w:cs="Arial"/>
          <w:b/>
        </w:rPr>
      </w:pPr>
      <w:r w:rsidRPr="00C52D25">
        <w:rPr>
          <w:rFonts w:ascii="Arial" w:hAnsi="Arial" w:cs="Arial"/>
          <w:b/>
        </w:rPr>
        <w:t>Funding</w:t>
      </w:r>
    </w:p>
    <w:p w14:paraId="08E300AD" w14:textId="2E93300E" w:rsidR="00762701" w:rsidRPr="00C52D25" w:rsidRDefault="00762701" w:rsidP="00762701">
      <w:pPr>
        <w:spacing w:after="0"/>
        <w:jc w:val="both"/>
        <w:outlineLvl w:val="0"/>
        <w:rPr>
          <w:rFonts w:ascii="Arial" w:hAnsi="Arial" w:cs="Arial"/>
          <w:iCs/>
          <w:shd w:val="clear" w:color="auto" w:fill="FFFFFF"/>
        </w:rPr>
      </w:pPr>
      <w:r w:rsidRPr="00C52D25">
        <w:rPr>
          <w:rFonts w:ascii="Arial" w:hAnsi="Arial" w:cs="Arial"/>
          <w:iCs/>
          <w:shd w:val="clear" w:color="auto" w:fill="FFFFFF"/>
        </w:rPr>
        <w:t>This research is supported by a grant awarded to the authors by the University of Liverpool COVID-19 Strategic Research Fund in 2020. This is also independent research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 The University of Bradford QR Research Fund also supported part of this study.</w:t>
      </w:r>
      <w:r w:rsidR="007976F6" w:rsidRPr="00C52D25">
        <w:rPr>
          <w:rFonts w:ascii="Arial" w:hAnsi="Arial" w:cs="Arial"/>
          <w:iCs/>
          <w:shd w:val="clear" w:color="auto" w:fill="FFFFFF"/>
        </w:rPr>
        <w:t xml:space="preserve"> There are no grant numbers.</w:t>
      </w:r>
    </w:p>
    <w:p w14:paraId="5FA744E1" w14:textId="2F0A43A1" w:rsidR="006C3A2C" w:rsidRPr="00C52D25" w:rsidRDefault="006C3A2C" w:rsidP="00762701">
      <w:pPr>
        <w:spacing w:after="0"/>
        <w:jc w:val="both"/>
        <w:outlineLvl w:val="0"/>
        <w:rPr>
          <w:rFonts w:ascii="Arial" w:hAnsi="Arial" w:cs="Arial"/>
          <w:iCs/>
          <w:shd w:val="clear" w:color="auto" w:fill="FFFFFF"/>
        </w:rPr>
      </w:pPr>
    </w:p>
    <w:p w14:paraId="37D153CD" w14:textId="399EA567" w:rsidR="006C3A2C" w:rsidRPr="00C52D25" w:rsidRDefault="006C3A2C" w:rsidP="00762701">
      <w:pPr>
        <w:spacing w:after="0"/>
        <w:jc w:val="both"/>
        <w:outlineLvl w:val="0"/>
        <w:rPr>
          <w:rFonts w:ascii="Arial" w:hAnsi="Arial" w:cs="Arial"/>
          <w:b/>
          <w:iCs/>
          <w:shd w:val="clear" w:color="auto" w:fill="FFFFFF"/>
        </w:rPr>
      </w:pPr>
      <w:r w:rsidRPr="00C52D25">
        <w:rPr>
          <w:rFonts w:ascii="Arial" w:hAnsi="Arial" w:cs="Arial"/>
          <w:b/>
          <w:iCs/>
          <w:shd w:val="clear" w:color="auto" w:fill="FFFFFF"/>
        </w:rPr>
        <w:t>Data availability statement</w:t>
      </w:r>
    </w:p>
    <w:p w14:paraId="163C43C7" w14:textId="4E4D6148" w:rsidR="006C3A2C" w:rsidRPr="00C52D25" w:rsidRDefault="006C3A2C" w:rsidP="00762701">
      <w:pPr>
        <w:spacing w:after="0"/>
        <w:jc w:val="both"/>
        <w:outlineLvl w:val="0"/>
        <w:rPr>
          <w:rFonts w:ascii="Arial" w:hAnsi="Arial" w:cs="Arial"/>
          <w:iCs/>
          <w:shd w:val="clear" w:color="auto" w:fill="FFFFFF"/>
        </w:rPr>
      </w:pPr>
      <w:r w:rsidRPr="00C52D25">
        <w:rPr>
          <w:rFonts w:ascii="Arial" w:hAnsi="Arial" w:cs="Arial"/>
          <w:iCs/>
          <w:shd w:val="clear" w:color="auto" w:fill="FFFFFF"/>
        </w:rPr>
        <w:t>Data may be obtained from a third party and are not publicly available.</w:t>
      </w:r>
    </w:p>
    <w:p w14:paraId="0999D742" w14:textId="6DE3B91E" w:rsidR="006C3A2C" w:rsidRPr="003B4147" w:rsidRDefault="006C3A2C" w:rsidP="00762701">
      <w:pPr>
        <w:spacing w:after="0"/>
        <w:jc w:val="both"/>
        <w:outlineLvl w:val="0"/>
        <w:rPr>
          <w:rFonts w:ascii="Arial" w:hAnsi="Arial" w:cs="Arial"/>
          <w:iCs/>
          <w:shd w:val="clear" w:color="auto" w:fill="FFFFFF"/>
        </w:rPr>
      </w:pPr>
    </w:p>
    <w:p w14:paraId="5441B24D" w14:textId="32AD480E" w:rsidR="006C3A2C" w:rsidRPr="003B4147" w:rsidRDefault="006C3A2C" w:rsidP="00762701">
      <w:pPr>
        <w:spacing w:after="0"/>
        <w:jc w:val="both"/>
        <w:outlineLvl w:val="0"/>
        <w:rPr>
          <w:rFonts w:ascii="Arial" w:hAnsi="Arial" w:cs="Arial"/>
          <w:b/>
          <w:iCs/>
          <w:shd w:val="clear" w:color="auto" w:fill="FFFFFF"/>
        </w:rPr>
      </w:pPr>
      <w:r w:rsidRPr="003B4147">
        <w:rPr>
          <w:rFonts w:ascii="Arial" w:hAnsi="Arial" w:cs="Arial"/>
          <w:b/>
          <w:iCs/>
          <w:shd w:val="clear" w:color="auto" w:fill="FFFFFF"/>
        </w:rPr>
        <w:t>Author contributions</w:t>
      </w:r>
    </w:p>
    <w:p w14:paraId="3CB1FD2E" w14:textId="70D87432" w:rsidR="006C3A2C" w:rsidRPr="003B4147" w:rsidRDefault="006C3A2C" w:rsidP="00762701">
      <w:pPr>
        <w:spacing w:after="0"/>
        <w:jc w:val="both"/>
        <w:outlineLvl w:val="0"/>
        <w:rPr>
          <w:rFonts w:ascii="Arial" w:hAnsi="Arial" w:cs="Arial"/>
          <w:iCs/>
          <w:shd w:val="clear" w:color="auto" w:fill="FFFFFF"/>
        </w:rPr>
      </w:pPr>
      <w:r w:rsidRPr="003B4147">
        <w:rPr>
          <w:rFonts w:ascii="Arial" w:hAnsi="Arial" w:cs="Arial"/>
          <w:iCs/>
          <w:shd w:val="clear" w:color="auto" w:fill="FFFFFF"/>
        </w:rPr>
        <w:t>CG managed data collection, conducted analysis, and wrote the manuscript. JC, JS, and DP collected data over the phone. DP managed the data. All authors (CG, DP, CC, KL, JS, JC, LS, HT, SL, SC, RW, CR, AK, MR, RE, MD, SR, KW, AG, SB, JB, CW, KB, MG) contributed to designing the survey, interpreting the findings, and reading drafts of the manuscript. All authors approved the final manuscript. Emma Riley helped with recruitment by emailing eligible participants via the House of Memories networks and we wish to thank her for her support with this.</w:t>
      </w:r>
    </w:p>
    <w:p w14:paraId="0D9DD51C" w14:textId="158B9920" w:rsidR="00E44DE8" w:rsidRPr="003B4147" w:rsidRDefault="00E44DE8" w:rsidP="00BE5D44">
      <w:pPr>
        <w:jc w:val="center"/>
        <w:rPr>
          <w:rFonts w:ascii="Arial" w:hAnsi="Arial" w:cs="Arial"/>
          <w:b/>
          <w:sz w:val="28"/>
        </w:rPr>
      </w:pPr>
    </w:p>
    <w:p w14:paraId="277E2D0E" w14:textId="77777777" w:rsidR="006C3A2C" w:rsidRPr="003B4147" w:rsidRDefault="006C3A2C" w:rsidP="00BE5D44">
      <w:pPr>
        <w:jc w:val="center"/>
        <w:rPr>
          <w:rFonts w:ascii="Arial" w:hAnsi="Arial" w:cs="Arial"/>
          <w:b/>
          <w:sz w:val="28"/>
        </w:rPr>
      </w:pPr>
    </w:p>
    <w:p w14:paraId="3901E14B" w14:textId="182CD43D" w:rsidR="006C6C2E" w:rsidRPr="003B4147" w:rsidRDefault="006C6C2E" w:rsidP="00BE5D44">
      <w:pPr>
        <w:jc w:val="center"/>
        <w:rPr>
          <w:rFonts w:ascii="Arial" w:hAnsi="Arial" w:cs="Arial"/>
          <w:b/>
          <w:sz w:val="28"/>
        </w:rPr>
      </w:pPr>
    </w:p>
    <w:p w14:paraId="0AD6E169" w14:textId="77777777" w:rsidR="006C6C2E" w:rsidRPr="003B4147" w:rsidRDefault="006C6C2E" w:rsidP="00BE5D44">
      <w:pPr>
        <w:jc w:val="center"/>
        <w:rPr>
          <w:rFonts w:ascii="Arial" w:hAnsi="Arial" w:cs="Arial"/>
          <w:b/>
          <w:sz w:val="28"/>
        </w:rPr>
      </w:pPr>
    </w:p>
    <w:p w14:paraId="17D838EC" w14:textId="2DED8EDA" w:rsidR="00E44DE8" w:rsidRPr="003B4147" w:rsidRDefault="00E44DE8" w:rsidP="00BE5D44">
      <w:pPr>
        <w:jc w:val="center"/>
        <w:rPr>
          <w:rFonts w:ascii="Arial" w:hAnsi="Arial" w:cs="Arial"/>
          <w:b/>
          <w:sz w:val="28"/>
        </w:rPr>
      </w:pPr>
    </w:p>
    <w:p w14:paraId="0D8E0A2E" w14:textId="1D29370B" w:rsidR="008F081B" w:rsidRPr="003B4147" w:rsidRDefault="008F081B" w:rsidP="00BE5D44">
      <w:pPr>
        <w:jc w:val="center"/>
        <w:rPr>
          <w:rFonts w:ascii="Arial" w:hAnsi="Arial" w:cs="Arial"/>
          <w:b/>
          <w:sz w:val="28"/>
        </w:rPr>
      </w:pPr>
    </w:p>
    <w:p w14:paraId="51315A8A" w14:textId="6D6B4D27" w:rsidR="008F081B" w:rsidRPr="003B4147" w:rsidRDefault="008F081B" w:rsidP="00BE5D44">
      <w:pPr>
        <w:jc w:val="center"/>
        <w:rPr>
          <w:rFonts w:ascii="Arial" w:hAnsi="Arial" w:cs="Arial"/>
          <w:b/>
          <w:sz w:val="28"/>
        </w:rPr>
      </w:pPr>
    </w:p>
    <w:p w14:paraId="487BB605" w14:textId="4D02CA89" w:rsidR="008F081B" w:rsidRPr="003B4147" w:rsidRDefault="008F081B" w:rsidP="00BE5D44">
      <w:pPr>
        <w:jc w:val="center"/>
        <w:rPr>
          <w:rFonts w:ascii="Arial" w:hAnsi="Arial" w:cs="Arial"/>
          <w:b/>
          <w:sz w:val="28"/>
        </w:rPr>
      </w:pPr>
    </w:p>
    <w:p w14:paraId="7F20D91C" w14:textId="2A36043B" w:rsidR="008F081B" w:rsidRPr="003B4147" w:rsidRDefault="008F081B" w:rsidP="00BE5D44">
      <w:pPr>
        <w:jc w:val="center"/>
        <w:rPr>
          <w:rFonts w:ascii="Arial" w:hAnsi="Arial" w:cs="Arial"/>
          <w:b/>
          <w:sz w:val="28"/>
        </w:rPr>
      </w:pPr>
    </w:p>
    <w:p w14:paraId="754D050D" w14:textId="26C7B7B7" w:rsidR="008F081B" w:rsidRDefault="008F081B" w:rsidP="00BE5D44">
      <w:pPr>
        <w:jc w:val="center"/>
        <w:rPr>
          <w:rFonts w:ascii="Arial" w:hAnsi="Arial" w:cs="Arial"/>
          <w:b/>
          <w:sz w:val="28"/>
        </w:rPr>
      </w:pPr>
    </w:p>
    <w:p w14:paraId="56DFA1D9" w14:textId="5C50EEC7" w:rsidR="008F081B" w:rsidRDefault="008F081B" w:rsidP="00BE5D44">
      <w:pPr>
        <w:jc w:val="center"/>
        <w:rPr>
          <w:rFonts w:ascii="Arial" w:hAnsi="Arial" w:cs="Arial"/>
          <w:b/>
          <w:sz w:val="28"/>
        </w:rPr>
      </w:pPr>
    </w:p>
    <w:p w14:paraId="27E5262E" w14:textId="1CF67D0B" w:rsidR="008F081B" w:rsidRDefault="008F081B" w:rsidP="00BE5D44">
      <w:pPr>
        <w:jc w:val="center"/>
        <w:rPr>
          <w:rFonts w:ascii="Arial" w:hAnsi="Arial" w:cs="Arial"/>
          <w:b/>
          <w:sz w:val="28"/>
        </w:rPr>
      </w:pPr>
    </w:p>
    <w:p w14:paraId="3727C9AA" w14:textId="0C706138" w:rsidR="008F081B" w:rsidRDefault="008F081B" w:rsidP="00BE5D44">
      <w:pPr>
        <w:jc w:val="center"/>
        <w:rPr>
          <w:rFonts w:ascii="Arial" w:hAnsi="Arial" w:cs="Arial"/>
          <w:b/>
          <w:sz w:val="28"/>
        </w:rPr>
      </w:pPr>
    </w:p>
    <w:p w14:paraId="7B015431" w14:textId="2C633484" w:rsidR="00B11B19" w:rsidRDefault="00B11B19" w:rsidP="00F83CC1">
      <w:pPr>
        <w:jc w:val="both"/>
        <w:rPr>
          <w:rFonts w:ascii="Arial" w:hAnsi="Arial" w:cs="Arial"/>
          <w:b/>
          <w:sz w:val="24"/>
        </w:rPr>
      </w:pPr>
      <w:r>
        <w:rPr>
          <w:rFonts w:ascii="Arial" w:hAnsi="Arial" w:cs="Arial"/>
          <w:b/>
          <w:sz w:val="24"/>
        </w:rPr>
        <w:t>Figure Captions</w:t>
      </w:r>
    </w:p>
    <w:p w14:paraId="1C4DFE09" w14:textId="771755D0" w:rsidR="00B11B19" w:rsidRPr="003B4147" w:rsidRDefault="00B11B19" w:rsidP="00B11B19">
      <w:pPr>
        <w:jc w:val="both"/>
        <w:rPr>
          <w:rFonts w:ascii="Arial" w:hAnsi="Arial" w:cs="Arial"/>
          <w:b/>
        </w:rPr>
      </w:pPr>
      <w:r w:rsidRPr="003B4147">
        <w:rPr>
          <w:rFonts w:ascii="Arial" w:hAnsi="Arial" w:cs="Arial"/>
          <w:b/>
        </w:rPr>
        <w:t>Figure 1. Flow of participation in longitudinal survey</w:t>
      </w:r>
    </w:p>
    <w:p w14:paraId="1030EE36" w14:textId="77777777" w:rsidR="00FD7238" w:rsidRPr="003B4147" w:rsidRDefault="00FD7238" w:rsidP="00FD7238">
      <w:pPr>
        <w:spacing w:after="0"/>
        <w:jc w:val="both"/>
        <w:rPr>
          <w:rFonts w:ascii="Arial" w:hAnsi="Arial" w:cs="Arial"/>
          <w:sz w:val="18"/>
        </w:rPr>
      </w:pPr>
      <w:r w:rsidRPr="003B4147">
        <w:rPr>
          <w:rFonts w:ascii="Arial" w:hAnsi="Arial" w:cs="Arial"/>
          <w:b/>
          <w:sz w:val="18"/>
        </w:rPr>
        <w:t xml:space="preserve">NOTE. </w:t>
      </w:r>
      <w:r w:rsidRPr="003B4147">
        <w:rPr>
          <w:rFonts w:ascii="Arial" w:hAnsi="Arial" w:cs="Arial"/>
          <w:sz w:val="18"/>
        </w:rPr>
        <w:t xml:space="preserve">The top boxes indicate how many people completed each survey time point. After having removed (1) duplicates (people who completed the survey twice), (2) missing cases (where participants had not completed the PHQ-9, GAD-7, and the SWEMWBS or had missing ID codes at T2 and T3), and (3) losses to follow-up (those that had either completed T1 or T1 and T2 only), and (4) incomplete data at T1 yet data at T2 or T3, 377 cases remained in total. Grey boxes indicate the breakdown by subgroup. </w:t>
      </w:r>
    </w:p>
    <w:p w14:paraId="402F3E19" w14:textId="77777777" w:rsidR="00FD7238" w:rsidRPr="00FD7238" w:rsidRDefault="00FD7238" w:rsidP="00FD7238">
      <w:pPr>
        <w:jc w:val="both"/>
        <w:rPr>
          <w:rFonts w:ascii="Arial" w:hAnsi="Arial" w:cs="Arial"/>
          <w:sz w:val="18"/>
        </w:rPr>
      </w:pPr>
      <w:r w:rsidRPr="003B4147">
        <w:rPr>
          <w:rFonts w:ascii="Arial" w:hAnsi="Arial" w:cs="Arial"/>
          <w:sz w:val="18"/>
          <w:vertAlign w:val="superscript"/>
        </w:rPr>
        <w:t>1</w:t>
      </w:r>
      <w:r w:rsidRPr="003B4147">
        <w:rPr>
          <w:rFonts w:ascii="Arial" w:hAnsi="Arial" w:cs="Arial"/>
          <w:sz w:val="18"/>
        </w:rPr>
        <w:t xml:space="preserve"> Follow-up completion by subgroup by percentage at T2 and T3 compared to T1: PLWD 69%(T2), 67%(T3); Current Carers 86%(T2), 75%(T3); Former carers 64%(T2</w:t>
      </w:r>
      <w:r w:rsidRPr="00FD7238">
        <w:rPr>
          <w:rFonts w:ascii="Arial" w:hAnsi="Arial" w:cs="Arial"/>
          <w:sz w:val="18"/>
        </w:rPr>
        <w:t>), 60%(T3); Older adults 79%(T2), 69%(T3).</w:t>
      </w:r>
    </w:p>
    <w:p w14:paraId="6977036D" w14:textId="77777777" w:rsidR="00274F1C" w:rsidRDefault="00274F1C" w:rsidP="00274F1C">
      <w:pPr>
        <w:jc w:val="both"/>
        <w:rPr>
          <w:rFonts w:ascii="Arial" w:hAnsi="Arial" w:cs="Arial"/>
          <w:b/>
        </w:rPr>
      </w:pPr>
      <w:r>
        <w:rPr>
          <w:rFonts w:ascii="Arial" w:hAnsi="Arial" w:cs="Arial"/>
          <w:b/>
        </w:rPr>
        <w:t>Figure 2. Social support service usage pre-pandemic and at 3 survey time points</w:t>
      </w:r>
    </w:p>
    <w:p w14:paraId="6D57EB45" w14:textId="77777777" w:rsidR="00274F1C" w:rsidRDefault="00274F1C" w:rsidP="00274F1C">
      <w:pPr>
        <w:jc w:val="both"/>
        <w:rPr>
          <w:rFonts w:ascii="Arial" w:hAnsi="Arial" w:cs="Arial"/>
          <w:sz w:val="18"/>
        </w:rPr>
      </w:pPr>
      <w:r>
        <w:rPr>
          <w:rFonts w:ascii="Arial" w:hAnsi="Arial" w:cs="Arial"/>
          <w:b/>
          <w:sz w:val="18"/>
        </w:rPr>
        <w:t xml:space="preserve">Note. </w:t>
      </w:r>
      <w:r>
        <w:rPr>
          <w:rFonts w:ascii="Arial" w:hAnsi="Arial" w:cs="Arial"/>
          <w:sz w:val="18"/>
        </w:rPr>
        <w:t>(A) Service usage for the total sample (N=377)</w:t>
      </w:r>
      <w:r>
        <w:rPr>
          <w:rFonts w:ascii="Arial" w:hAnsi="Arial" w:cs="Arial"/>
          <w:b/>
          <w:sz w:val="18"/>
        </w:rPr>
        <w:t xml:space="preserve"> </w:t>
      </w:r>
      <w:r>
        <w:rPr>
          <w:rFonts w:ascii="Arial" w:hAnsi="Arial" w:cs="Arial"/>
          <w:sz w:val="18"/>
        </w:rPr>
        <w:t>in proportion of participants at four different time points for some of the most frequently used support services. (B) Proportion of participants within each group at four different timepoints (pre-pandemic, T1, T2, T3) having received any form of social support.</w:t>
      </w:r>
    </w:p>
    <w:p w14:paraId="4C7BFAC4" w14:textId="4B500A5E" w:rsidR="00016B85" w:rsidRDefault="00016B85" w:rsidP="00016B85">
      <w:pPr>
        <w:jc w:val="both"/>
        <w:rPr>
          <w:rFonts w:ascii="Arial" w:hAnsi="Arial" w:cs="Arial"/>
          <w:b/>
        </w:rPr>
      </w:pPr>
      <w:r>
        <w:rPr>
          <w:rFonts w:ascii="Arial" w:hAnsi="Arial" w:cs="Arial"/>
          <w:b/>
        </w:rPr>
        <w:t>Figure 3.  Proportion of the total sample who scored above the cut offs for anxiety and depression at three time points</w:t>
      </w:r>
    </w:p>
    <w:p w14:paraId="04572D5C" w14:textId="77777777" w:rsidR="00016B85" w:rsidRDefault="00016B85" w:rsidP="00016B85">
      <w:pPr>
        <w:spacing w:after="0"/>
        <w:jc w:val="both"/>
        <w:rPr>
          <w:rFonts w:ascii="Arial" w:hAnsi="Arial" w:cs="Arial"/>
          <w:sz w:val="18"/>
        </w:rPr>
      </w:pPr>
      <w:r>
        <w:rPr>
          <w:rFonts w:ascii="Arial" w:hAnsi="Arial" w:cs="Arial"/>
          <w:b/>
          <w:sz w:val="18"/>
        </w:rPr>
        <w:t xml:space="preserve">NOTE. </w:t>
      </w:r>
      <w:r>
        <w:rPr>
          <w:rFonts w:ascii="Arial" w:hAnsi="Arial" w:cs="Arial"/>
          <w:sz w:val="18"/>
        </w:rPr>
        <w:t>T = Time point</w:t>
      </w:r>
    </w:p>
    <w:p w14:paraId="1F73E808" w14:textId="77777777" w:rsidR="00016B85" w:rsidRDefault="00016B85" w:rsidP="00016B85">
      <w:pPr>
        <w:jc w:val="both"/>
        <w:rPr>
          <w:rFonts w:ascii="Arial" w:hAnsi="Arial" w:cs="Arial"/>
          <w:sz w:val="18"/>
        </w:rPr>
      </w:pPr>
      <w:r>
        <w:rPr>
          <w:rFonts w:ascii="Arial" w:hAnsi="Arial" w:cs="Arial"/>
          <w:sz w:val="18"/>
        </w:rPr>
        <w:t>The graph shows the proportion of participants from the total sample who completed all three surveys (n=377) and scored above the cut off on the GAD-7 and PHQ-9 for anxiety and depression, respectively.</w:t>
      </w:r>
    </w:p>
    <w:p w14:paraId="7CB1BBA6" w14:textId="77777777" w:rsidR="00080E26" w:rsidRDefault="00080E26" w:rsidP="00080E26">
      <w:pPr>
        <w:jc w:val="both"/>
        <w:rPr>
          <w:rFonts w:ascii="Arial" w:hAnsi="Arial" w:cs="Arial"/>
          <w:b/>
        </w:rPr>
      </w:pPr>
      <w:r>
        <w:rPr>
          <w:rFonts w:ascii="Arial" w:hAnsi="Arial" w:cs="Arial"/>
          <w:b/>
        </w:rPr>
        <w:t>Figure 4. Variations in anxiety, depression, and quality of life total scores at 3 time points</w:t>
      </w:r>
    </w:p>
    <w:p w14:paraId="3BC03456" w14:textId="77777777" w:rsidR="00080E26" w:rsidRDefault="00080E26" w:rsidP="00080E26">
      <w:pPr>
        <w:jc w:val="both"/>
        <w:rPr>
          <w:rFonts w:ascii="Arial" w:hAnsi="Arial" w:cs="Arial"/>
          <w:sz w:val="18"/>
        </w:rPr>
      </w:pPr>
      <w:r>
        <w:rPr>
          <w:rFonts w:ascii="Arial" w:hAnsi="Arial" w:cs="Arial"/>
          <w:b/>
          <w:sz w:val="18"/>
        </w:rPr>
        <w:t xml:space="preserve">NOTE. </w:t>
      </w:r>
      <w:r>
        <w:rPr>
          <w:rFonts w:ascii="Arial" w:hAnsi="Arial" w:cs="Arial"/>
          <w:sz w:val="18"/>
        </w:rPr>
        <w:t xml:space="preserve">Figures show the median total score at each time point (T1, T2, T3) for each subgroup – for anxiety (GAD-7), depression (PHQ-9), and quality of life (SWEMWBS). </w:t>
      </w:r>
    </w:p>
    <w:p w14:paraId="2E1A8BF2" w14:textId="77777777" w:rsidR="00B11B19" w:rsidRDefault="00B11B19" w:rsidP="00F83CC1">
      <w:pPr>
        <w:jc w:val="both"/>
        <w:rPr>
          <w:rFonts w:ascii="Arial" w:hAnsi="Arial" w:cs="Arial"/>
          <w:b/>
          <w:sz w:val="24"/>
        </w:rPr>
      </w:pPr>
    </w:p>
    <w:p w14:paraId="42811AEE" w14:textId="77777777" w:rsidR="00B11B19" w:rsidRDefault="00B11B19" w:rsidP="00F83CC1">
      <w:pPr>
        <w:jc w:val="both"/>
        <w:rPr>
          <w:rFonts w:ascii="Arial" w:hAnsi="Arial" w:cs="Arial"/>
          <w:b/>
          <w:sz w:val="24"/>
        </w:rPr>
      </w:pPr>
    </w:p>
    <w:p w14:paraId="1BC60652" w14:textId="77777777" w:rsidR="00B11B19" w:rsidRDefault="00B11B19" w:rsidP="00F83CC1">
      <w:pPr>
        <w:jc w:val="both"/>
        <w:rPr>
          <w:rFonts w:ascii="Arial" w:hAnsi="Arial" w:cs="Arial"/>
          <w:b/>
          <w:sz w:val="24"/>
        </w:rPr>
      </w:pPr>
    </w:p>
    <w:p w14:paraId="26987F3C" w14:textId="77777777" w:rsidR="00B11B19" w:rsidRDefault="00B11B19" w:rsidP="00F83CC1">
      <w:pPr>
        <w:jc w:val="both"/>
        <w:rPr>
          <w:rFonts w:ascii="Arial" w:hAnsi="Arial" w:cs="Arial"/>
          <w:b/>
          <w:sz w:val="24"/>
        </w:rPr>
      </w:pPr>
    </w:p>
    <w:p w14:paraId="525AE975" w14:textId="77777777" w:rsidR="00B11B19" w:rsidRDefault="00B11B19" w:rsidP="00F83CC1">
      <w:pPr>
        <w:jc w:val="both"/>
        <w:rPr>
          <w:rFonts w:ascii="Arial" w:hAnsi="Arial" w:cs="Arial"/>
          <w:b/>
          <w:sz w:val="24"/>
        </w:rPr>
      </w:pPr>
    </w:p>
    <w:p w14:paraId="185FF243" w14:textId="77777777" w:rsidR="00B11B19" w:rsidRDefault="00B11B19" w:rsidP="00F83CC1">
      <w:pPr>
        <w:jc w:val="both"/>
        <w:rPr>
          <w:rFonts w:ascii="Arial" w:hAnsi="Arial" w:cs="Arial"/>
          <w:b/>
          <w:sz w:val="24"/>
        </w:rPr>
      </w:pPr>
    </w:p>
    <w:p w14:paraId="59E909AF" w14:textId="77777777" w:rsidR="00B11B19" w:rsidRDefault="00B11B19" w:rsidP="00F83CC1">
      <w:pPr>
        <w:jc w:val="both"/>
        <w:rPr>
          <w:rFonts w:ascii="Arial" w:hAnsi="Arial" w:cs="Arial"/>
          <w:b/>
          <w:sz w:val="24"/>
        </w:rPr>
      </w:pPr>
    </w:p>
    <w:p w14:paraId="1F33B264" w14:textId="77777777" w:rsidR="00B11B19" w:rsidRDefault="00B11B19" w:rsidP="00F83CC1">
      <w:pPr>
        <w:jc w:val="both"/>
        <w:rPr>
          <w:rFonts w:ascii="Arial" w:hAnsi="Arial" w:cs="Arial"/>
          <w:b/>
          <w:sz w:val="24"/>
        </w:rPr>
      </w:pPr>
    </w:p>
    <w:p w14:paraId="0909BBF1" w14:textId="77777777" w:rsidR="00B11B19" w:rsidRDefault="00B11B19" w:rsidP="00F83CC1">
      <w:pPr>
        <w:jc w:val="both"/>
        <w:rPr>
          <w:rFonts w:ascii="Arial" w:hAnsi="Arial" w:cs="Arial"/>
          <w:b/>
          <w:sz w:val="24"/>
        </w:rPr>
      </w:pPr>
    </w:p>
    <w:p w14:paraId="07BC1BA2" w14:textId="77777777" w:rsidR="00B11B19" w:rsidRDefault="00B11B19" w:rsidP="00F83CC1">
      <w:pPr>
        <w:jc w:val="both"/>
        <w:rPr>
          <w:rFonts w:ascii="Arial" w:hAnsi="Arial" w:cs="Arial"/>
          <w:b/>
          <w:sz w:val="24"/>
        </w:rPr>
      </w:pPr>
    </w:p>
    <w:p w14:paraId="0B58B7CC" w14:textId="77777777" w:rsidR="00B11B19" w:rsidRDefault="00B11B19" w:rsidP="00F83CC1">
      <w:pPr>
        <w:jc w:val="both"/>
        <w:rPr>
          <w:rFonts w:ascii="Arial" w:hAnsi="Arial" w:cs="Arial"/>
          <w:b/>
          <w:sz w:val="24"/>
        </w:rPr>
      </w:pPr>
    </w:p>
    <w:p w14:paraId="55B1199D" w14:textId="77777777" w:rsidR="00B11B19" w:rsidRDefault="00B11B19" w:rsidP="00F83CC1">
      <w:pPr>
        <w:jc w:val="both"/>
        <w:rPr>
          <w:rFonts w:ascii="Arial" w:hAnsi="Arial" w:cs="Arial"/>
          <w:b/>
          <w:sz w:val="24"/>
        </w:rPr>
      </w:pPr>
    </w:p>
    <w:p w14:paraId="0D129972" w14:textId="77777777" w:rsidR="00B11B19" w:rsidRDefault="00B11B19" w:rsidP="00F83CC1">
      <w:pPr>
        <w:jc w:val="both"/>
        <w:rPr>
          <w:rFonts w:ascii="Arial" w:hAnsi="Arial" w:cs="Arial"/>
          <w:b/>
          <w:sz w:val="24"/>
        </w:rPr>
      </w:pPr>
    </w:p>
    <w:p w14:paraId="0748399B" w14:textId="77777777" w:rsidR="00B11B19" w:rsidRDefault="00B11B19" w:rsidP="00F83CC1">
      <w:pPr>
        <w:jc w:val="both"/>
        <w:rPr>
          <w:rFonts w:ascii="Arial" w:hAnsi="Arial" w:cs="Arial"/>
          <w:b/>
          <w:sz w:val="24"/>
        </w:rPr>
      </w:pPr>
    </w:p>
    <w:p w14:paraId="5DCB03B5" w14:textId="77777777" w:rsidR="00B11B19" w:rsidRDefault="00B11B19" w:rsidP="00F83CC1">
      <w:pPr>
        <w:jc w:val="both"/>
        <w:rPr>
          <w:rFonts w:ascii="Arial" w:hAnsi="Arial" w:cs="Arial"/>
          <w:b/>
          <w:sz w:val="24"/>
        </w:rPr>
      </w:pPr>
    </w:p>
    <w:p w14:paraId="10BE7308" w14:textId="55F6E2EC" w:rsidR="00BE5D44" w:rsidRPr="00F83CC1" w:rsidRDefault="00F83CC1" w:rsidP="00F83CC1">
      <w:pPr>
        <w:jc w:val="both"/>
        <w:rPr>
          <w:rFonts w:ascii="Arial" w:hAnsi="Arial" w:cs="Arial"/>
          <w:b/>
          <w:sz w:val="24"/>
        </w:rPr>
      </w:pPr>
      <w:r>
        <w:rPr>
          <w:rFonts w:ascii="Arial" w:hAnsi="Arial" w:cs="Arial"/>
          <w:b/>
          <w:sz w:val="24"/>
        </w:rPr>
        <w:lastRenderedPageBreak/>
        <w:t>References</w:t>
      </w:r>
    </w:p>
    <w:p w14:paraId="65E4AA27" w14:textId="77777777" w:rsidR="00BE4385" w:rsidRPr="006E1131" w:rsidRDefault="00BE4385" w:rsidP="00BE4385">
      <w:pPr>
        <w:ind w:left="720" w:hanging="720"/>
        <w:jc w:val="both"/>
        <w:rPr>
          <w:rFonts w:ascii="Arial" w:hAnsi="Arial" w:cs="Arial"/>
          <w:lang w:val="fr-FR"/>
        </w:rPr>
      </w:pPr>
      <w:r>
        <w:rPr>
          <w:rFonts w:ascii="Arial" w:hAnsi="Arial" w:cs="Arial"/>
        </w:rPr>
        <w:t>[1]</w:t>
      </w:r>
      <w:r>
        <w:rPr>
          <w:rFonts w:ascii="Arial" w:hAnsi="Arial" w:cs="Arial"/>
        </w:rPr>
        <w:tab/>
        <w:t xml:space="preserve">Office for National Statistics (ONS). </w:t>
      </w:r>
      <w:r w:rsidRPr="00A56506">
        <w:rPr>
          <w:rFonts w:ascii="Arial" w:hAnsi="Arial" w:cs="Arial"/>
          <w:i/>
        </w:rPr>
        <w:t>Living longer: is age 70 the new age 65?</w:t>
      </w:r>
      <w:r>
        <w:rPr>
          <w:rFonts w:ascii="Arial" w:hAnsi="Arial" w:cs="Arial"/>
        </w:rPr>
        <w:t xml:space="preserve"> </w:t>
      </w:r>
      <w:r w:rsidRPr="006E1131">
        <w:rPr>
          <w:rFonts w:ascii="Arial" w:hAnsi="Arial" w:cs="Arial"/>
          <w:lang w:val="fr-FR"/>
        </w:rPr>
        <w:t>London, England 2019: ONS.</w:t>
      </w:r>
    </w:p>
    <w:p w14:paraId="5AEFAAF7" w14:textId="100C3552" w:rsidR="00BE4385" w:rsidRPr="00720B05" w:rsidRDefault="00BE4385" w:rsidP="00720B05">
      <w:pPr>
        <w:ind w:left="720" w:hanging="720"/>
        <w:jc w:val="both"/>
        <w:rPr>
          <w:rFonts w:ascii="Arial" w:hAnsi="Arial" w:cs="Arial"/>
          <w:szCs w:val="28"/>
        </w:rPr>
      </w:pPr>
      <w:r>
        <w:rPr>
          <w:rFonts w:ascii="Arial" w:hAnsi="Arial" w:cs="Arial"/>
          <w:szCs w:val="28"/>
        </w:rPr>
        <w:t>[2]</w:t>
      </w:r>
      <w:r>
        <w:rPr>
          <w:rFonts w:ascii="Arial" w:hAnsi="Arial" w:cs="Arial"/>
          <w:szCs w:val="28"/>
        </w:rPr>
        <w:tab/>
        <w:t>Alzheimer’s Society</w:t>
      </w:r>
      <w:r w:rsidR="00720B05">
        <w:rPr>
          <w:rFonts w:ascii="Arial" w:hAnsi="Arial" w:cs="Arial"/>
          <w:szCs w:val="28"/>
        </w:rPr>
        <w:t xml:space="preserve">. </w:t>
      </w:r>
      <w:r w:rsidR="00720B05">
        <w:rPr>
          <w:rFonts w:ascii="Arial" w:hAnsi="Arial" w:cs="Arial"/>
          <w:i/>
          <w:szCs w:val="28"/>
        </w:rPr>
        <w:t>Dementia UK: An Update</w:t>
      </w:r>
      <w:r w:rsidR="00720B05">
        <w:rPr>
          <w:rFonts w:ascii="Arial" w:hAnsi="Arial" w:cs="Arial"/>
          <w:szCs w:val="28"/>
        </w:rPr>
        <w:t>. London, England: Alzheimer’s Society 2014.</w:t>
      </w:r>
    </w:p>
    <w:p w14:paraId="549A7978" w14:textId="77777777" w:rsidR="00700053" w:rsidRDefault="00700053" w:rsidP="00700053">
      <w:pPr>
        <w:ind w:left="720" w:hanging="720"/>
        <w:jc w:val="both"/>
        <w:rPr>
          <w:rFonts w:ascii="Arial" w:hAnsi="Arial" w:cs="Arial"/>
        </w:rPr>
      </w:pPr>
      <w:r>
        <w:rPr>
          <w:rFonts w:ascii="Arial" w:hAnsi="Arial" w:cs="Arial"/>
        </w:rPr>
        <w:t>[3]</w:t>
      </w:r>
      <w:r>
        <w:rPr>
          <w:rFonts w:ascii="Arial" w:hAnsi="Arial" w:cs="Arial"/>
        </w:rPr>
        <w:tab/>
      </w:r>
      <w:proofErr w:type="spellStart"/>
      <w:r>
        <w:rPr>
          <w:rFonts w:ascii="Arial" w:hAnsi="Arial" w:cs="Arial"/>
        </w:rPr>
        <w:t>Skingley</w:t>
      </w:r>
      <w:proofErr w:type="spellEnd"/>
      <w:r>
        <w:rPr>
          <w:rFonts w:ascii="Arial" w:hAnsi="Arial" w:cs="Arial"/>
        </w:rPr>
        <w:t xml:space="preserve"> A, Martin A, Clift S. The contribution of community singing groups to the well-being of older people: participant perspectives from the United Kingdom. Journal of Applied Gerontology 2016;35(12):1302-1324.</w:t>
      </w:r>
    </w:p>
    <w:p w14:paraId="2A79A560" w14:textId="77777777" w:rsidR="00720B05" w:rsidRDefault="00720B05" w:rsidP="00720B05">
      <w:pPr>
        <w:ind w:left="720" w:hanging="720"/>
        <w:jc w:val="both"/>
        <w:rPr>
          <w:rFonts w:ascii="Arial" w:hAnsi="Arial" w:cs="Arial"/>
        </w:rPr>
      </w:pPr>
      <w:r>
        <w:rPr>
          <w:rFonts w:ascii="Arial" w:hAnsi="Arial" w:cs="Arial"/>
        </w:rPr>
        <w:t>[4]</w:t>
      </w:r>
      <w:r>
        <w:rPr>
          <w:rFonts w:ascii="Arial" w:hAnsi="Arial" w:cs="Arial"/>
        </w:rPr>
        <w:tab/>
      </w:r>
      <w:proofErr w:type="spellStart"/>
      <w:r>
        <w:rPr>
          <w:rFonts w:ascii="Arial" w:hAnsi="Arial" w:cs="Arial"/>
        </w:rPr>
        <w:t>Tretteteig</w:t>
      </w:r>
      <w:proofErr w:type="spellEnd"/>
      <w:r>
        <w:rPr>
          <w:rFonts w:ascii="Arial" w:hAnsi="Arial" w:cs="Arial"/>
        </w:rPr>
        <w:t xml:space="preserve"> S, </w:t>
      </w:r>
      <w:proofErr w:type="spellStart"/>
      <w:r>
        <w:rPr>
          <w:rFonts w:ascii="Arial" w:hAnsi="Arial" w:cs="Arial"/>
        </w:rPr>
        <w:t>Vatne</w:t>
      </w:r>
      <w:proofErr w:type="spellEnd"/>
      <w:r>
        <w:rPr>
          <w:rFonts w:ascii="Arial" w:hAnsi="Arial" w:cs="Arial"/>
        </w:rPr>
        <w:t xml:space="preserve"> S, </w:t>
      </w:r>
      <w:proofErr w:type="spellStart"/>
      <w:r>
        <w:rPr>
          <w:rFonts w:ascii="Arial" w:hAnsi="Arial" w:cs="Arial"/>
        </w:rPr>
        <w:t>Mork</w:t>
      </w:r>
      <w:proofErr w:type="spellEnd"/>
      <w:r>
        <w:rPr>
          <w:rFonts w:ascii="Arial" w:hAnsi="Arial" w:cs="Arial"/>
        </w:rPr>
        <w:t xml:space="preserve"> </w:t>
      </w:r>
      <w:proofErr w:type="spellStart"/>
      <w:r>
        <w:rPr>
          <w:rFonts w:ascii="Arial" w:hAnsi="Arial" w:cs="Arial"/>
        </w:rPr>
        <w:t>Rokstad</w:t>
      </w:r>
      <w:proofErr w:type="spellEnd"/>
      <w:r>
        <w:rPr>
          <w:rFonts w:ascii="Arial" w:hAnsi="Arial" w:cs="Arial"/>
        </w:rPr>
        <w:t xml:space="preserve"> AM. The influence of day care centres designed for people with dementia on family caregivers – a qualitative study. BMC Geriatrics 2017;17(5).</w:t>
      </w:r>
    </w:p>
    <w:p w14:paraId="22DA9D2B" w14:textId="40B62942" w:rsidR="00607323" w:rsidRDefault="00BE4385" w:rsidP="00720B05">
      <w:pPr>
        <w:ind w:left="720" w:hanging="720"/>
        <w:jc w:val="both"/>
        <w:rPr>
          <w:rFonts w:ascii="Arial" w:hAnsi="Arial" w:cs="Arial"/>
          <w:szCs w:val="28"/>
        </w:rPr>
      </w:pPr>
      <w:r>
        <w:rPr>
          <w:rFonts w:ascii="Arial" w:hAnsi="Arial" w:cs="Arial"/>
          <w:szCs w:val="28"/>
        </w:rPr>
        <w:t>[5]</w:t>
      </w:r>
      <w:r>
        <w:rPr>
          <w:rFonts w:ascii="Arial" w:hAnsi="Arial" w:cs="Arial"/>
          <w:szCs w:val="28"/>
        </w:rPr>
        <w:tab/>
      </w:r>
      <w:r w:rsidR="00607323">
        <w:rPr>
          <w:rFonts w:ascii="Arial" w:hAnsi="Arial" w:cs="Arial"/>
          <w:szCs w:val="28"/>
        </w:rPr>
        <w:t xml:space="preserve">Armitage R, </w:t>
      </w:r>
      <w:proofErr w:type="spellStart"/>
      <w:r w:rsidR="00607323">
        <w:rPr>
          <w:rFonts w:ascii="Arial" w:hAnsi="Arial" w:cs="Arial"/>
          <w:szCs w:val="28"/>
        </w:rPr>
        <w:t>Nellums</w:t>
      </w:r>
      <w:proofErr w:type="spellEnd"/>
      <w:r w:rsidR="00607323">
        <w:rPr>
          <w:rFonts w:ascii="Arial" w:hAnsi="Arial" w:cs="Arial"/>
          <w:szCs w:val="28"/>
        </w:rPr>
        <w:t xml:space="preserve"> LB. COVID-19 and the consequences of isolating elderly. LANCET Public Health 2020; 5(5</w:t>
      </w:r>
      <w:proofErr w:type="gramStart"/>
      <w:r w:rsidR="00607323">
        <w:rPr>
          <w:rFonts w:ascii="Arial" w:hAnsi="Arial" w:cs="Arial"/>
          <w:szCs w:val="28"/>
        </w:rPr>
        <w:t>):</w:t>
      </w:r>
      <w:proofErr w:type="spellStart"/>
      <w:r w:rsidR="00607323">
        <w:rPr>
          <w:rFonts w:ascii="Arial" w:hAnsi="Arial" w:cs="Arial"/>
          <w:szCs w:val="28"/>
        </w:rPr>
        <w:t>doi</w:t>
      </w:r>
      <w:proofErr w:type="spellEnd"/>
      <w:proofErr w:type="gramEnd"/>
      <w:r w:rsidR="00607323">
        <w:rPr>
          <w:rFonts w:ascii="Arial" w:hAnsi="Arial" w:cs="Arial"/>
          <w:szCs w:val="28"/>
        </w:rPr>
        <w:t xml:space="preserve">: </w:t>
      </w:r>
      <w:r w:rsidR="00607323" w:rsidRPr="00607323">
        <w:rPr>
          <w:rFonts w:ascii="Arial" w:hAnsi="Arial" w:cs="Arial"/>
          <w:szCs w:val="28"/>
        </w:rPr>
        <w:t>10.1016/S2468-2667(20)30061-X</w:t>
      </w:r>
    </w:p>
    <w:p w14:paraId="260001A8" w14:textId="7C693FB8" w:rsidR="006E6FA5" w:rsidRDefault="00BE4385" w:rsidP="00BE4385">
      <w:pPr>
        <w:ind w:left="720" w:hanging="720"/>
        <w:jc w:val="both"/>
        <w:rPr>
          <w:rFonts w:ascii="Arial" w:hAnsi="Arial" w:cs="Arial"/>
          <w:szCs w:val="28"/>
        </w:rPr>
      </w:pPr>
      <w:r>
        <w:rPr>
          <w:rFonts w:ascii="Arial" w:hAnsi="Arial" w:cs="Arial"/>
          <w:szCs w:val="28"/>
          <w:lang w:val="de-DE"/>
        </w:rPr>
        <w:t>[6]</w:t>
      </w:r>
      <w:r>
        <w:rPr>
          <w:rFonts w:ascii="Arial" w:hAnsi="Arial" w:cs="Arial"/>
          <w:szCs w:val="28"/>
          <w:lang w:val="de-DE"/>
        </w:rPr>
        <w:tab/>
      </w:r>
      <w:r w:rsidR="006E6FA5" w:rsidRPr="006E1131">
        <w:rPr>
          <w:rFonts w:ascii="Arial" w:hAnsi="Arial" w:cs="Arial"/>
          <w:szCs w:val="28"/>
          <w:lang w:val="de-DE"/>
        </w:rPr>
        <w:t xml:space="preserve">Berg-Weger M, Morley JE. </w:t>
      </w:r>
      <w:r w:rsidR="006E6FA5">
        <w:rPr>
          <w:rFonts w:ascii="Arial" w:hAnsi="Arial" w:cs="Arial"/>
          <w:szCs w:val="28"/>
        </w:rPr>
        <w:t>Loneliness and social isolation in older adults during the COVID-19 pandemic: implications for gerontological social work. Journal of Nutrition, Health &amp; Ageing 2020;24(5):456-458.</w:t>
      </w:r>
    </w:p>
    <w:p w14:paraId="1B8D218D" w14:textId="77777777" w:rsidR="00B42E32" w:rsidRDefault="00B42E32" w:rsidP="00B42E32">
      <w:pPr>
        <w:ind w:left="720" w:hanging="720"/>
        <w:jc w:val="both"/>
        <w:rPr>
          <w:rFonts w:ascii="Arial" w:hAnsi="Arial" w:cs="Arial"/>
        </w:rPr>
      </w:pPr>
      <w:r>
        <w:rPr>
          <w:rFonts w:ascii="Arial" w:hAnsi="Arial" w:cs="Arial"/>
        </w:rPr>
        <w:t>[7]</w:t>
      </w:r>
      <w:r>
        <w:rPr>
          <w:rFonts w:ascii="Arial" w:hAnsi="Arial" w:cs="Arial"/>
        </w:rPr>
        <w:tab/>
        <w:t xml:space="preserve">Brown EE, </w:t>
      </w:r>
      <w:proofErr w:type="spellStart"/>
      <w:r>
        <w:rPr>
          <w:rFonts w:ascii="Arial" w:hAnsi="Arial" w:cs="Arial"/>
        </w:rPr>
        <w:t>Kumr</w:t>
      </w:r>
      <w:proofErr w:type="spellEnd"/>
      <w:r>
        <w:rPr>
          <w:rFonts w:ascii="Arial" w:hAnsi="Arial" w:cs="Arial"/>
        </w:rPr>
        <w:t xml:space="preserve"> S, </w:t>
      </w:r>
      <w:proofErr w:type="spellStart"/>
      <w:r>
        <w:rPr>
          <w:rFonts w:ascii="Arial" w:hAnsi="Arial" w:cs="Arial"/>
        </w:rPr>
        <w:t>Rajji</w:t>
      </w:r>
      <w:proofErr w:type="spellEnd"/>
      <w:r>
        <w:rPr>
          <w:rFonts w:ascii="Arial" w:hAnsi="Arial" w:cs="Arial"/>
        </w:rPr>
        <w:t xml:space="preserve"> TK, et al. Anticipating and mitigating the impact of the COVID-19 pandemic on Alzheimer’s disease and related dementias. American Journal of Geriatric Psychiatry 2020;28(7):712-721.</w:t>
      </w:r>
    </w:p>
    <w:p w14:paraId="10B7D2DE" w14:textId="77777777" w:rsidR="00B42E32" w:rsidRPr="00BE4F63" w:rsidRDefault="00B42E32" w:rsidP="00B42E32">
      <w:pPr>
        <w:ind w:left="720" w:hanging="720"/>
        <w:jc w:val="both"/>
        <w:rPr>
          <w:rFonts w:ascii="Arial" w:hAnsi="Arial" w:cs="Arial"/>
        </w:rPr>
      </w:pPr>
      <w:r>
        <w:rPr>
          <w:rFonts w:ascii="Arial" w:hAnsi="Arial" w:cs="Arial"/>
        </w:rPr>
        <w:t>[8]</w:t>
      </w:r>
      <w:r>
        <w:rPr>
          <w:rFonts w:ascii="Arial" w:hAnsi="Arial" w:cs="Arial"/>
        </w:rPr>
        <w:tab/>
        <w:t xml:space="preserve">Public Health England (PHE). </w:t>
      </w:r>
      <w:r>
        <w:rPr>
          <w:rFonts w:ascii="Arial" w:hAnsi="Arial" w:cs="Arial"/>
          <w:i/>
        </w:rPr>
        <w:t xml:space="preserve">Guidance on shielding and protecting people who are clinically extremely vulnerable from COVID-19. </w:t>
      </w:r>
      <w:r>
        <w:rPr>
          <w:rFonts w:ascii="Arial" w:hAnsi="Arial" w:cs="Arial"/>
        </w:rPr>
        <w:t>London, England 2020: PHE. Last accessed 22</w:t>
      </w:r>
      <w:r w:rsidRPr="00BE4F63">
        <w:rPr>
          <w:rFonts w:ascii="Arial" w:hAnsi="Arial" w:cs="Arial"/>
          <w:vertAlign w:val="superscript"/>
        </w:rPr>
        <w:t>nd</w:t>
      </w:r>
      <w:r>
        <w:rPr>
          <w:rFonts w:ascii="Arial" w:hAnsi="Arial" w:cs="Arial"/>
        </w:rPr>
        <w:t xml:space="preserve"> September 2020: </w:t>
      </w:r>
      <w:hyperlink r:id="rId7" w:anchor="definition" w:history="1">
        <w:r w:rsidRPr="00897F2D">
          <w:rPr>
            <w:rStyle w:val="Hyperlink"/>
          </w:rPr>
          <w:t>https://www.gov.uk/government/publications/guidance-on-shielding-and-protecting-extremely-vulnerable-persons-from-covid-19/guidance-on-shielding-and-protecting-extremely-vulnerable-persons-from-covid-19#definition</w:t>
        </w:r>
      </w:hyperlink>
    </w:p>
    <w:p w14:paraId="279F228A" w14:textId="77777777" w:rsidR="00174C13" w:rsidRDefault="00174C13" w:rsidP="00174C13">
      <w:pPr>
        <w:spacing w:after="0" w:line="100" w:lineRule="atLeast"/>
        <w:ind w:left="720" w:hanging="720"/>
        <w:jc w:val="both"/>
        <w:rPr>
          <w:rFonts w:ascii="Arial" w:hAnsi="Arial" w:cs="Arial"/>
          <w:szCs w:val="20"/>
          <w:lang w:val="nl-NL"/>
        </w:rPr>
      </w:pPr>
      <w:r>
        <w:rPr>
          <w:rFonts w:ascii="Arial" w:hAnsi="Arial" w:cs="Arial"/>
          <w:szCs w:val="20"/>
          <w:lang w:val="nl-NL"/>
        </w:rPr>
        <w:t>[9]</w:t>
      </w:r>
      <w:r>
        <w:rPr>
          <w:rFonts w:ascii="Arial" w:hAnsi="Arial" w:cs="Arial"/>
          <w:szCs w:val="20"/>
          <w:lang w:val="nl-NL"/>
        </w:rPr>
        <w:tab/>
      </w:r>
      <w:r w:rsidRPr="0075001F">
        <w:rPr>
          <w:rFonts w:ascii="Arial" w:hAnsi="Arial" w:cs="Arial"/>
          <w:szCs w:val="20"/>
          <w:lang w:val="nl-NL"/>
        </w:rPr>
        <w:t xml:space="preserve">Giebel C, Cannon J, Hanna K, et al. Impact of Covid-19 related social support service closures on people with dementia and unpaid carers: A qualitative study. Aging &amp; Mental Health 2020a; </w:t>
      </w:r>
      <w:r>
        <w:rPr>
          <w:rFonts w:ascii="Arial" w:hAnsi="Arial" w:cs="Arial"/>
          <w:szCs w:val="20"/>
          <w:lang w:val="nl-NL"/>
        </w:rPr>
        <w:t xml:space="preserve">doi: </w:t>
      </w:r>
      <w:r w:rsidRPr="000E13B1">
        <w:rPr>
          <w:rFonts w:ascii="Arial" w:hAnsi="Arial" w:cs="Arial"/>
          <w:szCs w:val="20"/>
          <w:lang w:val="nl-NL"/>
        </w:rPr>
        <w:t>10.1080/13607863.2020.1822292</w:t>
      </w:r>
    </w:p>
    <w:p w14:paraId="1EFCC55A" w14:textId="77777777" w:rsidR="00174C13" w:rsidRPr="0075001F" w:rsidRDefault="00174C13" w:rsidP="00174C13">
      <w:pPr>
        <w:spacing w:after="0" w:line="100" w:lineRule="atLeast"/>
        <w:jc w:val="both"/>
        <w:rPr>
          <w:rFonts w:ascii="Arial" w:hAnsi="Arial" w:cs="Arial"/>
          <w:szCs w:val="20"/>
          <w:lang w:val="nl-NL"/>
        </w:rPr>
      </w:pPr>
    </w:p>
    <w:p w14:paraId="622BD088" w14:textId="77777777" w:rsidR="00174C13" w:rsidRDefault="00174C13" w:rsidP="00174C13">
      <w:pPr>
        <w:spacing w:after="0" w:line="100" w:lineRule="atLeast"/>
        <w:ind w:left="720" w:hanging="720"/>
        <w:jc w:val="both"/>
        <w:rPr>
          <w:rFonts w:ascii="Arial" w:hAnsi="Arial" w:cs="Arial"/>
          <w:szCs w:val="20"/>
          <w:lang w:val="nl-NL"/>
        </w:rPr>
      </w:pPr>
      <w:r>
        <w:rPr>
          <w:rFonts w:ascii="Arial" w:hAnsi="Arial" w:cs="Arial"/>
          <w:szCs w:val="20"/>
          <w:lang w:val="nl-NL"/>
        </w:rPr>
        <w:t>[10]</w:t>
      </w:r>
      <w:r>
        <w:rPr>
          <w:rFonts w:ascii="Arial" w:hAnsi="Arial" w:cs="Arial"/>
          <w:szCs w:val="20"/>
          <w:lang w:val="nl-NL"/>
        </w:rPr>
        <w:tab/>
      </w:r>
      <w:r w:rsidRPr="0075001F">
        <w:rPr>
          <w:rFonts w:ascii="Arial" w:hAnsi="Arial" w:cs="Arial"/>
          <w:szCs w:val="20"/>
          <w:lang w:val="nl-NL"/>
        </w:rPr>
        <w:t>Giebel C, Hanna K, Cannon J, et al. Decision-making for receiving paid home care for dementia in the time of COVID-19: A qualitative study. BMC Geriatrics 2020b; doi: 10.1186/s12877-020-01719-0</w:t>
      </w:r>
    </w:p>
    <w:p w14:paraId="0D39BED5" w14:textId="77777777" w:rsidR="00246715" w:rsidRDefault="00246715" w:rsidP="00246715">
      <w:pPr>
        <w:spacing w:after="0"/>
        <w:ind w:left="720" w:hanging="720"/>
        <w:jc w:val="both"/>
        <w:rPr>
          <w:rFonts w:ascii="Arial" w:hAnsi="Arial" w:cs="Arial"/>
        </w:rPr>
      </w:pPr>
    </w:p>
    <w:p w14:paraId="78E5C39A" w14:textId="05579D49" w:rsidR="00720B05" w:rsidRPr="004C6A92" w:rsidRDefault="00720B05" w:rsidP="00720B05">
      <w:pPr>
        <w:ind w:left="720" w:hanging="720"/>
        <w:jc w:val="both"/>
        <w:rPr>
          <w:rFonts w:ascii="Arial" w:hAnsi="Arial" w:cs="Arial"/>
        </w:rPr>
      </w:pPr>
      <w:r>
        <w:rPr>
          <w:rFonts w:ascii="Arial" w:hAnsi="Arial" w:cs="Arial"/>
        </w:rPr>
        <w:t>[11]</w:t>
      </w:r>
      <w:r>
        <w:rPr>
          <w:rFonts w:ascii="Arial" w:hAnsi="Arial" w:cs="Arial"/>
        </w:rPr>
        <w:tab/>
        <w:t>Kroenke K, Spitzer RL, Williams JB. The PHQ-9: validity of a brief depression severity measure. Journal of General Internal Medicine 2001;16(9):606-613.</w:t>
      </w:r>
    </w:p>
    <w:p w14:paraId="693BC103" w14:textId="77777777" w:rsidR="00720B05" w:rsidRPr="00CB1997" w:rsidRDefault="00720B05" w:rsidP="00720B05">
      <w:pPr>
        <w:ind w:left="720" w:hanging="720"/>
        <w:jc w:val="both"/>
        <w:rPr>
          <w:rFonts w:ascii="Arial" w:hAnsi="Arial" w:cs="Arial"/>
        </w:rPr>
      </w:pPr>
      <w:r>
        <w:rPr>
          <w:rFonts w:ascii="Arial" w:hAnsi="Arial" w:cs="Arial"/>
        </w:rPr>
        <w:t>[12]</w:t>
      </w:r>
      <w:r>
        <w:rPr>
          <w:rFonts w:ascii="Arial" w:hAnsi="Arial" w:cs="Arial"/>
        </w:rPr>
        <w:tab/>
        <w:t>Spitzer RL, Kroenke K, Williams JB, Loewe B. A brief measure for assessing generalized anxiety disorder: the GAD-7. Archives of Internal Medicine 2006;166(10):1092-1097.</w:t>
      </w:r>
    </w:p>
    <w:p w14:paraId="75952492" w14:textId="2A23E28A" w:rsidR="00536555" w:rsidRDefault="00536555" w:rsidP="00720B05">
      <w:pPr>
        <w:ind w:left="720" w:hanging="720"/>
        <w:jc w:val="both"/>
        <w:rPr>
          <w:rFonts w:ascii="Arial" w:hAnsi="Arial" w:cs="Arial"/>
        </w:rPr>
      </w:pPr>
      <w:r>
        <w:rPr>
          <w:rFonts w:ascii="Arial" w:hAnsi="Arial" w:cs="Arial"/>
        </w:rPr>
        <w:t>[13]</w:t>
      </w:r>
      <w:r>
        <w:rPr>
          <w:rFonts w:ascii="Arial" w:hAnsi="Arial" w:cs="Arial"/>
        </w:rPr>
        <w:tab/>
        <w:t xml:space="preserve">Haver A, </w:t>
      </w:r>
      <w:proofErr w:type="spellStart"/>
      <w:r>
        <w:rPr>
          <w:rFonts w:ascii="Arial" w:hAnsi="Arial" w:cs="Arial"/>
        </w:rPr>
        <w:t>Akerjordet</w:t>
      </w:r>
      <w:proofErr w:type="spellEnd"/>
      <w:r>
        <w:rPr>
          <w:rFonts w:ascii="Arial" w:hAnsi="Arial" w:cs="Arial"/>
        </w:rPr>
        <w:t xml:space="preserve"> K, </w:t>
      </w:r>
      <w:proofErr w:type="spellStart"/>
      <w:r>
        <w:rPr>
          <w:rFonts w:ascii="Arial" w:hAnsi="Arial" w:cs="Arial"/>
        </w:rPr>
        <w:t>Caputi</w:t>
      </w:r>
      <w:proofErr w:type="spellEnd"/>
      <w:r>
        <w:rPr>
          <w:rFonts w:ascii="Arial" w:hAnsi="Arial" w:cs="Arial"/>
        </w:rPr>
        <w:t xml:space="preserve"> P, et al. Measuring mental well-being: A validation of the Short Warwick-Edinburgh Mental Well-Being Scale in Norwegian and Swedish. Scandinavian Journal of Public Health 2015;43(7):721-727.</w:t>
      </w:r>
    </w:p>
    <w:p w14:paraId="61E71AD8" w14:textId="77777777" w:rsidR="00720B05" w:rsidRDefault="00720B05" w:rsidP="00720B05">
      <w:pPr>
        <w:pStyle w:val="NormalWeb"/>
        <w:shd w:val="clear" w:color="auto" w:fill="FFFFFF"/>
        <w:spacing w:before="0" w:beforeAutospacing="0" w:after="150" w:afterAutospacing="0"/>
        <w:ind w:left="720" w:hanging="720"/>
        <w:jc w:val="both"/>
        <w:rPr>
          <w:rFonts w:ascii="Arial" w:hAnsi="Arial" w:cs="Arial"/>
          <w:spacing w:val="-2"/>
          <w:sz w:val="22"/>
        </w:rPr>
      </w:pPr>
      <w:r>
        <w:rPr>
          <w:rFonts w:ascii="Arial" w:hAnsi="Arial" w:cs="Arial"/>
          <w:spacing w:val="-2"/>
          <w:sz w:val="22"/>
        </w:rPr>
        <w:t>[14]</w:t>
      </w:r>
      <w:r>
        <w:rPr>
          <w:rFonts w:ascii="Arial" w:hAnsi="Arial" w:cs="Arial"/>
          <w:spacing w:val="-2"/>
          <w:sz w:val="22"/>
        </w:rPr>
        <w:tab/>
      </w:r>
      <w:r w:rsidRPr="002408E4">
        <w:rPr>
          <w:rFonts w:ascii="Arial" w:hAnsi="Arial" w:cs="Arial"/>
          <w:spacing w:val="-2"/>
          <w:sz w:val="22"/>
        </w:rPr>
        <w:t xml:space="preserve">Smith, B.W., Epstein, E.E., </w:t>
      </w:r>
      <w:proofErr w:type="spellStart"/>
      <w:r w:rsidRPr="002408E4">
        <w:rPr>
          <w:rFonts w:ascii="Arial" w:hAnsi="Arial" w:cs="Arial"/>
          <w:spacing w:val="-2"/>
          <w:sz w:val="22"/>
        </w:rPr>
        <w:t>Oritz</w:t>
      </w:r>
      <w:proofErr w:type="spellEnd"/>
      <w:r w:rsidRPr="002408E4">
        <w:rPr>
          <w:rFonts w:ascii="Arial" w:hAnsi="Arial" w:cs="Arial"/>
          <w:spacing w:val="-2"/>
          <w:sz w:val="22"/>
        </w:rPr>
        <w:t>, J.A., Christopher, P.K., &amp; Tooley, E.M. (2013). The Foundations of Resilience: What are the critical resources for bouncing back from stress? In Prince-</w:t>
      </w:r>
      <w:proofErr w:type="spellStart"/>
      <w:r w:rsidRPr="002408E4">
        <w:rPr>
          <w:rFonts w:ascii="Arial" w:hAnsi="Arial" w:cs="Arial"/>
          <w:spacing w:val="-2"/>
          <w:sz w:val="22"/>
        </w:rPr>
        <w:t>Embury</w:t>
      </w:r>
      <w:proofErr w:type="spellEnd"/>
      <w:r w:rsidRPr="002408E4">
        <w:rPr>
          <w:rFonts w:ascii="Arial" w:hAnsi="Arial" w:cs="Arial"/>
          <w:spacing w:val="-2"/>
          <w:sz w:val="22"/>
        </w:rPr>
        <w:t xml:space="preserve">, S. &amp; </w:t>
      </w:r>
      <w:proofErr w:type="spellStart"/>
      <w:r w:rsidRPr="002408E4">
        <w:rPr>
          <w:rFonts w:ascii="Arial" w:hAnsi="Arial" w:cs="Arial"/>
          <w:spacing w:val="-2"/>
          <w:sz w:val="22"/>
        </w:rPr>
        <w:t>Saklofske</w:t>
      </w:r>
      <w:proofErr w:type="spellEnd"/>
      <w:r w:rsidRPr="002408E4">
        <w:rPr>
          <w:rFonts w:ascii="Arial" w:hAnsi="Arial" w:cs="Arial"/>
          <w:spacing w:val="-2"/>
          <w:sz w:val="22"/>
        </w:rPr>
        <w:t>, D.H. (Eds.), </w:t>
      </w:r>
      <w:r w:rsidRPr="002408E4">
        <w:rPr>
          <w:rStyle w:val="Emphasis"/>
          <w:rFonts w:ascii="Arial" w:hAnsi="Arial" w:cs="Arial"/>
          <w:spacing w:val="-2"/>
          <w:sz w:val="22"/>
        </w:rPr>
        <w:t xml:space="preserve">Resilience in children, </w:t>
      </w:r>
      <w:r w:rsidRPr="002408E4">
        <w:rPr>
          <w:rStyle w:val="Emphasis"/>
          <w:rFonts w:ascii="Arial" w:hAnsi="Arial" w:cs="Arial"/>
          <w:spacing w:val="-2"/>
          <w:sz w:val="22"/>
        </w:rPr>
        <w:lastRenderedPageBreak/>
        <w:t>adolescents, and adults: Translating research into practice</w:t>
      </w:r>
      <w:r w:rsidRPr="002408E4">
        <w:rPr>
          <w:rFonts w:ascii="Arial" w:hAnsi="Arial" w:cs="Arial"/>
          <w:spacing w:val="-2"/>
          <w:sz w:val="22"/>
        </w:rPr>
        <w:t>, The Springer series on human exceptionality (pp. 167-187). New York, NY: Springer.</w:t>
      </w:r>
    </w:p>
    <w:p w14:paraId="38475536" w14:textId="164FC9C9" w:rsidR="00536555" w:rsidRDefault="00536555" w:rsidP="00720B05">
      <w:pPr>
        <w:ind w:left="720" w:hanging="720"/>
        <w:jc w:val="both"/>
        <w:rPr>
          <w:rFonts w:ascii="Arial" w:hAnsi="Arial" w:cs="Arial"/>
        </w:rPr>
      </w:pPr>
      <w:r>
        <w:rPr>
          <w:rFonts w:ascii="Arial" w:hAnsi="Arial" w:cs="Arial"/>
        </w:rPr>
        <w:t>[15]</w:t>
      </w:r>
      <w:r>
        <w:rPr>
          <w:rFonts w:ascii="Arial" w:hAnsi="Arial" w:cs="Arial"/>
        </w:rPr>
        <w:tab/>
        <w:t xml:space="preserve">Hill R, Betts LR, Gardner SE. Older adults’ experiences and perceptions of digital technology: (Dis)empowerment, wellbeing, and inclusion. Computers in Human </w:t>
      </w:r>
      <w:proofErr w:type="spellStart"/>
      <w:r>
        <w:rPr>
          <w:rFonts w:ascii="Arial" w:hAnsi="Arial" w:cs="Arial"/>
        </w:rPr>
        <w:t>Behavior</w:t>
      </w:r>
      <w:proofErr w:type="spellEnd"/>
      <w:r>
        <w:rPr>
          <w:rFonts w:ascii="Arial" w:hAnsi="Arial" w:cs="Arial"/>
        </w:rPr>
        <w:t xml:space="preserve"> 2015;48: 415-423.</w:t>
      </w:r>
    </w:p>
    <w:p w14:paraId="28C08D0D" w14:textId="77777777" w:rsidR="00720B05" w:rsidRDefault="00720B05" w:rsidP="00720B05">
      <w:pPr>
        <w:ind w:left="720" w:hanging="720"/>
        <w:jc w:val="both"/>
        <w:rPr>
          <w:rFonts w:ascii="Arial" w:hAnsi="Arial" w:cs="Arial"/>
        </w:rPr>
      </w:pPr>
      <w:r>
        <w:rPr>
          <w:rFonts w:ascii="Arial" w:hAnsi="Arial" w:cs="Arial"/>
        </w:rPr>
        <w:t>[16]</w:t>
      </w:r>
      <w:r>
        <w:rPr>
          <w:rFonts w:ascii="Arial" w:hAnsi="Arial" w:cs="Arial"/>
        </w:rPr>
        <w:tab/>
        <w:t xml:space="preserve">Stephan A, Bieber A, Hopper L, et al. Barriers and facilitators to the access to and use of formal dementia care: findings of a focus group study with people with dementia, informal carers and health and social care professionals in eight European countries. BMC Health Services Research 2018; 131: </w:t>
      </w:r>
      <w:proofErr w:type="spellStart"/>
      <w:r>
        <w:rPr>
          <w:rFonts w:ascii="Arial" w:hAnsi="Arial" w:cs="Arial"/>
        </w:rPr>
        <w:t>doi</w:t>
      </w:r>
      <w:proofErr w:type="spellEnd"/>
      <w:r>
        <w:rPr>
          <w:rFonts w:ascii="Arial" w:hAnsi="Arial" w:cs="Arial"/>
        </w:rPr>
        <w:t xml:space="preserve">: 10.1186/s12877-018-0816-1  </w:t>
      </w:r>
    </w:p>
    <w:p w14:paraId="001491C9" w14:textId="3D34D972" w:rsidR="00720B05" w:rsidRDefault="00720B05" w:rsidP="00720B05">
      <w:pPr>
        <w:ind w:left="720" w:hanging="720"/>
        <w:jc w:val="both"/>
        <w:rPr>
          <w:rFonts w:ascii="Arial" w:hAnsi="Arial" w:cs="Arial"/>
        </w:rPr>
      </w:pPr>
      <w:r>
        <w:rPr>
          <w:rFonts w:ascii="Arial" w:hAnsi="Arial" w:cs="Arial"/>
          <w:lang w:val="fr-FR"/>
        </w:rPr>
        <w:t>[17]</w:t>
      </w:r>
      <w:r>
        <w:rPr>
          <w:rFonts w:ascii="Arial" w:hAnsi="Arial" w:cs="Arial"/>
          <w:lang w:val="fr-FR"/>
        </w:rPr>
        <w:tab/>
      </w:r>
      <w:r w:rsidRPr="006E1131">
        <w:rPr>
          <w:rFonts w:ascii="Arial" w:hAnsi="Arial" w:cs="Arial"/>
          <w:lang w:val="fr-FR"/>
        </w:rPr>
        <w:t xml:space="preserve">Rapaport P, Burton A, Leverton M, et al. </w:t>
      </w:r>
      <w:r>
        <w:rPr>
          <w:rFonts w:ascii="Arial" w:hAnsi="Arial" w:cs="Arial"/>
        </w:rPr>
        <w:t xml:space="preserve">“I just keep thinking that I don’t want to rely on people.” A qualitative study of how people living with dementia achieve and maintain independence at home: stakeholder perspectives BMC Geriatrics 2020; </w:t>
      </w:r>
      <w:proofErr w:type="spellStart"/>
      <w:r>
        <w:rPr>
          <w:rFonts w:ascii="Arial" w:hAnsi="Arial" w:cs="Arial"/>
        </w:rPr>
        <w:t>doi</w:t>
      </w:r>
      <w:proofErr w:type="spellEnd"/>
      <w:r>
        <w:rPr>
          <w:rFonts w:ascii="Arial" w:hAnsi="Arial" w:cs="Arial"/>
        </w:rPr>
        <w:t xml:space="preserve">: 10.1186/s12877-019-1406-6 </w:t>
      </w:r>
    </w:p>
    <w:p w14:paraId="436F8F41" w14:textId="456B8186" w:rsidR="00FE36E3" w:rsidRDefault="00536555" w:rsidP="00720B05">
      <w:pPr>
        <w:ind w:left="720" w:hanging="720"/>
        <w:jc w:val="both"/>
        <w:rPr>
          <w:rFonts w:ascii="Arial" w:hAnsi="Arial" w:cs="Arial"/>
        </w:rPr>
      </w:pPr>
      <w:r>
        <w:rPr>
          <w:rFonts w:ascii="Arial" w:hAnsi="Arial" w:cs="Arial"/>
        </w:rPr>
        <w:t>[18]</w:t>
      </w:r>
      <w:r>
        <w:rPr>
          <w:rFonts w:ascii="Arial" w:hAnsi="Arial" w:cs="Arial"/>
        </w:rPr>
        <w:tab/>
      </w:r>
      <w:r w:rsidR="00FE36E3">
        <w:rPr>
          <w:rFonts w:ascii="Arial" w:hAnsi="Arial" w:cs="Arial"/>
        </w:rPr>
        <w:t>Garcia-</w:t>
      </w:r>
      <w:proofErr w:type="spellStart"/>
      <w:r w:rsidR="00FE36E3">
        <w:rPr>
          <w:rFonts w:ascii="Arial" w:hAnsi="Arial" w:cs="Arial"/>
        </w:rPr>
        <w:t>Portilla</w:t>
      </w:r>
      <w:proofErr w:type="spellEnd"/>
      <w:r w:rsidR="00FE36E3">
        <w:rPr>
          <w:rFonts w:ascii="Arial" w:hAnsi="Arial" w:cs="Arial"/>
        </w:rPr>
        <w:t xml:space="preserve"> P, de la Fuente Tomas L, </w:t>
      </w:r>
      <w:proofErr w:type="spellStart"/>
      <w:r w:rsidR="00FE36E3">
        <w:rPr>
          <w:rFonts w:ascii="Arial" w:hAnsi="Arial" w:cs="Arial"/>
        </w:rPr>
        <w:t>Bobes-Bascaran</w:t>
      </w:r>
      <w:proofErr w:type="spellEnd"/>
      <w:r w:rsidR="00FE36E3">
        <w:rPr>
          <w:rFonts w:ascii="Arial" w:hAnsi="Arial" w:cs="Arial"/>
        </w:rPr>
        <w:t xml:space="preserve"> T, et al. Are older adults also at higher psychological risk from COVID-19? Aging &amp; Mental Health 2020; </w:t>
      </w:r>
      <w:proofErr w:type="spellStart"/>
      <w:r w:rsidR="00FE36E3">
        <w:rPr>
          <w:rFonts w:ascii="Arial" w:hAnsi="Arial" w:cs="Arial"/>
        </w:rPr>
        <w:t>doi</w:t>
      </w:r>
      <w:proofErr w:type="spellEnd"/>
      <w:r w:rsidR="00FE36E3">
        <w:rPr>
          <w:rFonts w:ascii="Arial" w:hAnsi="Arial" w:cs="Arial"/>
        </w:rPr>
        <w:t xml:space="preserve">: </w:t>
      </w:r>
      <w:r w:rsidR="00FE36E3" w:rsidRPr="00FE36E3">
        <w:rPr>
          <w:rFonts w:ascii="Arial" w:hAnsi="Arial" w:cs="Arial"/>
        </w:rPr>
        <w:t>10.1080/13607863.2020.1805723</w:t>
      </w:r>
    </w:p>
    <w:p w14:paraId="27D7224C" w14:textId="77777777" w:rsidR="00536555" w:rsidRDefault="00536555" w:rsidP="00720B05">
      <w:pPr>
        <w:spacing w:after="0"/>
        <w:ind w:left="720" w:hanging="720"/>
        <w:jc w:val="both"/>
        <w:rPr>
          <w:rFonts w:ascii="Arial" w:hAnsi="Arial" w:cs="Arial"/>
        </w:rPr>
      </w:pPr>
      <w:r>
        <w:rPr>
          <w:rFonts w:ascii="Arial" w:hAnsi="Arial" w:cs="Arial"/>
        </w:rPr>
        <w:t>[19]</w:t>
      </w:r>
      <w:r>
        <w:rPr>
          <w:rFonts w:ascii="Arial" w:hAnsi="Arial" w:cs="Arial"/>
        </w:rPr>
        <w:tab/>
      </w:r>
      <w:proofErr w:type="spellStart"/>
      <w:r>
        <w:rPr>
          <w:rFonts w:ascii="Arial" w:hAnsi="Arial" w:cs="Arial"/>
        </w:rPr>
        <w:t>Fancourt</w:t>
      </w:r>
      <w:proofErr w:type="spellEnd"/>
      <w:r>
        <w:rPr>
          <w:rFonts w:ascii="Arial" w:hAnsi="Arial" w:cs="Arial"/>
        </w:rPr>
        <w:t xml:space="preserve"> D, Steptoe A, Bu F. Trajectories of depression and anxiety during enforced isolation due to COVID-10: longitudinal analyses of 59,318 adults in the UK with and without diagnosed mental illness. </w:t>
      </w:r>
      <w:proofErr w:type="spellStart"/>
      <w:r>
        <w:rPr>
          <w:rFonts w:ascii="Arial" w:hAnsi="Arial" w:cs="Arial"/>
        </w:rPr>
        <w:t>medRxiv</w:t>
      </w:r>
      <w:proofErr w:type="spellEnd"/>
      <w:r>
        <w:rPr>
          <w:rFonts w:ascii="Arial" w:hAnsi="Arial" w:cs="Arial"/>
        </w:rPr>
        <w:t xml:space="preserve"> preprint 2020; </w:t>
      </w:r>
      <w:proofErr w:type="spellStart"/>
      <w:r>
        <w:rPr>
          <w:rFonts w:ascii="Arial" w:hAnsi="Arial" w:cs="Arial"/>
        </w:rPr>
        <w:t>doi</w:t>
      </w:r>
      <w:proofErr w:type="spellEnd"/>
      <w:r>
        <w:rPr>
          <w:rFonts w:ascii="Arial" w:hAnsi="Arial" w:cs="Arial"/>
        </w:rPr>
        <w:t>: 10.</w:t>
      </w:r>
      <w:r w:rsidRPr="00F23672">
        <w:rPr>
          <w:rFonts w:ascii="Arial" w:hAnsi="Arial" w:cs="Arial"/>
          <w:color w:val="333333"/>
          <w:shd w:val="clear" w:color="auto" w:fill="FFFFFF"/>
        </w:rPr>
        <w:t>1101/2020.06.03.20120923</w:t>
      </w:r>
    </w:p>
    <w:p w14:paraId="18AB83DF" w14:textId="1AF0C406" w:rsidR="003B00CD" w:rsidRDefault="0075001F" w:rsidP="00440D57">
      <w:pPr>
        <w:tabs>
          <w:tab w:val="left" w:pos="1916"/>
        </w:tabs>
        <w:spacing w:after="0"/>
        <w:jc w:val="both"/>
        <w:rPr>
          <w:rFonts w:ascii="Arial" w:hAnsi="Arial" w:cs="Arial"/>
        </w:rPr>
      </w:pPr>
      <w:r>
        <w:rPr>
          <w:rFonts w:ascii="Arial" w:hAnsi="Arial" w:cs="Arial"/>
        </w:rPr>
        <w:tab/>
      </w:r>
    </w:p>
    <w:p w14:paraId="38A38AFE" w14:textId="77777777" w:rsidR="00720B05" w:rsidRDefault="00720B05" w:rsidP="00720B05">
      <w:pPr>
        <w:ind w:left="720" w:hanging="720"/>
        <w:jc w:val="both"/>
        <w:rPr>
          <w:rFonts w:ascii="Arial" w:hAnsi="Arial" w:cs="Arial"/>
        </w:rPr>
      </w:pPr>
      <w:r>
        <w:rPr>
          <w:rFonts w:ascii="Arial" w:hAnsi="Arial" w:cs="Arial"/>
        </w:rPr>
        <w:t>[20]</w:t>
      </w:r>
      <w:r>
        <w:rPr>
          <w:rFonts w:ascii="Arial" w:hAnsi="Arial" w:cs="Arial"/>
        </w:rPr>
        <w:tab/>
      </w:r>
      <w:proofErr w:type="spellStart"/>
      <w:r>
        <w:rPr>
          <w:rFonts w:ascii="Arial" w:hAnsi="Arial" w:cs="Arial"/>
        </w:rPr>
        <w:t>Iob</w:t>
      </w:r>
      <w:proofErr w:type="spellEnd"/>
      <w:r>
        <w:rPr>
          <w:rFonts w:ascii="Arial" w:hAnsi="Arial" w:cs="Arial"/>
        </w:rPr>
        <w:t xml:space="preserve"> E, Steptoe A, </w:t>
      </w:r>
      <w:proofErr w:type="spellStart"/>
      <w:r>
        <w:rPr>
          <w:rFonts w:ascii="Arial" w:hAnsi="Arial" w:cs="Arial"/>
        </w:rPr>
        <w:t>Fancourt</w:t>
      </w:r>
      <w:proofErr w:type="spellEnd"/>
      <w:r>
        <w:rPr>
          <w:rFonts w:ascii="Arial" w:hAnsi="Arial" w:cs="Arial"/>
        </w:rPr>
        <w:t xml:space="preserve"> D. Abuse, self-harm and suicidal ideation in the UK during the COVID-19 pandemic. British Journal of Psychiatry 2020; </w:t>
      </w:r>
      <w:proofErr w:type="spellStart"/>
      <w:r>
        <w:rPr>
          <w:rFonts w:ascii="Arial" w:hAnsi="Arial" w:cs="Arial"/>
        </w:rPr>
        <w:t>doi</w:t>
      </w:r>
      <w:proofErr w:type="spellEnd"/>
      <w:r>
        <w:rPr>
          <w:rFonts w:ascii="Arial" w:hAnsi="Arial" w:cs="Arial"/>
        </w:rPr>
        <w:t xml:space="preserve">: </w:t>
      </w:r>
      <w:r w:rsidRPr="00F23672">
        <w:rPr>
          <w:rFonts w:ascii="Arial" w:hAnsi="Arial" w:cs="Arial"/>
          <w:bdr w:val="none" w:sz="0" w:space="0" w:color="auto" w:frame="1"/>
          <w:shd w:val="clear" w:color="auto" w:fill="FFFFFF"/>
        </w:rPr>
        <w:t>10.1192/bjp.2020.130</w:t>
      </w:r>
    </w:p>
    <w:p w14:paraId="0A2F2DE7" w14:textId="77777777" w:rsidR="00720B05" w:rsidRDefault="00720B05" w:rsidP="00720B05">
      <w:pPr>
        <w:ind w:left="720" w:hanging="720"/>
        <w:jc w:val="both"/>
        <w:rPr>
          <w:rFonts w:ascii="Arial" w:hAnsi="Arial" w:cs="Arial"/>
        </w:rPr>
      </w:pPr>
      <w:r>
        <w:rPr>
          <w:rFonts w:ascii="Arial" w:hAnsi="Arial" w:cs="Arial"/>
        </w:rPr>
        <w:t>[21]</w:t>
      </w:r>
      <w:r>
        <w:rPr>
          <w:rFonts w:ascii="Arial" w:hAnsi="Arial" w:cs="Arial"/>
        </w:rPr>
        <w:tab/>
      </w:r>
      <w:proofErr w:type="spellStart"/>
      <w:r>
        <w:rPr>
          <w:rFonts w:ascii="Arial" w:hAnsi="Arial" w:cs="Arial"/>
        </w:rPr>
        <w:t>Holtfreter</w:t>
      </w:r>
      <w:proofErr w:type="spellEnd"/>
      <w:r>
        <w:rPr>
          <w:rFonts w:ascii="Arial" w:hAnsi="Arial" w:cs="Arial"/>
        </w:rPr>
        <w:t xml:space="preserve"> K, </w:t>
      </w:r>
      <w:proofErr w:type="spellStart"/>
      <w:r>
        <w:rPr>
          <w:rFonts w:ascii="Arial" w:hAnsi="Arial" w:cs="Arial"/>
        </w:rPr>
        <w:t>Reisig</w:t>
      </w:r>
      <w:proofErr w:type="spellEnd"/>
      <w:r>
        <w:rPr>
          <w:rFonts w:ascii="Arial" w:hAnsi="Arial" w:cs="Arial"/>
        </w:rPr>
        <w:t xml:space="preserve"> MD, </w:t>
      </w:r>
      <w:proofErr w:type="spellStart"/>
      <w:r>
        <w:rPr>
          <w:rFonts w:ascii="Arial" w:hAnsi="Arial" w:cs="Arial"/>
        </w:rPr>
        <w:t>Turanovic</w:t>
      </w:r>
      <w:proofErr w:type="spellEnd"/>
      <w:r>
        <w:rPr>
          <w:rFonts w:ascii="Arial" w:hAnsi="Arial" w:cs="Arial"/>
        </w:rPr>
        <w:t xml:space="preserve"> JJ. Depression and infrequent participation in social activities among older adults: the moderating role of high-quality familial ties. Aging &amp; Mental Health 2017;21(4): </w:t>
      </w:r>
      <w:r w:rsidRPr="00733124">
        <w:rPr>
          <w:rFonts w:ascii="Arial" w:hAnsi="Arial" w:cs="Arial"/>
        </w:rPr>
        <w:t>10.1080/13607863.2015.1099036</w:t>
      </w:r>
    </w:p>
    <w:p w14:paraId="58D18511" w14:textId="4F00A992" w:rsidR="0033685F" w:rsidRDefault="00536555" w:rsidP="00720B05">
      <w:pPr>
        <w:ind w:left="720" w:hanging="720"/>
        <w:jc w:val="both"/>
        <w:rPr>
          <w:rFonts w:ascii="Arial" w:hAnsi="Arial" w:cs="Arial"/>
          <w:shd w:val="clear" w:color="auto" w:fill="FFFFFF"/>
        </w:rPr>
      </w:pPr>
      <w:r>
        <w:rPr>
          <w:rFonts w:ascii="Arial" w:hAnsi="Arial" w:cs="Arial"/>
        </w:rPr>
        <w:t>[22]</w:t>
      </w:r>
      <w:r>
        <w:rPr>
          <w:rFonts w:ascii="Arial" w:hAnsi="Arial" w:cs="Arial"/>
        </w:rPr>
        <w:tab/>
      </w:r>
      <w:r w:rsidR="0033685F">
        <w:rPr>
          <w:rFonts w:ascii="Arial" w:hAnsi="Arial" w:cs="Arial"/>
        </w:rPr>
        <w:t xml:space="preserve">Hackett RA, Steptoe A, </w:t>
      </w:r>
      <w:proofErr w:type="spellStart"/>
      <w:r w:rsidR="00733124">
        <w:rPr>
          <w:rFonts w:ascii="Arial" w:hAnsi="Arial" w:cs="Arial"/>
        </w:rPr>
        <w:t>Cadar</w:t>
      </w:r>
      <w:proofErr w:type="spellEnd"/>
      <w:r w:rsidR="00733124">
        <w:rPr>
          <w:rFonts w:ascii="Arial" w:hAnsi="Arial" w:cs="Arial"/>
        </w:rPr>
        <w:t xml:space="preserve"> D, </w:t>
      </w:r>
      <w:proofErr w:type="spellStart"/>
      <w:r w:rsidR="00733124">
        <w:rPr>
          <w:rFonts w:ascii="Arial" w:hAnsi="Arial" w:cs="Arial"/>
        </w:rPr>
        <w:t>Fancourt</w:t>
      </w:r>
      <w:proofErr w:type="spellEnd"/>
      <w:r w:rsidR="00733124">
        <w:rPr>
          <w:rFonts w:ascii="Arial" w:hAnsi="Arial" w:cs="Arial"/>
        </w:rPr>
        <w:t xml:space="preserve"> D. Social engagement before and after dementia diagnosis in the English Longitudinal Study of Ageing. PLOS One 2019; </w:t>
      </w:r>
      <w:proofErr w:type="spellStart"/>
      <w:r w:rsidR="00733124">
        <w:rPr>
          <w:rFonts w:ascii="Arial" w:hAnsi="Arial" w:cs="Arial"/>
        </w:rPr>
        <w:t>doi</w:t>
      </w:r>
      <w:proofErr w:type="spellEnd"/>
      <w:r w:rsidR="00733124">
        <w:rPr>
          <w:rFonts w:ascii="Arial" w:hAnsi="Arial" w:cs="Arial"/>
        </w:rPr>
        <w:t xml:space="preserve">: </w:t>
      </w:r>
      <w:r w:rsidR="00733124" w:rsidRPr="00733124">
        <w:rPr>
          <w:rFonts w:ascii="Arial" w:hAnsi="Arial" w:cs="Arial"/>
          <w:shd w:val="clear" w:color="auto" w:fill="FFFFFF"/>
        </w:rPr>
        <w:t>10.1371/journal.pone.0220195</w:t>
      </w:r>
    </w:p>
    <w:p w14:paraId="6889AA04" w14:textId="7AAF01C9" w:rsidR="00536555" w:rsidRDefault="00536555" w:rsidP="00536555">
      <w:pPr>
        <w:spacing w:after="0" w:line="100" w:lineRule="atLeast"/>
        <w:ind w:left="720" w:hanging="720"/>
        <w:jc w:val="both"/>
        <w:rPr>
          <w:rFonts w:ascii="Arial" w:hAnsi="Arial" w:cs="Arial"/>
        </w:rPr>
      </w:pPr>
      <w:bookmarkStart w:id="3" w:name="_Hlk43376706"/>
      <w:r>
        <w:rPr>
          <w:rFonts w:ascii="Arial" w:hAnsi="Arial" w:cs="Arial"/>
          <w:szCs w:val="20"/>
          <w:lang w:val="nl-NL"/>
        </w:rPr>
        <w:t>[23]</w:t>
      </w:r>
      <w:r>
        <w:rPr>
          <w:rFonts w:ascii="Arial" w:hAnsi="Arial" w:cs="Arial"/>
          <w:szCs w:val="20"/>
          <w:lang w:val="nl-NL"/>
        </w:rPr>
        <w:tab/>
      </w:r>
      <w:r w:rsidRPr="0075001F">
        <w:rPr>
          <w:rFonts w:ascii="Arial" w:hAnsi="Arial" w:cs="Arial"/>
          <w:szCs w:val="20"/>
          <w:lang w:val="nl-NL"/>
        </w:rPr>
        <w:t>Giebel</w:t>
      </w:r>
      <w:r>
        <w:rPr>
          <w:rFonts w:ascii="Arial" w:hAnsi="Arial" w:cs="Arial"/>
          <w:szCs w:val="20"/>
          <w:lang w:val="nl-NL"/>
        </w:rPr>
        <w:t xml:space="preserve"> </w:t>
      </w:r>
      <w:r w:rsidRPr="0075001F">
        <w:rPr>
          <w:rFonts w:ascii="Arial" w:hAnsi="Arial" w:cs="Arial"/>
          <w:szCs w:val="20"/>
          <w:lang w:val="nl-NL"/>
        </w:rPr>
        <w:t>C, Lord K, Cooper C</w:t>
      </w:r>
      <w:r>
        <w:rPr>
          <w:rFonts w:ascii="Arial" w:hAnsi="Arial" w:cs="Arial"/>
          <w:szCs w:val="20"/>
          <w:lang w:val="nl-NL"/>
        </w:rPr>
        <w:t xml:space="preserve">, et al. </w:t>
      </w:r>
      <w:r w:rsidRPr="0075001F">
        <w:rPr>
          <w:rFonts w:ascii="Arial" w:hAnsi="Arial" w:cs="Arial"/>
          <w:szCs w:val="20"/>
          <w:lang w:val="nl-NL"/>
        </w:rPr>
        <w:t>A UK survey of COVID-19 related social support service closures and the effects on older people, people with dementia, and carers. International Journal of Geriatric Psychiatry</w:t>
      </w:r>
      <w:r>
        <w:rPr>
          <w:rFonts w:ascii="Arial" w:hAnsi="Arial" w:cs="Arial"/>
          <w:szCs w:val="20"/>
          <w:lang w:val="nl-NL"/>
        </w:rPr>
        <w:t xml:space="preserve"> 2020c;</w:t>
      </w:r>
      <w:r w:rsidRPr="0075001F">
        <w:rPr>
          <w:rFonts w:ascii="Arial" w:hAnsi="Arial" w:cs="Arial"/>
          <w:szCs w:val="20"/>
          <w:lang w:val="nl-NL"/>
        </w:rPr>
        <w:t xml:space="preserve"> </w:t>
      </w:r>
      <w:r>
        <w:rPr>
          <w:rFonts w:ascii="Arial" w:hAnsi="Arial" w:cs="Arial"/>
          <w:szCs w:val="20"/>
          <w:lang w:val="nl-NL"/>
        </w:rPr>
        <w:t xml:space="preserve">doi: </w:t>
      </w:r>
      <w:r w:rsidRPr="000E13B1">
        <w:rPr>
          <w:rFonts w:ascii="Arial" w:hAnsi="Arial" w:cs="Arial"/>
        </w:rPr>
        <w:t>10.1002/gps.5434</w:t>
      </w:r>
    </w:p>
    <w:p w14:paraId="26E4819E" w14:textId="77777777" w:rsidR="00536555" w:rsidRPr="0075001F" w:rsidRDefault="00536555" w:rsidP="00536555">
      <w:pPr>
        <w:spacing w:after="0" w:line="100" w:lineRule="atLeast"/>
        <w:ind w:left="720" w:hanging="720"/>
        <w:jc w:val="both"/>
        <w:rPr>
          <w:rFonts w:ascii="Arial" w:hAnsi="Arial" w:cs="Arial"/>
          <w:szCs w:val="20"/>
          <w:lang w:val="nl-NL"/>
        </w:rPr>
      </w:pPr>
    </w:p>
    <w:bookmarkEnd w:id="3"/>
    <w:p w14:paraId="4D793FE3" w14:textId="54516BA1" w:rsidR="00CB1997" w:rsidRDefault="00CB1997" w:rsidP="00F83CC1">
      <w:pPr>
        <w:jc w:val="both"/>
        <w:rPr>
          <w:rFonts w:ascii="Arial" w:hAnsi="Arial" w:cs="Arial"/>
        </w:rPr>
      </w:pPr>
    </w:p>
    <w:p w14:paraId="529ADE46" w14:textId="0AF390EA" w:rsidR="00CB1997" w:rsidRDefault="00CB1997" w:rsidP="00F83CC1">
      <w:pPr>
        <w:jc w:val="both"/>
        <w:rPr>
          <w:rFonts w:ascii="Arial" w:hAnsi="Arial" w:cs="Arial"/>
        </w:rPr>
      </w:pPr>
    </w:p>
    <w:p w14:paraId="3D0B0A12" w14:textId="24C30653" w:rsidR="00CB1997" w:rsidRDefault="00CB1997" w:rsidP="00F83CC1">
      <w:pPr>
        <w:jc w:val="both"/>
        <w:rPr>
          <w:rFonts w:ascii="Arial" w:hAnsi="Arial" w:cs="Arial"/>
        </w:rPr>
      </w:pPr>
    </w:p>
    <w:p w14:paraId="68D66F73" w14:textId="721A3636" w:rsidR="00CB1997" w:rsidRDefault="00CB1997" w:rsidP="00F83CC1">
      <w:pPr>
        <w:jc w:val="both"/>
        <w:rPr>
          <w:rFonts w:ascii="Arial" w:hAnsi="Arial" w:cs="Arial"/>
        </w:rPr>
      </w:pPr>
    </w:p>
    <w:p w14:paraId="729EAD80" w14:textId="65E1EC9B" w:rsidR="00CB1997" w:rsidRDefault="00CB1997" w:rsidP="00F83CC1">
      <w:pPr>
        <w:jc w:val="both"/>
        <w:rPr>
          <w:rFonts w:ascii="Arial" w:hAnsi="Arial" w:cs="Arial"/>
        </w:rPr>
      </w:pPr>
    </w:p>
    <w:p w14:paraId="273EF696" w14:textId="658A3A9B" w:rsidR="00CB1997" w:rsidRDefault="00CB1997" w:rsidP="00F83CC1">
      <w:pPr>
        <w:jc w:val="both"/>
        <w:rPr>
          <w:rFonts w:ascii="Arial" w:hAnsi="Arial" w:cs="Arial"/>
        </w:rPr>
      </w:pPr>
    </w:p>
    <w:p w14:paraId="02F7471F" w14:textId="632D05A5" w:rsidR="00CB1997" w:rsidRDefault="00CB1997" w:rsidP="00F83CC1">
      <w:pPr>
        <w:jc w:val="both"/>
        <w:rPr>
          <w:rFonts w:ascii="Arial" w:hAnsi="Arial" w:cs="Arial"/>
        </w:rPr>
      </w:pPr>
    </w:p>
    <w:p w14:paraId="513E65FB" w14:textId="72A742F8" w:rsidR="00CB1997" w:rsidRDefault="00CB1997" w:rsidP="00F83CC1">
      <w:pPr>
        <w:jc w:val="both"/>
        <w:rPr>
          <w:rFonts w:ascii="Arial" w:hAnsi="Arial" w:cs="Arial"/>
        </w:rPr>
      </w:pPr>
    </w:p>
    <w:p w14:paraId="2EA70074" w14:textId="63F599AC" w:rsidR="00A91551" w:rsidRDefault="00A91551" w:rsidP="00BE5D44">
      <w:pPr>
        <w:jc w:val="both"/>
        <w:rPr>
          <w:rFonts w:ascii="Arial" w:hAnsi="Arial" w:cs="Arial"/>
          <w:b/>
        </w:rPr>
        <w:sectPr w:rsidR="00A91551">
          <w:footerReference w:type="default" r:id="rId8"/>
          <w:pgSz w:w="11906" w:h="16838"/>
          <w:pgMar w:top="1440" w:right="1440" w:bottom="1440" w:left="1440" w:header="708" w:footer="708" w:gutter="0"/>
          <w:cols w:space="708"/>
          <w:docGrid w:linePitch="360"/>
        </w:sectPr>
      </w:pPr>
      <w:bookmarkStart w:id="4" w:name="_Hlk50042588"/>
    </w:p>
    <w:p w14:paraId="46B63DCA" w14:textId="77777777" w:rsidR="00050538" w:rsidRDefault="00BE5D44" w:rsidP="00BE5D44">
      <w:pPr>
        <w:jc w:val="both"/>
        <w:rPr>
          <w:rFonts w:ascii="Arial" w:hAnsi="Arial" w:cs="Arial"/>
          <w:b/>
        </w:rPr>
      </w:pPr>
      <w:r w:rsidRPr="00050538">
        <w:rPr>
          <w:rFonts w:ascii="Arial" w:hAnsi="Arial" w:cs="Arial"/>
          <w:b/>
        </w:rPr>
        <w:lastRenderedPageBreak/>
        <w:t xml:space="preserve">Table 1. </w:t>
      </w:r>
      <w:r w:rsidR="00050538">
        <w:rPr>
          <w:rFonts w:ascii="Arial" w:hAnsi="Arial" w:cs="Arial"/>
          <w:b/>
        </w:rPr>
        <w:t>Participant characteristics of those completing T1 survey and those completing all three survey time points</w:t>
      </w:r>
    </w:p>
    <w:tbl>
      <w:tblPr>
        <w:tblStyle w:val="TableGrid"/>
        <w:tblW w:w="141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01"/>
        <w:gridCol w:w="1549"/>
        <w:gridCol w:w="1550"/>
        <w:gridCol w:w="1550"/>
        <w:gridCol w:w="1550"/>
        <w:gridCol w:w="1550"/>
        <w:gridCol w:w="1550"/>
        <w:gridCol w:w="1550"/>
        <w:gridCol w:w="1550"/>
      </w:tblGrid>
      <w:tr w:rsidR="00281EF3" w:rsidRPr="00281EF3" w14:paraId="5AD0EBFC" w14:textId="77777777" w:rsidTr="008A7DD9">
        <w:tc>
          <w:tcPr>
            <w:tcW w:w="1701" w:type="dxa"/>
          </w:tcPr>
          <w:p w14:paraId="5A9A302E" w14:textId="77777777" w:rsidR="00281EF3" w:rsidRPr="00281EF3" w:rsidRDefault="00281EF3" w:rsidP="002C74AB">
            <w:pPr>
              <w:rPr>
                <w:rFonts w:ascii="Arial" w:hAnsi="Arial" w:cs="Arial"/>
                <w:b/>
                <w:sz w:val="20"/>
                <w:szCs w:val="20"/>
              </w:rPr>
            </w:pPr>
          </w:p>
        </w:tc>
        <w:tc>
          <w:tcPr>
            <w:tcW w:w="6199" w:type="dxa"/>
            <w:gridSpan w:val="4"/>
          </w:tcPr>
          <w:p w14:paraId="625631B8" w14:textId="4DBAC021" w:rsidR="00281EF3" w:rsidRPr="00281EF3" w:rsidRDefault="00281EF3" w:rsidP="00BE5D44">
            <w:pPr>
              <w:jc w:val="both"/>
              <w:rPr>
                <w:rFonts w:ascii="Arial" w:hAnsi="Arial" w:cs="Arial"/>
                <w:b/>
                <w:sz w:val="20"/>
                <w:szCs w:val="20"/>
              </w:rPr>
            </w:pPr>
            <w:r w:rsidRPr="00281EF3">
              <w:rPr>
                <w:rFonts w:ascii="Arial" w:hAnsi="Arial" w:cs="Arial"/>
                <w:b/>
                <w:sz w:val="20"/>
                <w:szCs w:val="20"/>
              </w:rPr>
              <w:t>T1 (n=</w:t>
            </w:r>
            <w:r w:rsidR="00804369">
              <w:rPr>
                <w:rFonts w:ascii="Arial" w:hAnsi="Arial" w:cs="Arial"/>
                <w:b/>
                <w:sz w:val="20"/>
                <w:szCs w:val="20"/>
              </w:rPr>
              <w:t>5</w:t>
            </w:r>
            <w:r w:rsidR="000F43FC">
              <w:rPr>
                <w:rFonts w:ascii="Arial" w:hAnsi="Arial" w:cs="Arial"/>
                <w:b/>
                <w:sz w:val="20"/>
                <w:szCs w:val="20"/>
              </w:rPr>
              <w:t>69</w:t>
            </w:r>
            <w:r w:rsidRPr="00281EF3">
              <w:rPr>
                <w:rFonts w:ascii="Arial" w:hAnsi="Arial" w:cs="Arial"/>
                <w:b/>
                <w:sz w:val="20"/>
                <w:szCs w:val="20"/>
              </w:rPr>
              <w:t>)</w:t>
            </w:r>
          </w:p>
        </w:tc>
        <w:tc>
          <w:tcPr>
            <w:tcW w:w="6200" w:type="dxa"/>
            <w:gridSpan w:val="4"/>
            <w:shd w:val="clear" w:color="auto" w:fill="F2F2F2" w:themeFill="background1" w:themeFillShade="F2"/>
          </w:tcPr>
          <w:p w14:paraId="3A1BE299" w14:textId="0C8C9F7F" w:rsidR="00281EF3" w:rsidRPr="00281EF3" w:rsidRDefault="00281EF3" w:rsidP="00BE5D44">
            <w:pPr>
              <w:jc w:val="both"/>
              <w:rPr>
                <w:rFonts w:ascii="Arial" w:hAnsi="Arial" w:cs="Arial"/>
                <w:b/>
                <w:sz w:val="20"/>
                <w:szCs w:val="20"/>
              </w:rPr>
            </w:pPr>
            <w:r w:rsidRPr="00281EF3">
              <w:rPr>
                <w:rFonts w:ascii="Arial" w:hAnsi="Arial" w:cs="Arial"/>
                <w:b/>
                <w:sz w:val="20"/>
                <w:szCs w:val="20"/>
              </w:rPr>
              <w:t>T1, 2 and 3 (n=</w:t>
            </w:r>
            <w:r w:rsidR="00804369">
              <w:rPr>
                <w:rFonts w:ascii="Arial" w:hAnsi="Arial" w:cs="Arial"/>
                <w:b/>
                <w:sz w:val="20"/>
                <w:szCs w:val="20"/>
              </w:rPr>
              <w:t>3</w:t>
            </w:r>
            <w:r w:rsidR="00923EA6">
              <w:rPr>
                <w:rFonts w:ascii="Arial" w:hAnsi="Arial" w:cs="Arial"/>
                <w:b/>
                <w:sz w:val="20"/>
                <w:szCs w:val="20"/>
              </w:rPr>
              <w:t>77</w:t>
            </w:r>
            <w:r w:rsidRPr="00281EF3">
              <w:rPr>
                <w:rFonts w:ascii="Arial" w:hAnsi="Arial" w:cs="Arial"/>
                <w:b/>
                <w:sz w:val="20"/>
                <w:szCs w:val="20"/>
              </w:rPr>
              <w:t>)</w:t>
            </w:r>
          </w:p>
        </w:tc>
      </w:tr>
      <w:tr w:rsidR="00281EF3" w:rsidRPr="00281EF3" w14:paraId="0C52215F" w14:textId="77777777" w:rsidTr="008A7DD9">
        <w:tc>
          <w:tcPr>
            <w:tcW w:w="1701" w:type="dxa"/>
          </w:tcPr>
          <w:p w14:paraId="1BFA0BAC" w14:textId="77777777" w:rsidR="00281EF3" w:rsidRPr="00281EF3" w:rsidRDefault="00281EF3" w:rsidP="002C74AB">
            <w:pPr>
              <w:rPr>
                <w:rFonts w:ascii="Arial" w:hAnsi="Arial" w:cs="Arial"/>
                <w:b/>
                <w:sz w:val="20"/>
                <w:szCs w:val="20"/>
              </w:rPr>
            </w:pPr>
          </w:p>
        </w:tc>
        <w:tc>
          <w:tcPr>
            <w:tcW w:w="1549" w:type="dxa"/>
          </w:tcPr>
          <w:p w14:paraId="629E9941" w14:textId="09254D9B" w:rsidR="00281EF3" w:rsidRPr="00281EF3" w:rsidRDefault="00281EF3" w:rsidP="00281EF3">
            <w:pPr>
              <w:jc w:val="both"/>
              <w:rPr>
                <w:rFonts w:ascii="Arial" w:hAnsi="Arial" w:cs="Arial"/>
                <w:b/>
                <w:sz w:val="20"/>
                <w:szCs w:val="20"/>
              </w:rPr>
            </w:pPr>
            <w:r w:rsidRPr="00281EF3">
              <w:rPr>
                <w:rFonts w:ascii="Arial" w:hAnsi="Arial" w:cs="Arial"/>
                <w:b/>
                <w:sz w:val="20"/>
                <w:szCs w:val="20"/>
              </w:rPr>
              <w:t>PLWD (</w:t>
            </w:r>
            <w:r>
              <w:rPr>
                <w:rFonts w:ascii="Arial" w:hAnsi="Arial" w:cs="Arial"/>
                <w:b/>
                <w:sz w:val="20"/>
                <w:szCs w:val="20"/>
              </w:rPr>
              <w:t>n=</w:t>
            </w:r>
            <w:r w:rsidR="00A55F38">
              <w:rPr>
                <w:rFonts w:ascii="Arial" w:hAnsi="Arial" w:cs="Arial"/>
                <w:b/>
                <w:sz w:val="20"/>
                <w:szCs w:val="20"/>
              </w:rPr>
              <w:t>61</w:t>
            </w:r>
            <w:r>
              <w:rPr>
                <w:rFonts w:ascii="Arial" w:hAnsi="Arial" w:cs="Arial"/>
                <w:b/>
                <w:sz w:val="20"/>
                <w:szCs w:val="20"/>
              </w:rPr>
              <w:t>)</w:t>
            </w:r>
          </w:p>
        </w:tc>
        <w:tc>
          <w:tcPr>
            <w:tcW w:w="1550" w:type="dxa"/>
          </w:tcPr>
          <w:p w14:paraId="796A2F4C" w14:textId="29E78CB3" w:rsidR="00281EF3" w:rsidRPr="00281EF3" w:rsidRDefault="00281EF3" w:rsidP="00281EF3">
            <w:pPr>
              <w:jc w:val="both"/>
              <w:rPr>
                <w:rFonts w:ascii="Arial" w:hAnsi="Arial" w:cs="Arial"/>
                <w:b/>
                <w:sz w:val="20"/>
                <w:szCs w:val="20"/>
              </w:rPr>
            </w:pPr>
            <w:r>
              <w:rPr>
                <w:rFonts w:ascii="Arial" w:hAnsi="Arial" w:cs="Arial"/>
                <w:b/>
                <w:sz w:val="20"/>
                <w:szCs w:val="20"/>
              </w:rPr>
              <w:t>Current carers (n=</w:t>
            </w:r>
            <w:r w:rsidR="00A55F38">
              <w:rPr>
                <w:rFonts w:ascii="Arial" w:hAnsi="Arial" w:cs="Arial"/>
                <w:b/>
                <w:sz w:val="20"/>
                <w:szCs w:val="20"/>
              </w:rPr>
              <w:t>219</w:t>
            </w:r>
            <w:r>
              <w:rPr>
                <w:rFonts w:ascii="Arial" w:hAnsi="Arial" w:cs="Arial"/>
                <w:b/>
                <w:sz w:val="20"/>
                <w:szCs w:val="20"/>
              </w:rPr>
              <w:t>)</w:t>
            </w:r>
          </w:p>
        </w:tc>
        <w:tc>
          <w:tcPr>
            <w:tcW w:w="1550" w:type="dxa"/>
          </w:tcPr>
          <w:p w14:paraId="79A56AE5" w14:textId="62454539" w:rsidR="00281EF3" w:rsidRPr="00281EF3" w:rsidRDefault="00281EF3" w:rsidP="00281EF3">
            <w:pPr>
              <w:jc w:val="both"/>
              <w:rPr>
                <w:rFonts w:ascii="Arial" w:hAnsi="Arial" w:cs="Arial"/>
                <w:b/>
                <w:sz w:val="20"/>
                <w:szCs w:val="20"/>
              </w:rPr>
            </w:pPr>
            <w:r>
              <w:rPr>
                <w:rFonts w:ascii="Arial" w:hAnsi="Arial" w:cs="Arial"/>
                <w:b/>
                <w:sz w:val="20"/>
                <w:szCs w:val="20"/>
              </w:rPr>
              <w:t>Former carers (n=</w:t>
            </w:r>
            <w:r w:rsidR="00A55F38">
              <w:rPr>
                <w:rFonts w:ascii="Arial" w:hAnsi="Arial" w:cs="Arial"/>
                <w:b/>
                <w:sz w:val="20"/>
                <w:szCs w:val="20"/>
              </w:rPr>
              <w:t>66</w:t>
            </w:r>
            <w:r>
              <w:rPr>
                <w:rFonts w:ascii="Arial" w:hAnsi="Arial" w:cs="Arial"/>
                <w:b/>
                <w:sz w:val="20"/>
                <w:szCs w:val="20"/>
              </w:rPr>
              <w:t>)</w:t>
            </w:r>
          </w:p>
        </w:tc>
        <w:tc>
          <w:tcPr>
            <w:tcW w:w="1550" w:type="dxa"/>
          </w:tcPr>
          <w:p w14:paraId="5A02CFCC" w14:textId="408AC4B3" w:rsidR="00281EF3" w:rsidRPr="00281EF3" w:rsidRDefault="00281EF3" w:rsidP="00281EF3">
            <w:pPr>
              <w:jc w:val="both"/>
              <w:rPr>
                <w:rFonts w:ascii="Arial" w:hAnsi="Arial" w:cs="Arial"/>
                <w:b/>
                <w:sz w:val="20"/>
                <w:szCs w:val="20"/>
              </w:rPr>
            </w:pPr>
            <w:r>
              <w:rPr>
                <w:rFonts w:ascii="Arial" w:hAnsi="Arial" w:cs="Arial"/>
                <w:b/>
                <w:sz w:val="20"/>
                <w:szCs w:val="20"/>
              </w:rPr>
              <w:t>Older adults (n=</w:t>
            </w:r>
            <w:r w:rsidR="00F54A57">
              <w:rPr>
                <w:rFonts w:ascii="Arial" w:hAnsi="Arial" w:cs="Arial"/>
                <w:b/>
                <w:sz w:val="20"/>
                <w:szCs w:val="20"/>
              </w:rPr>
              <w:t>2</w:t>
            </w:r>
            <w:r w:rsidR="006B66B8">
              <w:rPr>
                <w:rFonts w:ascii="Arial" w:hAnsi="Arial" w:cs="Arial"/>
                <w:b/>
                <w:sz w:val="20"/>
                <w:szCs w:val="20"/>
              </w:rPr>
              <w:t>23</w:t>
            </w:r>
            <w:r>
              <w:rPr>
                <w:rFonts w:ascii="Arial" w:hAnsi="Arial" w:cs="Arial"/>
                <w:b/>
                <w:sz w:val="20"/>
                <w:szCs w:val="20"/>
              </w:rPr>
              <w:t>)</w:t>
            </w:r>
          </w:p>
        </w:tc>
        <w:tc>
          <w:tcPr>
            <w:tcW w:w="1550" w:type="dxa"/>
            <w:shd w:val="clear" w:color="auto" w:fill="F2F2F2" w:themeFill="background1" w:themeFillShade="F2"/>
          </w:tcPr>
          <w:p w14:paraId="38EAA1A6" w14:textId="237E369A" w:rsidR="00281EF3" w:rsidRPr="00281EF3" w:rsidRDefault="00281EF3" w:rsidP="00281EF3">
            <w:pPr>
              <w:jc w:val="both"/>
              <w:rPr>
                <w:rFonts w:ascii="Arial" w:hAnsi="Arial" w:cs="Arial"/>
                <w:b/>
                <w:sz w:val="20"/>
                <w:szCs w:val="20"/>
              </w:rPr>
            </w:pPr>
            <w:r w:rsidRPr="00281EF3">
              <w:rPr>
                <w:rFonts w:ascii="Arial" w:hAnsi="Arial" w:cs="Arial"/>
                <w:b/>
                <w:sz w:val="20"/>
                <w:szCs w:val="20"/>
              </w:rPr>
              <w:t>PLWD (</w:t>
            </w:r>
            <w:r>
              <w:rPr>
                <w:rFonts w:ascii="Arial" w:hAnsi="Arial" w:cs="Arial"/>
                <w:b/>
                <w:sz w:val="20"/>
                <w:szCs w:val="20"/>
              </w:rPr>
              <w:t>n=</w:t>
            </w:r>
            <w:r w:rsidR="00F54A57">
              <w:rPr>
                <w:rFonts w:ascii="Arial" w:hAnsi="Arial" w:cs="Arial"/>
                <w:b/>
                <w:sz w:val="20"/>
                <w:szCs w:val="20"/>
              </w:rPr>
              <w:t>37</w:t>
            </w:r>
            <w:r>
              <w:rPr>
                <w:rFonts w:ascii="Arial" w:hAnsi="Arial" w:cs="Arial"/>
                <w:b/>
                <w:sz w:val="20"/>
                <w:szCs w:val="20"/>
              </w:rPr>
              <w:t>)</w:t>
            </w:r>
          </w:p>
        </w:tc>
        <w:tc>
          <w:tcPr>
            <w:tcW w:w="1550" w:type="dxa"/>
            <w:shd w:val="clear" w:color="auto" w:fill="F2F2F2" w:themeFill="background1" w:themeFillShade="F2"/>
          </w:tcPr>
          <w:p w14:paraId="1C481D4C" w14:textId="5C328B0D" w:rsidR="00281EF3" w:rsidRPr="00281EF3" w:rsidRDefault="00281EF3" w:rsidP="00281EF3">
            <w:pPr>
              <w:jc w:val="both"/>
              <w:rPr>
                <w:rFonts w:ascii="Arial" w:hAnsi="Arial" w:cs="Arial"/>
                <w:b/>
                <w:sz w:val="20"/>
                <w:szCs w:val="20"/>
              </w:rPr>
            </w:pPr>
            <w:r>
              <w:rPr>
                <w:rFonts w:ascii="Arial" w:hAnsi="Arial" w:cs="Arial"/>
                <w:b/>
                <w:sz w:val="20"/>
                <w:szCs w:val="20"/>
              </w:rPr>
              <w:t>Current carers (n=</w:t>
            </w:r>
            <w:r w:rsidR="00F54A57">
              <w:rPr>
                <w:rFonts w:ascii="Arial" w:hAnsi="Arial" w:cs="Arial"/>
                <w:b/>
                <w:sz w:val="20"/>
                <w:szCs w:val="20"/>
              </w:rPr>
              <w:t>14</w:t>
            </w:r>
            <w:r w:rsidR="00960D29">
              <w:rPr>
                <w:rFonts w:ascii="Arial" w:hAnsi="Arial" w:cs="Arial"/>
                <w:b/>
                <w:sz w:val="20"/>
                <w:szCs w:val="20"/>
              </w:rPr>
              <w:t>9)</w:t>
            </w:r>
          </w:p>
        </w:tc>
        <w:tc>
          <w:tcPr>
            <w:tcW w:w="1550" w:type="dxa"/>
            <w:shd w:val="clear" w:color="auto" w:fill="F2F2F2" w:themeFill="background1" w:themeFillShade="F2"/>
          </w:tcPr>
          <w:p w14:paraId="1598A4BC" w14:textId="4D96F90A" w:rsidR="00281EF3" w:rsidRPr="00281EF3" w:rsidRDefault="00281EF3" w:rsidP="00281EF3">
            <w:pPr>
              <w:jc w:val="both"/>
              <w:rPr>
                <w:rFonts w:ascii="Arial" w:hAnsi="Arial" w:cs="Arial"/>
                <w:b/>
                <w:sz w:val="20"/>
                <w:szCs w:val="20"/>
              </w:rPr>
            </w:pPr>
            <w:r>
              <w:rPr>
                <w:rFonts w:ascii="Arial" w:hAnsi="Arial" w:cs="Arial"/>
                <w:b/>
                <w:sz w:val="20"/>
                <w:szCs w:val="20"/>
              </w:rPr>
              <w:t>Former carers (n=</w:t>
            </w:r>
            <w:r w:rsidR="00687045">
              <w:rPr>
                <w:rFonts w:ascii="Arial" w:hAnsi="Arial" w:cs="Arial"/>
                <w:b/>
                <w:sz w:val="20"/>
                <w:szCs w:val="20"/>
              </w:rPr>
              <w:t>39</w:t>
            </w:r>
            <w:r>
              <w:rPr>
                <w:rFonts w:ascii="Arial" w:hAnsi="Arial" w:cs="Arial"/>
                <w:b/>
                <w:sz w:val="20"/>
                <w:szCs w:val="20"/>
              </w:rPr>
              <w:t>)</w:t>
            </w:r>
          </w:p>
        </w:tc>
        <w:tc>
          <w:tcPr>
            <w:tcW w:w="1550" w:type="dxa"/>
            <w:shd w:val="clear" w:color="auto" w:fill="F2F2F2" w:themeFill="background1" w:themeFillShade="F2"/>
          </w:tcPr>
          <w:p w14:paraId="1BF475A6" w14:textId="5E1291C8" w:rsidR="00281EF3" w:rsidRPr="00281EF3" w:rsidRDefault="00281EF3" w:rsidP="00281EF3">
            <w:pPr>
              <w:jc w:val="both"/>
              <w:rPr>
                <w:rFonts w:ascii="Arial" w:hAnsi="Arial" w:cs="Arial"/>
                <w:b/>
                <w:sz w:val="20"/>
                <w:szCs w:val="20"/>
              </w:rPr>
            </w:pPr>
            <w:r>
              <w:rPr>
                <w:rFonts w:ascii="Arial" w:hAnsi="Arial" w:cs="Arial"/>
                <w:b/>
                <w:sz w:val="20"/>
                <w:szCs w:val="20"/>
              </w:rPr>
              <w:t>Older adults (n=</w:t>
            </w:r>
            <w:r w:rsidR="00F54A57">
              <w:rPr>
                <w:rFonts w:ascii="Arial" w:hAnsi="Arial" w:cs="Arial"/>
                <w:b/>
                <w:sz w:val="20"/>
                <w:szCs w:val="20"/>
              </w:rPr>
              <w:t>1</w:t>
            </w:r>
            <w:r w:rsidR="00960D29">
              <w:rPr>
                <w:rFonts w:ascii="Arial" w:hAnsi="Arial" w:cs="Arial"/>
                <w:b/>
                <w:sz w:val="20"/>
                <w:szCs w:val="20"/>
              </w:rPr>
              <w:t>52)</w:t>
            </w:r>
          </w:p>
        </w:tc>
      </w:tr>
      <w:tr w:rsidR="00C22437" w:rsidRPr="00281EF3" w14:paraId="2E583DB1" w14:textId="77777777" w:rsidTr="00421DA9">
        <w:tc>
          <w:tcPr>
            <w:tcW w:w="14100" w:type="dxa"/>
            <w:gridSpan w:val="9"/>
            <w:shd w:val="clear" w:color="auto" w:fill="A6A6A6" w:themeFill="background1" w:themeFillShade="A6"/>
          </w:tcPr>
          <w:p w14:paraId="042F86EF" w14:textId="7F9D049B" w:rsidR="00C22437" w:rsidRDefault="00C22437" w:rsidP="002C74AB">
            <w:pPr>
              <w:rPr>
                <w:rFonts w:ascii="Arial" w:hAnsi="Arial" w:cs="Arial"/>
                <w:b/>
                <w:sz w:val="20"/>
                <w:szCs w:val="20"/>
              </w:rPr>
            </w:pPr>
            <w:proofErr w:type="gramStart"/>
            <w:r>
              <w:rPr>
                <w:rFonts w:ascii="Arial" w:hAnsi="Arial" w:cs="Arial"/>
                <w:b/>
                <w:sz w:val="20"/>
                <w:szCs w:val="20"/>
              </w:rPr>
              <w:t>N(</w:t>
            </w:r>
            <w:proofErr w:type="gramEnd"/>
            <w:r>
              <w:rPr>
                <w:rFonts w:ascii="Arial" w:hAnsi="Arial" w:cs="Arial"/>
                <w:b/>
                <w:sz w:val="20"/>
                <w:szCs w:val="20"/>
              </w:rPr>
              <w:t>%)</w:t>
            </w:r>
          </w:p>
        </w:tc>
      </w:tr>
      <w:tr w:rsidR="00281EF3" w:rsidRPr="00281EF3" w14:paraId="6338DA66" w14:textId="77777777" w:rsidTr="008A7DD9">
        <w:tc>
          <w:tcPr>
            <w:tcW w:w="1701" w:type="dxa"/>
          </w:tcPr>
          <w:p w14:paraId="27CB81A1" w14:textId="77777777" w:rsidR="00281EF3" w:rsidRDefault="00281EF3" w:rsidP="002C74AB">
            <w:pPr>
              <w:rPr>
                <w:rFonts w:ascii="Arial" w:hAnsi="Arial" w:cs="Arial"/>
                <w:b/>
                <w:sz w:val="20"/>
                <w:szCs w:val="20"/>
              </w:rPr>
            </w:pPr>
            <w:r>
              <w:rPr>
                <w:rFonts w:ascii="Arial" w:hAnsi="Arial" w:cs="Arial"/>
                <w:b/>
                <w:sz w:val="20"/>
                <w:szCs w:val="20"/>
              </w:rPr>
              <w:t>Gender</w:t>
            </w:r>
          </w:p>
          <w:p w14:paraId="122558A8" w14:textId="77777777" w:rsidR="00322575" w:rsidRDefault="00322575" w:rsidP="002C74AB">
            <w:pPr>
              <w:rPr>
                <w:rFonts w:ascii="Arial" w:hAnsi="Arial" w:cs="Arial"/>
                <w:b/>
                <w:sz w:val="20"/>
                <w:szCs w:val="20"/>
              </w:rPr>
            </w:pPr>
            <w:r>
              <w:rPr>
                <w:rFonts w:ascii="Arial" w:hAnsi="Arial" w:cs="Arial"/>
                <w:b/>
                <w:sz w:val="20"/>
                <w:szCs w:val="20"/>
              </w:rPr>
              <w:t xml:space="preserve">  Female</w:t>
            </w:r>
          </w:p>
          <w:p w14:paraId="45D6F89A" w14:textId="3DB599FC" w:rsidR="008A7DD9" w:rsidRPr="00281EF3" w:rsidRDefault="008A7DD9" w:rsidP="002C74AB">
            <w:pPr>
              <w:rPr>
                <w:rFonts w:ascii="Arial" w:hAnsi="Arial" w:cs="Arial"/>
                <w:b/>
                <w:sz w:val="20"/>
                <w:szCs w:val="20"/>
              </w:rPr>
            </w:pPr>
            <w:r>
              <w:rPr>
                <w:rFonts w:ascii="Arial" w:hAnsi="Arial" w:cs="Arial"/>
                <w:b/>
                <w:sz w:val="20"/>
                <w:szCs w:val="20"/>
              </w:rPr>
              <w:t xml:space="preserve">  Male</w:t>
            </w:r>
          </w:p>
        </w:tc>
        <w:tc>
          <w:tcPr>
            <w:tcW w:w="1549" w:type="dxa"/>
          </w:tcPr>
          <w:p w14:paraId="784F7E55" w14:textId="77777777" w:rsidR="00281EF3" w:rsidRDefault="00281EF3" w:rsidP="00BE5D44">
            <w:pPr>
              <w:jc w:val="both"/>
              <w:rPr>
                <w:rFonts w:ascii="Arial" w:hAnsi="Arial" w:cs="Arial"/>
                <w:sz w:val="20"/>
                <w:szCs w:val="20"/>
              </w:rPr>
            </w:pPr>
          </w:p>
          <w:p w14:paraId="3198CBC2" w14:textId="77777777" w:rsidR="00570F3E" w:rsidRDefault="00570F3E" w:rsidP="00BE5D44">
            <w:pPr>
              <w:jc w:val="both"/>
              <w:rPr>
                <w:rFonts w:ascii="Arial" w:hAnsi="Arial" w:cs="Arial"/>
                <w:sz w:val="20"/>
                <w:szCs w:val="20"/>
              </w:rPr>
            </w:pPr>
            <w:r>
              <w:rPr>
                <w:rFonts w:ascii="Arial" w:hAnsi="Arial" w:cs="Arial"/>
                <w:sz w:val="20"/>
                <w:szCs w:val="20"/>
              </w:rPr>
              <w:t>27 (44.3)</w:t>
            </w:r>
          </w:p>
          <w:p w14:paraId="630C0389" w14:textId="7A9BF4CE" w:rsidR="00570F3E" w:rsidRPr="00322575" w:rsidRDefault="00570F3E" w:rsidP="00BE5D44">
            <w:pPr>
              <w:jc w:val="both"/>
              <w:rPr>
                <w:rFonts w:ascii="Arial" w:hAnsi="Arial" w:cs="Arial"/>
                <w:sz w:val="20"/>
                <w:szCs w:val="20"/>
              </w:rPr>
            </w:pPr>
            <w:r>
              <w:rPr>
                <w:rFonts w:ascii="Arial" w:hAnsi="Arial" w:cs="Arial"/>
                <w:sz w:val="20"/>
                <w:szCs w:val="20"/>
              </w:rPr>
              <w:t>34 (55.7)</w:t>
            </w:r>
          </w:p>
        </w:tc>
        <w:tc>
          <w:tcPr>
            <w:tcW w:w="1550" w:type="dxa"/>
          </w:tcPr>
          <w:p w14:paraId="50D0A6A4" w14:textId="77777777" w:rsidR="00281EF3" w:rsidRDefault="00281EF3" w:rsidP="00BE5D44">
            <w:pPr>
              <w:jc w:val="both"/>
              <w:rPr>
                <w:rFonts w:ascii="Arial" w:hAnsi="Arial" w:cs="Arial"/>
                <w:sz w:val="20"/>
                <w:szCs w:val="20"/>
              </w:rPr>
            </w:pPr>
          </w:p>
          <w:p w14:paraId="38767818" w14:textId="77777777" w:rsidR="009D1AAF" w:rsidRDefault="009D1AAF" w:rsidP="00BE5D44">
            <w:pPr>
              <w:jc w:val="both"/>
              <w:rPr>
                <w:rFonts w:ascii="Arial" w:hAnsi="Arial" w:cs="Arial"/>
                <w:sz w:val="20"/>
                <w:szCs w:val="20"/>
              </w:rPr>
            </w:pPr>
            <w:r>
              <w:rPr>
                <w:rFonts w:ascii="Arial" w:hAnsi="Arial" w:cs="Arial"/>
                <w:sz w:val="20"/>
                <w:szCs w:val="20"/>
              </w:rPr>
              <w:t>168 (77.1)</w:t>
            </w:r>
          </w:p>
          <w:p w14:paraId="5EF08592" w14:textId="2460D3A0" w:rsidR="009D1AAF" w:rsidRPr="00322575" w:rsidRDefault="009D1AAF" w:rsidP="00BE5D44">
            <w:pPr>
              <w:jc w:val="both"/>
              <w:rPr>
                <w:rFonts w:ascii="Arial" w:hAnsi="Arial" w:cs="Arial"/>
                <w:sz w:val="20"/>
                <w:szCs w:val="20"/>
              </w:rPr>
            </w:pPr>
            <w:r>
              <w:rPr>
                <w:rFonts w:ascii="Arial" w:hAnsi="Arial" w:cs="Arial"/>
                <w:sz w:val="20"/>
                <w:szCs w:val="20"/>
              </w:rPr>
              <w:t>50 (22.9)</w:t>
            </w:r>
          </w:p>
        </w:tc>
        <w:tc>
          <w:tcPr>
            <w:tcW w:w="1550" w:type="dxa"/>
          </w:tcPr>
          <w:p w14:paraId="316F3FC0" w14:textId="77777777" w:rsidR="00281EF3" w:rsidRDefault="00281EF3" w:rsidP="00BE5D44">
            <w:pPr>
              <w:jc w:val="both"/>
              <w:rPr>
                <w:rFonts w:ascii="Arial" w:hAnsi="Arial" w:cs="Arial"/>
                <w:sz w:val="20"/>
                <w:szCs w:val="20"/>
              </w:rPr>
            </w:pPr>
          </w:p>
          <w:p w14:paraId="5EA9A174" w14:textId="77777777" w:rsidR="00EE3B97" w:rsidRDefault="00EE3B97" w:rsidP="00BE5D44">
            <w:pPr>
              <w:jc w:val="both"/>
              <w:rPr>
                <w:rFonts w:ascii="Arial" w:hAnsi="Arial" w:cs="Arial"/>
                <w:sz w:val="20"/>
                <w:szCs w:val="20"/>
              </w:rPr>
            </w:pPr>
            <w:r>
              <w:rPr>
                <w:rFonts w:ascii="Arial" w:hAnsi="Arial" w:cs="Arial"/>
                <w:sz w:val="20"/>
                <w:szCs w:val="20"/>
              </w:rPr>
              <w:t>55 (83.3)</w:t>
            </w:r>
          </w:p>
          <w:p w14:paraId="4C4113F8" w14:textId="1C973342" w:rsidR="00EE3B97" w:rsidRPr="00322575" w:rsidRDefault="00EE3B97" w:rsidP="00BE5D44">
            <w:pPr>
              <w:jc w:val="both"/>
              <w:rPr>
                <w:rFonts w:ascii="Arial" w:hAnsi="Arial" w:cs="Arial"/>
                <w:sz w:val="20"/>
                <w:szCs w:val="20"/>
              </w:rPr>
            </w:pPr>
            <w:r>
              <w:rPr>
                <w:rFonts w:ascii="Arial" w:hAnsi="Arial" w:cs="Arial"/>
                <w:sz w:val="20"/>
                <w:szCs w:val="20"/>
              </w:rPr>
              <w:t>11 (16.7)</w:t>
            </w:r>
          </w:p>
        </w:tc>
        <w:tc>
          <w:tcPr>
            <w:tcW w:w="1550" w:type="dxa"/>
          </w:tcPr>
          <w:p w14:paraId="3935453A" w14:textId="77777777" w:rsidR="00281EF3" w:rsidRDefault="00281EF3" w:rsidP="00BE5D44">
            <w:pPr>
              <w:jc w:val="both"/>
              <w:rPr>
                <w:rFonts w:ascii="Arial" w:hAnsi="Arial" w:cs="Arial"/>
                <w:sz w:val="20"/>
                <w:szCs w:val="20"/>
              </w:rPr>
            </w:pPr>
          </w:p>
          <w:p w14:paraId="27D3996C" w14:textId="77777777" w:rsidR="00751F87" w:rsidRDefault="00751F87" w:rsidP="00BE5D44">
            <w:pPr>
              <w:jc w:val="both"/>
              <w:rPr>
                <w:rFonts w:ascii="Arial" w:hAnsi="Arial" w:cs="Arial"/>
                <w:sz w:val="20"/>
                <w:szCs w:val="20"/>
              </w:rPr>
            </w:pPr>
            <w:r>
              <w:rPr>
                <w:rFonts w:ascii="Arial" w:hAnsi="Arial" w:cs="Arial"/>
                <w:sz w:val="20"/>
                <w:szCs w:val="20"/>
              </w:rPr>
              <w:t>137 (61.7)</w:t>
            </w:r>
          </w:p>
          <w:p w14:paraId="77A7FA71" w14:textId="692E2CBE" w:rsidR="00751F87" w:rsidRPr="00322575" w:rsidRDefault="00751F87" w:rsidP="00BE5D44">
            <w:pPr>
              <w:jc w:val="both"/>
              <w:rPr>
                <w:rFonts w:ascii="Arial" w:hAnsi="Arial" w:cs="Arial"/>
                <w:sz w:val="20"/>
                <w:szCs w:val="20"/>
              </w:rPr>
            </w:pPr>
            <w:r>
              <w:rPr>
                <w:rFonts w:ascii="Arial" w:hAnsi="Arial" w:cs="Arial"/>
                <w:sz w:val="20"/>
                <w:szCs w:val="20"/>
              </w:rPr>
              <w:t>85 (38.3)</w:t>
            </w:r>
          </w:p>
        </w:tc>
        <w:tc>
          <w:tcPr>
            <w:tcW w:w="1550" w:type="dxa"/>
            <w:shd w:val="clear" w:color="auto" w:fill="F2F2F2" w:themeFill="background1" w:themeFillShade="F2"/>
          </w:tcPr>
          <w:p w14:paraId="426C2BA1" w14:textId="77777777" w:rsidR="00322575" w:rsidRDefault="00322575" w:rsidP="00BE5D44">
            <w:pPr>
              <w:jc w:val="both"/>
              <w:rPr>
                <w:rFonts w:ascii="Arial" w:hAnsi="Arial" w:cs="Arial"/>
                <w:sz w:val="20"/>
                <w:szCs w:val="20"/>
              </w:rPr>
            </w:pPr>
          </w:p>
          <w:p w14:paraId="2C6F8FA1" w14:textId="77777777" w:rsidR="00281EF3" w:rsidRDefault="00322575" w:rsidP="00BE5D44">
            <w:pPr>
              <w:jc w:val="both"/>
              <w:rPr>
                <w:rFonts w:ascii="Arial" w:hAnsi="Arial" w:cs="Arial"/>
                <w:sz w:val="20"/>
                <w:szCs w:val="20"/>
              </w:rPr>
            </w:pPr>
            <w:r w:rsidRPr="00322575">
              <w:rPr>
                <w:rFonts w:ascii="Arial" w:hAnsi="Arial" w:cs="Arial"/>
                <w:sz w:val="20"/>
                <w:szCs w:val="20"/>
              </w:rPr>
              <w:t>14 (37.8)</w:t>
            </w:r>
          </w:p>
          <w:p w14:paraId="023FA9BB" w14:textId="1396CFA3" w:rsidR="00513CA0" w:rsidRPr="00322575" w:rsidRDefault="00513CA0" w:rsidP="00BE5D44">
            <w:pPr>
              <w:jc w:val="both"/>
              <w:rPr>
                <w:rFonts w:ascii="Arial" w:hAnsi="Arial" w:cs="Arial"/>
                <w:sz w:val="20"/>
                <w:szCs w:val="20"/>
              </w:rPr>
            </w:pPr>
            <w:r>
              <w:rPr>
                <w:rFonts w:ascii="Arial" w:hAnsi="Arial" w:cs="Arial"/>
                <w:sz w:val="20"/>
                <w:szCs w:val="20"/>
              </w:rPr>
              <w:t>23 (62.2)</w:t>
            </w:r>
          </w:p>
        </w:tc>
        <w:tc>
          <w:tcPr>
            <w:tcW w:w="1550" w:type="dxa"/>
            <w:shd w:val="clear" w:color="auto" w:fill="F2F2F2" w:themeFill="background1" w:themeFillShade="F2"/>
          </w:tcPr>
          <w:p w14:paraId="7F95D4F4" w14:textId="77777777" w:rsidR="00281EF3" w:rsidRDefault="00281EF3" w:rsidP="00BE5D44">
            <w:pPr>
              <w:jc w:val="both"/>
              <w:rPr>
                <w:rFonts w:ascii="Arial" w:hAnsi="Arial" w:cs="Arial"/>
                <w:sz w:val="20"/>
                <w:szCs w:val="20"/>
              </w:rPr>
            </w:pPr>
          </w:p>
          <w:p w14:paraId="448EA2E8" w14:textId="77777777" w:rsidR="00E208B7" w:rsidRDefault="00E208B7" w:rsidP="00BE5D44">
            <w:pPr>
              <w:jc w:val="both"/>
              <w:rPr>
                <w:rFonts w:ascii="Arial" w:hAnsi="Arial" w:cs="Arial"/>
                <w:sz w:val="20"/>
                <w:szCs w:val="20"/>
              </w:rPr>
            </w:pPr>
            <w:r>
              <w:rPr>
                <w:rFonts w:ascii="Arial" w:hAnsi="Arial" w:cs="Arial"/>
                <w:sz w:val="20"/>
                <w:szCs w:val="20"/>
              </w:rPr>
              <w:t>118 (79.7)</w:t>
            </w:r>
          </w:p>
          <w:p w14:paraId="5F5F14F7" w14:textId="1CA9636B" w:rsidR="00E208B7" w:rsidRPr="00322575" w:rsidRDefault="00E208B7" w:rsidP="00BE5D44">
            <w:pPr>
              <w:jc w:val="both"/>
              <w:rPr>
                <w:rFonts w:ascii="Arial" w:hAnsi="Arial" w:cs="Arial"/>
                <w:sz w:val="20"/>
                <w:szCs w:val="20"/>
              </w:rPr>
            </w:pPr>
            <w:r>
              <w:rPr>
                <w:rFonts w:ascii="Arial" w:hAnsi="Arial" w:cs="Arial"/>
                <w:sz w:val="20"/>
                <w:szCs w:val="20"/>
              </w:rPr>
              <w:t>30 (20.3)</w:t>
            </w:r>
          </w:p>
        </w:tc>
        <w:tc>
          <w:tcPr>
            <w:tcW w:w="1550" w:type="dxa"/>
            <w:shd w:val="clear" w:color="auto" w:fill="F2F2F2" w:themeFill="background1" w:themeFillShade="F2"/>
          </w:tcPr>
          <w:p w14:paraId="40AE3443" w14:textId="77777777" w:rsidR="00281EF3" w:rsidRDefault="00281EF3" w:rsidP="00BE5D44">
            <w:pPr>
              <w:jc w:val="both"/>
              <w:rPr>
                <w:rFonts w:ascii="Arial" w:hAnsi="Arial" w:cs="Arial"/>
                <w:sz w:val="20"/>
                <w:szCs w:val="20"/>
              </w:rPr>
            </w:pPr>
          </w:p>
          <w:p w14:paraId="4189CDA9" w14:textId="77777777" w:rsidR="00687045" w:rsidRDefault="00687045" w:rsidP="00BE5D44">
            <w:pPr>
              <w:jc w:val="both"/>
              <w:rPr>
                <w:rFonts w:ascii="Arial" w:hAnsi="Arial" w:cs="Arial"/>
                <w:sz w:val="20"/>
                <w:szCs w:val="20"/>
              </w:rPr>
            </w:pPr>
            <w:r>
              <w:rPr>
                <w:rFonts w:ascii="Arial" w:hAnsi="Arial" w:cs="Arial"/>
                <w:sz w:val="20"/>
                <w:szCs w:val="20"/>
              </w:rPr>
              <w:t>32 (82.1)</w:t>
            </w:r>
          </w:p>
          <w:p w14:paraId="5DB4441D" w14:textId="0D65FDEB" w:rsidR="00687045" w:rsidRPr="00322575" w:rsidRDefault="00687045" w:rsidP="00BE5D44">
            <w:pPr>
              <w:jc w:val="both"/>
              <w:rPr>
                <w:rFonts w:ascii="Arial" w:hAnsi="Arial" w:cs="Arial"/>
                <w:sz w:val="20"/>
                <w:szCs w:val="20"/>
              </w:rPr>
            </w:pPr>
            <w:r>
              <w:rPr>
                <w:rFonts w:ascii="Arial" w:hAnsi="Arial" w:cs="Arial"/>
                <w:sz w:val="20"/>
                <w:szCs w:val="20"/>
              </w:rPr>
              <w:t>7 (17.9)</w:t>
            </w:r>
          </w:p>
        </w:tc>
        <w:tc>
          <w:tcPr>
            <w:tcW w:w="1550" w:type="dxa"/>
            <w:shd w:val="clear" w:color="auto" w:fill="F2F2F2" w:themeFill="background1" w:themeFillShade="F2"/>
          </w:tcPr>
          <w:p w14:paraId="334ED519" w14:textId="77777777" w:rsidR="00281EF3" w:rsidRDefault="00281EF3" w:rsidP="00BE5D44">
            <w:pPr>
              <w:jc w:val="both"/>
              <w:rPr>
                <w:rFonts w:ascii="Arial" w:hAnsi="Arial" w:cs="Arial"/>
                <w:sz w:val="20"/>
                <w:szCs w:val="20"/>
              </w:rPr>
            </w:pPr>
          </w:p>
          <w:p w14:paraId="2EFC74B1" w14:textId="77777777" w:rsidR="000A3B78" w:rsidRDefault="000A3B78" w:rsidP="00BE5D44">
            <w:pPr>
              <w:jc w:val="both"/>
              <w:rPr>
                <w:rFonts w:ascii="Arial" w:hAnsi="Arial" w:cs="Arial"/>
                <w:sz w:val="20"/>
                <w:szCs w:val="20"/>
              </w:rPr>
            </w:pPr>
            <w:r>
              <w:rPr>
                <w:rFonts w:ascii="Arial" w:hAnsi="Arial" w:cs="Arial"/>
                <w:sz w:val="20"/>
                <w:szCs w:val="20"/>
              </w:rPr>
              <w:t>90 (59.2)</w:t>
            </w:r>
          </w:p>
          <w:p w14:paraId="67A5EB18" w14:textId="221648AC" w:rsidR="000A3B78" w:rsidRPr="00322575" w:rsidRDefault="000A3B78" w:rsidP="00BE5D44">
            <w:pPr>
              <w:jc w:val="both"/>
              <w:rPr>
                <w:rFonts w:ascii="Arial" w:hAnsi="Arial" w:cs="Arial"/>
                <w:sz w:val="20"/>
                <w:szCs w:val="20"/>
              </w:rPr>
            </w:pPr>
            <w:r>
              <w:rPr>
                <w:rFonts w:ascii="Arial" w:hAnsi="Arial" w:cs="Arial"/>
                <w:sz w:val="20"/>
                <w:szCs w:val="20"/>
              </w:rPr>
              <w:t>62 (40.8)</w:t>
            </w:r>
          </w:p>
        </w:tc>
      </w:tr>
      <w:tr w:rsidR="00281EF3" w:rsidRPr="00281EF3" w14:paraId="356F0237" w14:textId="77777777" w:rsidTr="008A7DD9">
        <w:tc>
          <w:tcPr>
            <w:tcW w:w="1701" w:type="dxa"/>
          </w:tcPr>
          <w:p w14:paraId="3014CB27" w14:textId="77777777" w:rsidR="00281EF3" w:rsidRDefault="00C22437" w:rsidP="002C74AB">
            <w:pPr>
              <w:rPr>
                <w:rFonts w:ascii="Arial" w:hAnsi="Arial" w:cs="Arial"/>
                <w:b/>
                <w:sz w:val="20"/>
                <w:szCs w:val="20"/>
              </w:rPr>
            </w:pPr>
            <w:r>
              <w:rPr>
                <w:rFonts w:ascii="Arial" w:hAnsi="Arial" w:cs="Arial"/>
                <w:b/>
                <w:sz w:val="20"/>
                <w:szCs w:val="20"/>
              </w:rPr>
              <w:t>Ethnicity</w:t>
            </w:r>
          </w:p>
          <w:p w14:paraId="2BFCDECE" w14:textId="77777777" w:rsidR="006A46E0" w:rsidRDefault="006A46E0" w:rsidP="002C74AB">
            <w:pPr>
              <w:rPr>
                <w:rFonts w:ascii="Arial" w:hAnsi="Arial" w:cs="Arial"/>
                <w:b/>
                <w:sz w:val="20"/>
                <w:szCs w:val="20"/>
              </w:rPr>
            </w:pPr>
            <w:r>
              <w:rPr>
                <w:rFonts w:ascii="Arial" w:hAnsi="Arial" w:cs="Arial"/>
                <w:b/>
                <w:sz w:val="20"/>
                <w:szCs w:val="20"/>
              </w:rPr>
              <w:t xml:space="preserve">  White </w:t>
            </w:r>
          </w:p>
          <w:p w14:paraId="171F5D5D" w14:textId="223677FF" w:rsidR="006A46E0" w:rsidRPr="00281EF3" w:rsidRDefault="006A46E0" w:rsidP="002C74AB">
            <w:pPr>
              <w:rPr>
                <w:rFonts w:ascii="Arial" w:hAnsi="Arial" w:cs="Arial"/>
                <w:b/>
                <w:sz w:val="20"/>
                <w:szCs w:val="20"/>
              </w:rPr>
            </w:pPr>
            <w:r>
              <w:rPr>
                <w:rFonts w:ascii="Arial" w:hAnsi="Arial" w:cs="Arial"/>
                <w:b/>
                <w:sz w:val="20"/>
                <w:szCs w:val="20"/>
              </w:rPr>
              <w:t xml:space="preserve">  Other</w:t>
            </w:r>
          </w:p>
        </w:tc>
        <w:tc>
          <w:tcPr>
            <w:tcW w:w="1549" w:type="dxa"/>
          </w:tcPr>
          <w:p w14:paraId="6FCBD285" w14:textId="77777777" w:rsidR="00281EF3" w:rsidRDefault="00281EF3" w:rsidP="00BE5D44">
            <w:pPr>
              <w:jc w:val="both"/>
              <w:rPr>
                <w:rFonts w:ascii="Arial" w:hAnsi="Arial" w:cs="Arial"/>
                <w:sz w:val="20"/>
                <w:szCs w:val="20"/>
              </w:rPr>
            </w:pPr>
          </w:p>
          <w:p w14:paraId="2A09A53E" w14:textId="2815C39C" w:rsidR="00570F3E" w:rsidRDefault="00570F3E" w:rsidP="00BE5D44">
            <w:pPr>
              <w:jc w:val="both"/>
              <w:rPr>
                <w:rFonts w:ascii="Arial" w:hAnsi="Arial" w:cs="Arial"/>
                <w:sz w:val="20"/>
                <w:szCs w:val="20"/>
              </w:rPr>
            </w:pPr>
            <w:r>
              <w:rPr>
                <w:rFonts w:ascii="Arial" w:hAnsi="Arial" w:cs="Arial"/>
                <w:sz w:val="20"/>
                <w:szCs w:val="20"/>
              </w:rPr>
              <w:t>58 (96.7)</w:t>
            </w:r>
          </w:p>
          <w:p w14:paraId="294D7840" w14:textId="69DFD78D" w:rsidR="00570F3E" w:rsidRPr="00322575" w:rsidRDefault="00570F3E" w:rsidP="00BE5D44">
            <w:pPr>
              <w:jc w:val="both"/>
              <w:rPr>
                <w:rFonts w:ascii="Arial" w:hAnsi="Arial" w:cs="Arial"/>
                <w:sz w:val="20"/>
                <w:szCs w:val="20"/>
              </w:rPr>
            </w:pPr>
            <w:r>
              <w:rPr>
                <w:rFonts w:ascii="Arial" w:hAnsi="Arial" w:cs="Arial"/>
                <w:sz w:val="20"/>
                <w:szCs w:val="20"/>
              </w:rPr>
              <w:t>2 (3.4)</w:t>
            </w:r>
          </w:p>
        </w:tc>
        <w:tc>
          <w:tcPr>
            <w:tcW w:w="1550" w:type="dxa"/>
          </w:tcPr>
          <w:p w14:paraId="62CBDFC9" w14:textId="77777777" w:rsidR="00281EF3" w:rsidRDefault="00281EF3" w:rsidP="00BE5D44">
            <w:pPr>
              <w:jc w:val="both"/>
              <w:rPr>
                <w:rFonts w:ascii="Arial" w:hAnsi="Arial" w:cs="Arial"/>
                <w:sz w:val="20"/>
                <w:szCs w:val="20"/>
              </w:rPr>
            </w:pPr>
          </w:p>
          <w:p w14:paraId="70EC5A08" w14:textId="77777777" w:rsidR="009D1AAF" w:rsidRDefault="009D1AAF" w:rsidP="00BE5D44">
            <w:pPr>
              <w:jc w:val="both"/>
              <w:rPr>
                <w:rFonts w:ascii="Arial" w:hAnsi="Arial" w:cs="Arial"/>
                <w:sz w:val="20"/>
                <w:szCs w:val="20"/>
              </w:rPr>
            </w:pPr>
            <w:r>
              <w:rPr>
                <w:rFonts w:ascii="Arial" w:hAnsi="Arial" w:cs="Arial"/>
                <w:sz w:val="20"/>
                <w:szCs w:val="20"/>
              </w:rPr>
              <w:t>211 (96.3)</w:t>
            </w:r>
          </w:p>
          <w:p w14:paraId="1C0B0352" w14:textId="5DABB4A0" w:rsidR="009D1AAF" w:rsidRPr="00322575" w:rsidRDefault="009D1AAF" w:rsidP="00BE5D44">
            <w:pPr>
              <w:jc w:val="both"/>
              <w:rPr>
                <w:rFonts w:ascii="Arial" w:hAnsi="Arial" w:cs="Arial"/>
                <w:sz w:val="20"/>
                <w:szCs w:val="20"/>
              </w:rPr>
            </w:pPr>
            <w:r>
              <w:rPr>
                <w:rFonts w:ascii="Arial" w:hAnsi="Arial" w:cs="Arial"/>
                <w:sz w:val="20"/>
                <w:szCs w:val="20"/>
              </w:rPr>
              <w:t>8 (3.7)</w:t>
            </w:r>
          </w:p>
        </w:tc>
        <w:tc>
          <w:tcPr>
            <w:tcW w:w="1550" w:type="dxa"/>
          </w:tcPr>
          <w:p w14:paraId="70C42FA6" w14:textId="77777777" w:rsidR="00281EF3" w:rsidRDefault="00281EF3" w:rsidP="00BE5D44">
            <w:pPr>
              <w:jc w:val="both"/>
              <w:rPr>
                <w:rFonts w:ascii="Arial" w:hAnsi="Arial" w:cs="Arial"/>
                <w:sz w:val="20"/>
                <w:szCs w:val="20"/>
              </w:rPr>
            </w:pPr>
          </w:p>
          <w:p w14:paraId="211D6D90" w14:textId="77777777" w:rsidR="00EE3B97" w:rsidRDefault="00EE3B97" w:rsidP="00BE5D44">
            <w:pPr>
              <w:jc w:val="both"/>
              <w:rPr>
                <w:rFonts w:ascii="Arial" w:hAnsi="Arial" w:cs="Arial"/>
                <w:sz w:val="20"/>
                <w:szCs w:val="20"/>
              </w:rPr>
            </w:pPr>
            <w:r>
              <w:rPr>
                <w:rFonts w:ascii="Arial" w:hAnsi="Arial" w:cs="Arial"/>
                <w:sz w:val="20"/>
                <w:szCs w:val="20"/>
              </w:rPr>
              <w:t>65 (98.5)</w:t>
            </w:r>
          </w:p>
          <w:p w14:paraId="6D8B32FC" w14:textId="712108BA" w:rsidR="00EE3B97" w:rsidRPr="00322575" w:rsidRDefault="00EE3B97" w:rsidP="00BE5D44">
            <w:pPr>
              <w:jc w:val="both"/>
              <w:rPr>
                <w:rFonts w:ascii="Arial" w:hAnsi="Arial" w:cs="Arial"/>
                <w:sz w:val="20"/>
                <w:szCs w:val="20"/>
              </w:rPr>
            </w:pPr>
            <w:r>
              <w:rPr>
                <w:rFonts w:ascii="Arial" w:hAnsi="Arial" w:cs="Arial"/>
                <w:sz w:val="20"/>
                <w:szCs w:val="20"/>
              </w:rPr>
              <w:t>1 (1.5)</w:t>
            </w:r>
          </w:p>
        </w:tc>
        <w:tc>
          <w:tcPr>
            <w:tcW w:w="1550" w:type="dxa"/>
          </w:tcPr>
          <w:p w14:paraId="1EC25BCD" w14:textId="77777777" w:rsidR="00281EF3" w:rsidRDefault="00281EF3" w:rsidP="00BE5D44">
            <w:pPr>
              <w:jc w:val="both"/>
              <w:rPr>
                <w:rFonts w:ascii="Arial" w:hAnsi="Arial" w:cs="Arial"/>
                <w:sz w:val="20"/>
                <w:szCs w:val="20"/>
              </w:rPr>
            </w:pPr>
          </w:p>
          <w:p w14:paraId="41E22210" w14:textId="77777777" w:rsidR="00751F87" w:rsidRDefault="00751F87" w:rsidP="00BE5D44">
            <w:pPr>
              <w:jc w:val="both"/>
              <w:rPr>
                <w:rFonts w:ascii="Arial" w:hAnsi="Arial" w:cs="Arial"/>
                <w:sz w:val="20"/>
                <w:szCs w:val="20"/>
              </w:rPr>
            </w:pPr>
            <w:r>
              <w:rPr>
                <w:rFonts w:ascii="Arial" w:hAnsi="Arial" w:cs="Arial"/>
                <w:sz w:val="20"/>
                <w:szCs w:val="20"/>
              </w:rPr>
              <w:t>216 (98.2)</w:t>
            </w:r>
          </w:p>
          <w:p w14:paraId="102FD15B" w14:textId="4F8F5785" w:rsidR="00751F87" w:rsidRPr="00322575" w:rsidRDefault="00751F87" w:rsidP="00BE5D44">
            <w:pPr>
              <w:jc w:val="both"/>
              <w:rPr>
                <w:rFonts w:ascii="Arial" w:hAnsi="Arial" w:cs="Arial"/>
                <w:sz w:val="20"/>
                <w:szCs w:val="20"/>
              </w:rPr>
            </w:pPr>
            <w:r>
              <w:rPr>
                <w:rFonts w:ascii="Arial" w:hAnsi="Arial" w:cs="Arial"/>
                <w:sz w:val="20"/>
                <w:szCs w:val="20"/>
              </w:rPr>
              <w:t>4 (1.9)</w:t>
            </w:r>
          </w:p>
        </w:tc>
        <w:tc>
          <w:tcPr>
            <w:tcW w:w="1550" w:type="dxa"/>
            <w:shd w:val="clear" w:color="auto" w:fill="F2F2F2" w:themeFill="background1" w:themeFillShade="F2"/>
          </w:tcPr>
          <w:p w14:paraId="670759E9" w14:textId="77777777" w:rsidR="00281EF3" w:rsidRDefault="00281EF3" w:rsidP="00BE5D44">
            <w:pPr>
              <w:jc w:val="both"/>
              <w:rPr>
                <w:rFonts w:ascii="Arial" w:hAnsi="Arial" w:cs="Arial"/>
                <w:sz w:val="20"/>
                <w:szCs w:val="20"/>
              </w:rPr>
            </w:pPr>
          </w:p>
          <w:p w14:paraId="2E1F9D95" w14:textId="7246FF86" w:rsidR="006A46E0" w:rsidRDefault="006A46E0" w:rsidP="00BE5D44">
            <w:pPr>
              <w:jc w:val="both"/>
              <w:rPr>
                <w:rFonts w:ascii="Arial" w:hAnsi="Arial" w:cs="Arial"/>
                <w:sz w:val="20"/>
                <w:szCs w:val="20"/>
              </w:rPr>
            </w:pPr>
            <w:r>
              <w:rPr>
                <w:rFonts w:ascii="Arial" w:hAnsi="Arial" w:cs="Arial"/>
                <w:sz w:val="20"/>
                <w:szCs w:val="20"/>
              </w:rPr>
              <w:t>35 (94.6)</w:t>
            </w:r>
          </w:p>
          <w:p w14:paraId="157F4170" w14:textId="492A2E82" w:rsidR="006A46E0" w:rsidRPr="00322575" w:rsidRDefault="006A46E0" w:rsidP="00BE5D44">
            <w:pPr>
              <w:jc w:val="both"/>
              <w:rPr>
                <w:rFonts w:ascii="Arial" w:hAnsi="Arial" w:cs="Arial"/>
                <w:sz w:val="20"/>
                <w:szCs w:val="20"/>
              </w:rPr>
            </w:pPr>
            <w:r>
              <w:rPr>
                <w:rFonts w:ascii="Arial" w:hAnsi="Arial" w:cs="Arial"/>
                <w:sz w:val="20"/>
                <w:szCs w:val="20"/>
              </w:rPr>
              <w:t>2 (5.4)</w:t>
            </w:r>
          </w:p>
        </w:tc>
        <w:tc>
          <w:tcPr>
            <w:tcW w:w="1550" w:type="dxa"/>
            <w:shd w:val="clear" w:color="auto" w:fill="F2F2F2" w:themeFill="background1" w:themeFillShade="F2"/>
          </w:tcPr>
          <w:p w14:paraId="5DF4C0E7" w14:textId="77777777" w:rsidR="00281EF3" w:rsidRDefault="00281EF3" w:rsidP="00BE5D44">
            <w:pPr>
              <w:jc w:val="both"/>
              <w:rPr>
                <w:rFonts w:ascii="Arial" w:hAnsi="Arial" w:cs="Arial"/>
                <w:sz w:val="20"/>
                <w:szCs w:val="20"/>
              </w:rPr>
            </w:pPr>
          </w:p>
          <w:p w14:paraId="3832BEE1" w14:textId="77777777" w:rsidR="00A335D5" w:rsidRDefault="00A335D5" w:rsidP="00BE5D44">
            <w:pPr>
              <w:jc w:val="both"/>
              <w:rPr>
                <w:rFonts w:ascii="Arial" w:hAnsi="Arial" w:cs="Arial"/>
                <w:sz w:val="20"/>
                <w:szCs w:val="20"/>
              </w:rPr>
            </w:pPr>
            <w:r>
              <w:rPr>
                <w:rFonts w:ascii="Arial" w:hAnsi="Arial" w:cs="Arial"/>
                <w:sz w:val="20"/>
                <w:szCs w:val="20"/>
              </w:rPr>
              <w:t>143 (96.0)</w:t>
            </w:r>
          </w:p>
          <w:p w14:paraId="4DFE3410" w14:textId="76D32234" w:rsidR="00A335D5" w:rsidRPr="00322575" w:rsidRDefault="00A335D5" w:rsidP="00BE5D44">
            <w:pPr>
              <w:jc w:val="both"/>
              <w:rPr>
                <w:rFonts w:ascii="Arial" w:hAnsi="Arial" w:cs="Arial"/>
                <w:sz w:val="20"/>
                <w:szCs w:val="20"/>
              </w:rPr>
            </w:pPr>
            <w:r>
              <w:rPr>
                <w:rFonts w:ascii="Arial" w:hAnsi="Arial" w:cs="Arial"/>
                <w:sz w:val="20"/>
                <w:szCs w:val="20"/>
              </w:rPr>
              <w:t>6 (4.0)</w:t>
            </w:r>
          </w:p>
        </w:tc>
        <w:tc>
          <w:tcPr>
            <w:tcW w:w="1550" w:type="dxa"/>
            <w:shd w:val="clear" w:color="auto" w:fill="F2F2F2" w:themeFill="background1" w:themeFillShade="F2"/>
          </w:tcPr>
          <w:p w14:paraId="3973C36C" w14:textId="77777777" w:rsidR="00281EF3" w:rsidRDefault="00281EF3" w:rsidP="00BE5D44">
            <w:pPr>
              <w:jc w:val="both"/>
              <w:rPr>
                <w:rFonts w:ascii="Arial" w:hAnsi="Arial" w:cs="Arial"/>
                <w:sz w:val="20"/>
                <w:szCs w:val="20"/>
              </w:rPr>
            </w:pPr>
          </w:p>
          <w:p w14:paraId="10AB259E" w14:textId="77777777" w:rsidR="00687045" w:rsidRDefault="00687045" w:rsidP="00BE5D44">
            <w:pPr>
              <w:jc w:val="both"/>
              <w:rPr>
                <w:rFonts w:ascii="Arial" w:hAnsi="Arial" w:cs="Arial"/>
                <w:sz w:val="20"/>
                <w:szCs w:val="20"/>
              </w:rPr>
            </w:pPr>
            <w:r>
              <w:rPr>
                <w:rFonts w:ascii="Arial" w:hAnsi="Arial" w:cs="Arial"/>
                <w:sz w:val="20"/>
                <w:szCs w:val="20"/>
              </w:rPr>
              <w:t>38 (97.4)</w:t>
            </w:r>
          </w:p>
          <w:p w14:paraId="2C202381" w14:textId="1ED70141" w:rsidR="00687045" w:rsidRPr="00322575" w:rsidRDefault="00687045" w:rsidP="00BE5D44">
            <w:pPr>
              <w:jc w:val="both"/>
              <w:rPr>
                <w:rFonts w:ascii="Arial" w:hAnsi="Arial" w:cs="Arial"/>
                <w:sz w:val="20"/>
                <w:szCs w:val="20"/>
              </w:rPr>
            </w:pPr>
            <w:r>
              <w:rPr>
                <w:rFonts w:ascii="Arial" w:hAnsi="Arial" w:cs="Arial"/>
                <w:sz w:val="20"/>
                <w:szCs w:val="20"/>
              </w:rPr>
              <w:t>1 (2.6)</w:t>
            </w:r>
          </w:p>
        </w:tc>
        <w:tc>
          <w:tcPr>
            <w:tcW w:w="1550" w:type="dxa"/>
            <w:shd w:val="clear" w:color="auto" w:fill="F2F2F2" w:themeFill="background1" w:themeFillShade="F2"/>
          </w:tcPr>
          <w:p w14:paraId="44D8C083" w14:textId="77777777" w:rsidR="00281EF3" w:rsidRDefault="00281EF3" w:rsidP="00BE5D44">
            <w:pPr>
              <w:jc w:val="both"/>
              <w:rPr>
                <w:rFonts w:ascii="Arial" w:hAnsi="Arial" w:cs="Arial"/>
                <w:sz w:val="20"/>
                <w:szCs w:val="20"/>
              </w:rPr>
            </w:pPr>
          </w:p>
          <w:p w14:paraId="4935D23F" w14:textId="5CCD5CA1" w:rsidR="0016604D" w:rsidRDefault="0016604D" w:rsidP="00BE5D44">
            <w:pPr>
              <w:jc w:val="both"/>
              <w:rPr>
                <w:rFonts w:ascii="Arial" w:hAnsi="Arial" w:cs="Arial"/>
                <w:sz w:val="20"/>
                <w:szCs w:val="20"/>
              </w:rPr>
            </w:pPr>
            <w:r>
              <w:rPr>
                <w:rFonts w:ascii="Arial" w:hAnsi="Arial" w:cs="Arial"/>
                <w:sz w:val="20"/>
                <w:szCs w:val="20"/>
              </w:rPr>
              <w:t>148 (98.7)</w:t>
            </w:r>
          </w:p>
          <w:p w14:paraId="67FECF99" w14:textId="75D42905" w:rsidR="0016604D" w:rsidRPr="00322575" w:rsidRDefault="0016604D" w:rsidP="00BE5D44">
            <w:pPr>
              <w:jc w:val="both"/>
              <w:rPr>
                <w:rFonts w:ascii="Arial" w:hAnsi="Arial" w:cs="Arial"/>
                <w:sz w:val="20"/>
                <w:szCs w:val="20"/>
              </w:rPr>
            </w:pPr>
            <w:r>
              <w:rPr>
                <w:rFonts w:ascii="Arial" w:hAnsi="Arial" w:cs="Arial"/>
                <w:sz w:val="20"/>
                <w:szCs w:val="20"/>
              </w:rPr>
              <w:t>2 (1.3)</w:t>
            </w:r>
          </w:p>
        </w:tc>
      </w:tr>
      <w:tr w:rsidR="00281EF3" w:rsidRPr="00281EF3" w14:paraId="35FD1ADA" w14:textId="77777777" w:rsidTr="008A7DD9">
        <w:tc>
          <w:tcPr>
            <w:tcW w:w="1701" w:type="dxa"/>
          </w:tcPr>
          <w:p w14:paraId="38CD8B5A" w14:textId="77777777" w:rsidR="00281EF3" w:rsidRDefault="00C22437" w:rsidP="002C74AB">
            <w:pPr>
              <w:rPr>
                <w:rFonts w:ascii="Arial" w:hAnsi="Arial" w:cs="Arial"/>
                <w:b/>
                <w:sz w:val="20"/>
                <w:szCs w:val="20"/>
              </w:rPr>
            </w:pPr>
            <w:r>
              <w:rPr>
                <w:rFonts w:ascii="Arial" w:hAnsi="Arial" w:cs="Arial"/>
                <w:b/>
                <w:sz w:val="20"/>
                <w:szCs w:val="20"/>
              </w:rPr>
              <w:t>Living situation</w:t>
            </w:r>
          </w:p>
          <w:p w14:paraId="1A6A9E81" w14:textId="77777777" w:rsidR="008A7DD9" w:rsidRDefault="008A7DD9" w:rsidP="002C74AB">
            <w:pPr>
              <w:rPr>
                <w:rFonts w:ascii="Arial" w:hAnsi="Arial" w:cs="Arial"/>
                <w:b/>
                <w:sz w:val="20"/>
                <w:szCs w:val="20"/>
              </w:rPr>
            </w:pPr>
            <w:r>
              <w:rPr>
                <w:rFonts w:ascii="Arial" w:hAnsi="Arial" w:cs="Arial"/>
                <w:b/>
                <w:sz w:val="20"/>
                <w:szCs w:val="20"/>
              </w:rPr>
              <w:t xml:space="preserve">  Alone</w:t>
            </w:r>
          </w:p>
          <w:p w14:paraId="7EB4C574" w14:textId="27A4A8B7" w:rsidR="008A7DD9" w:rsidRPr="00281EF3" w:rsidRDefault="004965FA" w:rsidP="002C74AB">
            <w:pPr>
              <w:rPr>
                <w:rFonts w:ascii="Arial" w:hAnsi="Arial" w:cs="Arial"/>
                <w:b/>
                <w:sz w:val="20"/>
                <w:szCs w:val="20"/>
              </w:rPr>
            </w:pPr>
            <w:r>
              <w:rPr>
                <w:rFonts w:ascii="Arial" w:hAnsi="Arial" w:cs="Arial"/>
                <w:b/>
                <w:sz w:val="20"/>
                <w:szCs w:val="20"/>
              </w:rPr>
              <w:t xml:space="preserve">  </w:t>
            </w:r>
            <w:r w:rsidR="008A7DD9">
              <w:rPr>
                <w:rFonts w:ascii="Arial" w:hAnsi="Arial" w:cs="Arial"/>
                <w:b/>
                <w:sz w:val="20"/>
                <w:szCs w:val="20"/>
              </w:rPr>
              <w:t>With someone</w:t>
            </w:r>
          </w:p>
        </w:tc>
        <w:tc>
          <w:tcPr>
            <w:tcW w:w="1549" w:type="dxa"/>
          </w:tcPr>
          <w:p w14:paraId="51996224" w14:textId="77777777" w:rsidR="00281EF3" w:rsidRDefault="00281EF3" w:rsidP="00BE5D44">
            <w:pPr>
              <w:jc w:val="both"/>
              <w:rPr>
                <w:rFonts w:ascii="Arial" w:hAnsi="Arial" w:cs="Arial"/>
                <w:sz w:val="20"/>
                <w:szCs w:val="20"/>
              </w:rPr>
            </w:pPr>
          </w:p>
          <w:p w14:paraId="28CB2C60" w14:textId="77777777" w:rsidR="00570F3E" w:rsidRDefault="00570F3E" w:rsidP="00BE5D44">
            <w:pPr>
              <w:jc w:val="both"/>
              <w:rPr>
                <w:rFonts w:ascii="Arial" w:hAnsi="Arial" w:cs="Arial"/>
                <w:sz w:val="20"/>
                <w:szCs w:val="20"/>
              </w:rPr>
            </w:pPr>
            <w:r>
              <w:rPr>
                <w:rFonts w:ascii="Arial" w:hAnsi="Arial" w:cs="Arial"/>
                <w:sz w:val="20"/>
                <w:szCs w:val="20"/>
              </w:rPr>
              <w:t>13 (21.3)</w:t>
            </w:r>
          </w:p>
          <w:p w14:paraId="7807EC4C" w14:textId="42762B92" w:rsidR="00570F3E" w:rsidRPr="00322575" w:rsidRDefault="00570F3E" w:rsidP="00BE5D44">
            <w:pPr>
              <w:jc w:val="both"/>
              <w:rPr>
                <w:rFonts w:ascii="Arial" w:hAnsi="Arial" w:cs="Arial"/>
                <w:sz w:val="20"/>
                <w:szCs w:val="20"/>
              </w:rPr>
            </w:pPr>
            <w:r>
              <w:rPr>
                <w:rFonts w:ascii="Arial" w:hAnsi="Arial" w:cs="Arial"/>
                <w:sz w:val="20"/>
                <w:szCs w:val="20"/>
              </w:rPr>
              <w:t>48 (78.7)</w:t>
            </w:r>
          </w:p>
        </w:tc>
        <w:tc>
          <w:tcPr>
            <w:tcW w:w="1550" w:type="dxa"/>
          </w:tcPr>
          <w:p w14:paraId="0B8765AC" w14:textId="77777777" w:rsidR="00281EF3" w:rsidRDefault="00281EF3" w:rsidP="00BE5D44">
            <w:pPr>
              <w:jc w:val="both"/>
              <w:rPr>
                <w:rFonts w:ascii="Arial" w:hAnsi="Arial" w:cs="Arial"/>
                <w:sz w:val="20"/>
                <w:szCs w:val="20"/>
              </w:rPr>
            </w:pPr>
          </w:p>
          <w:p w14:paraId="41F8C7D4" w14:textId="77777777" w:rsidR="009D1AAF" w:rsidRDefault="009D1AAF" w:rsidP="00BE5D44">
            <w:pPr>
              <w:jc w:val="both"/>
              <w:rPr>
                <w:rFonts w:ascii="Arial" w:hAnsi="Arial" w:cs="Arial"/>
                <w:sz w:val="20"/>
                <w:szCs w:val="20"/>
              </w:rPr>
            </w:pPr>
            <w:r>
              <w:rPr>
                <w:rFonts w:ascii="Arial" w:hAnsi="Arial" w:cs="Arial"/>
                <w:sz w:val="20"/>
                <w:szCs w:val="20"/>
              </w:rPr>
              <w:t>33 (15.1)</w:t>
            </w:r>
          </w:p>
          <w:p w14:paraId="630114DF" w14:textId="15426237" w:rsidR="009D1AAF" w:rsidRPr="00322575" w:rsidRDefault="009D1AAF" w:rsidP="00BE5D44">
            <w:pPr>
              <w:jc w:val="both"/>
              <w:rPr>
                <w:rFonts w:ascii="Arial" w:hAnsi="Arial" w:cs="Arial"/>
                <w:sz w:val="20"/>
                <w:szCs w:val="20"/>
              </w:rPr>
            </w:pPr>
            <w:r>
              <w:rPr>
                <w:rFonts w:ascii="Arial" w:hAnsi="Arial" w:cs="Arial"/>
                <w:sz w:val="20"/>
                <w:szCs w:val="20"/>
              </w:rPr>
              <w:t>185 (84.9)</w:t>
            </w:r>
          </w:p>
        </w:tc>
        <w:tc>
          <w:tcPr>
            <w:tcW w:w="1550" w:type="dxa"/>
          </w:tcPr>
          <w:p w14:paraId="3670BA10" w14:textId="77777777" w:rsidR="00281EF3" w:rsidRDefault="00281EF3" w:rsidP="00BE5D44">
            <w:pPr>
              <w:jc w:val="both"/>
              <w:rPr>
                <w:rFonts w:ascii="Arial" w:hAnsi="Arial" w:cs="Arial"/>
                <w:sz w:val="20"/>
                <w:szCs w:val="20"/>
              </w:rPr>
            </w:pPr>
          </w:p>
          <w:p w14:paraId="47CE1D03" w14:textId="77777777" w:rsidR="00EE3B97" w:rsidRDefault="00EE3B97" w:rsidP="00BE5D44">
            <w:pPr>
              <w:jc w:val="both"/>
              <w:rPr>
                <w:rFonts w:ascii="Arial" w:hAnsi="Arial" w:cs="Arial"/>
                <w:sz w:val="20"/>
                <w:szCs w:val="20"/>
              </w:rPr>
            </w:pPr>
            <w:r>
              <w:rPr>
                <w:rFonts w:ascii="Arial" w:hAnsi="Arial" w:cs="Arial"/>
                <w:sz w:val="20"/>
                <w:szCs w:val="20"/>
              </w:rPr>
              <w:t>17 (26.2)</w:t>
            </w:r>
          </w:p>
          <w:p w14:paraId="3B8A9331" w14:textId="7C1F09E2" w:rsidR="00EE3B97" w:rsidRPr="00322575" w:rsidRDefault="00EE3B97" w:rsidP="00BE5D44">
            <w:pPr>
              <w:jc w:val="both"/>
              <w:rPr>
                <w:rFonts w:ascii="Arial" w:hAnsi="Arial" w:cs="Arial"/>
                <w:sz w:val="20"/>
                <w:szCs w:val="20"/>
              </w:rPr>
            </w:pPr>
            <w:r>
              <w:rPr>
                <w:rFonts w:ascii="Arial" w:hAnsi="Arial" w:cs="Arial"/>
                <w:sz w:val="20"/>
                <w:szCs w:val="20"/>
              </w:rPr>
              <w:t>48 (73.8)</w:t>
            </w:r>
          </w:p>
        </w:tc>
        <w:tc>
          <w:tcPr>
            <w:tcW w:w="1550" w:type="dxa"/>
          </w:tcPr>
          <w:p w14:paraId="0669531B" w14:textId="77777777" w:rsidR="00281EF3" w:rsidRDefault="00281EF3" w:rsidP="00BE5D44">
            <w:pPr>
              <w:jc w:val="both"/>
              <w:rPr>
                <w:rFonts w:ascii="Arial" w:hAnsi="Arial" w:cs="Arial"/>
                <w:sz w:val="20"/>
                <w:szCs w:val="20"/>
              </w:rPr>
            </w:pPr>
          </w:p>
          <w:p w14:paraId="5BD6F362" w14:textId="28F2FEEF" w:rsidR="00751F87" w:rsidRDefault="00751F87" w:rsidP="00BE5D44">
            <w:pPr>
              <w:jc w:val="both"/>
              <w:rPr>
                <w:rFonts w:ascii="Arial" w:hAnsi="Arial" w:cs="Arial"/>
                <w:sz w:val="20"/>
                <w:szCs w:val="20"/>
              </w:rPr>
            </w:pPr>
            <w:r>
              <w:rPr>
                <w:rFonts w:ascii="Arial" w:hAnsi="Arial" w:cs="Arial"/>
                <w:sz w:val="20"/>
                <w:szCs w:val="20"/>
              </w:rPr>
              <w:t>79 (35.6)</w:t>
            </w:r>
          </w:p>
          <w:p w14:paraId="4E3D9305" w14:textId="5285B1B3" w:rsidR="00751F87" w:rsidRPr="00322575" w:rsidRDefault="00751F87" w:rsidP="00BE5D44">
            <w:pPr>
              <w:jc w:val="both"/>
              <w:rPr>
                <w:rFonts w:ascii="Arial" w:hAnsi="Arial" w:cs="Arial"/>
                <w:sz w:val="20"/>
                <w:szCs w:val="20"/>
              </w:rPr>
            </w:pPr>
            <w:r>
              <w:rPr>
                <w:rFonts w:ascii="Arial" w:hAnsi="Arial" w:cs="Arial"/>
                <w:sz w:val="20"/>
                <w:szCs w:val="20"/>
              </w:rPr>
              <w:t>143 (64.4)</w:t>
            </w:r>
          </w:p>
        </w:tc>
        <w:tc>
          <w:tcPr>
            <w:tcW w:w="1550" w:type="dxa"/>
            <w:shd w:val="clear" w:color="auto" w:fill="F2F2F2" w:themeFill="background1" w:themeFillShade="F2"/>
          </w:tcPr>
          <w:p w14:paraId="0D1CE339" w14:textId="77777777" w:rsidR="008A7DD9" w:rsidRDefault="008A7DD9" w:rsidP="00BE5D44">
            <w:pPr>
              <w:jc w:val="both"/>
              <w:rPr>
                <w:rFonts w:ascii="Arial" w:hAnsi="Arial" w:cs="Arial"/>
                <w:sz w:val="20"/>
                <w:szCs w:val="20"/>
              </w:rPr>
            </w:pPr>
          </w:p>
          <w:p w14:paraId="4B9778F7" w14:textId="77777777" w:rsidR="008A7DD9" w:rsidRDefault="008A7DD9" w:rsidP="00BE5D44">
            <w:pPr>
              <w:jc w:val="both"/>
              <w:rPr>
                <w:rFonts w:ascii="Arial" w:hAnsi="Arial" w:cs="Arial"/>
                <w:sz w:val="20"/>
                <w:szCs w:val="20"/>
              </w:rPr>
            </w:pPr>
            <w:r>
              <w:rPr>
                <w:rFonts w:ascii="Arial" w:hAnsi="Arial" w:cs="Arial"/>
                <w:sz w:val="20"/>
                <w:szCs w:val="20"/>
              </w:rPr>
              <w:t>8 (21.6)</w:t>
            </w:r>
          </w:p>
          <w:p w14:paraId="2B3E06F3" w14:textId="21154CA6" w:rsidR="008A7DD9" w:rsidRPr="00322575" w:rsidRDefault="008A7DD9" w:rsidP="00BE5D44">
            <w:pPr>
              <w:jc w:val="both"/>
              <w:rPr>
                <w:rFonts w:ascii="Arial" w:hAnsi="Arial" w:cs="Arial"/>
                <w:sz w:val="20"/>
                <w:szCs w:val="20"/>
              </w:rPr>
            </w:pPr>
            <w:r>
              <w:rPr>
                <w:rFonts w:ascii="Arial" w:hAnsi="Arial" w:cs="Arial"/>
                <w:sz w:val="20"/>
                <w:szCs w:val="20"/>
              </w:rPr>
              <w:t>29 (78.4)</w:t>
            </w:r>
          </w:p>
        </w:tc>
        <w:tc>
          <w:tcPr>
            <w:tcW w:w="1550" w:type="dxa"/>
            <w:shd w:val="clear" w:color="auto" w:fill="F2F2F2" w:themeFill="background1" w:themeFillShade="F2"/>
          </w:tcPr>
          <w:p w14:paraId="480FBF0B" w14:textId="77777777" w:rsidR="00281EF3" w:rsidRDefault="00281EF3" w:rsidP="00BE5D44">
            <w:pPr>
              <w:jc w:val="both"/>
              <w:rPr>
                <w:rFonts w:ascii="Arial" w:hAnsi="Arial" w:cs="Arial"/>
                <w:sz w:val="20"/>
                <w:szCs w:val="20"/>
              </w:rPr>
            </w:pPr>
          </w:p>
          <w:p w14:paraId="2507BA2A" w14:textId="77777777" w:rsidR="004965FA" w:rsidRDefault="004965FA" w:rsidP="00BE5D44">
            <w:pPr>
              <w:jc w:val="both"/>
              <w:rPr>
                <w:rFonts w:ascii="Arial" w:hAnsi="Arial" w:cs="Arial"/>
                <w:sz w:val="20"/>
                <w:szCs w:val="20"/>
              </w:rPr>
            </w:pPr>
            <w:r>
              <w:rPr>
                <w:rFonts w:ascii="Arial" w:hAnsi="Arial" w:cs="Arial"/>
                <w:sz w:val="20"/>
                <w:szCs w:val="20"/>
              </w:rPr>
              <w:t>18 (12.2)</w:t>
            </w:r>
          </w:p>
          <w:p w14:paraId="059D73D8" w14:textId="71500F71" w:rsidR="004965FA" w:rsidRPr="00322575" w:rsidRDefault="004965FA" w:rsidP="00BE5D44">
            <w:pPr>
              <w:jc w:val="both"/>
              <w:rPr>
                <w:rFonts w:ascii="Arial" w:hAnsi="Arial" w:cs="Arial"/>
                <w:sz w:val="20"/>
                <w:szCs w:val="20"/>
              </w:rPr>
            </w:pPr>
            <w:r>
              <w:rPr>
                <w:rFonts w:ascii="Arial" w:hAnsi="Arial" w:cs="Arial"/>
                <w:sz w:val="20"/>
                <w:szCs w:val="20"/>
              </w:rPr>
              <w:t>130 (87.8)</w:t>
            </w:r>
          </w:p>
        </w:tc>
        <w:tc>
          <w:tcPr>
            <w:tcW w:w="1550" w:type="dxa"/>
            <w:shd w:val="clear" w:color="auto" w:fill="F2F2F2" w:themeFill="background1" w:themeFillShade="F2"/>
          </w:tcPr>
          <w:p w14:paraId="7A47A5FB" w14:textId="77777777" w:rsidR="00281EF3" w:rsidRDefault="00281EF3" w:rsidP="00BE5D44">
            <w:pPr>
              <w:jc w:val="both"/>
              <w:rPr>
                <w:rFonts w:ascii="Arial" w:hAnsi="Arial" w:cs="Arial"/>
                <w:sz w:val="20"/>
                <w:szCs w:val="20"/>
              </w:rPr>
            </w:pPr>
          </w:p>
          <w:p w14:paraId="56DAB30A" w14:textId="77777777" w:rsidR="00687045" w:rsidRDefault="00687045" w:rsidP="00BE5D44">
            <w:pPr>
              <w:jc w:val="both"/>
              <w:rPr>
                <w:rFonts w:ascii="Arial" w:hAnsi="Arial" w:cs="Arial"/>
                <w:sz w:val="20"/>
                <w:szCs w:val="20"/>
              </w:rPr>
            </w:pPr>
            <w:r>
              <w:rPr>
                <w:rFonts w:ascii="Arial" w:hAnsi="Arial" w:cs="Arial"/>
                <w:sz w:val="20"/>
                <w:szCs w:val="20"/>
              </w:rPr>
              <w:t>11 (28.9)</w:t>
            </w:r>
          </w:p>
          <w:p w14:paraId="0471D79A" w14:textId="0A9E8A25" w:rsidR="00687045" w:rsidRPr="00322575" w:rsidRDefault="00687045" w:rsidP="00BE5D44">
            <w:pPr>
              <w:jc w:val="both"/>
              <w:rPr>
                <w:rFonts w:ascii="Arial" w:hAnsi="Arial" w:cs="Arial"/>
                <w:sz w:val="20"/>
                <w:szCs w:val="20"/>
              </w:rPr>
            </w:pPr>
            <w:r>
              <w:rPr>
                <w:rFonts w:ascii="Arial" w:hAnsi="Arial" w:cs="Arial"/>
                <w:sz w:val="20"/>
                <w:szCs w:val="20"/>
              </w:rPr>
              <w:t>27 (71.1)</w:t>
            </w:r>
          </w:p>
        </w:tc>
        <w:tc>
          <w:tcPr>
            <w:tcW w:w="1550" w:type="dxa"/>
            <w:shd w:val="clear" w:color="auto" w:fill="F2F2F2" w:themeFill="background1" w:themeFillShade="F2"/>
          </w:tcPr>
          <w:p w14:paraId="0B683AAD" w14:textId="77777777" w:rsidR="00281EF3" w:rsidRDefault="00281EF3" w:rsidP="00BE5D44">
            <w:pPr>
              <w:jc w:val="both"/>
              <w:rPr>
                <w:rFonts w:ascii="Arial" w:hAnsi="Arial" w:cs="Arial"/>
                <w:sz w:val="20"/>
                <w:szCs w:val="20"/>
              </w:rPr>
            </w:pPr>
          </w:p>
          <w:p w14:paraId="22A46764" w14:textId="77777777" w:rsidR="00347CDB" w:rsidRDefault="00347CDB" w:rsidP="00BE5D44">
            <w:pPr>
              <w:jc w:val="both"/>
              <w:rPr>
                <w:rFonts w:ascii="Arial" w:hAnsi="Arial" w:cs="Arial"/>
                <w:sz w:val="20"/>
                <w:szCs w:val="20"/>
              </w:rPr>
            </w:pPr>
            <w:r>
              <w:rPr>
                <w:rFonts w:ascii="Arial" w:hAnsi="Arial" w:cs="Arial"/>
                <w:sz w:val="20"/>
                <w:szCs w:val="20"/>
              </w:rPr>
              <w:t>59 (39.1)</w:t>
            </w:r>
          </w:p>
          <w:p w14:paraId="1E68CFEB" w14:textId="29389D95" w:rsidR="00347CDB" w:rsidRPr="00322575" w:rsidRDefault="00347CDB" w:rsidP="00BE5D44">
            <w:pPr>
              <w:jc w:val="both"/>
              <w:rPr>
                <w:rFonts w:ascii="Arial" w:hAnsi="Arial" w:cs="Arial"/>
                <w:sz w:val="20"/>
                <w:szCs w:val="20"/>
              </w:rPr>
            </w:pPr>
            <w:r>
              <w:rPr>
                <w:rFonts w:ascii="Arial" w:hAnsi="Arial" w:cs="Arial"/>
                <w:sz w:val="20"/>
                <w:szCs w:val="20"/>
              </w:rPr>
              <w:t>92 (60.9)</w:t>
            </w:r>
          </w:p>
        </w:tc>
      </w:tr>
      <w:tr w:rsidR="00281EF3" w:rsidRPr="00281EF3" w14:paraId="75378A9D" w14:textId="77777777" w:rsidTr="008A7DD9">
        <w:tc>
          <w:tcPr>
            <w:tcW w:w="1701" w:type="dxa"/>
          </w:tcPr>
          <w:p w14:paraId="7B1CEAD4" w14:textId="77777777" w:rsidR="00281EF3" w:rsidRDefault="008A7DD9" w:rsidP="002C74AB">
            <w:pPr>
              <w:rPr>
                <w:rFonts w:ascii="Arial" w:hAnsi="Arial" w:cs="Arial"/>
                <w:b/>
                <w:sz w:val="20"/>
                <w:szCs w:val="20"/>
              </w:rPr>
            </w:pPr>
            <w:r>
              <w:rPr>
                <w:rFonts w:ascii="Arial" w:hAnsi="Arial" w:cs="Arial"/>
                <w:b/>
                <w:sz w:val="20"/>
                <w:szCs w:val="20"/>
              </w:rPr>
              <w:t>IMD Quintile</w:t>
            </w:r>
          </w:p>
          <w:p w14:paraId="20992334" w14:textId="77777777" w:rsidR="008A7DD9" w:rsidRDefault="008A7DD9" w:rsidP="002C74AB">
            <w:pPr>
              <w:rPr>
                <w:rFonts w:ascii="Arial" w:hAnsi="Arial" w:cs="Arial"/>
                <w:b/>
                <w:sz w:val="20"/>
                <w:szCs w:val="20"/>
              </w:rPr>
            </w:pPr>
            <w:r>
              <w:rPr>
                <w:rFonts w:ascii="Arial" w:hAnsi="Arial" w:cs="Arial"/>
                <w:b/>
                <w:sz w:val="20"/>
                <w:szCs w:val="20"/>
              </w:rPr>
              <w:t xml:space="preserve">  1</w:t>
            </w:r>
          </w:p>
          <w:p w14:paraId="03FD2D14" w14:textId="77777777" w:rsidR="008A7DD9" w:rsidRDefault="008A7DD9" w:rsidP="002C74AB">
            <w:pPr>
              <w:rPr>
                <w:rFonts w:ascii="Arial" w:hAnsi="Arial" w:cs="Arial"/>
                <w:b/>
                <w:sz w:val="20"/>
                <w:szCs w:val="20"/>
              </w:rPr>
            </w:pPr>
            <w:r>
              <w:rPr>
                <w:rFonts w:ascii="Arial" w:hAnsi="Arial" w:cs="Arial"/>
                <w:b/>
                <w:sz w:val="20"/>
                <w:szCs w:val="20"/>
              </w:rPr>
              <w:t xml:space="preserve">  2</w:t>
            </w:r>
          </w:p>
          <w:p w14:paraId="4C0D9B85" w14:textId="77777777" w:rsidR="008A7DD9" w:rsidRDefault="008A7DD9" w:rsidP="002C74AB">
            <w:pPr>
              <w:rPr>
                <w:rFonts w:ascii="Arial" w:hAnsi="Arial" w:cs="Arial"/>
                <w:b/>
                <w:sz w:val="20"/>
                <w:szCs w:val="20"/>
              </w:rPr>
            </w:pPr>
            <w:r>
              <w:rPr>
                <w:rFonts w:ascii="Arial" w:hAnsi="Arial" w:cs="Arial"/>
                <w:b/>
                <w:sz w:val="20"/>
                <w:szCs w:val="20"/>
              </w:rPr>
              <w:t xml:space="preserve">  3</w:t>
            </w:r>
          </w:p>
          <w:p w14:paraId="39E15E8F" w14:textId="77777777" w:rsidR="008A7DD9" w:rsidRDefault="008A7DD9" w:rsidP="002C74AB">
            <w:pPr>
              <w:rPr>
                <w:rFonts w:ascii="Arial" w:hAnsi="Arial" w:cs="Arial"/>
                <w:b/>
                <w:sz w:val="20"/>
                <w:szCs w:val="20"/>
              </w:rPr>
            </w:pPr>
            <w:r>
              <w:rPr>
                <w:rFonts w:ascii="Arial" w:hAnsi="Arial" w:cs="Arial"/>
                <w:b/>
                <w:sz w:val="20"/>
                <w:szCs w:val="20"/>
              </w:rPr>
              <w:t xml:space="preserve">  4</w:t>
            </w:r>
          </w:p>
          <w:p w14:paraId="49FBE4AD" w14:textId="0FEFA3B1" w:rsidR="008A7DD9" w:rsidRPr="00281EF3" w:rsidRDefault="008A7DD9" w:rsidP="002C74AB">
            <w:pPr>
              <w:rPr>
                <w:rFonts w:ascii="Arial" w:hAnsi="Arial" w:cs="Arial"/>
                <w:b/>
                <w:sz w:val="20"/>
                <w:szCs w:val="20"/>
              </w:rPr>
            </w:pPr>
            <w:r>
              <w:rPr>
                <w:rFonts w:ascii="Arial" w:hAnsi="Arial" w:cs="Arial"/>
                <w:b/>
                <w:sz w:val="20"/>
                <w:szCs w:val="20"/>
              </w:rPr>
              <w:t xml:space="preserve">  5</w:t>
            </w:r>
          </w:p>
        </w:tc>
        <w:tc>
          <w:tcPr>
            <w:tcW w:w="1549" w:type="dxa"/>
          </w:tcPr>
          <w:p w14:paraId="1DB2D826" w14:textId="77777777" w:rsidR="00281EF3" w:rsidRDefault="00281EF3" w:rsidP="00BE5D44">
            <w:pPr>
              <w:jc w:val="both"/>
              <w:rPr>
                <w:rFonts w:ascii="Arial" w:hAnsi="Arial" w:cs="Arial"/>
                <w:sz w:val="20"/>
                <w:szCs w:val="20"/>
              </w:rPr>
            </w:pPr>
          </w:p>
          <w:p w14:paraId="56524F50" w14:textId="77777777" w:rsidR="00570F3E" w:rsidRDefault="00570F3E" w:rsidP="00BE5D44">
            <w:pPr>
              <w:jc w:val="both"/>
              <w:rPr>
                <w:rFonts w:ascii="Arial" w:hAnsi="Arial" w:cs="Arial"/>
                <w:sz w:val="20"/>
                <w:szCs w:val="20"/>
              </w:rPr>
            </w:pPr>
            <w:r>
              <w:rPr>
                <w:rFonts w:ascii="Arial" w:hAnsi="Arial" w:cs="Arial"/>
                <w:sz w:val="20"/>
                <w:szCs w:val="20"/>
              </w:rPr>
              <w:t>12 (23.1)</w:t>
            </w:r>
          </w:p>
          <w:p w14:paraId="22CB8A06" w14:textId="77777777" w:rsidR="00570F3E" w:rsidRDefault="00570F3E" w:rsidP="00BE5D44">
            <w:pPr>
              <w:jc w:val="both"/>
              <w:rPr>
                <w:rFonts w:ascii="Arial" w:hAnsi="Arial" w:cs="Arial"/>
                <w:sz w:val="20"/>
                <w:szCs w:val="20"/>
              </w:rPr>
            </w:pPr>
            <w:r>
              <w:rPr>
                <w:rFonts w:ascii="Arial" w:hAnsi="Arial" w:cs="Arial"/>
                <w:sz w:val="20"/>
                <w:szCs w:val="20"/>
              </w:rPr>
              <w:t>16 (30.8)</w:t>
            </w:r>
          </w:p>
          <w:p w14:paraId="7915ECDD" w14:textId="77777777" w:rsidR="00570F3E" w:rsidRDefault="00570F3E" w:rsidP="00BE5D44">
            <w:pPr>
              <w:jc w:val="both"/>
              <w:rPr>
                <w:rFonts w:ascii="Arial" w:hAnsi="Arial" w:cs="Arial"/>
                <w:sz w:val="20"/>
                <w:szCs w:val="20"/>
              </w:rPr>
            </w:pPr>
            <w:r>
              <w:rPr>
                <w:rFonts w:ascii="Arial" w:hAnsi="Arial" w:cs="Arial"/>
                <w:sz w:val="20"/>
                <w:szCs w:val="20"/>
              </w:rPr>
              <w:t>10 (19.2)</w:t>
            </w:r>
          </w:p>
          <w:p w14:paraId="75E57A56" w14:textId="77777777" w:rsidR="00570F3E" w:rsidRDefault="00570F3E" w:rsidP="00BE5D44">
            <w:pPr>
              <w:jc w:val="both"/>
              <w:rPr>
                <w:rFonts w:ascii="Arial" w:hAnsi="Arial" w:cs="Arial"/>
                <w:sz w:val="20"/>
                <w:szCs w:val="20"/>
              </w:rPr>
            </w:pPr>
            <w:r>
              <w:rPr>
                <w:rFonts w:ascii="Arial" w:hAnsi="Arial" w:cs="Arial"/>
                <w:sz w:val="20"/>
                <w:szCs w:val="20"/>
              </w:rPr>
              <w:t>10 (19.2)</w:t>
            </w:r>
          </w:p>
          <w:p w14:paraId="5F80A5A0" w14:textId="4E30AB09" w:rsidR="00570F3E" w:rsidRPr="00322575" w:rsidRDefault="00570F3E" w:rsidP="00BE5D44">
            <w:pPr>
              <w:jc w:val="both"/>
              <w:rPr>
                <w:rFonts w:ascii="Arial" w:hAnsi="Arial" w:cs="Arial"/>
                <w:sz w:val="20"/>
                <w:szCs w:val="20"/>
              </w:rPr>
            </w:pPr>
            <w:r>
              <w:rPr>
                <w:rFonts w:ascii="Arial" w:hAnsi="Arial" w:cs="Arial"/>
                <w:sz w:val="20"/>
                <w:szCs w:val="20"/>
              </w:rPr>
              <w:t>4 (7.7)</w:t>
            </w:r>
          </w:p>
        </w:tc>
        <w:tc>
          <w:tcPr>
            <w:tcW w:w="1550" w:type="dxa"/>
          </w:tcPr>
          <w:p w14:paraId="6065E8C0" w14:textId="77777777" w:rsidR="00281EF3" w:rsidRDefault="00281EF3" w:rsidP="00BE5D44">
            <w:pPr>
              <w:jc w:val="both"/>
              <w:rPr>
                <w:rFonts w:ascii="Arial" w:hAnsi="Arial" w:cs="Arial"/>
                <w:sz w:val="20"/>
                <w:szCs w:val="20"/>
              </w:rPr>
            </w:pPr>
          </w:p>
          <w:p w14:paraId="40CD26DC" w14:textId="77777777" w:rsidR="009D1AAF" w:rsidRDefault="009D1AAF" w:rsidP="00BE5D44">
            <w:pPr>
              <w:jc w:val="both"/>
              <w:rPr>
                <w:rFonts w:ascii="Arial" w:hAnsi="Arial" w:cs="Arial"/>
                <w:sz w:val="20"/>
                <w:szCs w:val="20"/>
              </w:rPr>
            </w:pPr>
            <w:r>
              <w:rPr>
                <w:rFonts w:ascii="Arial" w:hAnsi="Arial" w:cs="Arial"/>
                <w:sz w:val="20"/>
                <w:szCs w:val="20"/>
              </w:rPr>
              <w:t>54 (32.1)</w:t>
            </w:r>
          </w:p>
          <w:p w14:paraId="1D31E824" w14:textId="77777777" w:rsidR="009D1AAF" w:rsidRDefault="009D1AAF" w:rsidP="00BE5D44">
            <w:pPr>
              <w:jc w:val="both"/>
              <w:rPr>
                <w:rFonts w:ascii="Arial" w:hAnsi="Arial" w:cs="Arial"/>
                <w:sz w:val="20"/>
                <w:szCs w:val="20"/>
              </w:rPr>
            </w:pPr>
            <w:r>
              <w:rPr>
                <w:rFonts w:ascii="Arial" w:hAnsi="Arial" w:cs="Arial"/>
                <w:sz w:val="20"/>
                <w:szCs w:val="20"/>
              </w:rPr>
              <w:t>50 (29.8)</w:t>
            </w:r>
          </w:p>
          <w:p w14:paraId="4892DB12" w14:textId="77777777" w:rsidR="009D1AAF" w:rsidRDefault="009D1AAF" w:rsidP="00BE5D44">
            <w:pPr>
              <w:jc w:val="both"/>
              <w:rPr>
                <w:rFonts w:ascii="Arial" w:hAnsi="Arial" w:cs="Arial"/>
                <w:sz w:val="20"/>
                <w:szCs w:val="20"/>
              </w:rPr>
            </w:pPr>
            <w:r>
              <w:rPr>
                <w:rFonts w:ascii="Arial" w:hAnsi="Arial" w:cs="Arial"/>
                <w:sz w:val="20"/>
                <w:szCs w:val="20"/>
              </w:rPr>
              <w:t>32 (19.0)</w:t>
            </w:r>
          </w:p>
          <w:p w14:paraId="211929D6" w14:textId="77777777" w:rsidR="009D1AAF" w:rsidRDefault="009D1AAF" w:rsidP="00BE5D44">
            <w:pPr>
              <w:jc w:val="both"/>
              <w:rPr>
                <w:rFonts w:ascii="Arial" w:hAnsi="Arial" w:cs="Arial"/>
                <w:sz w:val="20"/>
                <w:szCs w:val="20"/>
              </w:rPr>
            </w:pPr>
            <w:r>
              <w:rPr>
                <w:rFonts w:ascii="Arial" w:hAnsi="Arial" w:cs="Arial"/>
                <w:sz w:val="20"/>
                <w:szCs w:val="20"/>
              </w:rPr>
              <w:t>14 (8.3)</w:t>
            </w:r>
          </w:p>
          <w:p w14:paraId="655ED0BA" w14:textId="54210640" w:rsidR="009D1AAF" w:rsidRPr="00322575" w:rsidRDefault="009D1AAF" w:rsidP="00BE5D44">
            <w:pPr>
              <w:jc w:val="both"/>
              <w:rPr>
                <w:rFonts w:ascii="Arial" w:hAnsi="Arial" w:cs="Arial"/>
                <w:sz w:val="20"/>
                <w:szCs w:val="20"/>
              </w:rPr>
            </w:pPr>
            <w:r>
              <w:rPr>
                <w:rFonts w:ascii="Arial" w:hAnsi="Arial" w:cs="Arial"/>
                <w:sz w:val="20"/>
                <w:szCs w:val="20"/>
              </w:rPr>
              <w:t>18 (10.7)</w:t>
            </w:r>
          </w:p>
        </w:tc>
        <w:tc>
          <w:tcPr>
            <w:tcW w:w="1550" w:type="dxa"/>
          </w:tcPr>
          <w:p w14:paraId="031C4FD9" w14:textId="77777777" w:rsidR="00281EF3" w:rsidRDefault="00281EF3" w:rsidP="00BE5D44">
            <w:pPr>
              <w:jc w:val="both"/>
              <w:rPr>
                <w:rFonts w:ascii="Arial" w:hAnsi="Arial" w:cs="Arial"/>
                <w:sz w:val="20"/>
                <w:szCs w:val="20"/>
              </w:rPr>
            </w:pPr>
          </w:p>
          <w:p w14:paraId="7621E518" w14:textId="77777777" w:rsidR="00EE3B97" w:rsidRDefault="00EE3B97" w:rsidP="00BE5D44">
            <w:pPr>
              <w:jc w:val="both"/>
              <w:rPr>
                <w:rFonts w:ascii="Arial" w:hAnsi="Arial" w:cs="Arial"/>
                <w:sz w:val="20"/>
                <w:szCs w:val="20"/>
              </w:rPr>
            </w:pPr>
            <w:r>
              <w:rPr>
                <w:rFonts w:ascii="Arial" w:hAnsi="Arial" w:cs="Arial"/>
                <w:sz w:val="20"/>
                <w:szCs w:val="20"/>
              </w:rPr>
              <w:t>10 (19.2)</w:t>
            </w:r>
          </w:p>
          <w:p w14:paraId="113D5254" w14:textId="77777777" w:rsidR="00EE3B97" w:rsidRDefault="00EE3B97" w:rsidP="00BE5D44">
            <w:pPr>
              <w:jc w:val="both"/>
              <w:rPr>
                <w:rFonts w:ascii="Arial" w:hAnsi="Arial" w:cs="Arial"/>
                <w:sz w:val="20"/>
                <w:szCs w:val="20"/>
              </w:rPr>
            </w:pPr>
            <w:r>
              <w:rPr>
                <w:rFonts w:ascii="Arial" w:hAnsi="Arial" w:cs="Arial"/>
                <w:sz w:val="20"/>
                <w:szCs w:val="20"/>
              </w:rPr>
              <w:t>20 (38.5)</w:t>
            </w:r>
          </w:p>
          <w:p w14:paraId="7DD74195" w14:textId="77777777" w:rsidR="00EE3B97" w:rsidRDefault="00EE3B97" w:rsidP="00BE5D44">
            <w:pPr>
              <w:jc w:val="both"/>
              <w:rPr>
                <w:rFonts w:ascii="Arial" w:hAnsi="Arial" w:cs="Arial"/>
                <w:sz w:val="20"/>
                <w:szCs w:val="20"/>
              </w:rPr>
            </w:pPr>
            <w:r>
              <w:rPr>
                <w:rFonts w:ascii="Arial" w:hAnsi="Arial" w:cs="Arial"/>
                <w:sz w:val="20"/>
                <w:szCs w:val="20"/>
              </w:rPr>
              <w:t>14 (26.9)</w:t>
            </w:r>
          </w:p>
          <w:p w14:paraId="56A4530A" w14:textId="77777777" w:rsidR="00EE3B97" w:rsidRDefault="00EE3B97" w:rsidP="00BE5D44">
            <w:pPr>
              <w:jc w:val="both"/>
              <w:rPr>
                <w:rFonts w:ascii="Arial" w:hAnsi="Arial" w:cs="Arial"/>
                <w:sz w:val="20"/>
                <w:szCs w:val="20"/>
              </w:rPr>
            </w:pPr>
            <w:r>
              <w:rPr>
                <w:rFonts w:ascii="Arial" w:hAnsi="Arial" w:cs="Arial"/>
                <w:sz w:val="20"/>
                <w:szCs w:val="20"/>
              </w:rPr>
              <w:t>5 (9.6)</w:t>
            </w:r>
          </w:p>
          <w:p w14:paraId="017A551A" w14:textId="20C87C47" w:rsidR="00EE3B97" w:rsidRPr="00322575" w:rsidRDefault="00EE3B97" w:rsidP="00BE5D44">
            <w:pPr>
              <w:jc w:val="both"/>
              <w:rPr>
                <w:rFonts w:ascii="Arial" w:hAnsi="Arial" w:cs="Arial"/>
                <w:sz w:val="20"/>
                <w:szCs w:val="20"/>
              </w:rPr>
            </w:pPr>
            <w:r>
              <w:rPr>
                <w:rFonts w:ascii="Arial" w:hAnsi="Arial" w:cs="Arial"/>
                <w:sz w:val="20"/>
                <w:szCs w:val="20"/>
              </w:rPr>
              <w:t>3 (5.8)</w:t>
            </w:r>
          </w:p>
        </w:tc>
        <w:tc>
          <w:tcPr>
            <w:tcW w:w="1550" w:type="dxa"/>
          </w:tcPr>
          <w:p w14:paraId="6D6DA128" w14:textId="77777777" w:rsidR="00281EF3" w:rsidRDefault="00281EF3" w:rsidP="00BE5D44">
            <w:pPr>
              <w:jc w:val="both"/>
              <w:rPr>
                <w:rFonts w:ascii="Arial" w:hAnsi="Arial" w:cs="Arial"/>
                <w:sz w:val="20"/>
                <w:szCs w:val="20"/>
              </w:rPr>
            </w:pPr>
          </w:p>
          <w:p w14:paraId="5A5086F1" w14:textId="77777777" w:rsidR="00751F87" w:rsidRDefault="00751F87" w:rsidP="00BE5D44">
            <w:pPr>
              <w:jc w:val="both"/>
              <w:rPr>
                <w:rFonts w:ascii="Arial" w:hAnsi="Arial" w:cs="Arial"/>
                <w:sz w:val="20"/>
                <w:szCs w:val="20"/>
              </w:rPr>
            </w:pPr>
            <w:r>
              <w:rPr>
                <w:rFonts w:ascii="Arial" w:hAnsi="Arial" w:cs="Arial"/>
                <w:sz w:val="20"/>
                <w:szCs w:val="20"/>
              </w:rPr>
              <w:t>61 (33.5)</w:t>
            </w:r>
          </w:p>
          <w:p w14:paraId="7FA3ED26" w14:textId="77777777" w:rsidR="00751F87" w:rsidRDefault="00751F87" w:rsidP="00BE5D44">
            <w:pPr>
              <w:jc w:val="both"/>
              <w:rPr>
                <w:rFonts w:ascii="Arial" w:hAnsi="Arial" w:cs="Arial"/>
                <w:sz w:val="20"/>
                <w:szCs w:val="20"/>
              </w:rPr>
            </w:pPr>
            <w:r>
              <w:rPr>
                <w:rFonts w:ascii="Arial" w:hAnsi="Arial" w:cs="Arial"/>
                <w:sz w:val="20"/>
                <w:szCs w:val="20"/>
              </w:rPr>
              <w:t>44 (24.2)</w:t>
            </w:r>
          </w:p>
          <w:p w14:paraId="79DA7FCE" w14:textId="77777777" w:rsidR="00751F87" w:rsidRDefault="00751F87" w:rsidP="00BE5D44">
            <w:pPr>
              <w:jc w:val="both"/>
              <w:rPr>
                <w:rFonts w:ascii="Arial" w:hAnsi="Arial" w:cs="Arial"/>
                <w:sz w:val="20"/>
                <w:szCs w:val="20"/>
              </w:rPr>
            </w:pPr>
            <w:r>
              <w:rPr>
                <w:rFonts w:ascii="Arial" w:hAnsi="Arial" w:cs="Arial"/>
                <w:sz w:val="20"/>
                <w:szCs w:val="20"/>
              </w:rPr>
              <w:t>37 (20.3)</w:t>
            </w:r>
          </w:p>
          <w:p w14:paraId="766D10B0" w14:textId="77777777" w:rsidR="00751F87" w:rsidRDefault="00751F87" w:rsidP="00BE5D44">
            <w:pPr>
              <w:jc w:val="both"/>
              <w:rPr>
                <w:rFonts w:ascii="Arial" w:hAnsi="Arial" w:cs="Arial"/>
                <w:sz w:val="20"/>
                <w:szCs w:val="20"/>
              </w:rPr>
            </w:pPr>
            <w:r>
              <w:rPr>
                <w:rFonts w:ascii="Arial" w:hAnsi="Arial" w:cs="Arial"/>
                <w:sz w:val="20"/>
                <w:szCs w:val="20"/>
              </w:rPr>
              <w:t>26 (14.3)</w:t>
            </w:r>
          </w:p>
          <w:p w14:paraId="4D1F7EA4" w14:textId="748243C4" w:rsidR="00751F87" w:rsidRPr="00322575" w:rsidRDefault="00751F87" w:rsidP="00BE5D44">
            <w:pPr>
              <w:jc w:val="both"/>
              <w:rPr>
                <w:rFonts w:ascii="Arial" w:hAnsi="Arial" w:cs="Arial"/>
                <w:sz w:val="20"/>
                <w:szCs w:val="20"/>
              </w:rPr>
            </w:pPr>
            <w:r>
              <w:rPr>
                <w:rFonts w:ascii="Arial" w:hAnsi="Arial" w:cs="Arial"/>
                <w:sz w:val="20"/>
                <w:szCs w:val="20"/>
              </w:rPr>
              <w:t>14 (7.7)</w:t>
            </w:r>
          </w:p>
        </w:tc>
        <w:tc>
          <w:tcPr>
            <w:tcW w:w="1550" w:type="dxa"/>
            <w:shd w:val="clear" w:color="auto" w:fill="F2F2F2" w:themeFill="background1" w:themeFillShade="F2"/>
          </w:tcPr>
          <w:p w14:paraId="553C0C87" w14:textId="77777777" w:rsidR="00281EF3" w:rsidRDefault="00281EF3" w:rsidP="00BE5D44">
            <w:pPr>
              <w:jc w:val="both"/>
              <w:rPr>
                <w:rFonts w:ascii="Arial" w:hAnsi="Arial" w:cs="Arial"/>
                <w:sz w:val="20"/>
                <w:szCs w:val="20"/>
              </w:rPr>
            </w:pPr>
          </w:p>
          <w:p w14:paraId="6E10FAFC" w14:textId="77777777" w:rsidR="008A7DD9" w:rsidRDefault="008A7DD9" w:rsidP="00BE5D44">
            <w:pPr>
              <w:jc w:val="both"/>
              <w:rPr>
                <w:rFonts w:ascii="Arial" w:hAnsi="Arial" w:cs="Arial"/>
                <w:sz w:val="20"/>
                <w:szCs w:val="20"/>
              </w:rPr>
            </w:pPr>
            <w:r>
              <w:rPr>
                <w:rFonts w:ascii="Arial" w:hAnsi="Arial" w:cs="Arial"/>
                <w:sz w:val="20"/>
                <w:szCs w:val="20"/>
              </w:rPr>
              <w:t>5 (16.1)</w:t>
            </w:r>
          </w:p>
          <w:p w14:paraId="3CBD3A0E" w14:textId="77777777" w:rsidR="008A7DD9" w:rsidRDefault="008A7DD9" w:rsidP="00BE5D44">
            <w:pPr>
              <w:jc w:val="both"/>
              <w:rPr>
                <w:rFonts w:ascii="Arial" w:hAnsi="Arial" w:cs="Arial"/>
                <w:sz w:val="20"/>
                <w:szCs w:val="20"/>
              </w:rPr>
            </w:pPr>
            <w:r>
              <w:rPr>
                <w:rFonts w:ascii="Arial" w:hAnsi="Arial" w:cs="Arial"/>
                <w:sz w:val="20"/>
                <w:szCs w:val="20"/>
              </w:rPr>
              <w:t>11 (35.5)</w:t>
            </w:r>
          </w:p>
          <w:p w14:paraId="7AC86C49" w14:textId="77777777" w:rsidR="008A7DD9" w:rsidRDefault="008A7DD9" w:rsidP="00BE5D44">
            <w:pPr>
              <w:jc w:val="both"/>
              <w:rPr>
                <w:rFonts w:ascii="Arial" w:hAnsi="Arial" w:cs="Arial"/>
                <w:sz w:val="20"/>
                <w:szCs w:val="20"/>
              </w:rPr>
            </w:pPr>
            <w:r>
              <w:rPr>
                <w:rFonts w:ascii="Arial" w:hAnsi="Arial" w:cs="Arial"/>
                <w:sz w:val="20"/>
                <w:szCs w:val="20"/>
              </w:rPr>
              <w:t>6 (19.4)</w:t>
            </w:r>
          </w:p>
          <w:p w14:paraId="55FAB965" w14:textId="77777777" w:rsidR="008A7DD9" w:rsidRDefault="008A7DD9" w:rsidP="00BE5D44">
            <w:pPr>
              <w:jc w:val="both"/>
              <w:rPr>
                <w:rFonts w:ascii="Arial" w:hAnsi="Arial" w:cs="Arial"/>
                <w:sz w:val="20"/>
                <w:szCs w:val="20"/>
              </w:rPr>
            </w:pPr>
            <w:r>
              <w:rPr>
                <w:rFonts w:ascii="Arial" w:hAnsi="Arial" w:cs="Arial"/>
                <w:sz w:val="20"/>
                <w:szCs w:val="20"/>
              </w:rPr>
              <w:t>5 (16.1)</w:t>
            </w:r>
          </w:p>
          <w:p w14:paraId="4C4A3C42" w14:textId="43F3C60F" w:rsidR="008A7DD9" w:rsidRPr="00322575" w:rsidRDefault="008A7DD9" w:rsidP="00BE5D44">
            <w:pPr>
              <w:jc w:val="both"/>
              <w:rPr>
                <w:rFonts w:ascii="Arial" w:hAnsi="Arial" w:cs="Arial"/>
                <w:sz w:val="20"/>
                <w:szCs w:val="20"/>
              </w:rPr>
            </w:pPr>
            <w:r>
              <w:rPr>
                <w:rFonts w:ascii="Arial" w:hAnsi="Arial" w:cs="Arial"/>
                <w:sz w:val="20"/>
                <w:szCs w:val="20"/>
              </w:rPr>
              <w:t>4 (12.9)</w:t>
            </w:r>
          </w:p>
        </w:tc>
        <w:tc>
          <w:tcPr>
            <w:tcW w:w="1550" w:type="dxa"/>
            <w:shd w:val="clear" w:color="auto" w:fill="F2F2F2" w:themeFill="background1" w:themeFillShade="F2"/>
          </w:tcPr>
          <w:p w14:paraId="3080A3B0" w14:textId="77777777" w:rsidR="00281EF3" w:rsidRDefault="00281EF3" w:rsidP="00BE5D44">
            <w:pPr>
              <w:jc w:val="both"/>
              <w:rPr>
                <w:rFonts w:ascii="Arial" w:hAnsi="Arial" w:cs="Arial"/>
                <w:sz w:val="20"/>
                <w:szCs w:val="20"/>
              </w:rPr>
            </w:pPr>
          </w:p>
          <w:p w14:paraId="420BA7B5" w14:textId="77777777" w:rsidR="00F83853" w:rsidRDefault="00F83853" w:rsidP="00BE5D44">
            <w:pPr>
              <w:jc w:val="both"/>
              <w:rPr>
                <w:rFonts w:ascii="Arial" w:hAnsi="Arial" w:cs="Arial"/>
                <w:sz w:val="20"/>
                <w:szCs w:val="20"/>
              </w:rPr>
            </w:pPr>
            <w:r>
              <w:rPr>
                <w:rFonts w:ascii="Arial" w:hAnsi="Arial" w:cs="Arial"/>
                <w:sz w:val="20"/>
                <w:szCs w:val="20"/>
              </w:rPr>
              <w:t>35 (31.0)</w:t>
            </w:r>
          </w:p>
          <w:p w14:paraId="5566B037" w14:textId="77777777" w:rsidR="00F83853" w:rsidRDefault="00F83853" w:rsidP="00BE5D44">
            <w:pPr>
              <w:jc w:val="both"/>
              <w:rPr>
                <w:rFonts w:ascii="Arial" w:hAnsi="Arial" w:cs="Arial"/>
                <w:sz w:val="20"/>
                <w:szCs w:val="20"/>
              </w:rPr>
            </w:pPr>
            <w:r>
              <w:rPr>
                <w:rFonts w:ascii="Arial" w:hAnsi="Arial" w:cs="Arial"/>
                <w:sz w:val="20"/>
                <w:szCs w:val="20"/>
              </w:rPr>
              <w:t>34 (30.1)</w:t>
            </w:r>
          </w:p>
          <w:p w14:paraId="25506536" w14:textId="77777777" w:rsidR="00F83853" w:rsidRDefault="00F83853" w:rsidP="00BE5D44">
            <w:pPr>
              <w:jc w:val="both"/>
              <w:rPr>
                <w:rFonts w:ascii="Arial" w:hAnsi="Arial" w:cs="Arial"/>
                <w:sz w:val="20"/>
                <w:szCs w:val="20"/>
              </w:rPr>
            </w:pPr>
            <w:r>
              <w:rPr>
                <w:rFonts w:ascii="Arial" w:hAnsi="Arial" w:cs="Arial"/>
                <w:sz w:val="20"/>
                <w:szCs w:val="20"/>
              </w:rPr>
              <w:t>20 (17.7)</w:t>
            </w:r>
          </w:p>
          <w:p w14:paraId="57CBDE7E" w14:textId="77777777" w:rsidR="00F83853" w:rsidRDefault="00F83853" w:rsidP="00BE5D44">
            <w:pPr>
              <w:jc w:val="both"/>
              <w:rPr>
                <w:rFonts w:ascii="Arial" w:hAnsi="Arial" w:cs="Arial"/>
                <w:sz w:val="20"/>
                <w:szCs w:val="20"/>
              </w:rPr>
            </w:pPr>
            <w:r>
              <w:rPr>
                <w:rFonts w:ascii="Arial" w:hAnsi="Arial" w:cs="Arial"/>
                <w:sz w:val="20"/>
                <w:szCs w:val="20"/>
              </w:rPr>
              <w:t>11 (9.7)</w:t>
            </w:r>
          </w:p>
          <w:p w14:paraId="56F69DBF" w14:textId="4D9DD4FC" w:rsidR="00F83853" w:rsidRPr="00322575" w:rsidRDefault="00F83853" w:rsidP="00BE5D44">
            <w:pPr>
              <w:jc w:val="both"/>
              <w:rPr>
                <w:rFonts w:ascii="Arial" w:hAnsi="Arial" w:cs="Arial"/>
                <w:sz w:val="20"/>
                <w:szCs w:val="20"/>
              </w:rPr>
            </w:pPr>
            <w:r>
              <w:rPr>
                <w:rFonts w:ascii="Arial" w:hAnsi="Arial" w:cs="Arial"/>
                <w:sz w:val="20"/>
                <w:szCs w:val="20"/>
              </w:rPr>
              <w:t>13 (11.5)</w:t>
            </w:r>
          </w:p>
        </w:tc>
        <w:tc>
          <w:tcPr>
            <w:tcW w:w="1550" w:type="dxa"/>
            <w:shd w:val="clear" w:color="auto" w:fill="F2F2F2" w:themeFill="background1" w:themeFillShade="F2"/>
          </w:tcPr>
          <w:p w14:paraId="7CFF58F2" w14:textId="77777777" w:rsidR="00281EF3" w:rsidRDefault="00281EF3" w:rsidP="00BE5D44">
            <w:pPr>
              <w:jc w:val="both"/>
              <w:rPr>
                <w:rFonts w:ascii="Arial" w:hAnsi="Arial" w:cs="Arial"/>
                <w:sz w:val="20"/>
                <w:szCs w:val="20"/>
              </w:rPr>
            </w:pPr>
          </w:p>
          <w:p w14:paraId="480411EF" w14:textId="77777777" w:rsidR="00687045" w:rsidRDefault="00687045" w:rsidP="00BE5D44">
            <w:pPr>
              <w:jc w:val="both"/>
              <w:rPr>
                <w:rFonts w:ascii="Arial" w:hAnsi="Arial" w:cs="Arial"/>
                <w:sz w:val="20"/>
                <w:szCs w:val="20"/>
              </w:rPr>
            </w:pPr>
            <w:r>
              <w:rPr>
                <w:rFonts w:ascii="Arial" w:hAnsi="Arial" w:cs="Arial"/>
                <w:sz w:val="20"/>
                <w:szCs w:val="20"/>
              </w:rPr>
              <w:t>6 (19.4)</w:t>
            </w:r>
          </w:p>
          <w:p w14:paraId="5B21A959" w14:textId="77777777" w:rsidR="00687045" w:rsidRDefault="00687045" w:rsidP="00BE5D44">
            <w:pPr>
              <w:jc w:val="both"/>
              <w:rPr>
                <w:rFonts w:ascii="Arial" w:hAnsi="Arial" w:cs="Arial"/>
                <w:sz w:val="20"/>
                <w:szCs w:val="20"/>
              </w:rPr>
            </w:pPr>
            <w:r>
              <w:rPr>
                <w:rFonts w:ascii="Arial" w:hAnsi="Arial" w:cs="Arial"/>
                <w:sz w:val="20"/>
                <w:szCs w:val="20"/>
              </w:rPr>
              <w:t>11 (35.5)</w:t>
            </w:r>
          </w:p>
          <w:p w14:paraId="2DE40F18" w14:textId="77777777" w:rsidR="00687045" w:rsidRDefault="00687045" w:rsidP="00BE5D44">
            <w:pPr>
              <w:jc w:val="both"/>
              <w:rPr>
                <w:rFonts w:ascii="Arial" w:hAnsi="Arial" w:cs="Arial"/>
                <w:sz w:val="20"/>
                <w:szCs w:val="20"/>
              </w:rPr>
            </w:pPr>
            <w:r>
              <w:rPr>
                <w:rFonts w:ascii="Arial" w:hAnsi="Arial" w:cs="Arial"/>
                <w:sz w:val="20"/>
                <w:szCs w:val="20"/>
              </w:rPr>
              <w:t>9 (29.0)</w:t>
            </w:r>
          </w:p>
          <w:p w14:paraId="7B9842A3" w14:textId="77777777" w:rsidR="00687045" w:rsidRDefault="00687045" w:rsidP="00BE5D44">
            <w:pPr>
              <w:jc w:val="both"/>
              <w:rPr>
                <w:rFonts w:ascii="Arial" w:hAnsi="Arial" w:cs="Arial"/>
                <w:sz w:val="20"/>
                <w:szCs w:val="20"/>
              </w:rPr>
            </w:pPr>
            <w:r>
              <w:rPr>
                <w:rFonts w:ascii="Arial" w:hAnsi="Arial" w:cs="Arial"/>
                <w:sz w:val="20"/>
                <w:szCs w:val="20"/>
              </w:rPr>
              <w:t>4 (12.9)</w:t>
            </w:r>
          </w:p>
          <w:p w14:paraId="4E0E8632" w14:textId="35F5C4D9" w:rsidR="00687045" w:rsidRPr="00322575" w:rsidRDefault="00687045" w:rsidP="00BE5D44">
            <w:pPr>
              <w:jc w:val="both"/>
              <w:rPr>
                <w:rFonts w:ascii="Arial" w:hAnsi="Arial" w:cs="Arial"/>
                <w:sz w:val="20"/>
                <w:szCs w:val="20"/>
              </w:rPr>
            </w:pPr>
            <w:r>
              <w:rPr>
                <w:rFonts w:ascii="Arial" w:hAnsi="Arial" w:cs="Arial"/>
                <w:sz w:val="20"/>
                <w:szCs w:val="20"/>
              </w:rPr>
              <w:t>1 (3.2)</w:t>
            </w:r>
          </w:p>
        </w:tc>
        <w:tc>
          <w:tcPr>
            <w:tcW w:w="1550" w:type="dxa"/>
            <w:shd w:val="clear" w:color="auto" w:fill="F2F2F2" w:themeFill="background1" w:themeFillShade="F2"/>
          </w:tcPr>
          <w:p w14:paraId="7B2EE355" w14:textId="77777777" w:rsidR="00281EF3" w:rsidRDefault="00281EF3" w:rsidP="00BE5D44">
            <w:pPr>
              <w:jc w:val="both"/>
              <w:rPr>
                <w:rFonts w:ascii="Arial" w:hAnsi="Arial" w:cs="Arial"/>
                <w:sz w:val="20"/>
                <w:szCs w:val="20"/>
              </w:rPr>
            </w:pPr>
          </w:p>
          <w:p w14:paraId="799DAECF" w14:textId="77777777" w:rsidR="00347CDB" w:rsidRDefault="00347CDB" w:rsidP="00BE5D44">
            <w:pPr>
              <w:jc w:val="both"/>
              <w:rPr>
                <w:rFonts w:ascii="Arial" w:hAnsi="Arial" w:cs="Arial"/>
                <w:sz w:val="20"/>
                <w:szCs w:val="20"/>
              </w:rPr>
            </w:pPr>
            <w:r>
              <w:rPr>
                <w:rFonts w:ascii="Arial" w:hAnsi="Arial" w:cs="Arial"/>
                <w:sz w:val="20"/>
                <w:szCs w:val="20"/>
              </w:rPr>
              <w:t>39 (</w:t>
            </w:r>
            <w:r w:rsidR="000A3B78">
              <w:rPr>
                <w:rFonts w:ascii="Arial" w:hAnsi="Arial" w:cs="Arial"/>
                <w:sz w:val="20"/>
                <w:szCs w:val="20"/>
              </w:rPr>
              <w:t>31.7)</w:t>
            </w:r>
          </w:p>
          <w:p w14:paraId="20A1F84F" w14:textId="77777777" w:rsidR="000A3B78" w:rsidRDefault="000A3B78" w:rsidP="00BE5D44">
            <w:pPr>
              <w:jc w:val="both"/>
              <w:rPr>
                <w:rFonts w:ascii="Arial" w:hAnsi="Arial" w:cs="Arial"/>
                <w:sz w:val="20"/>
                <w:szCs w:val="20"/>
              </w:rPr>
            </w:pPr>
            <w:r>
              <w:rPr>
                <w:rFonts w:ascii="Arial" w:hAnsi="Arial" w:cs="Arial"/>
                <w:sz w:val="20"/>
                <w:szCs w:val="20"/>
              </w:rPr>
              <w:t>29 (23.6)</w:t>
            </w:r>
          </w:p>
          <w:p w14:paraId="1ECD31BC" w14:textId="77777777" w:rsidR="000A3B78" w:rsidRDefault="000A3B78" w:rsidP="00BE5D44">
            <w:pPr>
              <w:jc w:val="both"/>
              <w:rPr>
                <w:rFonts w:ascii="Arial" w:hAnsi="Arial" w:cs="Arial"/>
                <w:sz w:val="20"/>
                <w:szCs w:val="20"/>
              </w:rPr>
            </w:pPr>
            <w:r>
              <w:rPr>
                <w:rFonts w:ascii="Arial" w:hAnsi="Arial" w:cs="Arial"/>
                <w:sz w:val="20"/>
                <w:szCs w:val="20"/>
              </w:rPr>
              <w:t>26 (21.1)</w:t>
            </w:r>
          </w:p>
          <w:p w14:paraId="781AE71A" w14:textId="77777777" w:rsidR="000A3B78" w:rsidRDefault="000A3B78" w:rsidP="00BE5D44">
            <w:pPr>
              <w:jc w:val="both"/>
              <w:rPr>
                <w:rFonts w:ascii="Arial" w:hAnsi="Arial" w:cs="Arial"/>
                <w:sz w:val="20"/>
                <w:szCs w:val="20"/>
              </w:rPr>
            </w:pPr>
            <w:r>
              <w:rPr>
                <w:rFonts w:ascii="Arial" w:hAnsi="Arial" w:cs="Arial"/>
                <w:sz w:val="20"/>
                <w:szCs w:val="20"/>
              </w:rPr>
              <w:t>18 (14.6)</w:t>
            </w:r>
          </w:p>
          <w:p w14:paraId="1E3F15E4" w14:textId="401C04C2" w:rsidR="000A3B78" w:rsidRPr="00322575" w:rsidRDefault="000A3B78" w:rsidP="00BE5D44">
            <w:pPr>
              <w:jc w:val="both"/>
              <w:rPr>
                <w:rFonts w:ascii="Arial" w:hAnsi="Arial" w:cs="Arial"/>
                <w:sz w:val="20"/>
                <w:szCs w:val="20"/>
              </w:rPr>
            </w:pPr>
            <w:r>
              <w:rPr>
                <w:rFonts w:ascii="Arial" w:hAnsi="Arial" w:cs="Arial"/>
                <w:sz w:val="20"/>
                <w:szCs w:val="20"/>
              </w:rPr>
              <w:t>11 (8.9)</w:t>
            </w:r>
          </w:p>
        </w:tc>
      </w:tr>
      <w:tr w:rsidR="00C22437" w:rsidRPr="00281EF3" w14:paraId="0282AB6C" w14:textId="77777777" w:rsidTr="008A7DD9">
        <w:tc>
          <w:tcPr>
            <w:tcW w:w="1701" w:type="dxa"/>
          </w:tcPr>
          <w:p w14:paraId="431B170F" w14:textId="77777777" w:rsidR="00C22437" w:rsidRDefault="00C22437" w:rsidP="002C74AB">
            <w:pPr>
              <w:rPr>
                <w:rFonts w:ascii="Arial" w:hAnsi="Arial" w:cs="Arial"/>
                <w:b/>
                <w:sz w:val="20"/>
                <w:szCs w:val="20"/>
              </w:rPr>
            </w:pPr>
            <w:r>
              <w:rPr>
                <w:rFonts w:ascii="Arial" w:hAnsi="Arial" w:cs="Arial"/>
                <w:b/>
                <w:sz w:val="20"/>
                <w:szCs w:val="20"/>
              </w:rPr>
              <w:t>Type of dementia</w:t>
            </w:r>
          </w:p>
          <w:p w14:paraId="2B87F5F6" w14:textId="77777777" w:rsidR="008A7DD9" w:rsidRDefault="008A7DD9" w:rsidP="002C74AB">
            <w:pPr>
              <w:rPr>
                <w:rFonts w:ascii="Arial" w:hAnsi="Arial" w:cs="Arial"/>
                <w:b/>
                <w:sz w:val="20"/>
                <w:szCs w:val="20"/>
              </w:rPr>
            </w:pPr>
            <w:r>
              <w:rPr>
                <w:rFonts w:ascii="Arial" w:hAnsi="Arial" w:cs="Arial"/>
                <w:b/>
                <w:sz w:val="20"/>
                <w:szCs w:val="20"/>
              </w:rPr>
              <w:t xml:space="preserve">  Alzheimer’s</w:t>
            </w:r>
          </w:p>
          <w:p w14:paraId="1C3F1B81" w14:textId="77777777" w:rsidR="008A7DD9" w:rsidRDefault="008A7DD9" w:rsidP="002C74AB">
            <w:pPr>
              <w:rPr>
                <w:rFonts w:ascii="Arial" w:hAnsi="Arial" w:cs="Arial"/>
                <w:b/>
                <w:sz w:val="20"/>
                <w:szCs w:val="20"/>
              </w:rPr>
            </w:pPr>
            <w:r>
              <w:rPr>
                <w:rFonts w:ascii="Arial" w:hAnsi="Arial" w:cs="Arial"/>
                <w:b/>
                <w:sz w:val="20"/>
                <w:szCs w:val="20"/>
              </w:rPr>
              <w:t xml:space="preserve">  Mixed</w:t>
            </w:r>
          </w:p>
          <w:p w14:paraId="2D485885" w14:textId="3612E962" w:rsidR="008A7DD9" w:rsidRDefault="008A7DD9" w:rsidP="002C74AB">
            <w:pPr>
              <w:rPr>
                <w:rFonts w:ascii="Arial" w:hAnsi="Arial" w:cs="Arial"/>
                <w:b/>
                <w:sz w:val="20"/>
                <w:szCs w:val="20"/>
              </w:rPr>
            </w:pPr>
            <w:r>
              <w:rPr>
                <w:rFonts w:ascii="Arial" w:hAnsi="Arial" w:cs="Arial"/>
                <w:b/>
                <w:sz w:val="20"/>
                <w:szCs w:val="20"/>
              </w:rPr>
              <w:t xml:space="preserve">  Vascular</w:t>
            </w:r>
          </w:p>
          <w:p w14:paraId="3B6C0A77" w14:textId="4DAB6734" w:rsidR="008A7DD9" w:rsidRPr="00281EF3" w:rsidRDefault="008A7DD9" w:rsidP="002C74AB">
            <w:pPr>
              <w:rPr>
                <w:rFonts w:ascii="Arial" w:hAnsi="Arial" w:cs="Arial"/>
                <w:b/>
                <w:sz w:val="20"/>
                <w:szCs w:val="20"/>
              </w:rPr>
            </w:pPr>
            <w:r>
              <w:rPr>
                <w:rFonts w:ascii="Arial" w:hAnsi="Arial" w:cs="Arial"/>
                <w:b/>
                <w:sz w:val="20"/>
                <w:szCs w:val="20"/>
              </w:rPr>
              <w:t xml:space="preserve">  Other</w:t>
            </w:r>
          </w:p>
        </w:tc>
        <w:tc>
          <w:tcPr>
            <w:tcW w:w="1549" w:type="dxa"/>
          </w:tcPr>
          <w:p w14:paraId="079A6944" w14:textId="77777777" w:rsidR="00C22437" w:rsidRDefault="00C22437" w:rsidP="00BE5D44">
            <w:pPr>
              <w:jc w:val="both"/>
              <w:rPr>
                <w:rFonts w:ascii="Arial" w:hAnsi="Arial" w:cs="Arial"/>
                <w:sz w:val="20"/>
                <w:szCs w:val="20"/>
              </w:rPr>
            </w:pPr>
          </w:p>
          <w:p w14:paraId="26238537" w14:textId="77777777" w:rsidR="009D1AAF" w:rsidRDefault="009D1AAF" w:rsidP="00BE5D44">
            <w:pPr>
              <w:jc w:val="both"/>
              <w:rPr>
                <w:rFonts w:ascii="Arial" w:hAnsi="Arial" w:cs="Arial"/>
                <w:sz w:val="20"/>
                <w:szCs w:val="20"/>
              </w:rPr>
            </w:pPr>
          </w:p>
          <w:p w14:paraId="7E4A6739" w14:textId="77777777" w:rsidR="009D1AAF" w:rsidRDefault="009D1AAF" w:rsidP="00BE5D44">
            <w:pPr>
              <w:jc w:val="both"/>
              <w:rPr>
                <w:rFonts w:ascii="Arial" w:hAnsi="Arial" w:cs="Arial"/>
                <w:sz w:val="20"/>
                <w:szCs w:val="20"/>
              </w:rPr>
            </w:pPr>
            <w:r>
              <w:rPr>
                <w:rFonts w:ascii="Arial" w:hAnsi="Arial" w:cs="Arial"/>
                <w:sz w:val="20"/>
                <w:szCs w:val="20"/>
              </w:rPr>
              <w:t>20 (32.8)</w:t>
            </w:r>
          </w:p>
          <w:p w14:paraId="538D0A91" w14:textId="77777777" w:rsidR="009D1AAF" w:rsidRDefault="009D1AAF" w:rsidP="00BE5D44">
            <w:pPr>
              <w:jc w:val="both"/>
              <w:rPr>
                <w:rFonts w:ascii="Arial" w:hAnsi="Arial" w:cs="Arial"/>
                <w:sz w:val="20"/>
                <w:szCs w:val="20"/>
              </w:rPr>
            </w:pPr>
            <w:r>
              <w:rPr>
                <w:rFonts w:ascii="Arial" w:hAnsi="Arial" w:cs="Arial"/>
                <w:sz w:val="20"/>
                <w:szCs w:val="20"/>
              </w:rPr>
              <w:t>13 (21.3)</w:t>
            </w:r>
          </w:p>
          <w:p w14:paraId="027E824C" w14:textId="77777777" w:rsidR="009D1AAF" w:rsidRDefault="009D1AAF" w:rsidP="00BE5D44">
            <w:pPr>
              <w:jc w:val="both"/>
              <w:rPr>
                <w:rFonts w:ascii="Arial" w:hAnsi="Arial" w:cs="Arial"/>
                <w:sz w:val="20"/>
                <w:szCs w:val="20"/>
              </w:rPr>
            </w:pPr>
            <w:r>
              <w:rPr>
                <w:rFonts w:ascii="Arial" w:hAnsi="Arial" w:cs="Arial"/>
                <w:sz w:val="20"/>
                <w:szCs w:val="20"/>
              </w:rPr>
              <w:t>11 (18.0)</w:t>
            </w:r>
          </w:p>
          <w:p w14:paraId="3ADA39D8" w14:textId="783514DD" w:rsidR="009D1AAF" w:rsidRPr="00322575" w:rsidRDefault="009D1AAF" w:rsidP="00BE5D44">
            <w:pPr>
              <w:jc w:val="both"/>
              <w:rPr>
                <w:rFonts w:ascii="Arial" w:hAnsi="Arial" w:cs="Arial"/>
                <w:sz w:val="20"/>
                <w:szCs w:val="20"/>
              </w:rPr>
            </w:pPr>
            <w:r>
              <w:rPr>
                <w:rFonts w:ascii="Arial" w:hAnsi="Arial" w:cs="Arial"/>
                <w:sz w:val="20"/>
                <w:szCs w:val="20"/>
              </w:rPr>
              <w:t>17 (27.9)</w:t>
            </w:r>
          </w:p>
        </w:tc>
        <w:tc>
          <w:tcPr>
            <w:tcW w:w="1550" w:type="dxa"/>
          </w:tcPr>
          <w:p w14:paraId="2F40C39A" w14:textId="77777777" w:rsidR="00C22437" w:rsidRDefault="00C22437" w:rsidP="00BE5D44">
            <w:pPr>
              <w:jc w:val="both"/>
              <w:rPr>
                <w:rFonts w:ascii="Arial" w:hAnsi="Arial" w:cs="Arial"/>
                <w:sz w:val="20"/>
                <w:szCs w:val="20"/>
              </w:rPr>
            </w:pPr>
          </w:p>
          <w:p w14:paraId="2F988E56" w14:textId="77777777" w:rsidR="009D1AAF" w:rsidRDefault="009D1AAF" w:rsidP="00BE5D44">
            <w:pPr>
              <w:jc w:val="both"/>
              <w:rPr>
                <w:rFonts w:ascii="Arial" w:hAnsi="Arial" w:cs="Arial"/>
                <w:sz w:val="20"/>
                <w:szCs w:val="20"/>
              </w:rPr>
            </w:pPr>
          </w:p>
          <w:p w14:paraId="6DE6B421" w14:textId="77777777" w:rsidR="009D1AAF" w:rsidRDefault="009D1AAF" w:rsidP="00BE5D44">
            <w:pPr>
              <w:jc w:val="both"/>
              <w:rPr>
                <w:rFonts w:ascii="Arial" w:hAnsi="Arial" w:cs="Arial"/>
                <w:sz w:val="20"/>
                <w:szCs w:val="20"/>
              </w:rPr>
            </w:pPr>
            <w:r>
              <w:rPr>
                <w:rFonts w:ascii="Arial" w:hAnsi="Arial" w:cs="Arial"/>
                <w:sz w:val="20"/>
                <w:szCs w:val="20"/>
              </w:rPr>
              <w:t>100 (46.5)</w:t>
            </w:r>
          </w:p>
          <w:p w14:paraId="5FD4F062" w14:textId="77777777" w:rsidR="009D1AAF" w:rsidRDefault="009D1AAF" w:rsidP="00BE5D44">
            <w:pPr>
              <w:jc w:val="both"/>
              <w:rPr>
                <w:rFonts w:ascii="Arial" w:hAnsi="Arial" w:cs="Arial"/>
                <w:sz w:val="20"/>
                <w:szCs w:val="20"/>
              </w:rPr>
            </w:pPr>
            <w:r>
              <w:rPr>
                <w:rFonts w:ascii="Arial" w:hAnsi="Arial" w:cs="Arial"/>
                <w:sz w:val="20"/>
                <w:szCs w:val="20"/>
              </w:rPr>
              <w:t>49 (22.8)</w:t>
            </w:r>
          </w:p>
          <w:p w14:paraId="53ABC841" w14:textId="77777777" w:rsidR="009D1AAF" w:rsidRDefault="009D1AAF" w:rsidP="00BE5D44">
            <w:pPr>
              <w:jc w:val="both"/>
              <w:rPr>
                <w:rFonts w:ascii="Arial" w:hAnsi="Arial" w:cs="Arial"/>
                <w:sz w:val="20"/>
                <w:szCs w:val="20"/>
              </w:rPr>
            </w:pPr>
            <w:r>
              <w:rPr>
                <w:rFonts w:ascii="Arial" w:hAnsi="Arial" w:cs="Arial"/>
                <w:sz w:val="20"/>
                <w:szCs w:val="20"/>
              </w:rPr>
              <w:t>27 (12.6)</w:t>
            </w:r>
          </w:p>
          <w:p w14:paraId="60E9D94D" w14:textId="1C611E9C" w:rsidR="009D1AAF" w:rsidRPr="00322575" w:rsidRDefault="00701F75" w:rsidP="00BE5D44">
            <w:pPr>
              <w:jc w:val="both"/>
              <w:rPr>
                <w:rFonts w:ascii="Arial" w:hAnsi="Arial" w:cs="Arial"/>
                <w:sz w:val="20"/>
                <w:szCs w:val="20"/>
              </w:rPr>
            </w:pPr>
            <w:r>
              <w:rPr>
                <w:rFonts w:ascii="Arial" w:hAnsi="Arial" w:cs="Arial"/>
                <w:sz w:val="20"/>
                <w:szCs w:val="20"/>
              </w:rPr>
              <w:t>3</w:t>
            </w:r>
            <w:r w:rsidR="00EE3B97">
              <w:rPr>
                <w:rFonts w:ascii="Arial" w:hAnsi="Arial" w:cs="Arial"/>
                <w:sz w:val="20"/>
                <w:szCs w:val="20"/>
              </w:rPr>
              <w:t>9</w:t>
            </w:r>
            <w:r>
              <w:rPr>
                <w:rFonts w:ascii="Arial" w:hAnsi="Arial" w:cs="Arial"/>
                <w:sz w:val="20"/>
                <w:szCs w:val="20"/>
              </w:rPr>
              <w:t xml:space="preserve"> (</w:t>
            </w:r>
            <w:r w:rsidR="00EE3B97">
              <w:rPr>
                <w:rFonts w:ascii="Arial" w:hAnsi="Arial" w:cs="Arial"/>
                <w:sz w:val="20"/>
                <w:szCs w:val="20"/>
              </w:rPr>
              <w:t>18.1)</w:t>
            </w:r>
          </w:p>
        </w:tc>
        <w:tc>
          <w:tcPr>
            <w:tcW w:w="1550" w:type="dxa"/>
          </w:tcPr>
          <w:p w14:paraId="321755B5" w14:textId="77777777" w:rsidR="00C22437" w:rsidRDefault="00C22437" w:rsidP="00BE5D44">
            <w:pPr>
              <w:jc w:val="both"/>
              <w:rPr>
                <w:rFonts w:ascii="Arial" w:hAnsi="Arial" w:cs="Arial"/>
                <w:sz w:val="20"/>
                <w:szCs w:val="20"/>
              </w:rPr>
            </w:pPr>
          </w:p>
          <w:p w14:paraId="6121E5D8" w14:textId="77777777" w:rsidR="00EE3B97" w:rsidRDefault="00EE3B97" w:rsidP="00BE5D44">
            <w:pPr>
              <w:jc w:val="both"/>
              <w:rPr>
                <w:rFonts w:ascii="Arial" w:hAnsi="Arial" w:cs="Arial"/>
                <w:sz w:val="20"/>
                <w:szCs w:val="20"/>
              </w:rPr>
            </w:pPr>
          </w:p>
          <w:p w14:paraId="2B92896E" w14:textId="77777777" w:rsidR="00EE3B97" w:rsidRDefault="00EE3B97" w:rsidP="00BE5D44">
            <w:pPr>
              <w:jc w:val="both"/>
              <w:rPr>
                <w:rFonts w:ascii="Arial" w:hAnsi="Arial" w:cs="Arial"/>
                <w:sz w:val="20"/>
                <w:szCs w:val="20"/>
              </w:rPr>
            </w:pPr>
            <w:r>
              <w:rPr>
                <w:rFonts w:ascii="Arial" w:hAnsi="Arial" w:cs="Arial"/>
                <w:sz w:val="20"/>
                <w:szCs w:val="20"/>
              </w:rPr>
              <w:t>6 (23.1)</w:t>
            </w:r>
          </w:p>
          <w:p w14:paraId="42C4F8CC" w14:textId="77777777" w:rsidR="00EE3B97" w:rsidRDefault="00EE3B97" w:rsidP="00BE5D44">
            <w:pPr>
              <w:jc w:val="both"/>
              <w:rPr>
                <w:rFonts w:ascii="Arial" w:hAnsi="Arial" w:cs="Arial"/>
                <w:sz w:val="20"/>
                <w:szCs w:val="20"/>
              </w:rPr>
            </w:pPr>
            <w:r>
              <w:rPr>
                <w:rFonts w:ascii="Arial" w:hAnsi="Arial" w:cs="Arial"/>
                <w:sz w:val="20"/>
                <w:szCs w:val="20"/>
              </w:rPr>
              <w:t>7 (26.9)</w:t>
            </w:r>
          </w:p>
          <w:p w14:paraId="148D856A" w14:textId="77777777" w:rsidR="00EE3B97" w:rsidRDefault="00EE3B97" w:rsidP="00BE5D44">
            <w:pPr>
              <w:jc w:val="both"/>
              <w:rPr>
                <w:rFonts w:ascii="Arial" w:hAnsi="Arial" w:cs="Arial"/>
                <w:sz w:val="20"/>
                <w:szCs w:val="20"/>
              </w:rPr>
            </w:pPr>
            <w:r>
              <w:rPr>
                <w:rFonts w:ascii="Arial" w:hAnsi="Arial" w:cs="Arial"/>
                <w:sz w:val="20"/>
                <w:szCs w:val="20"/>
              </w:rPr>
              <w:t>4 (15.4)</w:t>
            </w:r>
          </w:p>
          <w:p w14:paraId="064243E8" w14:textId="1FDF59A0" w:rsidR="00EE3B97" w:rsidRPr="00322575" w:rsidRDefault="00EE3B97" w:rsidP="00BE5D44">
            <w:pPr>
              <w:jc w:val="both"/>
              <w:rPr>
                <w:rFonts w:ascii="Arial" w:hAnsi="Arial" w:cs="Arial"/>
                <w:sz w:val="20"/>
                <w:szCs w:val="20"/>
              </w:rPr>
            </w:pPr>
            <w:r>
              <w:rPr>
                <w:rFonts w:ascii="Arial" w:hAnsi="Arial" w:cs="Arial"/>
                <w:sz w:val="20"/>
                <w:szCs w:val="20"/>
              </w:rPr>
              <w:t>9 (34.5)</w:t>
            </w:r>
          </w:p>
        </w:tc>
        <w:tc>
          <w:tcPr>
            <w:tcW w:w="1550" w:type="dxa"/>
          </w:tcPr>
          <w:p w14:paraId="65728FDF" w14:textId="77777777" w:rsidR="00C22437" w:rsidRDefault="00C22437" w:rsidP="00BE5D44">
            <w:pPr>
              <w:jc w:val="both"/>
              <w:rPr>
                <w:rFonts w:ascii="Arial" w:hAnsi="Arial" w:cs="Arial"/>
                <w:sz w:val="20"/>
                <w:szCs w:val="20"/>
              </w:rPr>
            </w:pPr>
          </w:p>
          <w:p w14:paraId="48FD654D" w14:textId="77777777" w:rsidR="00751F87" w:rsidRDefault="00751F87" w:rsidP="00BE5D44">
            <w:pPr>
              <w:jc w:val="both"/>
              <w:rPr>
                <w:rFonts w:ascii="Arial" w:hAnsi="Arial" w:cs="Arial"/>
                <w:sz w:val="20"/>
                <w:szCs w:val="20"/>
              </w:rPr>
            </w:pPr>
          </w:p>
          <w:p w14:paraId="3733C218" w14:textId="77065525" w:rsidR="00751F87" w:rsidRPr="00322575" w:rsidRDefault="00751F87" w:rsidP="00BE5D44">
            <w:pPr>
              <w:jc w:val="both"/>
              <w:rPr>
                <w:rFonts w:ascii="Arial" w:hAnsi="Arial" w:cs="Arial"/>
                <w:sz w:val="20"/>
                <w:szCs w:val="20"/>
              </w:rPr>
            </w:pPr>
          </w:p>
        </w:tc>
        <w:tc>
          <w:tcPr>
            <w:tcW w:w="1550" w:type="dxa"/>
            <w:shd w:val="clear" w:color="auto" w:fill="F2F2F2" w:themeFill="background1" w:themeFillShade="F2"/>
          </w:tcPr>
          <w:p w14:paraId="622F0423" w14:textId="77777777" w:rsidR="00C22437" w:rsidRDefault="00C22437" w:rsidP="00BE5D44">
            <w:pPr>
              <w:jc w:val="both"/>
              <w:rPr>
                <w:rFonts w:ascii="Arial" w:hAnsi="Arial" w:cs="Arial"/>
                <w:sz w:val="20"/>
                <w:szCs w:val="20"/>
              </w:rPr>
            </w:pPr>
          </w:p>
          <w:p w14:paraId="6CAF4C63" w14:textId="77777777" w:rsidR="008A7DD9" w:rsidRDefault="008A7DD9" w:rsidP="00BE5D44">
            <w:pPr>
              <w:jc w:val="both"/>
              <w:rPr>
                <w:rFonts w:ascii="Arial" w:hAnsi="Arial" w:cs="Arial"/>
                <w:sz w:val="20"/>
                <w:szCs w:val="20"/>
              </w:rPr>
            </w:pPr>
          </w:p>
          <w:p w14:paraId="73B6D0F9" w14:textId="77777777" w:rsidR="008A7DD9" w:rsidRDefault="008A7DD9" w:rsidP="00BE5D44">
            <w:pPr>
              <w:jc w:val="both"/>
              <w:rPr>
                <w:rFonts w:ascii="Arial" w:hAnsi="Arial" w:cs="Arial"/>
                <w:sz w:val="20"/>
                <w:szCs w:val="20"/>
              </w:rPr>
            </w:pPr>
            <w:r>
              <w:rPr>
                <w:rFonts w:ascii="Arial" w:hAnsi="Arial" w:cs="Arial"/>
                <w:sz w:val="20"/>
                <w:szCs w:val="20"/>
              </w:rPr>
              <w:t>14 (37.8)</w:t>
            </w:r>
          </w:p>
          <w:p w14:paraId="5F4F9F53" w14:textId="77777777" w:rsidR="008A7DD9" w:rsidRDefault="008A7DD9" w:rsidP="00BE5D44">
            <w:pPr>
              <w:jc w:val="both"/>
              <w:rPr>
                <w:rFonts w:ascii="Arial" w:hAnsi="Arial" w:cs="Arial"/>
                <w:sz w:val="20"/>
                <w:szCs w:val="20"/>
              </w:rPr>
            </w:pPr>
            <w:r>
              <w:rPr>
                <w:rFonts w:ascii="Arial" w:hAnsi="Arial" w:cs="Arial"/>
                <w:sz w:val="20"/>
                <w:szCs w:val="20"/>
              </w:rPr>
              <w:t>6 (16.2)</w:t>
            </w:r>
          </w:p>
          <w:p w14:paraId="3D10B82F" w14:textId="77777777" w:rsidR="008A7DD9" w:rsidRDefault="008A7DD9" w:rsidP="00BE5D44">
            <w:pPr>
              <w:jc w:val="both"/>
              <w:rPr>
                <w:rFonts w:ascii="Arial" w:hAnsi="Arial" w:cs="Arial"/>
                <w:sz w:val="20"/>
                <w:szCs w:val="20"/>
              </w:rPr>
            </w:pPr>
            <w:r>
              <w:rPr>
                <w:rFonts w:ascii="Arial" w:hAnsi="Arial" w:cs="Arial"/>
                <w:sz w:val="20"/>
                <w:szCs w:val="20"/>
              </w:rPr>
              <w:t>8 (21.6)</w:t>
            </w:r>
          </w:p>
          <w:p w14:paraId="57A9F001" w14:textId="49123C99" w:rsidR="008A7DD9" w:rsidRPr="00322575" w:rsidRDefault="008A7DD9" w:rsidP="00BE5D44">
            <w:pPr>
              <w:jc w:val="both"/>
              <w:rPr>
                <w:rFonts w:ascii="Arial" w:hAnsi="Arial" w:cs="Arial"/>
                <w:sz w:val="20"/>
                <w:szCs w:val="20"/>
              </w:rPr>
            </w:pPr>
            <w:r>
              <w:rPr>
                <w:rFonts w:ascii="Arial" w:hAnsi="Arial" w:cs="Arial"/>
                <w:sz w:val="20"/>
                <w:szCs w:val="20"/>
              </w:rPr>
              <w:t>9 (24.3)</w:t>
            </w:r>
          </w:p>
        </w:tc>
        <w:tc>
          <w:tcPr>
            <w:tcW w:w="1550" w:type="dxa"/>
            <w:shd w:val="clear" w:color="auto" w:fill="F2F2F2" w:themeFill="background1" w:themeFillShade="F2"/>
          </w:tcPr>
          <w:p w14:paraId="1CBF98AC" w14:textId="77777777" w:rsidR="00C22437" w:rsidRDefault="00C22437" w:rsidP="00BE5D44">
            <w:pPr>
              <w:jc w:val="both"/>
              <w:rPr>
                <w:rFonts w:ascii="Arial" w:hAnsi="Arial" w:cs="Arial"/>
                <w:sz w:val="20"/>
                <w:szCs w:val="20"/>
              </w:rPr>
            </w:pPr>
          </w:p>
          <w:p w14:paraId="1B749FCB" w14:textId="77777777" w:rsidR="00AC3494" w:rsidRDefault="00AC3494" w:rsidP="00BE5D44">
            <w:pPr>
              <w:jc w:val="both"/>
              <w:rPr>
                <w:rFonts w:ascii="Arial" w:hAnsi="Arial" w:cs="Arial"/>
                <w:sz w:val="20"/>
                <w:szCs w:val="20"/>
              </w:rPr>
            </w:pPr>
          </w:p>
          <w:p w14:paraId="798AD7CB" w14:textId="545F71F7" w:rsidR="00AC3494" w:rsidRDefault="00AC3494" w:rsidP="00BE5D44">
            <w:pPr>
              <w:jc w:val="both"/>
              <w:rPr>
                <w:rFonts w:ascii="Arial" w:hAnsi="Arial" w:cs="Arial"/>
                <w:sz w:val="20"/>
                <w:szCs w:val="20"/>
              </w:rPr>
            </w:pPr>
            <w:r>
              <w:rPr>
                <w:rFonts w:ascii="Arial" w:hAnsi="Arial" w:cs="Arial"/>
                <w:sz w:val="20"/>
                <w:szCs w:val="20"/>
              </w:rPr>
              <w:t>75 (50.7)</w:t>
            </w:r>
          </w:p>
          <w:p w14:paraId="6975DD2C" w14:textId="77777777" w:rsidR="00AC3494" w:rsidRDefault="00AC3494" w:rsidP="00BE5D44">
            <w:pPr>
              <w:jc w:val="both"/>
              <w:rPr>
                <w:rFonts w:ascii="Arial" w:hAnsi="Arial" w:cs="Arial"/>
                <w:sz w:val="20"/>
                <w:szCs w:val="20"/>
              </w:rPr>
            </w:pPr>
            <w:r>
              <w:rPr>
                <w:rFonts w:ascii="Arial" w:hAnsi="Arial" w:cs="Arial"/>
                <w:sz w:val="20"/>
                <w:szCs w:val="20"/>
              </w:rPr>
              <w:t>34 (23.0)</w:t>
            </w:r>
          </w:p>
          <w:p w14:paraId="6D7E15C1" w14:textId="77777777" w:rsidR="00AC3494" w:rsidRDefault="00AC3494" w:rsidP="00BE5D44">
            <w:pPr>
              <w:jc w:val="both"/>
              <w:rPr>
                <w:rFonts w:ascii="Arial" w:hAnsi="Arial" w:cs="Arial"/>
                <w:sz w:val="20"/>
                <w:szCs w:val="20"/>
              </w:rPr>
            </w:pPr>
            <w:r>
              <w:rPr>
                <w:rFonts w:ascii="Arial" w:hAnsi="Arial" w:cs="Arial"/>
                <w:sz w:val="20"/>
                <w:szCs w:val="20"/>
              </w:rPr>
              <w:t>18 (12.2)</w:t>
            </w:r>
          </w:p>
          <w:p w14:paraId="2D6935AC" w14:textId="4A475DFB" w:rsidR="00AC3494" w:rsidRPr="00322575" w:rsidRDefault="00AC3494" w:rsidP="00BE5D44">
            <w:pPr>
              <w:jc w:val="both"/>
              <w:rPr>
                <w:rFonts w:ascii="Arial" w:hAnsi="Arial" w:cs="Arial"/>
                <w:sz w:val="20"/>
                <w:szCs w:val="20"/>
              </w:rPr>
            </w:pPr>
            <w:r>
              <w:rPr>
                <w:rFonts w:ascii="Arial" w:hAnsi="Arial" w:cs="Arial"/>
                <w:sz w:val="20"/>
                <w:szCs w:val="20"/>
              </w:rPr>
              <w:t>21 (</w:t>
            </w:r>
            <w:r w:rsidR="00A335D5">
              <w:rPr>
                <w:rFonts w:ascii="Arial" w:hAnsi="Arial" w:cs="Arial"/>
                <w:sz w:val="20"/>
                <w:szCs w:val="20"/>
              </w:rPr>
              <w:t>1</w:t>
            </w:r>
            <w:r>
              <w:rPr>
                <w:rFonts w:ascii="Arial" w:hAnsi="Arial" w:cs="Arial"/>
                <w:sz w:val="20"/>
                <w:szCs w:val="20"/>
              </w:rPr>
              <w:t>4.1)</w:t>
            </w:r>
          </w:p>
        </w:tc>
        <w:tc>
          <w:tcPr>
            <w:tcW w:w="1550" w:type="dxa"/>
            <w:shd w:val="clear" w:color="auto" w:fill="F2F2F2" w:themeFill="background1" w:themeFillShade="F2"/>
          </w:tcPr>
          <w:p w14:paraId="2EF11DB1" w14:textId="77777777" w:rsidR="00C22437" w:rsidRDefault="00C22437" w:rsidP="00BE5D44">
            <w:pPr>
              <w:jc w:val="both"/>
              <w:rPr>
                <w:rFonts w:ascii="Arial" w:hAnsi="Arial" w:cs="Arial"/>
                <w:sz w:val="20"/>
                <w:szCs w:val="20"/>
              </w:rPr>
            </w:pPr>
          </w:p>
          <w:p w14:paraId="4ED4F8B8" w14:textId="77777777" w:rsidR="00687045" w:rsidRDefault="00687045" w:rsidP="00BE5D44">
            <w:pPr>
              <w:jc w:val="both"/>
              <w:rPr>
                <w:rFonts w:ascii="Arial" w:hAnsi="Arial" w:cs="Arial"/>
                <w:sz w:val="20"/>
                <w:szCs w:val="20"/>
              </w:rPr>
            </w:pPr>
          </w:p>
          <w:p w14:paraId="06ADB909" w14:textId="24A7EDC9" w:rsidR="00687045" w:rsidRDefault="00687045" w:rsidP="00BE5D44">
            <w:pPr>
              <w:jc w:val="both"/>
              <w:rPr>
                <w:rFonts w:ascii="Arial" w:hAnsi="Arial" w:cs="Arial"/>
                <w:sz w:val="20"/>
                <w:szCs w:val="20"/>
              </w:rPr>
            </w:pPr>
            <w:r>
              <w:rPr>
                <w:rFonts w:ascii="Arial" w:hAnsi="Arial" w:cs="Arial"/>
                <w:sz w:val="20"/>
                <w:szCs w:val="20"/>
              </w:rPr>
              <w:t>2 (</w:t>
            </w:r>
            <w:r w:rsidR="008578EC">
              <w:rPr>
                <w:rFonts w:ascii="Arial" w:hAnsi="Arial" w:cs="Arial"/>
                <w:sz w:val="20"/>
                <w:szCs w:val="20"/>
              </w:rPr>
              <w:t>20</w:t>
            </w:r>
            <w:r w:rsidR="00347CDB">
              <w:rPr>
                <w:rFonts w:ascii="Arial" w:hAnsi="Arial" w:cs="Arial"/>
                <w:sz w:val="20"/>
                <w:szCs w:val="20"/>
              </w:rPr>
              <w:t>.0</w:t>
            </w:r>
            <w:r>
              <w:rPr>
                <w:rFonts w:ascii="Arial" w:hAnsi="Arial" w:cs="Arial"/>
                <w:sz w:val="20"/>
                <w:szCs w:val="20"/>
              </w:rPr>
              <w:t>)</w:t>
            </w:r>
          </w:p>
          <w:p w14:paraId="389268EE" w14:textId="4BD3F190" w:rsidR="00687045" w:rsidRDefault="00687045" w:rsidP="00BE5D44">
            <w:pPr>
              <w:jc w:val="both"/>
              <w:rPr>
                <w:rFonts w:ascii="Arial" w:hAnsi="Arial" w:cs="Arial"/>
                <w:sz w:val="20"/>
                <w:szCs w:val="20"/>
              </w:rPr>
            </w:pPr>
            <w:r>
              <w:rPr>
                <w:rFonts w:ascii="Arial" w:hAnsi="Arial" w:cs="Arial"/>
                <w:sz w:val="20"/>
                <w:szCs w:val="20"/>
              </w:rPr>
              <w:t>4 (</w:t>
            </w:r>
            <w:r w:rsidR="00347CDB">
              <w:rPr>
                <w:rFonts w:ascii="Arial" w:hAnsi="Arial" w:cs="Arial"/>
                <w:sz w:val="20"/>
                <w:szCs w:val="20"/>
              </w:rPr>
              <w:t>40.0</w:t>
            </w:r>
            <w:r>
              <w:rPr>
                <w:rFonts w:ascii="Arial" w:hAnsi="Arial" w:cs="Arial"/>
                <w:sz w:val="20"/>
                <w:szCs w:val="20"/>
              </w:rPr>
              <w:t>)</w:t>
            </w:r>
          </w:p>
          <w:p w14:paraId="3DB9568A" w14:textId="10D2F3C6" w:rsidR="00687045" w:rsidRDefault="00687045" w:rsidP="00BE5D44">
            <w:pPr>
              <w:jc w:val="both"/>
              <w:rPr>
                <w:rFonts w:ascii="Arial" w:hAnsi="Arial" w:cs="Arial"/>
                <w:sz w:val="20"/>
                <w:szCs w:val="20"/>
              </w:rPr>
            </w:pPr>
            <w:r>
              <w:rPr>
                <w:rFonts w:ascii="Arial" w:hAnsi="Arial" w:cs="Arial"/>
                <w:sz w:val="20"/>
                <w:szCs w:val="20"/>
              </w:rPr>
              <w:t>3 (</w:t>
            </w:r>
            <w:r w:rsidR="00347CDB">
              <w:rPr>
                <w:rFonts w:ascii="Arial" w:hAnsi="Arial" w:cs="Arial"/>
                <w:sz w:val="20"/>
                <w:szCs w:val="20"/>
              </w:rPr>
              <w:t>30.0</w:t>
            </w:r>
            <w:r>
              <w:rPr>
                <w:rFonts w:ascii="Arial" w:hAnsi="Arial" w:cs="Arial"/>
                <w:sz w:val="20"/>
                <w:szCs w:val="20"/>
              </w:rPr>
              <w:t>)</w:t>
            </w:r>
          </w:p>
          <w:p w14:paraId="383CE31F" w14:textId="56E7A70F" w:rsidR="00687045" w:rsidRPr="00322575" w:rsidRDefault="00687045" w:rsidP="00BE5D44">
            <w:pPr>
              <w:jc w:val="both"/>
              <w:rPr>
                <w:rFonts w:ascii="Arial" w:hAnsi="Arial" w:cs="Arial"/>
                <w:sz w:val="20"/>
                <w:szCs w:val="20"/>
              </w:rPr>
            </w:pPr>
            <w:r>
              <w:rPr>
                <w:rFonts w:ascii="Arial" w:hAnsi="Arial" w:cs="Arial"/>
                <w:sz w:val="20"/>
                <w:szCs w:val="20"/>
              </w:rPr>
              <w:t>1 (</w:t>
            </w:r>
            <w:r w:rsidR="00347CDB">
              <w:rPr>
                <w:rFonts w:ascii="Arial" w:hAnsi="Arial" w:cs="Arial"/>
                <w:sz w:val="20"/>
                <w:szCs w:val="20"/>
              </w:rPr>
              <w:t>10.0)</w:t>
            </w:r>
          </w:p>
        </w:tc>
        <w:tc>
          <w:tcPr>
            <w:tcW w:w="1550" w:type="dxa"/>
            <w:shd w:val="clear" w:color="auto" w:fill="F2F2F2" w:themeFill="background1" w:themeFillShade="F2"/>
          </w:tcPr>
          <w:p w14:paraId="12E1FBB9" w14:textId="77777777" w:rsidR="00C22437" w:rsidRPr="00322575" w:rsidRDefault="00C22437" w:rsidP="00BE5D44">
            <w:pPr>
              <w:jc w:val="both"/>
              <w:rPr>
                <w:rFonts w:ascii="Arial" w:hAnsi="Arial" w:cs="Arial"/>
                <w:sz w:val="20"/>
                <w:szCs w:val="20"/>
              </w:rPr>
            </w:pPr>
          </w:p>
        </w:tc>
      </w:tr>
      <w:tr w:rsidR="00C22437" w:rsidRPr="00281EF3" w14:paraId="6C25E4C2" w14:textId="77777777" w:rsidTr="00421DA9">
        <w:tc>
          <w:tcPr>
            <w:tcW w:w="14100" w:type="dxa"/>
            <w:gridSpan w:val="9"/>
            <w:shd w:val="clear" w:color="auto" w:fill="A6A6A6" w:themeFill="background1" w:themeFillShade="A6"/>
          </w:tcPr>
          <w:p w14:paraId="0FF604E1" w14:textId="332C23AD" w:rsidR="00C22437" w:rsidRPr="00281EF3" w:rsidRDefault="00C22437" w:rsidP="002C74AB">
            <w:pPr>
              <w:rPr>
                <w:rFonts w:ascii="Arial" w:hAnsi="Arial" w:cs="Arial"/>
                <w:b/>
                <w:sz w:val="20"/>
                <w:szCs w:val="20"/>
              </w:rPr>
            </w:pPr>
            <w:r>
              <w:rPr>
                <w:rFonts w:ascii="Arial" w:hAnsi="Arial" w:cs="Arial"/>
                <w:b/>
                <w:sz w:val="20"/>
                <w:szCs w:val="20"/>
              </w:rPr>
              <w:t>Mean (SD), [Range]</w:t>
            </w:r>
          </w:p>
        </w:tc>
      </w:tr>
      <w:tr w:rsidR="00281EF3" w:rsidRPr="00281EF3" w14:paraId="598CC7D9" w14:textId="77777777" w:rsidTr="008A7DD9">
        <w:tc>
          <w:tcPr>
            <w:tcW w:w="1701" w:type="dxa"/>
          </w:tcPr>
          <w:p w14:paraId="04C5C916" w14:textId="47A977D6" w:rsidR="00281EF3" w:rsidRPr="00281EF3" w:rsidRDefault="00C22437" w:rsidP="002C74AB">
            <w:pPr>
              <w:rPr>
                <w:rFonts w:ascii="Arial" w:hAnsi="Arial" w:cs="Arial"/>
                <w:b/>
                <w:sz w:val="20"/>
                <w:szCs w:val="20"/>
              </w:rPr>
            </w:pPr>
            <w:r>
              <w:rPr>
                <w:rFonts w:ascii="Arial" w:hAnsi="Arial" w:cs="Arial"/>
                <w:b/>
                <w:sz w:val="20"/>
                <w:szCs w:val="20"/>
              </w:rPr>
              <w:t>Age</w:t>
            </w:r>
          </w:p>
        </w:tc>
        <w:tc>
          <w:tcPr>
            <w:tcW w:w="1549" w:type="dxa"/>
          </w:tcPr>
          <w:p w14:paraId="5F2338E1" w14:textId="77777777" w:rsidR="00940ACD" w:rsidRDefault="00940ACD" w:rsidP="00BE5D44">
            <w:pPr>
              <w:jc w:val="both"/>
              <w:rPr>
                <w:rFonts w:ascii="Arial" w:hAnsi="Arial" w:cs="Arial"/>
                <w:sz w:val="20"/>
                <w:szCs w:val="20"/>
              </w:rPr>
            </w:pPr>
            <w:r>
              <w:rPr>
                <w:rFonts w:ascii="Arial" w:hAnsi="Arial" w:cs="Arial"/>
                <w:sz w:val="20"/>
                <w:szCs w:val="20"/>
              </w:rPr>
              <w:t xml:space="preserve">70 (+/-10), </w:t>
            </w:r>
          </w:p>
          <w:p w14:paraId="32C005F8" w14:textId="0D8FC272" w:rsidR="00281EF3" w:rsidRPr="00AE448A" w:rsidRDefault="00940ACD" w:rsidP="00BE5D44">
            <w:pPr>
              <w:jc w:val="both"/>
              <w:rPr>
                <w:rFonts w:ascii="Arial" w:hAnsi="Arial" w:cs="Arial"/>
                <w:sz w:val="20"/>
                <w:szCs w:val="20"/>
              </w:rPr>
            </w:pPr>
            <w:r>
              <w:rPr>
                <w:rFonts w:ascii="Arial" w:hAnsi="Arial" w:cs="Arial"/>
                <w:sz w:val="20"/>
                <w:szCs w:val="20"/>
              </w:rPr>
              <w:t>[45-88]</w:t>
            </w:r>
          </w:p>
        </w:tc>
        <w:tc>
          <w:tcPr>
            <w:tcW w:w="1550" w:type="dxa"/>
          </w:tcPr>
          <w:p w14:paraId="7D7AF0CB" w14:textId="77777777" w:rsidR="00281EF3" w:rsidRDefault="00940ACD" w:rsidP="00BE5D44">
            <w:pPr>
              <w:jc w:val="both"/>
              <w:rPr>
                <w:rFonts w:ascii="Arial" w:hAnsi="Arial" w:cs="Arial"/>
                <w:sz w:val="20"/>
                <w:szCs w:val="20"/>
              </w:rPr>
            </w:pPr>
            <w:r>
              <w:rPr>
                <w:rFonts w:ascii="Arial" w:hAnsi="Arial" w:cs="Arial"/>
                <w:sz w:val="20"/>
                <w:szCs w:val="20"/>
              </w:rPr>
              <w:t xml:space="preserve">61 (+/-13), </w:t>
            </w:r>
          </w:p>
          <w:p w14:paraId="0BB1BEAF" w14:textId="49DFB5C6" w:rsidR="00940ACD" w:rsidRPr="00AE448A" w:rsidRDefault="00940ACD" w:rsidP="00BE5D44">
            <w:pPr>
              <w:jc w:val="both"/>
              <w:rPr>
                <w:rFonts w:ascii="Arial" w:hAnsi="Arial" w:cs="Arial"/>
                <w:sz w:val="20"/>
                <w:szCs w:val="20"/>
              </w:rPr>
            </w:pPr>
            <w:r>
              <w:rPr>
                <w:rFonts w:ascii="Arial" w:hAnsi="Arial" w:cs="Arial"/>
                <w:sz w:val="20"/>
                <w:szCs w:val="20"/>
              </w:rPr>
              <w:t>[23-89]</w:t>
            </w:r>
          </w:p>
        </w:tc>
        <w:tc>
          <w:tcPr>
            <w:tcW w:w="1550" w:type="dxa"/>
          </w:tcPr>
          <w:p w14:paraId="10E4267A" w14:textId="77777777" w:rsidR="00281EF3" w:rsidRDefault="00FF6CD9" w:rsidP="00BE5D44">
            <w:pPr>
              <w:jc w:val="both"/>
              <w:rPr>
                <w:rFonts w:ascii="Arial" w:hAnsi="Arial" w:cs="Arial"/>
                <w:sz w:val="20"/>
                <w:szCs w:val="20"/>
              </w:rPr>
            </w:pPr>
            <w:r>
              <w:rPr>
                <w:rFonts w:ascii="Arial" w:hAnsi="Arial" w:cs="Arial"/>
                <w:sz w:val="20"/>
                <w:szCs w:val="20"/>
              </w:rPr>
              <w:t>64 (+/-14),</w:t>
            </w:r>
          </w:p>
          <w:p w14:paraId="3CECECE8" w14:textId="27FCBB24" w:rsidR="00FF6CD9" w:rsidRPr="00AE448A" w:rsidRDefault="00FF6CD9" w:rsidP="00BE5D44">
            <w:pPr>
              <w:jc w:val="both"/>
              <w:rPr>
                <w:rFonts w:ascii="Arial" w:hAnsi="Arial" w:cs="Arial"/>
                <w:sz w:val="20"/>
                <w:szCs w:val="20"/>
              </w:rPr>
            </w:pPr>
            <w:r>
              <w:rPr>
                <w:rFonts w:ascii="Arial" w:hAnsi="Arial" w:cs="Arial"/>
                <w:sz w:val="20"/>
                <w:szCs w:val="20"/>
              </w:rPr>
              <w:t>[22-95]</w:t>
            </w:r>
          </w:p>
        </w:tc>
        <w:tc>
          <w:tcPr>
            <w:tcW w:w="1550" w:type="dxa"/>
          </w:tcPr>
          <w:p w14:paraId="4C3CE9E8" w14:textId="77777777" w:rsidR="00940ACD" w:rsidRDefault="00AE448A" w:rsidP="00BE5D44">
            <w:pPr>
              <w:jc w:val="both"/>
              <w:rPr>
                <w:rFonts w:ascii="Arial" w:hAnsi="Arial" w:cs="Arial"/>
                <w:sz w:val="20"/>
                <w:szCs w:val="20"/>
              </w:rPr>
            </w:pPr>
            <w:r w:rsidRPr="00AE448A">
              <w:rPr>
                <w:rFonts w:ascii="Arial" w:hAnsi="Arial" w:cs="Arial"/>
                <w:sz w:val="20"/>
                <w:szCs w:val="20"/>
              </w:rPr>
              <w:t xml:space="preserve">72 (+/-6), </w:t>
            </w:r>
          </w:p>
          <w:p w14:paraId="684955FF" w14:textId="6C7B2B66" w:rsidR="00281EF3" w:rsidRPr="00AE448A" w:rsidRDefault="00AE448A" w:rsidP="00BE5D44">
            <w:pPr>
              <w:jc w:val="both"/>
              <w:rPr>
                <w:rFonts w:ascii="Arial" w:hAnsi="Arial" w:cs="Arial"/>
                <w:sz w:val="20"/>
                <w:szCs w:val="20"/>
              </w:rPr>
            </w:pPr>
            <w:r w:rsidRPr="00AE448A">
              <w:rPr>
                <w:rFonts w:ascii="Arial" w:hAnsi="Arial" w:cs="Arial"/>
                <w:sz w:val="20"/>
                <w:szCs w:val="20"/>
              </w:rPr>
              <w:t>[65-90]</w:t>
            </w:r>
          </w:p>
        </w:tc>
        <w:tc>
          <w:tcPr>
            <w:tcW w:w="1550" w:type="dxa"/>
            <w:shd w:val="clear" w:color="auto" w:fill="F2F2F2" w:themeFill="background1" w:themeFillShade="F2"/>
          </w:tcPr>
          <w:p w14:paraId="6435B27D" w14:textId="77777777" w:rsidR="00281EF3" w:rsidRPr="00522C30" w:rsidRDefault="00522C30" w:rsidP="00BE5D44">
            <w:pPr>
              <w:jc w:val="both"/>
              <w:rPr>
                <w:rFonts w:ascii="Arial" w:hAnsi="Arial" w:cs="Arial"/>
                <w:sz w:val="20"/>
                <w:szCs w:val="20"/>
              </w:rPr>
            </w:pPr>
            <w:r w:rsidRPr="00522C30">
              <w:rPr>
                <w:rFonts w:ascii="Arial" w:hAnsi="Arial" w:cs="Arial"/>
                <w:sz w:val="20"/>
                <w:szCs w:val="20"/>
              </w:rPr>
              <w:t>72 (+/-10),</w:t>
            </w:r>
          </w:p>
          <w:p w14:paraId="6075100B" w14:textId="7029F844" w:rsidR="00522C30" w:rsidRPr="00522C30" w:rsidRDefault="00522C30" w:rsidP="00BE5D44">
            <w:pPr>
              <w:jc w:val="both"/>
              <w:rPr>
                <w:rFonts w:ascii="Arial" w:hAnsi="Arial" w:cs="Arial"/>
                <w:sz w:val="20"/>
                <w:szCs w:val="20"/>
              </w:rPr>
            </w:pPr>
            <w:r w:rsidRPr="00522C30">
              <w:rPr>
                <w:rFonts w:ascii="Arial" w:hAnsi="Arial" w:cs="Arial"/>
                <w:sz w:val="20"/>
                <w:szCs w:val="20"/>
              </w:rPr>
              <w:t>[50-88]</w:t>
            </w:r>
          </w:p>
        </w:tc>
        <w:tc>
          <w:tcPr>
            <w:tcW w:w="1550" w:type="dxa"/>
            <w:shd w:val="clear" w:color="auto" w:fill="F2F2F2" w:themeFill="background1" w:themeFillShade="F2"/>
          </w:tcPr>
          <w:p w14:paraId="373F4080" w14:textId="77777777" w:rsidR="00281EF3" w:rsidRDefault="00522C30" w:rsidP="00BE5D44">
            <w:pPr>
              <w:jc w:val="both"/>
              <w:rPr>
                <w:rFonts w:ascii="Arial" w:hAnsi="Arial" w:cs="Arial"/>
                <w:sz w:val="20"/>
                <w:szCs w:val="20"/>
              </w:rPr>
            </w:pPr>
            <w:r>
              <w:rPr>
                <w:rFonts w:ascii="Arial" w:hAnsi="Arial" w:cs="Arial"/>
                <w:sz w:val="20"/>
                <w:szCs w:val="20"/>
              </w:rPr>
              <w:t>62 (+/-13),</w:t>
            </w:r>
          </w:p>
          <w:p w14:paraId="05F5723B" w14:textId="493FAECB" w:rsidR="00522C30" w:rsidRPr="00522C30" w:rsidRDefault="00522C30" w:rsidP="00BE5D44">
            <w:pPr>
              <w:jc w:val="both"/>
              <w:rPr>
                <w:rFonts w:ascii="Arial" w:hAnsi="Arial" w:cs="Arial"/>
                <w:sz w:val="20"/>
                <w:szCs w:val="20"/>
              </w:rPr>
            </w:pPr>
            <w:r>
              <w:rPr>
                <w:rFonts w:ascii="Arial" w:hAnsi="Arial" w:cs="Arial"/>
                <w:sz w:val="20"/>
                <w:szCs w:val="20"/>
              </w:rPr>
              <w:t>[23-89]</w:t>
            </w:r>
          </w:p>
        </w:tc>
        <w:tc>
          <w:tcPr>
            <w:tcW w:w="1550" w:type="dxa"/>
            <w:shd w:val="clear" w:color="auto" w:fill="F2F2F2" w:themeFill="background1" w:themeFillShade="F2"/>
          </w:tcPr>
          <w:p w14:paraId="32B0A1C8" w14:textId="77777777" w:rsidR="00281EF3" w:rsidRDefault="00BF1EA7" w:rsidP="00BE5D44">
            <w:pPr>
              <w:jc w:val="both"/>
              <w:rPr>
                <w:rFonts w:ascii="Arial" w:hAnsi="Arial" w:cs="Arial"/>
                <w:sz w:val="20"/>
                <w:szCs w:val="20"/>
              </w:rPr>
            </w:pPr>
            <w:r>
              <w:rPr>
                <w:rFonts w:ascii="Arial" w:hAnsi="Arial" w:cs="Arial"/>
                <w:sz w:val="20"/>
                <w:szCs w:val="20"/>
              </w:rPr>
              <w:t>65 (+/-13),</w:t>
            </w:r>
          </w:p>
          <w:p w14:paraId="342BFB0E" w14:textId="3557C72B" w:rsidR="00BF1EA7" w:rsidRPr="00522C30" w:rsidRDefault="00BF1EA7" w:rsidP="00BE5D44">
            <w:pPr>
              <w:jc w:val="both"/>
              <w:rPr>
                <w:rFonts w:ascii="Arial" w:hAnsi="Arial" w:cs="Arial"/>
                <w:sz w:val="20"/>
                <w:szCs w:val="20"/>
              </w:rPr>
            </w:pPr>
            <w:r>
              <w:rPr>
                <w:rFonts w:ascii="Arial" w:hAnsi="Arial" w:cs="Arial"/>
                <w:sz w:val="20"/>
                <w:szCs w:val="20"/>
              </w:rPr>
              <w:t>[22-95]</w:t>
            </w:r>
          </w:p>
        </w:tc>
        <w:tc>
          <w:tcPr>
            <w:tcW w:w="1550" w:type="dxa"/>
            <w:shd w:val="clear" w:color="auto" w:fill="F2F2F2" w:themeFill="background1" w:themeFillShade="F2"/>
          </w:tcPr>
          <w:p w14:paraId="637A884C" w14:textId="77777777" w:rsidR="00281EF3" w:rsidRDefault="00AE66A5" w:rsidP="00BE5D44">
            <w:pPr>
              <w:jc w:val="both"/>
              <w:rPr>
                <w:rFonts w:ascii="Arial" w:hAnsi="Arial" w:cs="Arial"/>
                <w:sz w:val="20"/>
                <w:szCs w:val="20"/>
              </w:rPr>
            </w:pPr>
            <w:r>
              <w:rPr>
                <w:rFonts w:ascii="Arial" w:hAnsi="Arial" w:cs="Arial"/>
                <w:sz w:val="20"/>
                <w:szCs w:val="20"/>
              </w:rPr>
              <w:t>73 (+/-6),</w:t>
            </w:r>
          </w:p>
          <w:p w14:paraId="164B15B7" w14:textId="6FCD3177" w:rsidR="00AE66A5" w:rsidRPr="00522C30" w:rsidRDefault="00AE66A5" w:rsidP="00BE5D44">
            <w:pPr>
              <w:jc w:val="both"/>
              <w:rPr>
                <w:rFonts w:ascii="Arial" w:hAnsi="Arial" w:cs="Arial"/>
                <w:sz w:val="20"/>
                <w:szCs w:val="20"/>
              </w:rPr>
            </w:pPr>
            <w:r>
              <w:rPr>
                <w:rFonts w:ascii="Arial" w:hAnsi="Arial" w:cs="Arial"/>
                <w:sz w:val="20"/>
                <w:szCs w:val="20"/>
              </w:rPr>
              <w:t>[65-90]</w:t>
            </w:r>
          </w:p>
        </w:tc>
      </w:tr>
      <w:tr w:rsidR="00C22437" w:rsidRPr="00281EF3" w14:paraId="37D78EEB" w14:textId="77777777" w:rsidTr="008A7DD9">
        <w:tc>
          <w:tcPr>
            <w:tcW w:w="1701" w:type="dxa"/>
          </w:tcPr>
          <w:p w14:paraId="771B2A2B" w14:textId="197C502E" w:rsidR="00C22437" w:rsidRDefault="00C22437" w:rsidP="002C74AB">
            <w:pPr>
              <w:rPr>
                <w:rFonts w:ascii="Arial" w:hAnsi="Arial" w:cs="Arial"/>
                <w:b/>
                <w:sz w:val="20"/>
                <w:szCs w:val="20"/>
              </w:rPr>
            </w:pPr>
            <w:r>
              <w:rPr>
                <w:rFonts w:ascii="Arial" w:hAnsi="Arial" w:cs="Arial"/>
                <w:b/>
                <w:sz w:val="20"/>
                <w:szCs w:val="20"/>
              </w:rPr>
              <w:t>Years of education</w:t>
            </w:r>
          </w:p>
        </w:tc>
        <w:tc>
          <w:tcPr>
            <w:tcW w:w="1549" w:type="dxa"/>
          </w:tcPr>
          <w:p w14:paraId="6465F4E0" w14:textId="77777777" w:rsidR="00940ACD" w:rsidRDefault="00940ACD" w:rsidP="00BE5D44">
            <w:pPr>
              <w:jc w:val="both"/>
              <w:rPr>
                <w:rFonts w:ascii="Arial" w:hAnsi="Arial" w:cs="Arial"/>
                <w:sz w:val="20"/>
                <w:szCs w:val="20"/>
              </w:rPr>
            </w:pPr>
            <w:r>
              <w:rPr>
                <w:rFonts w:ascii="Arial" w:hAnsi="Arial" w:cs="Arial"/>
                <w:sz w:val="20"/>
                <w:szCs w:val="20"/>
              </w:rPr>
              <w:t xml:space="preserve">15 (+/-4), </w:t>
            </w:r>
          </w:p>
          <w:p w14:paraId="682DB64B" w14:textId="654A09C7" w:rsidR="00C22437" w:rsidRPr="00AE448A" w:rsidRDefault="00940ACD" w:rsidP="00BE5D44">
            <w:pPr>
              <w:jc w:val="both"/>
              <w:rPr>
                <w:rFonts w:ascii="Arial" w:hAnsi="Arial" w:cs="Arial"/>
                <w:sz w:val="20"/>
                <w:szCs w:val="20"/>
              </w:rPr>
            </w:pPr>
            <w:r>
              <w:rPr>
                <w:rFonts w:ascii="Arial" w:hAnsi="Arial" w:cs="Arial"/>
                <w:sz w:val="20"/>
                <w:szCs w:val="20"/>
              </w:rPr>
              <w:t>[4-25]</w:t>
            </w:r>
          </w:p>
        </w:tc>
        <w:tc>
          <w:tcPr>
            <w:tcW w:w="1550" w:type="dxa"/>
          </w:tcPr>
          <w:p w14:paraId="25AFF219" w14:textId="77777777" w:rsidR="00C22437" w:rsidRDefault="00940ACD" w:rsidP="00BE5D44">
            <w:pPr>
              <w:jc w:val="both"/>
              <w:rPr>
                <w:rFonts w:ascii="Arial" w:hAnsi="Arial" w:cs="Arial"/>
                <w:sz w:val="20"/>
                <w:szCs w:val="20"/>
              </w:rPr>
            </w:pPr>
            <w:r>
              <w:rPr>
                <w:rFonts w:ascii="Arial" w:hAnsi="Arial" w:cs="Arial"/>
                <w:sz w:val="20"/>
                <w:szCs w:val="20"/>
              </w:rPr>
              <w:t>16 (+/-4),</w:t>
            </w:r>
          </w:p>
          <w:p w14:paraId="3CB7530F" w14:textId="4383E361" w:rsidR="00940ACD" w:rsidRPr="00AE448A" w:rsidRDefault="00940ACD" w:rsidP="00BE5D44">
            <w:pPr>
              <w:jc w:val="both"/>
              <w:rPr>
                <w:rFonts w:ascii="Arial" w:hAnsi="Arial" w:cs="Arial"/>
                <w:sz w:val="20"/>
                <w:szCs w:val="20"/>
              </w:rPr>
            </w:pPr>
            <w:r>
              <w:rPr>
                <w:rFonts w:ascii="Arial" w:hAnsi="Arial" w:cs="Arial"/>
                <w:sz w:val="20"/>
                <w:szCs w:val="20"/>
              </w:rPr>
              <w:t>[6-28]</w:t>
            </w:r>
          </w:p>
        </w:tc>
        <w:tc>
          <w:tcPr>
            <w:tcW w:w="1550" w:type="dxa"/>
          </w:tcPr>
          <w:p w14:paraId="3138E401" w14:textId="77777777" w:rsidR="00C22437" w:rsidRDefault="00FF6CD9" w:rsidP="00BE5D44">
            <w:pPr>
              <w:jc w:val="both"/>
              <w:rPr>
                <w:rFonts w:ascii="Arial" w:hAnsi="Arial" w:cs="Arial"/>
                <w:sz w:val="20"/>
                <w:szCs w:val="20"/>
              </w:rPr>
            </w:pPr>
            <w:r>
              <w:rPr>
                <w:rFonts w:ascii="Arial" w:hAnsi="Arial" w:cs="Arial"/>
                <w:sz w:val="20"/>
                <w:szCs w:val="20"/>
              </w:rPr>
              <w:t>17 (+/-</w:t>
            </w:r>
            <w:r w:rsidR="00391151">
              <w:rPr>
                <w:rFonts w:ascii="Arial" w:hAnsi="Arial" w:cs="Arial"/>
                <w:sz w:val="20"/>
                <w:szCs w:val="20"/>
              </w:rPr>
              <w:t>4),</w:t>
            </w:r>
          </w:p>
          <w:p w14:paraId="5FFA2AEF" w14:textId="4EA060A0" w:rsidR="00391151" w:rsidRPr="00AE448A" w:rsidRDefault="00391151" w:rsidP="00BE5D44">
            <w:pPr>
              <w:jc w:val="both"/>
              <w:rPr>
                <w:rFonts w:ascii="Arial" w:hAnsi="Arial" w:cs="Arial"/>
                <w:sz w:val="20"/>
                <w:szCs w:val="20"/>
              </w:rPr>
            </w:pPr>
            <w:r>
              <w:rPr>
                <w:rFonts w:ascii="Arial" w:hAnsi="Arial" w:cs="Arial"/>
                <w:sz w:val="20"/>
                <w:szCs w:val="20"/>
              </w:rPr>
              <w:t>[10-29]</w:t>
            </w:r>
          </w:p>
        </w:tc>
        <w:tc>
          <w:tcPr>
            <w:tcW w:w="1550" w:type="dxa"/>
          </w:tcPr>
          <w:p w14:paraId="0903A91B" w14:textId="77777777" w:rsidR="00940ACD" w:rsidRDefault="00AE448A" w:rsidP="00BE5D44">
            <w:pPr>
              <w:jc w:val="both"/>
              <w:rPr>
                <w:rFonts w:ascii="Arial" w:hAnsi="Arial" w:cs="Arial"/>
                <w:sz w:val="20"/>
                <w:szCs w:val="20"/>
              </w:rPr>
            </w:pPr>
            <w:r>
              <w:rPr>
                <w:rFonts w:ascii="Arial" w:hAnsi="Arial" w:cs="Arial"/>
                <w:sz w:val="20"/>
                <w:szCs w:val="20"/>
              </w:rPr>
              <w:t>1</w:t>
            </w:r>
            <w:r w:rsidR="00940ACD">
              <w:rPr>
                <w:rFonts w:ascii="Arial" w:hAnsi="Arial" w:cs="Arial"/>
                <w:sz w:val="20"/>
                <w:szCs w:val="20"/>
              </w:rPr>
              <w:t>7</w:t>
            </w:r>
            <w:r>
              <w:rPr>
                <w:rFonts w:ascii="Arial" w:hAnsi="Arial" w:cs="Arial"/>
                <w:sz w:val="20"/>
                <w:szCs w:val="20"/>
              </w:rPr>
              <w:t xml:space="preserve"> (+/-4), </w:t>
            </w:r>
          </w:p>
          <w:p w14:paraId="1B4DED6A" w14:textId="3670308F" w:rsidR="00C22437" w:rsidRPr="00AE448A" w:rsidRDefault="00AE448A" w:rsidP="00BE5D44">
            <w:pPr>
              <w:jc w:val="both"/>
              <w:rPr>
                <w:rFonts w:ascii="Arial" w:hAnsi="Arial" w:cs="Arial"/>
                <w:sz w:val="20"/>
                <w:szCs w:val="20"/>
              </w:rPr>
            </w:pPr>
            <w:r>
              <w:rPr>
                <w:rFonts w:ascii="Arial" w:hAnsi="Arial" w:cs="Arial"/>
                <w:sz w:val="20"/>
                <w:szCs w:val="20"/>
              </w:rPr>
              <w:t>[7-25]</w:t>
            </w:r>
          </w:p>
        </w:tc>
        <w:tc>
          <w:tcPr>
            <w:tcW w:w="1550" w:type="dxa"/>
            <w:shd w:val="clear" w:color="auto" w:fill="F2F2F2" w:themeFill="background1" w:themeFillShade="F2"/>
          </w:tcPr>
          <w:p w14:paraId="51C55B9C" w14:textId="77777777" w:rsidR="00C22437" w:rsidRDefault="00522C30" w:rsidP="00BE5D44">
            <w:pPr>
              <w:jc w:val="both"/>
              <w:rPr>
                <w:rFonts w:ascii="Arial" w:hAnsi="Arial" w:cs="Arial"/>
                <w:sz w:val="20"/>
                <w:szCs w:val="20"/>
              </w:rPr>
            </w:pPr>
            <w:r>
              <w:rPr>
                <w:rFonts w:ascii="Arial" w:hAnsi="Arial" w:cs="Arial"/>
                <w:sz w:val="20"/>
                <w:szCs w:val="20"/>
              </w:rPr>
              <w:t>13 (+/-4),</w:t>
            </w:r>
          </w:p>
          <w:p w14:paraId="1799C624" w14:textId="3703E5EF" w:rsidR="00522C30" w:rsidRPr="00522C30" w:rsidRDefault="00522C30" w:rsidP="00BE5D44">
            <w:pPr>
              <w:jc w:val="both"/>
              <w:rPr>
                <w:rFonts w:ascii="Arial" w:hAnsi="Arial" w:cs="Arial"/>
                <w:sz w:val="20"/>
                <w:szCs w:val="20"/>
              </w:rPr>
            </w:pPr>
            <w:r>
              <w:rPr>
                <w:rFonts w:ascii="Arial" w:hAnsi="Arial" w:cs="Arial"/>
                <w:sz w:val="20"/>
                <w:szCs w:val="20"/>
              </w:rPr>
              <w:t>[4-20]</w:t>
            </w:r>
          </w:p>
        </w:tc>
        <w:tc>
          <w:tcPr>
            <w:tcW w:w="1550" w:type="dxa"/>
            <w:shd w:val="clear" w:color="auto" w:fill="F2F2F2" w:themeFill="background1" w:themeFillShade="F2"/>
          </w:tcPr>
          <w:p w14:paraId="61150559" w14:textId="77777777" w:rsidR="00C22437" w:rsidRDefault="00522C30" w:rsidP="00BE5D44">
            <w:pPr>
              <w:jc w:val="both"/>
              <w:rPr>
                <w:rFonts w:ascii="Arial" w:hAnsi="Arial" w:cs="Arial"/>
                <w:sz w:val="20"/>
                <w:szCs w:val="20"/>
              </w:rPr>
            </w:pPr>
            <w:r>
              <w:rPr>
                <w:rFonts w:ascii="Arial" w:hAnsi="Arial" w:cs="Arial"/>
                <w:sz w:val="20"/>
                <w:szCs w:val="20"/>
              </w:rPr>
              <w:t>16 (+/-4),</w:t>
            </w:r>
          </w:p>
          <w:p w14:paraId="01530343" w14:textId="60C94A63" w:rsidR="00522C30" w:rsidRPr="00522C30" w:rsidRDefault="00522C30" w:rsidP="00BE5D44">
            <w:pPr>
              <w:jc w:val="both"/>
              <w:rPr>
                <w:rFonts w:ascii="Arial" w:hAnsi="Arial" w:cs="Arial"/>
                <w:sz w:val="20"/>
                <w:szCs w:val="20"/>
              </w:rPr>
            </w:pPr>
            <w:r>
              <w:rPr>
                <w:rFonts w:ascii="Arial" w:hAnsi="Arial" w:cs="Arial"/>
                <w:sz w:val="20"/>
                <w:szCs w:val="20"/>
              </w:rPr>
              <w:t>[6-28]</w:t>
            </w:r>
          </w:p>
        </w:tc>
        <w:tc>
          <w:tcPr>
            <w:tcW w:w="1550" w:type="dxa"/>
            <w:shd w:val="clear" w:color="auto" w:fill="F2F2F2" w:themeFill="background1" w:themeFillShade="F2"/>
          </w:tcPr>
          <w:p w14:paraId="5EF7CAFC" w14:textId="77777777" w:rsidR="00C22437" w:rsidRDefault="00BF1EA7" w:rsidP="00BE5D44">
            <w:pPr>
              <w:jc w:val="both"/>
              <w:rPr>
                <w:rFonts w:ascii="Arial" w:hAnsi="Arial" w:cs="Arial"/>
                <w:sz w:val="20"/>
                <w:szCs w:val="20"/>
              </w:rPr>
            </w:pPr>
            <w:r>
              <w:rPr>
                <w:rFonts w:ascii="Arial" w:hAnsi="Arial" w:cs="Arial"/>
                <w:sz w:val="20"/>
                <w:szCs w:val="20"/>
              </w:rPr>
              <w:t xml:space="preserve">16 (+/-4), </w:t>
            </w:r>
          </w:p>
          <w:p w14:paraId="68B0CCF2" w14:textId="59D88DDE" w:rsidR="00BF1EA7" w:rsidRPr="00522C30" w:rsidRDefault="00BF1EA7" w:rsidP="00BE5D44">
            <w:pPr>
              <w:jc w:val="both"/>
              <w:rPr>
                <w:rFonts w:ascii="Arial" w:hAnsi="Arial" w:cs="Arial"/>
                <w:sz w:val="20"/>
                <w:szCs w:val="20"/>
              </w:rPr>
            </w:pPr>
            <w:r>
              <w:rPr>
                <w:rFonts w:ascii="Arial" w:hAnsi="Arial" w:cs="Arial"/>
                <w:sz w:val="20"/>
                <w:szCs w:val="20"/>
              </w:rPr>
              <w:t>[10-29]</w:t>
            </w:r>
          </w:p>
        </w:tc>
        <w:tc>
          <w:tcPr>
            <w:tcW w:w="1550" w:type="dxa"/>
            <w:shd w:val="clear" w:color="auto" w:fill="F2F2F2" w:themeFill="background1" w:themeFillShade="F2"/>
          </w:tcPr>
          <w:p w14:paraId="7D1265C3" w14:textId="77777777" w:rsidR="00C22437" w:rsidRDefault="00AE66A5" w:rsidP="00BE5D44">
            <w:pPr>
              <w:jc w:val="both"/>
              <w:rPr>
                <w:rFonts w:ascii="Arial" w:hAnsi="Arial" w:cs="Arial"/>
                <w:sz w:val="20"/>
                <w:szCs w:val="20"/>
              </w:rPr>
            </w:pPr>
            <w:r>
              <w:rPr>
                <w:rFonts w:ascii="Arial" w:hAnsi="Arial" w:cs="Arial"/>
                <w:sz w:val="20"/>
                <w:szCs w:val="20"/>
              </w:rPr>
              <w:t>16 (+/-4),</w:t>
            </w:r>
          </w:p>
          <w:p w14:paraId="61B3552D" w14:textId="6A4EEF7E" w:rsidR="00AE66A5" w:rsidRPr="00522C30" w:rsidRDefault="00AE66A5" w:rsidP="00BE5D44">
            <w:pPr>
              <w:jc w:val="both"/>
              <w:rPr>
                <w:rFonts w:ascii="Arial" w:hAnsi="Arial" w:cs="Arial"/>
                <w:sz w:val="20"/>
                <w:szCs w:val="20"/>
              </w:rPr>
            </w:pPr>
            <w:r>
              <w:rPr>
                <w:rFonts w:ascii="Arial" w:hAnsi="Arial" w:cs="Arial"/>
                <w:sz w:val="20"/>
                <w:szCs w:val="20"/>
              </w:rPr>
              <w:t>[7-24]</w:t>
            </w:r>
          </w:p>
        </w:tc>
      </w:tr>
    </w:tbl>
    <w:p w14:paraId="7CBDB4C5" w14:textId="7E7E6955" w:rsidR="00050538" w:rsidRDefault="00BE5D44" w:rsidP="007D4888">
      <w:pPr>
        <w:jc w:val="both"/>
        <w:rPr>
          <w:rFonts w:ascii="Arial" w:hAnsi="Arial" w:cs="Arial"/>
          <w:sz w:val="18"/>
        </w:rPr>
      </w:pPr>
      <w:r w:rsidRPr="00050538">
        <w:rPr>
          <w:rFonts w:ascii="Arial" w:hAnsi="Arial" w:cs="Arial"/>
          <w:b/>
        </w:rPr>
        <w:t xml:space="preserve"> </w:t>
      </w:r>
      <w:r w:rsidR="000F43FC" w:rsidRPr="000F43FC">
        <w:rPr>
          <w:rFonts w:ascii="Arial" w:hAnsi="Arial" w:cs="Arial"/>
          <w:b/>
          <w:sz w:val="18"/>
        </w:rPr>
        <w:t xml:space="preserve">NOTE. </w:t>
      </w:r>
      <w:r w:rsidR="000F43FC">
        <w:rPr>
          <w:rFonts w:ascii="Arial" w:hAnsi="Arial" w:cs="Arial"/>
          <w:sz w:val="18"/>
        </w:rPr>
        <w:t>569 participants completed the survey at T1, with duplicates and missing cases removed. 3</w:t>
      </w:r>
      <w:r w:rsidR="00DA305D">
        <w:rPr>
          <w:rFonts w:ascii="Arial" w:hAnsi="Arial" w:cs="Arial"/>
          <w:sz w:val="18"/>
        </w:rPr>
        <w:t>77</w:t>
      </w:r>
      <w:r w:rsidR="000F43FC">
        <w:rPr>
          <w:rFonts w:ascii="Arial" w:hAnsi="Arial" w:cs="Arial"/>
          <w:sz w:val="18"/>
        </w:rPr>
        <w:t xml:space="preserve"> participants had completed all three survey time points, with duplicates and missing cases removed. </w:t>
      </w:r>
    </w:p>
    <w:p w14:paraId="598871F9" w14:textId="658531BA" w:rsidR="000F43FC" w:rsidRPr="000F43FC" w:rsidRDefault="000F43FC" w:rsidP="00BE5D44">
      <w:pPr>
        <w:jc w:val="both"/>
        <w:rPr>
          <w:rFonts w:ascii="Arial" w:hAnsi="Arial" w:cs="Arial"/>
          <w:sz w:val="18"/>
        </w:rPr>
        <w:sectPr w:rsidR="000F43FC" w:rsidRPr="000F43FC" w:rsidSect="00050538">
          <w:pgSz w:w="16838" w:h="11906" w:orient="landscape"/>
          <w:pgMar w:top="1440" w:right="1440" w:bottom="1440" w:left="1440" w:header="709" w:footer="709" w:gutter="0"/>
          <w:cols w:space="708"/>
          <w:docGrid w:linePitch="360"/>
        </w:sectPr>
      </w:pPr>
      <w:r>
        <w:rPr>
          <w:rFonts w:ascii="Arial" w:hAnsi="Arial" w:cs="Arial"/>
          <w:sz w:val="18"/>
        </w:rPr>
        <w:t>PLWD – People living with dementi</w:t>
      </w:r>
      <w:r w:rsidR="007976F6">
        <w:rPr>
          <w:rFonts w:ascii="Arial" w:hAnsi="Arial" w:cs="Arial"/>
          <w:sz w:val="18"/>
        </w:rPr>
        <w:t>a</w:t>
      </w:r>
    </w:p>
    <w:bookmarkEnd w:id="4"/>
    <w:p w14:paraId="06FC633D" w14:textId="77777777" w:rsidR="00220C4D" w:rsidRPr="00472424" w:rsidRDefault="00220C4D" w:rsidP="007976F6">
      <w:pPr>
        <w:jc w:val="both"/>
        <w:rPr>
          <w:rFonts w:ascii="Arial" w:hAnsi="Arial" w:cs="Arial"/>
          <w:sz w:val="18"/>
        </w:rPr>
      </w:pPr>
    </w:p>
    <w:sectPr w:rsidR="00220C4D" w:rsidRPr="004724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CF993" w14:textId="77777777" w:rsidR="005676F1" w:rsidRDefault="005676F1" w:rsidP="00AE623B">
      <w:pPr>
        <w:spacing w:after="0" w:line="240" w:lineRule="auto"/>
      </w:pPr>
      <w:r>
        <w:separator/>
      </w:r>
    </w:p>
  </w:endnote>
  <w:endnote w:type="continuationSeparator" w:id="0">
    <w:p w14:paraId="5A5430CF" w14:textId="77777777" w:rsidR="005676F1" w:rsidRDefault="005676F1" w:rsidP="00AE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66716"/>
      <w:docPartObj>
        <w:docPartGallery w:val="Page Numbers (Bottom of Page)"/>
        <w:docPartUnique/>
      </w:docPartObj>
    </w:sdtPr>
    <w:sdtEndPr>
      <w:rPr>
        <w:noProof/>
      </w:rPr>
    </w:sdtEndPr>
    <w:sdtContent>
      <w:p w14:paraId="4AADF2ED" w14:textId="43EAA996" w:rsidR="00546B43" w:rsidRDefault="00546B43">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6C4CA4A6" w14:textId="77777777" w:rsidR="00546B43" w:rsidRDefault="0054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5A74" w14:textId="77777777" w:rsidR="005676F1" w:rsidRDefault="005676F1" w:rsidP="00AE623B">
      <w:pPr>
        <w:spacing w:after="0" w:line="240" w:lineRule="auto"/>
      </w:pPr>
      <w:r>
        <w:separator/>
      </w:r>
    </w:p>
  </w:footnote>
  <w:footnote w:type="continuationSeparator" w:id="0">
    <w:p w14:paraId="5155DEFD" w14:textId="77777777" w:rsidR="005676F1" w:rsidRDefault="005676F1" w:rsidP="00AE6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6C62"/>
    <w:multiLevelType w:val="hybridMultilevel"/>
    <w:tmpl w:val="9B7ED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9F2977"/>
    <w:multiLevelType w:val="hybridMultilevel"/>
    <w:tmpl w:val="6C6E48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7670E0"/>
    <w:multiLevelType w:val="hybridMultilevel"/>
    <w:tmpl w:val="A378C4EC"/>
    <w:lvl w:ilvl="0" w:tplc="4A1442EC">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6B10EA"/>
    <w:multiLevelType w:val="hybridMultilevel"/>
    <w:tmpl w:val="18061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8E6514"/>
    <w:multiLevelType w:val="hybridMultilevel"/>
    <w:tmpl w:val="5A70E782"/>
    <w:lvl w:ilvl="0" w:tplc="317AA4F2">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BE5"/>
    <w:rsid w:val="000078E3"/>
    <w:rsid w:val="00007C38"/>
    <w:rsid w:val="0001192B"/>
    <w:rsid w:val="0001469A"/>
    <w:rsid w:val="00016090"/>
    <w:rsid w:val="00016B85"/>
    <w:rsid w:val="000274A4"/>
    <w:rsid w:val="0003194B"/>
    <w:rsid w:val="00044A18"/>
    <w:rsid w:val="00045FB9"/>
    <w:rsid w:val="00050538"/>
    <w:rsid w:val="00051D40"/>
    <w:rsid w:val="000648BF"/>
    <w:rsid w:val="000653EF"/>
    <w:rsid w:val="00075E6B"/>
    <w:rsid w:val="000772E0"/>
    <w:rsid w:val="00080E26"/>
    <w:rsid w:val="000847BE"/>
    <w:rsid w:val="000923B8"/>
    <w:rsid w:val="000A3B78"/>
    <w:rsid w:val="000B43B7"/>
    <w:rsid w:val="000B6A03"/>
    <w:rsid w:val="000C4636"/>
    <w:rsid w:val="000C475D"/>
    <w:rsid w:val="000C4C98"/>
    <w:rsid w:val="000C59D9"/>
    <w:rsid w:val="000D6CDF"/>
    <w:rsid w:val="000E13B1"/>
    <w:rsid w:val="000E1A10"/>
    <w:rsid w:val="000F43FC"/>
    <w:rsid w:val="000F6C9B"/>
    <w:rsid w:val="0010264A"/>
    <w:rsid w:val="00105D8F"/>
    <w:rsid w:val="001103CE"/>
    <w:rsid w:val="00113B87"/>
    <w:rsid w:val="00131D5A"/>
    <w:rsid w:val="00136BB7"/>
    <w:rsid w:val="00142206"/>
    <w:rsid w:val="00161654"/>
    <w:rsid w:val="0016575D"/>
    <w:rsid w:val="0016604D"/>
    <w:rsid w:val="00174C13"/>
    <w:rsid w:val="00185259"/>
    <w:rsid w:val="00191689"/>
    <w:rsid w:val="0019374E"/>
    <w:rsid w:val="001A2A30"/>
    <w:rsid w:val="001A7C5E"/>
    <w:rsid w:val="001B0633"/>
    <w:rsid w:val="001B43C6"/>
    <w:rsid w:val="001B5949"/>
    <w:rsid w:val="001C29E9"/>
    <w:rsid w:val="001E67DD"/>
    <w:rsid w:val="001F1544"/>
    <w:rsid w:val="001F2731"/>
    <w:rsid w:val="001F459B"/>
    <w:rsid w:val="00201F89"/>
    <w:rsid w:val="00203BD2"/>
    <w:rsid w:val="00220B36"/>
    <w:rsid w:val="00220C4D"/>
    <w:rsid w:val="002375BB"/>
    <w:rsid w:val="00241C0C"/>
    <w:rsid w:val="002429F5"/>
    <w:rsid w:val="00246715"/>
    <w:rsid w:val="00250D74"/>
    <w:rsid w:val="002568C9"/>
    <w:rsid w:val="002668A4"/>
    <w:rsid w:val="002743AF"/>
    <w:rsid w:val="00274F1C"/>
    <w:rsid w:val="0028066C"/>
    <w:rsid w:val="00281EF3"/>
    <w:rsid w:val="00282DB6"/>
    <w:rsid w:val="00283A29"/>
    <w:rsid w:val="00290BCA"/>
    <w:rsid w:val="002960C2"/>
    <w:rsid w:val="002967FD"/>
    <w:rsid w:val="002A0700"/>
    <w:rsid w:val="002A2D0D"/>
    <w:rsid w:val="002A5FC9"/>
    <w:rsid w:val="002C3EB7"/>
    <w:rsid w:val="002C4722"/>
    <w:rsid w:val="002C6E36"/>
    <w:rsid w:val="002C74AB"/>
    <w:rsid w:val="002D122E"/>
    <w:rsid w:val="002E1F73"/>
    <w:rsid w:val="002F228D"/>
    <w:rsid w:val="00301B71"/>
    <w:rsid w:val="0031374B"/>
    <w:rsid w:val="0031422A"/>
    <w:rsid w:val="003148E3"/>
    <w:rsid w:val="00315B9B"/>
    <w:rsid w:val="00316DBF"/>
    <w:rsid w:val="00316E8B"/>
    <w:rsid w:val="00322575"/>
    <w:rsid w:val="003257AA"/>
    <w:rsid w:val="003275D5"/>
    <w:rsid w:val="003340B7"/>
    <w:rsid w:val="0033685F"/>
    <w:rsid w:val="00340754"/>
    <w:rsid w:val="0034405A"/>
    <w:rsid w:val="00347CDB"/>
    <w:rsid w:val="00350642"/>
    <w:rsid w:val="00357F82"/>
    <w:rsid w:val="0036532A"/>
    <w:rsid w:val="0036760F"/>
    <w:rsid w:val="003677FC"/>
    <w:rsid w:val="003716F4"/>
    <w:rsid w:val="0037454F"/>
    <w:rsid w:val="00382906"/>
    <w:rsid w:val="00391151"/>
    <w:rsid w:val="0039313C"/>
    <w:rsid w:val="003B00CD"/>
    <w:rsid w:val="003B4147"/>
    <w:rsid w:val="003B673B"/>
    <w:rsid w:val="003B79FB"/>
    <w:rsid w:val="003C1506"/>
    <w:rsid w:val="003C2CEF"/>
    <w:rsid w:val="003C4D57"/>
    <w:rsid w:val="003C768F"/>
    <w:rsid w:val="003C778B"/>
    <w:rsid w:val="003D6A62"/>
    <w:rsid w:val="003E1C84"/>
    <w:rsid w:val="003F202E"/>
    <w:rsid w:val="003F3066"/>
    <w:rsid w:val="003F3A52"/>
    <w:rsid w:val="003F5F52"/>
    <w:rsid w:val="00410317"/>
    <w:rsid w:val="004155F3"/>
    <w:rsid w:val="0041691F"/>
    <w:rsid w:val="00420891"/>
    <w:rsid w:val="00421DA9"/>
    <w:rsid w:val="004276F4"/>
    <w:rsid w:val="00440D57"/>
    <w:rsid w:val="00446E91"/>
    <w:rsid w:val="004538CF"/>
    <w:rsid w:val="00460054"/>
    <w:rsid w:val="00464A23"/>
    <w:rsid w:val="00465A74"/>
    <w:rsid w:val="00466E3E"/>
    <w:rsid w:val="00471E66"/>
    <w:rsid w:val="00472424"/>
    <w:rsid w:val="00486C4E"/>
    <w:rsid w:val="004955A5"/>
    <w:rsid w:val="004965FA"/>
    <w:rsid w:val="00496CC4"/>
    <w:rsid w:val="004B78C8"/>
    <w:rsid w:val="004C71DE"/>
    <w:rsid w:val="004C796D"/>
    <w:rsid w:val="004D176D"/>
    <w:rsid w:val="004D63EB"/>
    <w:rsid w:val="004D723D"/>
    <w:rsid w:val="004E2C1E"/>
    <w:rsid w:val="004F3325"/>
    <w:rsid w:val="00513CA0"/>
    <w:rsid w:val="005140F1"/>
    <w:rsid w:val="00517BC0"/>
    <w:rsid w:val="00522C30"/>
    <w:rsid w:val="005235F2"/>
    <w:rsid w:val="00524B5C"/>
    <w:rsid w:val="00526280"/>
    <w:rsid w:val="005332B8"/>
    <w:rsid w:val="0053442F"/>
    <w:rsid w:val="00536555"/>
    <w:rsid w:val="005405C5"/>
    <w:rsid w:val="00546B43"/>
    <w:rsid w:val="00556F46"/>
    <w:rsid w:val="0056652E"/>
    <w:rsid w:val="005676F1"/>
    <w:rsid w:val="00570628"/>
    <w:rsid w:val="00570F3E"/>
    <w:rsid w:val="005752AF"/>
    <w:rsid w:val="005775D3"/>
    <w:rsid w:val="00581980"/>
    <w:rsid w:val="00581A36"/>
    <w:rsid w:val="005848A7"/>
    <w:rsid w:val="00584FA4"/>
    <w:rsid w:val="005876D3"/>
    <w:rsid w:val="0059276F"/>
    <w:rsid w:val="005C056E"/>
    <w:rsid w:val="005C7711"/>
    <w:rsid w:val="005D2BA2"/>
    <w:rsid w:val="005D636C"/>
    <w:rsid w:val="005E040D"/>
    <w:rsid w:val="005F26E0"/>
    <w:rsid w:val="005F53C0"/>
    <w:rsid w:val="00607323"/>
    <w:rsid w:val="00613B96"/>
    <w:rsid w:val="006147B8"/>
    <w:rsid w:val="00631148"/>
    <w:rsid w:val="00633831"/>
    <w:rsid w:val="00635302"/>
    <w:rsid w:val="006527D9"/>
    <w:rsid w:val="00661C04"/>
    <w:rsid w:val="00671E5E"/>
    <w:rsid w:val="00680C77"/>
    <w:rsid w:val="00685D73"/>
    <w:rsid w:val="00687045"/>
    <w:rsid w:val="006A46E0"/>
    <w:rsid w:val="006B1600"/>
    <w:rsid w:val="006B2648"/>
    <w:rsid w:val="006B39E6"/>
    <w:rsid w:val="006B4969"/>
    <w:rsid w:val="006B5924"/>
    <w:rsid w:val="006B66B8"/>
    <w:rsid w:val="006B69BE"/>
    <w:rsid w:val="006B6F6F"/>
    <w:rsid w:val="006B773F"/>
    <w:rsid w:val="006C0BE5"/>
    <w:rsid w:val="006C1685"/>
    <w:rsid w:val="006C3A2C"/>
    <w:rsid w:val="006C51E0"/>
    <w:rsid w:val="006C615B"/>
    <w:rsid w:val="006C6C2E"/>
    <w:rsid w:val="006D549C"/>
    <w:rsid w:val="006D63C7"/>
    <w:rsid w:val="006D6632"/>
    <w:rsid w:val="006E1131"/>
    <w:rsid w:val="006E353E"/>
    <w:rsid w:val="006E6FA5"/>
    <w:rsid w:val="006E7AD4"/>
    <w:rsid w:val="006F027A"/>
    <w:rsid w:val="006F4BE3"/>
    <w:rsid w:val="006F6AEC"/>
    <w:rsid w:val="00700053"/>
    <w:rsid w:val="00701BB4"/>
    <w:rsid w:val="00701F75"/>
    <w:rsid w:val="00717E89"/>
    <w:rsid w:val="00720B05"/>
    <w:rsid w:val="00721F39"/>
    <w:rsid w:val="00723BCB"/>
    <w:rsid w:val="007274E0"/>
    <w:rsid w:val="0073174E"/>
    <w:rsid w:val="00733124"/>
    <w:rsid w:val="00734BB7"/>
    <w:rsid w:val="00744E3E"/>
    <w:rsid w:val="0075001F"/>
    <w:rsid w:val="0075017F"/>
    <w:rsid w:val="00750C1F"/>
    <w:rsid w:val="00751F87"/>
    <w:rsid w:val="00756812"/>
    <w:rsid w:val="00762701"/>
    <w:rsid w:val="007669FD"/>
    <w:rsid w:val="00766A72"/>
    <w:rsid w:val="00783F43"/>
    <w:rsid w:val="00792818"/>
    <w:rsid w:val="00793A82"/>
    <w:rsid w:val="007969B3"/>
    <w:rsid w:val="007976F6"/>
    <w:rsid w:val="007A24A1"/>
    <w:rsid w:val="007B3D55"/>
    <w:rsid w:val="007B469B"/>
    <w:rsid w:val="007B6356"/>
    <w:rsid w:val="007B6F86"/>
    <w:rsid w:val="007C4981"/>
    <w:rsid w:val="007D4888"/>
    <w:rsid w:val="007D5AB9"/>
    <w:rsid w:val="007E0ACA"/>
    <w:rsid w:val="007F5F10"/>
    <w:rsid w:val="007F69F9"/>
    <w:rsid w:val="00802608"/>
    <w:rsid w:val="008041DB"/>
    <w:rsid w:val="00804369"/>
    <w:rsid w:val="00811532"/>
    <w:rsid w:val="008136F1"/>
    <w:rsid w:val="00814617"/>
    <w:rsid w:val="0081543A"/>
    <w:rsid w:val="008312A3"/>
    <w:rsid w:val="00831D66"/>
    <w:rsid w:val="00832AAB"/>
    <w:rsid w:val="00843815"/>
    <w:rsid w:val="008527BC"/>
    <w:rsid w:val="00852AE3"/>
    <w:rsid w:val="008561DA"/>
    <w:rsid w:val="008578EC"/>
    <w:rsid w:val="00862CE1"/>
    <w:rsid w:val="00867D1F"/>
    <w:rsid w:val="00877521"/>
    <w:rsid w:val="008932BA"/>
    <w:rsid w:val="008A1267"/>
    <w:rsid w:val="008A3602"/>
    <w:rsid w:val="008A4DDA"/>
    <w:rsid w:val="008A774E"/>
    <w:rsid w:val="008A7DD9"/>
    <w:rsid w:val="008B6BB5"/>
    <w:rsid w:val="008C03DB"/>
    <w:rsid w:val="008C34FD"/>
    <w:rsid w:val="008C4712"/>
    <w:rsid w:val="008D08BE"/>
    <w:rsid w:val="008F081B"/>
    <w:rsid w:val="008F253A"/>
    <w:rsid w:val="008F592E"/>
    <w:rsid w:val="00900DD8"/>
    <w:rsid w:val="00901420"/>
    <w:rsid w:val="009062AD"/>
    <w:rsid w:val="00923EA6"/>
    <w:rsid w:val="00926859"/>
    <w:rsid w:val="00930A48"/>
    <w:rsid w:val="00940ACD"/>
    <w:rsid w:val="00944BA4"/>
    <w:rsid w:val="00950903"/>
    <w:rsid w:val="00952DC8"/>
    <w:rsid w:val="00960B35"/>
    <w:rsid w:val="00960D29"/>
    <w:rsid w:val="0096718A"/>
    <w:rsid w:val="00971DDF"/>
    <w:rsid w:val="00972C51"/>
    <w:rsid w:val="009747DB"/>
    <w:rsid w:val="009817EA"/>
    <w:rsid w:val="00984773"/>
    <w:rsid w:val="00991862"/>
    <w:rsid w:val="009937B8"/>
    <w:rsid w:val="00997E94"/>
    <w:rsid w:val="009A01FB"/>
    <w:rsid w:val="009A36B5"/>
    <w:rsid w:val="009A672A"/>
    <w:rsid w:val="009C6D2A"/>
    <w:rsid w:val="009D1AAF"/>
    <w:rsid w:val="009D428C"/>
    <w:rsid w:val="009F2794"/>
    <w:rsid w:val="00A049F5"/>
    <w:rsid w:val="00A2615F"/>
    <w:rsid w:val="00A30176"/>
    <w:rsid w:val="00A307A3"/>
    <w:rsid w:val="00A31D5E"/>
    <w:rsid w:val="00A335D5"/>
    <w:rsid w:val="00A43C85"/>
    <w:rsid w:val="00A44023"/>
    <w:rsid w:val="00A50C57"/>
    <w:rsid w:val="00A52044"/>
    <w:rsid w:val="00A55F38"/>
    <w:rsid w:val="00A56506"/>
    <w:rsid w:val="00A6492B"/>
    <w:rsid w:val="00A64C06"/>
    <w:rsid w:val="00A83080"/>
    <w:rsid w:val="00A91551"/>
    <w:rsid w:val="00AA5043"/>
    <w:rsid w:val="00AB4321"/>
    <w:rsid w:val="00AC3494"/>
    <w:rsid w:val="00AD255A"/>
    <w:rsid w:val="00AD469D"/>
    <w:rsid w:val="00AD5492"/>
    <w:rsid w:val="00AD55F1"/>
    <w:rsid w:val="00AE448A"/>
    <w:rsid w:val="00AE623B"/>
    <w:rsid w:val="00AE66A5"/>
    <w:rsid w:val="00AE6985"/>
    <w:rsid w:val="00AF1C32"/>
    <w:rsid w:val="00AF2A36"/>
    <w:rsid w:val="00B00268"/>
    <w:rsid w:val="00B0145E"/>
    <w:rsid w:val="00B03817"/>
    <w:rsid w:val="00B11B19"/>
    <w:rsid w:val="00B11CFA"/>
    <w:rsid w:val="00B13C06"/>
    <w:rsid w:val="00B222D2"/>
    <w:rsid w:val="00B253D7"/>
    <w:rsid w:val="00B42554"/>
    <w:rsid w:val="00B42E32"/>
    <w:rsid w:val="00B518E8"/>
    <w:rsid w:val="00B52862"/>
    <w:rsid w:val="00B5330B"/>
    <w:rsid w:val="00B64913"/>
    <w:rsid w:val="00B70A96"/>
    <w:rsid w:val="00B710CD"/>
    <w:rsid w:val="00B7200D"/>
    <w:rsid w:val="00B77BA7"/>
    <w:rsid w:val="00B84197"/>
    <w:rsid w:val="00BA13F3"/>
    <w:rsid w:val="00BA3B25"/>
    <w:rsid w:val="00BA6139"/>
    <w:rsid w:val="00BB2893"/>
    <w:rsid w:val="00BB3EF7"/>
    <w:rsid w:val="00BB5021"/>
    <w:rsid w:val="00BB6CAC"/>
    <w:rsid w:val="00BC31D8"/>
    <w:rsid w:val="00BD0271"/>
    <w:rsid w:val="00BE25E7"/>
    <w:rsid w:val="00BE4385"/>
    <w:rsid w:val="00BE4F63"/>
    <w:rsid w:val="00BE5D44"/>
    <w:rsid w:val="00BF1EA7"/>
    <w:rsid w:val="00C06266"/>
    <w:rsid w:val="00C13EA2"/>
    <w:rsid w:val="00C17137"/>
    <w:rsid w:val="00C22437"/>
    <w:rsid w:val="00C2481B"/>
    <w:rsid w:val="00C354CE"/>
    <w:rsid w:val="00C4413B"/>
    <w:rsid w:val="00C52D25"/>
    <w:rsid w:val="00C560B8"/>
    <w:rsid w:val="00C611B6"/>
    <w:rsid w:val="00C66A0A"/>
    <w:rsid w:val="00C77FCB"/>
    <w:rsid w:val="00C82EC6"/>
    <w:rsid w:val="00C8384A"/>
    <w:rsid w:val="00C93975"/>
    <w:rsid w:val="00CA1C76"/>
    <w:rsid w:val="00CA338C"/>
    <w:rsid w:val="00CA412A"/>
    <w:rsid w:val="00CB0BA1"/>
    <w:rsid w:val="00CB1997"/>
    <w:rsid w:val="00CB2CC5"/>
    <w:rsid w:val="00CB7914"/>
    <w:rsid w:val="00CC7C3A"/>
    <w:rsid w:val="00CE51E7"/>
    <w:rsid w:val="00CF0828"/>
    <w:rsid w:val="00CF6A21"/>
    <w:rsid w:val="00CF78B3"/>
    <w:rsid w:val="00D005A5"/>
    <w:rsid w:val="00D038EA"/>
    <w:rsid w:val="00D04086"/>
    <w:rsid w:val="00D16166"/>
    <w:rsid w:val="00D3211A"/>
    <w:rsid w:val="00D459E4"/>
    <w:rsid w:val="00D5140F"/>
    <w:rsid w:val="00D52EA5"/>
    <w:rsid w:val="00D669BD"/>
    <w:rsid w:val="00D715E3"/>
    <w:rsid w:val="00D73D22"/>
    <w:rsid w:val="00D82528"/>
    <w:rsid w:val="00D92DBC"/>
    <w:rsid w:val="00D93458"/>
    <w:rsid w:val="00DA305D"/>
    <w:rsid w:val="00DB18F9"/>
    <w:rsid w:val="00DB37C8"/>
    <w:rsid w:val="00DC2932"/>
    <w:rsid w:val="00DC492D"/>
    <w:rsid w:val="00DC6C01"/>
    <w:rsid w:val="00DD11A4"/>
    <w:rsid w:val="00DD1D99"/>
    <w:rsid w:val="00DD517D"/>
    <w:rsid w:val="00DF1C59"/>
    <w:rsid w:val="00DF30E7"/>
    <w:rsid w:val="00DF4190"/>
    <w:rsid w:val="00E04396"/>
    <w:rsid w:val="00E07302"/>
    <w:rsid w:val="00E07AA4"/>
    <w:rsid w:val="00E13DE3"/>
    <w:rsid w:val="00E155AE"/>
    <w:rsid w:val="00E208B7"/>
    <w:rsid w:val="00E21904"/>
    <w:rsid w:val="00E27EAC"/>
    <w:rsid w:val="00E4036E"/>
    <w:rsid w:val="00E433EA"/>
    <w:rsid w:val="00E43ACE"/>
    <w:rsid w:val="00E44DE8"/>
    <w:rsid w:val="00E47B5A"/>
    <w:rsid w:val="00E50FE3"/>
    <w:rsid w:val="00E70EAF"/>
    <w:rsid w:val="00E7129B"/>
    <w:rsid w:val="00E82704"/>
    <w:rsid w:val="00EA2323"/>
    <w:rsid w:val="00EA5943"/>
    <w:rsid w:val="00EB1B3E"/>
    <w:rsid w:val="00EB43E5"/>
    <w:rsid w:val="00EC19F1"/>
    <w:rsid w:val="00EC5010"/>
    <w:rsid w:val="00ED79F2"/>
    <w:rsid w:val="00EE29F7"/>
    <w:rsid w:val="00EE301A"/>
    <w:rsid w:val="00EE3B97"/>
    <w:rsid w:val="00F018D7"/>
    <w:rsid w:val="00F04480"/>
    <w:rsid w:val="00F16A71"/>
    <w:rsid w:val="00F202F1"/>
    <w:rsid w:val="00F2090F"/>
    <w:rsid w:val="00F2137E"/>
    <w:rsid w:val="00F23672"/>
    <w:rsid w:val="00F23D9B"/>
    <w:rsid w:val="00F2429A"/>
    <w:rsid w:val="00F43334"/>
    <w:rsid w:val="00F47B1E"/>
    <w:rsid w:val="00F5441B"/>
    <w:rsid w:val="00F54A57"/>
    <w:rsid w:val="00F600A8"/>
    <w:rsid w:val="00F61BEB"/>
    <w:rsid w:val="00F667ED"/>
    <w:rsid w:val="00F66808"/>
    <w:rsid w:val="00F72177"/>
    <w:rsid w:val="00F723DA"/>
    <w:rsid w:val="00F75F63"/>
    <w:rsid w:val="00F818D0"/>
    <w:rsid w:val="00F834A8"/>
    <w:rsid w:val="00F83853"/>
    <w:rsid w:val="00F83CC1"/>
    <w:rsid w:val="00F967D6"/>
    <w:rsid w:val="00FA1C98"/>
    <w:rsid w:val="00FA33FA"/>
    <w:rsid w:val="00FA5B90"/>
    <w:rsid w:val="00FC160D"/>
    <w:rsid w:val="00FC2DDA"/>
    <w:rsid w:val="00FC2EFB"/>
    <w:rsid w:val="00FC7626"/>
    <w:rsid w:val="00FD066B"/>
    <w:rsid w:val="00FD13D2"/>
    <w:rsid w:val="00FD6DF1"/>
    <w:rsid w:val="00FD7238"/>
    <w:rsid w:val="00FE1A85"/>
    <w:rsid w:val="00FE36E3"/>
    <w:rsid w:val="00FF6CD9"/>
    <w:rsid w:val="00FF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ADAFB"/>
  <w15:chartTrackingRefBased/>
  <w15:docId w15:val="{4C23E33A-A2B6-4E1B-B551-EA3142C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3B"/>
  </w:style>
  <w:style w:type="paragraph" w:styleId="Footer">
    <w:name w:val="footer"/>
    <w:basedOn w:val="Normal"/>
    <w:link w:val="FooterChar"/>
    <w:uiPriority w:val="99"/>
    <w:unhideWhenUsed/>
    <w:rsid w:val="00AE6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3B"/>
  </w:style>
  <w:style w:type="table" w:styleId="TableGrid">
    <w:name w:val="Table Grid"/>
    <w:basedOn w:val="TableNormal"/>
    <w:uiPriority w:val="39"/>
    <w:rsid w:val="00281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74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4A4"/>
    <w:rPr>
      <w:rFonts w:ascii="Segoe UI" w:hAnsi="Segoe UI" w:cs="Segoe UI"/>
      <w:sz w:val="18"/>
      <w:szCs w:val="18"/>
    </w:rPr>
  </w:style>
  <w:style w:type="paragraph" w:styleId="ListParagraph">
    <w:name w:val="List Paragraph"/>
    <w:basedOn w:val="Normal"/>
    <w:uiPriority w:val="34"/>
    <w:qFormat/>
    <w:rsid w:val="000274A4"/>
    <w:pPr>
      <w:ind w:left="720"/>
      <w:contextualSpacing/>
    </w:pPr>
  </w:style>
  <w:style w:type="character" w:styleId="CommentReference">
    <w:name w:val="annotation reference"/>
    <w:basedOn w:val="DefaultParagraphFont"/>
    <w:uiPriority w:val="99"/>
    <w:semiHidden/>
    <w:unhideWhenUsed/>
    <w:rsid w:val="006E7AD4"/>
    <w:rPr>
      <w:sz w:val="16"/>
      <w:szCs w:val="16"/>
    </w:rPr>
  </w:style>
  <w:style w:type="paragraph" w:styleId="CommentText">
    <w:name w:val="annotation text"/>
    <w:basedOn w:val="Normal"/>
    <w:link w:val="CommentTextChar"/>
    <w:uiPriority w:val="99"/>
    <w:semiHidden/>
    <w:unhideWhenUsed/>
    <w:rsid w:val="006E7AD4"/>
    <w:pPr>
      <w:spacing w:line="240" w:lineRule="auto"/>
    </w:pPr>
    <w:rPr>
      <w:sz w:val="20"/>
      <w:szCs w:val="20"/>
    </w:rPr>
  </w:style>
  <w:style w:type="character" w:customStyle="1" w:styleId="CommentTextChar">
    <w:name w:val="Comment Text Char"/>
    <w:basedOn w:val="DefaultParagraphFont"/>
    <w:link w:val="CommentText"/>
    <w:uiPriority w:val="99"/>
    <w:semiHidden/>
    <w:rsid w:val="006E7AD4"/>
    <w:rPr>
      <w:sz w:val="20"/>
      <w:szCs w:val="20"/>
    </w:rPr>
  </w:style>
  <w:style w:type="paragraph" w:styleId="CommentSubject">
    <w:name w:val="annotation subject"/>
    <w:basedOn w:val="CommentText"/>
    <w:next w:val="CommentText"/>
    <w:link w:val="CommentSubjectChar"/>
    <w:uiPriority w:val="99"/>
    <w:semiHidden/>
    <w:unhideWhenUsed/>
    <w:rsid w:val="006E7AD4"/>
    <w:rPr>
      <w:b/>
      <w:bCs/>
    </w:rPr>
  </w:style>
  <w:style w:type="character" w:customStyle="1" w:styleId="CommentSubjectChar">
    <w:name w:val="Comment Subject Char"/>
    <w:basedOn w:val="CommentTextChar"/>
    <w:link w:val="CommentSubject"/>
    <w:uiPriority w:val="99"/>
    <w:semiHidden/>
    <w:rsid w:val="006E7AD4"/>
    <w:rPr>
      <w:b/>
      <w:bCs/>
      <w:sz w:val="20"/>
      <w:szCs w:val="20"/>
    </w:rPr>
  </w:style>
  <w:style w:type="character" w:styleId="Hyperlink">
    <w:name w:val="Hyperlink"/>
    <w:basedOn w:val="DefaultParagraphFont"/>
    <w:uiPriority w:val="99"/>
    <w:unhideWhenUsed/>
    <w:rsid w:val="00733124"/>
    <w:rPr>
      <w:color w:val="0000FF"/>
      <w:u w:val="single"/>
    </w:rPr>
  </w:style>
  <w:style w:type="character" w:styleId="Emphasis">
    <w:name w:val="Emphasis"/>
    <w:basedOn w:val="DefaultParagraphFont"/>
    <w:uiPriority w:val="20"/>
    <w:qFormat/>
    <w:rsid w:val="00CB1997"/>
    <w:rPr>
      <w:i/>
      <w:iCs/>
    </w:rPr>
  </w:style>
  <w:style w:type="paragraph" w:styleId="NormalWeb">
    <w:name w:val="Normal (Web)"/>
    <w:basedOn w:val="Normal"/>
    <w:uiPriority w:val="99"/>
    <w:unhideWhenUsed/>
    <w:rsid w:val="00CB19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E13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628689">
      <w:bodyDiv w:val="1"/>
      <w:marLeft w:val="0"/>
      <w:marRight w:val="0"/>
      <w:marTop w:val="0"/>
      <w:marBottom w:val="0"/>
      <w:divBdr>
        <w:top w:val="none" w:sz="0" w:space="0" w:color="auto"/>
        <w:left w:val="none" w:sz="0" w:space="0" w:color="auto"/>
        <w:bottom w:val="none" w:sz="0" w:space="0" w:color="auto"/>
        <w:right w:val="none" w:sz="0" w:space="0" w:color="auto"/>
      </w:divBdr>
      <w:divsChild>
        <w:div w:id="1464739453">
          <w:marLeft w:val="0"/>
          <w:marRight w:val="0"/>
          <w:marTop w:val="0"/>
          <w:marBottom w:val="0"/>
          <w:divBdr>
            <w:top w:val="none" w:sz="0" w:space="0" w:color="auto"/>
            <w:left w:val="none" w:sz="0" w:space="0" w:color="auto"/>
            <w:bottom w:val="none" w:sz="0" w:space="0" w:color="auto"/>
            <w:right w:val="none" w:sz="0" w:space="0" w:color="auto"/>
          </w:divBdr>
        </w:div>
        <w:div w:id="602104380">
          <w:marLeft w:val="0"/>
          <w:marRight w:val="0"/>
          <w:marTop w:val="0"/>
          <w:marBottom w:val="0"/>
          <w:divBdr>
            <w:top w:val="none" w:sz="0" w:space="0" w:color="auto"/>
            <w:left w:val="none" w:sz="0" w:space="0" w:color="auto"/>
            <w:bottom w:val="none" w:sz="0" w:space="0" w:color="auto"/>
            <w:right w:val="none" w:sz="0" w:space="0" w:color="auto"/>
          </w:divBdr>
        </w:div>
        <w:div w:id="1291865006">
          <w:marLeft w:val="0"/>
          <w:marRight w:val="0"/>
          <w:marTop w:val="0"/>
          <w:marBottom w:val="0"/>
          <w:divBdr>
            <w:top w:val="none" w:sz="0" w:space="0" w:color="auto"/>
            <w:left w:val="none" w:sz="0" w:space="0" w:color="auto"/>
            <w:bottom w:val="none" w:sz="0" w:space="0" w:color="auto"/>
            <w:right w:val="none" w:sz="0" w:space="0" w:color="auto"/>
          </w:divBdr>
        </w:div>
        <w:div w:id="2144348442">
          <w:marLeft w:val="0"/>
          <w:marRight w:val="0"/>
          <w:marTop w:val="0"/>
          <w:marBottom w:val="0"/>
          <w:divBdr>
            <w:top w:val="none" w:sz="0" w:space="0" w:color="auto"/>
            <w:left w:val="none" w:sz="0" w:space="0" w:color="auto"/>
            <w:bottom w:val="none" w:sz="0" w:space="0" w:color="auto"/>
            <w:right w:val="none" w:sz="0" w:space="0" w:color="auto"/>
          </w:divBdr>
          <w:divsChild>
            <w:div w:id="195948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5312</TotalTime>
  <Pages>15</Pages>
  <Words>5507</Words>
  <Characters>31390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Giebel, Clarissa</dc:creator>
  <cp:keywords/>
  <dc:description/>
  <cp:lastModifiedBy>Giebel, Clarissa</cp:lastModifiedBy>
  <cp:revision>49</cp:revision>
  <dcterms:created xsi:type="dcterms:W3CDTF">2020-09-23T18:34:00Z</dcterms:created>
  <dcterms:modified xsi:type="dcterms:W3CDTF">2021-01-04T08:27:00Z</dcterms:modified>
</cp:coreProperties>
</file>