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165"/>
        <w:gridCol w:w="1316"/>
        <w:gridCol w:w="1531"/>
        <w:gridCol w:w="1231"/>
        <w:gridCol w:w="1758"/>
        <w:gridCol w:w="1586"/>
        <w:gridCol w:w="1805"/>
      </w:tblGrid>
      <w:tr w:rsidR="009A6B1B">
        <w:trPr>
          <w:trHeight w:val="516"/>
          <w:tblHeader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bookmarkStart w:id="0" w:name="_GoBack"/>
            <w:bookmarkEnd w:id="0"/>
            <w:r>
              <w:t>Co-morbidity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r>
              <w:rPr>
                <w:lang w:val="en-US"/>
              </w:rPr>
              <w:t>Group A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r>
              <w:rPr>
                <w:lang w:val="en-US"/>
              </w:rPr>
              <w:t>Group B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r>
              <w:rPr>
                <w:lang w:val="en-US"/>
              </w:rPr>
              <w:t>Group C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proofErr w:type="gramStart"/>
            <w:r>
              <w:rPr>
                <w:lang w:val="en-US"/>
              </w:rPr>
              <w:t>p</w:t>
            </w:r>
            <w:proofErr w:type="gramEnd"/>
            <w:r>
              <w:rPr>
                <w:lang w:val="en-US"/>
              </w:rPr>
              <w:t xml:space="preserve"> value</w:t>
            </w:r>
          </w:p>
          <w:p w:rsidR="009A6B1B" w:rsidRDefault="002D365E">
            <w:pPr>
              <w:pStyle w:val="TableStyle1"/>
              <w:jc w:val="center"/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proofErr w:type="gramStart"/>
            <w:r>
              <w:rPr>
                <w:lang w:val="en-US"/>
              </w:rPr>
              <w:t>p</w:t>
            </w:r>
            <w:proofErr w:type="gramEnd"/>
            <w:r>
              <w:rPr>
                <w:lang w:val="en-US"/>
              </w:rPr>
              <w:t xml:space="preserve"> value </w:t>
            </w:r>
          </w:p>
          <w:p w:rsidR="009A6B1B" w:rsidRDefault="002D365E">
            <w:pPr>
              <w:pStyle w:val="TableStyle1"/>
              <w:jc w:val="center"/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1"/>
              <w:jc w:val="center"/>
            </w:pPr>
            <w:proofErr w:type="gramStart"/>
            <w:r>
              <w:rPr>
                <w:lang w:val="en-US"/>
              </w:rPr>
              <w:t>p</w:t>
            </w:r>
            <w:proofErr w:type="gramEnd"/>
            <w:r>
              <w:rPr>
                <w:lang w:val="en-US"/>
              </w:rPr>
              <w:t xml:space="preserve"> value</w:t>
            </w:r>
          </w:p>
          <w:p w:rsidR="009A6B1B" w:rsidRDefault="002D365E">
            <w:pPr>
              <w:pStyle w:val="TableStyle1"/>
              <w:jc w:val="center"/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</w:tr>
      <w:tr w:rsidR="009A6B1B">
        <w:tblPrEx>
          <w:shd w:val="clear" w:color="auto" w:fill="CADFFF"/>
        </w:tblPrEx>
        <w:trPr>
          <w:trHeight w:val="339"/>
        </w:trPr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VACTERL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0.4579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0.8476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0.2727</w:t>
            </w:r>
          </w:p>
        </w:tc>
      </w:tr>
      <w:tr w:rsidR="009A6B1B">
        <w:tblPrEx>
          <w:shd w:val="clear" w:color="auto" w:fill="CADFFF"/>
        </w:tblPrEx>
        <w:trPr>
          <w:trHeight w:val="39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 xml:space="preserve">Major CVS </w:t>
            </w:r>
            <w:proofErr w:type="spellStart"/>
            <w:r>
              <w:t>anomaly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21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0.2052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0.7135</w:t>
            </w:r>
          </w:p>
        </w:tc>
      </w:tr>
      <w:tr w:rsidR="009A6B1B">
        <w:tblPrEx>
          <w:shd w:val="clear" w:color="auto" w:fill="CADFFF"/>
        </w:tblPrEx>
        <w:trPr>
          <w:trHeight w:val="32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 xml:space="preserve">GI </w:t>
            </w:r>
            <w:proofErr w:type="spellStart"/>
            <w:r>
              <w:t>anomaly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0.715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0.8476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rPr>
                <w:lang w:val="pt-PT"/>
              </w:rPr>
              <w:t>0.7056</w:t>
            </w:r>
          </w:p>
        </w:tc>
      </w:tr>
      <w:tr w:rsidR="009A6B1B">
        <w:tblPrEx>
          <w:shd w:val="clear" w:color="auto" w:fill="CADFFF"/>
        </w:tblPrEx>
        <w:trPr>
          <w:trHeight w:val="32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 xml:space="preserve">GU </w:t>
            </w:r>
            <w:proofErr w:type="spellStart"/>
            <w:r>
              <w:t>anomaly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0.3032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0.1683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rPr>
                <w:color w:val="EE220C"/>
                <w:u w:color="EE220C"/>
              </w:rPr>
              <w:t>0.043</w:t>
            </w:r>
          </w:p>
        </w:tc>
      </w:tr>
      <w:tr w:rsidR="009A6B1B">
        <w:tblPrEx>
          <w:shd w:val="clear" w:color="auto" w:fill="CADFFF"/>
        </w:tblPrEx>
        <w:trPr>
          <w:trHeight w:val="51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proofErr w:type="spellStart"/>
            <w:r>
              <w:t>Musculoskeletal</w:t>
            </w:r>
            <w:proofErr w:type="spellEnd"/>
            <w:r>
              <w:t xml:space="preserve"> </w:t>
            </w:r>
            <w:proofErr w:type="spellStart"/>
            <w:r>
              <w:t>anomaly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0.3298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0.4897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0.0939</w:t>
            </w:r>
          </w:p>
        </w:tc>
      </w:tr>
      <w:tr w:rsidR="009A6B1B">
        <w:tblPrEx>
          <w:shd w:val="clear" w:color="auto" w:fill="CADFFF"/>
        </w:tblPrEx>
        <w:trPr>
          <w:trHeight w:val="32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proofErr w:type="spellStart"/>
            <w:r>
              <w:rPr>
                <w:lang w:val="en-US"/>
              </w:rPr>
              <w:t>Orofacial</w:t>
            </w:r>
            <w:proofErr w:type="spellEnd"/>
            <w:r>
              <w:rPr>
                <w:lang w:val="en-US"/>
              </w:rPr>
              <w:t xml:space="preserve"> Cleft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9A6B1B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</w:t>
            </w:r>
          </w:p>
        </w:tc>
      </w:tr>
      <w:tr w:rsidR="009A6B1B">
        <w:tblPrEx>
          <w:shd w:val="clear" w:color="auto" w:fill="CADFFF"/>
        </w:tblPrEx>
        <w:trPr>
          <w:trHeight w:val="32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rPr>
                <w:lang w:val="fr-FR"/>
              </w:rPr>
              <w:t>Syndrome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0.5192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1B" w:rsidRDefault="002D365E">
            <w:pPr>
              <w:pStyle w:val="TableStyle2"/>
              <w:jc w:val="center"/>
            </w:pPr>
            <w:r>
              <w:t>0.49</w:t>
            </w:r>
          </w:p>
        </w:tc>
      </w:tr>
    </w:tbl>
    <w:p w:rsidR="009A6B1B" w:rsidRDefault="009A6B1B">
      <w:pPr>
        <w:pStyle w:val="Body"/>
        <w:widowControl w:val="0"/>
        <w:ind w:left="324" w:hanging="324"/>
      </w:pPr>
    </w:p>
    <w:p w:rsidR="009A6B1B" w:rsidRDefault="009A6B1B">
      <w:pPr>
        <w:pStyle w:val="BodyA"/>
        <w:widowControl w:val="0"/>
        <w:ind w:left="216" w:hanging="216"/>
      </w:pPr>
    </w:p>
    <w:p w:rsidR="009A6B1B" w:rsidRDefault="009A6B1B">
      <w:pPr>
        <w:pStyle w:val="BodyAA"/>
        <w:widowControl w:val="0"/>
        <w:ind w:left="108" w:hanging="108"/>
      </w:pPr>
    </w:p>
    <w:p w:rsidR="009A6B1B" w:rsidRDefault="009A6B1B">
      <w:pPr>
        <w:pStyle w:val="BodyAAA"/>
      </w:pPr>
    </w:p>
    <w:p w:rsidR="009A6B1B" w:rsidRDefault="009A6B1B">
      <w:pPr>
        <w:pStyle w:val="BodyAAA"/>
      </w:pPr>
    </w:p>
    <w:p w:rsidR="009A6B1B" w:rsidRDefault="002D365E">
      <w:pPr>
        <w:pStyle w:val="BodyAAA"/>
      </w:pPr>
      <w:r>
        <w:rPr>
          <w:rFonts w:eastAsia="Arial Unicode MS" w:cs="Arial Unicode MS"/>
          <w:lang w:val="en-US"/>
        </w:rPr>
        <w:t xml:space="preserve">Table 2: Co-morbidities within each group. VACTERL (Vertebral defects, </w:t>
      </w:r>
      <w:proofErr w:type="spellStart"/>
      <w:r>
        <w:rPr>
          <w:rFonts w:eastAsia="Arial Unicode MS" w:cs="Arial Unicode MS"/>
          <w:lang w:val="en-US"/>
        </w:rPr>
        <w:t>Anorectal</w:t>
      </w:r>
      <w:proofErr w:type="spellEnd"/>
      <w:r>
        <w:rPr>
          <w:rFonts w:eastAsia="Arial Unicode MS" w:cs="Arial Unicode MS"/>
          <w:lang w:val="en-US"/>
        </w:rPr>
        <w:t xml:space="preserve"> anomalies, Cardiac defects, </w:t>
      </w:r>
      <w:proofErr w:type="spellStart"/>
      <w:r>
        <w:rPr>
          <w:rFonts w:eastAsia="Arial Unicode MS" w:cs="Arial Unicode MS"/>
          <w:lang w:val="en-US"/>
        </w:rPr>
        <w:t>Tracheo</w:t>
      </w:r>
      <w:proofErr w:type="spellEnd"/>
      <w:r>
        <w:rPr>
          <w:rFonts w:eastAsia="Arial Unicode MS" w:cs="Arial Unicode MS"/>
          <w:lang w:val="en-US"/>
        </w:rPr>
        <w:t>-esophageal fist</w:t>
      </w:r>
      <w:r>
        <w:rPr>
          <w:rFonts w:eastAsia="Arial Unicode MS" w:cs="Arial Unicode MS"/>
          <w:lang w:val="en-US"/>
        </w:rPr>
        <w:t>u</w:t>
      </w:r>
      <w:r>
        <w:rPr>
          <w:rFonts w:eastAsia="Arial Unicode MS" w:cs="Arial Unicode MS"/>
          <w:lang w:val="en-US"/>
        </w:rPr>
        <w:t>la/esophageal atresia, Renal anomalies, Limb anomalies), patients with 3 or more of these defects were classified as having</w:t>
      </w:r>
      <w:r>
        <w:rPr>
          <w:rFonts w:eastAsia="Arial Unicode MS" w:cs="Arial Unicode MS"/>
          <w:lang w:val="en-US"/>
        </w:rPr>
        <w:t xml:space="preserve"> the VACTERL associ</w:t>
      </w:r>
      <w:r>
        <w:rPr>
          <w:rFonts w:eastAsia="Arial Unicode MS" w:cs="Arial Unicode MS"/>
          <w:lang w:val="en-US"/>
        </w:rPr>
        <w:t>a</w:t>
      </w:r>
      <w:r>
        <w:rPr>
          <w:rFonts w:eastAsia="Arial Unicode MS" w:cs="Arial Unicode MS"/>
          <w:lang w:val="en-US"/>
        </w:rPr>
        <w:t xml:space="preserve">tion. </w:t>
      </w:r>
    </w:p>
    <w:p w:rsidR="009A6B1B" w:rsidRDefault="002D365E">
      <w:pPr>
        <w:pStyle w:val="BodyAAA"/>
      </w:pPr>
      <w:r>
        <w:rPr>
          <w:rFonts w:eastAsia="Arial Unicode MS" w:cs="Arial Unicode MS"/>
          <w:lang w:val="en-US"/>
        </w:rPr>
        <w:t>GI = gastrointestinal, GU = genitourinary, CVS = cardiovascular.</w:t>
      </w:r>
    </w:p>
    <w:sectPr w:rsidR="009A6B1B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65E">
      <w:r>
        <w:separator/>
      </w:r>
    </w:p>
  </w:endnote>
  <w:endnote w:type="continuationSeparator" w:id="0">
    <w:p w:rsidR="00000000" w:rsidRDefault="002D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1B" w:rsidRDefault="009A6B1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65E">
      <w:r>
        <w:separator/>
      </w:r>
    </w:p>
  </w:footnote>
  <w:footnote w:type="continuationSeparator" w:id="0">
    <w:p w:rsidR="00000000" w:rsidRDefault="002D3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1B" w:rsidRDefault="009A6B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B1B"/>
    <w:rsid w:val="002D365E"/>
    <w:rsid w:val="009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2021-01-06T18:37:00Z</dcterms:created>
  <dcterms:modified xsi:type="dcterms:W3CDTF">2021-01-06T18:37:00Z</dcterms:modified>
</cp:coreProperties>
</file>