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A13F8" w14:textId="77777777" w:rsidR="00D50589" w:rsidRPr="00F634D2" w:rsidRDefault="00D50589">
      <w:pPr>
        <w:spacing w:line="360" w:lineRule="auto"/>
        <w:jc w:val="center"/>
        <w:rPr>
          <w:rFonts w:ascii="Times New Roman" w:eastAsia="PMingLiU" w:hAnsi="Times New Roman" w:cs="Times New Roman"/>
          <w:b/>
          <w:sz w:val="24"/>
          <w:szCs w:val="24"/>
          <w:lang w:eastAsia="zh-HK"/>
        </w:rPr>
      </w:pPr>
    </w:p>
    <w:p w14:paraId="5B3CDE32" w14:textId="77777777" w:rsidR="00D50589" w:rsidRPr="00F634D2" w:rsidRDefault="00686261">
      <w:pPr>
        <w:spacing w:line="360" w:lineRule="auto"/>
        <w:jc w:val="center"/>
        <w:rPr>
          <w:rFonts w:ascii="Times New Roman" w:eastAsia="PMingLiU" w:hAnsi="Times New Roman" w:cs="Times New Roman"/>
          <w:b/>
          <w:sz w:val="24"/>
          <w:szCs w:val="24"/>
          <w:lang w:eastAsia="zh-HK"/>
        </w:rPr>
      </w:pPr>
      <w:r w:rsidRPr="00F634D2">
        <w:rPr>
          <w:rFonts w:ascii="Times New Roman" w:eastAsia="PMingLiU" w:hAnsi="Times New Roman" w:cs="Times New Roman"/>
          <w:b/>
          <w:sz w:val="24"/>
          <w:szCs w:val="24"/>
          <w:lang w:eastAsia="zh-HK"/>
        </w:rPr>
        <w:t>The inevitable disclosure doctrine and CEO risk-taking incentives</w:t>
      </w:r>
    </w:p>
    <w:p w14:paraId="5AD28A2C" w14:textId="77777777" w:rsidR="00D50589" w:rsidRPr="00F634D2" w:rsidRDefault="00D50589">
      <w:pPr>
        <w:spacing w:line="360" w:lineRule="auto"/>
        <w:jc w:val="center"/>
        <w:rPr>
          <w:rFonts w:ascii="Times New Roman" w:eastAsia="PMingLiU" w:hAnsi="Times New Roman" w:cs="Times New Roman"/>
          <w:b/>
          <w:sz w:val="24"/>
          <w:szCs w:val="24"/>
          <w:lang w:eastAsia="zh-HK"/>
        </w:rPr>
      </w:pPr>
    </w:p>
    <w:p w14:paraId="5A0B8F54" w14:textId="7B06723E" w:rsidR="00D50589" w:rsidRPr="00F634D2" w:rsidRDefault="00686261">
      <w:pPr>
        <w:spacing w:line="480" w:lineRule="auto"/>
        <w:jc w:val="both"/>
        <w:rPr>
          <w:rFonts w:ascii="Times New Roman" w:eastAsia="PMingLiU" w:hAnsi="Times New Roman" w:cs="Times New Roman"/>
          <w:sz w:val="24"/>
          <w:szCs w:val="24"/>
          <w:lang w:eastAsia="zh-HK"/>
        </w:rPr>
      </w:pPr>
      <w:r w:rsidRPr="00F634D2">
        <w:rPr>
          <w:rFonts w:ascii="Times New Roman" w:eastAsia="PMingLiU" w:hAnsi="Times New Roman" w:cs="Times New Roman"/>
          <w:b/>
          <w:sz w:val="24"/>
          <w:szCs w:val="24"/>
          <w:lang w:eastAsia="zh-HK"/>
        </w:rPr>
        <w:t>Abstract:</w:t>
      </w:r>
      <w:r w:rsidRPr="00F634D2">
        <w:rPr>
          <w:rFonts w:ascii="Times New Roman" w:eastAsia="PMingLiU" w:hAnsi="Times New Roman" w:cs="Times New Roman"/>
          <w:sz w:val="24"/>
          <w:szCs w:val="24"/>
          <w:lang w:eastAsia="zh-HK"/>
        </w:rPr>
        <w:t xml:space="preserve"> This study investigates the impact of the inevitable disclosure doctrine (IDD) on risk-taking incentives of chief executive officers (CEOs). Because the IDD restricts CEOs’ external employment opportunities, we expect CEOs to become more risk-averse and firms to increase CEO risk-taking incentives after IDD adoption. Consistent with expectatio</w:t>
      </w:r>
      <w:bookmarkStart w:id="0" w:name="_GoBack"/>
      <w:bookmarkEnd w:id="0"/>
      <w:r w:rsidRPr="00F634D2">
        <w:rPr>
          <w:rFonts w:ascii="Times New Roman" w:eastAsia="PMingLiU" w:hAnsi="Times New Roman" w:cs="Times New Roman"/>
          <w:sz w:val="24"/>
          <w:szCs w:val="24"/>
          <w:lang w:eastAsia="zh-HK"/>
        </w:rPr>
        <w:t xml:space="preserve">ns, we find that IDD adoption is associated with higher CEO risk-taking incentives, </w:t>
      </w:r>
      <w:r w:rsidRPr="00F634D2">
        <w:rPr>
          <w:rFonts w:ascii="Times New Roman" w:eastAsia="PMingLiU" w:hAnsi="Times New Roman" w:cs="Times New Roman"/>
          <w:sz w:val="24"/>
          <w:szCs w:val="24"/>
        </w:rPr>
        <w:t xml:space="preserve">measured by the </w:t>
      </w:r>
      <w:r w:rsidRPr="00F634D2">
        <w:rPr>
          <w:rFonts w:ascii="Times New Roman" w:hAnsi="Times New Roman" w:cs="Times New Roman"/>
          <w:sz w:val="24"/>
          <w:szCs w:val="24"/>
        </w:rPr>
        <w:t>sensitivity of CEOs’ equity holdings to stock return volatility (</w:t>
      </w:r>
      <w:r w:rsidR="005677AE" w:rsidRPr="00F634D2">
        <w:rPr>
          <w:rFonts w:ascii="Times New Roman" w:eastAsia="PMingLiU" w:hAnsi="Times New Roman" w:cs="Times New Roman"/>
          <w:sz w:val="24"/>
          <w:szCs w:val="24"/>
        </w:rPr>
        <w:t>V</w:t>
      </w:r>
      <w:r w:rsidRPr="00F634D2">
        <w:rPr>
          <w:rFonts w:ascii="Times New Roman" w:eastAsia="PMingLiU" w:hAnsi="Times New Roman" w:cs="Times New Roman"/>
          <w:sz w:val="24"/>
          <w:szCs w:val="24"/>
        </w:rPr>
        <w:t>ega)</w:t>
      </w:r>
      <w:r w:rsidRPr="00F634D2">
        <w:rPr>
          <w:rFonts w:ascii="Times New Roman" w:eastAsia="PMingLiU" w:hAnsi="Times New Roman" w:cs="Times New Roman"/>
          <w:sz w:val="24"/>
          <w:szCs w:val="24"/>
          <w:lang w:eastAsia="zh-HK"/>
        </w:rPr>
        <w:t>. The positive impact of IDD adoption on CEO risk-taking incentives is stronger for firms in more homogeneous industries and for CEOs in the later years of their tenure.</w:t>
      </w:r>
    </w:p>
    <w:p w14:paraId="08865F16" w14:textId="03735813" w:rsidR="00D50589" w:rsidRPr="00F634D2" w:rsidRDefault="00686261">
      <w:pPr>
        <w:spacing w:line="480" w:lineRule="auto"/>
        <w:jc w:val="both"/>
        <w:rPr>
          <w:rFonts w:ascii="Times New Roman" w:hAnsi="Times New Roman" w:cs="Times New Roman"/>
          <w:sz w:val="24"/>
          <w:szCs w:val="24"/>
        </w:rPr>
      </w:pPr>
      <w:r w:rsidRPr="00F634D2">
        <w:rPr>
          <w:rFonts w:ascii="Times New Roman" w:eastAsia="PMingLiU" w:hAnsi="Times New Roman" w:cs="Times New Roman"/>
          <w:b/>
          <w:sz w:val="24"/>
          <w:szCs w:val="24"/>
          <w:lang w:eastAsia="zh-HK"/>
        </w:rPr>
        <w:t xml:space="preserve">Keywords: </w:t>
      </w:r>
      <w:r w:rsidRPr="00F634D2">
        <w:rPr>
          <w:rFonts w:ascii="Times New Roman" w:eastAsia="PMingLiU" w:hAnsi="Times New Roman" w:cs="Times New Roman"/>
          <w:sz w:val="24"/>
          <w:szCs w:val="24"/>
          <w:lang w:eastAsia="zh-HK"/>
        </w:rPr>
        <w:t>Trade secret law; IDD adoption; CEO risk-taking incentives;</w:t>
      </w:r>
      <w:r w:rsidRPr="00F634D2">
        <w:t xml:space="preserve"> </w:t>
      </w:r>
      <w:r w:rsidRPr="00F634D2">
        <w:rPr>
          <w:rFonts w:ascii="Times New Roman" w:eastAsia="PMingLiU" w:hAnsi="Times New Roman" w:cs="Times New Roman"/>
          <w:sz w:val="24"/>
          <w:szCs w:val="24"/>
          <w:lang w:eastAsia="zh-HK"/>
        </w:rPr>
        <w:t xml:space="preserve">equity compensation; </w:t>
      </w:r>
      <w:r w:rsidRPr="00F634D2">
        <w:rPr>
          <w:rFonts w:ascii="Times New Roman" w:hAnsi="Times New Roman" w:cs="Times New Roman"/>
          <w:sz w:val="24"/>
          <w:szCs w:val="24"/>
        </w:rPr>
        <w:t>external employment opportunities</w:t>
      </w:r>
    </w:p>
    <w:p w14:paraId="25FA931B" w14:textId="43E71D81" w:rsidR="00D50589" w:rsidRPr="00F634D2" w:rsidRDefault="00D50589">
      <w:pPr>
        <w:spacing w:line="480" w:lineRule="auto"/>
        <w:jc w:val="both"/>
        <w:rPr>
          <w:rFonts w:ascii="Times New Roman" w:eastAsia="PMingLiU" w:hAnsi="Times New Roman" w:cs="Times New Roman"/>
          <w:b/>
          <w:bCs/>
          <w:sz w:val="24"/>
          <w:szCs w:val="24"/>
          <w:lang w:eastAsia="zh-HK"/>
        </w:rPr>
      </w:pPr>
    </w:p>
    <w:p w14:paraId="18EA2A8F" w14:textId="77777777" w:rsidR="00D50589" w:rsidRPr="00F634D2" w:rsidRDefault="00D50589">
      <w:pPr>
        <w:snapToGrid w:val="0"/>
        <w:spacing w:after="240" w:line="480" w:lineRule="auto"/>
        <w:jc w:val="center"/>
        <w:rPr>
          <w:rFonts w:ascii="Times New Roman" w:eastAsia="PMingLiU" w:hAnsi="Times New Roman" w:cs="Times New Roman"/>
          <w:b/>
          <w:sz w:val="24"/>
          <w:szCs w:val="24"/>
          <w:lang w:eastAsia="zh-HK"/>
        </w:rPr>
      </w:pPr>
    </w:p>
    <w:p w14:paraId="6A6F68D1" w14:textId="77777777" w:rsidR="00D50589" w:rsidRPr="00F634D2" w:rsidRDefault="00D50589">
      <w:pPr>
        <w:snapToGrid w:val="0"/>
        <w:spacing w:after="240" w:line="480" w:lineRule="auto"/>
        <w:jc w:val="center"/>
        <w:rPr>
          <w:rFonts w:ascii="Times New Roman" w:eastAsia="PMingLiU" w:hAnsi="Times New Roman" w:cs="Times New Roman"/>
          <w:b/>
          <w:sz w:val="24"/>
          <w:szCs w:val="24"/>
          <w:lang w:eastAsia="zh-HK"/>
        </w:rPr>
        <w:sectPr w:rsidR="00D50589" w:rsidRPr="00F634D2">
          <w:footerReference w:type="default" r:id="rId8"/>
          <w:pgSz w:w="12240" w:h="15840" w:code="1"/>
          <w:pgMar w:top="1440" w:right="1800" w:bottom="1440" w:left="1800" w:header="720" w:footer="720" w:gutter="0"/>
          <w:cols w:space="708"/>
          <w:docGrid w:linePitch="360"/>
        </w:sectPr>
      </w:pPr>
    </w:p>
    <w:p w14:paraId="4F1514F5" w14:textId="77777777" w:rsidR="00D50589" w:rsidRPr="00F634D2" w:rsidRDefault="00686261">
      <w:pPr>
        <w:adjustRightInd w:val="0"/>
        <w:spacing w:after="120" w:line="240" w:lineRule="auto"/>
        <w:jc w:val="center"/>
        <w:rPr>
          <w:rFonts w:ascii="Times New Roman" w:eastAsia="PMingLiU" w:hAnsi="Times New Roman" w:cs="Times New Roman"/>
          <w:b/>
          <w:sz w:val="24"/>
          <w:szCs w:val="24"/>
          <w:lang w:eastAsia="zh-HK"/>
        </w:rPr>
      </w:pPr>
      <w:r w:rsidRPr="00F634D2">
        <w:rPr>
          <w:rFonts w:ascii="Times New Roman" w:eastAsia="PMingLiU" w:hAnsi="Times New Roman" w:cs="Times New Roman"/>
          <w:b/>
          <w:sz w:val="24"/>
          <w:szCs w:val="24"/>
          <w:lang w:eastAsia="zh-HK"/>
        </w:rPr>
        <w:lastRenderedPageBreak/>
        <w:t>The inevitable disclosure doctrine and CEO risk-taking incentives</w:t>
      </w:r>
    </w:p>
    <w:p w14:paraId="76D1DE95" w14:textId="77777777" w:rsidR="00D50589" w:rsidRPr="00F634D2" w:rsidRDefault="00D50589">
      <w:pPr>
        <w:adjustRightInd w:val="0"/>
        <w:spacing w:after="120" w:line="240" w:lineRule="auto"/>
        <w:jc w:val="center"/>
        <w:rPr>
          <w:rFonts w:ascii="Times New Roman" w:eastAsia="PMingLiU" w:hAnsi="Times New Roman" w:cs="Times New Roman"/>
          <w:b/>
          <w:sz w:val="24"/>
          <w:szCs w:val="24"/>
          <w:lang w:eastAsia="zh-HK"/>
        </w:rPr>
      </w:pPr>
    </w:p>
    <w:p w14:paraId="6C54E353" w14:textId="77777777" w:rsidR="00D50589" w:rsidRPr="00F634D2" w:rsidRDefault="00686261">
      <w:pPr>
        <w:keepNext/>
        <w:spacing w:after="240"/>
        <w:jc w:val="both"/>
        <w:rPr>
          <w:rFonts w:ascii="Times New Roman" w:eastAsia="PMingLiU" w:hAnsi="Times New Roman" w:cs="Times New Roman"/>
          <w:b/>
          <w:sz w:val="24"/>
          <w:szCs w:val="24"/>
          <w:lang w:eastAsia="zh-HK"/>
        </w:rPr>
      </w:pPr>
      <w:r w:rsidRPr="00F634D2">
        <w:rPr>
          <w:rFonts w:ascii="Times New Roman" w:eastAsia="PMingLiU" w:hAnsi="Times New Roman" w:cs="Times New Roman"/>
          <w:b/>
          <w:sz w:val="24"/>
          <w:szCs w:val="24"/>
          <w:lang w:eastAsia="zh-HK"/>
        </w:rPr>
        <w:t>1. Introduction</w:t>
      </w:r>
    </w:p>
    <w:p w14:paraId="0FA1E842" w14:textId="77777777" w:rsidR="00D50589" w:rsidRPr="00F634D2" w:rsidRDefault="00686261">
      <w:pPr>
        <w:spacing w:after="0" w:line="480" w:lineRule="auto"/>
        <w:ind w:firstLineChars="200" w:firstLine="480"/>
        <w:jc w:val="both"/>
        <w:rPr>
          <w:rFonts w:ascii="Times New Roman" w:hAnsi="Times New Roman" w:cs="Times New Roman"/>
          <w:sz w:val="24"/>
          <w:szCs w:val="24"/>
        </w:rPr>
      </w:pPr>
      <w:r w:rsidRPr="00F634D2">
        <w:rPr>
          <w:rFonts w:ascii="Times New Roman" w:eastAsia="PMingLiU" w:hAnsi="Times New Roman" w:cs="Times New Roman"/>
          <w:sz w:val="24"/>
          <w:szCs w:val="24"/>
          <w:lang w:eastAsia="zh-HK"/>
        </w:rPr>
        <w:t xml:space="preserve">The inevitable disclosure doctrine (IDD) </w:t>
      </w:r>
      <w:r w:rsidRPr="00F634D2">
        <w:rPr>
          <w:rStyle w:val="fontstyle01"/>
          <w:rFonts w:ascii="Times New Roman" w:hAnsi="Times New Roman" w:cs="Times New Roman"/>
          <w:color w:val="auto"/>
        </w:rPr>
        <w:t>is a</w:t>
      </w:r>
      <w:r w:rsidRPr="00F634D2">
        <w:rPr>
          <w:rFonts w:ascii="Times New Roman" w:hAnsi="Times New Roman" w:cs="Times New Roman"/>
        </w:rPr>
        <w:t xml:space="preserve"> </w:t>
      </w:r>
      <w:r w:rsidRPr="00F634D2">
        <w:rPr>
          <w:rStyle w:val="fontstyle01"/>
          <w:rFonts w:ascii="Times New Roman" w:hAnsi="Times New Roman" w:cs="Times New Roman"/>
          <w:color w:val="auto"/>
        </w:rPr>
        <w:t xml:space="preserve">legal doctrine that can be adopted by state courts in the U.S. to protect trade secrets. Once adopted, the IDD prevents a firm’s employees from working for its rivals to reduce the divulgence of trade secrets. A growing stream of literature has investigated the economic consequences of IDD adoption. Previous studies have documented that IDD adoption affects firms’ capital structure, investment decisions, and voluntary disclosure levels (Ali et al. 2015; Li et al. 2018; Qiu and Wang 2018; </w:t>
      </w:r>
      <w:proofErr w:type="spellStart"/>
      <w:r w:rsidRPr="00F634D2">
        <w:rPr>
          <w:rStyle w:val="fontstyle01"/>
          <w:rFonts w:ascii="Times New Roman" w:hAnsi="Times New Roman" w:cs="Times New Roman"/>
          <w:color w:val="auto"/>
        </w:rPr>
        <w:t>Klasa</w:t>
      </w:r>
      <w:proofErr w:type="spellEnd"/>
      <w:r w:rsidRPr="00F634D2">
        <w:rPr>
          <w:rStyle w:val="fontstyle01"/>
          <w:rFonts w:ascii="Times New Roman" w:hAnsi="Times New Roman" w:cs="Times New Roman"/>
          <w:color w:val="auto"/>
        </w:rPr>
        <w:t xml:space="preserve"> et al. 2018). </w:t>
      </w:r>
      <w:r w:rsidRPr="00F634D2">
        <w:rPr>
          <w:rFonts w:ascii="Times New Roman" w:eastAsia="PMingLiU" w:hAnsi="Times New Roman" w:cs="Times New Roman"/>
          <w:sz w:val="24"/>
          <w:szCs w:val="24"/>
          <w:lang w:eastAsia="zh-HK"/>
        </w:rPr>
        <w:t>Our study extends prior research by investigating whether CEO risk-taking incentives are affected by IDD adoption.</w:t>
      </w:r>
      <w:r w:rsidRPr="00F634D2">
        <w:rPr>
          <w:rFonts w:ascii="Times New Roman" w:hAnsi="Times New Roman" w:cs="Times New Roman"/>
          <w:sz w:val="24"/>
          <w:szCs w:val="24"/>
        </w:rPr>
        <w:t xml:space="preserve"> </w:t>
      </w:r>
    </w:p>
    <w:p w14:paraId="5157DE41" w14:textId="77777777" w:rsidR="00D50589" w:rsidRPr="00F634D2" w:rsidRDefault="00686261">
      <w:pPr>
        <w:spacing w:after="0" w:line="480" w:lineRule="auto"/>
        <w:ind w:firstLineChars="200" w:firstLine="480"/>
        <w:jc w:val="both"/>
        <w:rPr>
          <w:rFonts w:ascii="Times New Roman" w:hAnsi="Times New Roman" w:cs="Times New Roman"/>
          <w:sz w:val="24"/>
          <w:szCs w:val="24"/>
        </w:rPr>
      </w:pPr>
      <w:r w:rsidRPr="00F634D2">
        <w:rPr>
          <w:rFonts w:ascii="Times New Roman" w:hAnsi="Times New Roman" w:cs="Times New Roman"/>
          <w:sz w:val="24"/>
          <w:szCs w:val="24"/>
        </w:rPr>
        <w:t xml:space="preserve">By preventing a firm’s employees from working for its rivals, the IDD limits employees’ outside employment opportunities (Ali et al. 2015; </w:t>
      </w:r>
      <w:proofErr w:type="spellStart"/>
      <w:r w:rsidRPr="00F634D2">
        <w:rPr>
          <w:rFonts w:ascii="Times New Roman" w:hAnsi="Times New Roman" w:cs="Times New Roman"/>
          <w:sz w:val="24"/>
          <w:szCs w:val="24"/>
        </w:rPr>
        <w:t>Klasa</w:t>
      </w:r>
      <w:proofErr w:type="spellEnd"/>
      <w:r w:rsidRPr="00F634D2">
        <w:rPr>
          <w:rFonts w:ascii="Times New Roman" w:hAnsi="Times New Roman" w:cs="Times New Roman"/>
          <w:sz w:val="24"/>
          <w:szCs w:val="24"/>
        </w:rPr>
        <w:t xml:space="preserve"> et al. 2018). We hypothesize that, because of such diminished external employment opportunities, CEOs become more risk-averse after IDD adoption. To maintain risk-taking, firms are expected to increase CEO risk-taking incentives in response to IDD adoption. Our hypothesis is motivated by two streams of prior research. First, prior research documents that managers become more risk-averse when they have fewer external employment opportunities (e.g., Chevalier and Ellison 1999; Chakraborty et al. 2007; </w:t>
      </w:r>
      <w:proofErr w:type="spellStart"/>
      <w:r w:rsidRPr="00F634D2">
        <w:rPr>
          <w:rFonts w:ascii="Times New Roman" w:eastAsia="PMingLiU" w:hAnsi="Times New Roman" w:cs="Times New Roman"/>
          <w:sz w:val="24"/>
          <w:szCs w:val="24"/>
          <w:lang w:eastAsia="zh-HK"/>
        </w:rPr>
        <w:t>Samila</w:t>
      </w:r>
      <w:proofErr w:type="spellEnd"/>
      <w:r w:rsidRPr="00F634D2">
        <w:rPr>
          <w:rFonts w:ascii="Times New Roman" w:eastAsia="PMingLiU" w:hAnsi="Times New Roman" w:cs="Times New Roman"/>
          <w:sz w:val="24"/>
          <w:szCs w:val="24"/>
          <w:lang w:eastAsia="zh-HK"/>
        </w:rPr>
        <w:t xml:space="preserve"> and Sorenson 2011; </w:t>
      </w:r>
      <w:proofErr w:type="spellStart"/>
      <w:r w:rsidRPr="00F634D2">
        <w:rPr>
          <w:rFonts w:ascii="Times New Roman" w:eastAsia="PMingLiU" w:hAnsi="Times New Roman" w:cs="Times New Roman"/>
          <w:sz w:val="24"/>
          <w:szCs w:val="24"/>
          <w:lang w:eastAsia="zh-HK"/>
        </w:rPr>
        <w:t>Cici</w:t>
      </w:r>
      <w:proofErr w:type="spellEnd"/>
      <w:r w:rsidRPr="00F634D2">
        <w:rPr>
          <w:rFonts w:ascii="Times New Roman" w:eastAsia="PMingLiU" w:hAnsi="Times New Roman" w:cs="Times New Roman"/>
          <w:sz w:val="24"/>
          <w:szCs w:val="24"/>
          <w:lang w:eastAsia="zh-HK"/>
        </w:rPr>
        <w:t xml:space="preserve"> et al. 2019</w:t>
      </w:r>
      <w:r w:rsidRPr="00F634D2">
        <w:rPr>
          <w:rFonts w:ascii="Times New Roman" w:hAnsi="Times New Roman" w:cs="Times New Roman"/>
          <w:sz w:val="24"/>
          <w:szCs w:val="24"/>
        </w:rPr>
        <w:t xml:space="preserve">). For instance, </w:t>
      </w:r>
      <w:proofErr w:type="spellStart"/>
      <w:r w:rsidRPr="00F634D2">
        <w:rPr>
          <w:rFonts w:ascii="Times New Roman" w:hAnsi="Times New Roman" w:cs="Times New Roman"/>
          <w:sz w:val="24"/>
          <w:szCs w:val="24"/>
        </w:rPr>
        <w:t>Cici</w:t>
      </w:r>
      <w:proofErr w:type="spellEnd"/>
      <w:r w:rsidRPr="00F634D2">
        <w:rPr>
          <w:rFonts w:ascii="Times New Roman" w:hAnsi="Times New Roman" w:cs="Times New Roman"/>
          <w:sz w:val="24"/>
          <w:szCs w:val="24"/>
        </w:rPr>
        <w:t xml:space="preserve"> et al. (2019) find that restrictions on labor mobility affect the risk preferences of fund managers, as demonstrated by the noticeable risk reductions in their portfolios. Second, investors </w:t>
      </w:r>
      <w:r w:rsidR="007E03F2" w:rsidRPr="00F634D2">
        <w:rPr>
          <w:rFonts w:ascii="Times New Roman" w:hAnsi="Times New Roman" w:cs="Times New Roman"/>
          <w:sz w:val="24"/>
          <w:szCs w:val="24"/>
        </w:rPr>
        <w:t>understand</w:t>
      </w:r>
      <w:r w:rsidRPr="00F634D2">
        <w:rPr>
          <w:rFonts w:ascii="Times New Roman" w:hAnsi="Times New Roman" w:cs="Times New Roman"/>
          <w:sz w:val="24"/>
          <w:szCs w:val="24"/>
        </w:rPr>
        <w:t xml:space="preserve"> CEOs’ risk preferences and adjust risk-taking incentives to maintain an optimal level of risk-taking for the firm (e.g., Smith and </w:t>
      </w:r>
      <w:proofErr w:type="spellStart"/>
      <w:r w:rsidRPr="00F634D2">
        <w:rPr>
          <w:rFonts w:ascii="Times New Roman" w:hAnsi="Times New Roman" w:cs="Times New Roman"/>
          <w:sz w:val="24"/>
          <w:szCs w:val="24"/>
        </w:rPr>
        <w:t>Stulz</w:t>
      </w:r>
      <w:proofErr w:type="spellEnd"/>
      <w:r w:rsidRPr="00F634D2">
        <w:rPr>
          <w:rFonts w:ascii="Times New Roman" w:hAnsi="Times New Roman" w:cs="Times New Roman"/>
          <w:sz w:val="24"/>
          <w:szCs w:val="24"/>
        </w:rPr>
        <w:t xml:space="preserve"> 1985; Coles et al. 2006; Low 2009). </w:t>
      </w:r>
    </w:p>
    <w:p w14:paraId="32F638E2" w14:textId="0B3BEE2C" w:rsidR="00D50589" w:rsidRPr="00F634D2" w:rsidRDefault="00686261">
      <w:pPr>
        <w:adjustRightInd w:val="0"/>
        <w:snapToGrid w:val="0"/>
        <w:spacing w:after="0" w:line="480" w:lineRule="auto"/>
        <w:ind w:firstLineChars="200" w:firstLine="480"/>
        <w:jc w:val="both"/>
        <w:rPr>
          <w:rFonts w:ascii="Times New Roman" w:hAnsi="Times New Roman" w:cs="Times New Roman"/>
          <w:sz w:val="24"/>
          <w:szCs w:val="24"/>
        </w:rPr>
      </w:pPr>
      <w:r w:rsidRPr="00F634D2">
        <w:rPr>
          <w:rFonts w:ascii="Times New Roman" w:hAnsi="Times New Roman" w:cs="Times New Roman"/>
          <w:sz w:val="24"/>
          <w:szCs w:val="24"/>
        </w:rPr>
        <w:t xml:space="preserve">To provide a clean estimate for our hypothesis, we use a difference-in-differences approach by exploiting the staggered IDD adoption by the U.S. state courts over the period 1993–2012. </w:t>
      </w:r>
      <w:r w:rsidRPr="00F634D2">
        <w:rPr>
          <w:rFonts w:ascii="Times New Roman" w:hAnsi="Times New Roman" w:cs="Times New Roman"/>
          <w:sz w:val="24"/>
          <w:szCs w:val="24"/>
        </w:rPr>
        <w:lastRenderedPageBreak/>
        <w:t xml:space="preserve">Consistent with prior literature (e.g., </w:t>
      </w:r>
      <w:proofErr w:type="spellStart"/>
      <w:r w:rsidRPr="00F634D2">
        <w:rPr>
          <w:rFonts w:ascii="Times New Roman" w:hAnsi="Times New Roman" w:cs="Times New Roman"/>
          <w:sz w:val="24"/>
          <w:szCs w:val="24"/>
        </w:rPr>
        <w:t>Guay</w:t>
      </w:r>
      <w:proofErr w:type="spellEnd"/>
      <w:r w:rsidRPr="00F634D2">
        <w:rPr>
          <w:rFonts w:ascii="Times New Roman" w:hAnsi="Times New Roman" w:cs="Times New Roman"/>
          <w:sz w:val="24"/>
          <w:szCs w:val="24"/>
        </w:rPr>
        <w:t xml:space="preserve"> 1999; Core and </w:t>
      </w:r>
      <w:proofErr w:type="spellStart"/>
      <w:r w:rsidRPr="00F634D2">
        <w:rPr>
          <w:rFonts w:ascii="Times New Roman" w:hAnsi="Times New Roman" w:cs="Times New Roman"/>
          <w:sz w:val="24"/>
          <w:szCs w:val="24"/>
        </w:rPr>
        <w:t>Guay</w:t>
      </w:r>
      <w:proofErr w:type="spellEnd"/>
      <w:r w:rsidRPr="00F634D2">
        <w:rPr>
          <w:rFonts w:ascii="Times New Roman" w:hAnsi="Times New Roman" w:cs="Times New Roman"/>
          <w:sz w:val="24"/>
          <w:szCs w:val="24"/>
        </w:rPr>
        <w:t xml:space="preserve"> 2002; Coles et al. 2006; Low 2009), we use </w:t>
      </w:r>
      <w:r w:rsidR="005677AE" w:rsidRPr="00F634D2">
        <w:rPr>
          <w:rFonts w:ascii="Times New Roman" w:hAnsi="Times New Roman" w:cs="Times New Roman"/>
          <w:sz w:val="24"/>
          <w:szCs w:val="24"/>
        </w:rPr>
        <w:t>V</w:t>
      </w:r>
      <w:r w:rsidRPr="00F634D2">
        <w:rPr>
          <w:rFonts w:ascii="Times New Roman" w:hAnsi="Times New Roman" w:cs="Times New Roman"/>
          <w:sz w:val="24"/>
          <w:szCs w:val="24"/>
        </w:rPr>
        <w:t>ega as our primary measure of CEO risk-taking incentives.</w:t>
      </w:r>
      <w:r w:rsidRPr="00F634D2">
        <w:rPr>
          <w:rStyle w:val="FootnoteReference"/>
          <w:rFonts w:ascii="Times New Roman" w:hAnsi="Times New Roman" w:cs="Times New Roman"/>
          <w:sz w:val="24"/>
          <w:szCs w:val="24"/>
        </w:rPr>
        <w:footnoteReference w:id="2"/>
      </w:r>
      <w:r w:rsidRPr="00F634D2">
        <w:rPr>
          <w:rFonts w:ascii="Times New Roman" w:hAnsi="Times New Roman" w:cs="Times New Roman"/>
          <w:sz w:val="24"/>
          <w:szCs w:val="24"/>
        </w:rPr>
        <w:t xml:space="preserve"> Vega is the sensitivity of a CEO’s equity holdings to stock return volatility. Prior literature shows that higher </w:t>
      </w:r>
      <w:r w:rsidR="005677AE" w:rsidRPr="00F634D2">
        <w:rPr>
          <w:rFonts w:ascii="Times New Roman" w:hAnsi="Times New Roman" w:cs="Times New Roman"/>
          <w:sz w:val="24"/>
          <w:szCs w:val="24"/>
        </w:rPr>
        <w:t>V</w:t>
      </w:r>
      <w:r w:rsidRPr="00F634D2">
        <w:rPr>
          <w:rFonts w:ascii="Times New Roman" w:hAnsi="Times New Roman" w:cs="Times New Roman"/>
          <w:sz w:val="24"/>
          <w:szCs w:val="24"/>
        </w:rPr>
        <w:t xml:space="preserve">ega encourages risk-averse CEOs to take more risks (Coles et al. 2006; Low 2009; Armstrong and </w:t>
      </w:r>
      <w:proofErr w:type="spellStart"/>
      <w:r w:rsidRPr="00F634D2">
        <w:rPr>
          <w:rFonts w:ascii="Times New Roman" w:hAnsi="Times New Roman" w:cs="Times New Roman"/>
          <w:sz w:val="24"/>
          <w:szCs w:val="24"/>
        </w:rPr>
        <w:t>Vashishtha</w:t>
      </w:r>
      <w:proofErr w:type="spellEnd"/>
      <w:r w:rsidRPr="00F634D2">
        <w:rPr>
          <w:rFonts w:ascii="Times New Roman" w:hAnsi="Times New Roman" w:cs="Times New Roman"/>
          <w:sz w:val="24"/>
          <w:szCs w:val="24"/>
        </w:rPr>
        <w:t xml:space="preserve"> 2012). We include controls for firm-level factors that affect CEO compensation, controls for state economic conditions, and firm and industry-year fixed effects. </w:t>
      </w:r>
    </w:p>
    <w:p w14:paraId="2AF104B4" w14:textId="7170F8C0" w:rsidR="00D50589" w:rsidRPr="00F634D2" w:rsidRDefault="00686261">
      <w:pPr>
        <w:adjustRightInd w:val="0"/>
        <w:snapToGrid w:val="0"/>
        <w:spacing w:after="0" w:line="480" w:lineRule="auto"/>
        <w:ind w:firstLineChars="200" w:firstLine="480"/>
        <w:jc w:val="both"/>
        <w:rPr>
          <w:rFonts w:ascii="Times New Roman" w:hAnsi="Times New Roman" w:cs="Times New Roman"/>
          <w:sz w:val="24"/>
          <w:szCs w:val="24"/>
        </w:rPr>
      </w:pPr>
      <w:r w:rsidRPr="00F634D2">
        <w:rPr>
          <w:rFonts w:ascii="Times New Roman" w:hAnsi="Times New Roman" w:cs="Times New Roman"/>
          <w:sz w:val="24"/>
          <w:szCs w:val="24"/>
        </w:rPr>
        <w:t xml:space="preserve">Consistent with our hypothesis, we find that CEO </w:t>
      </w:r>
      <w:r w:rsidR="005677AE" w:rsidRPr="00F634D2">
        <w:rPr>
          <w:rFonts w:ascii="Times New Roman" w:hAnsi="Times New Roman" w:cs="Times New Roman"/>
          <w:sz w:val="24"/>
          <w:szCs w:val="24"/>
        </w:rPr>
        <w:t>V</w:t>
      </w:r>
      <w:r w:rsidRPr="00F634D2">
        <w:rPr>
          <w:rFonts w:ascii="Times New Roman" w:hAnsi="Times New Roman" w:cs="Times New Roman"/>
          <w:sz w:val="24"/>
          <w:szCs w:val="24"/>
        </w:rPr>
        <w:t>ega increased after IDD adoption. Because homogeneous industries provide more external employment opportunities (</w:t>
      </w:r>
      <w:proofErr w:type="spellStart"/>
      <w:r w:rsidRPr="00F634D2">
        <w:rPr>
          <w:rFonts w:ascii="Times New Roman" w:eastAsia="DengXian" w:hAnsi="Times New Roman" w:cs="Times New Roman"/>
          <w:sz w:val="24"/>
          <w:szCs w:val="24"/>
        </w:rPr>
        <w:t>Parrino</w:t>
      </w:r>
      <w:proofErr w:type="spellEnd"/>
      <w:r w:rsidRPr="00F634D2">
        <w:rPr>
          <w:rFonts w:ascii="Times New Roman" w:eastAsia="DengXian" w:hAnsi="Times New Roman" w:cs="Times New Roman"/>
          <w:sz w:val="24"/>
          <w:szCs w:val="24"/>
        </w:rPr>
        <w:t xml:space="preserve"> 1997</w:t>
      </w:r>
      <w:r w:rsidRPr="00F634D2">
        <w:rPr>
          <w:rFonts w:ascii="Times New Roman" w:hAnsi="Times New Roman" w:cs="Times New Roman"/>
          <w:sz w:val="24"/>
          <w:szCs w:val="24"/>
        </w:rPr>
        <w:t xml:space="preserve">), we also find that firms increase risk-taking incentives for CEOs working in more homogeneous industries to a greater extent. Moreover, because CEOs tend to be more risk-averse in the later years of their tenure (Berger et al. 1997; </w:t>
      </w:r>
      <w:proofErr w:type="spellStart"/>
      <w:r w:rsidRPr="00F634D2">
        <w:rPr>
          <w:rFonts w:ascii="Times New Roman" w:hAnsi="Times New Roman" w:cs="Times New Roman"/>
          <w:sz w:val="24"/>
          <w:szCs w:val="24"/>
        </w:rPr>
        <w:t>Simsek</w:t>
      </w:r>
      <w:proofErr w:type="spellEnd"/>
      <w:r w:rsidRPr="00F634D2">
        <w:rPr>
          <w:rFonts w:ascii="Times New Roman" w:hAnsi="Times New Roman" w:cs="Times New Roman"/>
          <w:sz w:val="24"/>
          <w:szCs w:val="24"/>
        </w:rPr>
        <w:t xml:space="preserve"> 2007; Zhang and Rajagopalan 2010; Ali and Zhang 2015), we further find that firms increase risk-taking incentives for CEOs during this part of their tenure to a greater extent. </w:t>
      </w:r>
    </w:p>
    <w:p w14:paraId="7B4E359E" w14:textId="49583CC7" w:rsidR="00D50589" w:rsidRPr="00F634D2" w:rsidRDefault="00686261">
      <w:pPr>
        <w:adjustRightInd w:val="0"/>
        <w:snapToGrid w:val="0"/>
        <w:spacing w:after="0" w:line="480" w:lineRule="auto"/>
        <w:ind w:firstLineChars="200" w:firstLine="480"/>
        <w:jc w:val="both"/>
        <w:rPr>
          <w:rFonts w:ascii="Times New Roman" w:hAnsi="Times New Roman" w:cs="Times New Roman"/>
          <w:sz w:val="24"/>
          <w:szCs w:val="24"/>
        </w:rPr>
      </w:pPr>
      <w:r w:rsidRPr="00F634D2">
        <w:rPr>
          <w:rFonts w:ascii="Times New Roman" w:hAnsi="Times New Roman" w:cs="Times New Roman"/>
          <w:sz w:val="24"/>
          <w:szCs w:val="24"/>
        </w:rPr>
        <w:t xml:space="preserve">For further analyses, we conduct tests on the association between IDD adoption and CEO delta (the sensitivity of CEOs’ equity holdings to stock price). Consistent with literature indicating that delta’s effect on risk-taking is ambiguous (e.g., Armstrong and </w:t>
      </w:r>
      <w:proofErr w:type="spellStart"/>
      <w:r w:rsidRPr="00F634D2">
        <w:rPr>
          <w:rFonts w:ascii="Times New Roman" w:hAnsi="Times New Roman" w:cs="Times New Roman"/>
          <w:sz w:val="24"/>
          <w:szCs w:val="24"/>
        </w:rPr>
        <w:t>Vashishtha</w:t>
      </w:r>
      <w:proofErr w:type="spellEnd"/>
      <w:r w:rsidRPr="00F634D2">
        <w:rPr>
          <w:rFonts w:ascii="Times New Roman" w:hAnsi="Times New Roman" w:cs="Times New Roman"/>
          <w:sz w:val="24"/>
          <w:szCs w:val="24"/>
        </w:rPr>
        <w:t xml:space="preserve"> 2012; Gormley et al. 2013), we find an insignificant association between IDD and CEO delta. Moreover, to elucidate the impact of the simultaneous change in risk-taking incentives and risk-taking behavior, we identify a group of firms that experienced little change in </w:t>
      </w:r>
      <w:r w:rsidR="005677AE" w:rsidRPr="00F634D2">
        <w:rPr>
          <w:rFonts w:ascii="Times New Roman" w:hAnsi="Times New Roman" w:cs="Times New Roman"/>
          <w:sz w:val="24"/>
          <w:szCs w:val="24"/>
        </w:rPr>
        <w:t>V</w:t>
      </w:r>
      <w:r w:rsidRPr="00F634D2">
        <w:rPr>
          <w:rFonts w:ascii="Times New Roman" w:hAnsi="Times New Roman" w:cs="Times New Roman"/>
          <w:sz w:val="24"/>
          <w:szCs w:val="24"/>
        </w:rPr>
        <w:t xml:space="preserve">ega around the IDD adoption. We find that firm risk-taking levels decreased after IDD adoption for this group of firms, indicating that </w:t>
      </w:r>
      <w:r w:rsidRPr="00F634D2">
        <w:rPr>
          <w:rFonts w:ascii="Times New Roman" w:hAnsi="Times New Roman" w:cs="Times New Roman"/>
          <w:sz w:val="24"/>
          <w:szCs w:val="24"/>
        </w:rPr>
        <w:lastRenderedPageBreak/>
        <w:t xml:space="preserve">CEOs would have become more risk-averse after IDD adoption if firms had not adjusted their risk-taking incentives. Our main results persist after restricting our sample to a neighboring-state matched sample and further controlling for the enforceability index of the contractual information protection mechanisms. We also find that board quality strengthens the impact of the IDD on CEO </w:t>
      </w:r>
      <w:r w:rsidR="005677AE" w:rsidRPr="00F634D2">
        <w:rPr>
          <w:rFonts w:ascii="Times New Roman" w:hAnsi="Times New Roman" w:cs="Times New Roman"/>
          <w:sz w:val="24"/>
          <w:szCs w:val="24"/>
        </w:rPr>
        <w:t>V</w:t>
      </w:r>
      <w:r w:rsidRPr="00F634D2">
        <w:rPr>
          <w:rFonts w:ascii="Times New Roman" w:hAnsi="Times New Roman" w:cs="Times New Roman"/>
          <w:sz w:val="24"/>
          <w:szCs w:val="24"/>
        </w:rPr>
        <w:t xml:space="preserve">ega. CEOs who never switch jobs have higher </w:t>
      </w:r>
      <w:r w:rsidR="005677AE" w:rsidRPr="00F634D2">
        <w:rPr>
          <w:rFonts w:ascii="Times New Roman" w:hAnsi="Times New Roman" w:cs="Times New Roman"/>
          <w:sz w:val="24"/>
          <w:szCs w:val="24"/>
        </w:rPr>
        <w:t>V</w:t>
      </w:r>
      <w:r w:rsidRPr="00F634D2">
        <w:rPr>
          <w:rFonts w:ascii="Times New Roman" w:hAnsi="Times New Roman" w:cs="Times New Roman"/>
          <w:sz w:val="24"/>
          <w:szCs w:val="24"/>
        </w:rPr>
        <w:t xml:space="preserve">ega after the IDD adoption. Furthermore, states that reversed their prior decisions of IDD adoption experience less negative impact on CEO </w:t>
      </w:r>
      <w:r w:rsidR="005677AE" w:rsidRPr="00F634D2">
        <w:rPr>
          <w:rFonts w:ascii="Times New Roman" w:hAnsi="Times New Roman" w:cs="Times New Roman"/>
          <w:sz w:val="24"/>
          <w:szCs w:val="24"/>
        </w:rPr>
        <w:t>V</w:t>
      </w:r>
      <w:r w:rsidRPr="00F634D2">
        <w:rPr>
          <w:rFonts w:ascii="Times New Roman" w:hAnsi="Times New Roman" w:cs="Times New Roman"/>
          <w:sz w:val="24"/>
          <w:szCs w:val="24"/>
        </w:rPr>
        <w:t xml:space="preserve">ega than states that never adopted the IDD.  </w:t>
      </w:r>
    </w:p>
    <w:p w14:paraId="026BF280" w14:textId="77777777" w:rsidR="00D50589" w:rsidRPr="00F634D2" w:rsidRDefault="00686261">
      <w:pPr>
        <w:adjustRightInd w:val="0"/>
        <w:snapToGrid w:val="0"/>
        <w:spacing w:after="0" w:line="480" w:lineRule="auto"/>
        <w:ind w:firstLineChars="200" w:firstLine="480"/>
        <w:jc w:val="both"/>
        <w:rPr>
          <w:rFonts w:ascii="Times New Roman" w:hAnsi="Times New Roman" w:cs="Times New Roman"/>
          <w:sz w:val="24"/>
          <w:szCs w:val="24"/>
        </w:rPr>
      </w:pPr>
      <w:r w:rsidRPr="00F634D2">
        <w:rPr>
          <w:rFonts w:ascii="Times New Roman" w:hAnsi="Times New Roman" w:cs="Times New Roman"/>
          <w:sz w:val="24"/>
          <w:szCs w:val="24"/>
        </w:rPr>
        <w:t xml:space="preserve">This paper contributes to two streams of literature. </w:t>
      </w:r>
      <w:bookmarkStart w:id="1" w:name="_Hlk501913475"/>
      <w:r w:rsidRPr="00F634D2">
        <w:rPr>
          <w:rFonts w:ascii="Times New Roman" w:hAnsi="Times New Roman" w:cs="Times New Roman"/>
          <w:sz w:val="24"/>
          <w:szCs w:val="24"/>
        </w:rPr>
        <w:t xml:space="preserve">First, the findings enrich the growing literature that examines the economic consequences of adoption of the IDD. For example, Li et al. (2018) show that firms respond to IDD adoption by reducing disclosure levels. </w:t>
      </w:r>
      <w:proofErr w:type="spellStart"/>
      <w:r w:rsidRPr="00F634D2">
        <w:rPr>
          <w:rFonts w:ascii="Times New Roman" w:hAnsi="Times New Roman" w:cs="Times New Roman"/>
          <w:sz w:val="24"/>
          <w:szCs w:val="24"/>
        </w:rPr>
        <w:t>Klasa</w:t>
      </w:r>
      <w:proofErr w:type="spellEnd"/>
      <w:r w:rsidRPr="00F634D2">
        <w:rPr>
          <w:rFonts w:ascii="Times New Roman" w:hAnsi="Times New Roman" w:cs="Times New Roman"/>
          <w:sz w:val="24"/>
          <w:szCs w:val="24"/>
        </w:rPr>
        <w:t xml:space="preserve"> et al. (2018) find that firms increase financial leverage in response to IDD adoption. Our paper extends this line of research by showing that firms increase CEOs’ risk-taking incentives after IDD adoption. Second, this paper contributes to the literature that examines the relationship between labor mobility and executive compensation. Different from prior literature examining the cross-sectional differences in general compensation packages under the restriction of labor mobility (e.g., </w:t>
      </w:r>
      <w:proofErr w:type="spellStart"/>
      <w:r w:rsidRPr="00F634D2">
        <w:rPr>
          <w:rFonts w:ascii="Times New Roman" w:hAnsi="Times New Roman" w:cs="Times New Roman"/>
          <w:sz w:val="24"/>
          <w:szCs w:val="24"/>
        </w:rPr>
        <w:t>Garmaise</w:t>
      </w:r>
      <w:proofErr w:type="spellEnd"/>
      <w:r w:rsidRPr="00F634D2">
        <w:rPr>
          <w:rFonts w:ascii="Times New Roman" w:hAnsi="Times New Roman" w:cs="Times New Roman"/>
          <w:sz w:val="24"/>
          <w:szCs w:val="24"/>
        </w:rPr>
        <w:t xml:space="preserve"> 2011; Starr 2019), our study utilizes an exogenous shock to labor mobility and  provides  specific causal evidence on CEO risk-taking incentives.                                                                                                                                                                                                                                                                                                                                                                                                                                                                                                                                                                                                                                                                                                                                                                                                                                                                                                                                                                                                                                                                                                                                                                                                                                                                                                                                                                                                                                                                                                                                                                                                                                                                                                                                                                                                                                                                                                                                                                                                                                                                                                                                                                                                                                                                                                                                                                                                                                                                                                                                                                                                                                                                                                                                                                                                                                                                                                                                                                                                                                                                                                                                                                                                                                                                                                                                                                                                                                                                                                                                                                                                                                                                                                                                                                                                                                                                                                                                                                                                                                                                                                                                                                                                                                                                                                                                                                                                                                                                                                                                                                                                                                                                                                                                                                                                                                                                                                                                                                                                                                                                                                                                                                                                                                                                                                                                                                                                                                                                                                                                                                                                                                                                                                                                                                                                                                                                                                                                                                                                                                                                                                                                                                                                                                                                                                                                                                                                                                                                                                                                                                                                                                                                                                                                                                                                                                                                                                                                                                                                                                                                                                                                                                                                                                                                                                                                                                                                                                                                                                                                                                                                                                                                                                                                                                                                                                                                                                                                                                                                                                                                                                                                                                                                                                                                                                                                                                                                                                                                                                                                                                                                                                                                                                                                                                                                                                                                                                                                                                                                                                                                                                                                                                                                                                                                                                                                                                                                                                                                                                                                                                                                                                                                                                                                                                                                                                                                                                                                                                                                                                                                                                                                                                                                                                                                                                                                                                                                                                                                                                                                                                                                                                                                                                                                                                                                                                                                                                                                                                                                                                                                                                                                                                                                                                                                                                                                                                                                                                                                                                                                                                                                                                                                                                                                                                                                                                                                                                                                                                                                                                                                                                                                                                                                                                                                                                                                                                                                                                                                                                                                                                                                                                                                                                                                                                                                                                                                                                                                                                                                                                                                                                                                                                                                                                                                                                                                                                                                                                                                                                                                                                                                                                                                                                                                                                                                                                                                                                                                                                                                                                                                                                                                                                                                                                                                                                                                                                                                                                                                                                                                                                                                                                                                                                                                                                                                                                                                                               </w:t>
      </w:r>
    </w:p>
    <w:p w14:paraId="0242D4F9" w14:textId="77777777" w:rsidR="00D50589" w:rsidRPr="00F634D2" w:rsidRDefault="00686261">
      <w:pPr>
        <w:adjustRightInd w:val="0"/>
        <w:snapToGrid w:val="0"/>
        <w:spacing w:after="120" w:line="480" w:lineRule="auto"/>
        <w:ind w:firstLineChars="200" w:firstLine="480"/>
        <w:jc w:val="both"/>
        <w:rPr>
          <w:rFonts w:ascii="Times New Roman" w:eastAsia="SimSun" w:hAnsi="Times New Roman" w:cs="Times New Roman"/>
          <w:sz w:val="24"/>
          <w:szCs w:val="24"/>
        </w:rPr>
      </w:pPr>
      <w:r w:rsidRPr="00F634D2">
        <w:rPr>
          <w:rFonts w:ascii="Times New Roman" w:eastAsia="SimSun" w:hAnsi="Times New Roman" w:cs="Times New Roman"/>
          <w:sz w:val="24"/>
          <w:szCs w:val="24"/>
        </w:rPr>
        <w:t>This paper proceeds as follows. Section 2 provides background information on the IDD. Section 3 reviews the literature and develops hypotheses. Section 4 describes the research design. Section 5 and 6 describe the sample and report empirical results. Section 7 sets forth our conclusions.</w:t>
      </w:r>
    </w:p>
    <w:bookmarkEnd w:id="1"/>
    <w:p w14:paraId="58F0F7F9" w14:textId="77777777" w:rsidR="00D50589" w:rsidRPr="00F634D2" w:rsidRDefault="00686261">
      <w:pPr>
        <w:keepNext/>
        <w:autoSpaceDE w:val="0"/>
        <w:autoSpaceDN w:val="0"/>
        <w:snapToGrid w:val="0"/>
        <w:spacing w:after="0" w:line="480" w:lineRule="auto"/>
        <w:rPr>
          <w:rFonts w:ascii="Times New Roman" w:eastAsia="PMingLiU" w:hAnsi="Times New Roman" w:cs="Times New Roman"/>
          <w:b/>
          <w:sz w:val="24"/>
          <w:szCs w:val="24"/>
          <w:lang w:eastAsia="zh-HK"/>
        </w:rPr>
      </w:pPr>
      <w:r w:rsidRPr="00F634D2">
        <w:rPr>
          <w:rFonts w:ascii="Times New Roman" w:eastAsia="PMingLiU" w:hAnsi="Times New Roman" w:cs="Times New Roman"/>
          <w:b/>
          <w:sz w:val="24"/>
          <w:szCs w:val="24"/>
          <w:lang w:eastAsia="zh-HK"/>
        </w:rPr>
        <w:lastRenderedPageBreak/>
        <w:t>2. Background information on the IDD</w:t>
      </w:r>
    </w:p>
    <w:p w14:paraId="2F66000B" w14:textId="77777777" w:rsidR="00D50589" w:rsidRPr="00F634D2" w:rsidRDefault="00686261">
      <w:pPr>
        <w:adjustRightInd w:val="0"/>
        <w:snapToGrid w:val="0"/>
        <w:spacing w:after="0" w:line="480" w:lineRule="auto"/>
        <w:ind w:firstLineChars="200" w:firstLine="480"/>
        <w:jc w:val="both"/>
        <w:rPr>
          <w:rFonts w:ascii="Times New Roman" w:hAnsi="Times New Roman" w:cs="Times New Roman"/>
          <w:sz w:val="24"/>
          <w:szCs w:val="24"/>
        </w:rPr>
      </w:pPr>
      <w:r w:rsidRPr="00F634D2">
        <w:rPr>
          <w:rFonts w:ascii="Times New Roman" w:eastAsia="PMingLiU" w:hAnsi="Times New Roman" w:cs="Times New Roman"/>
          <w:sz w:val="24"/>
          <w:szCs w:val="24"/>
          <w:lang w:eastAsia="zh-HK"/>
        </w:rPr>
        <w:t xml:space="preserve">The IDD is a common law doctrine that substantially enhances the protection of trade secrets by </w:t>
      </w:r>
      <w:r w:rsidRPr="00F634D2">
        <w:rPr>
          <w:rFonts w:ascii="Times New Roman" w:hAnsi="Times New Roman" w:cs="Times New Roman"/>
          <w:sz w:val="24"/>
          <w:szCs w:val="24"/>
        </w:rPr>
        <w:t xml:space="preserve">preventing employees from working for competing firms if a court deems this would lead to the divulgence of the employer’s trade secrets. The key concept underlying the IDD is “threatened misappropriation,” which occurs when an employee who has knowledge of a firm’s trade secrets goes to work for a rival firm in a similar position. As discussed in </w:t>
      </w:r>
      <w:proofErr w:type="spellStart"/>
      <w:r w:rsidRPr="00F634D2">
        <w:rPr>
          <w:rFonts w:ascii="Times New Roman" w:hAnsi="Times New Roman" w:cs="Times New Roman"/>
          <w:sz w:val="24"/>
          <w:szCs w:val="24"/>
        </w:rPr>
        <w:t>Klasa</w:t>
      </w:r>
      <w:proofErr w:type="spellEnd"/>
      <w:r w:rsidRPr="00F634D2">
        <w:rPr>
          <w:rFonts w:ascii="Times New Roman" w:hAnsi="Times New Roman" w:cs="Times New Roman"/>
          <w:sz w:val="24"/>
          <w:szCs w:val="24"/>
        </w:rPr>
        <w:t xml:space="preserve"> et al. (2018), under the IDD, an employment injunction can rest on the </w:t>
      </w:r>
      <w:r w:rsidRPr="00F634D2">
        <w:rPr>
          <w:rFonts w:ascii="Times New Roman" w:hAnsi="Times New Roman" w:cs="Times New Roman"/>
          <w:i/>
          <w:sz w:val="24"/>
          <w:szCs w:val="24"/>
        </w:rPr>
        <w:t>mere</w:t>
      </w:r>
      <w:r w:rsidRPr="00F634D2">
        <w:rPr>
          <w:rFonts w:ascii="Times New Roman" w:hAnsi="Times New Roman" w:cs="Times New Roman"/>
          <w:sz w:val="24"/>
          <w:szCs w:val="24"/>
        </w:rPr>
        <w:t xml:space="preserve"> </w:t>
      </w:r>
      <w:r w:rsidRPr="00F634D2">
        <w:rPr>
          <w:rFonts w:ascii="Times New Roman" w:hAnsi="Times New Roman" w:cs="Times New Roman"/>
          <w:i/>
          <w:sz w:val="24"/>
          <w:szCs w:val="24"/>
        </w:rPr>
        <w:t>threat</w:t>
      </w:r>
      <w:r w:rsidRPr="00F634D2">
        <w:rPr>
          <w:rFonts w:ascii="Times New Roman" w:hAnsi="Times New Roman" w:cs="Times New Roman"/>
          <w:b/>
          <w:sz w:val="24"/>
          <w:szCs w:val="24"/>
        </w:rPr>
        <w:t xml:space="preserve"> </w:t>
      </w:r>
      <w:r w:rsidRPr="00F634D2">
        <w:rPr>
          <w:rFonts w:ascii="Times New Roman" w:hAnsi="Times New Roman" w:cs="Times New Roman"/>
          <w:sz w:val="24"/>
          <w:szCs w:val="24"/>
        </w:rPr>
        <w:t>of irreparable harm. Hence, employers do not need to establish actual wrongdoing by employees or disclose the details of their trade secrets in the lawsuits.</w:t>
      </w:r>
    </w:p>
    <w:p w14:paraId="771C6A1A" w14:textId="77777777" w:rsidR="00D50589" w:rsidRPr="00F634D2" w:rsidRDefault="00686261">
      <w:pPr>
        <w:pStyle w:val="FootnoteText"/>
        <w:kinsoku w:val="0"/>
        <w:overflowPunct w:val="0"/>
        <w:autoSpaceDE w:val="0"/>
        <w:autoSpaceDN w:val="0"/>
        <w:adjustRightInd w:val="0"/>
        <w:spacing w:after="0" w:line="480" w:lineRule="auto"/>
        <w:ind w:firstLine="567"/>
        <w:jc w:val="both"/>
        <w:rPr>
          <w:rFonts w:ascii="Times New Roman" w:hAnsi="Times New Roman" w:cs="Times New Roman"/>
          <w:sz w:val="24"/>
          <w:szCs w:val="24"/>
        </w:rPr>
      </w:pPr>
      <w:r w:rsidRPr="00F634D2">
        <w:rPr>
          <w:rFonts w:ascii="Times New Roman" w:hAnsi="Times New Roman" w:cs="Times New Roman"/>
          <w:sz w:val="24"/>
          <w:szCs w:val="24"/>
        </w:rPr>
        <w:t>Other than the IDD, non-disclosure agreements (NDAs) or non-compete covenants (NCCs) contained in employment contracts also provide protection of trade secrets. However, the IDD provides much stronger protection against mobility-induced information leakage to competitors than NDAs or NCCs. First, contractual arrangements such as NDAs or NCCs require the employer to have prior agreements with employees, and the effectiveness of these agreements depends on their enforceability.</w:t>
      </w:r>
      <w:r w:rsidRPr="00F634D2">
        <w:rPr>
          <w:rStyle w:val="FootnoteReference"/>
          <w:rFonts w:ascii="Times New Roman" w:hAnsi="Times New Roman" w:cs="Times New Roman"/>
          <w:sz w:val="24"/>
          <w:szCs w:val="24"/>
        </w:rPr>
        <w:footnoteReference w:id="3"/>
      </w:r>
      <w:r w:rsidRPr="00F634D2">
        <w:rPr>
          <w:rFonts w:ascii="Times New Roman" w:hAnsi="Times New Roman" w:cs="Times New Roman"/>
          <w:sz w:val="24"/>
          <w:szCs w:val="24"/>
        </w:rPr>
        <w:t xml:space="preserve"> In comparison, the IDD does not require the employer to have prior agreements with its employees. Second, the protection offered by NDAs and NCCs is limited because their violations must be detected and proven before the firm can initiate any legal actions against a former employee. </w:t>
      </w:r>
      <w:r w:rsidRPr="00F634D2">
        <w:rPr>
          <w:rFonts w:ascii="Times New Roman" w:hAnsi="Times New Roman" w:cs="Times New Roman"/>
          <w:sz w:val="24"/>
          <w:szCs w:val="24"/>
          <w:lang w:val="en-GB"/>
        </w:rPr>
        <w:t xml:space="preserve">Even if the violation is ultimately proven, the secrets would have already been revealed to rival firms in the lawsuit. </w:t>
      </w:r>
      <w:r w:rsidRPr="00F634D2">
        <w:rPr>
          <w:rFonts w:ascii="Times New Roman" w:hAnsi="Times New Roman" w:cs="Times New Roman"/>
          <w:sz w:val="24"/>
          <w:szCs w:val="24"/>
        </w:rPr>
        <w:t xml:space="preserve">In contrast, under the IDD, a firm’s lawsuit can rest on the </w:t>
      </w:r>
      <w:r w:rsidRPr="00F634D2">
        <w:rPr>
          <w:rFonts w:ascii="Times New Roman" w:hAnsi="Times New Roman" w:cs="Times New Roman"/>
          <w:i/>
          <w:sz w:val="24"/>
          <w:szCs w:val="24"/>
        </w:rPr>
        <w:t>mere threat</w:t>
      </w:r>
      <w:r w:rsidRPr="00F634D2">
        <w:rPr>
          <w:rFonts w:ascii="Times New Roman" w:hAnsi="Times New Roman" w:cs="Times New Roman"/>
          <w:sz w:val="24"/>
          <w:szCs w:val="24"/>
        </w:rPr>
        <w:t xml:space="preserve"> of irreparable harm. Third, </w:t>
      </w:r>
      <w:r w:rsidRPr="00F634D2">
        <w:rPr>
          <w:rFonts w:ascii="Times New Roman" w:hAnsi="Times New Roman" w:cs="Times New Roman"/>
          <w:sz w:val="24"/>
          <w:szCs w:val="24"/>
          <w:lang w:val="en-GB"/>
        </w:rPr>
        <w:t>it is more difficult to enforce contractual protection mechanisms across state boundaries because</w:t>
      </w:r>
      <w:r w:rsidRPr="00F634D2">
        <w:rPr>
          <w:rFonts w:ascii="Times New Roman" w:hAnsi="Times New Roman" w:cs="Times New Roman"/>
          <w:sz w:val="24"/>
          <w:szCs w:val="24"/>
        </w:rPr>
        <w:t xml:space="preserve"> the </w:t>
      </w:r>
      <w:r w:rsidRPr="00F634D2">
        <w:rPr>
          <w:rFonts w:ascii="Times New Roman" w:hAnsi="Times New Roman" w:cs="Times New Roman"/>
          <w:sz w:val="24"/>
          <w:szCs w:val="24"/>
          <w:lang w:val="en-GB"/>
        </w:rPr>
        <w:t xml:space="preserve">scope of contractual information </w:t>
      </w:r>
      <w:r w:rsidRPr="00F634D2">
        <w:rPr>
          <w:rFonts w:ascii="Times New Roman" w:hAnsi="Times New Roman" w:cs="Times New Roman"/>
          <w:sz w:val="24"/>
          <w:szCs w:val="24"/>
          <w:lang w:val="en-GB"/>
        </w:rPr>
        <w:lastRenderedPageBreak/>
        <w:t>protection is usually limited to within a state (</w:t>
      </w:r>
      <w:proofErr w:type="spellStart"/>
      <w:r w:rsidRPr="00F634D2">
        <w:rPr>
          <w:rFonts w:ascii="Times New Roman" w:hAnsi="Times New Roman" w:cs="Times New Roman"/>
          <w:sz w:val="24"/>
          <w:szCs w:val="24"/>
          <w:lang w:val="en-GB"/>
        </w:rPr>
        <w:t>Cheskin</w:t>
      </w:r>
      <w:proofErr w:type="spellEnd"/>
      <w:r w:rsidRPr="00F634D2">
        <w:rPr>
          <w:rFonts w:ascii="Times New Roman" w:hAnsi="Times New Roman" w:cs="Times New Roman"/>
          <w:sz w:val="24"/>
          <w:szCs w:val="24"/>
          <w:lang w:val="en-GB"/>
        </w:rPr>
        <w:t xml:space="preserve"> and Lerner 2003; </w:t>
      </w:r>
      <w:proofErr w:type="spellStart"/>
      <w:r w:rsidRPr="00F634D2">
        <w:rPr>
          <w:rFonts w:ascii="Times New Roman" w:hAnsi="Times New Roman" w:cs="Times New Roman"/>
          <w:sz w:val="24"/>
          <w:szCs w:val="24"/>
          <w:lang w:val="en-GB"/>
        </w:rPr>
        <w:t>Malsberger</w:t>
      </w:r>
      <w:proofErr w:type="spellEnd"/>
      <w:r w:rsidRPr="00F634D2">
        <w:rPr>
          <w:rFonts w:ascii="Times New Roman" w:hAnsi="Times New Roman" w:cs="Times New Roman"/>
          <w:sz w:val="24"/>
          <w:szCs w:val="24"/>
          <w:lang w:val="en-GB"/>
        </w:rPr>
        <w:t xml:space="preserve"> 2004; </w:t>
      </w:r>
      <w:proofErr w:type="spellStart"/>
      <w:r w:rsidRPr="00F634D2">
        <w:rPr>
          <w:rFonts w:ascii="Times New Roman" w:hAnsi="Times New Roman" w:cs="Times New Roman"/>
          <w:sz w:val="24"/>
          <w:szCs w:val="24"/>
          <w:lang w:val="en-GB"/>
        </w:rPr>
        <w:t>Garmaise</w:t>
      </w:r>
      <w:proofErr w:type="spellEnd"/>
      <w:r w:rsidRPr="00F634D2">
        <w:rPr>
          <w:rFonts w:ascii="Times New Roman" w:hAnsi="Times New Roman" w:cs="Times New Roman"/>
          <w:sz w:val="24"/>
          <w:szCs w:val="24"/>
          <w:lang w:val="en-GB"/>
        </w:rPr>
        <w:t xml:space="preserve"> 2011). </w:t>
      </w:r>
      <w:r w:rsidRPr="00F634D2">
        <w:rPr>
          <w:rFonts w:ascii="Times New Roman" w:hAnsi="Times New Roman" w:cs="Times New Roman"/>
          <w:sz w:val="24"/>
          <w:szCs w:val="24"/>
        </w:rPr>
        <w:t>By contrast, the IDD does not entail specific geographic restrictions.</w:t>
      </w:r>
    </w:p>
    <w:p w14:paraId="181F6BEC" w14:textId="77777777" w:rsidR="00D50589" w:rsidRPr="00F634D2" w:rsidRDefault="00686261">
      <w:pPr>
        <w:adjustRightInd w:val="0"/>
        <w:snapToGrid w:val="0"/>
        <w:spacing w:after="120" w:line="480" w:lineRule="auto"/>
        <w:ind w:firstLineChars="200" w:firstLine="480"/>
        <w:jc w:val="both"/>
        <w:rPr>
          <w:rFonts w:ascii="Times New Roman" w:hAnsi="Times New Roman" w:cs="Times New Roman"/>
          <w:sz w:val="24"/>
          <w:szCs w:val="24"/>
        </w:rPr>
      </w:pPr>
      <w:r w:rsidRPr="00F634D2">
        <w:rPr>
          <w:rFonts w:ascii="Times New Roman" w:hAnsi="Times New Roman" w:cs="Times New Roman"/>
          <w:sz w:val="24"/>
          <w:szCs w:val="24"/>
        </w:rPr>
        <w:t>In the U.S., the state courts decide whether to adopt or reject the IDD. Once the IDD is adopted by a state court in a lawsuit, the precedent would become common law and other courts in the state would follow the ruling and apply the IDD. If a subsequent court ruling rejected the IDD, other state courts would then follow the new ruling. Appendix B lists the precedent-setting cases in which state courts adopted or rejected the IDD.</w:t>
      </w:r>
    </w:p>
    <w:p w14:paraId="087BF59C" w14:textId="77777777" w:rsidR="00D50589" w:rsidRPr="00F634D2" w:rsidRDefault="00686261">
      <w:pPr>
        <w:keepNext/>
        <w:autoSpaceDE w:val="0"/>
        <w:autoSpaceDN w:val="0"/>
        <w:spacing w:after="0" w:line="480" w:lineRule="auto"/>
        <w:rPr>
          <w:rFonts w:ascii="Times New Roman" w:eastAsia="PMingLiU" w:hAnsi="Times New Roman" w:cs="Times New Roman"/>
          <w:b/>
          <w:sz w:val="24"/>
          <w:szCs w:val="24"/>
          <w:lang w:eastAsia="zh-HK"/>
        </w:rPr>
      </w:pPr>
      <w:r w:rsidRPr="00F634D2">
        <w:rPr>
          <w:rFonts w:ascii="Times New Roman" w:eastAsia="PMingLiU" w:hAnsi="Times New Roman" w:cs="Times New Roman"/>
          <w:b/>
          <w:sz w:val="24"/>
          <w:szCs w:val="24"/>
          <w:lang w:eastAsia="zh-HK"/>
        </w:rPr>
        <w:t>3. Literature review and hypothesis development</w:t>
      </w:r>
    </w:p>
    <w:p w14:paraId="168A0FFB" w14:textId="77777777" w:rsidR="00D50589" w:rsidRPr="00F634D2" w:rsidRDefault="00686261">
      <w:pPr>
        <w:adjustRightInd w:val="0"/>
        <w:snapToGrid w:val="0"/>
        <w:spacing w:after="0" w:line="480" w:lineRule="auto"/>
        <w:ind w:firstLineChars="200" w:firstLine="480"/>
        <w:jc w:val="both"/>
        <w:rPr>
          <w:rFonts w:ascii="Times New Roman" w:hAnsi="Times New Roman" w:cs="Times New Roman"/>
          <w:sz w:val="24"/>
          <w:szCs w:val="24"/>
        </w:rPr>
      </w:pPr>
      <w:r w:rsidRPr="00F634D2">
        <w:rPr>
          <w:rFonts w:ascii="Times New Roman" w:hAnsi="Times New Roman" w:cs="Times New Roman"/>
          <w:sz w:val="24"/>
          <w:szCs w:val="24"/>
        </w:rPr>
        <w:t xml:space="preserve">The IDD protects trade secrets by restricting external employment opportunities (Ali et al. 2015; Qiu and Wang 2018; </w:t>
      </w:r>
      <w:proofErr w:type="spellStart"/>
      <w:r w:rsidRPr="00F634D2">
        <w:rPr>
          <w:rFonts w:ascii="Times New Roman" w:hAnsi="Times New Roman" w:cs="Times New Roman"/>
          <w:sz w:val="24"/>
          <w:szCs w:val="24"/>
        </w:rPr>
        <w:t>Klasa</w:t>
      </w:r>
      <w:proofErr w:type="spellEnd"/>
      <w:r w:rsidRPr="00F634D2">
        <w:rPr>
          <w:rFonts w:ascii="Times New Roman" w:hAnsi="Times New Roman" w:cs="Times New Roman"/>
          <w:sz w:val="24"/>
          <w:szCs w:val="24"/>
        </w:rPr>
        <w:t xml:space="preserve"> et al. 2018). For example, </w:t>
      </w:r>
      <w:proofErr w:type="spellStart"/>
      <w:r w:rsidRPr="00F634D2">
        <w:rPr>
          <w:rFonts w:ascii="Times New Roman" w:hAnsi="Times New Roman" w:cs="Times New Roman"/>
          <w:sz w:val="24"/>
          <w:szCs w:val="24"/>
        </w:rPr>
        <w:t>Klasa</w:t>
      </w:r>
      <w:proofErr w:type="spellEnd"/>
      <w:r w:rsidRPr="00F634D2">
        <w:rPr>
          <w:rFonts w:ascii="Times New Roman" w:hAnsi="Times New Roman" w:cs="Times New Roman"/>
          <w:sz w:val="24"/>
          <w:szCs w:val="24"/>
        </w:rPr>
        <w:t xml:space="preserve"> et al. (2018) document that IDD adoption reduces the career mobility of employees who are likely to have knowledge of the firm’s trade secrets. Moreover, prior research documents that decreased external employment opportunities make managers more risk-averse (e.g., Chevalier and Ellison 1999; Chakraborty et al. 2007; </w:t>
      </w:r>
      <w:proofErr w:type="spellStart"/>
      <w:r w:rsidRPr="00F634D2">
        <w:rPr>
          <w:rFonts w:ascii="Times New Roman" w:hAnsi="Times New Roman" w:cs="Times New Roman"/>
          <w:sz w:val="24"/>
          <w:szCs w:val="24"/>
        </w:rPr>
        <w:t>Samila</w:t>
      </w:r>
      <w:proofErr w:type="spellEnd"/>
      <w:r w:rsidRPr="00F634D2">
        <w:rPr>
          <w:rFonts w:ascii="Times New Roman" w:hAnsi="Times New Roman" w:cs="Times New Roman"/>
          <w:sz w:val="24"/>
          <w:szCs w:val="24"/>
        </w:rPr>
        <w:t xml:space="preserve"> and Sorenson 2011; </w:t>
      </w:r>
      <w:proofErr w:type="spellStart"/>
      <w:r w:rsidRPr="00F634D2">
        <w:rPr>
          <w:rFonts w:ascii="Times New Roman" w:hAnsi="Times New Roman" w:cs="Times New Roman"/>
          <w:sz w:val="24"/>
          <w:szCs w:val="24"/>
        </w:rPr>
        <w:t>Cici</w:t>
      </w:r>
      <w:proofErr w:type="spellEnd"/>
      <w:r w:rsidRPr="00F634D2">
        <w:rPr>
          <w:rFonts w:ascii="Times New Roman" w:hAnsi="Times New Roman" w:cs="Times New Roman"/>
          <w:sz w:val="24"/>
          <w:szCs w:val="24"/>
        </w:rPr>
        <w:t xml:space="preserve"> et al. 2019). For instance, Chakraborty et al. (2007) find that managers who face more difficulty in securing external jobs make less risky investments. </w:t>
      </w:r>
      <w:proofErr w:type="spellStart"/>
      <w:r w:rsidRPr="00F634D2">
        <w:rPr>
          <w:rFonts w:ascii="Times New Roman" w:hAnsi="Times New Roman" w:cs="Times New Roman"/>
          <w:sz w:val="24"/>
          <w:szCs w:val="24"/>
        </w:rPr>
        <w:t>Samila</w:t>
      </w:r>
      <w:proofErr w:type="spellEnd"/>
      <w:r w:rsidRPr="00F634D2">
        <w:rPr>
          <w:rFonts w:ascii="Times New Roman" w:hAnsi="Times New Roman" w:cs="Times New Roman"/>
          <w:sz w:val="24"/>
          <w:szCs w:val="24"/>
        </w:rPr>
        <w:t xml:space="preserve"> and Sorenson (2011) find that restricting external employment opportunities results in a significantly lower appetite for entrepreneurship and innovation. </w:t>
      </w:r>
    </w:p>
    <w:p w14:paraId="4993CD66" w14:textId="4D06C986" w:rsidR="00D50589" w:rsidRPr="00F634D2" w:rsidRDefault="00686261">
      <w:pPr>
        <w:overflowPunct w:val="0"/>
        <w:autoSpaceDE w:val="0"/>
        <w:autoSpaceDN w:val="0"/>
        <w:adjustRightInd w:val="0"/>
        <w:snapToGrid w:val="0"/>
        <w:spacing w:after="0" w:line="480" w:lineRule="auto"/>
        <w:ind w:firstLineChars="200" w:firstLine="480"/>
        <w:jc w:val="both"/>
        <w:rPr>
          <w:rFonts w:ascii="Times New Roman" w:hAnsi="Times New Roman" w:cs="Times New Roman"/>
          <w:sz w:val="24"/>
          <w:szCs w:val="24"/>
        </w:rPr>
      </w:pPr>
      <w:r w:rsidRPr="00F634D2">
        <w:rPr>
          <w:rFonts w:ascii="Times New Roman" w:hAnsi="Times New Roman" w:cs="Times New Roman"/>
          <w:sz w:val="24"/>
          <w:szCs w:val="24"/>
        </w:rPr>
        <w:t xml:space="preserve">Further, prior literature provides evidence that equity-based compensation helps overcome managerial risk-aversion and encourages risk-taking (e.g., Coles et al. 2006; Low 2009; Armstrong and </w:t>
      </w:r>
      <w:proofErr w:type="spellStart"/>
      <w:r w:rsidRPr="00F634D2">
        <w:rPr>
          <w:rFonts w:ascii="Times New Roman" w:hAnsi="Times New Roman" w:cs="Times New Roman"/>
          <w:sz w:val="24"/>
          <w:szCs w:val="24"/>
        </w:rPr>
        <w:t>Vashishtha</w:t>
      </w:r>
      <w:proofErr w:type="spellEnd"/>
      <w:r w:rsidRPr="00F634D2">
        <w:rPr>
          <w:rFonts w:ascii="Times New Roman" w:hAnsi="Times New Roman" w:cs="Times New Roman"/>
          <w:sz w:val="24"/>
          <w:szCs w:val="24"/>
        </w:rPr>
        <w:t xml:space="preserve"> 2012; Gormley et al. 2013). Coles et al. (2006) identify a strong causal relationship between managerial compensation and firm risk-taking. They find that higher </w:t>
      </w:r>
      <w:r w:rsidR="005677AE" w:rsidRPr="00F634D2">
        <w:rPr>
          <w:rFonts w:ascii="Times New Roman" w:hAnsi="Times New Roman" w:cs="Times New Roman"/>
          <w:sz w:val="24"/>
          <w:szCs w:val="24"/>
        </w:rPr>
        <w:t>V</w:t>
      </w:r>
      <w:r w:rsidRPr="00F634D2">
        <w:rPr>
          <w:rFonts w:ascii="Times New Roman" w:hAnsi="Times New Roman" w:cs="Times New Roman"/>
          <w:sz w:val="24"/>
          <w:szCs w:val="24"/>
        </w:rPr>
        <w:t xml:space="preserve">ega leads to riskier policy choices of the firm. Using an exogenous increase in takeover protection, Low (2009) finds that firms with low managerial risk-taking incentives experience the most value-destroying risk </w:t>
      </w:r>
      <w:r w:rsidRPr="00F634D2">
        <w:rPr>
          <w:rFonts w:ascii="Times New Roman" w:hAnsi="Times New Roman" w:cs="Times New Roman"/>
          <w:sz w:val="24"/>
          <w:szCs w:val="24"/>
        </w:rPr>
        <w:lastRenderedPageBreak/>
        <w:t>reduction, and firms respond to risk reduction by increasing managerial risk-taking incentives. Gormley et al. (2013) find that the board understands the impact of exogenous shocks on managerial risk-taking, and adjusts equity incentives to induce optimal risk-taking.</w:t>
      </w:r>
    </w:p>
    <w:p w14:paraId="463BAB41" w14:textId="1A94FBE9" w:rsidR="00D50589" w:rsidRPr="00F634D2" w:rsidRDefault="00686261">
      <w:pPr>
        <w:overflowPunct w:val="0"/>
        <w:autoSpaceDE w:val="0"/>
        <w:autoSpaceDN w:val="0"/>
        <w:adjustRightInd w:val="0"/>
        <w:snapToGrid w:val="0"/>
        <w:spacing w:after="0" w:line="480" w:lineRule="auto"/>
        <w:ind w:firstLineChars="200" w:firstLine="480"/>
        <w:jc w:val="both"/>
        <w:rPr>
          <w:rFonts w:ascii="Times New Roman" w:hAnsi="Times New Roman" w:cs="Times New Roman"/>
          <w:sz w:val="24"/>
          <w:szCs w:val="24"/>
        </w:rPr>
      </w:pPr>
      <w:r w:rsidRPr="00F634D2">
        <w:rPr>
          <w:rFonts w:ascii="Times New Roman" w:hAnsi="Times New Roman" w:cs="Times New Roman"/>
          <w:sz w:val="24"/>
          <w:szCs w:val="24"/>
          <w:lang w:val="en-GB"/>
        </w:rPr>
        <w:t xml:space="preserve">While many studies find that CEO </w:t>
      </w:r>
      <w:r w:rsidR="005677AE" w:rsidRPr="00F634D2">
        <w:rPr>
          <w:rFonts w:ascii="Times New Roman" w:hAnsi="Times New Roman" w:cs="Times New Roman"/>
          <w:sz w:val="24"/>
          <w:szCs w:val="24"/>
          <w:lang w:val="en-GB"/>
        </w:rPr>
        <w:t>V</w:t>
      </w:r>
      <w:r w:rsidRPr="00F634D2">
        <w:rPr>
          <w:rFonts w:ascii="Times New Roman" w:hAnsi="Times New Roman" w:cs="Times New Roman"/>
          <w:sz w:val="24"/>
          <w:szCs w:val="24"/>
          <w:lang w:val="en-GB"/>
        </w:rPr>
        <w:t xml:space="preserve">ega encourages risk-taking, other studies argue that the effectiveness of </w:t>
      </w:r>
      <w:r w:rsidR="005677AE" w:rsidRPr="00F634D2">
        <w:rPr>
          <w:rFonts w:ascii="Times New Roman" w:hAnsi="Times New Roman" w:cs="Times New Roman"/>
          <w:sz w:val="24"/>
          <w:szCs w:val="24"/>
          <w:lang w:val="en-GB"/>
        </w:rPr>
        <w:t>V</w:t>
      </w:r>
      <w:r w:rsidRPr="00F634D2">
        <w:rPr>
          <w:rFonts w:ascii="Times New Roman" w:hAnsi="Times New Roman" w:cs="Times New Roman"/>
          <w:sz w:val="24"/>
          <w:szCs w:val="24"/>
          <w:lang w:val="en-GB"/>
        </w:rPr>
        <w:t xml:space="preserve">ega in inducing CEOs to take value-maximizing risky investments is not straightforward and depends on the effect of increased risk on the managerial utility function. Higher CEO risk-aversion or unhedged risk in the CEO’s equity portfolio could offset the convex nature of the option payoff, making CEOs more risk-averse (Lambert et al. 1991; Carpenter 2000; Ross 2004; Lewellen 2006). For instance, Ross (2004) claims that the common notion of giving managers options to make them more willing to take risks is false. Any risk-taking incentive has the duality of risk-aversion and riskiness, depending on the conditions under which the incentive is given. </w:t>
      </w:r>
      <w:r w:rsidRPr="00F634D2">
        <w:rPr>
          <w:rFonts w:ascii="Times New Roman" w:hAnsi="Times New Roman" w:cs="Times New Roman"/>
          <w:sz w:val="24"/>
          <w:szCs w:val="24"/>
        </w:rPr>
        <w:t xml:space="preserve">Therefore, it is not a foregone conclusion that firms would choose to increase CEO risk-taking incentives to induce higher risk-taking after IDD adoption. </w:t>
      </w:r>
    </w:p>
    <w:p w14:paraId="7A25B759" w14:textId="77777777" w:rsidR="00D50589" w:rsidRPr="00F634D2" w:rsidRDefault="00686261">
      <w:pPr>
        <w:adjustRightInd w:val="0"/>
        <w:snapToGrid w:val="0"/>
        <w:spacing w:after="0" w:line="480" w:lineRule="auto"/>
        <w:ind w:firstLineChars="200" w:firstLine="480"/>
        <w:jc w:val="both"/>
        <w:rPr>
          <w:rFonts w:ascii="Times New Roman" w:hAnsi="Times New Roman" w:cs="Times New Roman"/>
          <w:sz w:val="24"/>
          <w:szCs w:val="24"/>
        </w:rPr>
      </w:pPr>
      <w:r w:rsidRPr="00F634D2">
        <w:rPr>
          <w:rFonts w:ascii="Times New Roman" w:hAnsi="Times New Roman" w:cs="Times New Roman"/>
          <w:sz w:val="24"/>
          <w:szCs w:val="24"/>
        </w:rPr>
        <w:t xml:space="preserve">We argue that as a result of facing greater barriers to securing external employment after IDD adoption, CEOs are likely to become more concerned about being terminated from their current positions and therefore more risk-averse (e.g., Chevalier and Ellison 1999; Chakraborty et al. 2007; </w:t>
      </w:r>
      <w:proofErr w:type="spellStart"/>
      <w:r w:rsidRPr="00F634D2">
        <w:rPr>
          <w:rFonts w:ascii="Times New Roman" w:hAnsi="Times New Roman" w:cs="Times New Roman"/>
          <w:sz w:val="24"/>
          <w:szCs w:val="24"/>
        </w:rPr>
        <w:t>Samila</w:t>
      </w:r>
      <w:proofErr w:type="spellEnd"/>
      <w:r w:rsidRPr="00F634D2">
        <w:rPr>
          <w:rFonts w:ascii="Times New Roman" w:hAnsi="Times New Roman" w:cs="Times New Roman"/>
          <w:sz w:val="24"/>
          <w:szCs w:val="24"/>
        </w:rPr>
        <w:t xml:space="preserve"> and Sorenson 2011; </w:t>
      </w:r>
      <w:proofErr w:type="spellStart"/>
      <w:r w:rsidRPr="00F634D2">
        <w:rPr>
          <w:rFonts w:ascii="Times New Roman" w:hAnsi="Times New Roman" w:cs="Times New Roman"/>
          <w:sz w:val="24"/>
          <w:szCs w:val="24"/>
        </w:rPr>
        <w:t>Cici</w:t>
      </w:r>
      <w:proofErr w:type="spellEnd"/>
      <w:r w:rsidRPr="00F634D2">
        <w:rPr>
          <w:rFonts w:ascii="Times New Roman" w:hAnsi="Times New Roman" w:cs="Times New Roman"/>
          <w:sz w:val="24"/>
          <w:szCs w:val="24"/>
        </w:rPr>
        <w:t xml:space="preserve"> et al. 2019). In response to the potential risk reduction after IDD adoption, firms are expected to increase CEO risk-taking incentives to encourage more risk-taking. These discussions lead to the first hypothesis.</w:t>
      </w:r>
    </w:p>
    <w:p w14:paraId="13F7D043" w14:textId="27AF63A3" w:rsidR="00D50589" w:rsidRPr="00F634D2" w:rsidRDefault="00686261">
      <w:pPr>
        <w:kinsoku w:val="0"/>
        <w:overflowPunct w:val="0"/>
        <w:autoSpaceDE w:val="0"/>
        <w:autoSpaceDN w:val="0"/>
        <w:adjustRightInd w:val="0"/>
        <w:snapToGrid w:val="0"/>
        <w:spacing w:after="120" w:line="480" w:lineRule="auto"/>
        <w:jc w:val="both"/>
        <w:rPr>
          <w:rFonts w:ascii="Times New Roman" w:hAnsi="Times New Roman" w:cs="Times New Roman"/>
          <w:sz w:val="24"/>
          <w:szCs w:val="24"/>
        </w:rPr>
      </w:pPr>
      <w:r w:rsidRPr="00F634D2">
        <w:rPr>
          <w:rFonts w:ascii="Times New Roman" w:hAnsi="Times New Roman" w:cs="Times New Roman"/>
          <w:b/>
          <w:sz w:val="24"/>
          <w:szCs w:val="24"/>
        </w:rPr>
        <w:t xml:space="preserve">        H1</w:t>
      </w:r>
      <w:r w:rsidRPr="00F634D2">
        <w:rPr>
          <w:rFonts w:ascii="Times New Roman" w:hAnsi="Times New Roman" w:cs="Times New Roman"/>
          <w:sz w:val="24"/>
          <w:szCs w:val="24"/>
        </w:rPr>
        <w:t xml:space="preserve">: The adoption of </w:t>
      </w:r>
      <w:r w:rsidR="00185BEF" w:rsidRPr="00F634D2">
        <w:rPr>
          <w:rFonts w:ascii="Times New Roman" w:hAnsi="Times New Roman" w:cs="Times New Roman"/>
          <w:sz w:val="24"/>
          <w:szCs w:val="24"/>
        </w:rPr>
        <w:t xml:space="preserve">the </w:t>
      </w:r>
      <w:r w:rsidRPr="00F634D2">
        <w:rPr>
          <w:rFonts w:ascii="Times New Roman" w:hAnsi="Times New Roman" w:cs="Times New Roman"/>
          <w:sz w:val="24"/>
          <w:szCs w:val="24"/>
        </w:rPr>
        <w:t>IDD is positively associated with CEO risk-taking incentives.</w:t>
      </w:r>
    </w:p>
    <w:p w14:paraId="24FD68CB" w14:textId="77777777" w:rsidR="00D50589" w:rsidRPr="00F634D2" w:rsidRDefault="00686261">
      <w:pPr>
        <w:adjustRightInd w:val="0"/>
        <w:snapToGrid w:val="0"/>
        <w:spacing w:after="0" w:line="480" w:lineRule="auto"/>
        <w:ind w:firstLineChars="200" w:firstLine="480"/>
        <w:jc w:val="both"/>
        <w:rPr>
          <w:rFonts w:ascii="Times New Roman" w:hAnsi="Times New Roman" w:cs="Times New Roman"/>
          <w:sz w:val="24"/>
          <w:szCs w:val="24"/>
        </w:rPr>
      </w:pPr>
      <w:r w:rsidRPr="00F634D2">
        <w:rPr>
          <w:rFonts w:ascii="Times New Roman" w:hAnsi="Times New Roman" w:cs="Times New Roman"/>
          <w:sz w:val="24"/>
          <w:szCs w:val="24"/>
        </w:rPr>
        <w:t xml:space="preserve">CEOs working in more homogeneous industries enjoy greater external employment opportunities because firms in such industries are similar and their CEOs are already familiar with competitors’ products and technologies. Moreover, because assessment of the performance of </w:t>
      </w:r>
      <w:r w:rsidRPr="00F634D2">
        <w:rPr>
          <w:rFonts w:ascii="Times New Roman" w:hAnsi="Times New Roman" w:cs="Times New Roman"/>
          <w:sz w:val="24"/>
          <w:szCs w:val="24"/>
        </w:rPr>
        <w:lastRenderedPageBreak/>
        <w:t>outside CEOs is easier in more homogeneous industries, the cost of hiring a new CEO is lower for firms in such industries (</w:t>
      </w:r>
      <w:proofErr w:type="spellStart"/>
      <w:r w:rsidRPr="00F634D2">
        <w:rPr>
          <w:rFonts w:ascii="Times New Roman" w:eastAsia="DengXian" w:hAnsi="Times New Roman" w:cs="Times New Roman"/>
          <w:sz w:val="24"/>
          <w:szCs w:val="24"/>
        </w:rPr>
        <w:t>Parrino</w:t>
      </w:r>
      <w:proofErr w:type="spellEnd"/>
      <w:r w:rsidRPr="00F634D2">
        <w:rPr>
          <w:rFonts w:ascii="Times New Roman" w:eastAsia="DengXian" w:hAnsi="Times New Roman" w:cs="Times New Roman"/>
          <w:sz w:val="24"/>
          <w:szCs w:val="24"/>
        </w:rPr>
        <w:t xml:space="preserve"> 1997; </w:t>
      </w:r>
      <w:proofErr w:type="spellStart"/>
      <w:r w:rsidRPr="00F634D2">
        <w:rPr>
          <w:rFonts w:ascii="Times New Roman" w:eastAsia="DengXian" w:hAnsi="Times New Roman" w:cs="Times New Roman"/>
          <w:sz w:val="24"/>
          <w:szCs w:val="24"/>
        </w:rPr>
        <w:t>Gillan</w:t>
      </w:r>
      <w:proofErr w:type="spellEnd"/>
      <w:r w:rsidRPr="00F634D2">
        <w:rPr>
          <w:rFonts w:ascii="Times New Roman" w:eastAsia="DengXian" w:hAnsi="Times New Roman" w:cs="Times New Roman"/>
          <w:sz w:val="24"/>
          <w:szCs w:val="24"/>
        </w:rPr>
        <w:t xml:space="preserve"> et al. 2009</w:t>
      </w:r>
      <w:r w:rsidRPr="00F634D2">
        <w:rPr>
          <w:rFonts w:ascii="Times New Roman" w:hAnsi="Times New Roman" w:cs="Times New Roman"/>
          <w:sz w:val="24"/>
          <w:szCs w:val="24"/>
        </w:rPr>
        <w:t>).</w:t>
      </w:r>
    </w:p>
    <w:p w14:paraId="28A9EE0B" w14:textId="7845823D" w:rsidR="00D50589" w:rsidRPr="00F634D2" w:rsidRDefault="00686261">
      <w:pPr>
        <w:adjustRightInd w:val="0"/>
        <w:snapToGrid w:val="0"/>
        <w:spacing w:after="0" w:line="480" w:lineRule="auto"/>
        <w:ind w:firstLineChars="200" w:firstLine="480"/>
        <w:jc w:val="both"/>
        <w:rPr>
          <w:rFonts w:ascii="Times New Roman" w:hAnsi="Times New Roman" w:cs="Times New Roman"/>
          <w:sz w:val="24"/>
          <w:szCs w:val="24"/>
        </w:rPr>
      </w:pPr>
      <w:r w:rsidRPr="00F634D2">
        <w:rPr>
          <w:rFonts w:ascii="Times New Roman" w:hAnsi="Times New Roman" w:cs="Times New Roman"/>
          <w:sz w:val="24"/>
          <w:szCs w:val="24"/>
        </w:rPr>
        <w:t xml:space="preserve">External employment opportunities of CEOs working in more homogeneous industries are likely to be affected by IDD adoption to a greater extent because the IDD can be applied more easily among similar firms. Firms in more homogeneous industries produce similar products; therefore, trade secrets obtained by a CEO can be more readily utilized in a rival firm’s production. Hence, CEOs in more homogeneous industries are expected to suffer greater hindrance to their career mobility after the adoption of </w:t>
      </w:r>
      <w:r w:rsidR="00185BEF" w:rsidRPr="00F634D2">
        <w:rPr>
          <w:rFonts w:ascii="Times New Roman" w:hAnsi="Times New Roman" w:cs="Times New Roman"/>
          <w:sz w:val="24"/>
          <w:szCs w:val="24"/>
        </w:rPr>
        <w:t xml:space="preserve">the </w:t>
      </w:r>
      <w:r w:rsidRPr="00F634D2">
        <w:rPr>
          <w:rFonts w:ascii="Times New Roman" w:hAnsi="Times New Roman" w:cs="Times New Roman"/>
          <w:sz w:val="24"/>
          <w:szCs w:val="24"/>
        </w:rPr>
        <w:t>IDD, and potentially become more risk-averse. Therefore, after IDD adoption, firms are expected to increase risk-taking incentives for CEOs working in more homogeneous industries to a greater extent than for CEOs in less homogeneous industries. These discussions lead to the second hypothesis:</w:t>
      </w:r>
    </w:p>
    <w:p w14:paraId="1A1DDB9D" w14:textId="77777777" w:rsidR="00D50589" w:rsidRPr="00F634D2" w:rsidRDefault="00686261">
      <w:pPr>
        <w:adjustRightInd w:val="0"/>
        <w:snapToGrid w:val="0"/>
        <w:spacing w:after="120" w:line="480" w:lineRule="auto"/>
        <w:ind w:firstLine="567"/>
        <w:jc w:val="both"/>
        <w:rPr>
          <w:rFonts w:ascii="Times New Roman" w:hAnsi="Times New Roman" w:cs="Times New Roman"/>
          <w:sz w:val="24"/>
          <w:szCs w:val="24"/>
        </w:rPr>
      </w:pPr>
      <w:r w:rsidRPr="00F634D2">
        <w:rPr>
          <w:rFonts w:ascii="Times New Roman" w:hAnsi="Times New Roman" w:cs="Times New Roman"/>
          <w:b/>
          <w:sz w:val="24"/>
          <w:szCs w:val="24"/>
        </w:rPr>
        <w:t>H2</w:t>
      </w:r>
      <w:r w:rsidRPr="00F634D2">
        <w:rPr>
          <w:rFonts w:ascii="Times New Roman" w:hAnsi="Times New Roman" w:cs="Times New Roman"/>
          <w:sz w:val="24"/>
          <w:szCs w:val="24"/>
        </w:rPr>
        <w:t>: The positive association between IDD adoption and CEO risk-taking incentives is greater for CEOs in more homogeneous industries.</w:t>
      </w:r>
    </w:p>
    <w:p w14:paraId="067ED1AF" w14:textId="77777777" w:rsidR="00D50589" w:rsidRPr="00F634D2" w:rsidRDefault="00686261">
      <w:pPr>
        <w:adjustRightInd w:val="0"/>
        <w:snapToGrid w:val="0"/>
        <w:spacing w:after="0" w:line="480" w:lineRule="auto"/>
        <w:ind w:firstLineChars="200" w:firstLine="480"/>
        <w:jc w:val="both"/>
        <w:rPr>
          <w:rFonts w:ascii="Times New Roman" w:eastAsia="DengXian" w:hAnsi="Times New Roman" w:cs="Times New Roman"/>
          <w:sz w:val="24"/>
          <w:szCs w:val="24"/>
        </w:rPr>
      </w:pPr>
      <w:r w:rsidRPr="00F634D2">
        <w:rPr>
          <w:rFonts w:ascii="Times New Roman" w:hAnsi="Times New Roman" w:cs="Times New Roman"/>
          <w:sz w:val="24"/>
          <w:szCs w:val="24"/>
        </w:rPr>
        <w:t xml:space="preserve">Prior research shows that CEOs tend to become more entrenched and risk-averse in the later years of their tenure (e.g., Berger et al. 1997; </w:t>
      </w:r>
      <w:proofErr w:type="spellStart"/>
      <w:r w:rsidRPr="00F634D2">
        <w:rPr>
          <w:rFonts w:ascii="Times New Roman" w:hAnsi="Times New Roman" w:cs="Times New Roman"/>
          <w:sz w:val="24"/>
          <w:szCs w:val="24"/>
        </w:rPr>
        <w:t>Simsek</w:t>
      </w:r>
      <w:proofErr w:type="spellEnd"/>
      <w:r w:rsidRPr="00F634D2">
        <w:rPr>
          <w:rFonts w:ascii="Times New Roman" w:hAnsi="Times New Roman" w:cs="Times New Roman"/>
          <w:sz w:val="24"/>
          <w:szCs w:val="24"/>
        </w:rPr>
        <w:t xml:space="preserve"> 2007; Zhang and Rajagopalan 2010; Ali and Zhang 2015). CEOs build up human capital in the early years, and this capital is undiversified. In the later years, risk-seeking places constraints on firm resources, causes uncertainty in performance, and threatens existing human capital. Hence, CEOs tend to become more risk-averse in the later years of their tenure. </w:t>
      </w:r>
      <w:r w:rsidRPr="00F634D2">
        <w:rPr>
          <w:rFonts w:ascii="Times New Roman" w:eastAsia="DengXian" w:hAnsi="Times New Roman" w:cs="Times New Roman"/>
          <w:sz w:val="24"/>
          <w:szCs w:val="24"/>
        </w:rPr>
        <w:t xml:space="preserve">Consistent with this argument, prior research finds that managerial entrenchment is associated with more conservative corporate policies (Bertrand and Mullainathan 2003; John et al. 2008; </w:t>
      </w:r>
      <w:proofErr w:type="spellStart"/>
      <w:r w:rsidRPr="00F634D2">
        <w:rPr>
          <w:rFonts w:ascii="Times New Roman" w:eastAsia="DengXian" w:hAnsi="Times New Roman" w:cs="Times New Roman"/>
          <w:sz w:val="24"/>
          <w:szCs w:val="24"/>
        </w:rPr>
        <w:t>Laeven</w:t>
      </w:r>
      <w:proofErr w:type="spellEnd"/>
      <w:r w:rsidRPr="00F634D2">
        <w:rPr>
          <w:rFonts w:ascii="Times New Roman" w:eastAsia="DengXian" w:hAnsi="Times New Roman" w:cs="Times New Roman"/>
          <w:sz w:val="24"/>
          <w:szCs w:val="24"/>
        </w:rPr>
        <w:t xml:space="preserve"> and Levine 2009; Pathan 2009).</w:t>
      </w:r>
    </w:p>
    <w:p w14:paraId="4A3ECA2A" w14:textId="2EE607F7" w:rsidR="00D50589" w:rsidRPr="00F634D2" w:rsidRDefault="00686261">
      <w:pPr>
        <w:adjustRightInd w:val="0"/>
        <w:snapToGrid w:val="0"/>
        <w:spacing w:after="0" w:line="480" w:lineRule="auto"/>
        <w:ind w:firstLineChars="200" w:firstLine="480"/>
        <w:jc w:val="both"/>
        <w:rPr>
          <w:rFonts w:ascii="Times New Roman" w:hAnsi="Times New Roman" w:cs="Times New Roman"/>
          <w:sz w:val="24"/>
          <w:szCs w:val="24"/>
        </w:rPr>
      </w:pPr>
      <w:r w:rsidRPr="00F634D2">
        <w:rPr>
          <w:rFonts w:ascii="Times New Roman" w:hAnsi="Times New Roman" w:cs="Times New Roman"/>
          <w:sz w:val="24"/>
          <w:szCs w:val="24"/>
        </w:rPr>
        <w:t xml:space="preserve">We argue that the greater restriction of external employment opportunities after IDD adoption affects CEOs in the later years of their tenure to a greater extent, because such CEOs lose more </w:t>
      </w:r>
      <w:r w:rsidRPr="00F634D2">
        <w:rPr>
          <w:rFonts w:ascii="Times New Roman" w:hAnsi="Times New Roman" w:cs="Times New Roman"/>
          <w:sz w:val="24"/>
          <w:szCs w:val="24"/>
        </w:rPr>
        <w:lastRenderedPageBreak/>
        <w:t xml:space="preserve">accumulated human capital. To counter the effect of the adoption of the IDD, firms are expected to increase risk-taking incentives for CEOs in the later years of their tenure to a greater extent than for CEOs in the early years of their tenure. </w:t>
      </w:r>
      <w:r w:rsidRPr="00F634D2">
        <w:rPr>
          <w:rFonts w:ascii="Times New Roman" w:hAnsi="Times New Roman" w:cs="Times New Roman"/>
          <w:sz w:val="24"/>
          <w:szCs w:val="24"/>
          <w:lang w:val="en-GB"/>
        </w:rPr>
        <w:t xml:space="preserve">We acknowledge that newly hired CEOs may be under higher pressure to deliver better firm performance in order to enhance their compensation prospects and job security. Hence, CEOs in the early years of their tenure may also be risk-averse because a small mistake may be magnified when the outside </w:t>
      </w:r>
      <w:proofErr w:type="spellStart"/>
      <w:r w:rsidRPr="00F634D2">
        <w:rPr>
          <w:rFonts w:ascii="Times New Roman" w:hAnsi="Times New Roman" w:cs="Times New Roman"/>
          <w:sz w:val="24"/>
          <w:szCs w:val="24"/>
          <w:lang w:val="en-GB"/>
        </w:rPr>
        <w:t>labor</w:t>
      </w:r>
      <w:proofErr w:type="spellEnd"/>
      <w:r w:rsidRPr="00F634D2">
        <w:rPr>
          <w:rFonts w:ascii="Times New Roman" w:hAnsi="Times New Roman" w:cs="Times New Roman"/>
          <w:sz w:val="24"/>
          <w:szCs w:val="24"/>
          <w:lang w:val="en-GB"/>
        </w:rPr>
        <w:t xml:space="preserve"> market has limited information to justify CEOs’ actions. Such a possibility provides a tension in our argument and it remains uncertain whether the impact of IDD adoption on CEO risk-taking incentives is stronger for CEOs in the later years of their tenure or the earlier ones. </w:t>
      </w:r>
      <w:bookmarkStart w:id="2" w:name="_Hlk53083652"/>
      <w:r w:rsidRPr="00F634D2">
        <w:rPr>
          <w:rFonts w:ascii="Times New Roman" w:hAnsi="Times New Roman" w:cs="Times New Roman"/>
          <w:sz w:val="24"/>
          <w:szCs w:val="24"/>
          <w:lang w:val="en-GB"/>
        </w:rPr>
        <w:t>Considering the competing arguments discussed above, we formulate the following hypothesis as the third hypothesis:</w:t>
      </w:r>
      <w:bookmarkEnd w:id="2"/>
      <w:r w:rsidRPr="00F634D2">
        <w:rPr>
          <w:rFonts w:ascii="Times New Roman" w:hAnsi="Times New Roman" w:cs="Times New Roman"/>
          <w:sz w:val="24"/>
          <w:szCs w:val="24"/>
          <w:lang w:val="en-GB"/>
        </w:rPr>
        <w:t xml:space="preserve"> </w:t>
      </w:r>
    </w:p>
    <w:p w14:paraId="65DE91CF" w14:textId="04E8EC38" w:rsidR="00D50589" w:rsidRPr="00F634D2" w:rsidRDefault="00686261">
      <w:pPr>
        <w:adjustRightInd w:val="0"/>
        <w:snapToGrid w:val="0"/>
        <w:spacing w:after="240" w:line="480" w:lineRule="auto"/>
        <w:ind w:firstLine="567"/>
        <w:jc w:val="both"/>
        <w:rPr>
          <w:rFonts w:ascii="Times New Roman" w:hAnsi="Times New Roman" w:cs="Times New Roman"/>
          <w:color w:val="FF0000"/>
          <w:sz w:val="24"/>
          <w:szCs w:val="24"/>
        </w:rPr>
      </w:pPr>
      <w:r w:rsidRPr="00F634D2">
        <w:rPr>
          <w:rFonts w:ascii="Times New Roman" w:hAnsi="Times New Roman" w:cs="Times New Roman"/>
          <w:b/>
          <w:color w:val="FF0000"/>
          <w:sz w:val="24"/>
          <w:szCs w:val="24"/>
        </w:rPr>
        <w:t>H3</w:t>
      </w:r>
      <w:r w:rsidRPr="00F634D2">
        <w:rPr>
          <w:rFonts w:ascii="Times New Roman" w:hAnsi="Times New Roman" w:cs="Times New Roman"/>
          <w:color w:val="FF0000"/>
          <w:sz w:val="24"/>
          <w:szCs w:val="24"/>
        </w:rPr>
        <w:t xml:space="preserve">: </w:t>
      </w:r>
      <w:r w:rsidR="00F634D2" w:rsidRPr="00F634D2">
        <w:rPr>
          <w:rFonts w:ascii="Times New Roman" w:eastAsia="Times New Roman" w:hAnsi="Times New Roman" w:cs="Times New Roman"/>
          <w:color w:val="FF0000"/>
          <w:kern w:val="2"/>
          <w:sz w:val="24"/>
          <w:szCs w:val="24"/>
          <w:shd w:val="clear" w:color="auto" w:fill="FFFFFF"/>
        </w:rPr>
        <w:t>The positive association between IDD adoption and CEO risk-taking incentives is conditional on CEO tenure.</w:t>
      </w:r>
    </w:p>
    <w:p w14:paraId="268CA943" w14:textId="77777777" w:rsidR="00D50589" w:rsidRPr="00F634D2" w:rsidRDefault="00686261">
      <w:pPr>
        <w:keepNext/>
        <w:autoSpaceDE w:val="0"/>
        <w:autoSpaceDN w:val="0"/>
        <w:adjustRightInd w:val="0"/>
        <w:snapToGrid w:val="0"/>
        <w:spacing w:after="0" w:line="480" w:lineRule="auto"/>
        <w:rPr>
          <w:rFonts w:ascii="Times New Roman" w:eastAsia="PMingLiU" w:hAnsi="Times New Roman" w:cs="Times New Roman"/>
          <w:b/>
          <w:sz w:val="24"/>
          <w:szCs w:val="24"/>
          <w:lang w:eastAsia="zh-HK"/>
        </w:rPr>
      </w:pPr>
      <w:r w:rsidRPr="00F634D2">
        <w:rPr>
          <w:rFonts w:ascii="Times New Roman" w:eastAsia="PMingLiU" w:hAnsi="Times New Roman" w:cs="Times New Roman"/>
          <w:b/>
          <w:sz w:val="24"/>
          <w:szCs w:val="24"/>
          <w:lang w:eastAsia="zh-HK"/>
        </w:rPr>
        <w:t>4. Research design</w:t>
      </w:r>
    </w:p>
    <w:p w14:paraId="7D463ADD" w14:textId="77777777" w:rsidR="00D50589" w:rsidRPr="00F634D2" w:rsidRDefault="00686261">
      <w:pPr>
        <w:snapToGrid w:val="0"/>
        <w:spacing w:after="0" w:line="480" w:lineRule="auto"/>
        <w:ind w:firstLineChars="200" w:firstLine="480"/>
        <w:jc w:val="both"/>
      </w:pPr>
      <w:r w:rsidRPr="00F634D2">
        <w:rPr>
          <w:rFonts w:ascii="Times New Roman" w:eastAsia="DengXian" w:hAnsi="Times New Roman" w:cs="Times New Roman"/>
          <w:sz w:val="24"/>
          <w:szCs w:val="24"/>
        </w:rPr>
        <w:t xml:space="preserve">To test our hypotheses, we use a difference-in-differences method (e.g., Bertrand and Mullainathan 2003; Bertrand et al. 2004; Yun 2008; Low 2009; Armstrong et al. 2012a; </w:t>
      </w:r>
      <w:r w:rsidRPr="00F634D2">
        <w:rPr>
          <w:rFonts w:ascii="Times New Roman" w:eastAsia="PMingLiU" w:hAnsi="Times New Roman" w:cs="Times New Roman"/>
          <w:sz w:val="24"/>
          <w:szCs w:val="24"/>
          <w:lang w:eastAsia="en-US"/>
        </w:rPr>
        <w:t xml:space="preserve">Lennox and Li 2012; </w:t>
      </w:r>
      <w:proofErr w:type="spellStart"/>
      <w:r w:rsidRPr="00F634D2">
        <w:rPr>
          <w:rFonts w:ascii="Times New Roman" w:eastAsia="PMingLiU" w:hAnsi="Times New Roman" w:cs="Times New Roman"/>
          <w:sz w:val="24"/>
          <w:szCs w:val="24"/>
          <w:lang w:eastAsia="en-US"/>
        </w:rPr>
        <w:t>Klasa</w:t>
      </w:r>
      <w:proofErr w:type="spellEnd"/>
      <w:r w:rsidRPr="00F634D2">
        <w:rPr>
          <w:rFonts w:ascii="Times New Roman" w:eastAsia="PMingLiU" w:hAnsi="Times New Roman" w:cs="Times New Roman"/>
          <w:sz w:val="24"/>
          <w:szCs w:val="24"/>
          <w:lang w:eastAsia="en-US"/>
        </w:rPr>
        <w:t xml:space="preserve"> et al. 2018; Li et al. 201</w:t>
      </w:r>
      <w:r w:rsidRPr="00F634D2">
        <w:rPr>
          <w:rFonts w:ascii="Times New Roman" w:hAnsi="Times New Roman" w:cs="Times New Roman"/>
          <w:sz w:val="24"/>
          <w:szCs w:val="24"/>
        </w:rPr>
        <w:t>8</w:t>
      </w:r>
      <w:r w:rsidRPr="00F634D2">
        <w:rPr>
          <w:rFonts w:ascii="Times New Roman" w:eastAsia="DengXian" w:hAnsi="Times New Roman" w:cs="Times New Roman"/>
          <w:sz w:val="24"/>
          <w:szCs w:val="24"/>
        </w:rPr>
        <w:t>).</w:t>
      </w:r>
      <w:r w:rsidRPr="00F634D2">
        <w:rPr>
          <w:rStyle w:val="FootnoteReference"/>
          <w:rFonts w:ascii="Times New Roman" w:eastAsia="DengXian" w:hAnsi="Times New Roman" w:cs="Times New Roman"/>
          <w:sz w:val="24"/>
          <w:szCs w:val="24"/>
        </w:rPr>
        <w:footnoteReference w:id="4"/>
      </w:r>
      <w:r w:rsidRPr="00F634D2">
        <w:rPr>
          <w:rFonts w:ascii="Times New Roman" w:eastAsia="DengXian" w:hAnsi="Times New Roman" w:cs="Times New Roman"/>
          <w:sz w:val="24"/>
          <w:szCs w:val="24"/>
        </w:rPr>
        <w:t xml:space="preserve"> </w:t>
      </w:r>
      <w:r w:rsidRPr="00F634D2">
        <w:rPr>
          <w:rFonts w:ascii="Times New Roman" w:hAnsi="Times New Roman" w:cs="Times New Roman"/>
          <w:sz w:val="24"/>
          <w:szCs w:val="24"/>
        </w:rPr>
        <w:t xml:space="preserve">This method </w:t>
      </w:r>
      <w:r w:rsidRPr="00F634D2">
        <w:rPr>
          <w:rFonts w:ascii="Times New Roman" w:eastAsia="DengXian" w:hAnsi="Times New Roman" w:cs="Times New Roman"/>
          <w:sz w:val="24"/>
          <w:szCs w:val="24"/>
        </w:rPr>
        <w:t>exploits the exogenous variations created by the staggered adoption of the IDD over time in different U.S. states, which helps circumvent the endogeneity problem that typically arises when comparing heterogeneous firms. Our model to test H1 is specified as follows:</w:t>
      </w:r>
      <w:r w:rsidRPr="00F634D2">
        <w:t xml:space="preserve"> </w:t>
      </w:r>
    </w:p>
    <w:p w14:paraId="0A4D3416" w14:textId="77777777" w:rsidR="00D50589" w:rsidRPr="00F634D2" w:rsidRDefault="005147A2">
      <w:pPr>
        <w:snapToGrid w:val="0"/>
        <w:spacing w:after="0" w:line="480" w:lineRule="auto"/>
        <w:ind w:firstLineChars="200" w:firstLine="440"/>
        <w:jc w:val="both"/>
      </w:pPr>
      <w:r w:rsidRPr="00F634D2">
        <w:rPr>
          <w:position w:val="-48"/>
        </w:rPr>
        <w:object w:dxaOrig="8600" w:dyaOrig="1080" w14:anchorId="38BBE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6.5pt" o:ole="">
            <v:imagedata r:id="rId9" o:title=""/>
          </v:shape>
          <o:OLEObject Type="Embed" ProgID="Equation.DSMT4" ShapeID="_x0000_i1025" DrawAspect="Content" ObjectID="_1668017180" r:id="rId10"/>
        </w:object>
      </w:r>
    </w:p>
    <w:p w14:paraId="4ED3F6F3" w14:textId="4F383846" w:rsidR="00D50589" w:rsidRPr="00F634D2" w:rsidRDefault="00686261">
      <w:pPr>
        <w:adjustRightInd w:val="0"/>
        <w:snapToGrid w:val="0"/>
        <w:spacing w:after="0" w:line="480" w:lineRule="auto"/>
        <w:ind w:firstLine="576"/>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Consistent with prior research (</w:t>
      </w:r>
      <w:proofErr w:type="spellStart"/>
      <w:r w:rsidRPr="00F634D2">
        <w:rPr>
          <w:rFonts w:ascii="Times New Roman" w:hAnsi="Times New Roman" w:cs="Times New Roman"/>
          <w:sz w:val="24"/>
          <w:szCs w:val="24"/>
        </w:rPr>
        <w:t>Guay</w:t>
      </w:r>
      <w:proofErr w:type="spellEnd"/>
      <w:r w:rsidRPr="00F634D2">
        <w:rPr>
          <w:rFonts w:ascii="Times New Roman" w:hAnsi="Times New Roman" w:cs="Times New Roman"/>
          <w:sz w:val="24"/>
          <w:szCs w:val="24"/>
        </w:rPr>
        <w:t xml:space="preserve"> 1999; Core and </w:t>
      </w:r>
      <w:proofErr w:type="spellStart"/>
      <w:r w:rsidRPr="00F634D2">
        <w:rPr>
          <w:rFonts w:ascii="Times New Roman" w:hAnsi="Times New Roman" w:cs="Times New Roman"/>
          <w:sz w:val="24"/>
          <w:szCs w:val="24"/>
        </w:rPr>
        <w:t>Guay</w:t>
      </w:r>
      <w:proofErr w:type="spellEnd"/>
      <w:r w:rsidRPr="00F634D2">
        <w:rPr>
          <w:rFonts w:ascii="Times New Roman" w:hAnsi="Times New Roman" w:cs="Times New Roman"/>
          <w:sz w:val="24"/>
          <w:szCs w:val="24"/>
        </w:rPr>
        <w:t xml:space="preserve"> 2002; </w:t>
      </w:r>
      <w:proofErr w:type="spellStart"/>
      <w:r w:rsidRPr="00F634D2">
        <w:rPr>
          <w:rFonts w:ascii="Times New Roman" w:hAnsi="Times New Roman" w:cs="Times New Roman"/>
          <w:sz w:val="24"/>
          <w:szCs w:val="24"/>
        </w:rPr>
        <w:t>Rajgopal</w:t>
      </w:r>
      <w:proofErr w:type="spellEnd"/>
      <w:r w:rsidRPr="00F634D2">
        <w:rPr>
          <w:rFonts w:ascii="Times New Roman" w:hAnsi="Times New Roman" w:cs="Times New Roman"/>
          <w:sz w:val="24"/>
          <w:szCs w:val="24"/>
        </w:rPr>
        <w:t xml:space="preserve"> and Shevlin 2002; Coles et al. 2006; Low 2009; </w:t>
      </w:r>
      <w:r w:rsidRPr="00F634D2">
        <w:rPr>
          <w:rFonts w:ascii="Times New Roman" w:eastAsia="DengXian" w:hAnsi="Times New Roman" w:cs="Times New Roman"/>
          <w:sz w:val="24"/>
          <w:szCs w:val="24"/>
        </w:rPr>
        <w:t xml:space="preserve">Armstrong et al. 2012b; </w:t>
      </w:r>
      <w:r w:rsidRPr="00F634D2">
        <w:rPr>
          <w:rFonts w:ascii="Times New Roman" w:hAnsi="Times New Roman" w:cs="Times New Roman"/>
          <w:sz w:val="24"/>
          <w:szCs w:val="24"/>
        </w:rPr>
        <w:t xml:space="preserve">Armstrong and </w:t>
      </w:r>
      <w:proofErr w:type="spellStart"/>
      <w:r w:rsidRPr="00F634D2">
        <w:rPr>
          <w:rFonts w:ascii="Times New Roman" w:hAnsi="Times New Roman" w:cs="Times New Roman"/>
          <w:sz w:val="24"/>
          <w:szCs w:val="24"/>
        </w:rPr>
        <w:t>Vashishtha</w:t>
      </w:r>
      <w:proofErr w:type="spellEnd"/>
      <w:r w:rsidRPr="00F634D2">
        <w:rPr>
          <w:rFonts w:ascii="Times New Roman" w:hAnsi="Times New Roman" w:cs="Times New Roman"/>
          <w:sz w:val="24"/>
          <w:szCs w:val="24"/>
        </w:rPr>
        <w:t xml:space="preserve"> 2012; Gormley et al. 2013</w:t>
      </w:r>
      <w:r w:rsidRPr="00F634D2">
        <w:rPr>
          <w:rFonts w:ascii="Times New Roman" w:eastAsia="DengXian" w:hAnsi="Times New Roman" w:cs="Times New Roman"/>
          <w:sz w:val="24"/>
          <w:szCs w:val="24"/>
        </w:rPr>
        <w:t xml:space="preserve">), we use </w:t>
      </w:r>
      <w:r w:rsidR="005677AE"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 xml:space="preserve">ega as our primary measure of CEO risk-taking incentives. Vega is the sensitivity of a CEO’s equity compensation to stock return volatility, and is measured as the natural logarithm of one plus the change in the risk-neutral (i.e., Black–Scholes) value of the CEO’s option portfolio for 1 percent change in the standard deviation of underlying stock returns (Core and </w:t>
      </w:r>
      <w:proofErr w:type="spellStart"/>
      <w:r w:rsidRPr="00F634D2">
        <w:rPr>
          <w:rFonts w:ascii="Times New Roman" w:eastAsia="DengXian" w:hAnsi="Times New Roman" w:cs="Times New Roman"/>
          <w:sz w:val="24"/>
          <w:szCs w:val="24"/>
        </w:rPr>
        <w:t>Guay</w:t>
      </w:r>
      <w:proofErr w:type="spellEnd"/>
      <w:r w:rsidRPr="00F634D2">
        <w:rPr>
          <w:rFonts w:ascii="Times New Roman" w:eastAsia="DengXian" w:hAnsi="Times New Roman" w:cs="Times New Roman"/>
          <w:sz w:val="24"/>
          <w:szCs w:val="24"/>
        </w:rPr>
        <w:t xml:space="preserve"> 2002). For each unit of risk, a higher value of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ega provides a higher payoff to CEOs from their equity-based compensation, hence encouraging CEOs to take greater risk.</w:t>
      </w:r>
      <w:r w:rsidRPr="00F634D2">
        <w:rPr>
          <w:rFonts w:ascii="Times New Roman" w:hAnsi="Times New Roman" w:cs="Times New Roman"/>
          <w:sz w:val="24"/>
          <w:szCs w:val="24"/>
        </w:rPr>
        <w:t xml:space="preserve"> </w:t>
      </w:r>
    </w:p>
    <w:p w14:paraId="34B5A2A4" w14:textId="77777777" w:rsidR="00D50589" w:rsidRPr="00F634D2" w:rsidRDefault="00686261">
      <w:pPr>
        <w:spacing w:after="0" w:line="480" w:lineRule="auto"/>
        <w:ind w:firstLine="576"/>
        <w:jc w:val="both"/>
        <w:rPr>
          <w:rFonts w:ascii="Times New Roman" w:hAnsi="Times New Roman" w:cs="Times New Roman"/>
          <w:sz w:val="24"/>
          <w:szCs w:val="24"/>
        </w:rPr>
      </w:pPr>
      <w:proofErr w:type="spellStart"/>
      <w:r w:rsidRPr="00F634D2">
        <w:rPr>
          <w:rFonts w:ascii="Times New Roman" w:eastAsia="DengXian" w:hAnsi="Times New Roman" w:cs="Times New Roman"/>
          <w:i/>
          <w:sz w:val="24"/>
          <w:szCs w:val="24"/>
        </w:rPr>
        <w:t>AfterIDD</w:t>
      </w:r>
      <w:proofErr w:type="spellEnd"/>
      <w:r w:rsidRPr="00F634D2">
        <w:rPr>
          <w:rFonts w:ascii="Times New Roman" w:eastAsia="DengXian" w:hAnsi="Times New Roman" w:cs="Times New Roman"/>
          <w:i/>
          <w:sz w:val="24"/>
          <w:szCs w:val="24"/>
        </w:rPr>
        <w:t xml:space="preserve"> </w:t>
      </w:r>
      <w:r w:rsidRPr="00F634D2">
        <w:rPr>
          <w:rFonts w:ascii="Times New Roman" w:eastAsia="DengXian" w:hAnsi="Times New Roman" w:cs="Times New Roman"/>
          <w:sz w:val="24"/>
          <w:szCs w:val="24"/>
        </w:rPr>
        <w:t xml:space="preserve">is an </w:t>
      </w:r>
      <w:r w:rsidRPr="00F634D2">
        <w:rPr>
          <w:rFonts w:ascii="Times New Roman" w:eastAsia="Times New Roman" w:hAnsi="Times New Roman" w:cs="Times New Roman"/>
          <w:sz w:val="24"/>
          <w:szCs w:val="24"/>
          <w:lang w:eastAsia="en-GB"/>
        </w:rPr>
        <w:t xml:space="preserve">indicator </w:t>
      </w:r>
      <w:r w:rsidRPr="00F634D2">
        <w:rPr>
          <w:rFonts w:ascii="Times New Roman" w:eastAsia="Times New Roman" w:hAnsi="Times New Roman" w:cs="Times New Roman"/>
          <w:sz w:val="24"/>
          <w:szCs w:val="24"/>
          <w:lang w:val="en-GB" w:eastAsia="en-GB"/>
        </w:rPr>
        <w:t>equal to 1 for state-years when the IDD is adopted by the state court, and 0 in all other state-years. All other state-years include both the state-years when the prior adoption was reversed and the state-years when the IDD was never adopted.</w:t>
      </w:r>
      <w:r w:rsidRPr="00F634D2">
        <w:rPr>
          <w:rFonts w:ascii="Times New Roman" w:eastAsia="DengXian" w:hAnsi="Times New Roman" w:cs="Times New Roman"/>
          <w:sz w:val="24"/>
          <w:szCs w:val="24"/>
        </w:rPr>
        <w:t xml:space="preserve"> The advantage of this design is that the staggered adoptions (rejections) of the IDD over time allow a firm in a given U.S. state to belong to the treatment and control groups at different points in time. Because equation (1) controls for firm fixed effects and</w:t>
      </w:r>
      <w:r w:rsidRPr="00F634D2">
        <w:rPr>
          <w:rFonts w:ascii="Times New Roman" w:hAnsi="Times New Roman" w:cs="Times New Roman"/>
          <w:sz w:val="24"/>
          <w:szCs w:val="24"/>
        </w:rPr>
        <w:t xml:space="preserve"> </w:t>
      </w:r>
      <w:r w:rsidRPr="00F634D2">
        <w:rPr>
          <w:rFonts w:ascii="Times New Roman" w:eastAsia="DengXian" w:hAnsi="Times New Roman" w:cs="Times New Roman"/>
          <w:sz w:val="24"/>
          <w:szCs w:val="24"/>
        </w:rPr>
        <w:t xml:space="preserve">industry-year fixed effects, </w:t>
      </w:r>
      <w:r w:rsidRPr="00F634D2">
        <w:rPr>
          <w:rFonts w:ascii="Times New Roman" w:hAnsi="Times New Roman" w:cs="Times New Roman"/>
          <w:sz w:val="24"/>
          <w:szCs w:val="24"/>
        </w:rPr>
        <w:t xml:space="preserve">this model essentially compares the change in </w:t>
      </w:r>
      <w:r w:rsidRPr="00F634D2">
        <w:rPr>
          <w:rFonts w:ascii="Times New Roman" w:eastAsia="DengXian" w:hAnsi="Times New Roman" w:cs="Times New Roman"/>
          <w:sz w:val="24"/>
          <w:szCs w:val="24"/>
        </w:rPr>
        <w:t xml:space="preserve">CEO risk-taking incentives (i.e., </w:t>
      </w:r>
      <w:r w:rsidRPr="00F634D2">
        <w:rPr>
          <w:rFonts w:ascii="Times New Roman" w:hAnsi="Times New Roman" w:cs="Times New Roman"/>
          <w:sz w:val="24"/>
          <w:szCs w:val="24"/>
        </w:rPr>
        <w:t xml:space="preserve">Vega) for a firm before and after IDD adoption with that for a control firm over the same period. </w:t>
      </w:r>
      <w:r w:rsidRPr="00F634D2">
        <w:rPr>
          <w:rFonts w:ascii="Times New Roman" w:eastAsia="DengXian" w:hAnsi="Times New Roman" w:cs="Times New Roman"/>
          <w:sz w:val="24"/>
          <w:szCs w:val="24"/>
        </w:rPr>
        <w:t xml:space="preserve">The coefficient on </w:t>
      </w:r>
      <w:proofErr w:type="spellStart"/>
      <w:r w:rsidRPr="00F634D2">
        <w:rPr>
          <w:rFonts w:ascii="Times New Roman" w:eastAsia="DengXian" w:hAnsi="Times New Roman" w:cs="Times New Roman"/>
          <w:i/>
          <w:sz w:val="24"/>
          <w:szCs w:val="24"/>
        </w:rPr>
        <w:t>AfterIDD</w:t>
      </w:r>
      <w:proofErr w:type="spellEnd"/>
      <w:r w:rsidRPr="00F634D2">
        <w:rPr>
          <w:rFonts w:ascii="Times New Roman" w:eastAsia="DengXian" w:hAnsi="Times New Roman" w:cs="Times New Roman"/>
          <w:i/>
          <w:sz w:val="24"/>
          <w:szCs w:val="24"/>
        </w:rPr>
        <w:t xml:space="preserve"> </w:t>
      </w:r>
      <w:r w:rsidRPr="00F634D2">
        <w:rPr>
          <w:rFonts w:ascii="Times New Roman" w:eastAsia="DengXian" w:hAnsi="Times New Roman" w:cs="Times New Roman"/>
          <w:sz w:val="24"/>
          <w:szCs w:val="24"/>
        </w:rPr>
        <w:t>(</w:t>
      </w:r>
      <w:r w:rsidR="007E03F2" w:rsidRPr="00F634D2">
        <w:rPr>
          <w:position w:val="-6"/>
        </w:rPr>
        <w:object w:dxaOrig="279" w:dyaOrig="220" w14:anchorId="1B51BDBE">
          <v:shape id="_x0000_i1026" type="#_x0000_t75" style="width:15.5pt;height:10.5pt" o:ole="">
            <v:imagedata r:id="rId11" o:title=""/>
          </v:shape>
          <o:OLEObject Type="Embed" ProgID="Equation.DSMT4" ShapeID="_x0000_i1026" DrawAspect="Content" ObjectID="_1668017181" r:id="rId12"/>
        </w:object>
      </w:r>
      <w:r w:rsidRPr="00F634D2">
        <w:rPr>
          <w:rFonts w:ascii="Times New Roman" w:eastAsia="DengXian" w:hAnsi="Times New Roman" w:cs="Times New Roman"/>
          <w:sz w:val="24"/>
          <w:szCs w:val="24"/>
        </w:rPr>
        <w:t xml:space="preserve">) is effectively the difference-in-differences estimate capturing the effect of IDD adoption on CEO risk-taking incentives. Under H1, we expect </w:t>
      </w:r>
      <w:r w:rsidRPr="00F634D2">
        <w:rPr>
          <w:rFonts w:ascii="Times New Roman" w:hAnsi="Times New Roman" w:cs="Times New Roman"/>
          <w:position w:val="-6"/>
          <w:sz w:val="24"/>
          <w:szCs w:val="24"/>
        </w:rPr>
        <w:object w:dxaOrig="279" w:dyaOrig="220" w14:anchorId="29E8CF95">
          <v:shape id="_x0000_i1027" type="#_x0000_t75" style="width:15.5pt;height:5pt" o:ole="">
            <v:imagedata r:id="rId13" o:title=""/>
          </v:shape>
          <o:OLEObject Type="Embed" ProgID="Equation.DSMT4" ShapeID="_x0000_i1027" DrawAspect="Content" ObjectID="_1668017182" r:id="rId14"/>
        </w:object>
      </w:r>
      <w:r w:rsidRPr="00F634D2">
        <w:rPr>
          <w:rFonts w:ascii="Times New Roman" w:hAnsi="Times New Roman" w:cs="Times New Roman"/>
          <w:sz w:val="24"/>
          <w:szCs w:val="24"/>
        </w:rPr>
        <w:t>to be significantly positive.</w:t>
      </w:r>
    </w:p>
    <w:p w14:paraId="372D49AA" w14:textId="77777777" w:rsidR="00D50589" w:rsidRPr="00F634D2" w:rsidRDefault="00686261">
      <w:pPr>
        <w:autoSpaceDE w:val="0"/>
        <w:autoSpaceDN w:val="0"/>
        <w:adjustRightInd w:val="0"/>
        <w:spacing w:line="480" w:lineRule="auto"/>
        <w:ind w:firstLineChars="200" w:firstLine="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Consistent with prior literature, we include a series of control variables (e.g., </w:t>
      </w:r>
      <w:proofErr w:type="spellStart"/>
      <w:r w:rsidRPr="00F634D2">
        <w:rPr>
          <w:rFonts w:ascii="Times New Roman" w:eastAsia="DengXian" w:hAnsi="Times New Roman" w:cs="Times New Roman"/>
          <w:sz w:val="24"/>
          <w:szCs w:val="24"/>
        </w:rPr>
        <w:t>Guay</w:t>
      </w:r>
      <w:proofErr w:type="spellEnd"/>
      <w:r w:rsidRPr="00F634D2">
        <w:rPr>
          <w:rFonts w:ascii="Times New Roman" w:eastAsia="DengXian" w:hAnsi="Times New Roman" w:cs="Times New Roman"/>
          <w:sz w:val="24"/>
          <w:szCs w:val="24"/>
        </w:rPr>
        <w:t xml:space="preserve"> 1999; Coles et al. 2006; Low 2009; Li et al. 2018). Specifically, we include the natural log of market value of equity (</w:t>
      </w:r>
      <w:r w:rsidRPr="00F634D2">
        <w:rPr>
          <w:rFonts w:ascii="Times New Roman" w:eastAsia="DengXian" w:hAnsi="Times New Roman" w:cs="Times New Roman"/>
          <w:i/>
          <w:sz w:val="24"/>
          <w:szCs w:val="24"/>
        </w:rPr>
        <w:t>Size</w:t>
      </w:r>
      <w:r w:rsidRPr="00F634D2">
        <w:rPr>
          <w:rFonts w:ascii="Times New Roman" w:eastAsia="DengXian" w:hAnsi="Times New Roman" w:cs="Times New Roman"/>
          <w:sz w:val="24"/>
          <w:szCs w:val="24"/>
        </w:rPr>
        <w:t>) to control for firm size, book-to-market ratio (</w:t>
      </w:r>
      <w:r w:rsidRPr="00F634D2">
        <w:rPr>
          <w:rFonts w:ascii="Times New Roman" w:eastAsia="DengXian" w:hAnsi="Times New Roman" w:cs="Times New Roman"/>
          <w:i/>
          <w:sz w:val="24"/>
          <w:szCs w:val="24"/>
        </w:rPr>
        <w:t>BTM</w:t>
      </w:r>
      <w:r w:rsidRPr="00F634D2">
        <w:rPr>
          <w:rFonts w:ascii="Times New Roman" w:eastAsia="DengXian" w:hAnsi="Times New Roman" w:cs="Times New Roman"/>
          <w:sz w:val="24"/>
          <w:szCs w:val="24"/>
        </w:rPr>
        <w:t xml:space="preserve">) as a proxy for investment </w:t>
      </w:r>
      <w:r w:rsidRPr="00F634D2">
        <w:rPr>
          <w:rFonts w:ascii="Times New Roman" w:eastAsia="DengXian" w:hAnsi="Times New Roman" w:cs="Times New Roman"/>
          <w:sz w:val="24"/>
          <w:szCs w:val="24"/>
        </w:rPr>
        <w:lastRenderedPageBreak/>
        <w:t>and future growth opportunities, return on assets (</w:t>
      </w:r>
      <w:r w:rsidRPr="00F634D2">
        <w:rPr>
          <w:rFonts w:ascii="Times New Roman" w:eastAsia="DengXian" w:hAnsi="Times New Roman" w:cs="Times New Roman"/>
          <w:i/>
          <w:sz w:val="24"/>
          <w:szCs w:val="24"/>
        </w:rPr>
        <w:t>ROA</w:t>
      </w:r>
      <w:r w:rsidRPr="00F634D2">
        <w:rPr>
          <w:rFonts w:ascii="Times New Roman" w:eastAsia="DengXian" w:hAnsi="Times New Roman" w:cs="Times New Roman"/>
          <w:sz w:val="24"/>
          <w:szCs w:val="24"/>
        </w:rPr>
        <w:t>) to control for profitability, and CEO tenure (</w:t>
      </w:r>
      <w:r w:rsidRPr="00F634D2">
        <w:rPr>
          <w:rFonts w:ascii="Times New Roman" w:eastAsia="DengXian" w:hAnsi="Times New Roman" w:cs="Times New Roman"/>
          <w:i/>
          <w:sz w:val="24"/>
          <w:szCs w:val="24"/>
        </w:rPr>
        <w:t>Tenure</w:t>
      </w:r>
      <w:r w:rsidRPr="00F634D2">
        <w:rPr>
          <w:rFonts w:ascii="Times New Roman" w:eastAsia="DengXian" w:hAnsi="Times New Roman" w:cs="Times New Roman"/>
          <w:sz w:val="24"/>
          <w:szCs w:val="24"/>
        </w:rPr>
        <w:t xml:space="preserve">) to control for the impact of tenure. Because the impact of </w:t>
      </w:r>
      <w:r w:rsidRPr="00F634D2">
        <w:rPr>
          <w:rFonts w:ascii="Times New Roman" w:hAnsi="Times New Roman" w:cs="Times New Roman"/>
          <w:sz w:val="24"/>
          <w:szCs w:val="24"/>
          <w:lang w:val="en-GB"/>
        </w:rPr>
        <w:t>the decreased external employment opportunities on managerial risk-aversion</w:t>
      </w:r>
      <w:r w:rsidRPr="00F634D2">
        <w:rPr>
          <w:rFonts w:ascii="Times New Roman" w:eastAsia="DengXian" w:hAnsi="Times New Roman" w:cs="Times New Roman"/>
          <w:sz w:val="24"/>
          <w:szCs w:val="24"/>
        </w:rPr>
        <w:t xml:space="preserve"> </w:t>
      </w:r>
      <w:r w:rsidRPr="00F634D2">
        <w:rPr>
          <w:rFonts w:ascii="Times New Roman" w:hAnsi="Times New Roman" w:cs="Times New Roman"/>
          <w:sz w:val="24"/>
          <w:szCs w:val="24"/>
          <w:lang w:val="en-GB"/>
        </w:rPr>
        <w:t>also depends on the risk preferences of managers</w:t>
      </w:r>
      <w:r w:rsidRPr="00F634D2">
        <w:rPr>
          <w:rFonts w:ascii="Times New Roman" w:eastAsia="DengXian" w:hAnsi="Times New Roman" w:cs="Times New Roman"/>
          <w:sz w:val="24"/>
          <w:szCs w:val="24"/>
        </w:rPr>
        <w:t>, we control for CEO risk attitude in equation (1). While directly measuring CEO risk attitude is difficult, literature suggests that higher level of risk-aversion can be identified in firms with high probabilities of default and firms with low spending on research and development activities. Hence, we include the Altman (1968)’s Z-score (</w:t>
      </w:r>
      <w:proofErr w:type="spellStart"/>
      <w:r w:rsidRPr="00F634D2">
        <w:rPr>
          <w:rFonts w:ascii="Times New Roman" w:eastAsia="DengXian" w:hAnsi="Times New Roman" w:cs="Times New Roman"/>
          <w:i/>
          <w:sz w:val="24"/>
          <w:szCs w:val="24"/>
        </w:rPr>
        <w:t>Zscore</w:t>
      </w:r>
      <w:proofErr w:type="spellEnd"/>
      <w:r w:rsidRPr="00F634D2">
        <w:rPr>
          <w:rFonts w:ascii="Times New Roman" w:eastAsia="DengXian" w:hAnsi="Times New Roman" w:cs="Times New Roman"/>
          <w:sz w:val="24"/>
          <w:szCs w:val="24"/>
        </w:rPr>
        <w:t>) to control for the firm’s default probabilities; we additionally include research and development expenditure (</w:t>
      </w:r>
      <w:r w:rsidRPr="00F634D2">
        <w:rPr>
          <w:rFonts w:ascii="Times New Roman" w:eastAsia="DengXian" w:hAnsi="Times New Roman" w:cs="Times New Roman"/>
          <w:i/>
          <w:sz w:val="24"/>
          <w:szCs w:val="24"/>
        </w:rPr>
        <w:t>R&amp;D</w:t>
      </w:r>
      <w:r w:rsidRPr="00F634D2">
        <w:rPr>
          <w:rFonts w:ascii="Times New Roman" w:eastAsia="DengXian" w:hAnsi="Times New Roman" w:cs="Times New Roman"/>
          <w:sz w:val="24"/>
          <w:szCs w:val="24"/>
        </w:rPr>
        <w:t xml:space="preserve">) (Low 2009). </w:t>
      </w:r>
      <w:r w:rsidRPr="00F634D2">
        <w:rPr>
          <w:rFonts w:ascii="Times New Roman" w:hAnsi="Times New Roman" w:cs="Times New Roman"/>
          <w:sz w:val="24"/>
          <w:szCs w:val="24"/>
          <w:lang w:val="en-GB"/>
        </w:rPr>
        <w:t>he compensation literature (</w:t>
      </w:r>
      <w:r w:rsidRPr="00F634D2">
        <w:rPr>
          <w:rFonts w:ascii="Times New Roman" w:eastAsia="DengXian" w:hAnsi="Times New Roman" w:cs="Times New Roman"/>
          <w:sz w:val="24"/>
          <w:szCs w:val="24"/>
        </w:rPr>
        <w:t xml:space="preserve">e.g., </w:t>
      </w:r>
      <w:proofErr w:type="spellStart"/>
      <w:r w:rsidRPr="00F634D2">
        <w:rPr>
          <w:rFonts w:ascii="Times New Roman" w:eastAsia="DengXian" w:hAnsi="Times New Roman" w:cs="Times New Roman"/>
          <w:sz w:val="24"/>
          <w:szCs w:val="24"/>
        </w:rPr>
        <w:t>Guay</w:t>
      </w:r>
      <w:proofErr w:type="spellEnd"/>
      <w:r w:rsidRPr="00F634D2">
        <w:rPr>
          <w:rFonts w:ascii="Times New Roman" w:eastAsia="DengXian" w:hAnsi="Times New Roman" w:cs="Times New Roman"/>
          <w:sz w:val="24"/>
          <w:szCs w:val="24"/>
        </w:rPr>
        <w:t xml:space="preserve"> 1999; Coles et al. 2006) </w:t>
      </w:r>
      <w:r w:rsidRPr="00F634D2">
        <w:rPr>
          <w:rFonts w:ascii="Times New Roman" w:hAnsi="Times New Roman" w:cs="Times New Roman"/>
          <w:sz w:val="24"/>
          <w:szCs w:val="24"/>
          <w:lang w:val="en-GB"/>
        </w:rPr>
        <w:t xml:space="preserve">suggests that the different components of CEO compensation can affect the risk preferences of CEOs, </w:t>
      </w:r>
      <w:r w:rsidRPr="00F634D2">
        <w:rPr>
          <w:rFonts w:ascii="Times New Roman" w:eastAsia="DengXian" w:hAnsi="Times New Roman" w:cs="Times New Roman"/>
          <w:sz w:val="24"/>
          <w:szCs w:val="24"/>
        </w:rPr>
        <w:t>we also include the different components of CEO compensation, including the CEO’s salary (</w:t>
      </w:r>
      <w:r w:rsidRPr="00F634D2">
        <w:rPr>
          <w:rFonts w:ascii="Times New Roman" w:eastAsia="DengXian" w:hAnsi="Times New Roman" w:cs="Times New Roman"/>
          <w:i/>
          <w:sz w:val="24"/>
          <w:szCs w:val="24"/>
        </w:rPr>
        <w:t>Salary</w:t>
      </w:r>
      <w:r w:rsidRPr="00F634D2">
        <w:rPr>
          <w:rFonts w:ascii="Times New Roman" w:eastAsia="DengXian" w:hAnsi="Times New Roman" w:cs="Times New Roman"/>
          <w:sz w:val="24"/>
          <w:szCs w:val="24"/>
        </w:rPr>
        <w:t>), bonus (</w:t>
      </w:r>
      <w:r w:rsidRPr="00F634D2">
        <w:rPr>
          <w:rFonts w:ascii="Times New Roman" w:eastAsia="DengXian" w:hAnsi="Times New Roman" w:cs="Times New Roman"/>
          <w:i/>
          <w:sz w:val="24"/>
          <w:szCs w:val="24"/>
        </w:rPr>
        <w:t>Bonus</w:t>
      </w:r>
      <w:r w:rsidRPr="00F634D2">
        <w:rPr>
          <w:rFonts w:ascii="Times New Roman" w:eastAsia="DengXian" w:hAnsi="Times New Roman" w:cs="Times New Roman"/>
          <w:sz w:val="24"/>
          <w:szCs w:val="24"/>
        </w:rPr>
        <w:t>), and other compensation (</w:t>
      </w:r>
      <w:r w:rsidRPr="00F634D2">
        <w:rPr>
          <w:rFonts w:ascii="Times New Roman" w:eastAsia="DengXian" w:hAnsi="Times New Roman" w:cs="Times New Roman"/>
          <w:i/>
          <w:sz w:val="24"/>
          <w:szCs w:val="24"/>
        </w:rPr>
        <w:t xml:space="preserve">Other). </w:t>
      </w:r>
    </w:p>
    <w:p w14:paraId="5F6FE1A9" w14:textId="69533511" w:rsidR="00D50589" w:rsidRPr="00F634D2" w:rsidRDefault="00686261">
      <w:pPr>
        <w:autoSpaceDE w:val="0"/>
        <w:autoSpaceDN w:val="0"/>
        <w:adjustRightInd w:val="0"/>
        <w:spacing w:after="0" w:line="480" w:lineRule="auto"/>
        <w:ind w:firstLineChars="200" w:firstLine="480"/>
        <w:jc w:val="both"/>
        <w:rPr>
          <w:rFonts w:ascii="Times New Roman" w:hAnsi="Times New Roman" w:cs="Times New Roman"/>
          <w:sz w:val="24"/>
          <w:szCs w:val="24"/>
        </w:rPr>
      </w:pPr>
      <w:r w:rsidRPr="00F634D2">
        <w:rPr>
          <w:rFonts w:ascii="Times New Roman" w:eastAsia="DengXian" w:hAnsi="Times New Roman" w:cs="Times New Roman"/>
          <w:sz w:val="24"/>
          <w:szCs w:val="24"/>
        </w:rPr>
        <w:t>We follow Low (2009) by including several measures to control for a firm’s risk-taking policy, including leverage (</w:t>
      </w:r>
      <w:r w:rsidRPr="00F634D2">
        <w:rPr>
          <w:rFonts w:ascii="Times New Roman" w:eastAsia="DengXian" w:hAnsi="Times New Roman" w:cs="Times New Roman"/>
          <w:i/>
          <w:sz w:val="24"/>
          <w:szCs w:val="24"/>
        </w:rPr>
        <w:t>Lev</w:t>
      </w:r>
      <w:r w:rsidRPr="00F634D2">
        <w:rPr>
          <w:rFonts w:ascii="Times New Roman" w:eastAsia="DengXian" w:hAnsi="Times New Roman" w:cs="Times New Roman"/>
          <w:sz w:val="24"/>
          <w:szCs w:val="24"/>
        </w:rPr>
        <w:t>), net capital expenditure (</w:t>
      </w:r>
      <w:proofErr w:type="spellStart"/>
      <w:r w:rsidRPr="00F634D2">
        <w:rPr>
          <w:rFonts w:ascii="Times New Roman" w:eastAsia="DengXian" w:hAnsi="Times New Roman" w:cs="Times New Roman"/>
          <w:i/>
          <w:sz w:val="24"/>
          <w:szCs w:val="24"/>
        </w:rPr>
        <w:t>Capx</w:t>
      </w:r>
      <w:proofErr w:type="spellEnd"/>
      <w:r w:rsidRPr="00F634D2">
        <w:rPr>
          <w:rFonts w:ascii="Times New Roman" w:eastAsia="DengXian" w:hAnsi="Times New Roman" w:cs="Times New Roman"/>
          <w:sz w:val="24"/>
          <w:szCs w:val="24"/>
        </w:rPr>
        <w:t>), and number of business segments (</w:t>
      </w:r>
      <w:r w:rsidRPr="00F634D2">
        <w:rPr>
          <w:rFonts w:ascii="Times New Roman" w:eastAsia="DengXian" w:hAnsi="Times New Roman" w:cs="Times New Roman"/>
          <w:i/>
          <w:sz w:val="24"/>
          <w:szCs w:val="24"/>
        </w:rPr>
        <w:t>Seg</w:t>
      </w:r>
      <w:r w:rsidRPr="00F634D2">
        <w:rPr>
          <w:rFonts w:ascii="Times New Roman" w:eastAsia="DengXian" w:hAnsi="Times New Roman" w:cs="Times New Roman"/>
          <w:sz w:val="24"/>
          <w:szCs w:val="24"/>
        </w:rPr>
        <w:t>).</w:t>
      </w:r>
      <w:r w:rsidRPr="00F634D2">
        <w:rPr>
          <w:rStyle w:val="FootnoteReference"/>
          <w:rFonts w:ascii="Times New Roman" w:eastAsia="DengXian" w:hAnsi="Times New Roman" w:cs="Times New Roman"/>
          <w:sz w:val="24"/>
          <w:szCs w:val="24"/>
        </w:rPr>
        <w:footnoteReference w:id="5"/>
      </w:r>
      <w:r w:rsidRPr="00F634D2">
        <w:rPr>
          <w:rFonts w:ascii="Times New Roman" w:eastAsia="DengXian" w:hAnsi="Times New Roman" w:cs="Times New Roman"/>
          <w:sz w:val="24"/>
          <w:szCs w:val="24"/>
        </w:rPr>
        <w:t xml:space="preserve"> </w:t>
      </w:r>
      <w:r w:rsidRPr="00F634D2">
        <w:rPr>
          <w:rFonts w:ascii="Times New Roman" w:hAnsi="Times New Roman" w:cs="Times New Roman"/>
          <w:sz w:val="24"/>
          <w:szCs w:val="24"/>
        </w:rPr>
        <w:t xml:space="preserve">To address the potential omitted variables related to the state’s economic conditions, we include in our regression models observed state-level GDP growth </w:t>
      </w:r>
      <w:r w:rsidRPr="00F634D2">
        <w:rPr>
          <w:rFonts w:ascii="Times New Roman" w:eastAsia="DengXian" w:hAnsi="Times New Roman" w:cs="Times New Roman"/>
          <w:sz w:val="24"/>
          <w:szCs w:val="24"/>
        </w:rPr>
        <w:t>(</w:t>
      </w:r>
      <w:proofErr w:type="spellStart"/>
      <w:r w:rsidRPr="00F634D2">
        <w:rPr>
          <w:rFonts w:ascii="Times New Roman" w:eastAsia="DengXian" w:hAnsi="Times New Roman" w:cs="Times New Roman"/>
          <w:i/>
          <w:sz w:val="24"/>
          <w:szCs w:val="24"/>
        </w:rPr>
        <w:t>Gdpgr</w:t>
      </w:r>
      <w:proofErr w:type="spellEnd"/>
      <w:r w:rsidRPr="00F634D2">
        <w:rPr>
          <w:rFonts w:ascii="Times New Roman" w:eastAsia="DengXian" w:hAnsi="Times New Roman" w:cs="Times New Roman"/>
          <w:sz w:val="24"/>
          <w:szCs w:val="24"/>
        </w:rPr>
        <w:t xml:space="preserve">) </w:t>
      </w:r>
      <w:r w:rsidRPr="00F634D2">
        <w:rPr>
          <w:rFonts w:ascii="Times New Roman" w:hAnsi="Times New Roman" w:cs="Times New Roman"/>
          <w:sz w:val="24"/>
          <w:szCs w:val="24"/>
        </w:rPr>
        <w:t xml:space="preserve">and unemployment rates </w:t>
      </w:r>
      <w:r w:rsidRPr="00F634D2">
        <w:rPr>
          <w:rFonts w:ascii="Times New Roman" w:eastAsia="DengXian" w:hAnsi="Times New Roman" w:cs="Times New Roman"/>
          <w:sz w:val="24"/>
          <w:szCs w:val="24"/>
        </w:rPr>
        <w:t>(</w:t>
      </w:r>
      <w:proofErr w:type="spellStart"/>
      <w:r w:rsidRPr="00F634D2">
        <w:rPr>
          <w:rFonts w:ascii="Times New Roman" w:eastAsia="DengXian" w:hAnsi="Times New Roman" w:cs="Times New Roman"/>
          <w:i/>
          <w:sz w:val="24"/>
          <w:szCs w:val="24"/>
        </w:rPr>
        <w:t>Unemp</w:t>
      </w:r>
      <w:proofErr w:type="spellEnd"/>
      <w:r w:rsidRPr="00F634D2">
        <w:rPr>
          <w:rFonts w:ascii="Times New Roman" w:eastAsia="DengXian" w:hAnsi="Times New Roman" w:cs="Times New Roman"/>
          <w:sz w:val="24"/>
          <w:szCs w:val="24"/>
        </w:rPr>
        <w:t>)</w:t>
      </w:r>
      <w:r w:rsidRPr="00F634D2">
        <w:rPr>
          <w:rFonts w:ascii="Times New Roman" w:hAnsi="Times New Roman" w:cs="Times New Roman"/>
          <w:sz w:val="24"/>
          <w:szCs w:val="24"/>
        </w:rPr>
        <w:t xml:space="preserve">. </w:t>
      </w:r>
      <w:r w:rsidRPr="00F634D2">
        <w:rPr>
          <w:rFonts w:ascii="Times New Roman" w:eastAsia="DengXian" w:hAnsi="Times New Roman" w:cs="Times New Roman"/>
          <w:sz w:val="24"/>
          <w:szCs w:val="24"/>
        </w:rPr>
        <w:t xml:space="preserve">We include the sensitivity of CEO equity portfolios to stock price (delta) because prior studies suggest that delta is positively related to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ega (</w:t>
      </w:r>
      <w:proofErr w:type="spellStart"/>
      <w:r w:rsidRPr="00F634D2">
        <w:rPr>
          <w:rFonts w:ascii="Times New Roman" w:eastAsia="DengXian" w:hAnsi="Times New Roman" w:cs="Times New Roman"/>
          <w:sz w:val="24"/>
          <w:szCs w:val="24"/>
        </w:rPr>
        <w:t>Guay</w:t>
      </w:r>
      <w:proofErr w:type="spellEnd"/>
      <w:r w:rsidRPr="00F634D2">
        <w:rPr>
          <w:rFonts w:ascii="Times New Roman" w:eastAsia="DengXian" w:hAnsi="Times New Roman" w:cs="Times New Roman"/>
          <w:sz w:val="24"/>
          <w:szCs w:val="24"/>
        </w:rPr>
        <w:t xml:space="preserve"> 1999; Coles et al. 2006). We cluster standard errors by state in which the headquarters of the firm is located.</w:t>
      </w:r>
    </w:p>
    <w:p w14:paraId="6231079B" w14:textId="77777777" w:rsidR="00D50589" w:rsidRPr="00F634D2" w:rsidRDefault="00686261">
      <w:pPr>
        <w:adjustRightInd w:val="0"/>
        <w:snapToGrid w:val="0"/>
        <w:spacing w:after="0" w:line="480" w:lineRule="auto"/>
        <w:ind w:firstLineChars="200" w:firstLine="480"/>
        <w:jc w:val="both"/>
        <w:rPr>
          <w:rFonts w:ascii="Times New Roman" w:hAnsi="Times New Roman" w:cs="Times New Roman"/>
          <w:sz w:val="24"/>
          <w:szCs w:val="24"/>
        </w:rPr>
      </w:pPr>
      <w:r w:rsidRPr="00F634D2">
        <w:rPr>
          <w:rFonts w:ascii="Times New Roman" w:hAnsi="Times New Roman" w:cs="Times New Roman"/>
          <w:sz w:val="24"/>
          <w:szCs w:val="24"/>
        </w:rPr>
        <w:t xml:space="preserve">To test H2, we interact </w:t>
      </w:r>
      <w:proofErr w:type="spellStart"/>
      <w:r w:rsidRPr="00F634D2">
        <w:rPr>
          <w:rFonts w:ascii="Times New Roman" w:hAnsi="Times New Roman" w:cs="Times New Roman"/>
          <w:i/>
          <w:sz w:val="24"/>
          <w:szCs w:val="24"/>
        </w:rPr>
        <w:t>AfterIDD</w:t>
      </w:r>
      <w:proofErr w:type="spellEnd"/>
      <w:r w:rsidRPr="00F634D2">
        <w:rPr>
          <w:rFonts w:ascii="Times New Roman" w:hAnsi="Times New Roman" w:cs="Times New Roman"/>
          <w:sz w:val="24"/>
          <w:szCs w:val="24"/>
        </w:rPr>
        <w:t xml:space="preserve"> with an indicator for industry homogeneity (</w:t>
      </w:r>
      <w:proofErr w:type="spellStart"/>
      <w:r w:rsidRPr="00F634D2">
        <w:rPr>
          <w:rFonts w:ascii="Times New Roman" w:hAnsi="Times New Roman" w:cs="Times New Roman"/>
          <w:i/>
          <w:sz w:val="24"/>
          <w:szCs w:val="24"/>
        </w:rPr>
        <w:t>IndHomogeneity</w:t>
      </w:r>
      <w:proofErr w:type="spellEnd"/>
      <w:r w:rsidRPr="00F634D2">
        <w:rPr>
          <w:rFonts w:ascii="Times New Roman" w:hAnsi="Times New Roman" w:cs="Times New Roman"/>
          <w:sz w:val="24"/>
          <w:szCs w:val="24"/>
        </w:rPr>
        <w:t>).</w:t>
      </w:r>
      <w:r w:rsidRPr="00F634D2">
        <w:rPr>
          <w:rFonts w:ascii="Times New Roman" w:hAnsi="Times New Roman" w:cs="Times New Roman"/>
          <w:i/>
          <w:sz w:val="24"/>
          <w:szCs w:val="24"/>
        </w:rPr>
        <w:t xml:space="preserve"> </w:t>
      </w:r>
      <w:proofErr w:type="spellStart"/>
      <w:r w:rsidRPr="00F634D2">
        <w:rPr>
          <w:rFonts w:ascii="Times New Roman" w:hAnsi="Times New Roman" w:cs="Times New Roman"/>
          <w:i/>
          <w:sz w:val="24"/>
          <w:szCs w:val="24"/>
        </w:rPr>
        <w:t>IndHomogeneity</w:t>
      </w:r>
      <w:proofErr w:type="spellEnd"/>
      <w:r w:rsidRPr="00F634D2">
        <w:rPr>
          <w:rFonts w:ascii="Times New Roman" w:hAnsi="Times New Roman" w:cs="Times New Roman"/>
          <w:sz w:val="24"/>
          <w:szCs w:val="24"/>
        </w:rPr>
        <w:t xml:space="preserve"> is an indicator that equals </w:t>
      </w:r>
      <w:r w:rsidRPr="00F634D2">
        <w:rPr>
          <w:rFonts w:ascii="Times New Roman" w:eastAsia="DengXian" w:hAnsi="Times New Roman" w:cs="Times New Roman"/>
          <w:sz w:val="24"/>
          <w:szCs w:val="24"/>
        </w:rPr>
        <w:t xml:space="preserve">1 for firms whose homogeneity is </w:t>
      </w:r>
      <w:r w:rsidRPr="00F634D2">
        <w:rPr>
          <w:rFonts w:ascii="Times New Roman" w:eastAsia="DengXian" w:hAnsi="Times New Roman" w:cs="Times New Roman"/>
          <w:sz w:val="24"/>
          <w:szCs w:val="24"/>
        </w:rPr>
        <w:lastRenderedPageBreak/>
        <w:t>above the annual median for their industry, and 0 otherwise. Industry homogeneity is computed as the two-digit SIC industry mean value of the partial correlation between a firm’s return and the equally weighted industry index’s monthly returns over the sample period (</w:t>
      </w:r>
      <w:proofErr w:type="spellStart"/>
      <w:r w:rsidRPr="00F634D2">
        <w:rPr>
          <w:rFonts w:ascii="Times New Roman" w:eastAsia="DengXian" w:hAnsi="Times New Roman" w:cs="Times New Roman"/>
          <w:sz w:val="24"/>
          <w:szCs w:val="24"/>
        </w:rPr>
        <w:t>Parrino</w:t>
      </w:r>
      <w:proofErr w:type="spellEnd"/>
      <w:r w:rsidRPr="00F634D2">
        <w:rPr>
          <w:rFonts w:ascii="Times New Roman" w:eastAsia="DengXian" w:hAnsi="Times New Roman" w:cs="Times New Roman"/>
          <w:sz w:val="24"/>
          <w:szCs w:val="24"/>
        </w:rPr>
        <w:t xml:space="preserve"> 1997).</w:t>
      </w:r>
      <w:r w:rsidRPr="00F634D2">
        <w:rPr>
          <w:rFonts w:ascii="Times New Roman" w:hAnsi="Times New Roman" w:cs="Times New Roman"/>
          <w:sz w:val="24"/>
          <w:szCs w:val="24"/>
        </w:rPr>
        <w:t xml:space="preserve"> The model is specified as follows:</w:t>
      </w:r>
    </w:p>
    <w:p w14:paraId="0DFD9EC7" w14:textId="77777777" w:rsidR="00D50589" w:rsidRPr="00F634D2" w:rsidRDefault="00686261">
      <w:pPr>
        <w:adjustRightInd w:val="0"/>
        <w:snapToGrid w:val="0"/>
        <w:spacing w:after="0" w:line="480" w:lineRule="auto"/>
        <w:jc w:val="both"/>
        <w:rPr>
          <w:rFonts w:ascii="Times New Roman" w:eastAsia="DengXian" w:hAnsi="Times New Roman" w:cs="Times New Roman"/>
          <w:sz w:val="24"/>
          <w:szCs w:val="24"/>
        </w:rPr>
      </w:pPr>
      <w:r w:rsidRPr="00F634D2">
        <w:rPr>
          <w:rFonts w:ascii="Times New Roman" w:hAnsi="Times New Roman" w:cs="Times New Roman"/>
        </w:rPr>
        <w:t xml:space="preserve">           </w:t>
      </w:r>
      <w:r w:rsidR="005147A2" w:rsidRPr="00F634D2">
        <w:rPr>
          <w:position w:val="-30"/>
        </w:rPr>
        <w:object w:dxaOrig="7780" w:dyaOrig="720" w14:anchorId="63704B63">
          <v:shape id="_x0000_i1028" type="#_x0000_t75" style="width:391pt;height:36pt" o:ole="">
            <v:imagedata r:id="rId15" o:title=""/>
          </v:shape>
          <o:OLEObject Type="Embed" ProgID="Equation.DSMT4" ShapeID="_x0000_i1028" DrawAspect="Content" ObjectID="_1668017183" r:id="rId16"/>
        </w:object>
      </w:r>
    </w:p>
    <w:p w14:paraId="55C0E71F" w14:textId="77777777" w:rsidR="00D50589" w:rsidRPr="00F634D2" w:rsidRDefault="00686261">
      <w:pPr>
        <w:adjustRightInd w:val="0"/>
        <w:snapToGrid w:val="0"/>
        <w:spacing w:after="0" w:line="480" w:lineRule="auto"/>
        <w:ind w:firstLineChars="200" w:firstLine="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We expect the coefficient on </w:t>
      </w:r>
      <w:proofErr w:type="spellStart"/>
      <w:r w:rsidRPr="00F634D2">
        <w:rPr>
          <w:rFonts w:ascii="Times New Roman" w:eastAsia="DengXian" w:hAnsi="Times New Roman" w:cs="Times New Roman"/>
          <w:i/>
          <w:sz w:val="24"/>
          <w:szCs w:val="24"/>
        </w:rPr>
        <w:t>AfterIDD</w:t>
      </w:r>
      <w:r w:rsidRPr="00F634D2">
        <w:rPr>
          <w:rFonts w:ascii="Times New Roman" w:eastAsia="Times New Roman" w:hAnsi="Times New Roman" w:cs="Times New Roman"/>
          <w:i/>
          <w:iCs/>
          <w:sz w:val="24"/>
          <w:szCs w:val="24"/>
          <w:lang w:eastAsia="en-GB"/>
        </w:rPr>
        <w:t>×IndHomogeneity</w:t>
      </w:r>
      <w:proofErr w:type="spellEnd"/>
      <w:r w:rsidRPr="00F634D2">
        <w:rPr>
          <w:rFonts w:ascii="Times New Roman" w:eastAsia="DengXian" w:hAnsi="Times New Roman" w:cs="Times New Roman"/>
          <w:i/>
          <w:sz w:val="24"/>
          <w:szCs w:val="24"/>
        </w:rPr>
        <w:t xml:space="preserve"> </w:t>
      </w:r>
      <w:r w:rsidRPr="00F634D2">
        <w:rPr>
          <w:rFonts w:ascii="Times New Roman" w:eastAsia="DengXian" w:hAnsi="Times New Roman" w:cs="Times New Roman"/>
          <w:sz w:val="24"/>
          <w:szCs w:val="24"/>
        </w:rPr>
        <w:t>(</w:t>
      </w:r>
      <w:r w:rsidRPr="00F634D2">
        <w:rPr>
          <w:rFonts w:ascii="Times New Roman" w:hAnsi="Times New Roman" w:cs="Times New Roman"/>
          <w:position w:val="-10"/>
        </w:rPr>
        <w:object w:dxaOrig="300" w:dyaOrig="320" w14:anchorId="66090102">
          <v:shape id="_x0000_i1029" type="#_x0000_t75" style="width:15.5pt;height:15.5pt" o:ole="">
            <v:imagedata r:id="rId17" o:title=""/>
          </v:shape>
          <o:OLEObject Type="Embed" ProgID="Equation.DSMT4" ShapeID="_x0000_i1029" DrawAspect="Content" ObjectID="_1668017184" r:id="rId18"/>
        </w:object>
      </w:r>
      <w:r w:rsidRPr="00F634D2">
        <w:rPr>
          <w:rFonts w:ascii="Times New Roman" w:eastAsia="DengXian" w:hAnsi="Times New Roman" w:cs="Times New Roman"/>
          <w:sz w:val="24"/>
          <w:szCs w:val="24"/>
        </w:rPr>
        <w:t xml:space="preserve">) </w:t>
      </w:r>
      <w:r w:rsidRPr="00F634D2">
        <w:rPr>
          <w:rFonts w:ascii="Times New Roman" w:hAnsi="Times New Roman" w:cs="Times New Roman"/>
          <w:sz w:val="24"/>
          <w:szCs w:val="24"/>
        </w:rPr>
        <w:t xml:space="preserve">to be significantly positive. A positive value of </w:t>
      </w:r>
      <w:r w:rsidRPr="00F634D2">
        <w:rPr>
          <w:rFonts w:ascii="Times New Roman" w:hAnsi="Times New Roman" w:cs="Times New Roman"/>
          <w:position w:val="-10"/>
        </w:rPr>
        <w:object w:dxaOrig="300" w:dyaOrig="320" w14:anchorId="0278A716">
          <v:shape id="_x0000_i1030" type="#_x0000_t75" style="width:15.5pt;height:15.5pt" o:ole="">
            <v:imagedata r:id="rId17" o:title=""/>
          </v:shape>
          <o:OLEObject Type="Embed" ProgID="Equation.DSMT4" ShapeID="_x0000_i1030" DrawAspect="Content" ObjectID="_1668017185" r:id="rId19"/>
        </w:object>
      </w:r>
      <w:r w:rsidRPr="00F634D2">
        <w:rPr>
          <w:rFonts w:ascii="Times New Roman" w:hAnsi="Times New Roman" w:cs="Times New Roman"/>
          <w:sz w:val="24"/>
          <w:szCs w:val="24"/>
        </w:rPr>
        <w:t xml:space="preserve"> indicates </w:t>
      </w:r>
      <w:r w:rsidRPr="00F634D2">
        <w:rPr>
          <w:rFonts w:ascii="Times New Roman" w:eastAsia="DengXian" w:hAnsi="Times New Roman" w:cs="Times New Roman"/>
          <w:sz w:val="24"/>
          <w:szCs w:val="24"/>
        </w:rPr>
        <w:t xml:space="preserve">that the positive association between IDD adoption and CEO risk-taking incentives is greater for CEOs in more homogeneous industries. </w:t>
      </w:r>
      <w:r w:rsidRPr="00F634D2">
        <w:rPr>
          <w:rFonts w:ascii="Times New Roman" w:eastAsia="DengXian" w:hAnsi="Times New Roman" w:cs="Times New Roman"/>
          <w:i/>
          <w:sz w:val="24"/>
          <w:szCs w:val="24"/>
        </w:rPr>
        <w:t>Controls</w:t>
      </w:r>
      <w:r w:rsidRPr="00F634D2">
        <w:rPr>
          <w:rFonts w:ascii="Times New Roman" w:eastAsia="DengXian" w:hAnsi="Times New Roman" w:cs="Times New Roman"/>
          <w:sz w:val="24"/>
          <w:szCs w:val="24"/>
        </w:rPr>
        <w:t xml:space="preserve"> in this model are the control variables included in equation (1).</w:t>
      </w:r>
    </w:p>
    <w:p w14:paraId="646F7E41" w14:textId="77777777" w:rsidR="00D50589" w:rsidRPr="00F634D2" w:rsidRDefault="00686261">
      <w:pPr>
        <w:adjustRightInd w:val="0"/>
        <w:snapToGrid w:val="0"/>
        <w:spacing w:after="0" w:line="480" w:lineRule="auto"/>
        <w:ind w:firstLineChars="200" w:firstLine="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To test H3, we interact </w:t>
      </w:r>
      <w:proofErr w:type="spellStart"/>
      <w:r w:rsidRPr="00F634D2">
        <w:rPr>
          <w:rFonts w:ascii="Times New Roman" w:eastAsia="DengXian" w:hAnsi="Times New Roman" w:cs="Times New Roman"/>
          <w:i/>
          <w:sz w:val="24"/>
          <w:szCs w:val="24"/>
        </w:rPr>
        <w:t>AfterIDD</w:t>
      </w:r>
      <w:proofErr w:type="spellEnd"/>
      <w:r w:rsidRPr="00F634D2">
        <w:rPr>
          <w:rFonts w:ascii="Times New Roman" w:eastAsia="DengXian" w:hAnsi="Times New Roman" w:cs="Times New Roman"/>
          <w:sz w:val="24"/>
          <w:szCs w:val="24"/>
        </w:rPr>
        <w:t xml:space="preserve"> with an indicator for the later years of the CEO’s tenure (</w:t>
      </w:r>
      <w:proofErr w:type="spellStart"/>
      <w:r w:rsidRPr="00F634D2">
        <w:rPr>
          <w:rFonts w:ascii="Times New Roman" w:eastAsia="DengXian" w:hAnsi="Times New Roman" w:cs="Times New Roman"/>
          <w:i/>
          <w:sz w:val="24"/>
          <w:szCs w:val="24"/>
        </w:rPr>
        <w:t>LaterYears</w:t>
      </w:r>
      <w:proofErr w:type="spellEnd"/>
      <w:r w:rsidRPr="00F634D2">
        <w:rPr>
          <w:rFonts w:ascii="Times New Roman" w:eastAsia="DengXian" w:hAnsi="Times New Roman" w:cs="Times New Roman"/>
          <w:sz w:val="24"/>
          <w:szCs w:val="24"/>
        </w:rPr>
        <w:t xml:space="preserve">). The first three years of the CEO’s service are considered to be early years of the CEO tenure </w:t>
      </w:r>
      <w:r w:rsidRPr="00F634D2">
        <w:rPr>
          <w:rFonts w:ascii="Times New Roman" w:hAnsi="Times New Roman" w:cs="Times New Roman"/>
          <w:sz w:val="24"/>
          <w:szCs w:val="24"/>
        </w:rPr>
        <w:t>(e.g., Zhang and Rajagopalan 2010; Ali and Zhang 2015);</w:t>
      </w:r>
      <w:r w:rsidRPr="00F634D2">
        <w:rPr>
          <w:rFonts w:ascii="Times New Roman" w:eastAsia="DengXian" w:hAnsi="Times New Roman" w:cs="Times New Roman"/>
          <w:sz w:val="24"/>
          <w:szCs w:val="24"/>
        </w:rPr>
        <w:t xml:space="preserve"> the CEO tenure should also include a middle stage.</w:t>
      </w:r>
      <w:r w:rsidRPr="00F634D2">
        <w:rPr>
          <w:rStyle w:val="FootnoteReference"/>
          <w:rFonts w:ascii="Times New Roman" w:eastAsia="DengXian" w:hAnsi="Times New Roman" w:cs="Times New Roman"/>
          <w:sz w:val="24"/>
          <w:szCs w:val="24"/>
        </w:rPr>
        <w:footnoteReference w:id="6"/>
      </w:r>
      <w:r w:rsidRPr="00F634D2">
        <w:rPr>
          <w:rFonts w:ascii="Times New Roman" w:eastAsia="DengXian" w:hAnsi="Times New Roman" w:cs="Times New Roman"/>
          <w:sz w:val="24"/>
          <w:szCs w:val="24"/>
        </w:rPr>
        <w:t xml:space="preserve">  Hence, we measure the later years of the CEO tenure (</w:t>
      </w:r>
      <w:proofErr w:type="spellStart"/>
      <w:r w:rsidRPr="00F634D2">
        <w:rPr>
          <w:rFonts w:ascii="Times New Roman" w:eastAsia="DengXian" w:hAnsi="Times New Roman" w:cs="Times New Roman"/>
          <w:i/>
          <w:sz w:val="24"/>
          <w:szCs w:val="24"/>
        </w:rPr>
        <w:t>LaterYears</w:t>
      </w:r>
      <w:proofErr w:type="spellEnd"/>
      <w:r w:rsidRPr="00F634D2">
        <w:rPr>
          <w:rFonts w:ascii="Times New Roman" w:eastAsia="DengXian" w:hAnsi="Times New Roman" w:cs="Times New Roman"/>
          <w:sz w:val="24"/>
          <w:szCs w:val="24"/>
        </w:rPr>
        <w:t xml:space="preserve">) as an indicator whose value equals 1 for </w:t>
      </w:r>
      <w:r w:rsidRPr="00F634D2">
        <w:rPr>
          <w:rFonts w:ascii="Times New Roman" w:eastAsia="Times New Roman" w:hAnsi="Times New Roman" w:cs="Times New Roman"/>
          <w:sz w:val="24"/>
          <w:szCs w:val="24"/>
          <w:lang w:val="en-GB" w:eastAsia="en-GB"/>
        </w:rPr>
        <w:t xml:space="preserve">firm-years within the final three years of the CEO tenure, and 0 otherwise. </w:t>
      </w:r>
      <w:r w:rsidRPr="00F634D2">
        <w:rPr>
          <w:rFonts w:ascii="Times New Roman" w:eastAsia="DengXian" w:hAnsi="Times New Roman" w:cs="Times New Roman"/>
          <w:sz w:val="24"/>
          <w:szCs w:val="24"/>
        </w:rPr>
        <w:t>The model is specified as follows:</w:t>
      </w:r>
    </w:p>
    <w:p w14:paraId="244B7655" w14:textId="77777777" w:rsidR="00D50589" w:rsidRPr="00F634D2" w:rsidRDefault="00686261">
      <w:pPr>
        <w:spacing w:after="0" w:line="480" w:lineRule="auto"/>
        <w:jc w:val="both"/>
        <w:rPr>
          <w:rFonts w:ascii="Times New Roman" w:eastAsia="DengXian" w:hAnsi="Times New Roman" w:cs="Times New Roman"/>
          <w:sz w:val="24"/>
          <w:szCs w:val="24"/>
        </w:rPr>
      </w:pPr>
      <w:r w:rsidRPr="00F634D2">
        <w:rPr>
          <w:rFonts w:ascii="Times New Roman" w:hAnsi="Times New Roman" w:cs="Times New Roman"/>
        </w:rPr>
        <w:t xml:space="preserve">            </w:t>
      </w:r>
      <w:r w:rsidR="005147A2" w:rsidRPr="00F634D2">
        <w:rPr>
          <w:position w:val="-30"/>
        </w:rPr>
        <w:object w:dxaOrig="7640" w:dyaOrig="720" w14:anchorId="69AEA60C">
          <v:shape id="_x0000_i1031" type="#_x0000_t75" style="width:380.5pt;height:36pt" o:ole="">
            <v:imagedata r:id="rId20" o:title=""/>
          </v:shape>
          <o:OLEObject Type="Embed" ProgID="Equation.DSMT4" ShapeID="_x0000_i1031" DrawAspect="Content" ObjectID="_1668017186" r:id="rId21"/>
        </w:object>
      </w:r>
    </w:p>
    <w:p w14:paraId="7E0751DF" w14:textId="77777777" w:rsidR="00D50589" w:rsidRPr="00F634D2" w:rsidRDefault="00686261">
      <w:pPr>
        <w:adjustRightInd w:val="0"/>
        <w:snapToGrid w:val="0"/>
        <w:spacing w:after="0" w:line="480" w:lineRule="auto"/>
        <w:ind w:firstLineChars="200" w:firstLine="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We expect the coefficient on </w:t>
      </w:r>
      <w:proofErr w:type="spellStart"/>
      <w:r w:rsidRPr="00F634D2">
        <w:rPr>
          <w:rFonts w:ascii="Times New Roman" w:eastAsia="DengXian" w:hAnsi="Times New Roman" w:cs="Times New Roman"/>
          <w:i/>
          <w:sz w:val="24"/>
          <w:szCs w:val="24"/>
        </w:rPr>
        <w:t>AfterIDD</w:t>
      </w:r>
      <w:r w:rsidRPr="00F634D2">
        <w:rPr>
          <w:rFonts w:ascii="Times New Roman" w:eastAsia="Times New Roman" w:hAnsi="Times New Roman" w:cs="Times New Roman"/>
          <w:i/>
          <w:iCs/>
          <w:sz w:val="24"/>
          <w:szCs w:val="24"/>
          <w:lang w:eastAsia="en-GB"/>
        </w:rPr>
        <w:t>×LaterYears</w:t>
      </w:r>
      <w:proofErr w:type="spellEnd"/>
      <w:r w:rsidRPr="00F634D2">
        <w:rPr>
          <w:rFonts w:ascii="Times New Roman" w:eastAsia="DengXian" w:hAnsi="Times New Roman" w:cs="Times New Roman"/>
          <w:i/>
          <w:sz w:val="24"/>
          <w:szCs w:val="24"/>
        </w:rPr>
        <w:t xml:space="preserve"> </w:t>
      </w:r>
      <w:r w:rsidRPr="00F634D2">
        <w:rPr>
          <w:rFonts w:ascii="Times New Roman" w:eastAsia="DengXian" w:hAnsi="Times New Roman" w:cs="Times New Roman"/>
          <w:sz w:val="24"/>
          <w:szCs w:val="24"/>
        </w:rPr>
        <w:t>(</w:t>
      </w:r>
      <w:r w:rsidRPr="00F634D2">
        <w:rPr>
          <w:rFonts w:ascii="Times New Roman" w:hAnsi="Times New Roman" w:cs="Times New Roman"/>
          <w:position w:val="-6"/>
        </w:rPr>
        <w:object w:dxaOrig="279" w:dyaOrig="279" w14:anchorId="6C24F6E5">
          <v:shape id="_x0000_i1032" type="#_x0000_t75" style="width:15.5pt;height:15.5pt" o:ole="">
            <v:imagedata r:id="rId22" o:title=""/>
          </v:shape>
          <o:OLEObject Type="Embed" ProgID="Equation.DSMT4" ShapeID="_x0000_i1032" DrawAspect="Content" ObjectID="_1668017187" r:id="rId23"/>
        </w:object>
      </w:r>
      <w:r w:rsidRPr="00F634D2">
        <w:rPr>
          <w:rFonts w:ascii="Times New Roman" w:eastAsia="DengXian" w:hAnsi="Times New Roman" w:cs="Times New Roman"/>
          <w:sz w:val="24"/>
          <w:szCs w:val="24"/>
        </w:rPr>
        <w:t xml:space="preserve">) </w:t>
      </w:r>
      <w:r w:rsidRPr="00F634D2">
        <w:rPr>
          <w:rFonts w:ascii="Times New Roman" w:hAnsi="Times New Roman" w:cs="Times New Roman"/>
          <w:sz w:val="24"/>
          <w:szCs w:val="24"/>
        </w:rPr>
        <w:t xml:space="preserve">to be significantly positive. A positive value of </w:t>
      </w:r>
      <w:r w:rsidRPr="00F634D2">
        <w:rPr>
          <w:rFonts w:ascii="Times New Roman" w:hAnsi="Times New Roman" w:cs="Times New Roman"/>
          <w:position w:val="-6"/>
        </w:rPr>
        <w:object w:dxaOrig="279" w:dyaOrig="279" w14:anchorId="6120AC8B">
          <v:shape id="_x0000_i1033" type="#_x0000_t75" style="width:15.5pt;height:15.5pt" o:ole="">
            <v:imagedata r:id="rId24" o:title=""/>
          </v:shape>
          <o:OLEObject Type="Embed" ProgID="Equation.DSMT4" ShapeID="_x0000_i1033" DrawAspect="Content" ObjectID="_1668017188" r:id="rId25"/>
        </w:object>
      </w:r>
      <w:r w:rsidRPr="00F634D2">
        <w:rPr>
          <w:rFonts w:ascii="Times New Roman" w:hAnsi="Times New Roman" w:cs="Times New Roman"/>
        </w:rPr>
        <w:t xml:space="preserve"> </w:t>
      </w:r>
      <w:r w:rsidRPr="00F634D2">
        <w:rPr>
          <w:rFonts w:ascii="Times New Roman" w:hAnsi="Times New Roman" w:cs="Times New Roman"/>
          <w:sz w:val="24"/>
          <w:szCs w:val="24"/>
        </w:rPr>
        <w:t xml:space="preserve">indicates </w:t>
      </w:r>
      <w:r w:rsidRPr="00F634D2">
        <w:rPr>
          <w:rFonts w:ascii="Times New Roman" w:eastAsia="DengXian" w:hAnsi="Times New Roman" w:cs="Times New Roman"/>
          <w:sz w:val="24"/>
          <w:szCs w:val="24"/>
        </w:rPr>
        <w:t xml:space="preserve">that the positive association between IDD adoption and CEO risk-taking incentives is greater for CEOs in the later years of their tenure. </w:t>
      </w:r>
      <w:r w:rsidRPr="00F634D2">
        <w:rPr>
          <w:rFonts w:ascii="Times New Roman" w:eastAsia="DengXian" w:hAnsi="Times New Roman" w:cs="Times New Roman"/>
          <w:i/>
          <w:sz w:val="24"/>
          <w:szCs w:val="24"/>
        </w:rPr>
        <w:t>Controls</w:t>
      </w:r>
      <w:r w:rsidRPr="00F634D2">
        <w:rPr>
          <w:rFonts w:ascii="Times New Roman" w:eastAsia="DengXian" w:hAnsi="Times New Roman" w:cs="Times New Roman"/>
          <w:sz w:val="24"/>
          <w:szCs w:val="24"/>
        </w:rPr>
        <w:t xml:space="preserve"> in this model refer to the control variables included in equation (1).</w:t>
      </w:r>
    </w:p>
    <w:p w14:paraId="79DCE4A6" w14:textId="77777777" w:rsidR="00D50589" w:rsidRPr="00F634D2" w:rsidRDefault="00686261">
      <w:pPr>
        <w:keepNext/>
        <w:autoSpaceDE w:val="0"/>
        <w:autoSpaceDN w:val="0"/>
        <w:spacing w:after="0" w:line="480" w:lineRule="auto"/>
        <w:rPr>
          <w:rFonts w:ascii="Times New Roman" w:eastAsia="PMingLiU" w:hAnsi="Times New Roman" w:cs="Times New Roman"/>
          <w:b/>
          <w:sz w:val="24"/>
          <w:szCs w:val="24"/>
          <w:lang w:eastAsia="zh-HK"/>
        </w:rPr>
      </w:pPr>
      <w:r w:rsidRPr="00F634D2">
        <w:rPr>
          <w:rFonts w:ascii="Times New Roman" w:eastAsia="PMingLiU" w:hAnsi="Times New Roman" w:cs="Times New Roman"/>
          <w:b/>
          <w:sz w:val="24"/>
          <w:szCs w:val="24"/>
          <w:lang w:eastAsia="zh-HK"/>
        </w:rPr>
        <w:lastRenderedPageBreak/>
        <w:t>5. Sample, descriptive statistics, and primary results</w:t>
      </w:r>
    </w:p>
    <w:p w14:paraId="2A3CB243" w14:textId="77777777" w:rsidR="00D50589" w:rsidRPr="00F634D2" w:rsidRDefault="00686261">
      <w:pPr>
        <w:pStyle w:val="Heading2"/>
        <w:spacing w:before="0" w:after="0"/>
        <w:ind w:right="0"/>
        <w:rPr>
          <w:rFonts w:cs="Times New Roman"/>
        </w:rPr>
      </w:pPr>
      <w:r w:rsidRPr="00F634D2">
        <w:rPr>
          <w:rFonts w:cs="Times New Roman"/>
        </w:rPr>
        <w:t>5.1 Sample and descriptive statistics</w:t>
      </w:r>
    </w:p>
    <w:p w14:paraId="758F74DA" w14:textId="77777777" w:rsidR="00D50589" w:rsidRPr="00F634D2" w:rsidRDefault="00686261">
      <w:pPr>
        <w:snapToGrid w:val="0"/>
        <w:spacing w:after="0" w:line="480" w:lineRule="auto"/>
        <w:ind w:firstLineChars="200" w:firstLine="480"/>
        <w:jc w:val="both"/>
        <w:rPr>
          <w:rFonts w:ascii="Times New Roman" w:hAnsi="Times New Roman" w:cs="Times New Roman"/>
          <w:sz w:val="24"/>
          <w:szCs w:val="24"/>
        </w:rPr>
      </w:pPr>
      <w:r w:rsidRPr="00F634D2">
        <w:rPr>
          <w:rFonts w:ascii="Times New Roman" w:hAnsi="Times New Roman" w:cs="Times New Roman"/>
          <w:sz w:val="24"/>
          <w:szCs w:val="24"/>
        </w:rPr>
        <w:t xml:space="preserve">Our sample is drawn from all firms included in the </w:t>
      </w:r>
      <w:proofErr w:type="spellStart"/>
      <w:r w:rsidRPr="00F634D2">
        <w:rPr>
          <w:rFonts w:ascii="Times New Roman" w:hAnsi="Times New Roman" w:cs="Times New Roman"/>
          <w:sz w:val="24"/>
          <w:szCs w:val="24"/>
        </w:rPr>
        <w:t>ExecuComp</w:t>
      </w:r>
      <w:proofErr w:type="spellEnd"/>
      <w:r w:rsidRPr="00F634D2">
        <w:rPr>
          <w:rFonts w:ascii="Times New Roman" w:hAnsi="Times New Roman" w:cs="Times New Roman"/>
          <w:sz w:val="24"/>
          <w:szCs w:val="24"/>
        </w:rPr>
        <w:t xml:space="preserve"> database between 1993 and 2012, with data available on the CEO, firm headquarters, and risk-taking incentives. Our sample starts from 1993 and ends in 2012 because the </w:t>
      </w:r>
      <w:proofErr w:type="spellStart"/>
      <w:r w:rsidRPr="00F634D2">
        <w:rPr>
          <w:rFonts w:ascii="Times New Roman" w:hAnsi="Times New Roman" w:cs="Times New Roman"/>
          <w:sz w:val="24"/>
          <w:szCs w:val="24"/>
        </w:rPr>
        <w:t>ExecuComp</w:t>
      </w:r>
      <w:proofErr w:type="spellEnd"/>
      <w:r w:rsidRPr="00F634D2">
        <w:rPr>
          <w:rFonts w:ascii="Times New Roman" w:hAnsi="Times New Roman" w:cs="Times New Roman"/>
          <w:sz w:val="24"/>
          <w:szCs w:val="24"/>
        </w:rPr>
        <w:t xml:space="preserve"> database has limited data available </w:t>
      </w:r>
      <w:r w:rsidRPr="00F634D2">
        <w:rPr>
          <w:rFonts w:ascii="Times New Roman" w:eastAsia="DengXian" w:hAnsi="Times New Roman" w:cs="Times New Roman"/>
          <w:sz w:val="24"/>
          <w:szCs w:val="24"/>
        </w:rPr>
        <w:t xml:space="preserve">for calculating risk-taking incentives </w:t>
      </w:r>
      <w:r w:rsidRPr="00F634D2">
        <w:rPr>
          <w:rFonts w:ascii="Times New Roman" w:hAnsi="Times New Roman" w:cs="Times New Roman"/>
          <w:sz w:val="24"/>
          <w:szCs w:val="24"/>
        </w:rPr>
        <w:t xml:space="preserve">before 1993 and IDD adoption information is available until 2012. We exclude financial firms (SIC 6000–6999) and utilities firms (SIC 4900–4999), because these firms are subject to special regulations. Our control variables, including firm financial and market data, are collected from the </w:t>
      </w:r>
      <w:proofErr w:type="spellStart"/>
      <w:r w:rsidRPr="00F634D2">
        <w:rPr>
          <w:rFonts w:ascii="Times New Roman" w:hAnsi="Times New Roman" w:cs="Times New Roman"/>
          <w:sz w:val="24"/>
          <w:szCs w:val="24"/>
        </w:rPr>
        <w:t>Compustat</w:t>
      </w:r>
      <w:proofErr w:type="spellEnd"/>
      <w:r w:rsidRPr="00F634D2">
        <w:rPr>
          <w:rFonts w:ascii="Times New Roman" w:hAnsi="Times New Roman" w:cs="Times New Roman"/>
          <w:sz w:val="24"/>
          <w:szCs w:val="24"/>
        </w:rPr>
        <w:t xml:space="preserve"> and Center for Research in Security Prices (CRSP) databases. The interaction of these data sources yields a sample of 17,257 firm-year observations, representing 2,067 firms.</w:t>
      </w:r>
    </w:p>
    <w:p w14:paraId="1B82B819" w14:textId="77777777" w:rsidR="00D50589" w:rsidRPr="00F634D2" w:rsidRDefault="00686261">
      <w:pPr>
        <w:snapToGrid w:val="0"/>
        <w:spacing w:after="0" w:line="480" w:lineRule="auto"/>
        <w:ind w:firstLineChars="200" w:firstLine="480"/>
        <w:jc w:val="both"/>
        <w:rPr>
          <w:rFonts w:ascii="Times New Roman" w:hAnsi="Times New Roman" w:cs="Times New Roman"/>
          <w:sz w:val="24"/>
        </w:rPr>
      </w:pPr>
      <w:r w:rsidRPr="00F634D2">
        <w:rPr>
          <w:rFonts w:ascii="Times New Roman" w:hAnsi="Times New Roman" w:cs="Times New Roman"/>
          <w:sz w:val="24"/>
        </w:rPr>
        <w:t xml:space="preserve">Table 1 presents the descriptive statistics of the variables used in the main tests. To mitigate the influence of outliers, the continuous variables are </w:t>
      </w:r>
      <w:proofErr w:type="spellStart"/>
      <w:r w:rsidRPr="00F634D2">
        <w:rPr>
          <w:rFonts w:ascii="Times New Roman" w:hAnsi="Times New Roman" w:cs="Times New Roman"/>
          <w:sz w:val="24"/>
        </w:rPr>
        <w:t>winsorized</w:t>
      </w:r>
      <w:proofErr w:type="spellEnd"/>
      <w:r w:rsidRPr="00F634D2">
        <w:rPr>
          <w:rFonts w:ascii="Times New Roman" w:hAnsi="Times New Roman" w:cs="Times New Roman"/>
          <w:sz w:val="24"/>
        </w:rPr>
        <w:t xml:space="preserve"> at the top and bottom 1 percent. The mean of </w:t>
      </w:r>
      <w:proofErr w:type="spellStart"/>
      <w:r w:rsidRPr="00F634D2">
        <w:rPr>
          <w:rFonts w:ascii="Times New Roman" w:hAnsi="Times New Roman" w:cs="Times New Roman"/>
          <w:i/>
          <w:sz w:val="24"/>
        </w:rPr>
        <w:t>AfterIDD</w:t>
      </w:r>
      <w:proofErr w:type="spellEnd"/>
      <w:r w:rsidRPr="00F634D2">
        <w:rPr>
          <w:rFonts w:ascii="Times New Roman" w:hAnsi="Times New Roman" w:cs="Times New Roman"/>
          <w:sz w:val="24"/>
        </w:rPr>
        <w:t xml:space="preserve"> is 0.50, indicating that half the sample observations belong to the treatment group (i.e., firms headquartered in the states where IDD is adopted). Descriptive statistics of the other variables are generally consistent with those reported in prior studies (e.g., Coles et al. 2006; Armstrong and </w:t>
      </w:r>
      <w:proofErr w:type="spellStart"/>
      <w:r w:rsidRPr="00F634D2">
        <w:rPr>
          <w:rFonts w:ascii="Times New Roman" w:hAnsi="Times New Roman" w:cs="Times New Roman"/>
          <w:sz w:val="24"/>
        </w:rPr>
        <w:t>Vashishtha</w:t>
      </w:r>
      <w:proofErr w:type="spellEnd"/>
      <w:r w:rsidRPr="00F634D2">
        <w:rPr>
          <w:rFonts w:ascii="Times New Roman" w:hAnsi="Times New Roman" w:cs="Times New Roman"/>
          <w:sz w:val="24"/>
        </w:rPr>
        <w:t xml:space="preserve"> 2012).</w:t>
      </w:r>
    </w:p>
    <w:p w14:paraId="00DD55F3" w14:textId="77777777" w:rsidR="00D50589" w:rsidRPr="00F634D2" w:rsidRDefault="00686261" w:rsidP="007E03F2">
      <w:pPr>
        <w:snapToGrid w:val="0"/>
        <w:spacing w:after="0" w:line="480" w:lineRule="auto"/>
        <w:ind w:firstLineChars="200" w:firstLine="480"/>
        <w:jc w:val="center"/>
        <w:rPr>
          <w:rFonts w:ascii="Times New Roman" w:hAnsi="Times New Roman" w:cs="Times New Roman"/>
          <w:sz w:val="28"/>
          <w:szCs w:val="24"/>
        </w:rPr>
      </w:pPr>
      <w:r w:rsidRPr="00F634D2">
        <w:rPr>
          <w:rStyle w:val="Emphasis"/>
          <w:rFonts w:ascii="Times New Roman" w:hAnsi="Times New Roman" w:cs="Times New Roman"/>
          <w:sz w:val="24"/>
          <w:szCs w:val="24"/>
          <w:shd w:val="clear" w:color="auto" w:fill="FFFFFF"/>
        </w:rPr>
        <w:t>[Table 1 near here]</w:t>
      </w:r>
    </w:p>
    <w:p w14:paraId="46370DF7" w14:textId="693E3C93" w:rsidR="00D50589" w:rsidRPr="00F634D2" w:rsidRDefault="00686261">
      <w:pPr>
        <w:autoSpaceDE w:val="0"/>
        <w:autoSpaceDN w:val="0"/>
        <w:adjustRightInd w:val="0"/>
        <w:spacing w:after="0" w:line="480" w:lineRule="auto"/>
        <w:ind w:firstLine="567"/>
        <w:jc w:val="both"/>
        <w:rPr>
          <w:rFonts w:ascii="Times New Roman" w:hAnsi="Times New Roman" w:cs="Times New Roman"/>
          <w:sz w:val="24"/>
          <w:szCs w:val="24"/>
          <w:lang w:eastAsia="zh-HK"/>
        </w:rPr>
      </w:pPr>
      <w:r w:rsidRPr="00F634D2">
        <w:rPr>
          <w:rFonts w:ascii="Times New Roman" w:eastAsia="DengXian" w:hAnsi="Times New Roman" w:cs="Times New Roman"/>
          <w:sz w:val="24"/>
          <w:szCs w:val="24"/>
        </w:rPr>
        <w:t xml:space="preserve">Table 2 presents correlations between the variables used in the main tests. As shown in Table 2, </w:t>
      </w:r>
      <w:proofErr w:type="spellStart"/>
      <w:r w:rsidRPr="00F634D2">
        <w:rPr>
          <w:rFonts w:ascii="Times New Roman" w:eastAsia="DengXian" w:hAnsi="Times New Roman" w:cs="Times New Roman"/>
          <w:i/>
          <w:iCs/>
          <w:sz w:val="24"/>
          <w:szCs w:val="24"/>
        </w:rPr>
        <w:t>AfterIDD</w:t>
      </w:r>
      <w:proofErr w:type="spellEnd"/>
      <w:r w:rsidRPr="00F634D2">
        <w:rPr>
          <w:rFonts w:ascii="Times New Roman" w:eastAsia="DengXian" w:hAnsi="Times New Roman" w:cs="Times New Roman"/>
          <w:i/>
          <w:iCs/>
          <w:sz w:val="24"/>
          <w:szCs w:val="24"/>
        </w:rPr>
        <w:t xml:space="preserve"> </w:t>
      </w:r>
      <w:r w:rsidRPr="00F634D2">
        <w:rPr>
          <w:rFonts w:ascii="Times New Roman" w:eastAsia="DengXian" w:hAnsi="Times New Roman" w:cs="Times New Roman"/>
          <w:sz w:val="24"/>
          <w:szCs w:val="24"/>
        </w:rPr>
        <w:t xml:space="preserve">and </w:t>
      </w:r>
      <w:r w:rsidRPr="00F634D2">
        <w:rPr>
          <w:rFonts w:ascii="Times New Roman" w:eastAsia="DengXian" w:hAnsi="Times New Roman" w:cs="Times New Roman"/>
          <w:i/>
          <w:iCs/>
          <w:sz w:val="24"/>
          <w:szCs w:val="24"/>
        </w:rPr>
        <w:t>Vega</w:t>
      </w:r>
      <w:r w:rsidRPr="00F634D2">
        <w:rPr>
          <w:rFonts w:ascii="Times New Roman" w:eastAsia="DengXian" w:hAnsi="Times New Roman" w:cs="Times New Roman"/>
          <w:sz w:val="24"/>
          <w:szCs w:val="24"/>
        </w:rPr>
        <w:t xml:space="preserve"> are significantly and positively correlated at the 1 percent level. Moreover, both </w:t>
      </w:r>
      <w:proofErr w:type="spellStart"/>
      <w:r w:rsidRPr="00F634D2">
        <w:rPr>
          <w:rFonts w:ascii="Times New Roman" w:eastAsia="DengXian" w:hAnsi="Times New Roman" w:cs="Times New Roman"/>
          <w:i/>
          <w:iCs/>
          <w:sz w:val="24"/>
          <w:szCs w:val="24"/>
        </w:rPr>
        <w:t>AfterIDD</w:t>
      </w:r>
      <w:proofErr w:type="spellEnd"/>
      <w:r w:rsidRPr="00F634D2">
        <w:rPr>
          <w:rFonts w:ascii="Times New Roman" w:eastAsia="DengXian" w:hAnsi="Times New Roman" w:cs="Times New Roman"/>
          <w:sz w:val="24"/>
          <w:szCs w:val="24"/>
        </w:rPr>
        <w:t xml:space="preserve"> and </w:t>
      </w:r>
      <w:r w:rsidRPr="00F634D2">
        <w:rPr>
          <w:rFonts w:ascii="Times New Roman" w:eastAsia="DengXian" w:hAnsi="Times New Roman" w:cs="Times New Roman"/>
          <w:i/>
          <w:iCs/>
          <w:sz w:val="24"/>
          <w:szCs w:val="24"/>
        </w:rPr>
        <w:t>Vega</w:t>
      </w:r>
      <w:r w:rsidRPr="00F634D2">
        <w:rPr>
          <w:rFonts w:ascii="Times New Roman" w:eastAsia="DengXian" w:hAnsi="Times New Roman" w:cs="Times New Roman"/>
          <w:sz w:val="24"/>
          <w:szCs w:val="24"/>
        </w:rPr>
        <w:t xml:space="preserve"> are positively correlated with the different components of CEO compensation, including salary (</w:t>
      </w:r>
      <w:r w:rsidRPr="00F634D2">
        <w:rPr>
          <w:rFonts w:ascii="Times New Roman" w:eastAsia="DengXian" w:hAnsi="Times New Roman" w:cs="Times New Roman"/>
          <w:i/>
          <w:iCs/>
          <w:sz w:val="24"/>
          <w:szCs w:val="24"/>
        </w:rPr>
        <w:t>Salary</w:t>
      </w:r>
      <w:r w:rsidRPr="00F634D2">
        <w:rPr>
          <w:rFonts w:ascii="Times New Roman" w:eastAsia="DengXian" w:hAnsi="Times New Roman" w:cs="Times New Roman"/>
          <w:sz w:val="24"/>
          <w:szCs w:val="24"/>
        </w:rPr>
        <w:t>), bonus (</w:t>
      </w:r>
      <w:r w:rsidRPr="00F634D2">
        <w:rPr>
          <w:rFonts w:ascii="Times New Roman" w:eastAsia="DengXian" w:hAnsi="Times New Roman" w:cs="Times New Roman"/>
          <w:i/>
          <w:iCs/>
          <w:sz w:val="24"/>
          <w:szCs w:val="24"/>
        </w:rPr>
        <w:t>Bonus</w:t>
      </w:r>
      <w:r w:rsidRPr="00F634D2">
        <w:rPr>
          <w:rFonts w:ascii="Times New Roman" w:eastAsia="DengXian" w:hAnsi="Times New Roman" w:cs="Times New Roman"/>
          <w:sz w:val="24"/>
          <w:szCs w:val="24"/>
        </w:rPr>
        <w:t>), and other components (</w:t>
      </w:r>
      <w:r w:rsidRPr="00F634D2">
        <w:rPr>
          <w:rFonts w:ascii="Times New Roman" w:eastAsia="DengXian" w:hAnsi="Times New Roman" w:cs="Times New Roman"/>
          <w:i/>
          <w:sz w:val="24"/>
          <w:szCs w:val="24"/>
        </w:rPr>
        <w:t>Other</w:t>
      </w:r>
      <w:r w:rsidRPr="00F634D2">
        <w:rPr>
          <w:rFonts w:ascii="Times New Roman" w:eastAsia="DengXian" w:hAnsi="Times New Roman" w:cs="Times New Roman"/>
          <w:sz w:val="24"/>
          <w:szCs w:val="24"/>
        </w:rPr>
        <w:t xml:space="preserve">). We also find that </w:t>
      </w:r>
      <w:r w:rsidRPr="00F634D2">
        <w:rPr>
          <w:rFonts w:ascii="Times New Roman" w:hAnsi="Times New Roman" w:cs="Times New Roman"/>
          <w:i/>
          <w:sz w:val="24"/>
          <w:szCs w:val="24"/>
        </w:rPr>
        <w:t>Vega</w:t>
      </w:r>
      <w:r w:rsidRPr="00F634D2">
        <w:rPr>
          <w:rFonts w:ascii="Times New Roman" w:eastAsia="DengXian" w:hAnsi="Times New Roman" w:cs="Times New Roman"/>
          <w:sz w:val="24"/>
          <w:szCs w:val="24"/>
        </w:rPr>
        <w:t xml:space="preserve"> is significantly and positively correlated with leverage (</w:t>
      </w:r>
      <w:r w:rsidRPr="00F634D2">
        <w:rPr>
          <w:rFonts w:ascii="Times New Roman" w:eastAsia="DengXian" w:hAnsi="Times New Roman" w:cs="Times New Roman"/>
          <w:i/>
          <w:sz w:val="24"/>
          <w:szCs w:val="24"/>
        </w:rPr>
        <w:t>Lev</w:t>
      </w:r>
      <w:r w:rsidRPr="00F634D2">
        <w:rPr>
          <w:rFonts w:ascii="Times New Roman" w:eastAsia="DengXian" w:hAnsi="Times New Roman" w:cs="Times New Roman"/>
          <w:sz w:val="24"/>
          <w:szCs w:val="24"/>
        </w:rPr>
        <w:t>) and R&amp;D expenditure (</w:t>
      </w:r>
      <w:r w:rsidRPr="00F634D2">
        <w:rPr>
          <w:rFonts w:ascii="Times New Roman" w:eastAsia="DengXian" w:hAnsi="Times New Roman" w:cs="Times New Roman"/>
          <w:i/>
          <w:sz w:val="24"/>
          <w:szCs w:val="24"/>
        </w:rPr>
        <w:t>R&amp;D</w:t>
      </w:r>
      <w:r w:rsidRPr="00F634D2">
        <w:rPr>
          <w:rFonts w:ascii="Times New Roman" w:eastAsia="DengXian" w:hAnsi="Times New Roman" w:cs="Times New Roman"/>
          <w:sz w:val="24"/>
          <w:szCs w:val="24"/>
        </w:rPr>
        <w:t>), and significantly and negatively correlated with capital expenditure (</w:t>
      </w:r>
      <w:proofErr w:type="spellStart"/>
      <w:r w:rsidRPr="00F634D2">
        <w:rPr>
          <w:rFonts w:ascii="Times New Roman" w:eastAsia="DengXian" w:hAnsi="Times New Roman" w:cs="Times New Roman"/>
          <w:i/>
          <w:iCs/>
          <w:sz w:val="24"/>
          <w:szCs w:val="24"/>
        </w:rPr>
        <w:t>Capx</w:t>
      </w:r>
      <w:proofErr w:type="spellEnd"/>
      <w:r w:rsidRPr="00F634D2">
        <w:rPr>
          <w:rFonts w:ascii="Times New Roman" w:eastAsia="DengXian" w:hAnsi="Times New Roman" w:cs="Times New Roman"/>
          <w:sz w:val="24"/>
          <w:szCs w:val="24"/>
        </w:rPr>
        <w:t xml:space="preserve">). These results </w:t>
      </w:r>
      <w:r w:rsidRPr="00F634D2">
        <w:rPr>
          <w:rFonts w:ascii="Times New Roman" w:eastAsia="DengXian" w:hAnsi="Times New Roman" w:cs="Times New Roman"/>
          <w:sz w:val="24"/>
          <w:szCs w:val="24"/>
        </w:rPr>
        <w:lastRenderedPageBreak/>
        <w:t xml:space="preserve">are consistent with the prior research documenting that higher CEO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ega encourages more risk-taking (e.g., Coles et al. 2006; Low 2009).</w:t>
      </w:r>
      <w:r w:rsidRPr="00F634D2">
        <w:rPr>
          <w:rFonts w:ascii="Times New Roman" w:hAnsi="Times New Roman" w:cs="Times New Roman"/>
          <w:sz w:val="24"/>
          <w:szCs w:val="24"/>
          <w:lang w:eastAsia="zh-HK"/>
        </w:rPr>
        <w:t xml:space="preserve"> </w:t>
      </w:r>
    </w:p>
    <w:p w14:paraId="491F8988" w14:textId="77777777" w:rsidR="00D50589" w:rsidRPr="00F634D2" w:rsidRDefault="00686261" w:rsidP="007E03F2">
      <w:pPr>
        <w:snapToGrid w:val="0"/>
        <w:spacing w:after="0" w:line="480" w:lineRule="auto"/>
        <w:ind w:firstLineChars="200" w:firstLine="480"/>
        <w:jc w:val="center"/>
        <w:rPr>
          <w:rFonts w:ascii="Times New Roman" w:hAnsi="Times New Roman" w:cs="Times New Roman"/>
          <w:sz w:val="28"/>
          <w:szCs w:val="24"/>
        </w:rPr>
      </w:pPr>
      <w:r w:rsidRPr="00F634D2">
        <w:rPr>
          <w:rStyle w:val="Emphasis"/>
          <w:rFonts w:ascii="Times New Roman" w:hAnsi="Times New Roman" w:cs="Times New Roman"/>
          <w:sz w:val="24"/>
          <w:szCs w:val="24"/>
          <w:shd w:val="clear" w:color="auto" w:fill="FFFFFF"/>
        </w:rPr>
        <w:t>[Table 2 near here]</w:t>
      </w:r>
    </w:p>
    <w:p w14:paraId="59EC12AD" w14:textId="77777777" w:rsidR="00D50589" w:rsidRPr="00F634D2" w:rsidRDefault="00686261">
      <w:pPr>
        <w:pStyle w:val="Heading2"/>
        <w:spacing w:before="0" w:after="0"/>
        <w:ind w:right="0"/>
        <w:rPr>
          <w:rFonts w:cs="Times New Roman"/>
        </w:rPr>
      </w:pPr>
      <w:r w:rsidRPr="00F634D2">
        <w:rPr>
          <w:rFonts w:cs="Times New Roman"/>
        </w:rPr>
        <w:t>5.2 Primary results</w:t>
      </w:r>
    </w:p>
    <w:p w14:paraId="509562BE" w14:textId="7D6208E8" w:rsidR="00D50589" w:rsidRPr="00F634D2" w:rsidRDefault="00686261">
      <w:pPr>
        <w:pStyle w:val="Heading2"/>
        <w:rPr>
          <w:rFonts w:cs="Times New Roman"/>
          <w:b w:val="0"/>
          <w:bCs w:val="0"/>
        </w:rPr>
      </w:pPr>
      <w:r w:rsidRPr="00F634D2">
        <w:rPr>
          <w:rFonts w:cs="Times New Roman"/>
          <w:b w:val="0"/>
          <w:bCs w:val="0"/>
        </w:rPr>
        <w:t xml:space="preserve">5.2.1 The IDD and </w:t>
      </w:r>
      <w:r w:rsidR="00256EB2" w:rsidRPr="00F634D2">
        <w:rPr>
          <w:rFonts w:cs="Times New Roman"/>
          <w:b w:val="0"/>
          <w:bCs w:val="0"/>
        </w:rPr>
        <w:t>V</w:t>
      </w:r>
      <w:r w:rsidRPr="00F634D2">
        <w:rPr>
          <w:rFonts w:cs="Times New Roman"/>
          <w:b w:val="0"/>
          <w:bCs w:val="0"/>
        </w:rPr>
        <w:t>ega</w:t>
      </w:r>
    </w:p>
    <w:p w14:paraId="0DFA0272" w14:textId="77777777" w:rsidR="00D50589" w:rsidRPr="00F634D2" w:rsidRDefault="00686261">
      <w:pPr>
        <w:snapToGrid w:val="0"/>
        <w:spacing w:after="0" w:line="480" w:lineRule="auto"/>
        <w:ind w:firstLineChars="200" w:firstLine="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Table 3 reports the results of estimating equation (1). Column 1 reports the results estimated with the basic control variables of size (</w:t>
      </w:r>
      <w:r w:rsidRPr="00F634D2">
        <w:rPr>
          <w:rFonts w:ascii="Times New Roman" w:eastAsia="DengXian" w:hAnsi="Times New Roman" w:cs="Times New Roman"/>
          <w:i/>
          <w:sz w:val="24"/>
          <w:szCs w:val="24"/>
        </w:rPr>
        <w:t>Size</w:t>
      </w:r>
      <w:r w:rsidRPr="00F634D2">
        <w:rPr>
          <w:rFonts w:ascii="Times New Roman" w:eastAsia="DengXian" w:hAnsi="Times New Roman" w:cs="Times New Roman"/>
          <w:sz w:val="24"/>
          <w:szCs w:val="24"/>
        </w:rPr>
        <w:t>), book-to-market ratio (</w:t>
      </w:r>
      <w:r w:rsidRPr="00F634D2">
        <w:rPr>
          <w:rFonts w:ascii="Times New Roman" w:eastAsia="DengXian" w:hAnsi="Times New Roman" w:cs="Times New Roman"/>
          <w:i/>
          <w:sz w:val="24"/>
          <w:szCs w:val="24"/>
        </w:rPr>
        <w:t>BTM</w:t>
      </w:r>
      <w:r w:rsidRPr="00F634D2">
        <w:rPr>
          <w:rFonts w:ascii="Times New Roman" w:eastAsia="DengXian" w:hAnsi="Times New Roman" w:cs="Times New Roman"/>
          <w:sz w:val="24"/>
          <w:szCs w:val="24"/>
        </w:rPr>
        <w:t>), profitability (</w:t>
      </w:r>
      <w:r w:rsidRPr="00F634D2">
        <w:rPr>
          <w:rFonts w:ascii="Times New Roman" w:eastAsia="DengXian" w:hAnsi="Times New Roman" w:cs="Times New Roman"/>
          <w:i/>
          <w:sz w:val="24"/>
          <w:szCs w:val="24"/>
        </w:rPr>
        <w:t>ROA</w:t>
      </w:r>
      <w:r w:rsidRPr="00F634D2">
        <w:rPr>
          <w:rFonts w:ascii="Times New Roman" w:eastAsia="DengXian" w:hAnsi="Times New Roman" w:cs="Times New Roman"/>
          <w:sz w:val="24"/>
          <w:szCs w:val="24"/>
        </w:rPr>
        <w:t>), CEO tenure (</w:t>
      </w:r>
      <w:r w:rsidRPr="00F634D2">
        <w:rPr>
          <w:rFonts w:ascii="Times New Roman" w:eastAsia="DengXian" w:hAnsi="Times New Roman" w:cs="Times New Roman"/>
          <w:i/>
          <w:sz w:val="24"/>
          <w:szCs w:val="24"/>
        </w:rPr>
        <w:t>Tenure</w:t>
      </w:r>
      <w:r w:rsidRPr="00F634D2">
        <w:rPr>
          <w:rFonts w:ascii="Times New Roman" w:eastAsia="DengXian" w:hAnsi="Times New Roman" w:cs="Times New Roman"/>
          <w:sz w:val="24"/>
          <w:szCs w:val="24"/>
        </w:rPr>
        <w:t>), State GDP growth (</w:t>
      </w:r>
      <w:proofErr w:type="spellStart"/>
      <w:r w:rsidRPr="00F634D2">
        <w:rPr>
          <w:rFonts w:ascii="Times New Roman" w:eastAsia="DengXian" w:hAnsi="Times New Roman" w:cs="Times New Roman"/>
          <w:i/>
          <w:sz w:val="24"/>
          <w:szCs w:val="24"/>
        </w:rPr>
        <w:t>Gdpgr</w:t>
      </w:r>
      <w:proofErr w:type="spellEnd"/>
      <w:r w:rsidRPr="00F634D2">
        <w:rPr>
          <w:rFonts w:ascii="Times New Roman" w:eastAsia="DengXian" w:hAnsi="Times New Roman" w:cs="Times New Roman"/>
          <w:sz w:val="24"/>
          <w:szCs w:val="24"/>
        </w:rPr>
        <w:t>) and state unemployment rate (</w:t>
      </w:r>
      <w:proofErr w:type="spellStart"/>
      <w:r w:rsidRPr="00F634D2">
        <w:rPr>
          <w:rFonts w:ascii="Times New Roman" w:eastAsia="DengXian" w:hAnsi="Times New Roman" w:cs="Times New Roman"/>
          <w:i/>
          <w:sz w:val="24"/>
          <w:szCs w:val="24"/>
        </w:rPr>
        <w:t>Unemp</w:t>
      </w:r>
      <w:proofErr w:type="spellEnd"/>
      <w:r w:rsidRPr="00F634D2">
        <w:rPr>
          <w:rFonts w:ascii="Times New Roman" w:eastAsia="DengXian" w:hAnsi="Times New Roman" w:cs="Times New Roman"/>
          <w:sz w:val="24"/>
          <w:szCs w:val="24"/>
        </w:rPr>
        <w:t>), the different components of CEO compensation including CEO salary (</w:t>
      </w:r>
      <w:r w:rsidRPr="00F634D2">
        <w:rPr>
          <w:rFonts w:ascii="Times New Roman" w:eastAsia="DengXian" w:hAnsi="Times New Roman" w:cs="Times New Roman"/>
          <w:i/>
          <w:sz w:val="24"/>
          <w:szCs w:val="24"/>
        </w:rPr>
        <w:t>Salary</w:t>
      </w:r>
      <w:r w:rsidRPr="00F634D2">
        <w:rPr>
          <w:rFonts w:ascii="Times New Roman" w:eastAsia="DengXian" w:hAnsi="Times New Roman" w:cs="Times New Roman"/>
          <w:sz w:val="24"/>
          <w:szCs w:val="24"/>
        </w:rPr>
        <w:t>), CEO bonus (</w:t>
      </w:r>
      <w:r w:rsidRPr="00F634D2">
        <w:rPr>
          <w:rFonts w:ascii="Times New Roman" w:eastAsia="DengXian" w:hAnsi="Times New Roman" w:cs="Times New Roman"/>
          <w:i/>
          <w:sz w:val="24"/>
          <w:szCs w:val="24"/>
        </w:rPr>
        <w:t>Bonus</w:t>
      </w:r>
      <w:r w:rsidRPr="00F634D2">
        <w:rPr>
          <w:rFonts w:ascii="Times New Roman" w:eastAsia="DengXian" w:hAnsi="Times New Roman" w:cs="Times New Roman"/>
          <w:sz w:val="24"/>
          <w:szCs w:val="24"/>
        </w:rPr>
        <w:t>), CEO other compensation (</w:t>
      </w:r>
      <w:r w:rsidRPr="00F634D2">
        <w:rPr>
          <w:rFonts w:ascii="Times New Roman" w:eastAsia="DengXian" w:hAnsi="Times New Roman" w:cs="Times New Roman"/>
          <w:i/>
          <w:sz w:val="24"/>
          <w:szCs w:val="24"/>
        </w:rPr>
        <w:t>Other</w:t>
      </w:r>
      <w:r w:rsidRPr="00F634D2">
        <w:rPr>
          <w:rFonts w:ascii="Times New Roman" w:eastAsia="DengXian" w:hAnsi="Times New Roman" w:cs="Times New Roman"/>
          <w:sz w:val="24"/>
          <w:szCs w:val="24"/>
        </w:rPr>
        <w:t>). Column 2 reports the results estimated with the additional controls for firm risk-taking policies and CEO risk attitude, which include leverage (</w:t>
      </w:r>
      <w:r w:rsidRPr="00F634D2">
        <w:rPr>
          <w:rFonts w:ascii="Times New Roman" w:eastAsia="DengXian" w:hAnsi="Times New Roman" w:cs="Times New Roman"/>
          <w:i/>
          <w:sz w:val="24"/>
          <w:szCs w:val="24"/>
        </w:rPr>
        <w:t>Lev</w:t>
      </w:r>
      <w:r w:rsidRPr="00F634D2">
        <w:rPr>
          <w:rFonts w:ascii="Times New Roman" w:eastAsia="DengXian" w:hAnsi="Times New Roman" w:cs="Times New Roman"/>
          <w:sz w:val="24"/>
          <w:szCs w:val="24"/>
        </w:rPr>
        <w:t>), capital expenditure (</w:t>
      </w:r>
      <w:proofErr w:type="spellStart"/>
      <w:r w:rsidRPr="00F634D2">
        <w:rPr>
          <w:rFonts w:ascii="Times New Roman" w:eastAsia="DengXian" w:hAnsi="Times New Roman" w:cs="Times New Roman"/>
          <w:i/>
          <w:sz w:val="24"/>
          <w:szCs w:val="24"/>
        </w:rPr>
        <w:t>Capx</w:t>
      </w:r>
      <w:proofErr w:type="spellEnd"/>
      <w:r w:rsidRPr="00F634D2">
        <w:rPr>
          <w:rFonts w:ascii="Times New Roman" w:eastAsia="DengXian" w:hAnsi="Times New Roman" w:cs="Times New Roman"/>
          <w:sz w:val="24"/>
          <w:szCs w:val="24"/>
        </w:rPr>
        <w:t>), research and development expenditure (</w:t>
      </w:r>
      <w:r w:rsidRPr="00F634D2">
        <w:rPr>
          <w:rFonts w:ascii="Times New Roman" w:eastAsia="DengXian" w:hAnsi="Times New Roman" w:cs="Times New Roman"/>
          <w:i/>
          <w:sz w:val="24"/>
          <w:szCs w:val="24"/>
        </w:rPr>
        <w:t>R&amp;D</w:t>
      </w:r>
      <w:r w:rsidRPr="00F634D2">
        <w:rPr>
          <w:rFonts w:ascii="Times New Roman" w:eastAsia="DengXian" w:hAnsi="Times New Roman" w:cs="Times New Roman"/>
          <w:sz w:val="24"/>
          <w:szCs w:val="24"/>
        </w:rPr>
        <w:t>), default probabilities (</w:t>
      </w:r>
      <w:proofErr w:type="spellStart"/>
      <w:r w:rsidRPr="00F634D2">
        <w:rPr>
          <w:rFonts w:ascii="Times New Roman" w:eastAsia="DengXian" w:hAnsi="Times New Roman" w:cs="Times New Roman"/>
          <w:i/>
          <w:sz w:val="24"/>
          <w:szCs w:val="24"/>
        </w:rPr>
        <w:t>Zscore</w:t>
      </w:r>
      <w:proofErr w:type="spellEnd"/>
      <w:r w:rsidRPr="00F634D2">
        <w:rPr>
          <w:rFonts w:ascii="Times New Roman" w:eastAsia="DengXian" w:hAnsi="Times New Roman" w:cs="Times New Roman"/>
          <w:sz w:val="24"/>
          <w:szCs w:val="24"/>
        </w:rPr>
        <w:t>) and business complexity (</w:t>
      </w:r>
      <w:r w:rsidRPr="00F634D2">
        <w:rPr>
          <w:rFonts w:ascii="Times New Roman" w:eastAsia="DengXian" w:hAnsi="Times New Roman" w:cs="Times New Roman"/>
          <w:i/>
          <w:sz w:val="24"/>
          <w:szCs w:val="24"/>
        </w:rPr>
        <w:t>Seg</w:t>
      </w:r>
      <w:r w:rsidRPr="00F634D2">
        <w:rPr>
          <w:rFonts w:ascii="Times New Roman" w:eastAsia="DengXian" w:hAnsi="Times New Roman" w:cs="Times New Roman"/>
          <w:sz w:val="24"/>
          <w:szCs w:val="24"/>
        </w:rPr>
        <w:t>). Column 3 reports the results estimated with the additional control for CEO equity portfolio delta (</w:t>
      </w:r>
      <w:r w:rsidRPr="00F634D2">
        <w:rPr>
          <w:rFonts w:ascii="Times New Roman" w:eastAsia="DengXian" w:hAnsi="Times New Roman" w:cs="Times New Roman"/>
          <w:i/>
          <w:sz w:val="24"/>
          <w:szCs w:val="24"/>
        </w:rPr>
        <w:t>Delta</w:t>
      </w:r>
      <w:r w:rsidRPr="00F634D2">
        <w:rPr>
          <w:rFonts w:ascii="Times New Roman" w:eastAsia="DengXian" w:hAnsi="Times New Roman" w:cs="Times New Roman"/>
          <w:sz w:val="24"/>
          <w:szCs w:val="24"/>
        </w:rPr>
        <w:t>).</w:t>
      </w:r>
    </w:p>
    <w:p w14:paraId="4B3C86B6" w14:textId="77777777" w:rsidR="00D50589" w:rsidRPr="00F634D2" w:rsidRDefault="00686261" w:rsidP="007E03F2">
      <w:pPr>
        <w:snapToGrid w:val="0"/>
        <w:spacing w:after="0" w:line="480" w:lineRule="auto"/>
        <w:ind w:firstLineChars="200" w:firstLine="480"/>
        <w:jc w:val="center"/>
        <w:rPr>
          <w:rFonts w:ascii="Times New Roman" w:hAnsi="Times New Roman" w:cs="Times New Roman"/>
          <w:sz w:val="28"/>
          <w:szCs w:val="24"/>
        </w:rPr>
      </w:pPr>
      <w:r w:rsidRPr="00F634D2">
        <w:rPr>
          <w:rStyle w:val="Emphasis"/>
          <w:rFonts w:ascii="Times New Roman" w:hAnsi="Times New Roman" w:cs="Times New Roman"/>
          <w:sz w:val="24"/>
          <w:szCs w:val="24"/>
          <w:shd w:val="clear" w:color="auto" w:fill="FFFFFF"/>
        </w:rPr>
        <w:t>[Table 3 near here]</w:t>
      </w:r>
    </w:p>
    <w:p w14:paraId="6C08CFE7" w14:textId="77777777" w:rsidR="00D50589" w:rsidRPr="00F634D2" w:rsidRDefault="00686261">
      <w:pPr>
        <w:adjustRightInd w:val="0"/>
        <w:snapToGrid w:val="0"/>
        <w:spacing w:after="0" w:line="480" w:lineRule="auto"/>
        <w:ind w:firstLineChars="200" w:firstLine="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As reported in Table 3, </w:t>
      </w:r>
      <w:proofErr w:type="spellStart"/>
      <w:r w:rsidRPr="00F634D2">
        <w:rPr>
          <w:rFonts w:ascii="Times New Roman" w:eastAsia="DengXian" w:hAnsi="Times New Roman" w:cs="Times New Roman"/>
          <w:i/>
          <w:sz w:val="24"/>
          <w:szCs w:val="24"/>
        </w:rPr>
        <w:t>AfterIDD</w:t>
      </w:r>
      <w:proofErr w:type="spellEnd"/>
      <w:r w:rsidRPr="00F634D2">
        <w:rPr>
          <w:rFonts w:ascii="Times New Roman" w:eastAsia="DengXian" w:hAnsi="Times New Roman" w:cs="Times New Roman"/>
          <w:i/>
          <w:sz w:val="24"/>
          <w:szCs w:val="24"/>
        </w:rPr>
        <w:t xml:space="preserve"> </w:t>
      </w:r>
      <w:r w:rsidRPr="00F634D2">
        <w:rPr>
          <w:rFonts w:ascii="Times New Roman" w:eastAsia="DengXian" w:hAnsi="Times New Roman" w:cs="Times New Roman"/>
          <w:sz w:val="24"/>
          <w:szCs w:val="24"/>
        </w:rPr>
        <w:t xml:space="preserve">is significantly and positively associated with </w:t>
      </w:r>
      <w:r w:rsidRPr="00F634D2">
        <w:rPr>
          <w:rFonts w:ascii="Times New Roman" w:eastAsia="DengXian" w:hAnsi="Times New Roman" w:cs="Times New Roman"/>
          <w:i/>
          <w:sz w:val="24"/>
          <w:szCs w:val="24"/>
        </w:rPr>
        <w:t>Vega</w:t>
      </w:r>
      <w:r w:rsidRPr="00F634D2">
        <w:rPr>
          <w:rFonts w:ascii="Times New Roman" w:eastAsia="DengXian" w:hAnsi="Times New Roman" w:cs="Times New Roman"/>
          <w:sz w:val="24"/>
          <w:szCs w:val="24"/>
        </w:rPr>
        <w:t xml:space="preserve"> at the 1 percent level across all three columns. The magnitudes of the coefficients are economically significant.</w:t>
      </w:r>
      <w:r w:rsidRPr="00F634D2">
        <w:rPr>
          <w:rStyle w:val="FootnoteReference"/>
          <w:rFonts w:ascii="Times New Roman" w:eastAsia="DengXian" w:hAnsi="Times New Roman" w:cs="Times New Roman"/>
          <w:sz w:val="24"/>
          <w:szCs w:val="24"/>
        </w:rPr>
        <w:footnoteReference w:id="7"/>
      </w:r>
      <w:r w:rsidRPr="00F634D2">
        <w:rPr>
          <w:rFonts w:ascii="Times New Roman" w:eastAsia="DengXian" w:hAnsi="Times New Roman" w:cs="Times New Roman"/>
          <w:sz w:val="24"/>
          <w:szCs w:val="24"/>
        </w:rPr>
        <w:t xml:space="preserve"> For instance, the coefficient on </w:t>
      </w:r>
      <w:proofErr w:type="spellStart"/>
      <w:r w:rsidRPr="00F634D2">
        <w:rPr>
          <w:rFonts w:ascii="Times New Roman" w:eastAsia="DengXian" w:hAnsi="Times New Roman" w:cs="Times New Roman"/>
          <w:i/>
          <w:sz w:val="24"/>
          <w:szCs w:val="24"/>
        </w:rPr>
        <w:t>AfterIDD</w:t>
      </w:r>
      <w:proofErr w:type="spellEnd"/>
      <w:r w:rsidRPr="00F634D2">
        <w:rPr>
          <w:rFonts w:ascii="Times New Roman" w:eastAsia="DengXian" w:hAnsi="Times New Roman" w:cs="Times New Roman"/>
          <w:sz w:val="24"/>
          <w:szCs w:val="24"/>
        </w:rPr>
        <w:t xml:space="preserve"> is 0.157 in Column 1 (0.148 and 0.130 in Columns 2 and 3, respectively), which indicates that CEO Vega increases by 20.37 percent (19.20 and 16.86 percent for Columns 2 and 3, respectively) after IDD adoption. Overall, the results are consistent with H1. </w:t>
      </w:r>
    </w:p>
    <w:p w14:paraId="291CBE51" w14:textId="51FAB384" w:rsidR="00D50589" w:rsidRPr="00F634D2" w:rsidRDefault="00686261">
      <w:pPr>
        <w:adjustRightInd w:val="0"/>
        <w:snapToGrid w:val="0"/>
        <w:spacing w:after="0" w:line="480" w:lineRule="auto"/>
        <w:ind w:firstLineChars="200" w:firstLine="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lastRenderedPageBreak/>
        <w:t xml:space="preserve">Turning to the control variables, we find that </w:t>
      </w:r>
      <w:r w:rsidRPr="00F634D2">
        <w:rPr>
          <w:rFonts w:ascii="Times New Roman" w:eastAsia="DengXian" w:hAnsi="Times New Roman" w:cs="Times New Roman"/>
          <w:i/>
          <w:sz w:val="24"/>
          <w:szCs w:val="24"/>
        </w:rPr>
        <w:t>Vega</w:t>
      </w:r>
      <w:r w:rsidRPr="00F634D2">
        <w:rPr>
          <w:rFonts w:ascii="Times New Roman" w:eastAsia="DengXian" w:hAnsi="Times New Roman" w:cs="Times New Roman"/>
          <w:sz w:val="24"/>
          <w:szCs w:val="24"/>
        </w:rPr>
        <w:t xml:space="preserve"> is positively associated with </w:t>
      </w:r>
      <w:r w:rsidRPr="00F634D2">
        <w:rPr>
          <w:rFonts w:ascii="Times New Roman" w:eastAsia="DengXian" w:hAnsi="Times New Roman" w:cs="Times New Roman"/>
          <w:i/>
          <w:sz w:val="24"/>
          <w:szCs w:val="24"/>
        </w:rPr>
        <w:t>Size</w:t>
      </w:r>
      <w:r w:rsidRPr="00F634D2">
        <w:rPr>
          <w:rFonts w:ascii="Times New Roman" w:eastAsia="DengXian" w:hAnsi="Times New Roman" w:cs="Times New Roman"/>
          <w:sz w:val="24"/>
          <w:szCs w:val="24"/>
        </w:rPr>
        <w:t xml:space="preserve">, </w:t>
      </w:r>
      <w:r w:rsidRPr="00F634D2">
        <w:rPr>
          <w:rFonts w:ascii="Times New Roman" w:eastAsia="DengXian" w:hAnsi="Times New Roman" w:cs="Times New Roman"/>
          <w:i/>
          <w:sz w:val="24"/>
          <w:szCs w:val="24"/>
        </w:rPr>
        <w:t>ROA</w:t>
      </w:r>
      <w:r w:rsidRPr="00F634D2">
        <w:rPr>
          <w:rFonts w:ascii="Times New Roman" w:eastAsia="DengXian" w:hAnsi="Times New Roman" w:cs="Times New Roman"/>
          <w:sz w:val="24"/>
          <w:szCs w:val="24"/>
        </w:rPr>
        <w:t xml:space="preserve">, and </w:t>
      </w:r>
      <w:r w:rsidRPr="00F634D2">
        <w:rPr>
          <w:rFonts w:ascii="Times New Roman" w:eastAsia="DengXian" w:hAnsi="Times New Roman" w:cs="Times New Roman"/>
          <w:i/>
          <w:sz w:val="24"/>
          <w:szCs w:val="24"/>
        </w:rPr>
        <w:t xml:space="preserve">Tenure, </w:t>
      </w:r>
      <w:r w:rsidRPr="00F634D2">
        <w:rPr>
          <w:rFonts w:ascii="Times New Roman" w:eastAsia="DengXian" w:hAnsi="Times New Roman" w:cs="Times New Roman"/>
          <w:sz w:val="24"/>
          <w:szCs w:val="24"/>
        </w:rPr>
        <w:t xml:space="preserve">suggesting that larger and profitable firms and CEOs with longer tenure tend to relate to higher </w:t>
      </w:r>
      <w:r w:rsidRPr="00F634D2">
        <w:rPr>
          <w:rFonts w:ascii="Times New Roman" w:eastAsia="DengXian" w:hAnsi="Times New Roman" w:cs="Times New Roman"/>
          <w:i/>
          <w:sz w:val="24"/>
          <w:szCs w:val="24"/>
        </w:rPr>
        <w:t>Vega</w:t>
      </w:r>
      <w:r w:rsidRPr="00F634D2">
        <w:rPr>
          <w:rFonts w:ascii="Times New Roman" w:eastAsia="DengXian" w:hAnsi="Times New Roman" w:cs="Times New Roman"/>
          <w:sz w:val="24"/>
          <w:szCs w:val="24"/>
        </w:rPr>
        <w:t xml:space="preserve">. Moreover, </w:t>
      </w:r>
      <w:r w:rsidRPr="00F634D2">
        <w:rPr>
          <w:rFonts w:ascii="Times New Roman" w:eastAsia="DengXian" w:hAnsi="Times New Roman" w:cs="Times New Roman"/>
          <w:i/>
          <w:sz w:val="24"/>
          <w:szCs w:val="24"/>
        </w:rPr>
        <w:t>Vega</w:t>
      </w:r>
      <w:r w:rsidRPr="00F634D2">
        <w:rPr>
          <w:rFonts w:ascii="Times New Roman" w:eastAsia="DengXian" w:hAnsi="Times New Roman" w:cs="Times New Roman"/>
          <w:sz w:val="24"/>
          <w:szCs w:val="24"/>
        </w:rPr>
        <w:t xml:space="preserve"> is positively associated with </w:t>
      </w:r>
      <w:r w:rsidRPr="00F634D2">
        <w:rPr>
          <w:rFonts w:ascii="Times New Roman" w:eastAsia="DengXian" w:hAnsi="Times New Roman" w:cs="Times New Roman"/>
          <w:i/>
          <w:sz w:val="24"/>
          <w:szCs w:val="24"/>
        </w:rPr>
        <w:t>R&amp;D</w:t>
      </w:r>
      <w:r w:rsidRPr="00F634D2">
        <w:rPr>
          <w:rFonts w:ascii="Times New Roman" w:eastAsia="DengXian" w:hAnsi="Times New Roman" w:cs="Times New Roman"/>
          <w:sz w:val="24"/>
          <w:szCs w:val="24"/>
        </w:rPr>
        <w:t xml:space="preserve">, which suggests that CEOs with higher level of risk preference are provided with higher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 xml:space="preserve">ega in their compensation. </w:t>
      </w:r>
      <w:r w:rsidRPr="00F634D2">
        <w:rPr>
          <w:rFonts w:ascii="Times New Roman" w:eastAsia="DengXian" w:hAnsi="Times New Roman" w:cs="Times New Roman"/>
          <w:i/>
          <w:sz w:val="24"/>
          <w:szCs w:val="24"/>
        </w:rPr>
        <w:t>Vega</w:t>
      </w:r>
      <w:r w:rsidRPr="00F634D2">
        <w:rPr>
          <w:rFonts w:ascii="Times New Roman" w:eastAsia="DengXian" w:hAnsi="Times New Roman" w:cs="Times New Roman"/>
          <w:sz w:val="24"/>
          <w:szCs w:val="24"/>
        </w:rPr>
        <w:t xml:space="preserve"> is positively associated with </w:t>
      </w:r>
      <w:proofErr w:type="spellStart"/>
      <w:r w:rsidRPr="00F634D2">
        <w:rPr>
          <w:rFonts w:ascii="Times New Roman" w:eastAsia="DengXian" w:hAnsi="Times New Roman" w:cs="Times New Roman"/>
          <w:i/>
          <w:sz w:val="24"/>
          <w:szCs w:val="24"/>
        </w:rPr>
        <w:t>Zscore</w:t>
      </w:r>
      <w:proofErr w:type="spellEnd"/>
      <w:r w:rsidRPr="00F634D2">
        <w:rPr>
          <w:rFonts w:ascii="Times New Roman" w:eastAsia="DengXian" w:hAnsi="Times New Roman" w:cs="Times New Roman"/>
          <w:sz w:val="24"/>
          <w:szCs w:val="24"/>
        </w:rPr>
        <w:t xml:space="preserve">, which suggests that CEOs who potentially tolerate higher firm risk are provided with higher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 xml:space="preserve">ega. </w:t>
      </w:r>
      <w:r w:rsidRPr="00F634D2">
        <w:rPr>
          <w:rFonts w:ascii="Times New Roman" w:eastAsia="DengXian" w:hAnsi="Times New Roman" w:cs="Times New Roman"/>
          <w:i/>
          <w:sz w:val="24"/>
          <w:szCs w:val="24"/>
        </w:rPr>
        <w:t>Vega</w:t>
      </w:r>
      <w:r w:rsidRPr="00F634D2">
        <w:rPr>
          <w:rFonts w:ascii="Times New Roman" w:eastAsia="DengXian" w:hAnsi="Times New Roman" w:cs="Times New Roman"/>
          <w:sz w:val="24"/>
          <w:szCs w:val="24"/>
        </w:rPr>
        <w:t xml:space="preserve"> is also positively associated with salary (</w:t>
      </w:r>
      <w:r w:rsidRPr="00F634D2">
        <w:rPr>
          <w:rFonts w:ascii="Times New Roman" w:eastAsia="DengXian" w:hAnsi="Times New Roman" w:cs="Times New Roman"/>
          <w:i/>
          <w:iCs/>
          <w:sz w:val="24"/>
          <w:szCs w:val="24"/>
        </w:rPr>
        <w:t>Salary</w:t>
      </w:r>
      <w:r w:rsidRPr="00F634D2">
        <w:rPr>
          <w:rFonts w:ascii="Times New Roman" w:eastAsia="DengXian" w:hAnsi="Times New Roman" w:cs="Times New Roman"/>
          <w:sz w:val="24"/>
          <w:szCs w:val="24"/>
        </w:rPr>
        <w:t>) and other compensation (</w:t>
      </w:r>
      <w:r w:rsidRPr="00F634D2">
        <w:rPr>
          <w:rFonts w:ascii="Times New Roman" w:eastAsia="DengXian" w:hAnsi="Times New Roman" w:cs="Times New Roman"/>
          <w:i/>
          <w:iCs/>
          <w:sz w:val="24"/>
          <w:szCs w:val="24"/>
        </w:rPr>
        <w:t>Other</w:t>
      </w:r>
      <w:r w:rsidRPr="00F634D2">
        <w:rPr>
          <w:rFonts w:ascii="Times New Roman" w:eastAsia="DengXian" w:hAnsi="Times New Roman" w:cs="Times New Roman"/>
          <w:sz w:val="24"/>
          <w:szCs w:val="24"/>
        </w:rPr>
        <w:t>). For the state-level variables, state GDP growth (</w:t>
      </w:r>
      <w:proofErr w:type="spellStart"/>
      <w:r w:rsidRPr="00F634D2">
        <w:rPr>
          <w:rFonts w:ascii="Times New Roman" w:eastAsia="DengXian" w:hAnsi="Times New Roman" w:cs="Times New Roman"/>
          <w:i/>
          <w:sz w:val="24"/>
          <w:szCs w:val="24"/>
        </w:rPr>
        <w:t>Gdpgr</w:t>
      </w:r>
      <w:proofErr w:type="spellEnd"/>
      <w:r w:rsidRPr="00F634D2">
        <w:rPr>
          <w:rFonts w:ascii="Times New Roman" w:eastAsia="DengXian" w:hAnsi="Times New Roman" w:cs="Times New Roman"/>
          <w:sz w:val="24"/>
          <w:szCs w:val="24"/>
        </w:rPr>
        <w:t xml:space="preserve">) is positively associated with </w:t>
      </w:r>
      <w:r w:rsidRPr="00F634D2">
        <w:rPr>
          <w:rFonts w:ascii="Times New Roman" w:eastAsia="DengXian" w:hAnsi="Times New Roman" w:cs="Times New Roman"/>
          <w:i/>
          <w:sz w:val="24"/>
          <w:szCs w:val="24"/>
        </w:rPr>
        <w:t>Vega</w:t>
      </w:r>
      <w:r w:rsidRPr="00F634D2">
        <w:rPr>
          <w:rFonts w:ascii="Times New Roman" w:eastAsia="DengXian" w:hAnsi="Times New Roman" w:cs="Times New Roman"/>
          <w:sz w:val="24"/>
          <w:szCs w:val="24"/>
        </w:rPr>
        <w:t xml:space="preserve">. We find that </w:t>
      </w:r>
      <w:r w:rsidRPr="00F634D2">
        <w:rPr>
          <w:rFonts w:ascii="Times New Roman" w:eastAsia="DengXian" w:hAnsi="Times New Roman" w:cs="Times New Roman"/>
          <w:i/>
          <w:sz w:val="24"/>
          <w:szCs w:val="24"/>
        </w:rPr>
        <w:t>Vega</w:t>
      </w:r>
      <w:r w:rsidRPr="00F634D2">
        <w:rPr>
          <w:rFonts w:ascii="Times New Roman" w:eastAsia="DengXian" w:hAnsi="Times New Roman" w:cs="Times New Roman"/>
          <w:sz w:val="24"/>
          <w:szCs w:val="24"/>
        </w:rPr>
        <w:t xml:space="preserve"> is positively associated with variables indicating risk-taking policies, such as leverage (</w:t>
      </w:r>
      <w:r w:rsidRPr="00F634D2">
        <w:rPr>
          <w:rFonts w:ascii="Times New Roman" w:eastAsia="DengXian" w:hAnsi="Times New Roman" w:cs="Times New Roman"/>
          <w:i/>
          <w:sz w:val="24"/>
          <w:szCs w:val="24"/>
        </w:rPr>
        <w:t>Lev</w:t>
      </w:r>
      <w:r w:rsidRPr="00F634D2">
        <w:rPr>
          <w:rFonts w:ascii="Times New Roman" w:eastAsia="DengXian" w:hAnsi="Times New Roman" w:cs="Times New Roman"/>
          <w:sz w:val="24"/>
          <w:szCs w:val="24"/>
        </w:rPr>
        <w:t xml:space="preserve">). Overall, </w:t>
      </w:r>
      <w:r w:rsidRPr="00F634D2">
        <w:rPr>
          <w:rFonts w:ascii="Times New Roman" w:hAnsi="Times New Roman" w:cs="Times New Roman"/>
          <w:sz w:val="24"/>
          <w:szCs w:val="24"/>
        </w:rPr>
        <w:t xml:space="preserve">the signs of the coefficients on the control variables are consistent with those reported in prior research (e.g., </w:t>
      </w:r>
      <w:proofErr w:type="spellStart"/>
      <w:r w:rsidRPr="00F634D2">
        <w:rPr>
          <w:rFonts w:ascii="Times New Roman" w:hAnsi="Times New Roman" w:cs="Times New Roman"/>
          <w:sz w:val="24"/>
          <w:szCs w:val="24"/>
        </w:rPr>
        <w:t>Guay</w:t>
      </w:r>
      <w:proofErr w:type="spellEnd"/>
      <w:r w:rsidRPr="00F634D2">
        <w:rPr>
          <w:rFonts w:ascii="Times New Roman" w:hAnsi="Times New Roman" w:cs="Times New Roman"/>
          <w:sz w:val="24"/>
          <w:szCs w:val="24"/>
        </w:rPr>
        <w:t xml:space="preserve"> 1999; Coles et al. 2006; Low 2009).</w:t>
      </w:r>
    </w:p>
    <w:p w14:paraId="4EBDE465" w14:textId="4DE3B130" w:rsidR="00D50589" w:rsidRPr="00F634D2" w:rsidRDefault="00686261">
      <w:pPr>
        <w:keepNext/>
        <w:adjustRightInd w:val="0"/>
        <w:snapToGrid w:val="0"/>
        <w:spacing w:after="0" w:line="480" w:lineRule="auto"/>
        <w:jc w:val="both"/>
        <w:rPr>
          <w:rFonts w:ascii="Times New Roman" w:hAnsi="Times New Roman" w:cs="Times New Roman"/>
          <w:i/>
          <w:iCs/>
          <w:sz w:val="24"/>
          <w:szCs w:val="28"/>
          <w:lang w:val="en-GB" w:eastAsia="en-GB"/>
        </w:rPr>
      </w:pPr>
      <w:r w:rsidRPr="00F634D2">
        <w:rPr>
          <w:rFonts w:ascii="Times New Roman" w:hAnsi="Times New Roman" w:cs="Times New Roman"/>
          <w:i/>
          <w:iCs/>
          <w:sz w:val="24"/>
          <w:szCs w:val="28"/>
          <w:lang w:val="en-GB" w:eastAsia="en-GB"/>
        </w:rPr>
        <w:t xml:space="preserve">5.2.2 The IDD, </w:t>
      </w:r>
      <w:r w:rsidR="00256EB2" w:rsidRPr="00F634D2">
        <w:rPr>
          <w:rFonts w:ascii="Times New Roman" w:hAnsi="Times New Roman" w:cs="Times New Roman"/>
          <w:i/>
          <w:iCs/>
          <w:sz w:val="24"/>
          <w:szCs w:val="28"/>
          <w:lang w:val="en-GB" w:eastAsia="en-GB"/>
        </w:rPr>
        <w:t>V</w:t>
      </w:r>
      <w:r w:rsidRPr="00F634D2">
        <w:rPr>
          <w:rFonts w:ascii="Times New Roman" w:hAnsi="Times New Roman" w:cs="Times New Roman"/>
          <w:i/>
          <w:iCs/>
          <w:sz w:val="24"/>
          <w:szCs w:val="28"/>
          <w:lang w:val="en-GB" w:eastAsia="en-GB"/>
        </w:rPr>
        <w:t>ega, and industry homogeneity</w:t>
      </w:r>
    </w:p>
    <w:p w14:paraId="65EFCEA8" w14:textId="302B330F" w:rsidR="00D50589" w:rsidRPr="00F634D2" w:rsidRDefault="00686261">
      <w:pPr>
        <w:adjustRightInd w:val="0"/>
        <w:snapToGrid w:val="0"/>
        <w:spacing w:after="0" w:line="480" w:lineRule="auto"/>
        <w:ind w:firstLine="567"/>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We also investigate whether the impact of the IDD adoption on CEO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 xml:space="preserve">ega varies according to industry homogeneity. According to H2, </w:t>
      </w:r>
      <w:r w:rsidRPr="00F634D2">
        <w:rPr>
          <w:rFonts w:ascii="Times New Roman" w:hAnsi="Times New Roman" w:cs="Times New Roman"/>
          <w:sz w:val="24"/>
          <w:szCs w:val="24"/>
        </w:rPr>
        <w:t xml:space="preserve">the positive association between IDD adoption and CEO </w:t>
      </w:r>
      <w:r w:rsidR="00256EB2" w:rsidRPr="00F634D2">
        <w:rPr>
          <w:rFonts w:ascii="Times New Roman" w:hAnsi="Times New Roman" w:cs="Times New Roman"/>
          <w:sz w:val="24"/>
          <w:szCs w:val="24"/>
        </w:rPr>
        <w:t>V</w:t>
      </w:r>
      <w:r w:rsidRPr="00F634D2">
        <w:rPr>
          <w:rFonts w:ascii="Times New Roman" w:hAnsi="Times New Roman" w:cs="Times New Roman"/>
          <w:sz w:val="24"/>
          <w:szCs w:val="24"/>
        </w:rPr>
        <w:t xml:space="preserve">ega is greater for CEOs in more homogeneous industries. </w:t>
      </w:r>
      <w:r w:rsidRPr="00F634D2">
        <w:rPr>
          <w:rFonts w:ascii="Times New Roman" w:eastAsia="DengXian" w:hAnsi="Times New Roman" w:cs="Times New Roman"/>
          <w:sz w:val="24"/>
          <w:szCs w:val="24"/>
        </w:rPr>
        <w:t xml:space="preserve">Table 4 reports the results of estimating equation (2) in relation to H2. In Column 1, the coefficient on the interaction term </w:t>
      </w:r>
      <w:proofErr w:type="spellStart"/>
      <w:r w:rsidRPr="00F634D2">
        <w:rPr>
          <w:rFonts w:ascii="Times New Roman" w:eastAsia="DengXian" w:hAnsi="Times New Roman" w:cs="Times New Roman"/>
          <w:i/>
          <w:sz w:val="24"/>
          <w:szCs w:val="24"/>
        </w:rPr>
        <w:t>AfterIDD</w:t>
      </w:r>
      <w:proofErr w:type="spellEnd"/>
      <w:r w:rsidRPr="00F634D2">
        <w:rPr>
          <w:rFonts w:ascii="Times New Roman" w:eastAsia="DengXian" w:hAnsi="Times New Roman" w:cs="Times New Roman"/>
          <w:i/>
          <w:sz w:val="24"/>
          <w:szCs w:val="24"/>
        </w:rPr>
        <w:t xml:space="preserve"> </w:t>
      </w:r>
      <w:r w:rsidRPr="00F634D2">
        <w:rPr>
          <w:rFonts w:ascii="Times New Roman" w:eastAsia="DengXian" w:hAnsi="Times New Roman" w:cs="Times New Roman"/>
          <w:sz w:val="24"/>
          <w:szCs w:val="24"/>
        </w:rPr>
        <w:t>×</w:t>
      </w:r>
      <w:proofErr w:type="spellStart"/>
      <w:r w:rsidRPr="00F634D2">
        <w:rPr>
          <w:rFonts w:ascii="Times New Roman" w:eastAsia="DengXian" w:hAnsi="Times New Roman" w:cs="Times New Roman"/>
          <w:i/>
          <w:sz w:val="24"/>
          <w:szCs w:val="24"/>
        </w:rPr>
        <w:t>IndHomogeneity</w:t>
      </w:r>
      <w:proofErr w:type="spellEnd"/>
      <w:r w:rsidRPr="00F634D2">
        <w:rPr>
          <w:rFonts w:ascii="Times New Roman" w:eastAsia="DengXian" w:hAnsi="Times New Roman" w:cs="Times New Roman"/>
          <w:sz w:val="24"/>
          <w:szCs w:val="24"/>
        </w:rPr>
        <w:t xml:space="preserve"> is significantly positive at the 5 percent level, which is consistent with H2. Although the coefficient on </w:t>
      </w:r>
      <w:proofErr w:type="spellStart"/>
      <w:r w:rsidRPr="00F634D2">
        <w:rPr>
          <w:rFonts w:ascii="Times New Roman" w:eastAsia="DengXian" w:hAnsi="Times New Roman" w:cs="Times New Roman"/>
          <w:i/>
          <w:iCs/>
          <w:sz w:val="24"/>
          <w:szCs w:val="24"/>
        </w:rPr>
        <w:t>AfterIDD</w:t>
      </w:r>
      <w:proofErr w:type="spellEnd"/>
      <w:r w:rsidRPr="00F634D2">
        <w:rPr>
          <w:rFonts w:ascii="Times New Roman" w:eastAsia="DengXian" w:hAnsi="Times New Roman" w:cs="Times New Roman"/>
          <w:sz w:val="24"/>
          <w:szCs w:val="24"/>
        </w:rPr>
        <w:t xml:space="preserve"> is insignificant, the sum of the coefficients on </w:t>
      </w:r>
      <w:proofErr w:type="spellStart"/>
      <w:r w:rsidRPr="00F634D2">
        <w:rPr>
          <w:rFonts w:ascii="Times New Roman" w:eastAsia="DengXian" w:hAnsi="Times New Roman" w:cs="Times New Roman"/>
          <w:i/>
          <w:sz w:val="24"/>
          <w:szCs w:val="24"/>
        </w:rPr>
        <w:t>AfterIDD</w:t>
      </w:r>
      <w:proofErr w:type="spellEnd"/>
      <w:r w:rsidRPr="00F634D2">
        <w:rPr>
          <w:rFonts w:ascii="Times New Roman" w:eastAsia="DengXian" w:hAnsi="Times New Roman" w:cs="Times New Roman"/>
          <w:i/>
          <w:sz w:val="24"/>
          <w:szCs w:val="24"/>
        </w:rPr>
        <w:t xml:space="preserve"> </w:t>
      </w:r>
      <w:r w:rsidRPr="00F634D2">
        <w:rPr>
          <w:rFonts w:ascii="Times New Roman" w:eastAsia="DengXian" w:hAnsi="Times New Roman" w:cs="Times New Roman"/>
          <w:sz w:val="24"/>
          <w:szCs w:val="24"/>
        </w:rPr>
        <w:t xml:space="preserve">and </w:t>
      </w:r>
      <w:proofErr w:type="spellStart"/>
      <w:r w:rsidRPr="00F634D2">
        <w:rPr>
          <w:rFonts w:ascii="Times New Roman" w:eastAsia="DengXian" w:hAnsi="Times New Roman" w:cs="Times New Roman"/>
          <w:i/>
          <w:sz w:val="24"/>
          <w:szCs w:val="24"/>
        </w:rPr>
        <w:t>AfterIDD</w:t>
      </w:r>
      <w:proofErr w:type="spellEnd"/>
      <w:r w:rsidRPr="00F634D2">
        <w:rPr>
          <w:rFonts w:ascii="Times New Roman" w:eastAsia="DengXian" w:hAnsi="Times New Roman" w:cs="Times New Roman"/>
          <w:i/>
          <w:sz w:val="24"/>
          <w:szCs w:val="24"/>
        </w:rPr>
        <w:t xml:space="preserve"> </w:t>
      </w:r>
      <w:r w:rsidRPr="00F634D2">
        <w:rPr>
          <w:rFonts w:ascii="Times New Roman" w:eastAsia="DengXian" w:hAnsi="Times New Roman" w:cs="Times New Roman"/>
          <w:sz w:val="24"/>
          <w:szCs w:val="24"/>
        </w:rPr>
        <w:t>×</w:t>
      </w:r>
      <w:proofErr w:type="spellStart"/>
      <w:r w:rsidRPr="00F634D2">
        <w:rPr>
          <w:rFonts w:ascii="Times New Roman" w:eastAsia="DengXian" w:hAnsi="Times New Roman" w:cs="Times New Roman"/>
          <w:i/>
          <w:sz w:val="24"/>
          <w:szCs w:val="24"/>
        </w:rPr>
        <w:t>IndHomogeneity</w:t>
      </w:r>
      <w:proofErr w:type="spellEnd"/>
      <w:r w:rsidRPr="00F634D2">
        <w:rPr>
          <w:rFonts w:ascii="Times New Roman" w:eastAsia="DengXian" w:hAnsi="Times New Roman" w:cs="Times New Roman"/>
          <w:sz w:val="24"/>
          <w:szCs w:val="24"/>
        </w:rPr>
        <w:t xml:space="preserve"> is significantly positive (F-value</w:t>
      </w:r>
      <w:r w:rsidRPr="00F634D2">
        <w:rPr>
          <w:rFonts w:ascii="Times New Roman" w:eastAsia="DengXian" w:hAnsi="Times New Roman" w:cs="Times New Roman"/>
          <w:i/>
          <w:sz w:val="24"/>
          <w:szCs w:val="24"/>
        </w:rPr>
        <w:t xml:space="preserve"> </w:t>
      </w:r>
      <w:r w:rsidRPr="00F634D2">
        <w:rPr>
          <w:rFonts w:ascii="Times New Roman" w:eastAsia="DengXian" w:hAnsi="Times New Roman" w:cs="Times New Roman"/>
          <w:sz w:val="24"/>
          <w:szCs w:val="24"/>
        </w:rPr>
        <w:t xml:space="preserve">= </w:t>
      </w:r>
      <w:r w:rsidRPr="00F634D2">
        <w:rPr>
          <w:rFonts w:ascii="Times New Roman" w:hAnsi="Times New Roman" w:cs="Times New Roman"/>
          <w:sz w:val="24"/>
        </w:rPr>
        <w:t>6.01</w:t>
      </w:r>
      <w:r w:rsidRPr="00F634D2">
        <w:rPr>
          <w:rFonts w:ascii="Times New Roman" w:eastAsia="DengXian" w:hAnsi="Times New Roman" w:cs="Times New Roman"/>
          <w:sz w:val="24"/>
          <w:szCs w:val="24"/>
        </w:rPr>
        <w:t xml:space="preserve">), suggesting that the positive association between IDD adoption and CEO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 xml:space="preserve">ega concentrates in the more homogeneous industries. </w:t>
      </w:r>
    </w:p>
    <w:p w14:paraId="3BD7E650" w14:textId="77777777" w:rsidR="00D50589" w:rsidRPr="00F634D2" w:rsidRDefault="00686261" w:rsidP="007E03F2">
      <w:pPr>
        <w:snapToGrid w:val="0"/>
        <w:spacing w:after="0" w:line="480" w:lineRule="auto"/>
        <w:ind w:firstLineChars="200" w:firstLine="480"/>
        <w:jc w:val="center"/>
        <w:rPr>
          <w:rFonts w:ascii="Times New Roman" w:hAnsi="Times New Roman" w:cs="Times New Roman"/>
          <w:sz w:val="28"/>
          <w:szCs w:val="24"/>
        </w:rPr>
      </w:pPr>
      <w:r w:rsidRPr="00F634D2">
        <w:rPr>
          <w:rStyle w:val="Emphasis"/>
          <w:rFonts w:ascii="Times New Roman" w:hAnsi="Times New Roman" w:cs="Times New Roman"/>
          <w:sz w:val="24"/>
          <w:szCs w:val="24"/>
          <w:shd w:val="clear" w:color="auto" w:fill="FFFFFF"/>
        </w:rPr>
        <w:t>[Table 4 near here]</w:t>
      </w:r>
    </w:p>
    <w:p w14:paraId="64AB5863" w14:textId="5A7BAA72" w:rsidR="00D50589" w:rsidRPr="00F634D2" w:rsidRDefault="00686261">
      <w:pPr>
        <w:adjustRightInd w:val="0"/>
        <w:snapToGrid w:val="0"/>
        <w:spacing w:after="0" w:line="480" w:lineRule="auto"/>
        <w:ind w:firstLine="567"/>
        <w:jc w:val="both"/>
        <w:rPr>
          <w:rFonts w:ascii="Times New Roman" w:hAnsi="Times New Roman" w:cs="Times New Roman"/>
          <w:sz w:val="24"/>
          <w:szCs w:val="24"/>
        </w:rPr>
      </w:pPr>
      <w:r w:rsidRPr="00F634D2">
        <w:rPr>
          <w:rFonts w:ascii="Times New Roman" w:hAnsi="Times New Roman" w:cs="Times New Roman"/>
          <w:sz w:val="24"/>
          <w:szCs w:val="24"/>
        </w:rPr>
        <w:t xml:space="preserve">Although the IDD is applied according to the location of the firm’s headquarters, there is a possibility that CEOs may want to avoid the IDD by exploiting the different geographic locations </w:t>
      </w:r>
      <w:r w:rsidRPr="00F634D2">
        <w:rPr>
          <w:rFonts w:ascii="Times New Roman" w:hAnsi="Times New Roman" w:cs="Times New Roman"/>
          <w:sz w:val="24"/>
          <w:szCs w:val="24"/>
        </w:rPr>
        <w:lastRenderedPageBreak/>
        <w:t>of the firm’s operations. To strengthen our argument on industry homogeneity, we further restrict our industry homogeneity</w:t>
      </w:r>
      <w:bookmarkStart w:id="3" w:name="_Hlk54203461"/>
      <w:r w:rsidRPr="00F634D2">
        <w:rPr>
          <w:rFonts w:ascii="Times New Roman" w:hAnsi="Times New Roman" w:cs="Times New Roman"/>
          <w:sz w:val="24"/>
          <w:szCs w:val="24"/>
        </w:rPr>
        <w:t xml:space="preserve"> measure to only include firms in homogeneous industries that have below the median </w:t>
      </w:r>
      <w:r w:rsidR="0072577A" w:rsidRPr="00F634D2">
        <w:rPr>
          <w:rFonts w:ascii="Times New Roman" w:hAnsi="Times New Roman" w:cs="Times New Roman"/>
          <w:sz w:val="24"/>
          <w:szCs w:val="24"/>
        </w:rPr>
        <w:t xml:space="preserve">value of the </w:t>
      </w:r>
      <w:r w:rsidRPr="00F634D2">
        <w:rPr>
          <w:rFonts w:ascii="Times New Roman" w:hAnsi="Times New Roman" w:cs="Times New Roman"/>
          <w:sz w:val="24"/>
          <w:szCs w:val="24"/>
        </w:rPr>
        <w:t>number of geographic locations for homogeneous industries (</w:t>
      </w:r>
      <w:proofErr w:type="spellStart"/>
      <w:r w:rsidRPr="00F634D2">
        <w:rPr>
          <w:rFonts w:ascii="Times New Roman" w:eastAsia="DengXian" w:hAnsi="Times New Roman" w:cs="Times New Roman"/>
          <w:i/>
          <w:sz w:val="24"/>
          <w:szCs w:val="24"/>
        </w:rPr>
        <w:t>IndHomogeneity</w:t>
      </w:r>
      <w:proofErr w:type="spellEnd"/>
      <w:r w:rsidRPr="00F634D2">
        <w:rPr>
          <w:rFonts w:ascii="Times New Roman" w:eastAsia="DengXian" w:hAnsi="Times New Roman" w:cs="Times New Roman"/>
          <w:i/>
          <w:sz w:val="24"/>
          <w:szCs w:val="24"/>
        </w:rPr>
        <w:t>(geo)</w:t>
      </w:r>
      <w:r w:rsidRPr="00F634D2">
        <w:rPr>
          <w:rFonts w:ascii="Times New Roman" w:hAnsi="Times New Roman" w:cs="Times New Roman"/>
          <w:sz w:val="24"/>
          <w:szCs w:val="24"/>
        </w:rPr>
        <w:t xml:space="preserve">). </w:t>
      </w:r>
      <w:bookmarkEnd w:id="3"/>
      <w:r w:rsidRPr="00F634D2">
        <w:rPr>
          <w:rFonts w:ascii="Times New Roman" w:hAnsi="Times New Roman" w:cs="Times New Roman"/>
          <w:sz w:val="24"/>
          <w:szCs w:val="24"/>
        </w:rPr>
        <w:t>This restriction reduces the possibility of CEOs avoiding the IDD by exploiting the firm’s different geographic locations.</w:t>
      </w:r>
      <w:r w:rsidRPr="00F634D2">
        <w:rPr>
          <w:rStyle w:val="FootnoteReference"/>
          <w:rFonts w:ascii="Times New Roman" w:hAnsi="Times New Roman" w:cs="Times New Roman"/>
          <w:sz w:val="24"/>
          <w:szCs w:val="24"/>
        </w:rPr>
        <w:footnoteReference w:id="8"/>
      </w:r>
      <w:r w:rsidRPr="00F634D2">
        <w:rPr>
          <w:rFonts w:ascii="Times New Roman" w:hAnsi="Times New Roman" w:cs="Times New Roman"/>
          <w:sz w:val="24"/>
          <w:szCs w:val="24"/>
        </w:rPr>
        <w:t xml:space="preserve"> The results of estimating equation (2) using the restricted industry homogeneity measure are reported in Column 2 and they remain qualitatively similar to the results in Column 1.</w:t>
      </w:r>
    </w:p>
    <w:p w14:paraId="1C6AB931" w14:textId="6CB47867" w:rsidR="00D50589" w:rsidRPr="00F634D2" w:rsidRDefault="00686261">
      <w:pPr>
        <w:keepNext/>
        <w:adjustRightInd w:val="0"/>
        <w:snapToGrid w:val="0"/>
        <w:spacing w:after="0" w:line="480" w:lineRule="auto"/>
        <w:jc w:val="both"/>
        <w:rPr>
          <w:rFonts w:ascii="Times New Roman" w:hAnsi="Times New Roman" w:cs="Times New Roman"/>
          <w:i/>
          <w:iCs/>
          <w:sz w:val="24"/>
          <w:szCs w:val="28"/>
          <w:lang w:val="en-GB" w:eastAsia="en-GB"/>
        </w:rPr>
      </w:pPr>
      <w:r w:rsidRPr="00F634D2">
        <w:rPr>
          <w:rFonts w:ascii="Times New Roman" w:hAnsi="Times New Roman" w:cs="Times New Roman"/>
          <w:i/>
          <w:iCs/>
          <w:sz w:val="24"/>
          <w:szCs w:val="28"/>
          <w:lang w:val="en-GB" w:eastAsia="en-GB"/>
        </w:rPr>
        <w:t xml:space="preserve">5.2.3 The IDD, </w:t>
      </w:r>
      <w:r w:rsidR="00256EB2" w:rsidRPr="00F634D2">
        <w:rPr>
          <w:rFonts w:ascii="Times New Roman" w:hAnsi="Times New Roman" w:cs="Times New Roman"/>
          <w:i/>
          <w:iCs/>
          <w:sz w:val="24"/>
          <w:szCs w:val="28"/>
          <w:lang w:val="en-GB" w:eastAsia="en-GB"/>
        </w:rPr>
        <w:t>V</w:t>
      </w:r>
      <w:r w:rsidRPr="00F634D2">
        <w:rPr>
          <w:rFonts w:ascii="Times New Roman" w:hAnsi="Times New Roman" w:cs="Times New Roman"/>
          <w:i/>
          <w:iCs/>
          <w:sz w:val="24"/>
          <w:szCs w:val="28"/>
          <w:lang w:val="en-GB" w:eastAsia="en-GB"/>
        </w:rPr>
        <w:t>ega, and CEO tenure</w:t>
      </w:r>
    </w:p>
    <w:p w14:paraId="454F3D81" w14:textId="3F4F8329" w:rsidR="00D50589" w:rsidRPr="00F634D2" w:rsidRDefault="00686261">
      <w:pPr>
        <w:snapToGrid w:val="0"/>
        <w:spacing w:after="0" w:line="480" w:lineRule="auto"/>
        <w:ind w:firstLineChars="200" w:firstLine="480"/>
        <w:jc w:val="both"/>
        <w:rPr>
          <w:rFonts w:ascii="Times New Roman" w:hAnsi="Times New Roman" w:cs="Times New Roman"/>
          <w:sz w:val="24"/>
          <w:szCs w:val="24"/>
        </w:rPr>
      </w:pPr>
      <w:r w:rsidRPr="00F634D2">
        <w:rPr>
          <w:rFonts w:ascii="Times New Roman" w:eastAsia="DengXian" w:hAnsi="Times New Roman" w:cs="Times New Roman"/>
          <w:sz w:val="24"/>
          <w:szCs w:val="24"/>
        </w:rPr>
        <w:t xml:space="preserve">We also investigate whether the impact of the IDD adoption on CEO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ega varies according to CEO tenure. According to H3, it is hypothesized</w:t>
      </w:r>
      <w:r w:rsidRPr="00F634D2">
        <w:rPr>
          <w:rFonts w:ascii="Times New Roman" w:hAnsi="Times New Roman" w:cs="Times New Roman"/>
          <w:sz w:val="24"/>
          <w:szCs w:val="24"/>
        </w:rPr>
        <w:t xml:space="preserve"> that the positive association between IDD adoption and CEO </w:t>
      </w:r>
      <w:r w:rsidR="00256EB2" w:rsidRPr="00F634D2">
        <w:rPr>
          <w:rFonts w:ascii="Times New Roman" w:hAnsi="Times New Roman" w:cs="Times New Roman"/>
          <w:sz w:val="24"/>
          <w:szCs w:val="24"/>
        </w:rPr>
        <w:t>V</w:t>
      </w:r>
      <w:r w:rsidRPr="00F634D2">
        <w:rPr>
          <w:rFonts w:ascii="Times New Roman" w:hAnsi="Times New Roman" w:cs="Times New Roman"/>
          <w:sz w:val="24"/>
          <w:szCs w:val="24"/>
        </w:rPr>
        <w:t>ega is</w:t>
      </w:r>
      <w:r w:rsidR="00C93192">
        <w:rPr>
          <w:rFonts w:ascii="Times New Roman" w:hAnsi="Times New Roman" w:cs="Times New Roman"/>
          <w:sz w:val="24"/>
          <w:szCs w:val="24"/>
        </w:rPr>
        <w:t xml:space="preserve"> </w:t>
      </w:r>
      <w:r w:rsidR="00C93192" w:rsidRPr="00C93192">
        <w:rPr>
          <w:rFonts w:ascii="Times New Roman" w:eastAsia="Times New Roman" w:hAnsi="Times New Roman" w:cs="Times New Roman"/>
          <w:kern w:val="2"/>
          <w:sz w:val="24"/>
          <w:szCs w:val="24"/>
          <w:shd w:val="clear" w:color="auto" w:fill="FFFFFF"/>
        </w:rPr>
        <w:t>conditional on CEO tenure</w:t>
      </w:r>
      <w:r w:rsidRPr="00F634D2">
        <w:rPr>
          <w:rFonts w:ascii="Times New Roman" w:hAnsi="Times New Roman" w:cs="Times New Roman"/>
          <w:sz w:val="24"/>
          <w:szCs w:val="24"/>
        </w:rPr>
        <w:t xml:space="preserve">. </w:t>
      </w:r>
      <w:r w:rsidRPr="00F634D2">
        <w:rPr>
          <w:rFonts w:ascii="Times New Roman" w:eastAsia="DengXian" w:hAnsi="Times New Roman" w:cs="Times New Roman"/>
          <w:sz w:val="24"/>
          <w:szCs w:val="24"/>
        </w:rPr>
        <w:t xml:space="preserve">Table 5 reports the results of estimating equation (3) in relation to H3. As reported in Column 1 of Table 5, the coefficient on the interaction term of </w:t>
      </w:r>
      <w:proofErr w:type="spellStart"/>
      <w:r w:rsidRPr="00F634D2">
        <w:rPr>
          <w:rFonts w:ascii="Times New Roman" w:eastAsia="DengXian" w:hAnsi="Times New Roman" w:cs="Times New Roman"/>
          <w:i/>
          <w:sz w:val="24"/>
          <w:szCs w:val="24"/>
        </w:rPr>
        <w:t>AfterIDD</w:t>
      </w:r>
      <w:r w:rsidRPr="00F634D2">
        <w:rPr>
          <w:rFonts w:ascii="Times New Roman" w:eastAsia="DengXian" w:hAnsi="Times New Roman" w:cs="Times New Roman"/>
          <w:sz w:val="24"/>
          <w:szCs w:val="24"/>
        </w:rPr>
        <w:t>×</w:t>
      </w:r>
      <w:r w:rsidRPr="00F634D2">
        <w:rPr>
          <w:rFonts w:ascii="Times New Roman" w:eastAsia="DengXian" w:hAnsi="Times New Roman" w:cs="Times New Roman"/>
          <w:i/>
          <w:sz w:val="24"/>
          <w:szCs w:val="24"/>
        </w:rPr>
        <w:t>LaterYears</w:t>
      </w:r>
      <w:proofErr w:type="spellEnd"/>
      <w:r w:rsidRPr="00F634D2">
        <w:rPr>
          <w:rFonts w:ascii="Times New Roman" w:eastAsia="DengXian" w:hAnsi="Times New Roman" w:cs="Times New Roman"/>
          <w:i/>
          <w:sz w:val="24"/>
          <w:szCs w:val="24"/>
        </w:rPr>
        <w:t xml:space="preserve"> </w:t>
      </w:r>
      <w:r w:rsidRPr="00F634D2">
        <w:rPr>
          <w:rFonts w:ascii="Times New Roman" w:eastAsia="DengXian" w:hAnsi="Times New Roman" w:cs="Times New Roman"/>
          <w:sz w:val="24"/>
          <w:szCs w:val="24"/>
        </w:rPr>
        <w:t xml:space="preserve">is significantly positive at the 5 percent level. These results provide evidence consistent with H3 and suggest that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ega is higher for CEOs in the later years of their tenure. To test the robustness of the results in Column 1, we change the number of years defined as the later years to the final two years (</w:t>
      </w:r>
      <w:r w:rsidRPr="00F634D2">
        <w:rPr>
          <w:rFonts w:ascii="Times New Roman" w:eastAsia="DengXian" w:hAnsi="Times New Roman" w:cs="Times New Roman"/>
          <w:i/>
          <w:sz w:val="24"/>
          <w:szCs w:val="24"/>
        </w:rPr>
        <w:t>LaterYears2</w:t>
      </w:r>
      <w:r w:rsidRPr="00F634D2">
        <w:rPr>
          <w:rFonts w:ascii="Times New Roman" w:eastAsia="DengXian" w:hAnsi="Times New Roman" w:cs="Times New Roman"/>
          <w:sz w:val="24"/>
          <w:szCs w:val="24"/>
        </w:rPr>
        <w:t>) and the final one year (</w:t>
      </w:r>
      <w:r w:rsidRPr="00F634D2">
        <w:rPr>
          <w:rFonts w:ascii="Times New Roman" w:eastAsia="DengXian" w:hAnsi="Times New Roman" w:cs="Times New Roman"/>
          <w:i/>
          <w:sz w:val="24"/>
          <w:szCs w:val="24"/>
        </w:rPr>
        <w:t>LaterYears1</w:t>
      </w:r>
      <w:r w:rsidRPr="00F634D2">
        <w:rPr>
          <w:rFonts w:ascii="Times New Roman" w:eastAsia="DengXian" w:hAnsi="Times New Roman" w:cs="Times New Roman"/>
          <w:sz w:val="24"/>
          <w:szCs w:val="24"/>
        </w:rPr>
        <w:t xml:space="preserve">) of the CEO tenure in Columns 2 and 3. </w:t>
      </w:r>
      <w:r w:rsidRPr="00F634D2">
        <w:rPr>
          <w:rFonts w:ascii="Times New Roman" w:hAnsi="Times New Roman" w:cs="Times New Roman"/>
          <w:sz w:val="24"/>
          <w:szCs w:val="24"/>
        </w:rPr>
        <w:t>The results of estimating equation (3) using the alternative measures of the later years remain qualitatively similar to the results in Column 1.</w:t>
      </w:r>
    </w:p>
    <w:p w14:paraId="0BF75A41" w14:textId="77777777" w:rsidR="00D50589" w:rsidRPr="00F634D2" w:rsidRDefault="00686261" w:rsidP="007E03F2">
      <w:pPr>
        <w:snapToGrid w:val="0"/>
        <w:spacing w:after="0" w:line="480" w:lineRule="auto"/>
        <w:ind w:firstLineChars="200" w:firstLine="480"/>
        <w:jc w:val="center"/>
        <w:rPr>
          <w:rFonts w:ascii="Times New Roman" w:hAnsi="Times New Roman" w:cs="Times New Roman"/>
          <w:sz w:val="28"/>
          <w:szCs w:val="24"/>
        </w:rPr>
      </w:pPr>
      <w:r w:rsidRPr="00F634D2">
        <w:rPr>
          <w:rStyle w:val="Emphasis"/>
          <w:rFonts w:ascii="Times New Roman" w:hAnsi="Times New Roman" w:cs="Times New Roman"/>
          <w:sz w:val="24"/>
          <w:szCs w:val="24"/>
          <w:shd w:val="clear" w:color="auto" w:fill="FFFFFF"/>
        </w:rPr>
        <w:t>[Table 5 near here]</w:t>
      </w:r>
    </w:p>
    <w:p w14:paraId="2B4E21AB" w14:textId="77777777" w:rsidR="00D50589" w:rsidRPr="00F634D2" w:rsidRDefault="00686261">
      <w:pPr>
        <w:keepNext/>
        <w:adjustRightInd w:val="0"/>
        <w:snapToGrid w:val="0"/>
        <w:spacing w:after="0" w:line="480" w:lineRule="auto"/>
        <w:rPr>
          <w:rFonts w:ascii="Times New Roman" w:eastAsia="DengXian" w:hAnsi="Times New Roman" w:cs="Times New Roman"/>
          <w:b/>
          <w:sz w:val="24"/>
          <w:szCs w:val="24"/>
        </w:rPr>
      </w:pPr>
      <w:r w:rsidRPr="00F634D2">
        <w:rPr>
          <w:rFonts w:ascii="Times New Roman" w:eastAsia="DengXian" w:hAnsi="Times New Roman" w:cs="Times New Roman"/>
          <w:b/>
          <w:sz w:val="24"/>
          <w:szCs w:val="24"/>
        </w:rPr>
        <w:lastRenderedPageBreak/>
        <w:t>6. Further analyses</w:t>
      </w:r>
    </w:p>
    <w:p w14:paraId="6F6E5D7B" w14:textId="77777777" w:rsidR="00D50589" w:rsidRPr="00F634D2" w:rsidRDefault="00686261">
      <w:pPr>
        <w:keepNext/>
        <w:adjustRightInd w:val="0"/>
        <w:snapToGrid w:val="0"/>
        <w:spacing w:after="0" w:line="480" w:lineRule="auto"/>
        <w:rPr>
          <w:rFonts w:ascii="Times New Roman" w:eastAsia="DengXian" w:hAnsi="Times New Roman" w:cs="Times New Roman"/>
          <w:b/>
          <w:i/>
          <w:iCs/>
          <w:sz w:val="24"/>
          <w:szCs w:val="24"/>
        </w:rPr>
      </w:pPr>
      <w:r w:rsidRPr="00F634D2">
        <w:rPr>
          <w:rFonts w:ascii="Times New Roman" w:eastAsia="DengXian" w:hAnsi="Times New Roman" w:cs="Times New Roman"/>
          <w:b/>
          <w:i/>
          <w:iCs/>
          <w:sz w:val="24"/>
          <w:szCs w:val="24"/>
        </w:rPr>
        <w:t>6.1 IDD adoption and CEO delta</w:t>
      </w:r>
    </w:p>
    <w:p w14:paraId="78053902" w14:textId="2F47FD5D" w:rsidR="00D50589" w:rsidRPr="00F634D2" w:rsidRDefault="00686261">
      <w:pPr>
        <w:adjustRightInd w:val="0"/>
        <w:snapToGrid w:val="0"/>
        <w:spacing w:after="0" w:line="480" w:lineRule="auto"/>
        <w:ind w:firstLineChars="200" w:firstLine="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We choose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 xml:space="preserve">ega as the primary measure of risk-taking incentives because prior literature provides evidence that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 xml:space="preserve">ega has a positive effect on CEO risk-taking (e.g., Core and </w:t>
      </w:r>
      <w:proofErr w:type="spellStart"/>
      <w:r w:rsidRPr="00F634D2">
        <w:rPr>
          <w:rFonts w:ascii="Times New Roman" w:eastAsia="DengXian" w:hAnsi="Times New Roman" w:cs="Times New Roman"/>
          <w:sz w:val="24"/>
          <w:szCs w:val="24"/>
        </w:rPr>
        <w:t>Guay</w:t>
      </w:r>
      <w:proofErr w:type="spellEnd"/>
      <w:r w:rsidRPr="00F634D2">
        <w:rPr>
          <w:rFonts w:ascii="Times New Roman" w:eastAsia="DengXian" w:hAnsi="Times New Roman" w:cs="Times New Roman"/>
          <w:sz w:val="24"/>
          <w:szCs w:val="24"/>
        </w:rPr>
        <w:t xml:space="preserve"> 2002; </w:t>
      </w:r>
      <w:proofErr w:type="spellStart"/>
      <w:r w:rsidRPr="00F634D2">
        <w:rPr>
          <w:rFonts w:ascii="Times New Roman" w:eastAsia="DengXian" w:hAnsi="Times New Roman" w:cs="Times New Roman"/>
          <w:sz w:val="24"/>
          <w:szCs w:val="24"/>
        </w:rPr>
        <w:t>Rajgopal</w:t>
      </w:r>
      <w:proofErr w:type="spellEnd"/>
      <w:r w:rsidRPr="00F634D2">
        <w:rPr>
          <w:rFonts w:ascii="Times New Roman" w:eastAsia="DengXian" w:hAnsi="Times New Roman" w:cs="Times New Roman"/>
          <w:sz w:val="24"/>
          <w:szCs w:val="24"/>
        </w:rPr>
        <w:t xml:space="preserve"> and Shevlin 2002; Coles et al. 2006; Low 2009; Gormley et al. 2013). In comparison, the effect of CEO equity portfolio delta on CEO risk-taking is ambiguous. Although delta provides incentives to reduce firm risk by magnifying CEO exposure to firm risk, it also encourages CEOs to take sufficient risk to bring about an increase in firm value (John and John 1993). For example, while Armstrong and </w:t>
      </w:r>
      <w:proofErr w:type="spellStart"/>
      <w:r w:rsidRPr="00F634D2">
        <w:rPr>
          <w:rFonts w:ascii="Times New Roman" w:eastAsia="DengXian" w:hAnsi="Times New Roman" w:cs="Times New Roman"/>
          <w:sz w:val="24"/>
          <w:szCs w:val="24"/>
        </w:rPr>
        <w:t>Vashishtha</w:t>
      </w:r>
      <w:proofErr w:type="spellEnd"/>
      <w:r w:rsidRPr="00F634D2">
        <w:rPr>
          <w:rFonts w:ascii="Times New Roman" w:eastAsia="DengXian" w:hAnsi="Times New Roman" w:cs="Times New Roman"/>
          <w:sz w:val="24"/>
          <w:szCs w:val="24"/>
        </w:rPr>
        <w:t xml:space="preserve"> (2012) find that delta is associated with greater risk, Gormley et al. (2013) find that higher delta is associated with lower managerial risk-taking, as evidenced by a larger reduction in leverage and larger increase in cash holdings. Therefore, ex ante, we do not make a prediction regarding the effect of IDD adoption on delta. </w:t>
      </w:r>
    </w:p>
    <w:p w14:paraId="7B68EF58" w14:textId="149404B8" w:rsidR="00D50589" w:rsidRPr="00F634D2" w:rsidRDefault="00686261">
      <w:pPr>
        <w:adjustRightInd w:val="0"/>
        <w:snapToGrid w:val="0"/>
        <w:spacing w:after="0" w:line="480" w:lineRule="auto"/>
        <w:ind w:firstLineChars="200" w:firstLine="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Column 1 of Table 6 reports the results of estimating the effect of IDD adoption on CEO delta. The coefficient on </w:t>
      </w:r>
      <w:proofErr w:type="spellStart"/>
      <w:r w:rsidRPr="00F634D2">
        <w:rPr>
          <w:rFonts w:ascii="Times New Roman" w:eastAsia="DengXian" w:hAnsi="Times New Roman" w:cs="Times New Roman"/>
          <w:i/>
          <w:sz w:val="24"/>
          <w:szCs w:val="24"/>
        </w:rPr>
        <w:t>AfterIDD</w:t>
      </w:r>
      <w:proofErr w:type="spellEnd"/>
      <w:r w:rsidRPr="00F634D2">
        <w:rPr>
          <w:rFonts w:ascii="Times New Roman" w:eastAsia="DengXian" w:hAnsi="Times New Roman" w:cs="Times New Roman"/>
          <w:i/>
          <w:sz w:val="24"/>
          <w:szCs w:val="24"/>
        </w:rPr>
        <w:t xml:space="preserve"> </w:t>
      </w:r>
      <w:r w:rsidRPr="00F634D2">
        <w:rPr>
          <w:rFonts w:ascii="Times New Roman" w:eastAsia="DengXian" w:hAnsi="Times New Roman" w:cs="Times New Roman"/>
          <w:sz w:val="24"/>
          <w:szCs w:val="24"/>
        </w:rPr>
        <w:t xml:space="preserve">is not statistically significant, suggesting that IDD adoption is not significantly associated with the CEO equity portfolio delta. This result is consistent with the ambiguity of the effect </w:t>
      </w:r>
      <w:r w:rsidR="00397AF3" w:rsidRPr="00F634D2">
        <w:rPr>
          <w:rFonts w:ascii="Times New Roman" w:eastAsia="DengXian" w:hAnsi="Times New Roman" w:cs="Times New Roman"/>
          <w:sz w:val="24"/>
          <w:szCs w:val="24"/>
        </w:rPr>
        <w:t>of CEO</w:t>
      </w:r>
      <w:r w:rsidRPr="00F634D2">
        <w:rPr>
          <w:rFonts w:ascii="Times New Roman" w:eastAsia="DengXian" w:hAnsi="Times New Roman" w:cs="Times New Roman"/>
          <w:sz w:val="24"/>
          <w:szCs w:val="24"/>
        </w:rPr>
        <w:t xml:space="preserve"> delta on risk-taking, as suggested in prior literature and supports the use of CEO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 xml:space="preserve">ega as the preferred measure of CEO risk-taking incentives. </w:t>
      </w:r>
    </w:p>
    <w:p w14:paraId="03B2F949" w14:textId="77777777" w:rsidR="00D50589" w:rsidRPr="00F634D2" w:rsidRDefault="00686261" w:rsidP="007E03F2">
      <w:pPr>
        <w:snapToGrid w:val="0"/>
        <w:spacing w:after="0" w:line="480" w:lineRule="auto"/>
        <w:ind w:firstLineChars="200" w:firstLine="480"/>
        <w:jc w:val="center"/>
        <w:rPr>
          <w:rFonts w:ascii="Times New Roman" w:hAnsi="Times New Roman" w:cs="Times New Roman"/>
          <w:sz w:val="28"/>
          <w:szCs w:val="24"/>
        </w:rPr>
      </w:pPr>
      <w:r w:rsidRPr="00F634D2">
        <w:rPr>
          <w:rStyle w:val="Emphasis"/>
          <w:rFonts w:ascii="Times New Roman" w:hAnsi="Times New Roman" w:cs="Times New Roman"/>
          <w:sz w:val="24"/>
          <w:szCs w:val="24"/>
          <w:shd w:val="clear" w:color="auto" w:fill="FFFFFF"/>
        </w:rPr>
        <w:t>[Table 6 near here]</w:t>
      </w:r>
    </w:p>
    <w:p w14:paraId="041211CE" w14:textId="77777777" w:rsidR="00D50589" w:rsidRPr="00F634D2" w:rsidRDefault="00686261">
      <w:pPr>
        <w:adjustRightInd w:val="0"/>
        <w:snapToGrid w:val="0"/>
        <w:spacing w:after="0" w:line="480" w:lineRule="auto"/>
        <w:jc w:val="both"/>
        <w:rPr>
          <w:rFonts w:ascii="Times New Roman" w:eastAsia="DengXian" w:hAnsi="Times New Roman" w:cs="Times New Roman"/>
          <w:sz w:val="24"/>
          <w:szCs w:val="24"/>
        </w:rPr>
      </w:pPr>
      <w:r w:rsidRPr="00F634D2">
        <w:rPr>
          <w:rFonts w:ascii="Times New Roman" w:eastAsia="DengXian" w:hAnsi="Times New Roman" w:cs="Times New Roman"/>
          <w:b/>
          <w:i/>
          <w:iCs/>
          <w:sz w:val="24"/>
          <w:szCs w:val="24"/>
        </w:rPr>
        <w:t>6.2 IDD adoption and CEO risk-taking preferences</w:t>
      </w:r>
    </w:p>
    <w:p w14:paraId="4441CCB9" w14:textId="5FCF0C30" w:rsidR="00D50589" w:rsidRPr="00F634D2" w:rsidRDefault="00686261">
      <w:pPr>
        <w:adjustRightInd w:val="0"/>
        <w:snapToGrid w:val="0"/>
        <w:spacing w:after="0" w:line="480" w:lineRule="auto"/>
        <w:ind w:firstLineChars="200" w:firstLine="480"/>
        <w:jc w:val="both"/>
        <w:rPr>
          <w:rFonts w:ascii="Times New Roman" w:eastAsia="DengXian" w:hAnsi="Times New Roman" w:cs="Times New Roman"/>
          <w:sz w:val="24"/>
          <w:szCs w:val="24"/>
        </w:rPr>
      </w:pPr>
      <w:r w:rsidRPr="00F634D2">
        <w:rPr>
          <w:rFonts w:ascii="Times New Roman" w:hAnsi="Times New Roman" w:cs="Times New Roman"/>
          <w:sz w:val="24"/>
          <w:szCs w:val="24"/>
        </w:rPr>
        <w:t xml:space="preserve">Prior research suggests that managers tend to be more risk-averse when restrictions on employment mobility are stronger (e.g., Chevalier and Ellison 1999; Chakraborty et al. 2007; </w:t>
      </w:r>
      <w:proofErr w:type="spellStart"/>
      <w:r w:rsidRPr="00F634D2">
        <w:rPr>
          <w:rFonts w:ascii="Times New Roman" w:hAnsi="Times New Roman" w:cs="Times New Roman"/>
          <w:sz w:val="24"/>
          <w:szCs w:val="24"/>
        </w:rPr>
        <w:t>Samila</w:t>
      </w:r>
      <w:proofErr w:type="spellEnd"/>
      <w:r w:rsidRPr="00F634D2">
        <w:rPr>
          <w:rFonts w:ascii="Times New Roman" w:hAnsi="Times New Roman" w:cs="Times New Roman"/>
          <w:sz w:val="24"/>
          <w:szCs w:val="24"/>
        </w:rPr>
        <w:t xml:space="preserve"> and Sorenson 2011; </w:t>
      </w:r>
      <w:proofErr w:type="spellStart"/>
      <w:r w:rsidRPr="00F634D2">
        <w:rPr>
          <w:rFonts w:ascii="Times New Roman" w:hAnsi="Times New Roman" w:cs="Times New Roman"/>
          <w:sz w:val="24"/>
          <w:szCs w:val="24"/>
        </w:rPr>
        <w:t>Cici</w:t>
      </w:r>
      <w:proofErr w:type="spellEnd"/>
      <w:r w:rsidRPr="00F634D2">
        <w:rPr>
          <w:rFonts w:ascii="Times New Roman" w:hAnsi="Times New Roman" w:cs="Times New Roman"/>
          <w:sz w:val="24"/>
          <w:szCs w:val="24"/>
        </w:rPr>
        <w:t xml:space="preserve"> et al. 2019). Because the IDD significantly restricts employment mobility, CEOs would become more risk-averse after IDD adoption. This prediction provides the </w:t>
      </w:r>
      <w:r w:rsidRPr="00F634D2">
        <w:rPr>
          <w:rFonts w:ascii="Times New Roman" w:hAnsi="Times New Roman" w:cs="Times New Roman"/>
          <w:sz w:val="24"/>
          <w:szCs w:val="24"/>
        </w:rPr>
        <w:lastRenderedPageBreak/>
        <w:t xml:space="preserve">underlying assumption for our arguments. The challenge in providing empirical evidence for this prediction is the possibility that firms would respond to changes in CEO risk-taking preferences by changing CEO risk-taking incentives </w:t>
      </w:r>
      <w:r w:rsidR="00986ACB" w:rsidRPr="00F634D2">
        <w:rPr>
          <w:rFonts w:ascii="Times New Roman" w:hAnsi="Times New Roman" w:cs="Times New Roman"/>
          <w:sz w:val="24"/>
          <w:szCs w:val="24"/>
        </w:rPr>
        <w:t>simultaneously</w:t>
      </w:r>
      <w:r w:rsidRPr="00F634D2">
        <w:rPr>
          <w:rFonts w:ascii="Times New Roman" w:hAnsi="Times New Roman" w:cs="Times New Roman"/>
          <w:sz w:val="24"/>
          <w:szCs w:val="24"/>
        </w:rPr>
        <w:t xml:space="preserve">. To overcome this challenge, we construct an empirical test on the impact of IDD adoption on CEO risk-taking </w:t>
      </w:r>
      <w:r w:rsidRPr="00F634D2">
        <w:rPr>
          <w:rFonts w:ascii="Times New Roman" w:hAnsi="Times New Roman" w:cs="Times New Roman"/>
          <w:iCs/>
          <w:sz w:val="24"/>
          <w:szCs w:val="24"/>
        </w:rPr>
        <w:t xml:space="preserve">for a subsample of firms </w:t>
      </w:r>
      <w:r w:rsidRPr="00F634D2">
        <w:rPr>
          <w:rFonts w:ascii="Times New Roman" w:hAnsi="Times New Roman" w:cs="Times New Roman"/>
          <w:i/>
          <w:iCs/>
          <w:sz w:val="24"/>
          <w:szCs w:val="24"/>
        </w:rPr>
        <w:t>where risk-taking incentives are little changed.</w:t>
      </w:r>
    </w:p>
    <w:p w14:paraId="2B57BA96" w14:textId="2AA47F85" w:rsidR="00D50589" w:rsidRPr="00F634D2" w:rsidRDefault="00686261">
      <w:pPr>
        <w:adjustRightInd w:val="0"/>
        <w:snapToGrid w:val="0"/>
        <w:spacing w:after="0" w:line="480" w:lineRule="auto"/>
        <w:ind w:firstLineChars="200" w:firstLine="480"/>
        <w:jc w:val="both"/>
        <w:rPr>
          <w:rFonts w:ascii="Times New Roman" w:eastAsia="DengXian" w:hAnsi="Times New Roman" w:cs="Times New Roman"/>
          <w:sz w:val="24"/>
          <w:szCs w:val="24"/>
        </w:rPr>
      </w:pPr>
      <w:r w:rsidRPr="00F634D2">
        <w:rPr>
          <w:rFonts w:ascii="Times New Roman" w:hAnsi="Times New Roman" w:cs="Times New Roman"/>
          <w:sz w:val="24"/>
          <w:szCs w:val="24"/>
        </w:rPr>
        <w:t xml:space="preserve">Our empirical test aims to examine the impact of IDD adoption on the risk-taking level of a group of firms that experience small changes in CEO </w:t>
      </w:r>
      <w:r w:rsidR="00256EB2" w:rsidRPr="00F634D2">
        <w:rPr>
          <w:rFonts w:ascii="Times New Roman" w:hAnsi="Times New Roman" w:cs="Times New Roman"/>
          <w:sz w:val="24"/>
          <w:szCs w:val="24"/>
        </w:rPr>
        <w:t>V</w:t>
      </w:r>
      <w:r w:rsidRPr="00F634D2">
        <w:rPr>
          <w:rFonts w:ascii="Times New Roman" w:hAnsi="Times New Roman" w:cs="Times New Roman"/>
          <w:sz w:val="24"/>
          <w:szCs w:val="24"/>
        </w:rPr>
        <w:t xml:space="preserve">ega around the time of the adoption of the IDD. To do this, we exclude firms in states that never adopted the IDD and those in states that adopted the IDD before the sample period. This exclusion process results in 6,097 remaining firm-year observations. We then calculate the change in </w:t>
      </w:r>
      <w:r w:rsidR="00256EB2" w:rsidRPr="00F634D2">
        <w:rPr>
          <w:rFonts w:ascii="Times New Roman" w:hAnsi="Times New Roman" w:cs="Times New Roman"/>
          <w:sz w:val="24"/>
          <w:szCs w:val="24"/>
        </w:rPr>
        <w:t>V</w:t>
      </w:r>
      <w:r w:rsidRPr="00F634D2">
        <w:rPr>
          <w:rFonts w:ascii="Times New Roman" w:hAnsi="Times New Roman" w:cs="Times New Roman"/>
          <w:sz w:val="24"/>
          <w:szCs w:val="24"/>
        </w:rPr>
        <w:t xml:space="preserve">ega around IDD adoption. Specifically, we define the change in </w:t>
      </w:r>
      <w:r w:rsidR="00EC058A" w:rsidRPr="00F634D2">
        <w:rPr>
          <w:rFonts w:ascii="Times New Roman" w:hAnsi="Times New Roman" w:cs="Times New Roman"/>
          <w:sz w:val="24"/>
          <w:szCs w:val="24"/>
        </w:rPr>
        <w:t>V</w:t>
      </w:r>
      <w:r w:rsidRPr="00F634D2">
        <w:rPr>
          <w:rFonts w:ascii="Times New Roman" w:hAnsi="Times New Roman" w:cs="Times New Roman"/>
          <w:sz w:val="24"/>
          <w:szCs w:val="24"/>
        </w:rPr>
        <w:t xml:space="preserve">ega as the difference between average </w:t>
      </w:r>
      <w:r w:rsidR="00256EB2" w:rsidRPr="00F634D2">
        <w:rPr>
          <w:rFonts w:ascii="Times New Roman" w:hAnsi="Times New Roman" w:cs="Times New Roman"/>
          <w:sz w:val="24"/>
          <w:szCs w:val="24"/>
        </w:rPr>
        <w:t>V</w:t>
      </w:r>
      <w:r w:rsidRPr="00F634D2">
        <w:rPr>
          <w:rFonts w:ascii="Times New Roman" w:hAnsi="Times New Roman" w:cs="Times New Roman"/>
          <w:sz w:val="24"/>
          <w:szCs w:val="24"/>
        </w:rPr>
        <w:t>ega in the post-IDD period (</w:t>
      </w:r>
      <w:r w:rsidRPr="00F634D2">
        <w:rPr>
          <w:rFonts w:ascii="Times New Roman" w:hAnsi="Times New Roman" w:cs="Times New Roman"/>
          <w:i/>
          <w:sz w:val="24"/>
          <w:szCs w:val="24"/>
        </w:rPr>
        <w:t xml:space="preserve">t </w:t>
      </w:r>
      <w:r w:rsidRPr="00F634D2">
        <w:rPr>
          <w:rFonts w:ascii="Times New Roman" w:hAnsi="Times New Roman" w:cs="Times New Roman"/>
          <w:sz w:val="24"/>
          <w:szCs w:val="24"/>
        </w:rPr>
        <w:t xml:space="preserve">to </w:t>
      </w:r>
      <w:r w:rsidRPr="00F634D2">
        <w:rPr>
          <w:rFonts w:ascii="Times New Roman" w:hAnsi="Times New Roman" w:cs="Times New Roman"/>
          <w:i/>
          <w:sz w:val="24"/>
          <w:szCs w:val="24"/>
        </w:rPr>
        <w:t>t</w:t>
      </w:r>
      <w:r w:rsidRPr="00F634D2">
        <w:rPr>
          <w:rFonts w:ascii="Times New Roman" w:hAnsi="Times New Roman" w:cs="Times New Roman"/>
          <w:sz w:val="24"/>
          <w:szCs w:val="24"/>
        </w:rPr>
        <w:t xml:space="preserve">+2) and average </w:t>
      </w:r>
      <w:r w:rsidR="00256EB2" w:rsidRPr="00F634D2">
        <w:rPr>
          <w:rFonts w:ascii="Times New Roman" w:hAnsi="Times New Roman" w:cs="Times New Roman"/>
          <w:sz w:val="24"/>
          <w:szCs w:val="24"/>
        </w:rPr>
        <w:t>V</w:t>
      </w:r>
      <w:r w:rsidRPr="00F634D2">
        <w:rPr>
          <w:rFonts w:ascii="Times New Roman" w:hAnsi="Times New Roman" w:cs="Times New Roman"/>
          <w:sz w:val="24"/>
          <w:szCs w:val="24"/>
        </w:rPr>
        <w:t>ega in the pre-IDD period (</w:t>
      </w:r>
      <w:r w:rsidRPr="00F634D2">
        <w:rPr>
          <w:rFonts w:ascii="Times New Roman" w:hAnsi="Times New Roman" w:cs="Times New Roman"/>
          <w:i/>
          <w:sz w:val="24"/>
          <w:szCs w:val="24"/>
        </w:rPr>
        <w:t>t</w:t>
      </w:r>
      <w:r w:rsidRPr="00F634D2">
        <w:rPr>
          <w:rFonts w:ascii="Times New Roman" w:hAnsi="Times New Roman" w:cs="Times New Roman"/>
          <w:sz w:val="24"/>
          <w:szCs w:val="24"/>
        </w:rPr>
        <w:t xml:space="preserve">–3 to </w:t>
      </w:r>
      <w:r w:rsidRPr="00F634D2">
        <w:rPr>
          <w:rFonts w:ascii="Times New Roman" w:hAnsi="Times New Roman" w:cs="Times New Roman"/>
          <w:i/>
          <w:sz w:val="24"/>
          <w:szCs w:val="24"/>
        </w:rPr>
        <w:t>t</w:t>
      </w:r>
      <w:r w:rsidRPr="00F634D2">
        <w:rPr>
          <w:rFonts w:ascii="Times New Roman" w:hAnsi="Times New Roman" w:cs="Times New Roman"/>
          <w:sz w:val="24"/>
          <w:szCs w:val="24"/>
        </w:rPr>
        <w:t xml:space="preserve">–1). We divide the sample into three groups based on the change in </w:t>
      </w:r>
      <w:r w:rsidR="00256EB2" w:rsidRPr="00F634D2">
        <w:rPr>
          <w:rFonts w:ascii="Times New Roman" w:hAnsi="Times New Roman" w:cs="Times New Roman"/>
          <w:sz w:val="24"/>
          <w:szCs w:val="24"/>
        </w:rPr>
        <w:t>V</w:t>
      </w:r>
      <w:r w:rsidRPr="00F634D2">
        <w:rPr>
          <w:rFonts w:ascii="Times New Roman" w:hAnsi="Times New Roman" w:cs="Times New Roman"/>
          <w:sz w:val="24"/>
          <w:szCs w:val="24"/>
        </w:rPr>
        <w:t>ega around the adoption of the IDD and focus on the middle group</w:t>
      </w:r>
      <w:r w:rsidRPr="00F634D2">
        <w:t xml:space="preserve"> </w:t>
      </w:r>
      <w:r w:rsidRPr="00F634D2">
        <w:rPr>
          <w:rFonts w:ascii="Times New Roman" w:hAnsi="Times New Roman" w:cs="Times New Roman"/>
          <w:sz w:val="24"/>
          <w:szCs w:val="24"/>
        </w:rPr>
        <w:t xml:space="preserve">in order to exclude large positive and negative changes in </w:t>
      </w:r>
      <w:r w:rsidR="00256EB2" w:rsidRPr="00F634D2">
        <w:rPr>
          <w:rFonts w:ascii="Times New Roman" w:hAnsi="Times New Roman" w:cs="Times New Roman"/>
          <w:sz w:val="24"/>
          <w:szCs w:val="24"/>
        </w:rPr>
        <w:t>V</w:t>
      </w:r>
      <w:r w:rsidRPr="00F634D2">
        <w:rPr>
          <w:rFonts w:ascii="Times New Roman" w:hAnsi="Times New Roman" w:cs="Times New Roman"/>
          <w:sz w:val="24"/>
          <w:szCs w:val="24"/>
        </w:rPr>
        <w:t>ega from our sample.</w:t>
      </w:r>
      <w:r w:rsidRPr="00F634D2">
        <w:rPr>
          <w:rStyle w:val="FootnoteReference"/>
          <w:rFonts w:ascii="Times New Roman" w:hAnsi="Times New Roman" w:cs="Times New Roman"/>
          <w:sz w:val="24"/>
          <w:szCs w:val="24"/>
        </w:rPr>
        <w:footnoteReference w:id="9"/>
      </w:r>
      <w:r w:rsidRPr="00F634D2">
        <w:rPr>
          <w:rFonts w:ascii="Times New Roman" w:hAnsi="Times New Roman" w:cs="Times New Roman"/>
          <w:sz w:val="24"/>
          <w:szCs w:val="24"/>
        </w:rPr>
        <w:t xml:space="preserve"> We use a comprehensive measure based on return volatility to measure the risk-taking level of firms. Specifically, </w:t>
      </w:r>
      <w:r w:rsidRPr="00F634D2">
        <w:rPr>
          <w:rFonts w:ascii="Times New Roman" w:eastAsia="DengXian" w:hAnsi="Times New Roman" w:cs="Times New Roman"/>
          <w:i/>
          <w:iCs/>
          <w:sz w:val="24"/>
          <w:szCs w:val="24"/>
        </w:rPr>
        <w:t>Risk</w:t>
      </w:r>
      <w:r w:rsidRPr="00F634D2">
        <w:rPr>
          <w:rFonts w:ascii="Times New Roman" w:eastAsia="DengXian" w:hAnsi="Times New Roman" w:cs="Times New Roman"/>
          <w:sz w:val="24"/>
          <w:szCs w:val="24"/>
        </w:rPr>
        <w:t xml:space="preserve"> equals the natural log of the annualized variance of monthly stock returns over the following two years.</w:t>
      </w:r>
    </w:p>
    <w:p w14:paraId="5F9DDD1D" w14:textId="184106E8" w:rsidR="00D50589" w:rsidRPr="00F634D2" w:rsidRDefault="00686261">
      <w:pPr>
        <w:adjustRightInd w:val="0"/>
        <w:snapToGrid w:val="0"/>
        <w:spacing w:after="0" w:line="480" w:lineRule="auto"/>
        <w:ind w:firstLineChars="200" w:firstLine="480"/>
        <w:jc w:val="both"/>
        <w:rPr>
          <w:rFonts w:ascii="Times New Roman" w:eastAsia="DengXian" w:hAnsi="Times New Roman" w:cs="Times New Roman"/>
          <w:sz w:val="24"/>
          <w:szCs w:val="24"/>
        </w:rPr>
      </w:pPr>
      <w:r w:rsidRPr="00F634D2">
        <w:rPr>
          <w:rFonts w:ascii="Times New Roman" w:hAnsi="Times New Roman" w:cs="Times New Roman"/>
          <w:sz w:val="24"/>
          <w:szCs w:val="24"/>
        </w:rPr>
        <w:t xml:space="preserve">Column 2 of Table 6 reports the results of this test. We find a significantly negative coefficient on </w:t>
      </w:r>
      <w:proofErr w:type="spellStart"/>
      <w:r w:rsidRPr="00F634D2">
        <w:rPr>
          <w:rFonts w:ascii="Times New Roman" w:hAnsi="Times New Roman" w:cs="Times New Roman"/>
          <w:i/>
          <w:sz w:val="24"/>
          <w:szCs w:val="24"/>
        </w:rPr>
        <w:t>AfterIDD</w:t>
      </w:r>
      <w:proofErr w:type="spellEnd"/>
      <w:r w:rsidRPr="00F634D2">
        <w:rPr>
          <w:rFonts w:ascii="Times New Roman" w:hAnsi="Times New Roman" w:cs="Times New Roman"/>
          <w:sz w:val="24"/>
          <w:szCs w:val="24"/>
        </w:rPr>
        <w:t xml:space="preserve"> (</w:t>
      </w:r>
      <w:r w:rsidRPr="00F634D2">
        <w:rPr>
          <w:rFonts w:ascii="Times New Roman" w:hAnsi="Times New Roman" w:cs="Times New Roman"/>
          <w:i/>
          <w:sz w:val="24"/>
          <w:szCs w:val="24"/>
        </w:rPr>
        <w:t>t</w:t>
      </w:r>
      <w:r w:rsidRPr="00F634D2">
        <w:rPr>
          <w:rFonts w:ascii="Times New Roman" w:hAnsi="Times New Roman" w:cs="Times New Roman"/>
          <w:sz w:val="24"/>
          <w:szCs w:val="24"/>
        </w:rPr>
        <w:t>-statistic</w:t>
      </w:r>
      <w:r w:rsidRPr="00F634D2">
        <w:rPr>
          <w:rFonts w:ascii="Times New Roman" w:hAnsi="Times New Roman" w:cs="Times New Roman"/>
          <w:i/>
          <w:sz w:val="24"/>
          <w:szCs w:val="24"/>
        </w:rPr>
        <w:t xml:space="preserve">= </w:t>
      </w:r>
      <w:r w:rsidRPr="00F634D2">
        <w:rPr>
          <w:rFonts w:ascii="Times New Roman" w:hAnsi="Times New Roman" w:cs="Times New Roman"/>
          <w:sz w:val="24"/>
          <w:szCs w:val="24"/>
        </w:rPr>
        <w:t xml:space="preserve">–2.01), which suggests that stock return volatility decreases after IDD adoption for firms that experience relatively small change in CEO </w:t>
      </w:r>
      <w:r w:rsidR="00256EB2" w:rsidRPr="00F634D2">
        <w:rPr>
          <w:rFonts w:ascii="Times New Roman" w:hAnsi="Times New Roman" w:cs="Times New Roman"/>
          <w:sz w:val="24"/>
          <w:szCs w:val="24"/>
        </w:rPr>
        <w:t>V</w:t>
      </w:r>
      <w:r w:rsidRPr="00F634D2">
        <w:rPr>
          <w:rFonts w:ascii="Times New Roman" w:hAnsi="Times New Roman" w:cs="Times New Roman"/>
          <w:sz w:val="24"/>
          <w:szCs w:val="24"/>
        </w:rPr>
        <w:t>ega around IDD adoption. The results support our argument that CEOs would become more risk-averse after IDD adoption if CEO risk-taking incentives were little changed.</w:t>
      </w:r>
    </w:p>
    <w:p w14:paraId="46388C75" w14:textId="77777777" w:rsidR="00D50589" w:rsidRPr="00F634D2" w:rsidRDefault="00686261">
      <w:pPr>
        <w:keepNext/>
        <w:adjustRightInd w:val="0"/>
        <w:snapToGrid w:val="0"/>
        <w:spacing w:after="0" w:line="480" w:lineRule="auto"/>
        <w:rPr>
          <w:rFonts w:ascii="Times New Roman" w:hAnsi="Times New Roman" w:cs="Times New Roman"/>
          <w:b/>
          <w:bCs/>
          <w:i/>
          <w:iCs/>
          <w:sz w:val="24"/>
          <w:szCs w:val="24"/>
        </w:rPr>
      </w:pPr>
      <w:r w:rsidRPr="00F634D2">
        <w:rPr>
          <w:rFonts w:ascii="Times New Roman" w:hAnsi="Times New Roman" w:cs="Times New Roman"/>
          <w:b/>
          <w:bCs/>
          <w:i/>
          <w:iCs/>
          <w:sz w:val="24"/>
          <w:szCs w:val="24"/>
        </w:rPr>
        <w:lastRenderedPageBreak/>
        <w:t>6.3 Neighboring-state matched sample</w:t>
      </w:r>
    </w:p>
    <w:p w14:paraId="02714611" w14:textId="77777777" w:rsidR="00D50589" w:rsidRPr="00F634D2" w:rsidRDefault="00686261">
      <w:pPr>
        <w:adjustRightInd w:val="0"/>
        <w:snapToGrid w:val="0"/>
        <w:spacing w:after="0" w:line="480" w:lineRule="auto"/>
        <w:ind w:firstLineChars="200" w:firstLine="480"/>
        <w:jc w:val="both"/>
        <w:rPr>
          <w:rFonts w:ascii="Times New Roman" w:eastAsia="Yu Mincho" w:hAnsi="Times New Roman" w:cs="Times New Roman"/>
          <w:sz w:val="24"/>
          <w:szCs w:val="24"/>
        </w:rPr>
      </w:pPr>
      <w:r w:rsidRPr="00F634D2">
        <w:rPr>
          <w:rFonts w:ascii="Times New Roman" w:eastAsia="Yu Mincho" w:hAnsi="Times New Roman" w:cs="Times New Roman"/>
          <w:sz w:val="24"/>
          <w:szCs w:val="24"/>
        </w:rPr>
        <w:t xml:space="preserve">To further address the potential concern that our results are driven by confounding local factors, we conduct a matched-sample analysis by matching each adopting state with its neighboring states (e.g., </w:t>
      </w:r>
      <w:proofErr w:type="spellStart"/>
      <w:r w:rsidRPr="00F634D2">
        <w:rPr>
          <w:rFonts w:ascii="Times New Roman" w:eastAsia="Yu Mincho" w:hAnsi="Times New Roman" w:cs="Times New Roman"/>
          <w:sz w:val="24"/>
          <w:szCs w:val="24"/>
        </w:rPr>
        <w:t>Ljungqvist</w:t>
      </w:r>
      <w:proofErr w:type="spellEnd"/>
      <w:r w:rsidRPr="00F634D2">
        <w:rPr>
          <w:rFonts w:ascii="Times New Roman" w:eastAsia="Yu Mincho" w:hAnsi="Times New Roman" w:cs="Times New Roman"/>
          <w:sz w:val="24"/>
          <w:szCs w:val="24"/>
        </w:rPr>
        <w:t xml:space="preserve"> et al. 2017; Li et al. 201</w:t>
      </w:r>
      <w:r w:rsidRPr="00F634D2">
        <w:rPr>
          <w:rFonts w:ascii="Times New Roman" w:hAnsi="Times New Roman" w:cs="Times New Roman"/>
          <w:sz w:val="24"/>
          <w:szCs w:val="24"/>
        </w:rPr>
        <w:t>8</w:t>
      </w:r>
      <w:r w:rsidRPr="00F634D2">
        <w:rPr>
          <w:rFonts w:ascii="Times New Roman" w:eastAsia="Yu Mincho" w:hAnsi="Times New Roman" w:cs="Times New Roman"/>
          <w:sz w:val="24"/>
          <w:szCs w:val="24"/>
        </w:rPr>
        <w:t>).</w:t>
      </w:r>
      <w:r w:rsidRPr="00F634D2">
        <w:rPr>
          <w:rStyle w:val="FootnoteReference"/>
          <w:rFonts w:ascii="Times New Roman" w:eastAsia="Yu Mincho" w:hAnsi="Times New Roman" w:cs="Times New Roman"/>
          <w:sz w:val="24"/>
          <w:szCs w:val="24"/>
        </w:rPr>
        <w:footnoteReference w:id="10"/>
      </w:r>
      <w:r w:rsidRPr="00F634D2">
        <w:rPr>
          <w:rFonts w:ascii="Times New Roman" w:eastAsia="Yu Mincho" w:hAnsi="Times New Roman" w:cs="Times New Roman"/>
          <w:sz w:val="24"/>
          <w:szCs w:val="24"/>
        </w:rPr>
        <w:t xml:space="preserve"> If IDD adoption was driven by unobserved changes in local conditions, firms would respond to these changes in local conditions instead of to the adoption of the IDD. Accordingly, firms in both the adopting states and neighboring non-adopting states would appear to react to the IDD adoption similarly, given that unobserved changes in local conditions are likely to spill across state borders.</w:t>
      </w:r>
      <w:r w:rsidRPr="00F634D2">
        <w:rPr>
          <w:rStyle w:val="FootnoteReference"/>
          <w:rFonts w:ascii="Times New Roman" w:eastAsia="Yu Mincho" w:hAnsi="Times New Roman" w:cs="Times New Roman"/>
          <w:sz w:val="24"/>
          <w:szCs w:val="24"/>
        </w:rPr>
        <w:footnoteReference w:id="11"/>
      </w:r>
    </w:p>
    <w:p w14:paraId="4E999A52" w14:textId="0D00FB7D" w:rsidR="00D50589" w:rsidRPr="00F634D2" w:rsidRDefault="00686261">
      <w:pPr>
        <w:adjustRightInd w:val="0"/>
        <w:snapToGrid w:val="0"/>
        <w:spacing w:after="0" w:line="480" w:lineRule="auto"/>
        <w:ind w:firstLineChars="200" w:firstLine="480"/>
        <w:jc w:val="both"/>
        <w:rPr>
          <w:rFonts w:ascii="Times New Roman" w:eastAsia="Yu Mincho" w:hAnsi="Times New Roman" w:cs="Times New Roman"/>
          <w:sz w:val="24"/>
          <w:szCs w:val="24"/>
        </w:rPr>
      </w:pPr>
      <w:r w:rsidRPr="00F634D2">
        <w:rPr>
          <w:rFonts w:ascii="Times New Roman" w:eastAsia="Yu Mincho" w:hAnsi="Times New Roman" w:cs="Times New Roman"/>
          <w:sz w:val="24"/>
          <w:szCs w:val="24"/>
        </w:rPr>
        <w:t xml:space="preserve">Column 1 of Table 7 reports the results of estimating equation (1) using the neighboring-state-matched sample. The positive effect of IDD adoption on </w:t>
      </w:r>
      <w:r w:rsidR="00256EB2" w:rsidRPr="00F634D2">
        <w:rPr>
          <w:rFonts w:ascii="Times New Roman" w:eastAsia="Yu Mincho" w:hAnsi="Times New Roman" w:cs="Times New Roman"/>
          <w:sz w:val="24"/>
          <w:szCs w:val="24"/>
        </w:rPr>
        <w:t>V</w:t>
      </w:r>
      <w:r w:rsidRPr="00F634D2">
        <w:rPr>
          <w:rFonts w:ascii="Times New Roman" w:eastAsia="Yu Mincho" w:hAnsi="Times New Roman" w:cs="Times New Roman"/>
          <w:sz w:val="24"/>
          <w:szCs w:val="24"/>
        </w:rPr>
        <w:t xml:space="preserve">ega persists, suggesting that firms in adopting states experience greater increase in CEO risk-taking incentives relative to firms in neighboring non-adopting states. The results estimated from the neighboring-state-matched sample provide further evidence that our primary data are not likely driven by unobserved changes in local conditions around the adoption of the IDD.  </w:t>
      </w:r>
    </w:p>
    <w:p w14:paraId="75C212B5" w14:textId="77777777" w:rsidR="00D50589" w:rsidRPr="00F634D2" w:rsidRDefault="00686261" w:rsidP="007E03F2">
      <w:pPr>
        <w:snapToGrid w:val="0"/>
        <w:spacing w:after="0" w:line="480" w:lineRule="auto"/>
        <w:ind w:firstLineChars="200" w:firstLine="480"/>
        <w:jc w:val="center"/>
        <w:rPr>
          <w:rFonts w:ascii="Times New Roman" w:hAnsi="Times New Roman" w:cs="Times New Roman"/>
          <w:sz w:val="28"/>
          <w:szCs w:val="24"/>
        </w:rPr>
      </w:pPr>
      <w:r w:rsidRPr="00F634D2">
        <w:rPr>
          <w:rStyle w:val="Emphasis"/>
          <w:rFonts w:ascii="Times New Roman" w:hAnsi="Times New Roman" w:cs="Times New Roman"/>
          <w:sz w:val="24"/>
          <w:szCs w:val="24"/>
          <w:shd w:val="clear" w:color="auto" w:fill="FFFFFF"/>
        </w:rPr>
        <w:t>[Table 7 near here]</w:t>
      </w:r>
    </w:p>
    <w:p w14:paraId="31548F35" w14:textId="77777777" w:rsidR="00D50589" w:rsidRPr="00F634D2" w:rsidRDefault="00686261">
      <w:pPr>
        <w:keepNext/>
        <w:adjustRightInd w:val="0"/>
        <w:snapToGrid w:val="0"/>
        <w:spacing w:after="0" w:line="480" w:lineRule="auto"/>
        <w:rPr>
          <w:rFonts w:ascii="Times New Roman" w:hAnsi="Times New Roman" w:cs="Times New Roman"/>
          <w:b/>
          <w:bCs/>
          <w:i/>
          <w:iCs/>
          <w:sz w:val="24"/>
          <w:szCs w:val="24"/>
        </w:rPr>
      </w:pPr>
      <w:r w:rsidRPr="00F634D2">
        <w:rPr>
          <w:rFonts w:ascii="Times New Roman" w:hAnsi="Times New Roman" w:cs="Times New Roman"/>
          <w:b/>
          <w:bCs/>
          <w:i/>
          <w:iCs/>
          <w:sz w:val="24"/>
          <w:szCs w:val="24"/>
        </w:rPr>
        <w:t>6.4 Contractual information protection mechanism</w:t>
      </w:r>
    </w:p>
    <w:p w14:paraId="1406BBFF" w14:textId="5574AE74" w:rsidR="00D50589" w:rsidRPr="00F634D2" w:rsidRDefault="00686261">
      <w:pPr>
        <w:adjustRightInd w:val="0"/>
        <w:snapToGrid w:val="0"/>
        <w:spacing w:after="0" w:line="480" w:lineRule="auto"/>
        <w:ind w:firstLineChars="200" w:firstLine="480"/>
        <w:jc w:val="both"/>
        <w:rPr>
          <w:rFonts w:ascii="Times New Roman" w:eastAsia="Yu Mincho" w:hAnsi="Times New Roman" w:cs="Times New Roman"/>
          <w:sz w:val="24"/>
          <w:szCs w:val="24"/>
        </w:rPr>
      </w:pPr>
      <w:r w:rsidRPr="00F634D2">
        <w:rPr>
          <w:rFonts w:ascii="Times New Roman" w:hAnsi="Times New Roman" w:cs="Times New Roman"/>
          <w:sz w:val="24"/>
          <w:szCs w:val="24"/>
        </w:rPr>
        <w:t xml:space="preserve">We test whether our results are driven by an omitted variable for contractual information protection mechanisms such as NDAs and NCCs. Although the IDD and contractual information protection mechanisms can both protect trade secrets, they are distinct in that the IDD provides much stronger protection and imposes greater restrictions on labor mobility than contractual </w:t>
      </w:r>
      <w:r w:rsidRPr="00F634D2">
        <w:rPr>
          <w:rFonts w:ascii="Times New Roman" w:hAnsi="Times New Roman" w:cs="Times New Roman"/>
          <w:sz w:val="24"/>
          <w:szCs w:val="24"/>
        </w:rPr>
        <w:lastRenderedPageBreak/>
        <w:t xml:space="preserve">information protection mechanisms. Thus, we expect the impact of the IDD on CEO </w:t>
      </w:r>
      <w:r w:rsidR="00256EB2" w:rsidRPr="00F634D2">
        <w:rPr>
          <w:rFonts w:ascii="Times New Roman" w:hAnsi="Times New Roman" w:cs="Times New Roman"/>
          <w:sz w:val="24"/>
          <w:szCs w:val="24"/>
        </w:rPr>
        <w:t>V</w:t>
      </w:r>
      <w:r w:rsidRPr="00F634D2">
        <w:rPr>
          <w:rFonts w:ascii="Times New Roman" w:hAnsi="Times New Roman" w:cs="Times New Roman"/>
          <w:sz w:val="24"/>
          <w:szCs w:val="24"/>
        </w:rPr>
        <w:t xml:space="preserve">ega to persist after controlling for contractual information protection mechanisms. </w:t>
      </w:r>
      <w:r w:rsidRPr="00F634D2">
        <w:rPr>
          <w:rFonts w:ascii="Times New Roman" w:eastAsia="Yu Mincho" w:hAnsi="Times New Roman" w:cs="Times New Roman"/>
          <w:sz w:val="24"/>
          <w:szCs w:val="24"/>
        </w:rPr>
        <w:t xml:space="preserve">Because contractual information protection mechanisms rely on the strength of contractual enforcement, we </w:t>
      </w:r>
      <w:r w:rsidRPr="00F634D2">
        <w:rPr>
          <w:rFonts w:ascii="Times New Roman" w:hAnsi="Times New Roman" w:cs="Times New Roman"/>
          <w:sz w:val="24"/>
          <w:szCs w:val="24"/>
        </w:rPr>
        <w:t xml:space="preserve">use </w:t>
      </w:r>
      <w:r w:rsidRPr="00F634D2">
        <w:rPr>
          <w:rFonts w:ascii="Times New Roman" w:eastAsia="Yu Mincho" w:hAnsi="Times New Roman" w:cs="Times New Roman"/>
          <w:sz w:val="24"/>
          <w:szCs w:val="24"/>
        </w:rPr>
        <w:t>an enforceability index (</w:t>
      </w:r>
      <w:r w:rsidRPr="00F634D2">
        <w:rPr>
          <w:rFonts w:ascii="Times New Roman" w:eastAsia="Yu Mincho" w:hAnsi="Times New Roman" w:cs="Times New Roman"/>
          <w:i/>
          <w:sz w:val="24"/>
          <w:szCs w:val="24"/>
        </w:rPr>
        <w:t>Enforce</w:t>
      </w:r>
      <w:r w:rsidRPr="00F634D2">
        <w:rPr>
          <w:rFonts w:ascii="Times New Roman" w:eastAsia="Yu Mincho" w:hAnsi="Times New Roman" w:cs="Times New Roman"/>
          <w:sz w:val="24"/>
          <w:szCs w:val="24"/>
        </w:rPr>
        <w:t xml:space="preserve">) to measure the enforcement strength of </w:t>
      </w:r>
      <w:r w:rsidRPr="00F634D2">
        <w:rPr>
          <w:rFonts w:ascii="Times New Roman" w:hAnsi="Times New Roman" w:cs="Times New Roman"/>
          <w:sz w:val="24"/>
          <w:szCs w:val="24"/>
        </w:rPr>
        <w:t xml:space="preserve">contractual </w:t>
      </w:r>
      <w:r w:rsidRPr="00F634D2">
        <w:rPr>
          <w:rFonts w:ascii="Times New Roman" w:eastAsia="Yu Mincho" w:hAnsi="Times New Roman" w:cs="Times New Roman"/>
          <w:sz w:val="24"/>
          <w:szCs w:val="24"/>
        </w:rPr>
        <w:t>information protection mechanisms. This</w:t>
      </w:r>
      <w:r w:rsidRPr="00F634D2">
        <w:rPr>
          <w:rFonts w:ascii="Times New Roman" w:eastAsia="Yu Mincho" w:hAnsi="Times New Roman" w:cs="Times New Roman"/>
          <w:i/>
          <w:sz w:val="24"/>
          <w:szCs w:val="24"/>
        </w:rPr>
        <w:t xml:space="preserve"> </w:t>
      </w:r>
      <w:r w:rsidRPr="00F634D2">
        <w:rPr>
          <w:rFonts w:ascii="Times New Roman" w:hAnsi="Times New Roman" w:cs="Times New Roman"/>
          <w:sz w:val="24"/>
          <w:szCs w:val="24"/>
        </w:rPr>
        <w:t xml:space="preserve">enforceability index was first proposed by </w:t>
      </w:r>
      <w:proofErr w:type="spellStart"/>
      <w:r w:rsidRPr="00F634D2">
        <w:rPr>
          <w:rFonts w:ascii="Times New Roman" w:hAnsi="Times New Roman" w:cs="Times New Roman"/>
          <w:sz w:val="24"/>
          <w:szCs w:val="24"/>
        </w:rPr>
        <w:t>Kini</w:t>
      </w:r>
      <w:proofErr w:type="spellEnd"/>
      <w:r w:rsidRPr="00F634D2">
        <w:rPr>
          <w:rFonts w:ascii="Times New Roman" w:hAnsi="Times New Roman" w:cs="Times New Roman"/>
          <w:sz w:val="24"/>
          <w:szCs w:val="24"/>
        </w:rPr>
        <w:t xml:space="preserve"> et al. (2019) for each U.S. state from 1993 to 2013. A higher value of </w:t>
      </w:r>
      <w:r w:rsidRPr="00F634D2">
        <w:rPr>
          <w:rFonts w:ascii="Times New Roman" w:eastAsia="Yu Mincho" w:hAnsi="Times New Roman" w:cs="Times New Roman"/>
          <w:i/>
          <w:sz w:val="24"/>
          <w:szCs w:val="24"/>
        </w:rPr>
        <w:t>Enforce</w:t>
      </w:r>
      <w:r w:rsidRPr="00F634D2">
        <w:rPr>
          <w:rFonts w:ascii="Times New Roman" w:hAnsi="Times New Roman" w:cs="Times New Roman"/>
          <w:sz w:val="24"/>
          <w:szCs w:val="24"/>
        </w:rPr>
        <w:t xml:space="preserve"> indicates greater strength of enforcement of contractual agreements. </w:t>
      </w:r>
      <w:r w:rsidRPr="00F634D2">
        <w:rPr>
          <w:rFonts w:ascii="Times New Roman" w:eastAsia="Yu Mincho" w:hAnsi="Times New Roman" w:cs="Times New Roman"/>
          <w:sz w:val="24"/>
          <w:szCs w:val="24"/>
        </w:rPr>
        <w:t xml:space="preserve">Similar to </w:t>
      </w:r>
      <w:proofErr w:type="spellStart"/>
      <w:r w:rsidRPr="00F634D2">
        <w:rPr>
          <w:rFonts w:ascii="Times New Roman" w:eastAsia="Yu Mincho" w:hAnsi="Times New Roman" w:cs="Times New Roman"/>
          <w:sz w:val="24"/>
          <w:szCs w:val="24"/>
        </w:rPr>
        <w:t>Klasa</w:t>
      </w:r>
      <w:proofErr w:type="spellEnd"/>
      <w:r w:rsidRPr="00F634D2">
        <w:rPr>
          <w:rFonts w:ascii="Times New Roman" w:eastAsia="Yu Mincho" w:hAnsi="Times New Roman" w:cs="Times New Roman"/>
          <w:sz w:val="24"/>
          <w:szCs w:val="24"/>
        </w:rPr>
        <w:t xml:space="preserve"> et al. (2018), we add </w:t>
      </w:r>
      <w:r w:rsidRPr="00F634D2">
        <w:rPr>
          <w:rFonts w:ascii="Times New Roman" w:eastAsia="Yu Mincho" w:hAnsi="Times New Roman" w:cs="Times New Roman"/>
          <w:i/>
          <w:sz w:val="24"/>
          <w:szCs w:val="24"/>
        </w:rPr>
        <w:t>Enforce</w:t>
      </w:r>
      <w:r w:rsidRPr="00F634D2">
        <w:rPr>
          <w:rFonts w:ascii="Times New Roman" w:hAnsi="Times New Roman" w:cs="Times New Roman"/>
          <w:sz w:val="24"/>
          <w:szCs w:val="24"/>
        </w:rPr>
        <w:t xml:space="preserve"> </w:t>
      </w:r>
      <w:r w:rsidRPr="00F634D2">
        <w:rPr>
          <w:rFonts w:ascii="Times New Roman" w:eastAsia="Yu Mincho" w:hAnsi="Times New Roman" w:cs="Times New Roman"/>
          <w:sz w:val="24"/>
          <w:szCs w:val="24"/>
        </w:rPr>
        <w:t xml:space="preserve">as an additional control variable to equation (1). </w:t>
      </w:r>
    </w:p>
    <w:p w14:paraId="6166F403" w14:textId="01C5F311" w:rsidR="00D50589" w:rsidRPr="00F634D2" w:rsidRDefault="00686261">
      <w:pPr>
        <w:adjustRightInd w:val="0"/>
        <w:snapToGrid w:val="0"/>
        <w:spacing w:after="0" w:line="480" w:lineRule="auto"/>
        <w:ind w:firstLineChars="200" w:firstLine="480"/>
        <w:jc w:val="both"/>
        <w:rPr>
          <w:rFonts w:ascii="Times New Roman" w:eastAsia="Yu Mincho" w:hAnsi="Times New Roman" w:cs="Times New Roman"/>
          <w:sz w:val="24"/>
          <w:szCs w:val="24"/>
        </w:rPr>
      </w:pPr>
      <w:r w:rsidRPr="00F634D2">
        <w:rPr>
          <w:rFonts w:ascii="Times New Roman" w:hAnsi="Times New Roman" w:cs="Times New Roman"/>
          <w:sz w:val="24"/>
          <w:szCs w:val="24"/>
        </w:rPr>
        <w:t xml:space="preserve">Column 2 of Table 7 reports the results of estimating equation (1) after including the </w:t>
      </w:r>
      <w:r w:rsidRPr="00F634D2">
        <w:rPr>
          <w:rFonts w:ascii="Times New Roman" w:eastAsia="Yu Mincho" w:hAnsi="Times New Roman" w:cs="Times New Roman"/>
          <w:sz w:val="24"/>
          <w:szCs w:val="24"/>
        </w:rPr>
        <w:t xml:space="preserve">enforceability index of the </w:t>
      </w:r>
      <w:r w:rsidRPr="00F634D2">
        <w:rPr>
          <w:rFonts w:ascii="Times New Roman" w:hAnsi="Times New Roman" w:cs="Times New Roman"/>
          <w:sz w:val="24"/>
          <w:szCs w:val="24"/>
        </w:rPr>
        <w:t xml:space="preserve">contractual </w:t>
      </w:r>
      <w:r w:rsidRPr="00F634D2">
        <w:rPr>
          <w:rFonts w:ascii="Times New Roman" w:eastAsia="Yu Mincho" w:hAnsi="Times New Roman" w:cs="Times New Roman"/>
          <w:sz w:val="24"/>
          <w:szCs w:val="24"/>
        </w:rPr>
        <w:t>information protection mechanism (</w:t>
      </w:r>
      <w:r w:rsidRPr="00F634D2">
        <w:rPr>
          <w:rFonts w:ascii="Times New Roman" w:eastAsia="Yu Mincho" w:hAnsi="Times New Roman" w:cs="Times New Roman"/>
          <w:i/>
          <w:sz w:val="24"/>
          <w:szCs w:val="24"/>
        </w:rPr>
        <w:t>Enforce</w:t>
      </w:r>
      <w:r w:rsidRPr="00F634D2">
        <w:rPr>
          <w:rFonts w:ascii="Times New Roman" w:eastAsia="Yu Mincho" w:hAnsi="Times New Roman" w:cs="Times New Roman"/>
          <w:sz w:val="24"/>
          <w:szCs w:val="24"/>
        </w:rPr>
        <w:t xml:space="preserve">). The coefficients on </w:t>
      </w:r>
      <w:proofErr w:type="spellStart"/>
      <w:r w:rsidRPr="00F634D2">
        <w:rPr>
          <w:rFonts w:ascii="Times New Roman" w:eastAsia="Yu Mincho" w:hAnsi="Times New Roman" w:cs="Times New Roman"/>
          <w:i/>
          <w:sz w:val="24"/>
          <w:szCs w:val="24"/>
        </w:rPr>
        <w:t>AfterIDD</w:t>
      </w:r>
      <w:proofErr w:type="spellEnd"/>
      <w:r w:rsidRPr="00F634D2">
        <w:rPr>
          <w:rFonts w:ascii="Times New Roman" w:eastAsia="Yu Mincho" w:hAnsi="Times New Roman" w:cs="Times New Roman"/>
          <w:sz w:val="24"/>
          <w:szCs w:val="24"/>
        </w:rPr>
        <w:t xml:space="preserve"> remain significantly positive at the 1 percent level. The coefficient on </w:t>
      </w:r>
      <w:r w:rsidRPr="00F634D2">
        <w:rPr>
          <w:rFonts w:ascii="Times New Roman" w:eastAsia="Yu Mincho" w:hAnsi="Times New Roman" w:cs="Times New Roman"/>
          <w:i/>
          <w:sz w:val="24"/>
          <w:szCs w:val="24"/>
        </w:rPr>
        <w:t>Enforce</w:t>
      </w:r>
      <w:r w:rsidRPr="00F634D2">
        <w:rPr>
          <w:rFonts w:ascii="Times New Roman" w:eastAsia="Yu Mincho" w:hAnsi="Times New Roman" w:cs="Times New Roman"/>
          <w:sz w:val="24"/>
          <w:szCs w:val="24"/>
        </w:rPr>
        <w:t xml:space="preserve"> is marginally significant. The results indicate that the IDD has an incremental effect on </w:t>
      </w:r>
      <w:r w:rsidR="00256EB2" w:rsidRPr="00F634D2">
        <w:rPr>
          <w:rFonts w:ascii="Times New Roman" w:eastAsia="Yu Mincho" w:hAnsi="Times New Roman" w:cs="Times New Roman"/>
          <w:sz w:val="24"/>
          <w:szCs w:val="24"/>
        </w:rPr>
        <w:t>V</w:t>
      </w:r>
      <w:r w:rsidRPr="00F634D2">
        <w:rPr>
          <w:rFonts w:ascii="Times New Roman" w:eastAsia="Yu Mincho" w:hAnsi="Times New Roman" w:cs="Times New Roman"/>
          <w:sz w:val="24"/>
          <w:szCs w:val="24"/>
        </w:rPr>
        <w:t>ega additional to that of contractual information protection mechanisms. The findings are consistent with the notion that the IDD, which is not subject to the limitations of contractual agreements, provides stronger protection of trade secrets.</w:t>
      </w:r>
    </w:p>
    <w:p w14:paraId="45ABF0C7" w14:textId="77777777" w:rsidR="00D50589" w:rsidRPr="00F634D2" w:rsidRDefault="00686261">
      <w:pPr>
        <w:adjustRightInd w:val="0"/>
        <w:snapToGrid w:val="0"/>
        <w:spacing w:after="0" w:line="480" w:lineRule="auto"/>
        <w:jc w:val="both"/>
        <w:rPr>
          <w:rFonts w:ascii="Times New Roman" w:eastAsia="Yu Mincho" w:hAnsi="Times New Roman" w:cs="Times New Roman"/>
          <w:sz w:val="24"/>
          <w:szCs w:val="24"/>
        </w:rPr>
      </w:pPr>
      <w:r w:rsidRPr="00F634D2">
        <w:rPr>
          <w:rFonts w:ascii="Times New Roman" w:eastAsia="DengXian" w:hAnsi="Times New Roman" w:cs="Times New Roman"/>
          <w:b/>
          <w:i/>
          <w:iCs/>
          <w:sz w:val="24"/>
          <w:szCs w:val="24"/>
        </w:rPr>
        <w:t>6.5 IDD adoption and board quality</w:t>
      </w:r>
    </w:p>
    <w:p w14:paraId="7040EC64" w14:textId="7CF9ACB6" w:rsidR="00D50589" w:rsidRPr="00F634D2" w:rsidRDefault="00686261">
      <w:pPr>
        <w:adjustRightInd w:val="0"/>
        <w:snapToGrid w:val="0"/>
        <w:spacing w:after="0" w:line="480" w:lineRule="auto"/>
        <w:ind w:firstLineChars="200" w:firstLine="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CEO risk-aversion is unobservable to outsiders, but may be observable to the board of directors through their close interactions. Hence, it is interesting to investigate how board quality affects the impact of IDD adoption on CEO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 xml:space="preserve">ega. We identify two proxies of board quality, i.e., board independence and expertise. Independent boards and boards with greater expertise are able to provide assurance that their monitoring role is more effectively discharged (e.g., </w:t>
      </w:r>
      <w:proofErr w:type="spellStart"/>
      <w:r w:rsidRPr="00F634D2">
        <w:rPr>
          <w:rFonts w:ascii="Times New Roman" w:eastAsia="DengXian" w:hAnsi="Times New Roman" w:cs="Times New Roman"/>
          <w:sz w:val="24"/>
          <w:szCs w:val="24"/>
        </w:rPr>
        <w:t>Carcello</w:t>
      </w:r>
      <w:proofErr w:type="spellEnd"/>
      <w:r w:rsidRPr="00F634D2">
        <w:rPr>
          <w:rFonts w:ascii="Times New Roman" w:eastAsia="DengXian" w:hAnsi="Times New Roman" w:cs="Times New Roman"/>
          <w:sz w:val="24"/>
          <w:szCs w:val="24"/>
        </w:rPr>
        <w:t xml:space="preserve"> et al. 2002; Fields et al. 2012). Consistent with the literature, we identify an independent board as a board where the majority of directors is independent, and create an indicator equal to 1 for firm-</w:t>
      </w:r>
      <w:r w:rsidRPr="00F634D2">
        <w:rPr>
          <w:rFonts w:ascii="Times New Roman" w:eastAsia="DengXian" w:hAnsi="Times New Roman" w:cs="Times New Roman"/>
          <w:sz w:val="24"/>
          <w:szCs w:val="24"/>
        </w:rPr>
        <w:lastRenderedPageBreak/>
        <w:t>years when the board is independent (</w:t>
      </w:r>
      <w:r w:rsidRPr="00F634D2">
        <w:rPr>
          <w:rFonts w:ascii="Times New Roman" w:eastAsia="DengXian" w:hAnsi="Times New Roman" w:cs="Times New Roman"/>
          <w:i/>
          <w:sz w:val="24"/>
          <w:szCs w:val="24"/>
        </w:rPr>
        <w:t>Independence</w:t>
      </w:r>
      <w:r w:rsidRPr="00F634D2">
        <w:rPr>
          <w:rFonts w:ascii="Times New Roman" w:eastAsia="DengXian" w:hAnsi="Times New Roman" w:cs="Times New Roman"/>
          <w:sz w:val="24"/>
          <w:szCs w:val="24"/>
        </w:rPr>
        <w:t>).</w:t>
      </w:r>
      <w:r w:rsidRPr="00F634D2">
        <w:rPr>
          <w:rStyle w:val="FootnoteReference"/>
          <w:rFonts w:ascii="Times New Roman" w:eastAsia="DengXian" w:hAnsi="Times New Roman" w:cs="Times New Roman"/>
          <w:sz w:val="24"/>
          <w:szCs w:val="24"/>
        </w:rPr>
        <w:footnoteReference w:id="12"/>
      </w:r>
      <w:r w:rsidRPr="00F634D2">
        <w:rPr>
          <w:rFonts w:ascii="Times New Roman" w:eastAsia="DengXian" w:hAnsi="Times New Roman" w:cs="Times New Roman"/>
          <w:sz w:val="24"/>
          <w:szCs w:val="24"/>
        </w:rPr>
        <w:t xml:space="preserve"> We measure board expertise by the average number of outside directorships held by non-executive directors and create an indicator equal to 1 for firm-years when the average outside directorships held by the board is above the sample median (</w:t>
      </w:r>
      <w:r w:rsidRPr="00F634D2">
        <w:rPr>
          <w:rFonts w:ascii="Times New Roman" w:eastAsia="DengXian" w:hAnsi="Times New Roman" w:cs="Times New Roman"/>
          <w:i/>
          <w:sz w:val="24"/>
          <w:szCs w:val="24"/>
        </w:rPr>
        <w:t>Expertise</w:t>
      </w:r>
      <w:r w:rsidRPr="00F634D2">
        <w:rPr>
          <w:rFonts w:ascii="Times New Roman" w:eastAsia="DengXian" w:hAnsi="Times New Roman" w:cs="Times New Roman"/>
          <w:sz w:val="24"/>
          <w:szCs w:val="24"/>
        </w:rPr>
        <w:t>).</w:t>
      </w:r>
      <w:r w:rsidRPr="00F634D2">
        <w:rPr>
          <w:rStyle w:val="FootnoteReference"/>
          <w:rFonts w:ascii="Times New Roman" w:eastAsia="DengXian" w:hAnsi="Times New Roman" w:cs="Times New Roman"/>
          <w:sz w:val="24"/>
          <w:szCs w:val="24"/>
        </w:rPr>
        <w:footnoteReference w:id="13"/>
      </w:r>
      <w:r w:rsidRPr="00F634D2">
        <w:rPr>
          <w:rFonts w:ascii="Times New Roman" w:eastAsia="DengXian" w:hAnsi="Times New Roman" w:cs="Times New Roman"/>
          <w:sz w:val="24"/>
          <w:szCs w:val="24"/>
        </w:rPr>
        <w:t xml:space="preserve"> We then interact </w:t>
      </w:r>
      <w:r w:rsidRPr="00F634D2">
        <w:rPr>
          <w:rFonts w:ascii="Times New Roman" w:eastAsia="DengXian" w:hAnsi="Times New Roman" w:cs="Times New Roman"/>
          <w:i/>
          <w:sz w:val="24"/>
          <w:szCs w:val="24"/>
        </w:rPr>
        <w:t>Independence</w:t>
      </w:r>
      <w:r w:rsidRPr="00F634D2">
        <w:rPr>
          <w:rFonts w:ascii="Times New Roman" w:eastAsia="DengXian" w:hAnsi="Times New Roman" w:cs="Times New Roman"/>
          <w:sz w:val="24"/>
          <w:szCs w:val="24"/>
        </w:rPr>
        <w:t xml:space="preserve"> and </w:t>
      </w:r>
      <w:r w:rsidRPr="00F634D2">
        <w:rPr>
          <w:rFonts w:ascii="Times New Roman" w:eastAsia="DengXian" w:hAnsi="Times New Roman" w:cs="Times New Roman"/>
          <w:i/>
          <w:sz w:val="24"/>
          <w:szCs w:val="24"/>
        </w:rPr>
        <w:t xml:space="preserve">Expertise </w:t>
      </w:r>
      <w:r w:rsidRPr="00F634D2">
        <w:rPr>
          <w:rFonts w:ascii="Times New Roman" w:eastAsia="DengXian" w:hAnsi="Times New Roman" w:cs="Times New Roman"/>
          <w:sz w:val="24"/>
          <w:szCs w:val="24"/>
        </w:rPr>
        <w:t xml:space="preserve">with </w:t>
      </w:r>
      <w:proofErr w:type="spellStart"/>
      <w:r w:rsidRPr="00F634D2">
        <w:rPr>
          <w:rFonts w:ascii="Times New Roman" w:eastAsia="DengXian" w:hAnsi="Times New Roman" w:cs="Times New Roman"/>
          <w:i/>
          <w:sz w:val="24"/>
          <w:szCs w:val="24"/>
        </w:rPr>
        <w:t>AfterIDD</w:t>
      </w:r>
      <w:proofErr w:type="spellEnd"/>
      <w:r w:rsidRPr="00F634D2">
        <w:rPr>
          <w:rFonts w:ascii="Times New Roman" w:eastAsia="DengXian" w:hAnsi="Times New Roman" w:cs="Times New Roman"/>
          <w:sz w:val="24"/>
          <w:szCs w:val="24"/>
        </w:rPr>
        <w:t xml:space="preserve">. The results are reported in Column 1 of Table 8. The results show that the interaction terms of both </w:t>
      </w:r>
      <w:r w:rsidRPr="00F634D2">
        <w:rPr>
          <w:rFonts w:ascii="Times New Roman" w:eastAsia="DengXian" w:hAnsi="Times New Roman" w:cs="Times New Roman"/>
          <w:i/>
          <w:sz w:val="24"/>
          <w:szCs w:val="24"/>
        </w:rPr>
        <w:t>Independence</w:t>
      </w:r>
      <w:r w:rsidRPr="00F634D2">
        <w:rPr>
          <w:rFonts w:ascii="Times New Roman" w:eastAsia="DengXian" w:hAnsi="Times New Roman" w:cs="Times New Roman"/>
          <w:sz w:val="24"/>
          <w:szCs w:val="24"/>
        </w:rPr>
        <w:t xml:space="preserve"> and </w:t>
      </w:r>
      <w:r w:rsidRPr="00F634D2">
        <w:rPr>
          <w:rFonts w:ascii="Times New Roman" w:eastAsia="DengXian" w:hAnsi="Times New Roman" w:cs="Times New Roman"/>
          <w:i/>
          <w:sz w:val="24"/>
          <w:szCs w:val="24"/>
        </w:rPr>
        <w:t>Expertise</w:t>
      </w:r>
      <w:r w:rsidRPr="00F634D2">
        <w:rPr>
          <w:rFonts w:ascii="Times New Roman" w:eastAsia="DengXian" w:hAnsi="Times New Roman" w:cs="Times New Roman"/>
          <w:sz w:val="24"/>
          <w:szCs w:val="24"/>
        </w:rPr>
        <w:t xml:space="preserve"> with </w:t>
      </w:r>
      <w:proofErr w:type="spellStart"/>
      <w:r w:rsidRPr="00F634D2">
        <w:rPr>
          <w:rFonts w:ascii="Times New Roman" w:eastAsia="DengXian" w:hAnsi="Times New Roman" w:cs="Times New Roman"/>
          <w:i/>
          <w:sz w:val="24"/>
          <w:szCs w:val="24"/>
        </w:rPr>
        <w:t>AfterIDD</w:t>
      </w:r>
      <w:proofErr w:type="spellEnd"/>
      <w:r w:rsidRPr="00F634D2">
        <w:rPr>
          <w:rFonts w:ascii="Times New Roman" w:eastAsia="DengXian" w:hAnsi="Times New Roman" w:cs="Times New Roman"/>
          <w:sz w:val="24"/>
          <w:szCs w:val="24"/>
        </w:rPr>
        <w:t xml:space="preserve"> are significantly positive, suggesting that higher board quality positively affects the impact of IDD adoption on CEO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 xml:space="preserve">ega. </w:t>
      </w:r>
    </w:p>
    <w:p w14:paraId="05B999F7" w14:textId="77777777" w:rsidR="00D50589" w:rsidRPr="00F634D2" w:rsidRDefault="00686261" w:rsidP="007E03F2">
      <w:pPr>
        <w:snapToGrid w:val="0"/>
        <w:spacing w:after="0" w:line="480" w:lineRule="auto"/>
        <w:ind w:firstLineChars="200" w:firstLine="480"/>
        <w:jc w:val="center"/>
        <w:rPr>
          <w:rFonts w:ascii="Times New Roman" w:hAnsi="Times New Roman" w:cs="Times New Roman"/>
          <w:sz w:val="28"/>
          <w:szCs w:val="24"/>
        </w:rPr>
      </w:pPr>
      <w:r w:rsidRPr="00F634D2">
        <w:rPr>
          <w:rStyle w:val="Emphasis"/>
          <w:rFonts w:ascii="Times New Roman" w:hAnsi="Times New Roman" w:cs="Times New Roman"/>
          <w:sz w:val="24"/>
          <w:szCs w:val="24"/>
          <w:shd w:val="clear" w:color="auto" w:fill="FFFFFF"/>
        </w:rPr>
        <w:t>[Table 8 near here]</w:t>
      </w:r>
    </w:p>
    <w:p w14:paraId="3C543FEB" w14:textId="77777777" w:rsidR="00D50589" w:rsidRPr="00F634D2" w:rsidRDefault="00686261">
      <w:pPr>
        <w:adjustRightInd w:val="0"/>
        <w:snapToGrid w:val="0"/>
        <w:spacing w:after="0" w:line="480" w:lineRule="auto"/>
        <w:jc w:val="both"/>
        <w:rPr>
          <w:rFonts w:ascii="Times New Roman" w:eastAsia="Yu Mincho" w:hAnsi="Times New Roman" w:cs="Times New Roman"/>
          <w:sz w:val="24"/>
          <w:szCs w:val="24"/>
        </w:rPr>
      </w:pPr>
      <w:r w:rsidRPr="00F634D2">
        <w:rPr>
          <w:rFonts w:ascii="Times New Roman" w:eastAsia="DengXian" w:hAnsi="Times New Roman" w:cs="Times New Roman"/>
          <w:b/>
          <w:i/>
          <w:iCs/>
          <w:sz w:val="24"/>
          <w:szCs w:val="24"/>
        </w:rPr>
        <w:t>6.6 IDD adoption and CEO job-switching</w:t>
      </w:r>
    </w:p>
    <w:p w14:paraId="0724F424" w14:textId="2A507E49" w:rsidR="00D50589" w:rsidRPr="00F634D2" w:rsidRDefault="00686261">
      <w:pPr>
        <w:adjustRightInd w:val="0"/>
        <w:snapToGrid w:val="0"/>
        <w:spacing w:after="0" w:line="480" w:lineRule="auto"/>
        <w:ind w:firstLine="567"/>
        <w:jc w:val="both"/>
        <w:rPr>
          <w:rFonts w:ascii="Times New Roman" w:eastAsia="Yu Mincho" w:hAnsi="Times New Roman" w:cs="Times New Roman"/>
          <w:sz w:val="24"/>
          <w:szCs w:val="24"/>
        </w:rPr>
      </w:pPr>
      <w:r w:rsidRPr="00F634D2">
        <w:rPr>
          <w:rFonts w:ascii="Times New Roman" w:eastAsia="DengXian" w:hAnsi="Times New Roman" w:cs="Times New Roman"/>
          <w:sz w:val="24"/>
          <w:szCs w:val="24"/>
        </w:rPr>
        <w:t xml:space="preserve">Because switching careers is inherently risky, CEOs who tend to switch jobs are likely to be risk-takers and, by contrast, those who do not are likely to be more risk-averse. If the increase in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 xml:space="preserve">ega is attributable to the introduction of CEO risk-aversion due to IDD adoption, we expect the change in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ega for CEOs who have never switched jobs to differ from that for CEOs who tended to switch jobs before the adoption of the IDD. To test this prediction, we identify CEOs who never switched jobs before IDD adoption and create an indicator for such CEOs (</w:t>
      </w:r>
      <w:proofErr w:type="spellStart"/>
      <w:r w:rsidRPr="00F634D2">
        <w:rPr>
          <w:rFonts w:ascii="Times New Roman" w:eastAsia="DengXian" w:hAnsi="Times New Roman" w:cs="Times New Roman"/>
          <w:i/>
          <w:sz w:val="24"/>
          <w:szCs w:val="24"/>
        </w:rPr>
        <w:t>Nswitch</w:t>
      </w:r>
      <w:proofErr w:type="spellEnd"/>
      <w:r w:rsidRPr="00F634D2">
        <w:rPr>
          <w:rFonts w:ascii="Times New Roman" w:eastAsia="DengXian" w:hAnsi="Times New Roman" w:cs="Times New Roman"/>
          <w:sz w:val="24"/>
          <w:szCs w:val="24"/>
        </w:rPr>
        <w:t>).</w:t>
      </w:r>
      <w:r w:rsidRPr="00F634D2">
        <w:rPr>
          <w:rStyle w:val="FootnoteReference"/>
          <w:rFonts w:ascii="Times New Roman" w:eastAsia="DengXian" w:hAnsi="Times New Roman" w:cs="Times New Roman"/>
          <w:sz w:val="24"/>
          <w:szCs w:val="24"/>
        </w:rPr>
        <w:footnoteReference w:id="14"/>
      </w:r>
      <w:r w:rsidRPr="00F634D2">
        <w:rPr>
          <w:rFonts w:ascii="Times New Roman" w:eastAsia="DengXian" w:hAnsi="Times New Roman" w:cs="Times New Roman"/>
          <w:sz w:val="24"/>
          <w:szCs w:val="24"/>
        </w:rPr>
        <w:t xml:space="preserve"> We then interact </w:t>
      </w:r>
      <w:proofErr w:type="spellStart"/>
      <w:r w:rsidRPr="00F634D2">
        <w:rPr>
          <w:rFonts w:ascii="Times New Roman" w:eastAsia="DengXian" w:hAnsi="Times New Roman" w:cs="Times New Roman"/>
          <w:i/>
          <w:sz w:val="24"/>
          <w:szCs w:val="24"/>
        </w:rPr>
        <w:t>NSwitch</w:t>
      </w:r>
      <w:proofErr w:type="spellEnd"/>
      <w:r w:rsidRPr="00F634D2">
        <w:rPr>
          <w:rFonts w:ascii="Times New Roman" w:eastAsia="DengXian" w:hAnsi="Times New Roman" w:cs="Times New Roman"/>
          <w:sz w:val="24"/>
          <w:szCs w:val="24"/>
        </w:rPr>
        <w:t xml:space="preserve"> with </w:t>
      </w:r>
      <w:proofErr w:type="spellStart"/>
      <w:r w:rsidRPr="00F634D2">
        <w:rPr>
          <w:rFonts w:ascii="Times New Roman" w:eastAsia="DengXian" w:hAnsi="Times New Roman" w:cs="Times New Roman"/>
          <w:i/>
          <w:sz w:val="24"/>
          <w:szCs w:val="24"/>
        </w:rPr>
        <w:t>AfterIDD</w:t>
      </w:r>
      <w:proofErr w:type="spellEnd"/>
      <w:r w:rsidRPr="00F634D2">
        <w:rPr>
          <w:rFonts w:ascii="Times New Roman" w:eastAsia="DengXian" w:hAnsi="Times New Roman" w:cs="Times New Roman"/>
          <w:i/>
          <w:sz w:val="24"/>
          <w:szCs w:val="24"/>
        </w:rPr>
        <w:t xml:space="preserve"> </w:t>
      </w:r>
      <w:r w:rsidRPr="00F634D2">
        <w:rPr>
          <w:rFonts w:ascii="Times New Roman" w:eastAsia="DengXian" w:hAnsi="Times New Roman" w:cs="Times New Roman"/>
          <w:sz w:val="24"/>
          <w:szCs w:val="24"/>
        </w:rPr>
        <w:t xml:space="preserve">and report the results in Column 2 of Table 8. The results show that the interaction term between </w:t>
      </w:r>
      <w:proofErr w:type="spellStart"/>
      <w:r w:rsidRPr="00F634D2">
        <w:rPr>
          <w:rFonts w:ascii="Times New Roman" w:eastAsia="DengXian" w:hAnsi="Times New Roman" w:cs="Times New Roman"/>
          <w:i/>
          <w:sz w:val="24"/>
          <w:szCs w:val="24"/>
        </w:rPr>
        <w:t>Nswitch</w:t>
      </w:r>
      <w:proofErr w:type="spellEnd"/>
      <w:r w:rsidRPr="00F634D2">
        <w:rPr>
          <w:rFonts w:ascii="Times New Roman" w:eastAsia="DengXian" w:hAnsi="Times New Roman" w:cs="Times New Roman"/>
          <w:sz w:val="24"/>
          <w:szCs w:val="24"/>
        </w:rPr>
        <w:t xml:space="preserve"> and </w:t>
      </w:r>
      <w:proofErr w:type="spellStart"/>
      <w:r w:rsidRPr="00F634D2">
        <w:rPr>
          <w:rFonts w:ascii="Times New Roman" w:eastAsia="DengXian" w:hAnsi="Times New Roman" w:cs="Times New Roman"/>
          <w:i/>
          <w:sz w:val="24"/>
          <w:szCs w:val="24"/>
        </w:rPr>
        <w:t>AfterIDD</w:t>
      </w:r>
      <w:proofErr w:type="spellEnd"/>
      <w:r w:rsidRPr="00F634D2">
        <w:rPr>
          <w:rFonts w:ascii="Times New Roman" w:eastAsia="DengXian" w:hAnsi="Times New Roman" w:cs="Times New Roman"/>
          <w:sz w:val="24"/>
          <w:szCs w:val="24"/>
        </w:rPr>
        <w:t xml:space="preserve"> is significantly positive at the 5 percent level, suggesting that more risk-averse CEOs are provided with higher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 xml:space="preserve">ega after IDD adoption. </w:t>
      </w:r>
    </w:p>
    <w:p w14:paraId="2FB6AD6B" w14:textId="77777777" w:rsidR="00D50589" w:rsidRPr="00F634D2" w:rsidRDefault="00686261">
      <w:pPr>
        <w:adjustRightInd w:val="0"/>
        <w:snapToGrid w:val="0"/>
        <w:spacing w:after="0" w:line="480" w:lineRule="auto"/>
        <w:jc w:val="both"/>
        <w:rPr>
          <w:rFonts w:ascii="Times New Roman" w:eastAsia="Yu Mincho" w:hAnsi="Times New Roman" w:cs="Times New Roman"/>
          <w:sz w:val="24"/>
          <w:szCs w:val="24"/>
        </w:rPr>
      </w:pPr>
      <w:r w:rsidRPr="00F634D2">
        <w:rPr>
          <w:rFonts w:ascii="Times New Roman" w:eastAsia="DengXian" w:hAnsi="Times New Roman" w:cs="Times New Roman"/>
          <w:b/>
          <w:i/>
          <w:iCs/>
          <w:sz w:val="24"/>
          <w:szCs w:val="24"/>
        </w:rPr>
        <w:t xml:space="preserve">6.7 IDD non-adoption </w:t>
      </w:r>
    </w:p>
    <w:p w14:paraId="0E27BF63" w14:textId="5423BD21" w:rsidR="00D50589" w:rsidRPr="00F634D2" w:rsidRDefault="00686261">
      <w:pPr>
        <w:keepNext/>
        <w:adjustRightInd w:val="0"/>
        <w:snapToGrid w:val="0"/>
        <w:spacing w:after="0" w:line="480" w:lineRule="auto"/>
        <w:ind w:firstLine="454"/>
        <w:jc w:val="both"/>
        <w:rPr>
          <w:rFonts w:ascii="Times New Roman" w:eastAsia="DengXian" w:hAnsi="Times New Roman" w:cs="Times New Roman"/>
          <w:iCs/>
          <w:sz w:val="24"/>
          <w:szCs w:val="24"/>
        </w:rPr>
      </w:pPr>
      <w:r w:rsidRPr="00F634D2">
        <w:rPr>
          <w:rFonts w:ascii="Times New Roman" w:eastAsia="DengXian" w:hAnsi="Times New Roman" w:cs="Times New Roman"/>
          <w:sz w:val="24"/>
          <w:szCs w:val="24"/>
        </w:rPr>
        <w:t>As shown in Appendix B, there are two types of scenarios where the IDD was not adopted. The first is when the IDD was never adopted: we create an indicator for such a scenario (</w:t>
      </w:r>
      <w:proofErr w:type="spellStart"/>
      <w:r w:rsidRPr="00F634D2">
        <w:rPr>
          <w:rFonts w:ascii="Times New Roman" w:eastAsia="DengXian" w:hAnsi="Times New Roman" w:cs="Times New Roman"/>
          <w:i/>
          <w:sz w:val="24"/>
          <w:szCs w:val="24"/>
        </w:rPr>
        <w:t>Nreversal</w:t>
      </w:r>
      <w:proofErr w:type="spellEnd"/>
      <w:r w:rsidRPr="00F634D2">
        <w:rPr>
          <w:rFonts w:ascii="Times New Roman" w:eastAsia="DengXian" w:hAnsi="Times New Roman" w:cs="Times New Roman"/>
          <w:sz w:val="24"/>
          <w:szCs w:val="24"/>
        </w:rPr>
        <w:t xml:space="preserve">). </w:t>
      </w:r>
      <w:r w:rsidRPr="00F634D2">
        <w:rPr>
          <w:rFonts w:ascii="Times New Roman" w:eastAsia="DengXian" w:hAnsi="Times New Roman" w:cs="Times New Roman"/>
          <w:sz w:val="24"/>
          <w:szCs w:val="24"/>
        </w:rPr>
        <w:lastRenderedPageBreak/>
        <w:t xml:space="preserve">The second is when the prior adoption was reversed; for this scenario, we create the indicator </w:t>
      </w:r>
      <w:r w:rsidRPr="00F634D2">
        <w:rPr>
          <w:rFonts w:ascii="Times New Roman" w:eastAsia="DengXian" w:hAnsi="Times New Roman" w:cs="Times New Roman"/>
          <w:i/>
          <w:sz w:val="24"/>
          <w:szCs w:val="24"/>
        </w:rPr>
        <w:t>Reversal</w:t>
      </w:r>
      <w:r w:rsidRPr="00F634D2">
        <w:rPr>
          <w:rFonts w:ascii="Times New Roman" w:eastAsia="DengXian" w:hAnsi="Times New Roman" w:cs="Times New Roman"/>
          <w:sz w:val="24"/>
          <w:szCs w:val="24"/>
        </w:rPr>
        <w:t xml:space="preserve">. In the place of </w:t>
      </w:r>
      <w:proofErr w:type="spellStart"/>
      <w:r w:rsidRPr="00F634D2">
        <w:rPr>
          <w:rFonts w:ascii="Times New Roman" w:eastAsia="DengXian" w:hAnsi="Times New Roman" w:cs="Times New Roman"/>
          <w:i/>
          <w:sz w:val="24"/>
          <w:szCs w:val="24"/>
        </w:rPr>
        <w:t>AfterIDD</w:t>
      </w:r>
      <w:proofErr w:type="spellEnd"/>
      <w:r w:rsidRPr="00F634D2">
        <w:rPr>
          <w:rFonts w:ascii="Times New Roman" w:eastAsia="DengXian" w:hAnsi="Times New Roman" w:cs="Times New Roman"/>
          <w:sz w:val="24"/>
          <w:szCs w:val="24"/>
        </w:rPr>
        <w:t xml:space="preserve">, we use these two indicators to differentiate the effects of these two types of IDD non-adoption on CEO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 xml:space="preserve">ega. The results are reported in Column 3 of Table 8. The results show that the coefficient on </w:t>
      </w:r>
      <w:proofErr w:type="spellStart"/>
      <w:r w:rsidRPr="00F634D2">
        <w:rPr>
          <w:rFonts w:ascii="Times New Roman" w:eastAsia="DengXian" w:hAnsi="Times New Roman" w:cs="Times New Roman"/>
          <w:i/>
          <w:sz w:val="24"/>
          <w:szCs w:val="24"/>
        </w:rPr>
        <w:t>Nreversal</w:t>
      </w:r>
      <w:proofErr w:type="spellEnd"/>
      <w:r w:rsidRPr="00F634D2">
        <w:rPr>
          <w:rFonts w:ascii="Times New Roman" w:eastAsia="DengXian" w:hAnsi="Times New Roman" w:cs="Times New Roman"/>
          <w:sz w:val="24"/>
          <w:szCs w:val="24"/>
        </w:rPr>
        <w:t xml:space="preserve"> is more significantly negative than the coefficient on </w:t>
      </w:r>
      <w:r w:rsidRPr="00F634D2">
        <w:rPr>
          <w:rFonts w:ascii="Times New Roman" w:eastAsia="DengXian" w:hAnsi="Times New Roman" w:cs="Times New Roman"/>
          <w:i/>
          <w:sz w:val="24"/>
          <w:szCs w:val="24"/>
        </w:rPr>
        <w:t>Reversal</w:t>
      </w:r>
      <w:r w:rsidRPr="00F634D2">
        <w:rPr>
          <w:rFonts w:ascii="Times New Roman" w:eastAsia="DengXian" w:hAnsi="Times New Roman" w:cs="Times New Roman"/>
          <w:sz w:val="24"/>
          <w:szCs w:val="24"/>
        </w:rPr>
        <w:t xml:space="preserve">, suggesting that, of the two, the scenario wherein the IDD was never adopted has a more negative impact on CEO risk-taking incentives. </w:t>
      </w:r>
    </w:p>
    <w:p w14:paraId="25E5E074" w14:textId="77777777" w:rsidR="00D50589" w:rsidRPr="00F634D2" w:rsidRDefault="00686261">
      <w:pPr>
        <w:keepNext/>
        <w:adjustRightInd w:val="0"/>
        <w:snapToGrid w:val="0"/>
        <w:spacing w:after="0" w:line="480" w:lineRule="auto"/>
        <w:rPr>
          <w:rFonts w:ascii="Times New Roman" w:hAnsi="Times New Roman" w:cs="Times New Roman"/>
          <w:b/>
          <w:bCs/>
          <w:i/>
          <w:iCs/>
          <w:sz w:val="24"/>
          <w:szCs w:val="24"/>
        </w:rPr>
      </w:pPr>
      <w:r w:rsidRPr="00F634D2">
        <w:rPr>
          <w:rFonts w:ascii="Times New Roman" w:hAnsi="Times New Roman" w:cs="Times New Roman"/>
          <w:b/>
          <w:bCs/>
          <w:i/>
          <w:iCs/>
          <w:sz w:val="24"/>
          <w:szCs w:val="24"/>
        </w:rPr>
        <w:t>6.8 Including CEO-fixed effects and excluding CEO turnover events</w:t>
      </w:r>
    </w:p>
    <w:p w14:paraId="7EE09169" w14:textId="0CFE5C6E" w:rsidR="00D50589" w:rsidRPr="00F634D2" w:rsidRDefault="00686261">
      <w:pPr>
        <w:adjustRightInd w:val="0"/>
        <w:snapToGrid w:val="0"/>
        <w:spacing w:after="0" w:line="480" w:lineRule="auto"/>
        <w:ind w:firstLineChars="200" w:firstLine="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We argue that CEO risk-taking incentives increase after IDD adoption. An alternative argument is that the changes in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 xml:space="preserve">ega are driven by unobserved changes in CEO characteristics around IDD adoption. To better control for the potential changes in CEO characteristics, we further include CEO fixed effects in our regression and find that the </w:t>
      </w:r>
      <w:proofErr w:type="spellStart"/>
      <w:r w:rsidRPr="00F634D2">
        <w:rPr>
          <w:rFonts w:ascii="Times New Roman" w:eastAsia="DengXian" w:hAnsi="Times New Roman" w:cs="Times New Roman"/>
          <w:sz w:val="24"/>
          <w:szCs w:val="24"/>
        </w:rPr>
        <w:t>untabulated</w:t>
      </w:r>
      <w:proofErr w:type="spellEnd"/>
      <w:r w:rsidRPr="00F634D2">
        <w:rPr>
          <w:rFonts w:ascii="Times New Roman" w:eastAsia="DengXian" w:hAnsi="Times New Roman" w:cs="Times New Roman"/>
          <w:sz w:val="24"/>
          <w:szCs w:val="24"/>
        </w:rPr>
        <w:t xml:space="preserve"> results remain qualitatively similar to the primary results. These results indicate that our primary results are not driven by unobserved changes in CEO characteristics.</w:t>
      </w:r>
    </w:p>
    <w:p w14:paraId="08377018" w14:textId="77777777" w:rsidR="00D50589" w:rsidRPr="00F634D2" w:rsidRDefault="00686261">
      <w:pPr>
        <w:adjustRightInd w:val="0"/>
        <w:snapToGrid w:val="0"/>
        <w:spacing w:after="0" w:line="480" w:lineRule="auto"/>
        <w:ind w:firstLineChars="200" w:firstLine="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To further mitigate the endogeneity concern, we exclude firms that experience any CEO turnover event within the five-year window around the state’s adoption of the IDD.</w:t>
      </w:r>
      <w:r w:rsidRPr="00F634D2">
        <w:rPr>
          <w:rStyle w:val="FootnoteReference"/>
          <w:rFonts w:ascii="Times New Roman" w:eastAsia="DengXian" w:hAnsi="Times New Roman" w:cs="Times New Roman"/>
          <w:sz w:val="24"/>
          <w:szCs w:val="24"/>
        </w:rPr>
        <w:footnoteReference w:id="15"/>
      </w:r>
      <w:r w:rsidRPr="00F634D2">
        <w:rPr>
          <w:rFonts w:ascii="Times New Roman" w:eastAsia="DengXian" w:hAnsi="Times New Roman" w:cs="Times New Roman"/>
          <w:sz w:val="24"/>
          <w:szCs w:val="24"/>
        </w:rPr>
        <w:t xml:space="preserve"> The results remain qualitatively similar to the primary results after this exclusion.</w:t>
      </w:r>
    </w:p>
    <w:p w14:paraId="51D40170" w14:textId="77777777" w:rsidR="00D50589" w:rsidRPr="00F634D2" w:rsidRDefault="00686261">
      <w:pPr>
        <w:keepNext/>
        <w:adjustRightInd w:val="0"/>
        <w:snapToGrid w:val="0"/>
        <w:spacing w:after="0" w:line="480" w:lineRule="auto"/>
        <w:jc w:val="both"/>
        <w:rPr>
          <w:rFonts w:ascii="Times New Roman" w:eastAsia="DengXian" w:hAnsi="Times New Roman" w:cs="Times New Roman"/>
          <w:b/>
          <w:sz w:val="24"/>
          <w:szCs w:val="24"/>
        </w:rPr>
      </w:pPr>
      <w:r w:rsidRPr="00F634D2">
        <w:rPr>
          <w:rFonts w:ascii="Times New Roman" w:eastAsia="DengXian" w:hAnsi="Times New Roman" w:cs="Times New Roman" w:hint="eastAsia"/>
          <w:b/>
          <w:sz w:val="24"/>
          <w:szCs w:val="24"/>
        </w:rPr>
        <w:t>7</w:t>
      </w:r>
      <w:r w:rsidRPr="00F634D2">
        <w:rPr>
          <w:rFonts w:ascii="Times New Roman" w:eastAsia="DengXian" w:hAnsi="Times New Roman" w:cs="Times New Roman"/>
          <w:b/>
          <w:sz w:val="24"/>
          <w:szCs w:val="24"/>
        </w:rPr>
        <w:t>. Conclusion</w:t>
      </w:r>
    </w:p>
    <w:p w14:paraId="4D4812C8" w14:textId="04110E60" w:rsidR="00D50589" w:rsidRPr="00F634D2" w:rsidRDefault="00686261">
      <w:pPr>
        <w:adjustRightInd w:val="0"/>
        <w:snapToGrid w:val="0"/>
        <w:spacing w:after="0" w:line="480" w:lineRule="auto"/>
        <w:ind w:firstLineChars="200" w:firstLine="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This study investigates how the IDD affects CEO risk-taking incentives as reflected by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 xml:space="preserve">ega. The IDD restricts employment mobility to reduce mobility-induced information leakage of trade secrets. The staggered adoption of the IDD by U.S. states over time creates a natural </w:t>
      </w:r>
      <w:r w:rsidR="009D7E64" w:rsidRPr="00F634D2">
        <w:rPr>
          <w:rFonts w:ascii="Times New Roman" w:eastAsia="DengXian" w:hAnsi="Times New Roman" w:cs="Times New Roman"/>
          <w:sz w:val="24"/>
          <w:szCs w:val="24"/>
        </w:rPr>
        <w:t xml:space="preserve">experiment </w:t>
      </w:r>
      <w:r w:rsidRPr="00F634D2">
        <w:rPr>
          <w:rFonts w:ascii="Times New Roman" w:eastAsia="DengXian" w:hAnsi="Times New Roman" w:cs="Times New Roman"/>
          <w:sz w:val="24"/>
          <w:szCs w:val="24"/>
        </w:rPr>
        <w:t xml:space="preserve">in which the relationship between employment mobility and CEO risk-taking incentives can be examined. We find that firms provide higher CEO </w:t>
      </w:r>
      <w:r w:rsidR="00256EB2" w:rsidRPr="00F634D2">
        <w:rPr>
          <w:rFonts w:ascii="Times New Roman" w:eastAsia="DengXian" w:hAnsi="Times New Roman" w:cs="Times New Roman"/>
          <w:sz w:val="24"/>
          <w:szCs w:val="24"/>
        </w:rPr>
        <w:t>V</w:t>
      </w:r>
      <w:r w:rsidRPr="00F634D2">
        <w:rPr>
          <w:rFonts w:ascii="Times New Roman" w:eastAsia="DengXian" w:hAnsi="Times New Roman" w:cs="Times New Roman"/>
          <w:sz w:val="24"/>
          <w:szCs w:val="24"/>
        </w:rPr>
        <w:t xml:space="preserve">ega after IDD adoption, suggesting a positive </w:t>
      </w:r>
      <w:r w:rsidRPr="00F634D2">
        <w:rPr>
          <w:rFonts w:ascii="Times New Roman" w:eastAsia="DengXian" w:hAnsi="Times New Roman" w:cs="Times New Roman"/>
          <w:sz w:val="24"/>
          <w:szCs w:val="24"/>
        </w:rPr>
        <w:lastRenderedPageBreak/>
        <w:t xml:space="preserve">association between labor mobility restriction and CEO risk-taking incentives. Moreover, we find that the positive association between adoption of the IDD and CEO risk-taking incentives is greater for firms in more homogeneous industries and for CEOs in the later years of their tenure. </w:t>
      </w:r>
    </w:p>
    <w:p w14:paraId="61056E7A" w14:textId="77777777" w:rsidR="00D50589" w:rsidRPr="00F634D2" w:rsidRDefault="00686261">
      <w:pPr>
        <w:adjustRightInd w:val="0"/>
        <w:snapToGrid w:val="0"/>
        <w:spacing w:after="0" w:line="480" w:lineRule="auto"/>
        <w:ind w:firstLineChars="200" w:firstLine="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Our study has several implications. First, our findings imply that the restriction of employment mobility affects CEO risk-taking and that firms adjust CEO risk-taking incentives to maintain optimal risk-taking levels. Second, our results provide a new perspective on the determinants of executive compensation. Employment mobility is an important factor that should be taken into consideration when assessing managerial incentive structures adopted by firms. Third, our results are relevant to the ongoing debate on firms’ decision-making processes related to CEO compensation. They shed light on how the competitive business environment in which firms operate affects the process of determining CEO compensation at the firm level.</w:t>
      </w:r>
    </w:p>
    <w:p w14:paraId="58183559" w14:textId="42611F16" w:rsidR="00D50589" w:rsidRPr="00F634D2" w:rsidRDefault="00D50589">
      <w:pPr>
        <w:adjustRightInd w:val="0"/>
        <w:snapToGrid w:val="0"/>
        <w:spacing w:after="0" w:line="480" w:lineRule="auto"/>
        <w:jc w:val="both"/>
        <w:rPr>
          <w:rFonts w:ascii="Times New Roman" w:eastAsia="DengXian" w:hAnsi="Times New Roman" w:cs="Times New Roman"/>
          <w:sz w:val="24"/>
          <w:szCs w:val="24"/>
          <w:lang w:val="en-GB"/>
        </w:rPr>
      </w:pPr>
    </w:p>
    <w:p w14:paraId="33C372BF" w14:textId="77777777" w:rsidR="00D50589" w:rsidRPr="00F634D2" w:rsidRDefault="00D50589" w:rsidP="007E03F2">
      <w:pPr>
        <w:adjustRightInd w:val="0"/>
        <w:snapToGrid w:val="0"/>
        <w:spacing w:after="0" w:line="480" w:lineRule="auto"/>
        <w:jc w:val="both"/>
        <w:rPr>
          <w:rFonts w:ascii="Times New Roman" w:eastAsia="DengXian" w:hAnsi="Times New Roman" w:cs="Times New Roman"/>
          <w:b/>
          <w:bCs/>
          <w:sz w:val="24"/>
          <w:szCs w:val="24"/>
          <w:lang w:val="en-GB"/>
        </w:rPr>
      </w:pPr>
    </w:p>
    <w:p w14:paraId="4792D1B9" w14:textId="77777777" w:rsidR="00EA26E1" w:rsidRPr="00F634D2" w:rsidRDefault="00EA26E1">
      <w:pPr>
        <w:rPr>
          <w:rFonts w:ascii="Times New Roman" w:eastAsia="DengXian" w:hAnsi="Times New Roman" w:cs="Times New Roman"/>
          <w:b/>
          <w:bCs/>
          <w:sz w:val="24"/>
          <w:szCs w:val="24"/>
        </w:rPr>
      </w:pPr>
      <w:r w:rsidRPr="00F634D2">
        <w:rPr>
          <w:rFonts w:ascii="Times New Roman" w:eastAsia="DengXian" w:hAnsi="Times New Roman" w:cs="Times New Roman"/>
          <w:b/>
          <w:bCs/>
          <w:sz w:val="24"/>
          <w:szCs w:val="24"/>
        </w:rPr>
        <w:br w:type="page"/>
      </w:r>
    </w:p>
    <w:p w14:paraId="6C15D3F0" w14:textId="22F2617E" w:rsidR="00D50589" w:rsidRPr="00F634D2" w:rsidRDefault="00686261">
      <w:pPr>
        <w:adjustRightInd w:val="0"/>
        <w:snapToGrid w:val="0"/>
        <w:spacing w:after="0" w:line="480" w:lineRule="auto"/>
        <w:ind w:left="480" w:hangingChars="200" w:hanging="480"/>
        <w:jc w:val="center"/>
        <w:rPr>
          <w:rFonts w:ascii="Times New Roman" w:eastAsia="DengXian" w:hAnsi="Times New Roman" w:cs="Times New Roman"/>
          <w:b/>
          <w:bCs/>
          <w:sz w:val="24"/>
          <w:szCs w:val="24"/>
        </w:rPr>
      </w:pPr>
      <w:r w:rsidRPr="00F634D2">
        <w:rPr>
          <w:rFonts w:ascii="Times New Roman" w:eastAsia="DengXian" w:hAnsi="Times New Roman" w:cs="Times New Roman" w:hint="eastAsia"/>
          <w:b/>
          <w:bCs/>
          <w:sz w:val="24"/>
          <w:szCs w:val="24"/>
        </w:rPr>
        <w:lastRenderedPageBreak/>
        <w:t>R</w:t>
      </w:r>
      <w:r w:rsidRPr="00F634D2">
        <w:rPr>
          <w:rFonts w:ascii="Times New Roman" w:eastAsia="DengXian" w:hAnsi="Times New Roman" w:cs="Times New Roman"/>
          <w:b/>
          <w:bCs/>
          <w:sz w:val="24"/>
          <w:szCs w:val="24"/>
        </w:rPr>
        <w:t>eferences</w:t>
      </w:r>
    </w:p>
    <w:p w14:paraId="1C709421" w14:textId="16A1E596"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r w:rsidRPr="00F634D2">
        <w:rPr>
          <w:rFonts w:ascii="Times New Roman" w:hAnsi="Times New Roman" w:cs="Times New Roman"/>
          <w:sz w:val="24"/>
          <w:szCs w:val="24"/>
          <w:lang w:val="en-GB"/>
        </w:rPr>
        <w:t xml:space="preserve">Ali, A., and W. Zhang. 2015. “CEO tenure and earnings management.” </w:t>
      </w:r>
      <w:r w:rsidRPr="00F634D2">
        <w:rPr>
          <w:rFonts w:ascii="Times New Roman" w:hAnsi="Times New Roman" w:cs="Times New Roman"/>
          <w:i/>
          <w:iCs/>
          <w:sz w:val="24"/>
          <w:szCs w:val="24"/>
          <w:lang w:val="en-GB"/>
        </w:rPr>
        <w:t xml:space="preserve">Journal of Accounting and Economics </w:t>
      </w:r>
      <w:r w:rsidRPr="00F634D2">
        <w:rPr>
          <w:rFonts w:ascii="Times New Roman" w:hAnsi="Times New Roman" w:cs="Times New Roman"/>
          <w:iCs/>
          <w:sz w:val="24"/>
          <w:szCs w:val="24"/>
          <w:lang w:val="en-GB"/>
        </w:rPr>
        <w:t>59 (1)</w:t>
      </w:r>
      <w:r w:rsidRPr="00F634D2">
        <w:rPr>
          <w:rFonts w:ascii="Times New Roman" w:hAnsi="Times New Roman" w:cs="Times New Roman"/>
          <w:sz w:val="24"/>
          <w:szCs w:val="24"/>
          <w:lang w:val="en-GB"/>
        </w:rPr>
        <w:t>: 60</w:t>
      </w:r>
      <w:r w:rsidRPr="00F634D2">
        <w:rPr>
          <w:rFonts w:ascii="Times New Roman" w:hAnsi="Times New Roman" w:cs="Times New Roman"/>
          <w:sz w:val="24"/>
          <w:szCs w:val="24"/>
        </w:rPr>
        <w:t>–</w:t>
      </w:r>
      <w:r w:rsidRPr="00F634D2">
        <w:rPr>
          <w:rFonts w:ascii="Times New Roman" w:hAnsi="Times New Roman" w:cs="Times New Roman"/>
          <w:sz w:val="24"/>
          <w:szCs w:val="24"/>
          <w:lang w:val="en-GB"/>
        </w:rPr>
        <w:t xml:space="preserve">79. </w:t>
      </w:r>
    </w:p>
    <w:p w14:paraId="25EF65DF" w14:textId="77777777"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Ali, A., N. Li, and W. Zhang. 2015. “Restrictions on managers’ outside employment opportunities and asymmetric disclosure of bad versus good news.</w:t>
      </w:r>
      <w:r w:rsidRPr="00F634D2">
        <w:rPr>
          <w:rFonts w:ascii="Times New Roman" w:hAnsi="Times New Roman" w:cs="Times New Roman"/>
          <w:sz w:val="24"/>
          <w:szCs w:val="24"/>
          <w:lang w:val="en-GB"/>
        </w:rPr>
        <w:t>”</w:t>
      </w:r>
      <w:r w:rsidRPr="00F634D2">
        <w:rPr>
          <w:rFonts w:ascii="Times New Roman" w:eastAsia="DengXian" w:hAnsi="Times New Roman" w:cs="Times New Roman"/>
          <w:sz w:val="24"/>
          <w:szCs w:val="24"/>
        </w:rPr>
        <w:t xml:space="preserve"> Working paper, University of Texas at Dallas.</w:t>
      </w:r>
    </w:p>
    <w:p w14:paraId="6C23D21C" w14:textId="586E32DB" w:rsidR="00D50589" w:rsidRPr="00F634D2" w:rsidRDefault="00686261">
      <w:pPr>
        <w:autoSpaceDE w:val="0"/>
        <w:autoSpaceDN w:val="0"/>
        <w:adjustRightInd w:val="0"/>
        <w:spacing w:after="0" w:line="480" w:lineRule="auto"/>
        <w:ind w:left="624" w:hanging="624"/>
        <w:jc w:val="both"/>
        <w:rPr>
          <w:rFonts w:ascii="Times New Roman" w:hAnsi="Times New Roman" w:cs="Times New Roman"/>
          <w:sz w:val="24"/>
          <w:szCs w:val="24"/>
        </w:rPr>
      </w:pPr>
      <w:r w:rsidRPr="00F634D2">
        <w:rPr>
          <w:rFonts w:ascii="Times New Roman" w:hAnsi="Times New Roman" w:cs="Times New Roman"/>
          <w:sz w:val="24"/>
          <w:szCs w:val="24"/>
        </w:rPr>
        <w:t xml:space="preserve">Altman, E. 1968. “Financial ratios, discriminant analysis, and the prediction of corporate bankruptcy.” </w:t>
      </w:r>
      <w:r w:rsidRPr="00F634D2">
        <w:rPr>
          <w:rFonts w:ascii="Times New Roman" w:hAnsi="Times New Roman" w:cs="Times New Roman"/>
          <w:i/>
          <w:sz w:val="24"/>
          <w:szCs w:val="24"/>
        </w:rPr>
        <w:t>Journal of Finance</w:t>
      </w:r>
      <w:r w:rsidRPr="00F634D2">
        <w:rPr>
          <w:rFonts w:ascii="Times New Roman" w:hAnsi="Times New Roman" w:cs="Times New Roman"/>
          <w:sz w:val="24"/>
          <w:szCs w:val="24"/>
        </w:rPr>
        <w:t xml:space="preserve"> 23 (4): 589–609. </w:t>
      </w:r>
    </w:p>
    <w:p w14:paraId="35405B8E" w14:textId="74C58437" w:rsidR="00D50589" w:rsidRPr="00F634D2" w:rsidRDefault="00686261">
      <w:pPr>
        <w:adjustRightInd w:val="0"/>
        <w:snapToGrid w:val="0"/>
        <w:spacing w:after="0" w:line="480" w:lineRule="auto"/>
        <w:ind w:left="480" w:hangingChars="200" w:hanging="480"/>
        <w:jc w:val="both"/>
        <w:rPr>
          <w:rFonts w:ascii="Times New Roman" w:hAnsi="Times New Roman" w:cs="Times New Roman"/>
          <w:sz w:val="24"/>
          <w:szCs w:val="24"/>
        </w:rPr>
      </w:pPr>
      <w:r w:rsidRPr="00F634D2">
        <w:rPr>
          <w:rFonts w:ascii="Times New Roman" w:hAnsi="Times New Roman" w:cs="Times New Roman"/>
          <w:sz w:val="24"/>
          <w:szCs w:val="24"/>
        </w:rPr>
        <w:t xml:space="preserve">Armstrong, C., K. Balakrishnan, and D. Cohen. 2012a. “Corporate governance and the information environment: evidence from state antitakeover laws.” </w:t>
      </w:r>
      <w:r w:rsidRPr="00F634D2">
        <w:rPr>
          <w:rFonts w:ascii="Times New Roman" w:eastAsia="DengXian" w:hAnsi="Times New Roman" w:cs="Times New Roman"/>
          <w:i/>
          <w:iCs/>
          <w:sz w:val="24"/>
          <w:szCs w:val="24"/>
        </w:rPr>
        <w:t>Journal of Accounting and Economics</w:t>
      </w:r>
      <w:r w:rsidRPr="00F634D2">
        <w:rPr>
          <w:rFonts w:ascii="Times New Roman" w:eastAsia="DengXian" w:hAnsi="Times New Roman" w:cs="Times New Roman"/>
          <w:sz w:val="24"/>
          <w:szCs w:val="24"/>
        </w:rPr>
        <w:t xml:space="preserve"> </w:t>
      </w:r>
      <w:r w:rsidRPr="00F634D2">
        <w:rPr>
          <w:rFonts w:ascii="Times New Roman" w:eastAsia="DengXian" w:hAnsi="Times New Roman" w:cs="Times New Roman"/>
          <w:iCs/>
          <w:sz w:val="24"/>
          <w:szCs w:val="24"/>
        </w:rPr>
        <w:t>53 (1–2): 185–204</w:t>
      </w:r>
      <w:r w:rsidRPr="00F634D2">
        <w:rPr>
          <w:rFonts w:ascii="Times New Roman" w:hAnsi="Times New Roman" w:cs="Times New Roman"/>
          <w:sz w:val="24"/>
          <w:szCs w:val="24"/>
        </w:rPr>
        <w:t xml:space="preserve">. </w:t>
      </w:r>
    </w:p>
    <w:p w14:paraId="01053945" w14:textId="3066D9FD"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Armstrong, C., D. </w:t>
      </w:r>
      <w:proofErr w:type="spellStart"/>
      <w:r w:rsidRPr="00F634D2">
        <w:rPr>
          <w:rFonts w:ascii="Times New Roman" w:eastAsia="DengXian" w:hAnsi="Times New Roman" w:cs="Times New Roman"/>
          <w:sz w:val="24"/>
          <w:szCs w:val="24"/>
        </w:rPr>
        <w:t>Larcker</w:t>
      </w:r>
      <w:proofErr w:type="spellEnd"/>
      <w:r w:rsidRPr="00F634D2">
        <w:rPr>
          <w:rFonts w:ascii="Times New Roman" w:eastAsia="DengXian" w:hAnsi="Times New Roman" w:cs="Times New Roman"/>
          <w:sz w:val="24"/>
          <w:szCs w:val="24"/>
        </w:rPr>
        <w:t xml:space="preserve">, G. </w:t>
      </w:r>
      <w:proofErr w:type="spellStart"/>
      <w:r w:rsidRPr="00F634D2">
        <w:rPr>
          <w:rFonts w:ascii="Times New Roman" w:eastAsia="DengXian" w:hAnsi="Times New Roman" w:cs="Times New Roman"/>
          <w:sz w:val="24"/>
          <w:szCs w:val="24"/>
        </w:rPr>
        <w:t>Ormazabal</w:t>
      </w:r>
      <w:proofErr w:type="spellEnd"/>
      <w:r w:rsidRPr="00F634D2">
        <w:rPr>
          <w:rFonts w:ascii="Times New Roman" w:eastAsia="DengXian" w:hAnsi="Times New Roman" w:cs="Times New Roman"/>
          <w:sz w:val="24"/>
          <w:szCs w:val="24"/>
        </w:rPr>
        <w:t xml:space="preserve">, and D. Taylor. 2012b. “The relation between equity incentives and misreporting: the role of risk-taking incentives.” </w:t>
      </w:r>
      <w:r w:rsidRPr="00F634D2">
        <w:rPr>
          <w:rFonts w:ascii="Times New Roman" w:eastAsia="DengXian" w:hAnsi="Times New Roman" w:cs="Times New Roman"/>
          <w:i/>
          <w:sz w:val="24"/>
          <w:szCs w:val="24"/>
        </w:rPr>
        <w:t>Journal of Financial Economics</w:t>
      </w:r>
      <w:r w:rsidRPr="00F634D2">
        <w:rPr>
          <w:rFonts w:ascii="Times New Roman" w:eastAsia="DengXian" w:hAnsi="Times New Roman" w:cs="Times New Roman"/>
          <w:sz w:val="24"/>
          <w:szCs w:val="24"/>
        </w:rPr>
        <w:t xml:space="preserve"> 109 (2): 327–350. </w:t>
      </w:r>
    </w:p>
    <w:p w14:paraId="4072C802" w14:textId="6AA0A856"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Armstrong, C., and R. </w:t>
      </w:r>
      <w:proofErr w:type="spellStart"/>
      <w:r w:rsidRPr="00F634D2">
        <w:rPr>
          <w:rFonts w:ascii="Times New Roman" w:eastAsia="DengXian" w:hAnsi="Times New Roman" w:cs="Times New Roman"/>
          <w:sz w:val="24"/>
          <w:szCs w:val="24"/>
        </w:rPr>
        <w:t>Vashishtha</w:t>
      </w:r>
      <w:proofErr w:type="spellEnd"/>
      <w:r w:rsidRPr="00F634D2">
        <w:rPr>
          <w:rFonts w:ascii="Times New Roman" w:eastAsia="DengXian" w:hAnsi="Times New Roman" w:cs="Times New Roman"/>
          <w:sz w:val="24"/>
          <w:szCs w:val="24"/>
        </w:rPr>
        <w:t xml:space="preserve">. 2012. “Executive stock options, differential risk-taking incentives, and firm value.” </w:t>
      </w:r>
      <w:r w:rsidRPr="00F634D2">
        <w:rPr>
          <w:rFonts w:ascii="Times New Roman" w:eastAsia="DengXian" w:hAnsi="Times New Roman" w:cs="Times New Roman"/>
          <w:i/>
          <w:sz w:val="24"/>
          <w:szCs w:val="24"/>
        </w:rPr>
        <w:t>Journal of Financial Economics</w:t>
      </w:r>
      <w:r w:rsidRPr="00F634D2">
        <w:rPr>
          <w:rFonts w:ascii="Times New Roman" w:eastAsia="DengXian" w:hAnsi="Times New Roman" w:cs="Times New Roman"/>
          <w:sz w:val="24"/>
          <w:szCs w:val="24"/>
        </w:rPr>
        <w:t xml:space="preserve"> 104 (1): 70–88. </w:t>
      </w:r>
    </w:p>
    <w:p w14:paraId="0E6FDA8F" w14:textId="37E86CBF"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r w:rsidRPr="00F634D2">
        <w:rPr>
          <w:rFonts w:ascii="Times New Roman" w:hAnsi="Times New Roman" w:cs="Times New Roman"/>
          <w:sz w:val="24"/>
          <w:szCs w:val="24"/>
        </w:rPr>
        <w:t xml:space="preserve">Berger, P., E. </w:t>
      </w:r>
      <w:proofErr w:type="spellStart"/>
      <w:r w:rsidRPr="00F634D2">
        <w:rPr>
          <w:rFonts w:ascii="Times New Roman" w:hAnsi="Times New Roman" w:cs="Times New Roman"/>
          <w:sz w:val="24"/>
          <w:szCs w:val="24"/>
        </w:rPr>
        <w:t>Ofek</w:t>
      </w:r>
      <w:proofErr w:type="spellEnd"/>
      <w:r w:rsidRPr="00F634D2">
        <w:rPr>
          <w:rFonts w:ascii="Times New Roman" w:hAnsi="Times New Roman" w:cs="Times New Roman"/>
          <w:sz w:val="24"/>
          <w:szCs w:val="24"/>
        </w:rPr>
        <w:t>, and D. Yermack. 1997. “Managerial entrenchment and capital</w:t>
      </w:r>
      <w:r w:rsidRPr="00F634D2">
        <w:rPr>
          <w:rFonts w:ascii="Times New Roman" w:eastAsia="DengXian" w:hAnsi="Times New Roman" w:cs="Times New Roman"/>
          <w:sz w:val="24"/>
          <w:szCs w:val="24"/>
        </w:rPr>
        <w:t xml:space="preserve"> </w:t>
      </w:r>
      <w:r w:rsidRPr="00F634D2">
        <w:rPr>
          <w:rFonts w:ascii="Times New Roman" w:hAnsi="Times New Roman" w:cs="Times New Roman"/>
          <w:sz w:val="24"/>
          <w:szCs w:val="24"/>
        </w:rPr>
        <w:t xml:space="preserve">structure decisions.” </w:t>
      </w:r>
      <w:r w:rsidRPr="00F634D2">
        <w:rPr>
          <w:rFonts w:ascii="Times New Roman" w:hAnsi="Times New Roman" w:cs="Times New Roman"/>
          <w:i/>
          <w:sz w:val="24"/>
          <w:szCs w:val="24"/>
        </w:rPr>
        <w:t>Journal</w:t>
      </w:r>
      <w:r w:rsidRPr="00F634D2">
        <w:rPr>
          <w:rFonts w:ascii="Times New Roman" w:eastAsia="DengXian" w:hAnsi="Times New Roman" w:cs="Times New Roman"/>
          <w:sz w:val="24"/>
          <w:szCs w:val="24"/>
        </w:rPr>
        <w:t xml:space="preserve"> </w:t>
      </w:r>
      <w:r w:rsidRPr="00F634D2">
        <w:rPr>
          <w:rFonts w:ascii="Times New Roman" w:hAnsi="Times New Roman" w:cs="Times New Roman"/>
          <w:i/>
          <w:sz w:val="24"/>
          <w:szCs w:val="24"/>
        </w:rPr>
        <w:t xml:space="preserve">of Finance </w:t>
      </w:r>
      <w:r w:rsidRPr="00F634D2">
        <w:rPr>
          <w:rFonts w:ascii="Times New Roman" w:hAnsi="Times New Roman" w:cs="Times New Roman"/>
          <w:sz w:val="24"/>
          <w:szCs w:val="24"/>
        </w:rPr>
        <w:t xml:space="preserve">52 (4): 1411–1438. </w:t>
      </w:r>
    </w:p>
    <w:p w14:paraId="7420591E" w14:textId="5A8B9538" w:rsidR="00D50589" w:rsidRPr="00F634D2" w:rsidRDefault="00686261">
      <w:pPr>
        <w:adjustRightInd w:val="0"/>
        <w:snapToGrid w:val="0"/>
        <w:spacing w:after="0" w:line="480" w:lineRule="auto"/>
        <w:ind w:left="480" w:hangingChars="200" w:hanging="480"/>
        <w:jc w:val="both"/>
        <w:rPr>
          <w:rFonts w:ascii="Times New Roman" w:eastAsia="PMingLiU" w:hAnsi="Times New Roman" w:cs="Times New Roman"/>
          <w:kern w:val="2"/>
          <w:sz w:val="24"/>
          <w:szCs w:val="24"/>
          <w:lang w:eastAsia="zh-HK"/>
        </w:rPr>
      </w:pPr>
      <w:r w:rsidRPr="00F634D2">
        <w:rPr>
          <w:rFonts w:ascii="Times New Roman" w:eastAsia="PMingLiU" w:hAnsi="Times New Roman" w:cs="Times New Roman"/>
          <w:kern w:val="2"/>
          <w:sz w:val="24"/>
          <w:szCs w:val="24"/>
          <w:lang w:eastAsia="zh-HK"/>
        </w:rPr>
        <w:t xml:space="preserve">Bertrand, M., E. </w:t>
      </w:r>
      <w:proofErr w:type="spellStart"/>
      <w:r w:rsidRPr="00F634D2">
        <w:rPr>
          <w:rFonts w:ascii="Times New Roman" w:eastAsia="PMingLiU" w:hAnsi="Times New Roman" w:cs="Times New Roman"/>
          <w:kern w:val="2"/>
          <w:sz w:val="24"/>
          <w:szCs w:val="24"/>
          <w:lang w:eastAsia="zh-HK"/>
        </w:rPr>
        <w:t>Duflo</w:t>
      </w:r>
      <w:proofErr w:type="spellEnd"/>
      <w:r w:rsidRPr="00F634D2">
        <w:rPr>
          <w:rFonts w:ascii="Times New Roman" w:eastAsia="PMingLiU" w:hAnsi="Times New Roman" w:cs="Times New Roman"/>
          <w:kern w:val="2"/>
          <w:sz w:val="24"/>
          <w:szCs w:val="24"/>
          <w:lang w:eastAsia="zh-HK"/>
        </w:rPr>
        <w:t xml:space="preserve">, and S. Mullainathan. 2004. “How much should we trust differences-in-differences estimates?” </w:t>
      </w:r>
      <w:r w:rsidRPr="00F634D2">
        <w:rPr>
          <w:rFonts w:ascii="Times New Roman" w:eastAsia="PMingLiU" w:hAnsi="Times New Roman" w:cs="Times New Roman"/>
          <w:i/>
          <w:kern w:val="2"/>
          <w:sz w:val="24"/>
          <w:szCs w:val="24"/>
          <w:lang w:eastAsia="zh-HK"/>
        </w:rPr>
        <w:t>Quarterly Journal of Economics</w:t>
      </w:r>
      <w:r w:rsidRPr="00F634D2">
        <w:rPr>
          <w:rFonts w:ascii="Times New Roman" w:eastAsia="PMingLiU" w:hAnsi="Times New Roman" w:cs="Times New Roman"/>
          <w:kern w:val="2"/>
          <w:sz w:val="24"/>
          <w:szCs w:val="24"/>
          <w:lang w:eastAsia="zh-HK"/>
        </w:rPr>
        <w:t xml:space="preserve"> 119 (1): 249–275. </w:t>
      </w:r>
    </w:p>
    <w:p w14:paraId="1807C472" w14:textId="24CFFF8D"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Bertrand, M., and S. Mullainathan. 2003. “Enjoying the quiet life? Corporate governance and managerial preferences.” </w:t>
      </w:r>
      <w:r w:rsidRPr="00F634D2">
        <w:rPr>
          <w:rFonts w:ascii="Times New Roman" w:eastAsia="DengXian" w:hAnsi="Times New Roman" w:cs="Times New Roman"/>
          <w:i/>
          <w:sz w:val="24"/>
          <w:szCs w:val="24"/>
        </w:rPr>
        <w:t>Journal of Political Economy</w:t>
      </w:r>
      <w:r w:rsidRPr="00F634D2">
        <w:rPr>
          <w:rFonts w:ascii="Times New Roman" w:eastAsia="DengXian" w:hAnsi="Times New Roman" w:cs="Times New Roman"/>
          <w:sz w:val="24"/>
          <w:szCs w:val="24"/>
        </w:rPr>
        <w:t xml:space="preserve"> 111 (5): 1043–1075. </w:t>
      </w:r>
    </w:p>
    <w:p w14:paraId="7D07F64B" w14:textId="39CDBCC7" w:rsidR="00D50589" w:rsidRPr="00F634D2" w:rsidRDefault="00686261">
      <w:pPr>
        <w:adjustRightInd w:val="0"/>
        <w:snapToGrid w:val="0"/>
        <w:spacing w:after="0" w:line="480" w:lineRule="auto"/>
        <w:ind w:left="480" w:hangingChars="200" w:hanging="480"/>
        <w:jc w:val="both"/>
        <w:rPr>
          <w:rFonts w:ascii="Times New Roman" w:eastAsia="PMingLiU" w:hAnsi="Times New Roman" w:cs="Times New Roman"/>
          <w:kern w:val="2"/>
          <w:sz w:val="24"/>
          <w:szCs w:val="24"/>
          <w:lang w:eastAsia="zh-HK"/>
        </w:rPr>
      </w:pPr>
      <w:proofErr w:type="spellStart"/>
      <w:r w:rsidRPr="00F634D2">
        <w:rPr>
          <w:rFonts w:ascii="Times New Roman" w:eastAsia="PMingLiU" w:hAnsi="Times New Roman" w:cs="Times New Roman"/>
          <w:kern w:val="2"/>
          <w:sz w:val="24"/>
          <w:szCs w:val="24"/>
          <w:lang w:eastAsia="zh-HK"/>
        </w:rPr>
        <w:lastRenderedPageBreak/>
        <w:t>Carcello</w:t>
      </w:r>
      <w:proofErr w:type="spellEnd"/>
      <w:r w:rsidRPr="00F634D2">
        <w:rPr>
          <w:rFonts w:ascii="Times New Roman" w:eastAsia="PMingLiU" w:hAnsi="Times New Roman" w:cs="Times New Roman"/>
          <w:kern w:val="2"/>
          <w:sz w:val="24"/>
          <w:szCs w:val="24"/>
          <w:lang w:eastAsia="zh-HK"/>
        </w:rPr>
        <w:t xml:space="preserve">, J., D. Hermanson, T. Neal, and R. Riley Jr. 2002. “Board characteristics and audit fees.” </w:t>
      </w:r>
      <w:r w:rsidRPr="00F634D2">
        <w:rPr>
          <w:rFonts w:ascii="Times New Roman" w:eastAsia="PMingLiU" w:hAnsi="Times New Roman" w:cs="Times New Roman"/>
          <w:i/>
          <w:kern w:val="2"/>
          <w:sz w:val="24"/>
          <w:szCs w:val="24"/>
          <w:lang w:eastAsia="zh-HK"/>
        </w:rPr>
        <w:t>Contemporary Accounting Research</w:t>
      </w:r>
      <w:r w:rsidRPr="00F634D2">
        <w:rPr>
          <w:rFonts w:ascii="Times New Roman" w:eastAsia="PMingLiU" w:hAnsi="Times New Roman" w:cs="Times New Roman"/>
          <w:kern w:val="2"/>
          <w:sz w:val="24"/>
          <w:szCs w:val="24"/>
          <w:lang w:eastAsia="zh-HK"/>
        </w:rPr>
        <w:t xml:space="preserve"> 19 (3): 365–384. </w:t>
      </w:r>
    </w:p>
    <w:p w14:paraId="358093E2" w14:textId="498621DB"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r w:rsidRPr="00F634D2">
        <w:rPr>
          <w:rFonts w:ascii="Times New Roman" w:hAnsi="Times New Roman" w:cs="Times New Roman"/>
          <w:sz w:val="24"/>
          <w:szCs w:val="24"/>
          <w:lang w:val="en-GB"/>
        </w:rPr>
        <w:t xml:space="preserve">Carpenter, J.N. 2000. “Does option compensation increase managerial risk appetite?” </w:t>
      </w:r>
      <w:r w:rsidRPr="00F634D2">
        <w:rPr>
          <w:rFonts w:ascii="Times New Roman" w:hAnsi="Times New Roman" w:cs="Times New Roman"/>
          <w:i/>
          <w:iCs/>
          <w:sz w:val="24"/>
          <w:szCs w:val="24"/>
          <w:lang w:val="en-GB"/>
        </w:rPr>
        <w:t xml:space="preserve">Journal of Finance </w:t>
      </w:r>
      <w:r w:rsidRPr="00F634D2">
        <w:rPr>
          <w:rFonts w:ascii="Times New Roman" w:hAnsi="Times New Roman" w:cs="Times New Roman"/>
          <w:sz w:val="24"/>
          <w:szCs w:val="24"/>
          <w:lang w:val="en-GB"/>
        </w:rPr>
        <w:t>55 (5): 2311</w:t>
      </w:r>
      <w:r w:rsidRPr="00F634D2">
        <w:rPr>
          <w:rFonts w:ascii="Times New Roman" w:hAnsi="Times New Roman" w:cs="Times New Roman"/>
          <w:sz w:val="24"/>
          <w:szCs w:val="24"/>
        </w:rPr>
        <w:t>–</w:t>
      </w:r>
      <w:r w:rsidRPr="00F634D2">
        <w:rPr>
          <w:rFonts w:ascii="Times New Roman" w:hAnsi="Times New Roman" w:cs="Times New Roman"/>
          <w:sz w:val="24"/>
          <w:szCs w:val="24"/>
          <w:lang w:val="en-GB"/>
        </w:rPr>
        <w:t xml:space="preserve">2331. </w:t>
      </w:r>
    </w:p>
    <w:p w14:paraId="20B609AA" w14:textId="77777777" w:rsidR="00D50589" w:rsidRPr="00F634D2" w:rsidRDefault="00686261">
      <w:pPr>
        <w:snapToGrid w:val="0"/>
        <w:spacing w:after="0" w:line="480" w:lineRule="auto"/>
        <w:ind w:left="480" w:hangingChars="200" w:hanging="480"/>
        <w:jc w:val="both"/>
        <w:rPr>
          <w:rFonts w:ascii="Times New Roman" w:hAnsi="Times New Roman" w:cs="Times New Roman"/>
          <w:sz w:val="24"/>
          <w:szCs w:val="24"/>
        </w:rPr>
      </w:pPr>
      <w:proofErr w:type="spellStart"/>
      <w:r w:rsidRPr="00F634D2">
        <w:rPr>
          <w:rFonts w:ascii="Times New Roman" w:hAnsi="Times New Roman" w:cs="Times New Roman"/>
          <w:sz w:val="24"/>
          <w:szCs w:val="24"/>
        </w:rPr>
        <w:t>Cici</w:t>
      </w:r>
      <w:proofErr w:type="spellEnd"/>
      <w:r w:rsidRPr="00F634D2">
        <w:rPr>
          <w:rFonts w:ascii="Times New Roman" w:hAnsi="Times New Roman" w:cs="Times New Roman"/>
          <w:sz w:val="24"/>
          <w:szCs w:val="24"/>
        </w:rPr>
        <w:t xml:space="preserve">, G., M. </w:t>
      </w:r>
      <w:proofErr w:type="spellStart"/>
      <w:r w:rsidRPr="00F634D2">
        <w:rPr>
          <w:rFonts w:ascii="Times New Roman" w:hAnsi="Times New Roman" w:cs="Times New Roman"/>
          <w:sz w:val="24"/>
          <w:szCs w:val="24"/>
        </w:rPr>
        <w:t>Hendriock</w:t>
      </w:r>
      <w:proofErr w:type="spellEnd"/>
      <w:r w:rsidRPr="00F634D2">
        <w:rPr>
          <w:rFonts w:ascii="Times New Roman" w:hAnsi="Times New Roman" w:cs="Times New Roman"/>
          <w:sz w:val="24"/>
          <w:szCs w:val="24"/>
        </w:rPr>
        <w:t xml:space="preserve">, and A. </w:t>
      </w:r>
      <w:proofErr w:type="spellStart"/>
      <w:r w:rsidRPr="00F634D2">
        <w:rPr>
          <w:rFonts w:ascii="Times New Roman" w:hAnsi="Times New Roman" w:cs="Times New Roman"/>
          <w:sz w:val="24"/>
          <w:szCs w:val="24"/>
        </w:rPr>
        <w:t>Kempf</w:t>
      </w:r>
      <w:proofErr w:type="spellEnd"/>
      <w:r w:rsidRPr="00F634D2">
        <w:rPr>
          <w:rFonts w:ascii="Times New Roman" w:hAnsi="Times New Roman" w:cs="Times New Roman"/>
          <w:sz w:val="24"/>
          <w:szCs w:val="24"/>
        </w:rPr>
        <w:t xml:space="preserve">. 2019. “The impact of labor mobility restrictions on managerial actions: evidence from the mutual fund industry.” Working paper, University of Kanas. </w:t>
      </w:r>
    </w:p>
    <w:p w14:paraId="029D79F5" w14:textId="7703028F"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Chakraborty, A., S. Sheikh, and N. Subramanian. 2007. “Termination risk and managerial risk taking.” </w:t>
      </w:r>
      <w:r w:rsidRPr="00F634D2">
        <w:rPr>
          <w:rFonts w:ascii="Times New Roman" w:eastAsia="DengXian" w:hAnsi="Times New Roman" w:cs="Times New Roman"/>
          <w:i/>
          <w:sz w:val="24"/>
          <w:szCs w:val="24"/>
        </w:rPr>
        <w:t>Journal of Corporate Finance</w:t>
      </w:r>
      <w:r w:rsidRPr="00F634D2">
        <w:rPr>
          <w:rFonts w:ascii="Times New Roman" w:eastAsia="DengXian" w:hAnsi="Times New Roman" w:cs="Times New Roman"/>
          <w:sz w:val="24"/>
          <w:szCs w:val="24"/>
        </w:rPr>
        <w:t xml:space="preserve"> 13 (1): 170–188. </w:t>
      </w:r>
    </w:p>
    <w:p w14:paraId="6E5C4C25" w14:textId="77777777"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proofErr w:type="spellStart"/>
      <w:r w:rsidRPr="00F634D2">
        <w:rPr>
          <w:rFonts w:ascii="Times New Roman" w:eastAsia="DengXian" w:hAnsi="Times New Roman" w:cs="Times New Roman"/>
          <w:sz w:val="24"/>
          <w:szCs w:val="24"/>
        </w:rPr>
        <w:t>Cheskin</w:t>
      </w:r>
      <w:proofErr w:type="spellEnd"/>
      <w:r w:rsidRPr="00F634D2">
        <w:rPr>
          <w:rFonts w:ascii="Times New Roman" w:eastAsia="DengXian" w:hAnsi="Times New Roman" w:cs="Times New Roman"/>
          <w:sz w:val="24"/>
          <w:szCs w:val="24"/>
        </w:rPr>
        <w:t xml:space="preserve">, M., and B. Lerner. 2003. “New concerns for traditional </w:t>
      </w:r>
      <w:proofErr w:type="spellStart"/>
      <w:r w:rsidRPr="00F634D2">
        <w:rPr>
          <w:rFonts w:ascii="Times New Roman" w:eastAsia="DengXian" w:hAnsi="Times New Roman" w:cs="Times New Roman"/>
          <w:sz w:val="24"/>
          <w:szCs w:val="24"/>
        </w:rPr>
        <w:t>noncompetes</w:t>
      </w:r>
      <w:proofErr w:type="spellEnd"/>
      <w:r w:rsidRPr="00F634D2">
        <w:rPr>
          <w:rFonts w:ascii="Times New Roman" w:eastAsia="DengXian" w:hAnsi="Times New Roman" w:cs="Times New Roman"/>
          <w:sz w:val="24"/>
          <w:szCs w:val="24"/>
        </w:rPr>
        <w:t xml:space="preserve">.” </w:t>
      </w:r>
      <w:r w:rsidRPr="00F634D2">
        <w:rPr>
          <w:rFonts w:ascii="Times New Roman" w:eastAsia="DengXian" w:hAnsi="Times New Roman" w:cs="Times New Roman"/>
          <w:i/>
          <w:sz w:val="24"/>
          <w:szCs w:val="24"/>
        </w:rPr>
        <w:t>National Law Journal</w:t>
      </w:r>
      <w:r w:rsidRPr="00F634D2">
        <w:rPr>
          <w:rFonts w:ascii="Times New Roman" w:eastAsia="DengXian" w:hAnsi="Times New Roman" w:cs="Times New Roman"/>
          <w:sz w:val="24"/>
          <w:szCs w:val="24"/>
        </w:rPr>
        <w:t xml:space="preserve"> 26 (10): 17.</w:t>
      </w:r>
    </w:p>
    <w:p w14:paraId="65E224B9" w14:textId="28CF2D71"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Chevalier, J., and G. Ellison. 1999. “Career concerns of mutual fund managers.” </w:t>
      </w:r>
      <w:r w:rsidRPr="00F634D2">
        <w:rPr>
          <w:rFonts w:ascii="Times New Roman" w:eastAsia="DengXian" w:hAnsi="Times New Roman" w:cs="Times New Roman"/>
          <w:i/>
          <w:sz w:val="24"/>
          <w:szCs w:val="24"/>
        </w:rPr>
        <w:t>Quarterly Journal of Economics</w:t>
      </w:r>
      <w:r w:rsidRPr="00F634D2">
        <w:rPr>
          <w:rFonts w:ascii="Times New Roman" w:eastAsia="DengXian" w:hAnsi="Times New Roman" w:cs="Times New Roman"/>
          <w:sz w:val="24"/>
          <w:szCs w:val="24"/>
        </w:rPr>
        <w:t xml:space="preserve"> 114 (2): 389–432. </w:t>
      </w:r>
    </w:p>
    <w:p w14:paraId="2FA7B2BC" w14:textId="4D5DF6BA"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Coles, J., N. Daniel, and L. Naveen. 2006. “Managerial incentives and risk taking.” </w:t>
      </w:r>
      <w:r w:rsidRPr="00F634D2">
        <w:rPr>
          <w:rFonts w:ascii="Times New Roman" w:eastAsia="DengXian" w:hAnsi="Times New Roman" w:cs="Times New Roman"/>
          <w:i/>
          <w:sz w:val="24"/>
          <w:szCs w:val="24"/>
        </w:rPr>
        <w:t>Journal of Financial Economics</w:t>
      </w:r>
      <w:r w:rsidRPr="00F634D2">
        <w:rPr>
          <w:rFonts w:ascii="Times New Roman" w:eastAsia="DengXian" w:hAnsi="Times New Roman" w:cs="Times New Roman"/>
          <w:sz w:val="24"/>
          <w:szCs w:val="24"/>
        </w:rPr>
        <w:t xml:space="preserve"> 79 (2): 431–468. </w:t>
      </w:r>
    </w:p>
    <w:p w14:paraId="4F80B4DB" w14:textId="6429BED6"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Core, J., and W. </w:t>
      </w:r>
      <w:proofErr w:type="spellStart"/>
      <w:r w:rsidRPr="00F634D2">
        <w:rPr>
          <w:rFonts w:ascii="Times New Roman" w:eastAsia="DengXian" w:hAnsi="Times New Roman" w:cs="Times New Roman"/>
          <w:sz w:val="24"/>
          <w:szCs w:val="24"/>
        </w:rPr>
        <w:t>Guay</w:t>
      </w:r>
      <w:proofErr w:type="spellEnd"/>
      <w:r w:rsidRPr="00F634D2">
        <w:rPr>
          <w:rFonts w:ascii="Times New Roman" w:eastAsia="DengXian" w:hAnsi="Times New Roman" w:cs="Times New Roman"/>
          <w:sz w:val="24"/>
          <w:szCs w:val="24"/>
        </w:rPr>
        <w:t xml:space="preserve">. 2002. “Estimating the value of employee stock option portfolios and their sensitivities to price and volatility.” </w:t>
      </w:r>
      <w:r w:rsidRPr="00F634D2">
        <w:rPr>
          <w:rFonts w:ascii="Times New Roman" w:eastAsia="DengXian" w:hAnsi="Times New Roman" w:cs="Times New Roman"/>
          <w:i/>
          <w:sz w:val="24"/>
          <w:szCs w:val="24"/>
        </w:rPr>
        <w:t>Journal of Accounting Research</w:t>
      </w:r>
      <w:r w:rsidRPr="00F634D2">
        <w:rPr>
          <w:rFonts w:ascii="Times New Roman" w:eastAsia="DengXian" w:hAnsi="Times New Roman" w:cs="Times New Roman"/>
          <w:sz w:val="24"/>
          <w:szCs w:val="24"/>
        </w:rPr>
        <w:t xml:space="preserve"> 40 (3): 613–630. </w:t>
      </w:r>
    </w:p>
    <w:p w14:paraId="17A7183E" w14:textId="3978A39E"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Fields, L., D. Fraser, and A. Subrahmanyam. 2012. “Board quality and the cost of debt capital: the case of bank loans.” </w:t>
      </w:r>
      <w:r w:rsidRPr="00F634D2">
        <w:rPr>
          <w:rFonts w:ascii="Times New Roman" w:eastAsia="DengXian" w:hAnsi="Times New Roman" w:cs="Times New Roman"/>
          <w:i/>
          <w:sz w:val="24"/>
          <w:szCs w:val="24"/>
        </w:rPr>
        <w:t>Journal of Banking and Finance</w:t>
      </w:r>
      <w:r w:rsidRPr="00F634D2">
        <w:rPr>
          <w:rFonts w:ascii="Times New Roman" w:eastAsia="DengXian" w:hAnsi="Times New Roman" w:cs="Times New Roman"/>
          <w:sz w:val="24"/>
          <w:szCs w:val="24"/>
        </w:rPr>
        <w:t xml:space="preserve"> 36 (5): 1536–1547. </w:t>
      </w:r>
    </w:p>
    <w:p w14:paraId="0059BE78" w14:textId="764112BC"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r w:rsidRPr="00F634D2">
        <w:rPr>
          <w:rFonts w:ascii="Times New Roman" w:hAnsi="Times New Roman" w:cs="Times New Roman"/>
          <w:sz w:val="24"/>
          <w:szCs w:val="24"/>
          <w:lang w:val="en-GB"/>
        </w:rPr>
        <w:t xml:space="preserve">Garcia, D., and O. </w:t>
      </w:r>
      <w:proofErr w:type="spellStart"/>
      <w:r w:rsidRPr="00F634D2">
        <w:rPr>
          <w:rFonts w:ascii="Times New Roman" w:hAnsi="Times New Roman" w:cs="Times New Roman"/>
          <w:sz w:val="24"/>
          <w:szCs w:val="24"/>
          <w:lang w:val="en-GB"/>
        </w:rPr>
        <w:t>Norli</w:t>
      </w:r>
      <w:proofErr w:type="spellEnd"/>
      <w:r w:rsidRPr="00F634D2">
        <w:rPr>
          <w:rFonts w:ascii="Times New Roman" w:hAnsi="Times New Roman" w:cs="Times New Roman"/>
          <w:sz w:val="24"/>
          <w:szCs w:val="24"/>
          <w:lang w:val="en-GB"/>
        </w:rPr>
        <w:t xml:space="preserve">. 2012. “Geographic dispersion and stock returns.” </w:t>
      </w:r>
      <w:r w:rsidRPr="00F634D2">
        <w:rPr>
          <w:rFonts w:ascii="Times New Roman" w:hAnsi="Times New Roman" w:cs="Times New Roman"/>
          <w:i/>
          <w:sz w:val="24"/>
          <w:szCs w:val="24"/>
          <w:lang w:val="en-GB"/>
        </w:rPr>
        <w:t>Journal of Financial Economics</w:t>
      </w:r>
      <w:r w:rsidRPr="00F634D2">
        <w:rPr>
          <w:rFonts w:ascii="Times New Roman" w:hAnsi="Times New Roman" w:cs="Times New Roman"/>
          <w:sz w:val="24"/>
          <w:szCs w:val="24"/>
          <w:lang w:val="en-GB"/>
        </w:rPr>
        <w:t xml:space="preserve"> 106 (3): 547–565.</w:t>
      </w:r>
      <w:r w:rsidRPr="00F634D2">
        <w:rPr>
          <w:rFonts w:ascii="Times New Roman" w:eastAsia="DengXian" w:hAnsi="Times New Roman" w:cs="Times New Roman"/>
          <w:sz w:val="24"/>
          <w:szCs w:val="24"/>
        </w:rPr>
        <w:t xml:space="preserve"> </w:t>
      </w:r>
    </w:p>
    <w:p w14:paraId="0DECC110" w14:textId="4DD16CA0"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proofErr w:type="spellStart"/>
      <w:r w:rsidRPr="00F634D2">
        <w:rPr>
          <w:rFonts w:ascii="Times New Roman" w:eastAsia="DengXian" w:hAnsi="Times New Roman" w:cs="Times New Roman"/>
          <w:sz w:val="24"/>
          <w:szCs w:val="24"/>
        </w:rPr>
        <w:t>Garmaise</w:t>
      </w:r>
      <w:proofErr w:type="spellEnd"/>
      <w:r w:rsidRPr="00F634D2">
        <w:rPr>
          <w:rFonts w:ascii="Times New Roman" w:eastAsia="DengXian" w:hAnsi="Times New Roman" w:cs="Times New Roman"/>
          <w:sz w:val="24"/>
          <w:szCs w:val="24"/>
        </w:rPr>
        <w:t xml:space="preserve">, M. 2011. “Ties that truly bind: noncompetition agreements, executive compensation, and firm investment.” </w:t>
      </w:r>
      <w:r w:rsidRPr="00F634D2">
        <w:rPr>
          <w:rFonts w:ascii="Times New Roman" w:eastAsia="DengXian" w:hAnsi="Times New Roman" w:cs="Times New Roman"/>
          <w:i/>
          <w:iCs/>
          <w:sz w:val="24"/>
          <w:szCs w:val="24"/>
        </w:rPr>
        <w:t>Journal of Law, Economics, and Organization</w:t>
      </w:r>
      <w:r w:rsidRPr="00F634D2">
        <w:rPr>
          <w:rFonts w:ascii="Times New Roman" w:eastAsia="DengXian" w:hAnsi="Times New Roman" w:cs="Times New Roman"/>
          <w:sz w:val="24"/>
          <w:szCs w:val="24"/>
        </w:rPr>
        <w:t xml:space="preserve"> </w:t>
      </w:r>
      <w:r w:rsidRPr="00F634D2">
        <w:rPr>
          <w:rFonts w:ascii="Times New Roman" w:eastAsia="DengXian" w:hAnsi="Times New Roman" w:cs="Times New Roman"/>
          <w:iCs/>
          <w:sz w:val="24"/>
          <w:szCs w:val="24"/>
        </w:rPr>
        <w:t>27</w:t>
      </w:r>
      <w:r w:rsidRPr="00F634D2">
        <w:rPr>
          <w:rFonts w:ascii="Times New Roman" w:eastAsia="DengXian" w:hAnsi="Times New Roman" w:cs="Times New Roman"/>
          <w:sz w:val="24"/>
          <w:szCs w:val="24"/>
        </w:rPr>
        <w:t xml:space="preserve"> (2): 376–425. </w:t>
      </w:r>
    </w:p>
    <w:p w14:paraId="4EB73085" w14:textId="046C67A9"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proofErr w:type="spellStart"/>
      <w:r w:rsidRPr="00F634D2">
        <w:rPr>
          <w:rFonts w:ascii="Times New Roman" w:eastAsia="DengXian" w:hAnsi="Times New Roman" w:cs="Times New Roman"/>
          <w:sz w:val="24"/>
          <w:szCs w:val="24"/>
        </w:rPr>
        <w:lastRenderedPageBreak/>
        <w:t>Gillan</w:t>
      </w:r>
      <w:proofErr w:type="spellEnd"/>
      <w:r w:rsidRPr="00F634D2">
        <w:rPr>
          <w:rFonts w:ascii="Times New Roman" w:eastAsia="DengXian" w:hAnsi="Times New Roman" w:cs="Times New Roman"/>
          <w:sz w:val="24"/>
          <w:szCs w:val="24"/>
        </w:rPr>
        <w:t xml:space="preserve">, S., J. Hartzell, and R. </w:t>
      </w:r>
      <w:proofErr w:type="spellStart"/>
      <w:r w:rsidRPr="00F634D2">
        <w:rPr>
          <w:rFonts w:ascii="Times New Roman" w:eastAsia="DengXian" w:hAnsi="Times New Roman" w:cs="Times New Roman"/>
          <w:sz w:val="24"/>
          <w:szCs w:val="24"/>
        </w:rPr>
        <w:t>Parrino</w:t>
      </w:r>
      <w:proofErr w:type="spellEnd"/>
      <w:r w:rsidRPr="00F634D2">
        <w:rPr>
          <w:rFonts w:ascii="Times New Roman" w:eastAsia="DengXian" w:hAnsi="Times New Roman" w:cs="Times New Roman"/>
          <w:sz w:val="24"/>
          <w:szCs w:val="24"/>
        </w:rPr>
        <w:t xml:space="preserve">. 2009. “Explicit versus implicit contracts: evidence from CEO employment contracts.” </w:t>
      </w:r>
      <w:r w:rsidRPr="00F634D2">
        <w:rPr>
          <w:rFonts w:ascii="Times New Roman" w:eastAsia="DengXian" w:hAnsi="Times New Roman" w:cs="Times New Roman"/>
          <w:i/>
          <w:sz w:val="24"/>
          <w:szCs w:val="24"/>
        </w:rPr>
        <w:t>Journal of Finance</w:t>
      </w:r>
      <w:r w:rsidRPr="00F634D2">
        <w:rPr>
          <w:rFonts w:ascii="Times New Roman" w:eastAsia="DengXian" w:hAnsi="Times New Roman" w:cs="Times New Roman"/>
          <w:sz w:val="24"/>
          <w:szCs w:val="24"/>
        </w:rPr>
        <w:t xml:space="preserve"> 64 (4): 1629–1655. </w:t>
      </w:r>
    </w:p>
    <w:p w14:paraId="64CD3EE1" w14:textId="75CAE97D"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Gormley, T., D. </w:t>
      </w:r>
      <w:proofErr w:type="spellStart"/>
      <w:r w:rsidRPr="00F634D2">
        <w:rPr>
          <w:rFonts w:ascii="Times New Roman" w:eastAsia="DengXian" w:hAnsi="Times New Roman" w:cs="Times New Roman"/>
          <w:sz w:val="24"/>
          <w:szCs w:val="24"/>
        </w:rPr>
        <w:t>Matsa</w:t>
      </w:r>
      <w:proofErr w:type="spellEnd"/>
      <w:r w:rsidRPr="00F634D2">
        <w:rPr>
          <w:rFonts w:ascii="Times New Roman" w:eastAsia="DengXian" w:hAnsi="Times New Roman" w:cs="Times New Roman"/>
          <w:sz w:val="24"/>
          <w:szCs w:val="24"/>
        </w:rPr>
        <w:t xml:space="preserve">, and T. Milbourn. 2013. “CEO compensation and corporate risk: evidence from a natural experiment.” </w:t>
      </w:r>
      <w:r w:rsidRPr="00F634D2">
        <w:rPr>
          <w:rFonts w:ascii="Times New Roman" w:eastAsia="DengXian" w:hAnsi="Times New Roman" w:cs="Times New Roman"/>
          <w:i/>
          <w:sz w:val="24"/>
          <w:szCs w:val="24"/>
        </w:rPr>
        <w:t xml:space="preserve">Journal of Accounting and Economics </w:t>
      </w:r>
      <w:r w:rsidRPr="00F634D2">
        <w:rPr>
          <w:rFonts w:ascii="Times New Roman" w:eastAsia="DengXian" w:hAnsi="Times New Roman" w:cs="Times New Roman"/>
          <w:sz w:val="24"/>
          <w:szCs w:val="24"/>
        </w:rPr>
        <w:t xml:space="preserve">56 (2–3): 79–101. </w:t>
      </w:r>
    </w:p>
    <w:p w14:paraId="30F2249E" w14:textId="34713354"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proofErr w:type="spellStart"/>
      <w:r w:rsidRPr="00F634D2">
        <w:rPr>
          <w:rFonts w:ascii="Times New Roman" w:eastAsia="DengXian" w:hAnsi="Times New Roman" w:cs="Times New Roman"/>
          <w:sz w:val="24"/>
          <w:szCs w:val="24"/>
        </w:rPr>
        <w:t>Guay</w:t>
      </w:r>
      <w:proofErr w:type="spellEnd"/>
      <w:r w:rsidRPr="00F634D2">
        <w:rPr>
          <w:rFonts w:ascii="Times New Roman" w:eastAsia="DengXian" w:hAnsi="Times New Roman" w:cs="Times New Roman"/>
          <w:sz w:val="24"/>
          <w:szCs w:val="24"/>
        </w:rPr>
        <w:t xml:space="preserve">, W. 1999. “The sensitivity of CEO wealth to equity risk: an analysis of the magnitude and determinants.” </w:t>
      </w:r>
      <w:r w:rsidRPr="00F634D2">
        <w:rPr>
          <w:rFonts w:ascii="Times New Roman" w:eastAsia="DengXian" w:hAnsi="Times New Roman" w:cs="Times New Roman"/>
          <w:i/>
          <w:sz w:val="24"/>
          <w:szCs w:val="24"/>
        </w:rPr>
        <w:t>Journal of Financial Economics</w:t>
      </w:r>
      <w:r w:rsidRPr="00F634D2">
        <w:rPr>
          <w:rFonts w:ascii="Times New Roman" w:eastAsia="DengXian" w:hAnsi="Times New Roman" w:cs="Times New Roman"/>
          <w:sz w:val="24"/>
          <w:szCs w:val="24"/>
        </w:rPr>
        <w:t xml:space="preserve"> 53 (1): 43–71. </w:t>
      </w:r>
    </w:p>
    <w:p w14:paraId="547383EF" w14:textId="2BB406AF" w:rsidR="00D50589" w:rsidRPr="00F634D2" w:rsidRDefault="00686261">
      <w:pPr>
        <w:adjustRightInd w:val="0"/>
        <w:snapToGrid w:val="0"/>
        <w:spacing w:after="0" w:line="480" w:lineRule="auto"/>
        <w:ind w:left="480" w:hangingChars="200" w:hanging="480"/>
        <w:jc w:val="both"/>
        <w:rPr>
          <w:rFonts w:ascii="Times New Roman" w:eastAsia="PMingLiU" w:hAnsi="Times New Roman" w:cs="Times New Roman"/>
          <w:sz w:val="24"/>
          <w:szCs w:val="24"/>
          <w:lang w:eastAsia="en-US"/>
        </w:rPr>
      </w:pPr>
      <w:r w:rsidRPr="00F634D2">
        <w:rPr>
          <w:rFonts w:ascii="Times New Roman" w:eastAsia="PMingLiU" w:hAnsi="Times New Roman" w:cs="Times New Roman"/>
          <w:sz w:val="24"/>
          <w:szCs w:val="24"/>
          <w:lang w:eastAsia="en-US"/>
        </w:rPr>
        <w:t xml:space="preserve">John, T., and K. John. 1993. “Top-management compensation and capital structure.” </w:t>
      </w:r>
      <w:r w:rsidRPr="00F634D2">
        <w:rPr>
          <w:rFonts w:ascii="Times New Roman" w:eastAsia="PMingLiU" w:hAnsi="Times New Roman" w:cs="Times New Roman"/>
          <w:i/>
          <w:sz w:val="24"/>
          <w:szCs w:val="24"/>
          <w:lang w:eastAsia="en-US"/>
        </w:rPr>
        <w:t>J</w:t>
      </w:r>
      <w:r w:rsidRPr="00F634D2">
        <w:rPr>
          <w:rFonts w:ascii="Times New Roman" w:eastAsia="PMingLiU" w:hAnsi="Times New Roman" w:cs="Times New Roman"/>
          <w:i/>
          <w:iCs/>
          <w:sz w:val="24"/>
          <w:szCs w:val="24"/>
          <w:lang w:eastAsia="en-US"/>
        </w:rPr>
        <w:t>ournal of Finance</w:t>
      </w:r>
      <w:r w:rsidRPr="00F634D2">
        <w:rPr>
          <w:rFonts w:ascii="Times New Roman" w:eastAsia="PMingLiU" w:hAnsi="Times New Roman" w:cs="Times New Roman"/>
          <w:sz w:val="24"/>
          <w:szCs w:val="24"/>
          <w:lang w:eastAsia="en-US"/>
        </w:rPr>
        <w:t xml:space="preserve"> 48 (3): 949–974. </w:t>
      </w:r>
    </w:p>
    <w:p w14:paraId="6E994D0D" w14:textId="599B08F8" w:rsidR="00D50589" w:rsidRPr="00F634D2" w:rsidRDefault="00686261">
      <w:pPr>
        <w:adjustRightInd w:val="0"/>
        <w:snapToGrid w:val="0"/>
        <w:spacing w:after="0" w:line="480" w:lineRule="auto"/>
        <w:ind w:left="480" w:hangingChars="200" w:hanging="480"/>
        <w:jc w:val="both"/>
        <w:rPr>
          <w:rFonts w:ascii="Times New Roman" w:eastAsia="PMingLiU" w:hAnsi="Times New Roman" w:cs="Times New Roman"/>
          <w:sz w:val="24"/>
          <w:szCs w:val="24"/>
          <w:lang w:eastAsia="en-US"/>
        </w:rPr>
      </w:pPr>
      <w:r w:rsidRPr="00F634D2">
        <w:rPr>
          <w:rFonts w:ascii="Times New Roman" w:eastAsia="PMingLiU" w:hAnsi="Times New Roman" w:cs="Times New Roman"/>
          <w:sz w:val="24"/>
          <w:szCs w:val="24"/>
          <w:lang w:eastAsia="en-US"/>
        </w:rPr>
        <w:t xml:space="preserve">John, K., L. </w:t>
      </w:r>
      <w:proofErr w:type="spellStart"/>
      <w:r w:rsidRPr="00F634D2">
        <w:rPr>
          <w:rFonts w:ascii="Times New Roman" w:eastAsia="PMingLiU" w:hAnsi="Times New Roman" w:cs="Times New Roman"/>
          <w:sz w:val="24"/>
          <w:szCs w:val="24"/>
          <w:lang w:eastAsia="en-US"/>
        </w:rPr>
        <w:t>Litov</w:t>
      </w:r>
      <w:proofErr w:type="spellEnd"/>
      <w:r w:rsidRPr="00F634D2">
        <w:rPr>
          <w:rFonts w:ascii="Times New Roman" w:eastAsia="PMingLiU" w:hAnsi="Times New Roman" w:cs="Times New Roman"/>
          <w:sz w:val="24"/>
          <w:szCs w:val="24"/>
          <w:lang w:eastAsia="en-US"/>
        </w:rPr>
        <w:t xml:space="preserve">, and B. Yeung. 2008. “Corporate governance and risk-taking.” </w:t>
      </w:r>
      <w:r w:rsidRPr="00F634D2">
        <w:rPr>
          <w:rFonts w:ascii="Times New Roman" w:eastAsia="PMingLiU" w:hAnsi="Times New Roman" w:cs="Times New Roman"/>
          <w:i/>
          <w:sz w:val="24"/>
          <w:szCs w:val="24"/>
          <w:lang w:eastAsia="en-US"/>
        </w:rPr>
        <w:t>Journal of Finance</w:t>
      </w:r>
      <w:r w:rsidRPr="00F634D2">
        <w:rPr>
          <w:rFonts w:ascii="Times New Roman" w:eastAsia="PMingLiU" w:hAnsi="Times New Roman" w:cs="Times New Roman"/>
          <w:sz w:val="24"/>
          <w:szCs w:val="24"/>
          <w:lang w:eastAsia="en-US"/>
        </w:rPr>
        <w:t xml:space="preserve"> 63 (4): 1679</w:t>
      </w:r>
      <w:r w:rsidRPr="00F634D2">
        <w:rPr>
          <w:rFonts w:ascii="Times New Roman" w:eastAsia="DengXian" w:hAnsi="Times New Roman" w:cs="Times New Roman"/>
          <w:sz w:val="24"/>
          <w:szCs w:val="24"/>
        </w:rPr>
        <w:t>–</w:t>
      </w:r>
      <w:r w:rsidRPr="00F634D2">
        <w:rPr>
          <w:rFonts w:ascii="Times New Roman" w:eastAsia="PMingLiU" w:hAnsi="Times New Roman" w:cs="Times New Roman"/>
          <w:sz w:val="24"/>
          <w:szCs w:val="24"/>
          <w:lang w:eastAsia="en-US"/>
        </w:rPr>
        <w:t xml:space="preserve">1728. </w:t>
      </w:r>
    </w:p>
    <w:p w14:paraId="0A2DD4C7" w14:textId="77777777" w:rsidR="00D50589" w:rsidRPr="00F634D2" w:rsidRDefault="00686261">
      <w:pPr>
        <w:snapToGrid w:val="0"/>
        <w:spacing w:after="0" w:line="480" w:lineRule="auto"/>
        <w:ind w:left="480" w:hangingChars="200" w:hanging="480"/>
        <w:jc w:val="both"/>
        <w:rPr>
          <w:rFonts w:ascii="Times New Roman" w:hAnsi="Times New Roman" w:cs="Times New Roman"/>
          <w:sz w:val="24"/>
          <w:szCs w:val="24"/>
        </w:rPr>
      </w:pPr>
      <w:proofErr w:type="spellStart"/>
      <w:r w:rsidRPr="00F634D2">
        <w:rPr>
          <w:rFonts w:ascii="Times New Roman" w:hAnsi="Times New Roman" w:cs="Times New Roman"/>
          <w:sz w:val="24"/>
          <w:szCs w:val="24"/>
        </w:rPr>
        <w:t>Kini</w:t>
      </w:r>
      <w:proofErr w:type="spellEnd"/>
      <w:r w:rsidRPr="00F634D2">
        <w:rPr>
          <w:rFonts w:ascii="Times New Roman" w:hAnsi="Times New Roman" w:cs="Times New Roman"/>
          <w:sz w:val="24"/>
          <w:szCs w:val="24"/>
        </w:rPr>
        <w:t xml:space="preserve">, O., R. Williams, and S. Yin. 2019. “CEO non-compete agreements, job risk, and compensation.” Working paper, Georgia State University. </w:t>
      </w:r>
    </w:p>
    <w:p w14:paraId="1B487CE2" w14:textId="3E1C2A99"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proofErr w:type="spellStart"/>
      <w:r w:rsidRPr="00F634D2">
        <w:rPr>
          <w:rFonts w:ascii="Times New Roman" w:eastAsia="DengXian" w:hAnsi="Times New Roman" w:cs="Times New Roman"/>
          <w:sz w:val="24"/>
          <w:szCs w:val="24"/>
        </w:rPr>
        <w:t>Klasa</w:t>
      </w:r>
      <w:proofErr w:type="spellEnd"/>
      <w:r w:rsidRPr="00F634D2">
        <w:rPr>
          <w:rFonts w:ascii="Times New Roman" w:eastAsia="DengXian" w:hAnsi="Times New Roman" w:cs="Times New Roman"/>
          <w:sz w:val="24"/>
          <w:szCs w:val="24"/>
        </w:rPr>
        <w:t xml:space="preserve">, S., H. Ortiz-Molina, M. </w:t>
      </w:r>
      <w:proofErr w:type="spellStart"/>
      <w:r w:rsidRPr="00F634D2">
        <w:rPr>
          <w:rFonts w:ascii="Times New Roman" w:eastAsia="DengXian" w:hAnsi="Times New Roman" w:cs="Times New Roman"/>
          <w:sz w:val="24"/>
          <w:szCs w:val="24"/>
        </w:rPr>
        <w:t>Serfling</w:t>
      </w:r>
      <w:proofErr w:type="spellEnd"/>
      <w:r w:rsidRPr="00F634D2">
        <w:rPr>
          <w:rFonts w:ascii="Times New Roman" w:eastAsia="DengXian" w:hAnsi="Times New Roman" w:cs="Times New Roman"/>
          <w:sz w:val="24"/>
          <w:szCs w:val="24"/>
        </w:rPr>
        <w:t xml:space="preserve">, and S. Srinivasan. 2018. “Protection of trade secrets and capital structure decisions.” </w:t>
      </w:r>
      <w:r w:rsidRPr="00F634D2">
        <w:rPr>
          <w:rFonts w:ascii="Times New Roman" w:eastAsia="DengXian" w:hAnsi="Times New Roman" w:cs="Times New Roman"/>
          <w:i/>
          <w:sz w:val="24"/>
          <w:szCs w:val="24"/>
        </w:rPr>
        <w:t xml:space="preserve">Journal of Financial Economics </w:t>
      </w:r>
      <w:r w:rsidRPr="00F634D2">
        <w:rPr>
          <w:rFonts w:ascii="Times New Roman" w:eastAsia="DengXian" w:hAnsi="Times New Roman" w:cs="Times New Roman"/>
          <w:sz w:val="24"/>
          <w:szCs w:val="24"/>
        </w:rPr>
        <w:t xml:space="preserve">128 (2): 266-286. </w:t>
      </w:r>
    </w:p>
    <w:p w14:paraId="46EBB27B" w14:textId="4CC1B3D1"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proofErr w:type="spellStart"/>
      <w:r w:rsidRPr="00F634D2">
        <w:rPr>
          <w:rFonts w:ascii="Times New Roman" w:eastAsia="DengXian" w:hAnsi="Times New Roman" w:cs="Times New Roman"/>
          <w:sz w:val="24"/>
          <w:szCs w:val="24"/>
        </w:rPr>
        <w:t>Laeven</w:t>
      </w:r>
      <w:proofErr w:type="spellEnd"/>
      <w:r w:rsidRPr="00F634D2">
        <w:rPr>
          <w:rFonts w:ascii="Times New Roman" w:eastAsia="DengXian" w:hAnsi="Times New Roman" w:cs="Times New Roman"/>
          <w:sz w:val="24"/>
          <w:szCs w:val="24"/>
        </w:rPr>
        <w:t xml:space="preserve">, L., and R. Levine. 2009. “Bank governance, regulation, and risk taking.” </w:t>
      </w:r>
      <w:r w:rsidRPr="00F634D2">
        <w:rPr>
          <w:rFonts w:ascii="Times New Roman" w:eastAsia="DengXian" w:hAnsi="Times New Roman" w:cs="Times New Roman"/>
          <w:i/>
          <w:sz w:val="24"/>
          <w:szCs w:val="24"/>
        </w:rPr>
        <w:t>Journal of Financial Economics</w:t>
      </w:r>
      <w:r w:rsidRPr="00F634D2">
        <w:rPr>
          <w:rFonts w:ascii="Times New Roman" w:eastAsia="DengXian" w:hAnsi="Times New Roman" w:cs="Times New Roman"/>
          <w:sz w:val="24"/>
          <w:szCs w:val="24"/>
        </w:rPr>
        <w:t xml:space="preserve"> 93 (2): 259–275. </w:t>
      </w:r>
    </w:p>
    <w:p w14:paraId="5B2B045B" w14:textId="54FB6E42"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r w:rsidRPr="00F634D2">
        <w:rPr>
          <w:rFonts w:ascii="Times New Roman" w:hAnsi="Times New Roman" w:cs="Times New Roman"/>
          <w:sz w:val="24"/>
          <w:szCs w:val="24"/>
          <w:lang w:val="en-GB"/>
        </w:rPr>
        <w:t xml:space="preserve">Lambert, R., D. </w:t>
      </w:r>
      <w:proofErr w:type="spellStart"/>
      <w:r w:rsidRPr="00F634D2">
        <w:rPr>
          <w:rFonts w:ascii="Times New Roman" w:hAnsi="Times New Roman" w:cs="Times New Roman"/>
          <w:sz w:val="24"/>
          <w:szCs w:val="24"/>
          <w:lang w:val="en-GB"/>
        </w:rPr>
        <w:t>Larcker</w:t>
      </w:r>
      <w:proofErr w:type="spellEnd"/>
      <w:r w:rsidRPr="00F634D2">
        <w:rPr>
          <w:rFonts w:ascii="Times New Roman" w:hAnsi="Times New Roman" w:cs="Times New Roman"/>
          <w:sz w:val="24"/>
          <w:szCs w:val="24"/>
          <w:lang w:val="en-GB"/>
        </w:rPr>
        <w:t xml:space="preserve">, and R. </w:t>
      </w:r>
      <w:proofErr w:type="spellStart"/>
      <w:r w:rsidRPr="00F634D2">
        <w:rPr>
          <w:rFonts w:ascii="Times New Roman" w:hAnsi="Times New Roman" w:cs="Times New Roman"/>
          <w:sz w:val="24"/>
          <w:szCs w:val="24"/>
          <w:lang w:val="en-GB"/>
        </w:rPr>
        <w:t>Verrecchia</w:t>
      </w:r>
      <w:proofErr w:type="spellEnd"/>
      <w:r w:rsidRPr="00F634D2">
        <w:rPr>
          <w:rFonts w:ascii="Times New Roman" w:hAnsi="Times New Roman" w:cs="Times New Roman"/>
          <w:sz w:val="24"/>
          <w:szCs w:val="24"/>
          <w:lang w:val="en-GB"/>
        </w:rPr>
        <w:t xml:space="preserve">. 1991. “Portfolio considerations in valuing executive compensation.” </w:t>
      </w:r>
      <w:r w:rsidRPr="00F634D2">
        <w:rPr>
          <w:rFonts w:ascii="Times New Roman" w:hAnsi="Times New Roman" w:cs="Times New Roman"/>
          <w:i/>
          <w:iCs/>
          <w:sz w:val="24"/>
          <w:szCs w:val="24"/>
          <w:lang w:val="en-GB"/>
        </w:rPr>
        <w:t xml:space="preserve">Journal of Accounting Research </w:t>
      </w:r>
      <w:r w:rsidRPr="00F634D2">
        <w:rPr>
          <w:rFonts w:ascii="Times New Roman" w:hAnsi="Times New Roman" w:cs="Times New Roman"/>
          <w:sz w:val="24"/>
          <w:szCs w:val="24"/>
          <w:lang w:val="en-GB"/>
        </w:rPr>
        <w:t>29 (1): 129</w:t>
      </w:r>
      <w:r w:rsidRPr="00F634D2">
        <w:rPr>
          <w:rFonts w:ascii="Times New Roman" w:eastAsia="DengXian" w:hAnsi="Times New Roman" w:cs="Times New Roman"/>
          <w:sz w:val="24"/>
          <w:szCs w:val="24"/>
        </w:rPr>
        <w:t>–</w:t>
      </w:r>
      <w:r w:rsidRPr="00F634D2">
        <w:rPr>
          <w:rFonts w:ascii="Times New Roman" w:hAnsi="Times New Roman" w:cs="Times New Roman"/>
          <w:sz w:val="24"/>
          <w:szCs w:val="24"/>
          <w:lang w:val="en-GB"/>
        </w:rPr>
        <w:t xml:space="preserve">149. </w:t>
      </w:r>
    </w:p>
    <w:p w14:paraId="1C52F193" w14:textId="035AFF29" w:rsidR="00D50589" w:rsidRPr="00F634D2" w:rsidRDefault="00686261">
      <w:pPr>
        <w:adjustRightInd w:val="0"/>
        <w:snapToGrid w:val="0"/>
        <w:spacing w:after="0" w:line="480" w:lineRule="auto"/>
        <w:ind w:left="480" w:hangingChars="200" w:hanging="480"/>
        <w:jc w:val="both"/>
        <w:rPr>
          <w:rFonts w:ascii="Times New Roman" w:eastAsia="PMingLiU" w:hAnsi="Times New Roman" w:cs="Times New Roman"/>
          <w:sz w:val="24"/>
          <w:szCs w:val="24"/>
          <w:lang w:eastAsia="en-US"/>
        </w:rPr>
      </w:pPr>
      <w:r w:rsidRPr="00F634D2">
        <w:rPr>
          <w:rFonts w:ascii="Times New Roman" w:eastAsia="PMingLiU" w:hAnsi="Times New Roman" w:cs="Times New Roman"/>
          <w:sz w:val="24"/>
          <w:szCs w:val="24"/>
          <w:lang w:eastAsia="en-US"/>
        </w:rPr>
        <w:t xml:space="preserve">Lennox, C., and B. Li. 2012. “The consequences of protecting audit partners’ personal assets from the threat of liability.” </w:t>
      </w:r>
      <w:r w:rsidRPr="00F634D2">
        <w:rPr>
          <w:rFonts w:ascii="Times New Roman" w:eastAsia="PMingLiU" w:hAnsi="Times New Roman" w:cs="Times New Roman"/>
          <w:i/>
          <w:sz w:val="24"/>
          <w:szCs w:val="24"/>
          <w:lang w:eastAsia="en-US"/>
        </w:rPr>
        <w:t>Journal of Accounting and Economics</w:t>
      </w:r>
      <w:r w:rsidRPr="00F634D2">
        <w:rPr>
          <w:rFonts w:ascii="Times New Roman" w:eastAsia="PMingLiU" w:hAnsi="Times New Roman" w:cs="Times New Roman"/>
          <w:sz w:val="24"/>
          <w:szCs w:val="24"/>
          <w:lang w:eastAsia="en-US"/>
        </w:rPr>
        <w:t xml:space="preserve"> 54 (2–3): 154–173. </w:t>
      </w:r>
    </w:p>
    <w:p w14:paraId="350A5810" w14:textId="476185E8"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r w:rsidRPr="00F634D2">
        <w:rPr>
          <w:rFonts w:ascii="Times New Roman" w:hAnsi="Times New Roman" w:cs="Times New Roman"/>
          <w:sz w:val="24"/>
          <w:szCs w:val="24"/>
          <w:lang w:val="en-GB"/>
        </w:rPr>
        <w:t xml:space="preserve">Lewellen, K. 2006. “Financing decisions when managers are risk averse.” </w:t>
      </w:r>
      <w:r w:rsidRPr="00F634D2">
        <w:rPr>
          <w:rFonts w:ascii="Times New Roman" w:hAnsi="Times New Roman" w:cs="Times New Roman"/>
          <w:i/>
          <w:iCs/>
          <w:sz w:val="24"/>
          <w:szCs w:val="24"/>
          <w:lang w:val="en-GB"/>
        </w:rPr>
        <w:t xml:space="preserve">Journal of Financial Economics </w:t>
      </w:r>
      <w:r w:rsidRPr="00F634D2">
        <w:rPr>
          <w:rFonts w:ascii="Times New Roman" w:hAnsi="Times New Roman" w:cs="Times New Roman"/>
          <w:sz w:val="24"/>
          <w:szCs w:val="24"/>
          <w:lang w:val="en-GB"/>
        </w:rPr>
        <w:t>82 (3): 551</w:t>
      </w:r>
      <w:r w:rsidRPr="00F634D2">
        <w:rPr>
          <w:rFonts w:ascii="Times New Roman" w:eastAsia="DengXian" w:hAnsi="Times New Roman" w:cs="Times New Roman"/>
          <w:sz w:val="24"/>
          <w:szCs w:val="24"/>
        </w:rPr>
        <w:t>–</w:t>
      </w:r>
      <w:r w:rsidRPr="00F634D2">
        <w:rPr>
          <w:rFonts w:ascii="Times New Roman" w:hAnsi="Times New Roman" w:cs="Times New Roman"/>
          <w:sz w:val="24"/>
          <w:szCs w:val="24"/>
          <w:lang w:val="en-GB"/>
        </w:rPr>
        <w:t xml:space="preserve">589. </w:t>
      </w:r>
    </w:p>
    <w:p w14:paraId="68E13879" w14:textId="7E4565DB" w:rsidR="00D50589" w:rsidRPr="00F634D2" w:rsidRDefault="00686261">
      <w:pPr>
        <w:adjustRightInd w:val="0"/>
        <w:snapToGrid w:val="0"/>
        <w:spacing w:after="0" w:line="480" w:lineRule="auto"/>
        <w:ind w:left="480" w:hangingChars="200" w:hanging="480"/>
        <w:jc w:val="both"/>
        <w:rPr>
          <w:rFonts w:ascii="Times New Roman" w:eastAsia="PMingLiU" w:hAnsi="Times New Roman" w:cs="Times New Roman"/>
          <w:sz w:val="24"/>
          <w:szCs w:val="24"/>
          <w:lang w:eastAsia="en-US"/>
        </w:rPr>
      </w:pPr>
      <w:r w:rsidRPr="00F634D2">
        <w:rPr>
          <w:rFonts w:ascii="Times New Roman" w:eastAsia="PMingLiU" w:hAnsi="Times New Roman" w:cs="Times New Roman"/>
          <w:sz w:val="24"/>
          <w:szCs w:val="24"/>
          <w:lang w:eastAsia="en-US"/>
        </w:rPr>
        <w:lastRenderedPageBreak/>
        <w:t xml:space="preserve">Li, Y., Y. Lin, and L. Zhang. 2018. “Trade secrets law and corporate disclosure: causal evidence on the proprietary cost hypothesis.” </w:t>
      </w:r>
      <w:r w:rsidRPr="00F634D2">
        <w:rPr>
          <w:rFonts w:ascii="Times New Roman" w:eastAsia="PMingLiU" w:hAnsi="Times New Roman" w:cs="Times New Roman"/>
          <w:i/>
          <w:sz w:val="24"/>
          <w:szCs w:val="24"/>
          <w:lang w:eastAsia="en-US"/>
        </w:rPr>
        <w:t>Journal of Accounting Research</w:t>
      </w:r>
      <w:r w:rsidRPr="00F634D2">
        <w:rPr>
          <w:rFonts w:ascii="Times New Roman" w:eastAsia="PMingLiU" w:hAnsi="Times New Roman" w:cs="Times New Roman"/>
          <w:sz w:val="24"/>
          <w:szCs w:val="24"/>
          <w:lang w:eastAsia="en-US"/>
        </w:rPr>
        <w:t xml:space="preserve"> 56 (1)</w:t>
      </w:r>
      <w:r w:rsidRPr="00F634D2">
        <w:rPr>
          <w:rFonts w:ascii="Times New Roman" w:eastAsia="PMingLiU" w:hAnsi="Times New Roman" w:cs="Times New Roman"/>
          <w:i/>
          <w:iCs/>
          <w:sz w:val="24"/>
          <w:szCs w:val="24"/>
          <w:lang w:eastAsia="en-US"/>
        </w:rPr>
        <w:t xml:space="preserve">: </w:t>
      </w:r>
      <w:r w:rsidRPr="00F634D2">
        <w:rPr>
          <w:rFonts w:ascii="Times New Roman" w:eastAsia="PMingLiU" w:hAnsi="Times New Roman" w:cs="Times New Roman"/>
          <w:sz w:val="24"/>
          <w:szCs w:val="24"/>
          <w:lang w:eastAsia="en-US"/>
        </w:rPr>
        <w:t xml:space="preserve">265–308. </w:t>
      </w:r>
    </w:p>
    <w:p w14:paraId="234071EB" w14:textId="33206EBF" w:rsidR="00D50589" w:rsidRPr="00F634D2" w:rsidRDefault="00686261">
      <w:pPr>
        <w:adjustRightInd w:val="0"/>
        <w:snapToGrid w:val="0"/>
        <w:spacing w:after="0" w:line="480" w:lineRule="auto"/>
        <w:ind w:left="480" w:hangingChars="200" w:hanging="480"/>
        <w:jc w:val="both"/>
        <w:rPr>
          <w:rFonts w:ascii="Times New Roman" w:eastAsia="PMingLiU" w:hAnsi="Times New Roman" w:cs="Times New Roman"/>
          <w:sz w:val="24"/>
          <w:szCs w:val="24"/>
          <w:lang w:eastAsia="en-US"/>
        </w:rPr>
      </w:pPr>
      <w:proofErr w:type="spellStart"/>
      <w:r w:rsidRPr="00F634D2">
        <w:rPr>
          <w:rFonts w:ascii="Times New Roman" w:eastAsia="PMingLiU" w:hAnsi="Times New Roman" w:cs="Times New Roman"/>
          <w:sz w:val="24"/>
          <w:szCs w:val="24"/>
          <w:lang w:eastAsia="en-US"/>
        </w:rPr>
        <w:t>Ljungqvist</w:t>
      </w:r>
      <w:proofErr w:type="spellEnd"/>
      <w:r w:rsidRPr="00F634D2">
        <w:rPr>
          <w:rFonts w:ascii="Times New Roman" w:eastAsia="PMingLiU" w:hAnsi="Times New Roman" w:cs="Times New Roman"/>
          <w:sz w:val="24"/>
          <w:szCs w:val="24"/>
          <w:lang w:eastAsia="en-US"/>
        </w:rPr>
        <w:t xml:space="preserve">, A., L. Zhang, and L. </w:t>
      </w:r>
      <w:proofErr w:type="spellStart"/>
      <w:r w:rsidRPr="00F634D2">
        <w:rPr>
          <w:rFonts w:ascii="Times New Roman" w:eastAsia="PMingLiU" w:hAnsi="Times New Roman" w:cs="Times New Roman"/>
          <w:sz w:val="24"/>
          <w:szCs w:val="24"/>
          <w:lang w:eastAsia="en-US"/>
        </w:rPr>
        <w:t>Zuo</w:t>
      </w:r>
      <w:proofErr w:type="spellEnd"/>
      <w:r w:rsidRPr="00F634D2">
        <w:rPr>
          <w:rFonts w:ascii="Times New Roman" w:eastAsia="PMingLiU" w:hAnsi="Times New Roman" w:cs="Times New Roman"/>
          <w:sz w:val="24"/>
          <w:szCs w:val="24"/>
          <w:lang w:eastAsia="en-US"/>
        </w:rPr>
        <w:t xml:space="preserve">. 2017. “Sharing risk with the government: how tax affects corporate risk taking.” </w:t>
      </w:r>
      <w:r w:rsidRPr="00F634D2">
        <w:rPr>
          <w:rFonts w:ascii="Times New Roman" w:eastAsia="PMingLiU" w:hAnsi="Times New Roman" w:cs="Times New Roman"/>
          <w:i/>
          <w:sz w:val="24"/>
          <w:szCs w:val="24"/>
          <w:lang w:eastAsia="en-US"/>
        </w:rPr>
        <w:t>Journal of Accounting Research</w:t>
      </w:r>
      <w:r w:rsidRPr="00F634D2">
        <w:rPr>
          <w:rFonts w:ascii="Times New Roman" w:eastAsia="PMingLiU" w:hAnsi="Times New Roman" w:cs="Times New Roman"/>
          <w:sz w:val="24"/>
          <w:szCs w:val="24"/>
          <w:lang w:eastAsia="en-US"/>
        </w:rPr>
        <w:t xml:space="preserve"> 55 (3): 669–707. </w:t>
      </w:r>
    </w:p>
    <w:p w14:paraId="7A5F16CA" w14:textId="5792BB18" w:rsidR="00D50589" w:rsidRPr="00F634D2" w:rsidRDefault="00686261">
      <w:pPr>
        <w:adjustRightInd w:val="0"/>
        <w:snapToGrid w:val="0"/>
        <w:spacing w:after="0" w:line="480" w:lineRule="auto"/>
        <w:ind w:left="480" w:hangingChars="200" w:hanging="480"/>
        <w:jc w:val="both"/>
        <w:rPr>
          <w:rFonts w:ascii="Times New Roman" w:eastAsia="PMingLiU" w:hAnsi="Times New Roman" w:cs="Times New Roman"/>
          <w:sz w:val="24"/>
          <w:szCs w:val="24"/>
          <w:lang w:eastAsia="en-US"/>
        </w:rPr>
      </w:pPr>
      <w:r w:rsidRPr="00F634D2">
        <w:rPr>
          <w:rFonts w:ascii="Times New Roman" w:eastAsia="PMingLiU" w:hAnsi="Times New Roman" w:cs="Times New Roman"/>
          <w:sz w:val="24"/>
          <w:szCs w:val="24"/>
          <w:lang w:eastAsia="en-US"/>
        </w:rPr>
        <w:t xml:space="preserve">Low, A. 2009. “Managerial risk-taking behavior and equity-based compensation.” </w:t>
      </w:r>
      <w:r w:rsidRPr="00F634D2">
        <w:rPr>
          <w:rFonts w:ascii="Times New Roman" w:eastAsia="PMingLiU" w:hAnsi="Times New Roman" w:cs="Times New Roman"/>
          <w:i/>
          <w:iCs/>
          <w:sz w:val="24"/>
          <w:szCs w:val="24"/>
          <w:lang w:eastAsia="en-US"/>
        </w:rPr>
        <w:t>Journal of Financial Economics</w:t>
      </w:r>
      <w:r w:rsidRPr="00F634D2">
        <w:rPr>
          <w:rFonts w:ascii="Times New Roman" w:eastAsia="PMingLiU" w:hAnsi="Times New Roman" w:cs="Times New Roman"/>
          <w:sz w:val="24"/>
          <w:szCs w:val="24"/>
          <w:lang w:eastAsia="en-US"/>
        </w:rPr>
        <w:t xml:space="preserve"> </w:t>
      </w:r>
      <w:r w:rsidRPr="00F634D2">
        <w:rPr>
          <w:rFonts w:ascii="Times New Roman" w:eastAsia="PMingLiU" w:hAnsi="Times New Roman" w:cs="Times New Roman"/>
          <w:iCs/>
          <w:sz w:val="24"/>
          <w:szCs w:val="24"/>
          <w:lang w:eastAsia="en-US"/>
        </w:rPr>
        <w:t xml:space="preserve">92 </w:t>
      </w:r>
      <w:r w:rsidRPr="00F634D2">
        <w:rPr>
          <w:rFonts w:ascii="Times New Roman" w:eastAsia="PMingLiU" w:hAnsi="Times New Roman" w:cs="Times New Roman"/>
          <w:sz w:val="24"/>
          <w:szCs w:val="24"/>
          <w:lang w:eastAsia="en-US"/>
        </w:rPr>
        <w:t xml:space="preserve">(3): 470–490. </w:t>
      </w:r>
    </w:p>
    <w:p w14:paraId="2CFA3C18" w14:textId="77777777" w:rsidR="00D50589" w:rsidRPr="00F634D2" w:rsidRDefault="00686261">
      <w:pPr>
        <w:adjustRightInd w:val="0"/>
        <w:snapToGrid w:val="0"/>
        <w:spacing w:after="0" w:line="480" w:lineRule="auto"/>
        <w:ind w:left="480" w:hangingChars="200" w:hanging="480"/>
        <w:jc w:val="both"/>
        <w:rPr>
          <w:rFonts w:ascii="Times New Roman" w:eastAsia="PMingLiU" w:hAnsi="Times New Roman" w:cs="Times New Roman"/>
          <w:sz w:val="24"/>
          <w:szCs w:val="24"/>
          <w:lang w:eastAsia="en-US"/>
        </w:rPr>
      </w:pPr>
      <w:proofErr w:type="spellStart"/>
      <w:r w:rsidRPr="00F634D2">
        <w:rPr>
          <w:rFonts w:ascii="Times New Roman" w:hAnsi="Times New Roman" w:cs="Times New Roman"/>
          <w:sz w:val="24"/>
          <w:szCs w:val="24"/>
        </w:rPr>
        <w:t>Malsberger</w:t>
      </w:r>
      <w:proofErr w:type="spellEnd"/>
      <w:r w:rsidRPr="00F634D2">
        <w:rPr>
          <w:rFonts w:ascii="Times New Roman" w:hAnsi="Times New Roman" w:cs="Times New Roman"/>
          <w:sz w:val="24"/>
          <w:szCs w:val="24"/>
        </w:rPr>
        <w:t>, B.M. 2004.</w:t>
      </w:r>
      <w:r w:rsidRPr="00F634D2">
        <w:rPr>
          <w:rFonts w:ascii="Times New Roman" w:hAnsi="Times New Roman" w:cs="Times New Roman"/>
          <w:i/>
          <w:iCs/>
          <w:sz w:val="24"/>
          <w:szCs w:val="24"/>
        </w:rPr>
        <w:t xml:space="preserve"> Covenants not to compete: a state-by-state survey</w:t>
      </w:r>
      <w:r w:rsidRPr="00F634D2">
        <w:rPr>
          <w:rFonts w:ascii="Times New Roman" w:hAnsi="Times New Roman" w:cs="Times New Roman"/>
          <w:sz w:val="24"/>
          <w:szCs w:val="24"/>
        </w:rPr>
        <w:t>. 3rd ed. Arlington, Virginia: BNA Books.</w:t>
      </w:r>
    </w:p>
    <w:p w14:paraId="16E0302D" w14:textId="6C140863"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proofErr w:type="spellStart"/>
      <w:r w:rsidRPr="00F634D2">
        <w:rPr>
          <w:rFonts w:ascii="Times New Roman" w:eastAsia="DengXian" w:hAnsi="Times New Roman" w:cs="Times New Roman"/>
          <w:sz w:val="24"/>
          <w:szCs w:val="24"/>
        </w:rPr>
        <w:t>Parrino</w:t>
      </w:r>
      <w:proofErr w:type="spellEnd"/>
      <w:r w:rsidRPr="00F634D2">
        <w:rPr>
          <w:rFonts w:ascii="Times New Roman" w:eastAsia="DengXian" w:hAnsi="Times New Roman" w:cs="Times New Roman"/>
          <w:sz w:val="24"/>
          <w:szCs w:val="24"/>
        </w:rPr>
        <w:t xml:space="preserve">, R. 1997. “CEO turnover and outside succession: a cross-sectional analysis.” </w:t>
      </w:r>
      <w:r w:rsidRPr="00F634D2">
        <w:rPr>
          <w:rFonts w:ascii="Times New Roman" w:eastAsia="DengXian" w:hAnsi="Times New Roman" w:cs="Times New Roman"/>
          <w:i/>
          <w:iCs/>
          <w:sz w:val="24"/>
          <w:szCs w:val="24"/>
        </w:rPr>
        <w:t>Journal of Financial Economics</w:t>
      </w:r>
      <w:r w:rsidRPr="00F634D2">
        <w:rPr>
          <w:rFonts w:ascii="Times New Roman" w:eastAsia="DengXian" w:hAnsi="Times New Roman" w:cs="Times New Roman"/>
          <w:sz w:val="24"/>
          <w:szCs w:val="24"/>
        </w:rPr>
        <w:t xml:space="preserve"> </w:t>
      </w:r>
      <w:r w:rsidRPr="00F634D2">
        <w:rPr>
          <w:rFonts w:ascii="Times New Roman" w:eastAsia="DengXian" w:hAnsi="Times New Roman" w:cs="Times New Roman"/>
          <w:iCs/>
          <w:sz w:val="24"/>
          <w:szCs w:val="24"/>
        </w:rPr>
        <w:t>46 (2)</w:t>
      </w:r>
      <w:r w:rsidRPr="00F634D2">
        <w:rPr>
          <w:rFonts w:ascii="Times New Roman" w:eastAsia="DengXian" w:hAnsi="Times New Roman" w:cs="Times New Roman"/>
          <w:sz w:val="24"/>
          <w:szCs w:val="24"/>
        </w:rPr>
        <w:t xml:space="preserve">: 165–197. </w:t>
      </w:r>
    </w:p>
    <w:p w14:paraId="31A4DE74" w14:textId="3720456C"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Pathan, S. 2009. “</w:t>
      </w:r>
      <w:bookmarkStart w:id="4" w:name="_Hlk54603060"/>
      <w:r w:rsidRPr="00F634D2">
        <w:rPr>
          <w:rFonts w:ascii="Times New Roman" w:eastAsia="DengXian" w:hAnsi="Times New Roman" w:cs="Times New Roman"/>
          <w:sz w:val="24"/>
          <w:szCs w:val="24"/>
        </w:rPr>
        <w:t>Strong boards, CEO power and bank risk-taking.</w:t>
      </w:r>
      <w:bookmarkEnd w:id="4"/>
      <w:r w:rsidRPr="00F634D2">
        <w:rPr>
          <w:rFonts w:ascii="Times New Roman" w:eastAsia="DengXian" w:hAnsi="Times New Roman" w:cs="Times New Roman"/>
          <w:sz w:val="24"/>
          <w:szCs w:val="24"/>
        </w:rPr>
        <w:t xml:space="preserve">” </w:t>
      </w:r>
      <w:r w:rsidRPr="00F634D2">
        <w:rPr>
          <w:rFonts w:ascii="Times New Roman" w:eastAsia="DengXian" w:hAnsi="Times New Roman" w:cs="Times New Roman"/>
          <w:i/>
          <w:sz w:val="24"/>
          <w:szCs w:val="24"/>
        </w:rPr>
        <w:t>Journal of Banking and Finance</w:t>
      </w:r>
      <w:r w:rsidRPr="00F634D2">
        <w:rPr>
          <w:rFonts w:ascii="Times New Roman" w:eastAsia="DengXian" w:hAnsi="Times New Roman" w:cs="Times New Roman"/>
          <w:sz w:val="24"/>
          <w:szCs w:val="24"/>
        </w:rPr>
        <w:t xml:space="preserve"> 33 (7): 1340–1350. </w:t>
      </w:r>
    </w:p>
    <w:p w14:paraId="1CF6D325" w14:textId="0D9C100C" w:rsidR="00D50589" w:rsidRPr="00F634D2" w:rsidRDefault="00686261">
      <w:pPr>
        <w:snapToGrid w:val="0"/>
        <w:spacing w:after="0" w:line="480" w:lineRule="auto"/>
        <w:ind w:left="480" w:hangingChars="200" w:hanging="480"/>
        <w:jc w:val="both"/>
        <w:rPr>
          <w:rFonts w:ascii="Times New Roman" w:hAnsi="Times New Roman" w:cs="Times New Roman"/>
          <w:sz w:val="24"/>
          <w:szCs w:val="24"/>
        </w:rPr>
      </w:pPr>
      <w:r w:rsidRPr="00F634D2">
        <w:rPr>
          <w:rFonts w:ascii="Times New Roman" w:hAnsi="Times New Roman" w:cs="Times New Roman"/>
          <w:sz w:val="24"/>
          <w:szCs w:val="24"/>
        </w:rPr>
        <w:t xml:space="preserve">Qiu, B. H., and T. Wang. 2018. “Does knowledge protection benefit shareholders? Evidence from stock market reaction and firm investment in knowledge assets.” </w:t>
      </w:r>
      <w:r w:rsidRPr="00F634D2">
        <w:rPr>
          <w:rFonts w:ascii="Times New Roman" w:hAnsi="Times New Roman" w:cs="Times New Roman"/>
          <w:i/>
          <w:sz w:val="24"/>
          <w:szCs w:val="24"/>
        </w:rPr>
        <w:t xml:space="preserve">Journal of Financial and Quantitative Analysis </w:t>
      </w:r>
      <w:r w:rsidRPr="00F634D2">
        <w:rPr>
          <w:rFonts w:ascii="Times New Roman" w:hAnsi="Times New Roman" w:cs="Times New Roman"/>
          <w:sz w:val="24"/>
          <w:szCs w:val="24"/>
        </w:rPr>
        <w:t xml:space="preserve">53 (3): 1341-1370. </w:t>
      </w:r>
    </w:p>
    <w:p w14:paraId="440F0576" w14:textId="25A387C3"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proofErr w:type="spellStart"/>
      <w:r w:rsidRPr="00F634D2">
        <w:rPr>
          <w:rFonts w:ascii="Times New Roman" w:eastAsia="DengXian" w:hAnsi="Times New Roman" w:cs="Times New Roman"/>
          <w:sz w:val="24"/>
          <w:szCs w:val="24"/>
        </w:rPr>
        <w:t>Rajgopal</w:t>
      </w:r>
      <w:proofErr w:type="spellEnd"/>
      <w:r w:rsidRPr="00F634D2">
        <w:rPr>
          <w:rFonts w:ascii="Times New Roman" w:eastAsia="DengXian" w:hAnsi="Times New Roman" w:cs="Times New Roman"/>
          <w:sz w:val="24"/>
          <w:szCs w:val="24"/>
        </w:rPr>
        <w:t xml:space="preserve">, S., and T. Shevlin. 2002. “Empirical evidence on the relation between stock option compensation and risk taking.” </w:t>
      </w:r>
      <w:r w:rsidRPr="00F634D2">
        <w:rPr>
          <w:rFonts w:ascii="Times New Roman" w:eastAsia="DengXian" w:hAnsi="Times New Roman" w:cs="Times New Roman"/>
          <w:i/>
          <w:sz w:val="24"/>
          <w:szCs w:val="24"/>
        </w:rPr>
        <w:t>Journal of Accounting and Economics</w:t>
      </w:r>
      <w:r w:rsidRPr="00F634D2">
        <w:rPr>
          <w:rFonts w:ascii="Times New Roman" w:eastAsia="DengXian" w:hAnsi="Times New Roman" w:cs="Times New Roman"/>
          <w:sz w:val="24"/>
          <w:szCs w:val="24"/>
        </w:rPr>
        <w:t xml:space="preserve"> 33 (2): 145–171. </w:t>
      </w:r>
    </w:p>
    <w:p w14:paraId="0F51639A" w14:textId="0FCF7AB7"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r w:rsidRPr="00F634D2">
        <w:rPr>
          <w:rFonts w:ascii="Times New Roman" w:hAnsi="Times New Roman" w:cs="Times New Roman"/>
          <w:sz w:val="24"/>
          <w:szCs w:val="24"/>
          <w:lang w:val="en-GB"/>
        </w:rPr>
        <w:t>Ross, S. 2004. “</w:t>
      </w:r>
      <w:bookmarkStart w:id="5" w:name="_Hlk54603276"/>
      <w:r w:rsidRPr="00F634D2">
        <w:rPr>
          <w:rFonts w:ascii="Times New Roman" w:hAnsi="Times New Roman" w:cs="Times New Roman"/>
          <w:sz w:val="24"/>
          <w:szCs w:val="24"/>
          <w:lang w:val="en-GB"/>
        </w:rPr>
        <w:t>Compensation, incentives, and the duality of risk aversion and riskiness</w:t>
      </w:r>
      <w:bookmarkEnd w:id="5"/>
      <w:r w:rsidRPr="00F634D2">
        <w:rPr>
          <w:rFonts w:ascii="Times New Roman" w:hAnsi="Times New Roman" w:cs="Times New Roman"/>
          <w:sz w:val="24"/>
          <w:szCs w:val="24"/>
          <w:lang w:val="en-GB"/>
        </w:rPr>
        <w:t xml:space="preserve">.” </w:t>
      </w:r>
      <w:r w:rsidRPr="00F634D2">
        <w:rPr>
          <w:rFonts w:ascii="Times New Roman" w:hAnsi="Times New Roman" w:cs="Times New Roman"/>
          <w:i/>
          <w:iCs/>
          <w:sz w:val="24"/>
          <w:szCs w:val="24"/>
          <w:lang w:val="en-GB"/>
        </w:rPr>
        <w:t xml:space="preserve">Journal of Finance </w:t>
      </w:r>
      <w:r w:rsidRPr="00F634D2">
        <w:rPr>
          <w:rFonts w:ascii="Times New Roman" w:hAnsi="Times New Roman" w:cs="Times New Roman"/>
          <w:sz w:val="24"/>
          <w:szCs w:val="24"/>
          <w:lang w:val="en-GB"/>
        </w:rPr>
        <w:t>59 (1): 207</w:t>
      </w:r>
      <w:r w:rsidRPr="00F634D2">
        <w:rPr>
          <w:rFonts w:ascii="Times New Roman" w:eastAsia="DengXian" w:hAnsi="Times New Roman" w:cs="Times New Roman"/>
          <w:sz w:val="24"/>
          <w:szCs w:val="24"/>
        </w:rPr>
        <w:t>–</w:t>
      </w:r>
      <w:r w:rsidRPr="00F634D2">
        <w:rPr>
          <w:rFonts w:ascii="Times New Roman" w:hAnsi="Times New Roman" w:cs="Times New Roman"/>
          <w:sz w:val="24"/>
          <w:szCs w:val="24"/>
          <w:lang w:val="en-GB"/>
        </w:rPr>
        <w:t xml:space="preserve">225. </w:t>
      </w:r>
    </w:p>
    <w:p w14:paraId="4066B55B" w14:textId="65ABEDD2"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proofErr w:type="spellStart"/>
      <w:r w:rsidRPr="00F634D2">
        <w:rPr>
          <w:rFonts w:ascii="Times New Roman" w:eastAsia="DengXian" w:hAnsi="Times New Roman" w:cs="Times New Roman"/>
          <w:sz w:val="24"/>
          <w:szCs w:val="24"/>
        </w:rPr>
        <w:t>Samila</w:t>
      </w:r>
      <w:proofErr w:type="spellEnd"/>
      <w:r w:rsidRPr="00F634D2">
        <w:rPr>
          <w:rFonts w:ascii="Times New Roman" w:eastAsia="DengXian" w:hAnsi="Times New Roman" w:cs="Times New Roman"/>
          <w:sz w:val="24"/>
          <w:szCs w:val="24"/>
        </w:rPr>
        <w:t xml:space="preserve">, S., and O. Sorenson. 2011. “Noncompete covenants: incentives to innovate or impediments to growth.” </w:t>
      </w:r>
      <w:r w:rsidRPr="00F634D2">
        <w:rPr>
          <w:rFonts w:ascii="Times New Roman" w:eastAsia="DengXian" w:hAnsi="Times New Roman" w:cs="Times New Roman"/>
          <w:i/>
          <w:sz w:val="24"/>
          <w:szCs w:val="24"/>
        </w:rPr>
        <w:t xml:space="preserve">Management Science </w:t>
      </w:r>
      <w:r w:rsidRPr="00F634D2">
        <w:rPr>
          <w:rFonts w:ascii="Times New Roman" w:eastAsia="DengXian" w:hAnsi="Times New Roman" w:cs="Times New Roman"/>
          <w:sz w:val="24"/>
          <w:szCs w:val="24"/>
        </w:rPr>
        <w:t xml:space="preserve">57 (3): 425–438. </w:t>
      </w:r>
    </w:p>
    <w:p w14:paraId="3F48368E" w14:textId="73B44445"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proofErr w:type="spellStart"/>
      <w:r w:rsidRPr="00F634D2">
        <w:rPr>
          <w:rFonts w:ascii="Times New Roman" w:hAnsi="Times New Roman" w:cs="Times New Roman"/>
          <w:sz w:val="24"/>
          <w:szCs w:val="24"/>
        </w:rPr>
        <w:t>Simsek</w:t>
      </w:r>
      <w:proofErr w:type="spellEnd"/>
      <w:r w:rsidRPr="00F634D2">
        <w:rPr>
          <w:rFonts w:ascii="Times New Roman" w:hAnsi="Times New Roman" w:cs="Times New Roman"/>
          <w:sz w:val="24"/>
          <w:szCs w:val="24"/>
        </w:rPr>
        <w:t xml:space="preserve">, Z. 2007. “CEO tenure and organizational performance: an intervening model.” </w:t>
      </w:r>
      <w:r w:rsidRPr="00F634D2">
        <w:rPr>
          <w:rFonts w:ascii="Times New Roman" w:hAnsi="Times New Roman" w:cs="Times New Roman"/>
          <w:i/>
          <w:sz w:val="24"/>
          <w:szCs w:val="24"/>
        </w:rPr>
        <w:t>Strategic Management Journal</w:t>
      </w:r>
      <w:r w:rsidRPr="00F634D2">
        <w:rPr>
          <w:rFonts w:ascii="Times New Roman" w:hAnsi="Times New Roman" w:cs="Times New Roman"/>
          <w:sz w:val="24"/>
          <w:szCs w:val="24"/>
        </w:rPr>
        <w:t xml:space="preserve"> 28 (6): 653</w:t>
      </w:r>
      <w:r w:rsidRPr="00F634D2">
        <w:rPr>
          <w:rFonts w:ascii="Times New Roman" w:eastAsia="DengXian" w:hAnsi="Times New Roman" w:cs="Times New Roman"/>
          <w:sz w:val="24"/>
          <w:szCs w:val="24"/>
        </w:rPr>
        <w:t>–</w:t>
      </w:r>
      <w:r w:rsidRPr="00F634D2">
        <w:rPr>
          <w:rFonts w:ascii="Times New Roman" w:hAnsi="Times New Roman" w:cs="Times New Roman"/>
          <w:sz w:val="24"/>
          <w:szCs w:val="24"/>
        </w:rPr>
        <w:t xml:space="preserve">662. </w:t>
      </w:r>
    </w:p>
    <w:p w14:paraId="5061BEE6" w14:textId="199E334A"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lastRenderedPageBreak/>
        <w:t xml:space="preserve">Smith, C., and R. </w:t>
      </w:r>
      <w:proofErr w:type="spellStart"/>
      <w:r w:rsidRPr="00F634D2">
        <w:rPr>
          <w:rFonts w:ascii="Times New Roman" w:eastAsia="DengXian" w:hAnsi="Times New Roman" w:cs="Times New Roman"/>
          <w:sz w:val="24"/>
          <w:szCs w:val="24"/>
        </w:rPr>
        <w:t>Stulz</w:t>
      </w:r>
      <w:proofErr w:type="spellEnd"/>
      <w:r w:rsidRPr="00F634D2">
        <w:rPr>
          <w:rFonts w:ascii="Times New Roman" w:eastAsia="DengXian" w:hAnsi="Times New Roman" w:cs="Times New Roman"/>
          <w:sz w:val="24"/>
          <w:szCs w:val="24"/>
        </w:rPr>
        <w:t xml:space="preserve">. 1985. “The determinants of firms’ hedging policies.” </w:t>
      </w:r>
      <w:r w:rsidRPr="00F634D2">
        <w:rPr>
          <w:rFonts w:ascii="Times New Roman" w:eastAsia="DengXian" w:hAnsi="Times New Roman" w:cs="Times New Roman"/>
          <w:i/>
          <w:sz w:val="24"/>
          <w:szCs w:val="24"/>
        </w:rPr>
        <w:t>Journal of Financial and Quantitative Analysis</w:t>
      </w:r>
      <w:r w:rsidRPr="00F634D2">
        <w:rPr>
          <w:rFonts w:ascii="Times New Roman" w:eastAsia="DengXian" w:hAnsi="Times New Roman" w:cs="Times New Roman"/>
          <w:sz w:val="24"/>
          <w:szCs w:val="24"/>
        </w:rPr>
        <w:t xml:space="preserve"> 20 (4): 391–405. </w:t>
      </w:r>
    </w:p>
    <w:p w14:paraId="50E56B2D" w14:textId="6522661D" w:rsidR="00D50589" w:rsidRPr="00F634D2" w:rsidRDefault="00686261">
      <w:pPr>
        <w:adjustRightInd w:val="0"/>
        <w:snapToGrid w:val="0"/>
        <w:spacing w:after="0" w:line="480" w:lineRule="auto"/>
        <w:ind w:left="480" w:hangingChars="200" w:hanging="480"/>
        <w:jc w:val="both"/>
        <w:rPr>
          <w:rFonts w:ascii="Times New Roman" w:hAnsi="Times New Roman" w:cs="Times New Roman"/>
          <w:iCs/>
          <w:sz w:val="24"/>
          <w:szCs w:val="24"/>
          <w:shd w:val="clear" w:color="auto" w:fill="FFFFFF"/>
        </w:rPr>
      </w:pPr>
      <w:r w:rsidRPr="00F634D2">
        <w:rPr>
          <w:rFonts w:ascii="Times New Roman" w:eastAsia="DengXian" w:hAnsi="Times New Roman" w:cs="Times New Roman" w:hint="eastAsia"/>
          <w:sz w:val="24"/>
          <w:szCs w:val="24"/>
        </w:rPr>
        <w:t>S</w:t>
      </w:r>
      <w:r w:rsidRPr="00F634D2">
        <w:rPr>
          <w:rFonts w:ascii="Times New Roman" w:eastAsia="DengXian" w:hAnsi="Times New Roman" w:cs="Times New Roman"/>
          <w:sz w:val="24"/>
          <w:szCs w:val="24"/>
        </w:rPr>
        <w:t xml:space="preserve">tarr, E. 2019. “Consider this: training, wages, and the enforceability of covenants not to compete.” </w:t>
      </w:r>
      <w:r w:rsidRPr="00F634D2">
        <w:rPr>
          <w:rFonts w:ascii="Times New Roman" w:eastAsia="DengXian" w:hAnsi="Times New Roman" w:cs="Times New Roman"/>
          <w:i/>
          <w:iCs/>
          <w:sz w:val="24"/>
          <w:szCs w:val="24"/>
        </w:rPr>
        <w:t>I</w:t>
      </w:r>
      <w:r w:rsidRPr="00F634D2">
        <w:rPr>
          <w:rFonts w:ascii="Times New Roman" w:hAnsi="Times New Roman" w:cs="Times New Roman"/>
          <w:i/>
          <w:iCs/>
          <w:sz w:val="24"/>
          <w:szCs w:val="24"/>
          <w:shd w:val="clear" w:color="auto" w:fill="FFFFFF"/>
        </w:rPr>
        <w:t xml:space="preserve">ndustrial and Labor Relations Review </w:t>
      </w:r>
      <w:r w:rsidRPr="00F634D2">
        <w:rPr>
          <w:rFonts w:ascii="Times New Roman" w:hAnsi="Times New Roman" w:cs="Times New Roman"/>
          <w:iCs/>
          <w:sz w:val="24"/>
          <w:szCs w:val="24"/>
          <w:shd w:val="clear" w:color="auto" w:fill="FFFFFF"/>
        </w:rPr>
        <w:t xml:space="preserve">72 (4): 783–817. </w:t>
      </w:r>
    </w:p>
    <w:p w14:paraId="0C4D6D3A" w14:textId="33C14C70" w:rsidR="00D50589" w:rsidRPr="00F634D2" w:rsidRDefault="00686261">
      <w:pPr>
        <w:adjustRightInd w:val="0"/>
        <w:snapToGrid w:val="0"/>
        <w:spacing w:after="0" w:line="480" w:lineRule="auto"/>
        <w:ind w:left="480" w:hangingChars="200" w:hanging="480"/>
        <w:jc w:val="both"/>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Yun, H. 2008. “The choice of corporate liquidity and corporate governance.” </w:t>
      </w:r>
      <w:r w:rsidRPr="00F634D2">
        <w:rPr>
          <w:rFonts w:ascii="Times New Roman" w:eastAsia="DengXian" w:hAnsi="Times New Roman" w:cs="Times New Roman"/>
          <w:i/>
          <w:sz w:val="24"/>
          <w:szCs w:val="24"/>
        </w:rPr>
        <w:t>Review of Financial Studies</w:t>
      </w:r>
      <w:r w:rsidRPr="00F634D2">
        <w:rPr>
          <w:rFonts w:ascii="Times New Roman" w:eastAsia="DengXian" w:hAnsi="Times New Roman" w:cs="Times New Roman"/>
          <w:sz w:val="24"/>
          <w:szCs w:val="24"/>
        </w:rPr>
        <w:t xml:space="preserve"> 22 (4): 1447–1475. </w:t>
      </w:r>
    </w:p>
    <w:p w14:paraId="1163EF50" w14:textId="1D612B28" w:rsidR="00D50589" w:rsidRPr="00F634D2" w:rsidRDefault="00686261" w:rsidP="007E03F2">
      <w:pPr>
        <w:spacing w:line="480" w:lineRule="auto"/>
        <w:ind w:left="720" w:hanging="720"/>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Zhang, Y., and N. Rajagopalan. 2010. “Once an outsider, always an outsider? CEO origin, strategic change, and firm performance.” </w:t>
      </w:r>
      <w:r w:rsidRPr="00F634D2">
        <w:rPr>
          <w:rFonts w:ascii="Times New Roman" w:eastAsia="DengXian" w:hAnsi="Times New Roman" w:cs="Times New Roman"/>
          <w:i/>
          <w:iCs/>
          <w:sz w:val="24"/>
          <w:szCs w:val="24"/>
        </w:rPr>
        <w:t>Strategic Management Journal</w:t>
      </w:r>
      <w:r w:rsidRPr="00F634D2">
        <w:rPr>
          <w:rFonts w:ascii="Times New Roman" w:eastAsia="DengXian" w:hAnsi="Times New Roman" w:cs="Times New Roman"/>
          <w:sz w:val="24"/>
          <w:szCs w:val="24"/>
        </w:rPr>
        <w:t xml:space="preserve"> 31 (3): 334–346. </w:t>
      </w:r>
      <w:r w:rsidRPr="00F634D2">
        <w:rPr>
          <w:rFonts w:ascii="Times New Roman" w:eastAsia="DengXian" w:hAnsi="Times New Roman" w:cs="Times New Roman"/>
          <w:sz w:val="24"/>
          <w:szCs w:val="24"/>
        </w:rPr>
        <w:br w:type="page"/>
      </w:r>
    </w:p>
    <w:tbl>
      <w:tblPr>
        <w:tblW w:w="5155" w:type="pct"/>
        <w:tblCellMar>
          <w:left w:w="0" w:type="dxa"/>
          <w:right w:w="0" w:type="dxa"/>
        </w:tblCellMar>
        <w:tblLook w:val="04A0" w:firstRow="1" w:lastRow="0" w:firstColumn="1" w:lastColumn="0" w:noHBand="0" w:noVBand="1"/>
      </w:tblPr>
      <w:tblGrid>
        <w:gridCol w:w="2424"/>
        <w:gridCol w:w="452"/>
        <w:gridCol w:w="6774"/>
      </w:tblGrid>
      <w:tr w:rsidR="00F634D2" w:rsidRPr="00F634D2" w14:paraId="5EB86491" w14:textId="77777777" w:rsidTr="007E03F2">
        <w:trPr>
          <w:trHeight w:val="20"/>
        </w:trPr>
        <w:tc>
          <w:tcPr>
            <w:tcW w:w="5000" w:type="pct"/>
            <w:gridSpan w:val="3"/>
            <w:tcBorders>
              <w:left w:val="nil"/>
              <w:bottom w:val="single" w:sz="4" w:space="0" w:color="auto"/>
              <w:right w:val="nil"/>
            </w:tcBorders>
            <w:shd w:val="clear" w:color="auto" w:fill="auto"/>
            <w:noWrap/>
            <w:tcMar>
              <w:top w:w="15" w:type="dxa"/>
              <w:left w:w="15" w:type="dxa"/>
              <w:bottom w:w="0" w:type="dxa"/>
              <w:right w:w="15" w:type="dxa"/>
            </w:tcMar>
            <w:vAlign w:val="center"/>
            <w:hideMark/>
          </w:tcPr>
          <w:p w14:paraId="41E08E1A" w14:textId="77777777" w:rsidR="00D50589" w:rsidRPr="00F634D2" w:rsidRDefault="00686261" w:rsidP="007E03F2">
            <w:pPr>
              <w:spacing w:afterLines="50" w:after="120" w:line="240" w:lineRule="auto"/>
              <w:rPr>
                <w:rFonts w:ascii="Times New Roman" w:hAnsi="Times New Roman" w:cs="Times New Roman"/>
                <w:b/>
                <w:bCs/>
                <w:sz w:val="24"/>
                <w:szCs w:val="24"/>
              </w:rPr>
            </w:pPr>
            <w:r w:rsidRPr="00F634D2">
              <w:rPr>
                <w:rFonts w:ascii="Times New Roman" w:hAnsi="Times New Roman" w:cs="Times New Roman"/>
                <w:b/>
                <w:bCs/>
                <w:sz w:val="24"/>
                <w:szCs w:val="24"/>
              </w:rPr>
              <w:lastRenderedPageBreak/>
              <w:t xml:space="preserve">Appendix A. </w:t>
            </w:r>
            <w:r w:rsidRPr="00F634D2">
              <w:rPr>
                <w:rFonts w:ascii="Times New Roman" w:hAnsi="Times New Roman" w:cs="Times New Roman"/>
                <w:sz w:val="24"/>
                <w:szCs w:val="24"/>
              </w:rPr>
              <w:t xml:space="preserve">Variable </w:t>
            </w:r>
            <w:r w:rsidRPr="00F634D2">
              <w:rPr>
                <w:rFonts w:ascii="Times New Roman" w:hAnsi="Times New Roman" w:cs="Times New Roman" w:hint="eastAsia"/>
                <w:sz w:val="24"/>
                <w:szCs w:val="24"/>
              </w:rPr>
              <w:t>d</w:t>
            </w:r>
            <w:r w:rsidRPr="00F634D2">
              <w:rPr>
                <w:rFonts w:ascii="Times New Roman" w:hAnsi="Times New Roman" w:cs="Times New Roman"/>
                <w:sz w:val="24"/>
                <w:szCs w:val="24"/>
              </w:rPr>
              <w:t>efinitions</w:t>
            </w:r>
          </w:p>
        </w:tc>
      </w:tr>
      <w:tr w:rsidR="00F634D2" w:rsidRPr="00F634D2" w14:paraId="0CEDED93"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62F708CF" w14:textId="77777777" w:rsidR="00D50589" w:rsidRPr="00F634D2" w:rsidRDefault="00686261">
            <w:pPr>
              <w:spacing w:after="0" w:line="240" w:lineRule="auto"/>
              <w:jc w:val="right"/>
              <w:rPr>
                <w:rFonts w:ascii="Times New Roman" w:hAnsi="Times New Roman" w:cs="Times New Roman"/>
                <w:i/>
                <w:iCs/>
                <w:sz w:val="24"/>
                <w:szCs w:val="24"/>
              </w:rPr>
            </w:pPr>
            <w:r w:rsidRPr="00F634D2">
              <w:rPr>
                <w:rFonts w:ascii="Times New Roman" w:hAnsi="Times New Roman" w:cs="Times New Roman"/>
                <w:i/>
                <w:iCs/>
                <w:sz w:val="24"/>
                <w:szCs w:val="24"/>
              </w:rPr>
              <w:t>Vega</w:t>
            </w:r>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3A19C9E3"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0A62D765"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 xml:space="preserve">Natural log of dollar </w:t>
            </w:r>
            <w:proofErr w:type="gramStart"/>
            <w:r w:rsidRPr="00F634D2">
              <w:rPr>
                <w:rFonts w:ascii="Times New Roman" w:hAnsi="Times New Roman" w:cs="Times New Roman"/>
                <w:sz w:val="24"/>
                <w:szCs w:val="24"/>
              </w:rPr>
              <w:t>change</w:t>
            </w:r>
            <w:proofErr w:type="gramEnd"/>
            <w:r w:rsidRPr="00F634D2">
              <w:rPr>
                <w:rFonts w:ascii="Times New Roman" w:hAnsi="Times New Roman" w:cs="Times New Roman"/>
                <w:sz w:val="24"/>
                <w:szCs w:val="24"/>
              </w:rPr>
              <w:t xml:space="preserve"> in a CEO’s stock and option holdings for a 1% change in stock return volatility (in thousands), calculated using the method of Core and </w:t>
            </w:r>
            <w:proofErr w:type="spellStart"/>
            <w:r w:rsidRPr="00F634D2">
              <w:rPr>
                <w:rFonts w:ascii="Times New Roman" w:hAnsi="Times New Roman" w:cs="Times New Roman"/>
                <w:sz w:val="24"/>
                <w:szCs w:val="24"/>
              </w:rPr>
              <w:t>Guay</w:t>
            </w:r>
            <w:proofErr w:type="spellEnd"/>
            <w:r w:rsidRPr="00F634D2">
              <w:rPr>
                <w:rFonts w:ascii="Times New Roman" w:hAnsi="Times New Roman" w:cs="Times New Roman"/>
                <w:sz w:val="24"/>
                <w:szCs w:val="24"/>
              </w:rPr>
              <w:t xml:space="preserve"> (2002).</w:t>
            </w:r>
          </w:p>
        </w:tc>
      </w:tr>
      <w:tr w:rsidR="00F634D2" w:rsidRPr="00F634D2" w14:paraId="6F561E17"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1EBFD681" w14:textId="77777777" w:rsidR="00D50589" w:rsidRPr="00F634D2" w:rsidRDefault="00686261">
            <w:pPr>
              <w:spacing w:after="0" w:line="240" w:lineRule="auto"/>
              <w:jc w:val="right"/>
              <w:rPr>
                <w:rFonts w:ascii="Times New Roman" w:hAnsi="Times New Roman" w:cs="Times New Roman"/>
                <w:i/>
                <w:iCs/>
                <w:sz w:val="24"/>
                <w:szCs w:val="24"/>
              </w:rPr>
            </w:pPr>
            <w:proofErr w:type="spellStart"/>
            <w:r w:rsidRPr="00F634D2">
              <w:rPr>
                <w:rFonts w:ascii="Times New Roman" w:hAnsi="Times New Roman" w:cs="Times New Roman"/>
                <w:i/>
                <w:iCs/>
                <w:sz w:val="24"/>
                <w:szCs w:val="24"/>
              </w:rPr>
              <w:t>AfterIDD</w:t>
            </w:r>
            <w:proofErr w:type="spellEnd"/>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4094CBE2"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275E7FB6"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Indicator equal to 1 for state-years when IDD is adopted by the state court, and 0 in all other state-years. All other state-years include both the state-years when the prior adoption was reversed and the state-years when IDD was never adopted.</w:t>
            </w:r>
          </w:p>
        </w:tc>
      </w:tr>
      <w:tr w:rsidR="00F634D2" w:rsidRPr="00F634D2" w14:paraId="2B4075F4"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55CD424E" w14:textId="77777777" w:rsidR="00D50589" w:rsidRPr="00F634D2" w:rsidRDefault="00686261">
            <w:pPr>
              <w:spacing w:after="0" w:line="240" w:lineRule="auto"/>
              <w:jc w:val="right"/>
              <w:rPr>
                <w:rFonts w:ascii="Times New Roman" w:hAnsi="Times New Roman" w:cs="Times New Roman"/>
                <w:i/>
                <w:iCs/>
                <w:sz w:val="24"/>
                <w:szCs w:val="24"/>
              </w:rPr>
            </w:pPr>
            <w:proofErr w:type="spellStart"/>
            <w:r w:rsidRPr="00F634D2">
              <w:rPr>
                <w:rFonts w:ascii="Times New Roman" w:hAnsi="Times New Roman" w:cs="Times New Roman"/>
                <w:i/>
                <w:iCs/>
                <w:sz w:val="24"/>
                <w:szCs w:val="24"/>
              </w:rPr>
              <w:t>IndHomogeneity</w:t>
            </w:r>
            <w:proofErr w:type="spellEnd"/>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3E757E2E"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3C768E5E"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 xml:space="preserve">Indicator equal to 1 for firms with above yearly median industry homogeneity, and 0 otherwise. Industry homogeneity is computed as the (two-digit SIC) industry mean value of the partial correlation between a firm’s return and the equally weighted industry index’s monthly returns over the sample period, calculated using the method of </w:t>
            </w:r>
            <w:proofErr w:type="spellStart"/>
            <w:r w:rsidRPr="00F634D2">
              <w:rPr>
                <w:rFonts w:ascii="Times New Roman" w:hAnsi="Times New Roman" w:cs="Times New Roman"/>
                <w:sz w:val="24"/>
                <w:szCs w:val="24"/>
              </w:rPr>
              <w:t>Parrino</w:t>
            </w:r>
            <w:proofErr w:type="spellEnd"/>
            <w:r w:rsidRPr="00F634D2">
              <w:rPr>
                <w:rFonts w:ascii="Times New Roman" w:hAnsi="Times New Roman" w:cs="Times New Roman"/>
                <w:sz w:val="24"/>
                <w:szCs w:val="24"/>
              </w:rPr>
              <w:t xml:space="preserve"> (1997).</w:t>
            </w:r>
          </w:p>
        </w:tc>
      </w:tr>
      <w:tr w:rsidR="00F634D2" w:rsidRPr="00F634D2" w14:paraId="51967448"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62F9E842" w14:textId="77777777" w:rsidR="00D50589" w:rsidRPr="00F634D2" w:rsidRDefault="00686261">
            <w:pPr>
              <w:spacing w:after="0" w:line="240" w:lineRule="auto"/>
              <w:jc w:val="right"/>
              <w:rPr>
                <w:rFonts w:ascii="Times New Roman" w:hAnsi="Times New Roman" w:cs="Times New Roman"/>
                <w:i/>
                <w:iCs/>
                <w:sz w:val="24"/>
                <w:szCs w:val="24"/>
              </w:rPr>
            </w:pPr>
            <w:proofErr w:type="spellStart"/>
            <w:r w:rsidRPr="00F634D2">
              <w:rPr>
                <w:rFonts w:ascii="Times New Roman" w:hAnsi="Times New Roman" w:cs="Times New Roman"/>
                <w:i/>
                <w:iCs/>
                <w:sz w:val="24"/>
                <w:szCs w:val="24"/>
              </w:rPr>
              <w:t>IndHomogeneity</w:t>
            </w:r>
            <w:proofErr w:type="spellEnd"/>
            <w:r w:rsidRPr="00F634D2">
              <w:rPr>
                <w:rFonts w:ascii="Times New Roman" w:hAnsi="Times New Roman" w:cs="Times New Roman"/>
                <w:i/>
                <w:iCs/>
                <w:sz w:val="24"/>
                <w:szCs w:val="24"/>
              </w:rPr>
              <w:t>(geo)</w:t>
            </w:r>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285004EB"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20D97627" w14:textId="3914FF15"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 xml:space="preserve">Indicator equal to 1 for firms in homogeneous industries with below the median </w:t>
            </w:r>
            <w:r w:rsidR="00426D88" w:rsidRPr="00F634D2">
              <w:rPr>
                <w:rFonts w:ascii="Times New Roman" w:hAnsi="Times New Roman" w:cs="Times New Roman"/>
                <w:sz w:val="24"/>
                <w:szCs w:val="24"/>
              </w:rPr>
              <w:t xml:space="preserve">value of the </w:t>
            </w:r>
            <w:r w:rsidRPr="00F634D2">
              <w:rPr>
                <w:rFonts w:ascii="Times New Roman" w:hAnsi="Times New Roman" w:cs="Times New Roman"/>
                <w:sz w:val="24"/>
                <w:szCs w:val="24"/>
              </w:rPr>
              <w:t xml:space="preserve">number of geographic locations for homogeneous industries, and 0 otherwise. </w:t>
            </w:r>
          </w:p>
        </w:tc>
      </w:tr>
      <w:tr w:rsidR="00F634D2" w:rsidRPr="00F634D2" w14:paraId="6CF967CD"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13F7DE41" w14:textId="77777777" w:rsidR="00D50589" w:rsidRPr="00F634D2" w:rsidRDefault="00686261">
            <w:pPr>
              <w:spacing w:after="0" w:line="240" w:lineRule="auto"/>
              <w:jc w:val="right"/>
              <w:rPr>
                <w:rFonts w:ascii="Times New Roman" w:hAnsi="Times New Roman" w:cs="Times New Roman"/>
                <w:i/>
                <w:iCs/>
                <w:sz w:val="24"/>
                <w:szCs w:val="24"/>
              </w:rPr>
            </w:pPr>
            <w:proofErr w:type="spellStart"/>
            <w:r w:rsidRPr="00F634D2">
              <w:rPr>
                <w:rFonts w:ascii="Times New Roman" w:hAnsi="Times New Roman" w:cs="Times New Roman"/>
                <w:i/>
                <w:iCs/>
                <w:sz w:val="24"/>
                <w:szCs w:val="24"/>
              </w:rPr>
              <w:t>LaterYears</w:t>
            </w:r>
            <w:proofErr w:type="spellEnd"/>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27160CE7"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13F9B09E"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Indicator equal to 1 for firm-years within the final three years of the CEO tenure, and 0 otherwise.</w:t>
            </w:r>
          </w:p>
        </w:tc>
      </w:tr>
      <w:tr w:rsidR="00F634D2" w:rsidRPr="00F634D2" w14:paraId="5FAAE4A2"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37100B79" w14:textId="77777777" w:rsidR="00D50589" w:rsidRPr="00F634D2" w:rsidRDefault="00686261">
            <w:pPr>
              <w:spacing w:after="0" w:line="240" w:lineRule="auto"/>
              <w:jc w:val="right"/>
              <w:rPr>
                <w:rFonts w:ascii="Times New Roman" w:hAnsi="Times New Roman" w:cs="Times New Roman"/>
                <w:i/>
                <w:iCs/>
                <w:sz w:val="24"/>
                <w:szCs w:val="24"/>
              </w:rPr>
            </w:pPr>
            <w:r w:rsidRPr="00F634D2">
              <w:rPr>
                <w:rFonts w:ascii="Times New Roman" w:hAnsi="Times New Roman" w:cs="Times New Roman"/>
                <w:i/>
                <w:iCs/>
                <w:sz w:val="24"/>
                <w:szCs w:val="24"/>
              </w:rPr>
              <w:t>LaterYears2</w:t>
            </w:r>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7D94FF4A"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5812AE05"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Indicator equal to 1 for firm-years within the final two years of the CEO tenure, and 0 otherwise.</w:t>
            </w:r>
          </w:p>
        </w:tc>
      </w:tr>
      <w:tr w:rsidR="00F634D2" w:rsidRPr="00F634D2" w14:paraId="3D3FFE2C"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3A120D7E" w14:textId="77777777" w:rsidR="00D50589" w:rsidRPr="00F634D2" w:rsidRDefault="00686261">
            <w:pPr>
              <w:spacing w:after="0" w:line="240" w:lineRule="auto"/>
              <w:jc w:val="right"/>
              <w:rPr>
                <w:rFonts w:ascii="Times New Roman" w:hAnsi="Times New Roman" w:cs="Times New Roman"/>
                <w:i/>
                <w:iCs/>
                <w:sz w:val="24"/>
                <w:szCs w:val="24"/>
              </w:rPr>
            </w:pPr>
            <w:r w:rsidRPr="00F634D2">
              <w:rPr>
                <w:rFonts w:ascii="Times New Roman" w:hAnsi="Times New Roman" w:cs="Times New Roman"/>
                <w:i/>
                <w:iCs/>
                <w:sz w:val="24"/>
                <w:szCs w:val="24"/>
              </w:rPr>
              <w:t>LaterYears1</w:t>
            </w:r>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619C712A"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49AE42A8"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Indicator equal to 1 for firm-years within the final one year of the CEO tenure, and 0 otherwise.</w:t>
            </w:r>
          </w:p>
        </w:tc>
      </w:tr>
      <w:tr w:rsidR="00F634D2" w:rsidRPr="00F634D2" w14:paraId="66B07478"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5B06C157" w14:textId="77777777" w:rsidR="00D50589" w:rsidRPr="00F634D2" w:rsidRDefault="00686261">
            <w:pPr>
              <w:spacing w:after="0" w:line="240" w:lineRule="auto"/>
              <w:jc w:val="right"/>
              <w:rPr>
                <w:rFonts w:ascii="Times New Roman" w:hAnsi="Times New Roman" w:cs="Times New Roman"/>
                <w:i/>
                <w:iCs/>
                <w:sz w:val="24"/>
                <w:szCs w:val="24"/>
              </w:rPr>
            </w:pPr>
            <w:r w:rsidRPr="00F634D2">
              <w:rPr>
                <w:rFonts w:ascii="Times New Roman" w:hAnsi="Times New Roman" w:cs="Times New Roman"/>
                <w:i/>
                <w:iCs/>
                <w:sz w:val="24"/>
                <w:szCs w:val="24"/>
              </w:rPr>
              <w:t>Size</w:t>
            </w:r>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2D33FAE7"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3E2D30A8"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Natural log of the firm’s market value of equity.</w:t>
            </w:r>
          </w:p>
        </w:tc>
      </w:tr>
      <w:tr w:rsidR="00F634D2" w:rsidRPr="00F634D2" w14:paraId="557E27F3"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1A711ED3" w14:textId="77777777" w:rsidR="00D50589" w:rsidRPr="00F634D2" w:rsidRDefault="00686261">
            <w:pPr>
              <w:spacing w:after="0" w:line="240" w:lineRule="auto"/>
              <w:jc w:val="right"/>
              <w:rPr>
                <w:rFonts w:ascii="Times New Roman" w:hAnsi="Times New Roman" w:cs="Times New Roman"/>
                <w:i/>
                <w:iCs/>
                <w:sz w:val="24"/>
                <w:szCs w:val="24"/>
              </w:rPr>
            </w:pPr>
            <w:r w:rsidRPr="00F634D2">
              <w:rPr>
                <w:rFonts w:ascii="Times New Roman" w:hAnsi="Times New Roman" w:cs="Times New Roman"/>
                <w:i/>
                <w:iCs/>
                <w:sz w:val="24"/>
                <w:szCs w:val="24"/>
              </w:rPr>
              <w:t>BTM</w:t>
            </w:r>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00B84877"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38C0BF78"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Book-to-market ratio, measured as the book value of assets divided by the market value of assets.</w:t>
            </w:r>
          </w:p>
        </w:tc>
      </w:tr>
      <w:tr w:rsidR="00F634D2" w:rsidRPr="00F634D2" w14:paraId="28D7E42A"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63CF73E9" w14:textId="77777777" w:rsidR="00D50589" w:rsidRPr="00F634D2" w:rsidRDefault="00686261">
            <w:pPr>
              <w:spacing w:after="0" w:line="240" w:lineRule="auto"/>
              <w:jc w:val="right"/>
              <w:rPr>
                <w:rFonts w:ascii="Times New Roman" w:hAnsi="Times New Roman" w:cs="Times New Roman"/>
                <w:i/>
                <w:iCs/>
                <w:sz w:val="24"/>
                <w:szCs w:val="24"/>
              </w:rPr>
            </w:pPr>
            <w:r w:rsidRPr="00F634D2">
              <w:rPr>
                <w:rFonts w:ascii="Times New Roman" w:hAnsi="Times New Roman" w:cs="Times New Roman"/>
                <w:i/>
                <w:iCs/>
                <w:sz w:val="24"/>
                <w:szCs w:val="24"/>
              </w:rPr>
              <w:t>ROA</w:t>
            </w:r>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289E9B4C"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67B86A6E"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Return on assets, measured as income before extraordinary items divided by total assets.</w:t>
            </w:r>
          </w:p>
        </w:tc>
      </w:tr>
      <w:tr w:rsidR="00F634D2" w:rsidRPr="00F634D2" w14:paraId="2E2F87B0"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7D58EFCD" w14:textId="77777777" w:rsidR="00D50589" w:rsidRPr="00F634D2" w:rsidRDefault="00686261">
            <w:pPr>
              <w:spacing w:after="0" w:line="240" w:lineRule="auto"/>
              <w:jc w:val="right"/>
              <w:rPr>
                <w:rFonts w:ascii="Times New Roman" w:hAnsi="Times New Roman" w:cs="Times New Roman"/>
                <w:i/>
                <w:iCs/>
                <w:sz w:val="24"/>
                <w:szCs w:val="24"/>
              </w:rPr>
            </w:pPr>
            <w:r w:rsidRPr="00F634D2">
              <w:rPr>
                <w:rFonts w:ascii="Times New Roman" w:hAnsi="Times New Roman" w:cs="Times New Roman"/>
                <w:i/>
                <w:iCs/>
                <w:sz w:val="24"/>
                <w:szCs w:val="24"/>
              </w:rPr>
              <w:t>Tenure</w:t>
            </w:r>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57F495CA"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5D234C35"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Natural log of the number of years the CEO has held the position.</w:t>
            </w:r>
          </w:p>
        </w:tc>
      </w:tr>
      <w:tr w:rsidR="00F634D2" w:rsidRPr="00F634D2" w14:paraId="59D016CE"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70753D22" w14:textId="77777777" w:rsidR="00D50589" w:rsidRPr="00F634D2" w:rsidRDefault="00686261">
            <w:pPr>
              <w:spacing w:after="0" w:line="240" w:lineRule="auto"/>
              <w:jc w:val="right"/>
              <w:rPr>
                <w:rFonts w:ascii="Times New Roman" w:hAnsi="Times New Roman" w:cs="Times New Roman"/>
                <w:i/>
                <w:iCs/>
                <w:sz w:val="24"/>
                <w:szCs w:val="24"/>
              </w:rPr>
            </w:pPr>
            <w:r w:rsidRPr="00F634D2">
              <w:rPr>
                <w:rFonts w:ascii="Times New Roman" w:hAnsi="Times New Roman" w:cs="Times New Roman"/>
                <w:i/>
                <w:iCs/>
                <w:sz w:val="24"/>
                <w:szCs w:val="24"/>
              </w:rPr>
              <w:t>Salary</w:t>
            </w:r>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5CB72528"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79194745"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Natural log of 1 plus the salary of the CEO.</w:t>
            </w:r>
          </w:p>
        </w:tc>
      </w:tr>
      <w:tr w:rsidR="00F634D2" w:rsidRPr="00F634D2" w14:paraId="24A1F4FB"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1F07B6AD" w14:textId="77777777" w:rsidR="00D50589" w:rsidRPr="00F634D2" w:rsidRDefault="00686261">
            <w:pPr>
              <w:spacing w:after="0" w:line="240" w:lineRule="auto"/>
              <w:jc w:val="right"/>
              <w:rPr>
                <w:rFonts w:ascii="Times New Roman" w:hAnsi="Times New Roman" w:cs="Times New Roman"/>
                <w:i/>
                <w:iCs/>
                <w:sz w:val="24"/>
                <w:szCs w:val="24"/>
              </w:rPr>
            </w:pPr>
            <w:r w:rsidRPr="00F634D2">
              <w:rPr>
                <w:rFonts w:ascii="Times New Roman" w:hAnsi="Times New Roman" w:cs="Times New Roman"/>
                <w:i/>
                <w:iCs/>
                <w:sz w:val="24"/>
                <w:szCs w:val="24"/>
              </w:rPr>
              <w:t>Bonus</w:t>
            </w:r>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05F7DC86"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10D3B3B6"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Natural log of 1 plus the bonus of the CEO.</w:t>
            </w:r>
          </w:p>
        </w:tc>
      </w:tr>
      <w:tr w:rsidR="00F634D2" w:rsidRPr="00F634D2" w14:paraId="52774C56"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74400CEF" w14:textId="77777777" w:rsidR="00D50589" w:rsidRPr="00F634D2" w:rsidRDefault="00686261">
            <w:pPr>
              <w:spacing w:after="0" w:line="240" w:lineRule="auto"/>
              <w:jc w:val="right"/>
              <w:rPr>
                <w:rFonts w:ascii="Times New Roman" w:hAnsi="Times New Roman" w:cs="Times New Roman"/>
                <w:i/>
                <w:iCs/>
                <w:sz w:val="24"/>
                <w:szCs w:val="24"/>
              </w:rPr>
            </w:pPr>
            <w:r w:rsidRPr="00F634D2">
              <w:rPr>
                <w:rFonts w:ascii="Times New Roman" w:hAnsi="Times New Roman" w:cs="Times New Roman"/>
                <w:i/>
                <w:iCs/>
                <w:sz w:val="24"/>
                <w:szCs w:val="24"/>
              </w:rPr>
              <w:t>Other</w:t>
            </w:r>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583D1F2A"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3BE16F4A"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Natural log of 1 plus the other compensation of the CEO.</w:t>
            </w:r>
          </w:p>
        </w:tc>
      </w:tr>
      <w:tr w:rsidR="00F634D2" w:rsidRPr="00F634D2" w14:paraId="15D2C72C"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45B87302" w14:textId="77777777" w:rsidR="00D50589" w:rsidRPr="00F634D2" w:rsidRDefault="00686261">
            <w:pPr>
              <w:spacing w:after="0" w:line="240" w:lineRule="auto"/>
              <w:jc w:val="right"/>
              <w:rPr>
                <w:rFonts w:ascii="Times New Roman" w:hAnsi="Times New Roman" w:cs="Times New Roman"/>
                <w:i/>
                <w:iCs/>
                <w:sz w:val="24"/>
                <w:szCs w:val="24"/>
              </w:rPr>
            </w:pPr>
            <w:proofErr w:type="spellStart"/>
            <w:r w:rsidRPr="00F634D2">
              <w:rPr>
                <w:rFonts w:ascii="Times New Roman" w:hAnsi="Times New Roman" w:cs="Times New Roman"/>
                <w:i/>
                <w:iCs/>
                <w:sz w:val="24"/>
                <w:szCs w:val="24"/>
              </w:rPr>
              <w:t>Gdpgr</w:t>
            </w:r>
            <w:proofErr w:type="spellEnd"/>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5020DF8E"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182D1D89"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 xml:space="preserve">Percentage growth in GDP of the firm’s headquarter state. </w:t>
            </w:r>
          </w:p>
        </w:tc>
      </w:tr>
      <w:tr w:rsidR="00F634D2" w:rsidRPr="00F634D2" w14:paraId="503CAE86"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522F9184" w14:textId="77777777" w:rsidR="00D50589" w:rsidRPr="00F634D2" w:rsidRDefault="00686261">
            <w:pPr>
              <w:spacing w:after="0" w:line="240" w:lineRule="auto"/>
              <w:jc w:val="right"/>
              <w:rPr>
                <w:rFonts w:ascii="Times New Roman" w:hAnsi="Times New Roman" w:cs="Times New Roman"/>
                <w:i/>
                <w:iCs/>
                <w:sz w:val="24"/>
                <w:szCs w:val="24"/>
              </w:rPr>
            </w:pPr>
            <w:proofErr w:type="spellStart"/>
            <w:r w:rsidRPr="00F634D2">
              <w:rPr>
                <w:rFonts w:ascii="Times New Roman" w:hAnsi="Times New Roman" w:cs="Times New Roman"/>
                <w:i/>
                <w:iCs/>
                <w:sz w:val="24"/>
                <w:szCs w:val="24"/>
              </w:rPr>
              <w:t>Unemp</w:t>
            </w:r>
            <w:proofErr w:type="spellEnd"/>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05EE4714"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212980BE"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Unemployment rate of the firm’s headquarter state.</w:t>
            </w:r>
          </w:p>
        </w:tc>
      </w:tr>
      <w:tr w:rsidR="00F634D2" w:rsidRPr="00F634D2" w14:paraId="0E3B5A3D"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430018AE" w14:textId="77777777" w:rsidR="00D50589" w:rsidRPr="00F634D2" w:rsidRDefault="00686261">
            <w:pPr>
              <w:spacing w:after="0" w:line="240" w:lineRule="auto"/>
              <w:jc w:val="right"/>
              <w:rPr>
                <w:rFonts w:ascii="Times New Roman" w:hAnsi="Times New Roman" w:cs="Times New Roman"/>
                <w:i/>
                <w:iCs/>
                <w:sz w:val="24"/>
                <w:szCs w:val="24"/>
              </w:rPr>
            </w:pPr>
            <w:r w:rsidRPr="00F634D2">
              <w:rPr>
                <w:rFonts w:ascii="Times New Roman" w:hAnsi="Times New Roman" w:cs="Times New Roman"/>
                <w:i/>
                <w:iCs/>
                <w:sz w:val="24"/>
                <w:szCs w:val="24"/>
              </w:rPr>
              <w:t>Lev</w:t>
            </w:r>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75BFA86B"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54AD0F93"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Total debt divided by total assets.</w:t>
            </w:r>
          </w:p>
        </w:tc>
      </w:tr>
      <w:tr w:rsidR="00F634D2" w:rsidRPr="00F634D2" w14:paraId="26AC54D6"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160195DA" w14:textId="77777777" w:rsidR="00D50589" w:rsidRPr="00F634D2" w:rsidRDefault="00686261">
            <w:pPr>
              <w:spacing w:after="0" w:line="240" w:lineRule="auto"/>
              <w:jc w:val="right"/>
              <w:rPr>
                <w:rFonts w:ascii="Times New Roman" w:hAnsi="Times New Roman" w:cs="Times New Roman"/>
                <w:i/>
                <w:iCs/>
                <w:sz w:val="24"/>
                <w:szCs w:val="24"/>
              </w:rPr>
            </w:pPr>
            <w:proofErr w:type="spellStart"/>
            <w:r w:rsidRPr="00F634D2">
              <w:rPr>
                <w:rFonts w:ascii="Times New Roman" w:hAnsi="Times New Roman" w:cs="Times New Roman"/>
                <w:i/>
                <w:iCs/>
                <w:sz w:val="24"/>
                <w:szCs w:val="24"/>
              </w:rPr>
              <w:t>Capx</w:t>
            </w:r>
            <w:proofErr w:type="spellEnd"/>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55DE8ECE"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56196108"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Net capital expenditure divided by total assets.</w:t>
            </w:r>
          </w:p>
        </w:tc>
      </w:tr>
      <w:tr w:rsidR="00F634D2" w:rsidRPr="00F634D2" w14:paraId="5904DF3E"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3C3F62EB" w14:textId="77777777" w:rsidR="00D50589" w:rsidRPr="00F634D2" w:rsidRDefault="00686261">
            <w:pPr>
              <w:spacing w:after="0" w:line="240" w:lineRule="auto"/>
              <w:jc w:val="right"/>
              <w:rPr>
                <w:rFonts w:ascii="Times New Roman" w:hAnsi="Times New Roman" w:cs="Times New Roman"/>
                <w:i/>
                <w:iCs/>
                <w:sz w:val="24"/>
                <w:szCs w:val="24"/>
              </w:rPr>
            </w:pPr>
            <w:r w:rsidRPr="00F634D2">
              <w:rPr>
                <w:rFonts w:ascii="Times New Roman" w:hAnsi="Times New Roman" w:cs="Times New Roman"/>
                <w:i/>
                <w:iCs/>
                <w:sz w:val="24"/>
                <w:szCs w:val="24"/>
              </w:rPr>
              <w:t xml:space="preserve">R&amp;D </w:t>
            </w:r>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66C2AEA8"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55B34257"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the firm's research and development expenditure divided by its total assets.</w:t>
            </w:r>
          </w:p>
        </w:tc>
      </w:tr>
      <w:tr w:rsidR="00F634D2" w:rsidRPr="00F634D2" w14:paraId="78BA279F"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2AF52CFC" w14:textId="77777777" w:rsidR="00D50589" w:rsidRPr="00F634D2" w:rsidRDefault="00686261">
            <w:pPr>
              <w:spacing w:after="0" w:line="240" w:lineRule="auto"/>
              <w:jc w:val="right"/>
              <w:rPr>
                <w:rFonts w:ascii="Times New Roman" w:hAnsi="Times New Roman" w:cs="Times New Roman"/>
                <w:i/>
                <w:iCs/>
                <w:sz w:val="24"/>
                <w:szCs w:val="24"/>
              </w:rPr>
            </w:pPr>
            <w:proofErr w:type="spellStart"/>
            <w:r w:rsidRPr="00F634D2">
              <w:rPr>
                <w:rFonts w:ascii="Times New Roman" w:hAnsi="Times New Roman" w:cs="Times New Roman"/>
                <w:i/>
                <w:iCs/>
                <w:sz w:val="24"/>
                <w:szCs w:val="24"/>
              </w:rPr>
              <w:t>Zscore</w:t>
            </w:r>
            <w:proofErr w:type="spellEnd"/>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1ACB82C3"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0C6423B2" w14:textId="77777777" w:rsidR="00D50589" w:rsidRPr="00F634D2" w:rsidRDefault="00686261">
            <w:pPr>
              <w:spacing w:after="0" w:line="240" w:lineRule="auto"/>
              <w:rPr>
                <w:rFonts w:ascii="Times New Roman" w:hAnsi="Times New Roman" w:cs="Times New Roman"/>
                <w:sz w:val="24"/>
                <w:szCs w:val="24"/>
              </w:rPr>
            </w:pPr>
            <w:proofErr w:type="spellStart"/>
            <w:r w:rsidRPr="00F634D2">
              <w:rPr>
                <w:rFonts w:ascii="Times New Roman" w:hAnsi="Times New Roman" w:cs="Times New Roman"/>
                <w:i/>
                <w:iCs/>
                <w:sz w:val="24"/>
                <w:szCs w:val="24"/>
              </w:rPr>
              <w:t>Zscore</w:t>
            </w:r>
            <w:proofErr w:type="spellEnd"/>
            <w:r w:rsidRPr="00F634D2">
              <w:rPr>
                <w:rFonts w:ascii="Times New Roman" w:hAnsi="Times New Roman" w:cs="Times New Roman"/>
                <w:sz w:val="24"/>
                <w:szCs w:val="24"/>
              </w:rPr>
              <w:t xml:space="preserve"> is based on Altman (1968) and =1.2</w:t>
            </w:r>
            <w:proofErr w:type="gramStart"/>
            <w:r w:rsidRPr="00F634D2">
              <w:rPr>
                <w:rFonts w:ascii="Times New Roman" w:hAnsi="Times New Roman" w:cs="Times New Roman"/>
                <w:sz w:val="24"/>
                <w:szCs w:val="24"/>
              </w:rPr>
              <w:t>×(</w:t>
            </w:r>
            <w:proofErr w:type="gramEnd"/>
            <w:r w:rsidRPr="00F634D2">
              <w:rPr>
                <w:rFonts w:ascii="Times New Roman" w:hAnsi="Times New Roman" w:cs="Times New Roman"/>
                <w:sz w:val="24"/>
                <w:szCs w:val="24"/>
              </w:rPr>
              <w:t>working capital/total assets)+1.4×(retained earnings/total assets)+3.3×(EBIT/total assets)+0.6×(market value of equity/total liabilities)+0.999×(sales/total assets).</w:t>
            </w:r>
          </w:p>
        </w:tc>
      </w:tr>
      <w:tr w:rsidR="00F634D2" w:rsidRPr="00F634D2" w14:paraId="74D6980C"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188EF54D" w14:textId="77777777" w:rsidR="00D50589" w:rsidRPr="00F634D2" w:rsidRDefault="00686261">
            <w:pPr>
              <w:spacing w:after="0" w:line="240" w:lineRule="auto"/>
              <w:jc w:val="right"/>
              <w:rPr>
                <w:rFonts w:ascii="Times New Roman" w:hAnsi="Times New Roman" w:cs="Times New Roman"/>
                <w:i/>
                <w:iCs/>
                <w:sz w:val="24"/>
                <w:szCs w:val="24"/>
              </w:rPr>
            </w:pPr>
            <w:r w:rsidRPr="00F634D2">
              <w:rPr>
                <w:rFonts w:ascii="Times New Roman" w:hAnsi="Times New Roman" w:cs="Times New Roman"/>
                <w:i/>
                <w:iCs/>
                <w:sz w:val="24"/>
                <w:szCs w:val="24"/>
              </w:rPr>
              <w:t>Seg</w:t>
            </w:r>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3F654C3C"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2C2A7BA8"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Natural log of the number of business segments in the firm.</w:t>
            </w:r>
          </w:p>
        </w:tc>
      </w:tr>
      <w:tr w:rsidR="00F634D2" w:rsidRPr="00F634D2" w14:paraId="2C1CADE6"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6793F127" w14:textId="77777777" w:rsidR="00D50589" w:rsidRPr="00F634D2" w:rsidRDefault="00686261">
            <w:pPr>
              <w:spacing w:after="0" w:line="240" w:lineRule="auto"/>
              <w:jc w:val="right"/>
              <w:rPr>
                <w:rFonts w:ascii="Times New Roman" w:hAnsi="Times New Roman" w:cs="Times New Roman"/>
                <w:i/>
                <w:iCs/>
                <w:sz w:val="24"/>
                <w:szCs w:val="24"/>
              </w:rPr>
            </w:pPr>
            <w:r w:rsidRPr="00F634D2">
              <w:rPr>
                <w:rFonts w:ascii="Times New Roman" w:hAnsi="Times New Roman" w:cs="Times New Roman"/>
                <w:i/>
                <w:iCs/>
                <w:sz w:val="24"/>
                <w:szCs w:val="24"/>
              </w:rPr>
              <w:lastRenderedPageBreak/>
              <w:t>Delta</w:t>
            </w:r>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31975B7B"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169D5042"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 xml:space="preserve">Natural log of dollar </w:t>
            </w:r>
            <w:proofErr w:type="gramStart"/>
            <w:r w:rsidRPr="00F634D2">
              <w:rPr>
                <w:rFonts w:ascii="Times New Roman" w:hAnsi="Times New Roman" w:cs="Times New Roman"/>
                <w:sz w:val="24"/>
                <w:szCs w:val="24"/>
              </w:rPr>
              <w:t>change</w:t>
            </w:r>
            <w:proofErr w:type="gramEnd"/>
            <w:r w:rsidRPr="00F634D2">
              <w:rPr>
                <w:rFonts w:ascii="Times New Roman" w:hAnsi="Times New Roman" w:cs="Times New Roman"/>
                <w:sz w:val="24"/>
                <w:szCs w:val="24"/>
              </w:rPr>
              <w:t xml:space="preserve"> in a CEO’s stock and option holdings for a 1% change in stock price (in thousands), calculated using the method of Core and </w:t>
            </w:r>
            <w:proofErr w:type="spellStart"/>
            <w:r w:rsidRPr="00F634D2">
              <w:rPr>
                <w:rFonts w:ascii="Times New Roman" w:hAnsi="Times New Roman" w:cs="Times New Roman"/>
                <w:sz w:val="24"/>
                <w:szCs w:val="24"/>
              </w:rPr>
              <w:t>Guay</w:t>
            </w:r>
            <w:proofErr w:type="spellEnd"/>
            <w:r w:rsidRPr="00F634D2">
              <w:rPr>
                <w:rFonts w:ascii="Times New Roman" w:hAnsi="Times New Roman" w:cs="Times New Roman"/>
                <w:sz w:val="24"/>
                <w:szCs w:val="24"/>
              </w:rPr>
              <w:t xml:space="preserve"> (2002).</w:t>
            </w:r>
          </w:p>
        </w:tc>
      </w:tr>
      <w:tr w:rsidR="00F634D2" w:rsidRPr="00F634D2" w14:paraId="6DA10A22"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634813B0" w14:textId="77777777" w:rsidR="00D50589" w:rsidRPr="00F634D2" w:rsidRDefault="00686261">
            <w:pPr>
              <w:spacing w:after="0" w:line="240" w:lineRule="auto"/>
              <w:jc w:val="right"/>
              <w:rPr>
                <w:rFonts w:ascii="Times New Roman" w:hAnsi="Times New Roman" w:cs="Times New Roman"/>
                <w:i/>
                <w:iCs/>
                <w:sz w:val="24"/>
                <w:szCs w:val="24"/>
              </w:rPr>
            </w:pPr>
            <w:r w:rsidRPr="00F634D2">
              <w:rPr>
                <w:rFonts w:ascii="Times New Roman" w:hAnsi="Times New Roman" w:cs="Times New Roman"/>
                <w:i/>
                <w:iCs/>
                <w:sz w:val="24"/>
                <w:szCs w:val="24"/>
              </w:rPr>
              <w:t>Risk</w:t>
            </w:r>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5F283D8C"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25CE124E"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Natural log of the annualized variance of monthly stock returns over the following two years.</w:t>
            </w:r>
          </w:p>
        </w:tc>
      </w:tr>
      <w:tr w:rsidR="00F634D2" w:rsidRPr="00F634D2" w14:paraId="4BE326FE"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560EA559" w14:textId="77777777" w:rsidR="00D50589" w:rsidRPr="00F634D2" w:rsidRDefault="00686261">
            <w:pPr>
              <w:spacing w:after="0" w:line="240" w:lineRule="auto"/>
              <w:jc w:val="right"/>
              <w:rPr>
                <w:rFonts w:ascii="Times New Roman" w:hAnsi="Times New Roman" w:cs="Times New Roman"/>
                <w:i/>
                <w:iCs/>
                <w:sz w:val="24"/>
                <w:szCs w:val="24"/>
              </w:rPr>
            </w:pPr>
            <w:r w:rsidRPr="00F634D2">
              <w:rPr>
                <w:rFonts w:ascii="Times New Roman" w:hAnsi="Times New Roman" w:cs="Times New Roman"/>
                <w:i/>
                <w:iCs/>
                <w:sz w:val="24"/>
                <w:szCs w:val="24"/>
              </w:rPr>
              <w:t>Enforce</w:t>
            </w:r>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0AEA2FDC"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553ACD4F"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 xml:space="preserve">Enforceability index of non-compete covenants. Taken from Table A2 of </w:t>
            </w:r>
            <w:proofErr w:type="spellStart"/>
            <w:r w:rsidRPr="00F634D2">
              <w:rPr>
                <w:rFonts w:ascii="Times New Roman" w:hAnsi="Times New Roman" w:cs="Times New Roman"/>
                <w:sz w:val="24"/>
                <w:szCs w:val="24"/>
              </w:rPr>
              <w:t>Kini</w:t>
            </w:r>
            <w:proofErr w:type="spellEnd"/>
            <w:r w:rsidRPr="00F634D2">
              <w:rPr>
                <w:rFonts w:ascii="Times New Roman" w:hAnsi="Times New Roman" w:cs="Times New Roman"/>
                <w:sz w:val="24"/>
                <w:szCs w:val="24"/>
              </w:rPr>
              <w:t xml:space="preserve"> et al. (2019), who created an NCA enforceability index for each U.S. state and the District of Columbia for the period 1992 to 2014. The index values range from 0 to 12, where a higher value means greater enforceability of NCAs.</w:t>
            </w:r>
          </w:p>
        </w:tc>
      </w:tr>
      <w:tr w:rsidR="00F634D2" w:rsidRPr="00F634D2" w14:paraId="7F6323D0"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645BA933" w14:textId="77777777" w:rsidR="00D50589" w:rsidRPr="00F634D2" w:rsidRDefault="00686261">
            <w:pPr>
              <w:spacing w:after="0" w:line="240" w:lineRule="auto"/>
              <w:jc w:val="right"/>
              <w:rPr>
                <w:rFonts w:ascii="Times New Roman" w:hAnsi="Times New Roman" w:cs="Times New Roman"/>
                <w:i/>
                <w:iCs/>
                <w:sz w:val="24"/>
                <w:szCs w:val="24"/>
              </w:rPr>
            </w:pPr>
            <w:r w:rsidRPr="00F634D2">
              <w:rPr>
                <w:rFonts w:ascii="Times New Roman" w:hAnsi="Times New Roman" w:cs="Times New Roman"/>
                <w:i/>
                <w:iCs/>
                <w:sz w:val="24"/>
                <w:szCs w:val="24"/>
              </w:rPr>
              <w:t>Independence</w:t>
            </w:r>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2B76FBF2"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0EAC3468"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 xml:space="preserve">Indicator equal to 1 for firm-years when the majority (over 50%) of the directors are independent, and 0 otherwise. Directors are independent when they do not hold material relationship with the firm. </w:t>
            </w:r>
          </w:p>
        </w:tc>
      </w:tr>
      <w:tr w:rsidR="00F634D2" w:rsidRPr="00F634D2" w14:paraId="3D97CF16"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1961DEF2" w14:textId="77777777" w:rsidR="00D50589" w:rsidRPr="00F634D2" w:rsidRDefault="00686261">
            <w:pPr>
              <w:spacing w:after="0" w:line="240" w:lineRule="auto"/>
              <w:jc w:val="right"/>
              <w:rPr>
                <w:rFonts w:ascii="Times New Roman" w:hAnsi="Times New Roman" w:cs="Times New Roman"/>
                <w:i/>
                <w:iCs/>
                <w:sz w:val="24"/>
                <w:szCs w:val="24"/>
              </w:rPr>
            </w:pPr>
            <w:r w:rsidRPr="00F634D2">
              <w:rPr>
                <w:rFonts w:ascii="Times New Roman" w:hAnsi="Times New Roman" w:cs="Times New Roman"/>
                <w:i/>
                <w:iCs/>
                <w:sz w:val="24"/>
                <w:szCs w:val="24"/>
              </w:rPr>
              <w:t>Expertise</w:t>
            </w:r>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5AB2B178"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144F3458"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 xml:space="preserve">Indicator equal to 1 for firm-years when the average number of outside directorships held by non-executive directors on the board is above the sample median, and 0 otherwise. </w:t>
            </w:r>
          </w:p>
        </w:tc>
      </w:tr>
      <w:tr w:rsidR="00F634D2" w:rsidRPr="00F634D2" w14:paraId="75D2D067"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03F064E6" w14:textId="77777777" w:rsidR="00D50589" w:rsidRPr="00F634D2" w:rsidRDefault="00686261">
            <w:pPr>
              <w:spacing w:after="0" w:line="240" w:lineRule="auto"/>
              <w:jc w:val="right"/>
              <w:rPr>
                <w:rFonts w:ascii="Times New Roman" w:hAnsi="Times New Roman" w:cs="Times New Roman"/>
                <w:i/>
                <w:iCs/>
                <w:sz w:val="24"/>
                <w:szCs w:val="24"/>
              </w:rPr>
            </w:pPr>
            <w:proofErr w:type="spellStart"/>
            <w:r w:rsidRPr="00F634D2">
              <w:rPr>
                <w:rFonts w:ascii="Times New Roman" w:hAnsi="Times New Roman" w:cs="Times New Roman"/>
                <w:i/>
                <w:iCs/>
                <w:sz w:val="24"/>
                <w:szCs w:val="24"/>
              </w:rPr>
              <w:t>Nswitch</w:t>
            </w:r>
            <w:proofErr w:type="spellEnd"/>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385B803B"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29532583"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 xml:space="preserve">Indicator equal to 1 for CEOs who never switched jobs before IDD adoption, and 0 otherwise. </w:t>
            </w:r>
          </w:p>
        </w:tc>
      </w:tr>
      <w:tr w:rsidR="00F634D2" w:rsidRPr="00F634D2" w14:paraId="146CF281" w14:textId="77777777">
        <w:trPr>
          <w:trHeight w:val="20"/>
        </w:trPr>
        <w:tc>
          <w:tcPr>
            <w:tcW w:w="1256" w:type="pct"/>
            <w:tcBorders>
              <w:top w:val="nil"/>
              <w:left w:val="nil"/>
              <w:bottom w:val="nil"/>
              <w:right w:val="nil"/>
            </w:tcBorders>
            <w:shd w:val="clear" w:color="auto" w:fill="auto"/>
            <w:tcMar>
              <w:top w:w="15" w:type="dxa"/>
              <w:left w:w="15" w:type="dxa"/>
              <w:bottom w:w="0" w:type="dxa"/>
              <w:right w:w="15" w:type="dxa"/>
            </w:tcMar>
            <w:hideMark/>
          </w:tcPr>
          <w:p w14:paraId="3391FA00" w14:textId="77777777" w:rsidR="00D50589" w:rsidRPr="00F634D2" w:rsidRDefault="00686261">
            <w:pPr>
              <w:spacing w:after="0" w:line="240" w:lineRule="auto"/>
              <w:jc w:val="right"/>
              <w:rPr>
                <w:rFonts w:ascii="Times New Roman" w:hAnsi="Times New Roman" w:cs="Times New Roman"/>
                <w:i/>
                <w:iCs/>
                <w:sz w:val="24"/>
                <w:szCs w:val="24"/>
              </w:rPr>
            </w:pPr>
            <w:proofErr w:type="spellStart"/>
            <w:r w:rsidRPr="00F634D2">
              <w:rPr>
                <w:rFonts w:ascii="Times New Roman" w:hAnsi="Times New Roman" w:cs="Times New Roman"/>
                <w:i/>
                <w:iCs/>
                <w:sz w:val="24"/>
                <w:szCs w:val="24"/>
              </w:rPr>
              <w:t>Nreversal</w:t>
            </w:r>
            <w:proofErr w:type="spellEnd"/>
          </w:p>
        </w:tc>
        <w:tc>
          <w:tcPr>
            <w:tcW w:w="234" w:type="pct"/>
            <w:tcBorders>
              <w:top w:val="nil"/>
              <w:left w:val="nil"/>
              <w:bottom w:val="nil"/>
              <w:right w:val="nil"/>
            </w:tcBorders>
            <w:shd w:val="clear" w:color="auto" w:fill="auto"/>
            <w:noWrap/>
            <w:tcMar>
              <w:top w:w="15" w:type="dxa"/>
              <w:left w:w="15" w:type="dxa"/>
              <w:bottom w:w="0" w:type="dxa"/>
              <w:right w:w="15" w:type="dxa"/>
            </w:tcMar>
            <w:hideMark/>
          </w:tcPr>
          <w:p w14:paraId="0230B223"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nil"/>
              <w:right w:val="nil"/>
            </w:tcBorders>
            <w:shd w:val="clear" w:color="auto" w:fill="auto"/>
            <w:tcMar>
              <w:top w:w="15" w:type="dxa"/>
              <w:left w:w="15" w:type="dxa"/>
              <w:bottom w:w="0" w:type="dxa"/>
              <w:right w:w="15" w:type="dxa"/>
            </w:tcMar>
            <w:hideMark/>
          </w:tcPr>
          <w:p w14:paraId="212E9DEB"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 xml:space="preserve">Indicator equal to 1 for the states that never adopted IDD, and 0 otherwise. </w:t>
            </w:r>
          </w:p>
        </w:tc>
      </w:tr>
      <w:tr w:rsidR="00F634D2" w:rsidRPr="00F634D2" w14:paraId="6038BB77" w14:textId="77777777">
        <w:trPr>
          <w:trHeight w:val="20"/>
        </w:trPr>
        <w:tc>
          <w:tcPr>
            <w:tcW w:w="1256" w:type="pct"/>
            <w:tcBorders>
              <w:top w:val="nil"/>
              <w:left w:val="nil"/>
              <w:bottom w:val="single" w:sz="4" w:space="0" w:color="auto"/>
              <w:right w:val="nil"/>
            </w:tcBorders>
            <w:shd w:val="clear" w:color="auto" w:fill="auto"/>
            <w:tcMar>
              <w:top w:w="15" w:type="dxa"/>
              <w:left w:w="15" w:type="dxa"/>
              <w:bottom w:w="0" w:type="dxa"/>
              <w:right w:w="15" w:type="dxa"/>
            </w:tcMar>
            <w:hideMark/>
          </w:tcPr>
          <w:p w14:paraId="329FF6D6" w14:textId="77777777" w:rsidR="00D50589" w:rsidRPr="00F634D2" w:rsidRDefault="00686261">
            <w:pPr>
              <w:spacing w:after="0" w:line="240" w:lineRule="auto"/>
              <w:jc w:val="right"/>
              <w:rPr>
                <w:rFonts w:ascii="Times New Roman" w:hAnsi="Times New Roman" w:cs="Times New Roman"/>
                <w:i/>
                <w:iCs/>
                <w:sz w:val="24"/>
                <w:szCs w:val="24"/>
              </w:rPr>
            </w:pPr>
            <w:r w:rsidRPr="00F634D2">
              <w:rPr>
                <w:rFonts w:ascii="Times New Roman" w:hAnsi="Times New Roman" w:cs="Times New Roman"/>
                <w:i/>
                <w:iCs/>
                <w:sz w:val="24"/>
                <w:szCs w:val="24"/>
              </w:rPr>
              <w:t>Reversal</w:t>
            </w:r>
          </w:p>
        </w:tc>
        <w:tc>
          <w:tcPr>
            <w:tcW w:w="234" w:type="pct"/>
            <w:tcBorders>
              <w:top w:val="nil"/>
              <w:left w:val="nil"/>
              <w:bottom w:val="single" w:sz="4" w:space="0" w:color="auto"/>
              <w:right w:val="nil"/>
            </w:tcBorders>
            <w:shd w:val="clear" w:color="auto" w:fill="auto"/>
            <w:noWrap/>
            <w:tcMar>
              <w:top w:w="15" w:type="dxa"/>
              <w:left w:w="15" w:type="dxa"/>
              <w:bottom w:w="0" w:type="dxa"/>
              <w:right w:w="15" w:type="dxa"/>
            </w:tcMar>
            <w:hideMark/>
          </w:tcPr>
          <w:p w14:paraId="3DCD3D85" w14:textId="77777777" w:rsidR="00D50589" w:rsidRPr="00F634D2" w:rsidRDefault="00686261">
            <w:pPr>
              <w:spacing w:after="0" w:line="240" w:lineRule="auto"/>
              <w:jc w:val="center"/>
              <w:rPr>
                <w:rFonts w:ascii="Times New Roman" w:hAnsi="Times New Roman" w:cs="Times New Roman"/>
                <w:sz w:val="24"/>
                <w:szCs w:val="24"/>
              </w:rPr>
            </w:pPr>
            <w:r w:rsidRPr="00F634D2">
              <w:rPr>
                <w:rFonts w:ascii="Times New Roman" w:hAnsi="Times New Roman" w:cs="Times New Roman"/>
                <w:sz w:val="24"/>
                <w:szCs w:val="24"/>
              </w:rPr>
              <w:t>=</w:t>
            </w:r>
          </w:p>
        </w:tc>
        <w:tc>
          <w:tcPr>
            <w:tcW w:w="3509" w:type="pct"/>
            <w:tcBorders>
              <w:top w:val="nil"/>
              <w:left w:val="nil"/>
              <w:bottom w:val="single" w:sz="4" w:space="0" w:color="auto"/>
              <w:right w:val="nil"/>
            </w:tcBorders>
            <w:shd w:val="clear" w:color="auto" w:fill="auto"/>
            <w:tcMar>
              <w:top w:w="15" w:type="dxa"/>
              <w:left w:w="15" w:type="dxa"/>
              <w:bottom w:w="0" w:type="dxa"/>
              <w:right w:w="15" w:type="dxa"/>
            </w:tcMar>
            <w:hideMark/>
          </w:tcPr>
          <w:p w14:paraId="05BDDFA0" w14:textId="77777777" w:rsidR="00D50589" w:rsidRPr="00F634D2" w:rsidRDefault="00686261">
            <w:pPr>
              <w:spacing w:after="0" w:line="240" w:lineRule="auto"/>
              <w:jc w:val="both"/>
              <w:rPr>
                <w:rFonts w:ascii="Times New Roman" w:hAnsi="Times New Roman" w:cs="Times New Roman"/>
                <w:sz w:val="24"/>
                <w:szCs w:val="24"/>
              </w:rPr>
            </w:pPr>
            <w:r w:rsidRPr="00F634D2">
              <w:rPr>
                <w:rFonts w:ascii="Times New Roman" w:hAnsi="Times New Roman" w:cs="Times New Roman"/>
                <w:sz w:val="24"/>
                <w:szCs w:val="24"/>
              </w:rPr>
              <w:t>Indicator equal to 1 for state-years when prior IDD adoption was reversed, and 0 otherwise.</w:t>
            </w:r>
          </w:p>
        </w:tc>
      </w:tr>
    </w:tbl>
    <w:p w14:paraId="7B7CA2DD" w14:textId="77777777" w:rsidR="00D50589" w:rsidRPr="00F634D2" w:rsidRDefault="00686261">
      <w:pPr>
        <w:rPr>
          <w:rFonts w:ascii="Times New Roman" w:eastAsia="DengXian" w:hAnsi="Times New Roman" w:cs="Times New Roman"/>
          <w:sz w:val="24"/>
          <w:szCs w:val="24"/>
        </w:rPr>
        <w:sectPr w:rsidR="00D50589" w:rsidRPr="00F634D2">
          <w:footerReference w:type="default" r:id="rId26"/>
          <w:pgSz w:w="12240" w:h="15840" w:code="1"/>
          <w:pgMar w:top="1440" w:right="1440" w:bottom="1440" w:left="1440" w:header="720" w:footer="720" w:gutter="0"/>
          <w:pgNumType w:start="1"/>
          <w:cols w:space="708"/>
          <w:docGrid w:linePitch="360"/>
        </w:sectPr>
      </w:pPr>
      <w:r w:rsidRPr="00F634D2">
        <w:rPr>
          <w:rFonts w:ascii="Times New Roman" w:eastAsia="DengXian" w:hAnsi="Times New Roman" w:cs="Times New Roman"/>
          <w:sz w:val="24"/>
          <w:szCs w:val="24"/>
        </w:rPr>
        <w:t xml:space="preserve"> </w:t>
      </w:r>
      <w:r w:rsidRPr="00F634D2">
        <w:rPr>
          <w:rFonts w:ascii="Times New Roman" w:eastAsia="DengXian" w:hAnsi="Times New Roman" w:cs="Times New Roman"/>
          <w:sz w:val="24"/>
          <w:szCs w:val="24"/>
        </w:rPr>
        <w:br w:type="page"/>
      </w:r>
    </w:p>
    <w:tbl>
      <w:tblPr>
        <w:tblW w:w="13130" w:type="dxa"/>
        <w:tblInd w:w="108" w:type="dxa"/>
        <w:tblLook w:val="04A0" w:firstRow="1" w:lastRow="0" w:firstColumn="1" w:lastColumn="0" w:noHBand="0" w:noVBand="1"/>
      </w:tblPr>
      <w:tblGrid>
        <w:gridCol w:w="743"/>
        <w:gridCol w:w="9787"/>
        <w:gridCol w:w="1530"/>
        <w:gridCol w:w="1070"/>
      </w:tblGrid>
      <w:tr w:rsidR="00F634D2" w:rsidRPr="00F634D2" w14:paraId="0F0A2EC0" w14:textId="77777777" w:rsidTr="007E03F2">
        <w:tc>
          <w:tcPr>
            <w:tcW w:w="13130" w:type="dxa"/>
            <w:gridSpan w:val="4"/>
            <w:tcBorders>
              <w:left w:val="nil"/>
              <w:bottom w:val="single" w:sz="4" w:space="0" w:color="auto"/>
              <w:right w:val="nil"/>
            </w:tcBorders>
            <w:shd w:val="clear" w:color="auto" w:fill="auto"/>
            <w:noWrap/>
            <w:vAlign w:val="center"/>
          </w:tcPr>
          <w:p w14:paraId="7780E1EE" w14:textId="77777777" w:rsidR="00D50589" w:rsidRPr="00F634D2" w:rsidRDefault="00D50589">
            <w:pPr>
              <w:kinsoku w:val="0"/>
              <w:overflowPunct w:val="0"/>
              <w:autoSpaceDE w:val="0"/>
              <w:autoSpaceDN w:val="0"/>
              <w:adjustRightInd w:val="0"/>
              <w:snapToGrid w:val="0"/>
              <w:spacing w:after="0" w:line="240" w:lineRule="auto"/>
              <w:rPr>
                <w:rFonts w:ascii="Times New Roman" w:eastAsia="DengXian" w:hAnsi="Times New Roman" w:cs="Times New Roman"/>
                <w:b/>
              </w:rPr>
            </w:pPr>
            <w:bookmarkStart w:id="6" w:name="_Hlk14549493"/>
          </w:p>
          <w:p w14:paraId="26686C29" w14:textId="77777777" w:rsidR="00D50589" w:rsidRPr="00F634D2" w:rsidRDefault="00686261" w:rsidP="007E03F2">
            <w:pPr>
              <w:kinsoku w:val="0"/>
              <w:overflowPunct w:val="0"/>
              <w:autoSpaceDE w:val="0"/>
              <w:autoSpaceDN w:val="0"/>
              <w:adjustRightInd w:val="0"/>
              <w:snapToGrid w:val="0"/>
              <w:spacing w:afterLines="50" w:after="120" w:line="240" w:lineRule="auto"/>
              <w:rPr>
                <w:rFonts w:ascii="Times New Roman" w:eastAsia="DengXian" w:hAnsi="Times New Roman" w:cs="Times New Roman"/>
              </w:rPr>
            </w:pPr>
            <w:r w:rsidRPr="00F634D2">
              <w:rPr>
                <w:rFonts w:ascii="Times New Roman" w:eastAsia="DengXian" w:hAnsi="Times New Roman" w:cs="Times New Roman"/>
                <w:b/>
                <w:sz w:val="24"/>
                <w:szCs w:val="24"/>
              </w:rPr>
              <w:t xml:space="preserve">Appendix B. </w:t>
            </w:r>
            <w:r w:rsidRPr="00F634D2">
              <w:rPr>
                <w:rFonts w:ascii="Times New Roman" w:eastAsia="DengXian" w:hAnsi="Times New Roman" w:cs="Times New Roman"/>
                <w:bCs/>
                <w:sz w:val="24"/>
                <w:szCs w:val="24"/>
              </w:rPr>
              <w:t xml:space="preserve">Precedent-setting legal cases adopting or r, ejecting IDD, from </w:t>
            </w:r>
            <w:proofErr w:type="spellStart"/>
            <w:r w:rsidRPr="00F634D2">
              <w:rPr>
                <w:rFonts w:ascii="Times New Roman" w:eastAsia="DengXian" w:hAnsi="Times New Roman" w:cs="Times New Roman"/>
                <w:bCs/>
                <w:sz w:val="24"/>
                <w:szCs w:val="24"/>
              </w:rPr>
              <w:t>Klasa</w:t>
            </w:r>
            <w:proofErr w:type="spellEnd"/>
            <w:r w:rsidRPr="00F634D2">
              <w:rPr>
                <w:rFonts w:ascii="Times New Roman" w:eastAsia="DengXian" w:hAnsi="Times New Roman" w:cs="Times New Roman"/>
                <w:bCs/>
                <w:sz w:val="24"/>
                <w:szCs w:val="24"/>
              </w:rPr>
              <w:t xml:space="preserve"> et al. (2018)</w:t>
            </w:r>
          </w:p>
        </w:tc>
      </w:tr>
      <w:tr w:rsidR="00F634D2" w:rsidRPr="00F634D2" w14:paraId="34D49406" w14:textId="77777777" w:rsidTr="007E03F2">
        <w:tc>
          <w:tcPr>
            <w:tcW w:w="743" w:type="dxa"/>
            <w:tcBorders>
              <w:top w:val="single" w:sz="4" w:space="0" w:color="auto"/>
              <w:left w:val="nil"/>
              <w:bottom w:val="nil"/>
              <w:right w:val="nil"/>
            </w:tcBorders>
            <w:shd w:val="clear" w:color="auto" w:fill="auto"/>
            <w:noWrap/>
            <w:vAlign w:val="center"/>
          </w:tcPr>
          <w:p w14:paraId="14B024AA"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State</w:t>
            </w:r>
          </w:p>
        </w:tc>
        <w:tc>
          <w:tcPr>
            <w:tcW w:w="9787" w:type="dxa"/>
            <w:tcBorders>
              <w:top w:val="single" w:sz="4" w:space="0" w:color="auto"/>
              <w:left w:val="nil"/>
              <w:bottom w:val="nil"/>
              <w:right w:val="nil"/>
            </w:tcBorders>
            <w:shd w:val="clear" w:color="auto" w:fill="auto"/>
            <w:noWrap/>
            <w:vAlign w:val="center"/>
          </w:tcPr>
          <w:p w14:paraId="447B47FA"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Precedent-Setting Case(s)</w:t>
            </w:r>
          </w:p>
        </w:tc>
        <w:tc>
          <w:tcPr>
            <w:tcW w:w="1530" w:type="dxa"/>
            <w:tcBorders>
              <w:top w:val="single" w:sz="4" w:space="0" w:color="auto"/>
              <w:left w:val="nil"/>
              <w:bottom w:val="nil"/>
              <w:right w:val="nil"/>
            </w:tcBorders>
            <w:shd w:val="clear" w:color="auto" w:fill="auto"/>
            <w:noWrap/>
            <w:vAlign w:val="center"/>
          </w:tcPr>
          <w:p w14:paraId="488520D4" w14:textId="77777777" w:rsidR="00D50589" w:rsidRPr="00F634D2" w:rsidRDefault="00686261" w:rsidP="007E03F2">
            <w:pPr>
              <w:spacing w:after="0" w:line="240" w:lineRule="auto"/>
              <w:jc w:val="center"/>
              <w:rPr>
                <w:rFonts w:ascii="Times New Roman" w:eastAsia="DengXian" w:hAnsi="Times New Roman" w:cs="Times New Roman"/>
                <w:sz w:val="24"/>
                <w:szCs w:val="24"/>
              </w:rPr>
            </w:pPr>
            <w:r w:rsidRPr="00F634D2">
              <w:rPr>
                <w:rFonts w:ascii="Times New Roman" w:eastAsia="DengXian" w:hAnsi="Times New Roman" w:cs="Times New Roman"/>
                <w:sz w:val="24"/>
                <w:szCs w:val="24"/>
              </w:rPr>
              <w:t>Date</w:t>
            </w:r>
          </w:p>
        </w:tc>
        <w:tc>
          <w:tcPr>
            <w:tcW w:w="1070" w:type="dxa"/>
            <w:tcBorders>
              <w:top w:val="single" w:sz="4" w:space="0" w:color="auto"/>
              <w:left w:val="nil"/>
              <w:bottom w:val="nil"/>
              <w:right w:val="nil"/>
            </w:tcBorders>
            <w:shd w:val="clear" w:color="auto" w:fill="auto"/>
            <w:noWrap/>
            <w:vAlign w:val="center"/>
          </w:tcPr>
          <w:p w14:paraId="36494B25"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Decision</w:t>
            </w:r>
          </w:p>
        </w:tc>
      </w:tr>
      <w:tr w:rsidR="00F634D2" w:rsidRPr="00F634D2" w14:paraId="011E351E" w14:textId="77777777" w:rsidTr="007E03F2">
        <w:tc>
          <w:tcPr>
            <w:tcW w:w="743" w:type="dxa"/>
            <w:tcBorders>
              <w:top w:val="nil"/>
              <w:left w:val="nil"/>
              <w:bottom w:val="nil"/>
              <w:right w:val="nil"/>
            </w:tcBorders>
            <w:shd w:val="clear" w:color="auto" w:fill="auto"/>
            <w:noWrap/>
            <w:vAlign w:val="center"/>
            <w:hideMark/>
          </w:tcPr>
          <w:p w14:paraId="5A3F6BE4"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AR</w:t>
            </w:r>
          </w:p>
        </w:tc>
        <w:tc>
          <w:tcPr>
            <w:tcW w:w="9787" w:type="dxa"/>
            <w:tcBorders>
              <w:top w:val="nil"/>
              <w:left w:val="nil"/>
              <w:bottom w:val="nil"/>
              <w:right w:val="nil"/>
            </w:tcBorders>
            <w:shd w:val="clear" w:color="auto" w:fill="auto"/>
            <w:noWrap/>
            <w:vAlign w:val="center"/>
            <w:hideMark/>
          </w:tcPr>
          <w:p w14:paraId="4E1AEF21" w14:textId="77777777" w:rsidR="00D50589" w:rsidRPr="00F634D2" w:rsidRDefault="00686261">
            <w:pPr>
              <w:spacing w:after="0" w:line="240" w:lineRule="auto"/>
              <w:rPr>
                <w:rFonts w:ascii="Times New Roman" w:eastAsia="DengXian" w:hAnsi="Times New Roman" w:cs="Times New Roman"/>
                <w:i/>
                <w:iCs/>
                <w:sz w:val="24"/>
                <w:szCs w:val="24"/>
              </w:rPr>
            </w:pPr>
            <w:r w:rsidRPr="00F634D2">
              <w:rPr>
                <w:rFonts w:ascii="Times New Roman" w:eastAsia="DengXian" w:hAnsi="Times New Roman" w:cs="Times New Roman"/>
                <w:i/>
                <w:iCs/>
                <w:sz w:val="24"/>
                <w:szCs w:val="24"/>
              </w:rPr>
              <w:t xml:space="preserve">Southwestern Energy Co v. </w:t>
            </w:r>
            <w:proofErr w:type="spellStart"/>
            <w:r w:rsidRPr="00F634D2">
              <w:rPr>
                <w:rFonts w:ascii="Times New Roman" w:eastAsia="DengXian" w:hAnsi="Times New Roman" w:cs="Times New Roman"/>
                <w:i/>
                <w:iCs/>
                <w:sz w:val="24"/>
                <w:szCs w:val="24"/>
              </w:rPr>
              <w:t>Eickenhorst</w:t>
            </w:r>
            <w:proofErr w:type="spellEnd"/>
            <w:r w:rsidRPr="00F634D2">
              <w:rPr>
                <w:rFonts w:ascii="Times New Roman" w:eastAsia="DengXian" w:hAnsi="Times New Roman" w:cs="Times New Roman"/>
                <w:sz w:val="24"/>
                <w:szCs w:val="24"/>
              </w:rPr>
              <w:t xml:space="preserve">, 955 F. Supp. 1078 (W.D. Ark. 1997) </w:t>
            </w:r>
          </w:p>
        </w:tc>
        <w:tc>
          <w:tcPr>
            <w:tcW w:w="1530" w:type="dxa"/>
            <w:tcBorders>
              <w:top w:val="nil"/>
              <w:left w:val="nil"/>
              <w:bottom w:val="nil"/>
              <w:right w:val="nil"/>
            </w:tcBorders>
            <w:shd w:val="clear" w:color="auto" w:fill="auto"/>
            <w:noWrap/>
            <w:vAlign w:val="center"/>
            <w:hideMark/>
          </w:tcPr>
          <w:p w14:paraId="7A54B501"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3/18/1997 </w:t>
            </w:r>
          </w:p>
        </w:tc>
        <w:tc>
          <w:tcPr>
            <w:tcW w:w="1070" w:type="dxa"/>
            <w:tcBorders>
              <w:top w:val="nil"/>
              <w:left w:val="nil"/>
              <w:bottom w:val="nil"/>
              <w:right w:val="nil"/>
            </w:tcBorders>
            <w:shd w:val="clear" w:color="auto" w:fill="auto"/>
            <w:noWrap/>
            <w:vAlign w:val="center"/>
            <w:hideMark/>
          </w:tcPr>
          <w:p w14:paraId="1EB0D669"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7D7334E6" w14:textId="77777777" w:rsidTr="007E03F2">
        <w:tc>
          <w:tcPr>
            <w:tcW w:w="743" w:type="dxa"/>
            <w:tcBorders>
              <w:top w:val="nil"/>
              <w:left w:val="nil"/>
              <w:bottom w:val="nil"/>
              <w:right w:val="nil"/>
            </w:tcBorders>
            <w:shd w:val="clear" w:color="auto" w:fill="auto"/>
            <w:noWrap/>
            <w:vAlign w:val="center"/>
            <w:hideMark/>
          </w:tcPr>
          <w:p w14:paraId="7EE8717F"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CT</w:t>
            </w:r>
          </w:p>
        </w:tc>
        <w:tc>
          <w:tcPr>
            <w:tcW w:w="9787" w:type="dxa"/>
            <w:tcBorders>
              <w:top w:val="nil"/>
              <w:left w:val="nil"/>
              <w:bottom w:val="nil"/>
              <w:right w:val="nil"/>
            </w:tcBorders>
            <w:shd w:val="clear" w:color="auto" w:fill="auto"/>
            <w:noWrap/>
            <w:vAlign w:val="center"/>
            <w:hideMark/>
          </w:tcPr>
          <w:p w14:paraId="36571EC8" w14:textId="77777777" w:rsidR="00D50589" w:rsidRPr="00F634D2" w:rsidRDefault="00686261">
            <w:pPr>
              <w:spacing w:after="0" w:line="240" w:lineRule="auto"/>
              <w:rPr>
                <w:rFonts w:ascii="Times New Roman" w:eastAsia="DengXian" w:hAnsi="Times New Roman" w:cs="Times New Roman"/>
                <w:i/>
                <w:iCs/>
                <w:sz w:val="24"/>
                <w:szCs w:val="24"/>
              </w:rPr>
            </w:pPr>
            <w:r w:rsidRPr="00F634D2">
              <w:rPr>
                <w:rFonts w:ascii="Times New Roman" w:eastAsia="DengXian" w:hAnsi="Times New Roman" w:cs="Times New Roman"/>
                <w:i/>
                <w:iCs/>
                <w:sz w:val="24"/>
                <w:szCs w:val="24"/>
              </w:rPr>
              <w:t xml:space="preserve">Branson </w:t>
            </w:r>
            <w:proofErr w:type="spellStart"/>
            <w:r w:rsidRPr="00F634D2">
              <w:rPr>
                <w:rFonts w:ascii="Times New Roman" w:eastAsia="DengXian" w:hAnsi="Times New Roman" w:cs="Times New Roman"/>
                <w:i/>
                <w:iCs/>
                <w:sz w:val="24"/>
                <w:szCs w:val="24"/>
              </w:rPr>
              <w:t>Ultrasonics</w:t>
            </w:r>
            <w:proofErr w:type="spellEnd"/>
            <w:r w:rsidRPr="00F634D2">
              <w:rPr>
                <w:rFonts w:ascii="Times New Roman" w:eastAsia="DengXian" w:hAnsi="Times New Roman" w:cs="Times New Roman"/>
                <w:i/>
                <w:iCs/>
                <w:sz w:val="24"/>
                <w:szCs w:val="24"/>
              </w:rPr>
              <w:t xml:space="preserve"> Corp. v. Stratman</w:t>
            </w:r>
            <w:r w:rsidRPr="00F634D2">
              <w:rPr>
                <w:rFonts w:ascii="Times New Roman" w:eastAsia="DengXian" w:hAnsi="Times New Roman" w:cs="Times New Roman"/>
                <w:sz w:val="24"/>
                <w:szCs w:val="24"/>
              </w:rPr>
              <w:t>, 921 F. Supp. 909 (D. Conn. 1996)</w:t>
            </w:r>
          </w:p>
        </w:tc>
        <w:tc>
          <w:tcPr>
            <w:tcW w:w="1530" w:type="dxa"/>
            <w:tcBorders>
              <w:top w:val="nil"/>
              <w:left w:val="nil"/>
              <w:bottom w:val="nil"/>
              <w:right w:val="nil"/>
            </w:tcBorders>
            <w:shd w:val="clear" w:color="auto" w:fill="auto"/>
            <w:noWrap/>
            <w:vAlign w:val="center"/>
            <w:hideMark/>
          </w:tcPr>
          <w:p w14:paraId="4744B799"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3/28/1996</w:t>
            </w:r>
          </w:p>
        </w:tc>
        <w:tc>
          <w:tcPr>
            <w:tcW w:w="1070" w:type="dxa"/>
            <w:tcBorders>
              <w:top w:val="nil"/>
              <w:left w:val="nil"/>
              <w:bottom w:val="nil"/>
              <w:right w:val="nil"/>
            </w:tcBorders>
            <w:shd w:val="clear" w:color="auto" w:fill="auto"/>
            <w:noWrap/>
            <w:vAlign w:val="center"/>
            <w:hideMark/>
          </w:tcPr>
          <w:p w14:paraId="3244335D"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794665BE" w14:textId="77777777" w:rsidTr="007E03F2">
        <w:tc>
          <w:tcPr>
            <w:tcW w:w="743" w:type="dxa"/>
            <w:tcBorders>
              <w:top w:val="nil"/>
              <w:left w:val="nil"/>
              <w:bottom w:val="nil"/>
              <w:right w:val="nil"/>
            </w:tcBorders>
            <w:shd w:val="clear" w:color="auto" w:fill="auto"/>
            <w:noWrap/>
            <w:vAlign w:val="center"/>
            <w:hideMark/>
          </w:tcPr>
          <w:p w14:paraId="47C14BA6"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DE </w:t>
            </w:r>
          </w:p>
        </w:tc>
        <w:tc>
          <w:tcPr>
            <w:tcW w:w="9787" w:type="dxa"/>
            <w:tcBorders>
              <w:top w:val="nil"/>
              <w:left w:val="nil"/>
              <w:bottom w:val="nil"/>
              <w:right w:val="nil"/>
            </w:tcBorders>
            <w:shd w:val="clear" w:color="auto" w:fill="auto"/>
            <w:noWrap/>
            <w:vAlign w:val="center"/>
            <w:hideMark/>
          </w:tcPr>
          <w:p w14:paraId="5D7FEEF4" w14:textId="77777777" w:rsidR="00D50589" w:rsidRPr="00F634D2" w:rsidRDefault="00686261">
            <w:pPr>
              <w:spacing w:after="0" w:line="240" w:lineRule="auto"/>
              <w:rPr>
                <w:rFonts w:ascii="Times New Roman" w:eastAsia="DengXian" w:hAnsi="Times New Roman" w:cs="Times New Roman"/>
                <w:i/>
                <w:iCs/>
                <w:sz w:val="24"/>
                <w:szCs w:val="24"/>
              </w:rPr>
            </w:pPr>
            <w:r w:rsidRPr="00F634D2">
              <w:rPr>
                <w:rFonts w:ascii="Times New Roman" w:eastAsia="DengXian" w:hAnsi="Times New Roman" w:cs="Times New Roman"/>
                <w:i/>
                <w:iCs/>
                <w:sz w:val="24"/>
                <w:szCs w:val="24"/>
              </w:rPr>
              <w:t xml:space="preserve">E.I. du Pont de Nemours &amp; Co. v. American Potash &amp; Chem. Corp., </w:t>
            </w:r>
            <w:r w:rsidRPr="00F634D2">
              <w:rPr>
                <w:rFonts w:ascii="Times New Roman" w:eastAsia="DengXian" w:hAnsi="Times New Roman" w:cs="Times New Roman"/>
                <w:sz w:val="24"/>
                <w:szCs w:val="24"/>
              </w:rPr>
              <w:t xml:space="preserve">200 A.2d 428 (Del. Ch. 1964) </w:t>
            </w:r>
          </w:p>
        </w:tc>
        <w:tc>
          <w:tcPr>
            <w:tcW w:w="1530" w:type="dxa"/>
            <w:tcBorders>
              <w:top w:val="nil"/>
              <w:left w:val="nil"/>
              <w:bottom w:val="nil"/>
              <w:right w:val="nil"/>
            </w:tcBorders>
            <w:shd w:val="clear" w:color="auto" w:fill="auto"/>
            <w:noWrap/>
            <w:vAlign w:val="center"/>
            <w:hideMark/>
          </w:tcPr>
          <w:p w14:paraId="0FFEE3B4"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5/5/1964</w:t>
            </w:r>
          </w:p>
        </w:tc>
        <w:tc>
          <w:tcPr>
            <w:tcW w:w="1070" w:type="dxa"/>
            <w:tcBorders>
              <w:top w:val="nil"/>
              <w:left w:val="nil"/>
              <w:bottom w:val="nil"/>
              <w:right w:val="nil"/>
            </w:tcBorders>
            <w:shd w:val="clear" w:color="auto" w:fill="auto"/>
            <w:noWrap/>
            <w:vAlign w:val="center"/>
            <w:hideMark/>
          </w:tcPr>
          <w:p w14:paraId="40723ACB"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608CE864" w14:textId="77777777" w:rsidTr="007E03F2">
        <w:tc>
          <w:tcPr>
            <w:tcW w:w="743" w:type="dxa"/>
            <w:tcBorders>
              <w:top w:val="nil"/>
              <w:left w:val="nil"/>
              <w:bottom w:val="nil"/>
              <w:right w:val="nil"/>
            </w:tcBorders>
            <w:shd w:val="clear" w:color="auto" w:fill="auto"/>
            <w:noWrap/>
            <w:vAlign w:val="center"/>
            <w:hideMark/>
          </w:tcPr>
          <w:p w14:paraId="1CBA2EB9"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FL</w:t>
            </w:r>
          </w:p>
        </w:tc>
        <w:tc>
          <w:tcPr>
            <w:tcW w:w="9787" w:type="dxa"/>
            <w:tcBorders>
              <w:top w:val="nil"/>
              <w:left w:val="nil"/>
              <w:bottom w:val="nil"/>
              <w:right w:val="nil"/>
            </w:tcBorders>
            <w:shd w:val="clear" w:color="auto" w:fill="auto"/>
            <w:noWrap/>
            <w:vAlign w:val="center"/>
            <w:hideMark/>
          </w:tcPr>
          <w:p w14:paraId="2D9F3D0F" w14:textId="77777777" w:rsidR="00D50589" w:rsidRPr="00F634D2" w:rsidRDefault="00686261">
            <w:pPr>
              <w:spacing w:after="0" w:line="240" w:lineRule="auto"/>
              <w:rPr>
                <w:rFonts w:ascii="Times New Roman" w:eastAsia="DengXian" w:hAnsi="Times New Roman" w:cs="Times New Roman"/>
                <w:i/>
                <w:iCs/>
                <w:sz w:val="24"/>
                <w:szCs w:val="24"/>
              </w:rPr>
            </w:pPr>
            <w:r w:rsidRPr="00F634D2">
              <w:rPr>
                <w:rFonts w:ascii="Times New Roman" w:eastAsia="DengXian" w:hAnsi="Times New Roman" w:cs="Times New Roman"/>
                <w:i/>
                <w:iCs/>
                <w:sz w:val="24"/>
                <w:szCs w:val="24"/>
              </w:rPr>
              <w:t>Fountain v. Hudson Cush-N-Foam Corp.</w:t>
            </w:r>
            <w:r w:rsidRPr="00F634D2">
              <w:rPr>
                <w:rFonts w:ascii="Times New Roman" w:eastAsia="DengXian" w:hAnsi="Times New Roman" w:cs="Times New Roman"/>
                <w:sz w:val="24"/>
                <w:szCs w:val="24"/>
              </w:rPr>
              <w:t>, 122 So.2d 232 (Fla. Dist. Ct. App. 1960)</w:t>
            </w:r>
          </w:p>
        </w:tc>
        <w:tc>
          <w:tcPr>
            <w:tcW w:w="1530" w:type="dxa"/>
            <w:tcBorders>
              <w:top w:val="nil"/>
              <w:left w:val="nil"/>
              <w:bottom w:val="nil"/>
              <w:right w:val="nil"/>
            </w:tcBorders>
            <w:shd w:val="clear" w:color="auto" w:fill="auto"/>
            <w:noWrap/>
            <w:vAlign w:val="center"/>
            <w:hideMark/>
          </w:tcPr>
          <w:p w14:paraId="50F637B9"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7/11/1960 </w:t>
            </w:r>
          </w:p>
        </w:tc>
        <w:tc>
          <w:tcPr>
            <w:tcW w:w="1070" w:type="dxa"/>
            <w:tcBorders>
              <w:top w:val="nil"/>
              <w:left w:val="nil"/>
              <w:bottom w:val="nil"/>
              <w:right w:val="nil"/>
            </w:tcBorders>
            <w:shd w:val="clear" w:color="auto" w:fill="auto"/>
            <w:noWrap/>
            <w:vAlign w:val="center"/>
            <w:hideMark/>
          </w:tcPr>
          <w:p w14:paraId="10C494CB"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23F63552" w14:textId="77777777" w:rsidTr="007E03F2">
        <w:tc>
          <w:tcPr>
            <w:tcW w:w="743" w:type="dxa"/>
            <w:tcBorders>
              <w:top w:val="nil"/>
              <w:left w:val="nil"/>
              <w:bottom w:val="nil"/>
              <w:right w:val="nil"/>
            </w:tcBorders>
            <w:shd w:val="clear" w:color="auto" w:fill="auto"/>
            <w:noWrap/>
            <w:vAlign w:val="center"/>
            <w:hideMark/>
          </w:tcPr>
          <w:p w14:paraId="18BC2A75" w14:textId="77777777" w:rsidR="00D50589" w:rsidRPr="00F634D2" w:rsidRDefault="00D50589">
            <w:pPr>
              <w:spacing w:after="0" w:line="240" w:lineRule="auto"/>
              <w:rPr>
                <w:rFonts w:ascii="Times New Roman" w:eastAsia="DengXian" w:hAnsi="Times New Roman" w:cs="Times New Roman"/>
                <w:sz w:val="24"/>
                <w:szCs w:val="24"/>
              </w:rPr>
            </w:pPr>
          </w:p>
        </w:tc>
        <w:tc>
          <w:tcPr>
            <w:tcW w:w="9787" w:type="dxa"/>
            <w:tcBorders>
              <w:top w:val="nil"/>
              <w:left w:val="nil"/>
              <w:bottom w:val="nil"/>
              <w:right w:val="nil"/>
            </w:tcBorders>
            <w:shd w:val="clear" w:color="auto" w:fill="auto"/>
            <w:noWrap/>
            <w:vAlign w:val="center"/>
            <w:hideMark/>
          </w:tcPr>
          <w:p w14:paraId="05B59416" w14:textId="77777777" w:rsidR="00D50589" w:rsidRPr="00F634D2" w:rsidRDefault="00686261">
            <w:pPr>
              <w:spacing w:after="0" w:line="240" w:lineRule="auto"/>
              <w:rPr>
                <w:rFonts w:ascii="Times New Roman" w:eastAsia="DengXian" w:hAnsi="Times New Roman" w:cs="Times New Roman"/>
                <w:i/>
                <w:iCs/>
                <w:sz w:val="24"/>
                <w:szCs w:val="24"/>
              </w:rPr>
            </w:pPr>
            <w:r w:rsidRPr="00F634D2">
              <w:rPr>
                <w:rFonts w:ascii="Times New Roman" w:eastAsia="DengXian" w:hAnsi="Times New Roman" w:cs="Times New Roman"/>
                <w:i/>
                <w:iCs/>
                <w:sz w:val="24"/>
                <w:szCs w:val="24"/>
              </w:rPr>
              <w:t>Del Monte Fresh Produce Co. v. Dole Food Co. Inc.</w:t>
            </w:r>
            <w:r w:rsidRPr="00F634D2">
              <w:rPr>
                <w:rFonts w:ascii="Times New Roman" w:eastAsia="DengXian" w:hAnsi="Times New Roman" w:cs="Times New Roman"/>
                <w:sz w:val="24"/>
                <w:szCs w:val="24"/>
              </w:rPr>
              <w:t>, 148 F. Supp. 2d 1326 (S.D. Fla. 2001)</w:t>
            </w:r>
          </w:p>
        </w:tc>
        <w:tc>
          <w:tcPr>
            <w:tcW w:w="1530" w:type="dxa"/>
            <w:tcBorders>
              <w:top w:val="nil"/>
              <w:left w:val="nil"/>
              <w:bottom w:val="nil"/>
              <w:right w:val="nil"/>
            </w:tcBorders>
            <w:shd w:val="clear" w:color="auto" w:fill="auto"/>
            <w:noWrap/>
            <w:vAlign w:val="center"/>
            <w:hideMark/>
          </w:tcPr>
          <w:p w14:paraId="21FED1B5"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5/21/2001</w:t>
            </w:r>
          </w:p>
        </w:tc>
        <w:tc>
          <w:tcPr>
            <w:tcW w:w="1070" w:type="dxa"/>
            <w:tcBorders>
              <w:top w:val="nil"/>
              <w:left w:val="nil"/>
              <w:bottom w:val="nil"/>
              <w:right w:val="nil"/>
            </w:tcBorders>
            <w:shd w:val="clear" w:color="auto" w:fill="auto"/>
            <w:noWrap/>
            <w:vAlign w:val="center"/>
            <w:hideMark/>
          </w:tcPr>
          <w:p w14:paraId="47BFCBB2"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Reject</w:t>
            </w:r>
          </w:p>
        </w:tc>
      </w:tr>
      <w:tr w:rsidR="00F634D2" w:rsidRPr="00F634D2" w14:paraId="6BCA95B6" w14:textId="77777777" w:rsidTr="007E03F2">
        <w:tc>
          <w:tcPr>
            <w:tcW w:w="743" w:type="dxa"/>
            <w:tcBorders>
              <w:top w:val="nil"/>
              <w:left w:val="nil"/>
              <w:bottom w:val="nil"/>
              <w:right w:val="nil"/>
            </w:tcBorders>
            <w:shd w:val="clear" w:color="auto" w:fill="auto"/>
            <w:noWrap/>
            <w:vAlign w:val="center"/>
            <w:hideMark/>
          </w:tcPr>
          <w:p w14:paraId="37685378"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GA </w:t>
            </w:r>
          </w:p>
        </w:tc>
        <w:tc>
          <w:tcPr>
            <w:tcW w:w="9787" w:type="dxa"/>
            <w:tcBorders>
              <w:top w:val="nil"/>
              <w:left w:val="nil"/>
              <w:bottom w:val="nil"/>
              <w:right w:val="nil"/>
            </w:tcBorders>
            <w:shd w:val="clear" w:color="auto" w:fill="auto"/>
            <w:noWrap/>
            <w:vAlign w:val="center"/>
            <w:hideMark/>
          </w:tcPr>
          <w:p w14:paraId="385703C7"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i/>
                <w:sz w:val="24"/>
                <w:szCs w:val="24"/>
              </w:rPr>
              <w:t>Essex Group Inc. v. Southwire Co.</w:t>
            </w:r>
            <w:r w:rsidRPr="00F634D2">
              <w:rPr>
                <w:rFonts w:ascii="Times New Roman" w:eastAsia="DengXian" w:hAnsi="Times New Roman" w:cs="Times New Roman"/>
                <w:sz w:val="24"/>
                <w:szCs w:val="24"/>
              </w:rPr>
              <w:t xml:space="preserve">, 501 S.E.2d 501 (Ga. 1998) </w:t>
            </w:r>
          </w:p>
        </w:tc>
        <w:tc>
          <w:tcPr>
            <w:tcW w:w="1530" w:type="dxa"/>
            <w:tcBorders>
              <w:top w:val="nil"/>
              <w:left w:val="nil"/>
              <w:bottom w:val="nil"/>
              <w:right w:val="nil"/>
            </w:tcBorders>
            <w:shd w:val="clear" w:color="auto" w:fill="auto"/>
            <w:noWrap/>
            <w:vAlign w:val="center"/>
            <w:hideMark/>
          </w:tcPr>
          <w:p w14:paraId="7D38B352"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6/29/1998</w:t>
            </w:r>
          </w:p>
        </w:tc>
        <w:tc>
          <w:tcPr>
            <w:tcW w:w="1070" w:type="dxa"/>
            <w:tcBorders>
              <w:top w:val="nil"/>
              <w:left w:val="nil"/>
              <w:bottom w:val="nil"/>
              <w:right w:val="nil"/>
            </w:tcBorders>
            <w:shd w:val="clear" w:color="auto" w:fill="auto"/>
            <w:noWrap/>
            <w:vAlign w:val="center"/>
            <w:hideMark/>
          </w:tcPr>
          <w:p w14:paraId="03443C51"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091AE7C8" w14:textId="77777777" w:rsidTr="007E03F2">
        <w:tc>
          <w:tcPr>
            <w:tcW w:w="743" w:type="dxa"/>
            <w:tcBorders>
              <w:top w:val="nil"/>
              <w:left w:val="nil"/>
              <w:bottom w:val="nil"/>
              <w:right w:val="nil"/>
            </w:tcBorders>
            <w:shd w:val="clear" w:color="auto" w:fill="auto"/>
            <w:noWrap/>
            <w:vAlign w:val="center"/>
            <w:hideMark/>
          </w:tcPr>
          <w:p w14:paraId="55DE605A"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IL </w:t>
            </w:r>
          </w:p>
        </w:tc>
        <w:tc>
          <w:tcPr>
            <w:tcW w:w="9787" w:type="dxa"/>
            <w:tcBorders>
              <w:top w:val="nil"/>
              <w:left w:val="nil"/>
              <w:bottom w:val="nil"/>
              <w:right w:val="nil"/>
            </w:tcBorders>
            <w:shd w:val="clear" w:color="auto" w:fill="auto"/>
            <w:noWrap/>
            <w:vAlign w:val="center"/>
            <w:hideMark/>
          </w:tcPr>
          <w:p w14:paraId="4F234991"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i/>
                <w:sz w:val="24"/>
                <w:szCs w:val="24"/>
              </w:rPr>
              <w:t>Teradyne Inc. v. Clear Communications Corp.,</w:t>
            </w:r>
            <w:r w:rsidRPr="00F634D2">
              <w:rPr>
                <w:rFonts w:ascii="Times New Roman" w:eastAsia="DengXian" w:hAnsi="Times New Roman" w:cs="Times New Roman"/>
                <w:sz w:val="24"/>
                <w:szCs w:val="24"/>
              </w:rPr>
              <w:t xml:space="preserve"> 707 F. Supp. 353 (N.D. 111. 1989) </w:t>
            </w:r>
          </w:p>
        </w:tc>
        <w:tc>
          <w:tcPr>
            <w:tcW w:w="1530" w:type="dxa"/>
            <w:tcBorders>
              <w:top w:val="nil"/>
              <w:left w:val="nil"/>
              <w:bottom w:val="nil"/>
              <w:right w:val="nil"/>
            </w:tcBorders>
            <w:shd w:val="clear" w:color="auto" w:fill="auto"/>
            <w:noWrap/>
            <w:vAlign w:val="center"/>
            <w:hideMark/>
          </w:tcPr>
          <w:p w14:paraId="17CA1698"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2/9/1989 </w:t>
            </w:r>
          </w:p>
        </w:tc>
        <w:tc>
          <w:tcPr>
            <w:tcW w:w="1070" w:type="dxa"/>
            <w:tcBorders>
              <w:top w:val="nil"/>
              <w:left w:val="nil"/>
              <w:bottom w:val="nil"/>
              <w:right w:val="nil"/>
            </w:tcBorders>
            <w:shd w:val="clear" w:color="auto" w:fill="auto"/>
            <w:noWrap/>
            <w:vAlign w:val="center"/>
            <w:hideMark/>
          </w:tcPr>
          <w:p w14:paraId="3ED193AB"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2200A93C" w14:textId="77777777" w:rsidTr="007E03F2">
        <w:tc>
          <w:tcPr>
            <w:tcW w:w="743" w:type="dxa"/>
            <w:tcBorders>
              <w:top w:val="nil"/>
              <w:left w:val="nil"/>
              <w:bottom w:val="nil"/>
              <w:right w:val="nil"/>
            </w:tcBorders>
            <w:shd w:val="clear" w:color="auto" w:fill="auto"/>
            <w:noWrap/>
            <w:vAlign w:val="center"/>
            <w:hideMark/>
          </w:tcPr>
          <w:p w14:paraId="683AA345"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IN </w:t>
            </w:r>
          </w:p>
        </w:tc>
        <w:tc>
          <w:tcPr>
            <w:tcW w:w="9787" w:type="dxa"/>
            <w:tcBorders>
              <w:top w:val="nil"/>
              <w:left w:val="nil"/>
              <w:bottom w:val="nil"/>
              <w:right w:val="nil"/>
            </w:tcBorders>
            <w:shd w:val="clear" w:color="auto" w:fill="auto"/>
            <w:noWrap/>
            <w:vAlign w:val="center"/>
            <w:hideMark/>
          </w:tcPr>
          <w:p w14:paraId="2C967013"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i/>
                <w:sz w:val="24"/>
                <w:szCs w:val="24"/>
              </w:rPr>
              <w:t xml:space="preserve">Ackerman v. Kimball Int’l Inc., </w:t>
            </w:r>
            <w:r w:rsidRPr="00F634D2">
              <w:rPr>
                <w:rFonts w:ascii="Times New Roman" w:eastAsia="DengXian" w:hAnsi="Times New Roman" w:cs="Times New Roman"/>
                <w:sz w:val="24"/>
                <w:szCs w:val="24"/>
              </w:rPr>
              <w:t xml:space="preserve">652 N.E.2d 507 (Ind. 1995) </w:t>
            </w:r>
          </w:p>
        </w:tc>
        <w:tc>
          <w:tcPr>
            <w:tcW w:w="1530" w:type="dxa"/>
            <w:tcBorders>
              <w:top w:val="nil"/>
              <w:left w:val="nil"/>
              <w:bottom w:val="nil"/>
              <w:right w:val="nil"/>
            </w:tcBorders>
            <w:shd w:val="clear" w:color="auto" w:fill="auto"/>
            <w:noWrap/>
            <w:vAlign w:val="center"/>
            <w:hideMark/>
          </w:tcPr>
          <w:p w14:paraId="225652DC"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7/12/1995 </w:t>
            </w:r>
          </w:p>
        </w:tc>
        <w:tc>
          <w:tcPr>
            <w:tcW w:w="1070" w:type="dxa"/>
            <w:tcBorders>
              <w:top w:val="nil"/>
              <w:left w:val="nil"/>
              <w:bottom w:val="nil"/>
              <w:right w:val="nil"/>
            </w:tcBorders>
            <w:shd w:val="clear" w:color="auto" w:fill="auto"/>
            <w:noWrap/>
            <w:vAlign w:val="center"/>
            <w:hideMark/>
          </w:tcPr>
          <w:p w14:paraId="64B5801C"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7789751B" w14:textId="77777777" w:rsidTr="007E03F2">
        <w:tc>
          <w:tcPr>
            <w:tcW w:w="743" w:type="dxa"/>
            <w:tcBorders>
              <w:top w:val="nil"/>
              <w:left w:val="nil"/>
              <w:bottom w:val="nil"/>
              <w:right w:val="nil"/>
            </w:tcBorders>
            <w:shd w:val="clear" w:color="auto" w:fill="auto"/>
            <w:noWrap/>
            <w:vAlign w:val="center"/>
            <w:hideMark/>
          </w:tcPr>
          <w:p w14:paraId="0E692E54"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IA</w:t>
            </w:r>
          </w:p>
        </w:tc>
        <w:tc>
          <w:tcPr>
            <w:tcW w:w="9787" w:type="dxa"/>
            <w:tcBorders>
              <w:top w:val="nil"/>
              <w:left w:val="nil"/>
              <w:bottom w:val="nil"/>
              <w:right w:val="nil"/>
            </w:tcBorders>
            <w:shd w:val="clear" w:color="auto" w:fill="auto"/>
            <w:noWrap/>
            <w:vAlign w:val="center"/>
            <w:hideMark/>
          </w:tcPr>
          <w:p w14:paraId="74230396"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i/>
                <w:sz w:val="24"/>
                <w:szCs w:val="24"/>
              </w:rPr>
              <w:t>Uncle B’s Bakery v. O’Rourke</w:t>
            </w:r>
            <w:r w:rsidRPr="00F634D2">
              <w:rPr>
                <w:rFonts w:ascii="Times New Roman" w:eastAsia="DengXian" w:hAnsi="Times New Roman" w:cs="Times New Roman"/>
                <w:sz w:val="24"/>
                <w:szCs w:val="24"/>
              </w:rPr>
              <w:t xml:space="preserve">, 920 F. Supp. 1405 (N.D. Iowa 1996) </w:t>
            </w:r>
          </w:p>
        </w:tc>
        <w:tc>
          <w:tcPr>
            <w:tcW w:w="1530" w:type="dxa"/>
            <w:tcBorders>
              <w:top w:val="nil"/>
              <w:left w:val="nil"/>
              <w:bottom w:val="nil"/>
              <w:right w:val="nil"/>
            </w:tcBorders>
            <w:shd w:val="clear" w:color="auto" w:fill="auto"/>
            <w:noWrap/>
            <w:vAlign w:val="center"/>
            <w:hideMark/>
          </w:tcPr>
          <w:p w14:paraId="7E4D7EBC"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4/1/1996 </w:t>
            </w:r>
          </w:p>
        </w:tc>
        <w:tc>
          <w:tcPr>
            <w:tcW w:w="1070" w:type="dxa"/>
            <w:tcBorders>
              <w:top w:val="nil"/>
              <w:left w:val="nil"/>
              <w:bottom w:val="nil"/>
              <w:right w:val="nil"/>
            </w:tcBorders>
            <w:shd w:val="clear" w:color="auto" w:fill="auto"/>
            <w:noWrap/>
            <w:vAlign w:val="center"/>
            <w:hideMark/>
          </w:tcPr>
          <w:p w14:paraId="7E03EC34"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09887E4B" w14:textId="77777777" w:rsidTr="007E03F2">
        <w:tc>
          <w:tcPr>
            <w:tcW w:w="743" w:type="dxa"/>
            <w:tcBorders>
              <w:top w:val="nil"/>
              <w:left w:val="nil"/>
              <w:bottom w:val="nil"/>
              <w:right w:val="nil"/>
            </w:tcBorders>
            <w:shd w:val="clear" w:color="auto" w:fill="auto"/>
            <w:noWrap/>
            <w:vAlign w:val="center"/>
            <w:hideMark/>
          </w:tcPr>
          <w:p w14:paraId="6F5E9480"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KS </w:t>
            </w:r>
          </w:p>
        </w:tc>
        <w:tc>
          <w:tcPr>
            <w:tcW w:w="9787" w:type="dxa"/>
            <w:tcBorders>
              <w:top w:val="nil"/>
              <w:left w:val="nil"/>
              <w:bottom w:val="nil"/>
              <w:right w:val="nil"/>
            </w:tcBorders>
            <w:shd w:val="clear" w:color="auto" w:fill="auto"/>
            <w:noWrap/>
            <w:vAlign w:val="center"/>
            <w:hideMark/>
          </w:tcPr>
          <w:p w14:paraId="1A73F0E8"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i/>
                <w:sz w:val="24"/>
                <w:szCs w:val="24"/>
              </w:rPr>
              <w:t xml:space="preserve">Bradbury Co. v. </w:t>
            </w:r>
            <w:proofErr w:type="spellStart"/>
            <w:r w:rsidRPr="00F634D2">
              <w:rPr>
                <w:rFonts w:ascii="Times New Roman" w:eastAsia="DengXian" w:hAnsi="Times New Roman" w:cs="Times New Roman"/>
                <w:i/>
                <w:sz w:val="24"/>
                <w:szCs w:val="24"/>
              </w:rPr>
              <w:t>Teissier-duCros</w:t>
            </w:r>
            <w:proofErr w:type="spellEnd"/>
            <w:r w:rsidRPr="00F634D2">
              <w:rPr>
                <w:rFonts w:ascii="Times New Roman" w:eastAsia="DengXian" w:hAnsi="Times New Roman" w:cs="Times New Roman"/>
                <w:sz w:val="24"/>
                <w:szCs w:val="24"/>
              </w:rPr>
              <w:t xml:space="preserve">, 413 F. Supp. 2d 1203 (D. Kan. 2006) </w:t>
            </w:r>
          </w:p>
        </w:tc>
        <w:tc>
          <w:tcPr>
            <w:tcW w:w="1530" w:type="dxa"/>
            <w:tcBorders>
              <w:top w:val="nil"/>
              <w:left w:val="nil"/>
              <w:bottom w:val="nil"/>
              <w:right w:val="nil"/>
            </w:tcBorders>
            <w:shd w:val="clear" w:color="auto" w:fill="auto"/>
            <w:noWrap/>
            <w:vAlign w:val="center"/>
            <w:hideMark/>
          </w:tcPr>
          <w:p w14:paraId="6CEDB83D"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2/2/2006</w:t>
            </w:r>
          </w:p>
        </w:tc>
        <w:tc>
          <w:tcPr>
            <w:tcW w:w="1070" w:type="dxa"/>
            <w:tcBorders>
              <w:top w:val="nil"/>
              <w:left w:val="nil"/>
              <w:bottom w:val="nil"/>
              <w:right w:val="nil"/>
            </w:tcBorders>
            <w:shd w:val="clear" w:color="auto" w:fill="auto"/>
            <w:noWrap/>
            <w:vAlign w:val="center"/>
            <w:hideMark/>
          </w:tcPr>
          <w:p w14:paraId="76C1F2B2"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2C19C696" w14:textId="77777777" w:rsidTr="007E03F2">
        <w:tc>
          <w:tcPr>
            <w:tcW w:w="743" w:type="dxa"/>
            <w:tcBorders>
              <w:top w:val="nil"/>
              <w:left w:val="nil"/>
              <w:bottom w:val="nil"/>
              <w:right w:val="nil"/>
            </w:tcBorders>
            <w:shd w:val="clear" w:color="auto" w:fill="auto"/>
            <w:noWrap/>
            <w:vAlign w:val="center"/>
            <w:hideMark/>
          </w:tcPr>
          <w:p w14:paraId="5461BED0"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MA </w:t>
            </w:r>
          </w:p>
        </w:tc>
        <w:tc>
          <w:tcPr>
            <w:tcW w:w="9787" w:type="dxa"/>
            <w:tcBorders>
              <w:top w:val="nil"/>
              <w:left w:val="nil"/>
              <w:bottom w:val="nil"/>
              <w:right w:val="nil"/>
            </w:tcBorders>
            <w:shd w:val="clear" w:color="auto" w:fill="auto"/>
            <w:noWrap/>
            <w:vAlign w:val="center"/>
            <w:hideMark/>
          </w:tcPr>
          <w:p w14:paraId="44E21AE9"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i/>
                <w:sz w:val="24"/>
                <w:szCs w:val="24"/>
              </w:rPr>
              <w:t xml:space="preserve">Bard v. </w:t>
            </w:r>
            <w:proofErr w:type="spellStart"/>
            <w:r w:rsidRPr="00F634D2">
              <w:rPr>
                <w:rFonts w:ascii="Times New Roman" w:eastAsia="DengXian" w:hAnsi="Times New Roman" w:cs="Times New Roman"/>
                <w:i/>
                <w:sz w:val="24"/>
                <w:szCs w:val="24"/>
              </w:rPr>
              <w:t>Intoccia</w:t>
            </w:r>
            <w:proofErr w:type="spellEnd"/>
            <w:r w:rsidRPr="00F634D2">
              <w:rPr>
                <w:rFonts w:ascii="Times New Roman" w:eastAsia="DengXian" w:hAnsi="Times New Roman" w:cs="Times New Roman"/>
                <w:sz w:val="24"/>
                <w:szCs w:val="24"/>
              </w:rPr>
              <w:t xml:space="preserve">, 1994 U.S. </w:t>
            </w:r>
            <w:proofErr w:type="spellStart"/>
            <w:r w:rsidRPr="00F634D2">
              <w:rPr>
                <w:rFonts w:ascii="Times New Roman" w:eastAsia="DengXian" w:hAnsi="Times New Roman" w:cs="Times New Roman"/>
                <w:sz w:val="24"/>
                <w:szCs w:val="24"/>
              </w:rPr>
              <w:t>Dist</w:t>
            </w:r>
            <w:proofErr w:type="spellEnd"/>
            <w:r w:rsidRPr="00F634D2">
              <w:rPr>
                <w:rFonts w:ascii="Times New Roman" w:eastAsia="DengXian" w:hAnsi="Times New Roman" w:cs="Times New Roman"/>
                <w:sz w:val="24"/>
                <w:szCs w:val="24"/>
              </w:rPr>
              <w:t xml:space="preserve"> LEXIS 15368 (D. Mass. 1994) </w:t>
            </w:r>
          </w:p>
        </w:tc>
        <w:tc>
          <w:tcPr>
            <w:tcW w:w="1530" w:type="dxa"/>
            <w:tcBorders>
              <w:top w:val="nil"/>
              <w:left w:val="nil"/>
              <w:bottom w:val="nil"/>
              <w:right w:val="nil"/>
            </w:tcBorders>
            <w:shd w:val="clear" w:color="auto" w:fill="auto"/>
            <w:noWrap/>
            <w:vAlign w:val="center"/>
            <w:hideMark/>
          </w:tcPr>
          <w:p w14:paraId="312F4552"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10/13/1994 </w:t>
            </w:r>
          </w:p>
        </w:tc>
        <w:tc>
          <w:tcPr>
            <w:tcW w:w="1070" w:type="dxa"/>
            <w:tcBorders>
              <w:top w:val="nil"/>
              <w:left w:val="nil"/>
              <w:bottom w:val="nil"/>
              <w:right w:val="nil"/>
            </w:tcBorders>
            <w:shd w:val="clear" w:color="auto" w:fill="auto"/>
            <w:noWrap/>
            <w:vAlign w:val="center"/>
            <w:hideMark/>
          </w:tcPr>
          <w:p w14:paraId="7D832B1C"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7FED5380" w14:textId="77777777" w:rsidTr="007E03F2">
        <w:tc>
          <w:tcPr>
            <w:tcW w:w="743" w:type="dxa"/>
            <w:tcBorders>
              <w:top w:val="nil"/>
              <w:left w:val="nil"/>
              <w:bottom w:val="nil"/>
              <w:right w:val="nil"/>
            </w:tcBorders>
            <w:shd w:val="clear" w:color="auto" w:fill="auto"/>
            <w:noWrap/>
            <w:vAlign w:val="center"/>
            <w:hideMark/>
          </w:tcPr>
          <w:p w14:paraId="73E4343E"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MI </w:t>
            </w:r>
          </w:p>
        </w:tc>
        <w:tc>
          <w:tcPr>
            <w:tcW w:w="9787" w:type="dxa"/>
            <w:tcBorders>
              <w:top w:val="nil"/>
              <w:left w:val="nil"/>
              <w:bottom w:val="nil"/>
              <w:right w:val="nil"/>
            </w:tcBorders>
            <w:shd w:val="clear" w:color="auto" w:fill="auto"/>
            <w:noWrap/>
            <w:vAlign w:val="center"/>
            <w:hideMark/>
          </w:tcPr>
          <w:p w14:paraId="14B520DE"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i/>
                <w:sz w:val="24"/>
                <w:szCs w:val="24"/>
              </w:rPr>
              <w:t>Allis-Chalmers Manuf. Co. v. Continental Aviation &amp; Eng. Corp.</w:t>
            </w:r>
            <w:r w:rsidRPr="00F634D2">
              <w:rPr>
                <w:rFonts w:ascii="Times New Roman" w:eastAsia="DengXian" w:hAnsi="Times New Roman" w:cs="Times New Roman"/>
                <w:sz w:val="24"/>
                <w:szCs w:val="24"/>
              </w:rPr>
              <w:t xml:space="preserve">, 255 F. Supp. 645 (E.D. Mich. 1966) </w:t>
            </w:r>
          </w:p>
        </w:tc>
        <w:tc>
          <w:tcPr>
            <w:tcW w:w="1530" w:type="dxa"/>
            <w:tcBorders>
              <w:top w:val="nil"/>
              <w:left w:val="nil"/>
              <w:bottom w:val="nil"/>
              <w:right w:val="nil"/>
            </w:tcBorders>
            <w:shd w:val="clear" w:color="auto" w:fill="auto"/>
            <w:noWrap/>
            <w:vAlign w:val="center"/>
            <w:hideMark/>
          </w:tcPr>
          <w:p w14:paraId="03BA9F52"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2/17/1966 </w:t>
            </w:r>
          </w:p>
        </w:tc>
        <w:tc>
          <w:tcPr>
            <w:tcW w:w="1070" w:type="dxa"/>
            <w:tcBorders>
              <w:top w:val="nil"/>
              <w:left w:val="nil"/>
              <w:bottom w:val="nil"/>
              <w:right w:val="nil"/>
            </w:tcBorders>
            <w:shd w:val="clear" w:color="auto" w:fill="auto"/>
            <w:noWrap/>
            <w:vAlign w:val="center"/>
            <w:hideMark/>
          </w:tcPr>
          <w:p w14:paraId="297EC8E2"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131160A7" w14:textId="77777777" w:rsidTr="007E03F2">
        <w:tc>
          <w:tcPr>
            <w:tcW w:w="743" w:type="dxa"/>
            <w:tcBorders>
              <w:top w:val="nil"/>
              <w:left w:val="nil"/>
              <w:bottom w:val="nil"/>
              <w:right w:val="nil"/>
            </w:tcBorders>
            <w:shd w:val="clear" w:color="auto" w:fill="auto"/>
            <w:noWrap/>
            <w:vAlign w:val="center"/>
            <w:hideMark/>
          </w:tcPr>
          <w:p w14:paraId="4EA947B1" w14:textId="77777777" w:rsidR="00D50589" w:rsidRPr="00F634D2" w:rsidRDefault="00D50589">
            <w:pPr>
              <w:spacing w:after="0" w:line="240" w:lineRule="auto"/>
              <w:rPr>
                <w:rFonts w:ascii="Times New Roman" w:eastAsia="DengXian" w:hAnsi="Times New Roman" w:cs="Times New Roman"/>
                <w:sz w:val="24"/>
                <w:szCs w:val="24"/>
              </w:rPr>
            </w:pPr>
          </w:p>
        </w:tc>
        <w:tc>
          <w:tcPr>
            <w:tcW w:w="9787" w:type="dxa"/>
            <w:tcBorders>
              <w:top w:val="nil"/>
              <w:left w:val="nil"/>
              <w:bottom w:val="nil"/>
              <w:right w:val="nil"/>
            </w:tcBorders>
            <w:shd w:val="clear" w:color="auto" w:fill="auto"/>
            <w:noWrap/>
            <w:vAlign w:val="center"/>
            <w:hideMark/>
          </w:tcPr>
          <w:p w14:paraId="4F30243F"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i/>
                <w:sz w:val="24"/>
                <w:szCs w:val="24"/>
              </w:rPr>
              <w:t>CMI Int’l Inc. v. Internet Int’l Corp.</w:t>
            </w:r>
            <w:r w:rsidRPr="00F634D2">
              <w:rPr>
                <w:rFonts w:ascii="Times New Roman" w:eastAsia="DengXian" w:hAnsi="Times New Roman" w:cs="Times New Roman"/>
                <w:sz w:val="24"/>
                <w:szCs w:val="24"/>
              </w:rPr>
              <w:t xml:space="preserve">, 649 N.W.2d 808 (Mich. Ct. App. 2002) </w:t>
            </w:r>
          </w:p>
        </w:tc>
        <w:tc>
          <w:tcPr>
            <w:tcW w:w="1530" w:type="dxa"/>
            <w:tcBorders>
              <w:top w:val="nil"/>
              <w:left w:val="nil"/>
              <w:bottom w:val="nil"/>
              <w:right w:val="nil"/>
            </w:tcBorders>
            <w:shd w:val="clear" w:color="auto" w:fill="auto"/>
            <w:noWrap/>
            <w:vAlign w:val="center"/>
            <w:hideMark/>
          </w:tcPr>
          <w:p w14:paraId="04EB61A7"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4/30/2002 </w:t>
            </w:r>
          </w:p>
        </w:tc>
        <w:tc>
          <w:tcPr>
            <w:tcW w:w="1070" w:type="dxa"/>
            <w:tcBorders>
              <w:top w:val="nil"/>
              <w:left w:val="nil"/>
              <w:bottom w:val="nil"/>
              <w:right w:val="nil"/>
            </w:tcBorders>
            <w:shd w:val="clear" w:color="auto" w:fill="auto"/>
            <w:noWrap/>
            <w:vAlign w:val="center"/>
            <w:hideMark/>
          </w:tcPr>
          <w:p w14:paraId="550DF233"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Reject</w:t>
            </w:r>
          </w:p>
        </w:tc>
      </w:tr>
      <w:tr w:rsidR="00F634D2" w:rsidRPr="00F634D2" w14:paraId="79E09088" w14:textId="77777777" w:rsidTr="007E03F2">
        <w:tc>
          <w:tcPr>
            <w:tcW w:w="743" w:type="dxa"/>
            <w:tcBorders>
              <w:top w:val="nil"/>
              <w:left w:val="nil"/>
              <w:bottom w:val="nil"/>
              <w:right w:val="nil"/>
            </w:tcBorders>
            <w:shd w:val="clear" w:color="auto" w:fill="auto"/>
            <w:noWrap/>
            <w:vAlign w:val="center"/>
            <w:hideMark/>
          </w:tcPr>
          <w:p w14:paraId="1CB59D25"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MN </w:t>
            </w:r>
          </w:p>
        </w:tc>
        <w:tc>
          <w:tcPr>
            <w:tcW w:w="9787" w:type="dxa"/>
            <w:tcBorders>
              <w:top w:val="nil"/>
              <w:left w:val="nil"/>
              <w:bottom w:val="nil"/>
              <w:right w:val="nil"/>
            </w:tcBorders>
            <w:shd w:val="clear" w:color="auto" w:fill="auto"/>
            <w:noWrap/>
            <w:vAlign w:val="center"/>
            <w:hideMark/>
          </w:tcPr>
          <w:p w14:paraId="7E5A49F0" w14:textId="77777777" w:rsidR="00D50589" w:rsidRPr="00F634D2" w:rsidRDefault="00686261">
            <w:pPr>
              <w:spacing w:after="0" w:line="240" w:lineRule="auto"/>
              <w:rPr>
                <w:rFonts w:ascii="Times New Roman" w:eastAsia="DengXian" w:hAnsi="Times New Roman" w:cs="Times New Roman"/>
                <w:sz w:val="24"/>
                <w:szCs w:val="24"/>
              </w:rPr>
            </w:pPr>
            <w:proofErr w:type="spellStart"/>
            <w:r w:rsidRPr="00F634D2">
              <w:rPr>
                <w:rFonts w:ascii="Times New Roman" w:eastAsia="DengXian" w:hAnsi="Times New Roman" w:cs="Times New Roman"/>
                <w:i/>
                <w:sz w:val="24"/>
                <w:szCs w:val="24"/>
              </w:rPr>
              <w:t>Surgidev</w:t>
            </w:r>
            <w:proofErr w:type="spellEnd"/>
            <w:r w:rsidRPr="00F634D2">
              <w:rPr>
                <w:rFonts w:ascii="Times New Roman" w:eastAsia="DengXian" w:hAnsi="Times New Roman" w:cs="Times New Roman"/>
                <w:i/>
                <w:sz w:val="24"/>
                <w:szCs w:val="24"/>
              </w:rPr>
              <w:t xml:space="preserve"> Corp. v. Eye Technology Inc.</w:t>
            </w:r>
            <w:r w:rsidRPr="00F634D2">
              <w:rPr>
                <w:rFonts w:ascii="Times New Roman" w:eastAsia="DengXian" w:hAnsi="Times New Roman" w:cs="Times New Roman"/>
                <w:sz w:val="24"/>
                <w:szCs w:val="24"/>
              </w:rPr>
              <w:t>, 648 F. Supp. 661 (D. Minn. 1986)</w:t>
            </w:r>
          </w:p>
        </w:tc>
        <w:tc>
          <w:tcPr>
            <w:tcW w:w="1530" w:type="dxa"/>
            <w:tcBorders>
              <w:top w:val="nil"/>
              <w:left w:val="nil"/>
              <w:bottom w:val="nil"/>
              <w:right w:val="nil"/>
            </w:tcBorders>
            <w:shd w:val="clear" w:color="auto" w:fill="auto"/>
            <w:noWrap/>
            <w:vAlign w:val="center"/>
            <w:hideMark/>
          </w:tcPr>
          <w:p w14:paraId="68D3708D"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10/10/1986</w:t>
            </w:r>
          </w:p>
        </w:tc>
        <w:tc>
          <w:tcPr>
            <w:tcW w:w="1070" w:type="dxa"/>
            <w:tcBorders>
              <w:top w:val="nil"/>
              <w:left w:val="nil"/>
              <w:bottom w:val="nil"/>
              <w:right w:val="nil"/>
            </w:tcBorders>
            <w:shd w:val="clear" w:color="auto" w:fill="auto"/>
            <w:noWrap/>
            <w:vAlign w:val="center"/>
            <w:hideMark/>
          </w:tcPr>
          <w:p w14:paraId="1291AE83"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17609432" w14:textId="77777777" w:rsidTr="007E03F2">
        <w:tc>
          <w:tcPr>
            <w:tcW w:w="743" w:type="dxa"/>
            <w:tcBorders>
              <w:top w:val="nil"/>
              <w:left w:val="nil"/>
              <w:bottom w:val="nil"/>
              <w:right w:val="nil"/>
            </w:tcBorders>
            <w:shd w:val="clear" w:color="auto" w:fill="auto"/>
            <w:noWrap/>
            <w:vAlign w:val="center"/>
            <w:hideMark/>
          </w:tcPr>
          <w:p w14:paraId="3715B368"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MO </w:t>
            </w:r>
          </w:p>
        </w:tc>
        <w:tc>
          <w:tcPr>
            <w:tcW w:w="9787" w:type="dxa"/>
            <w:tcBorders>
              <w:top w:val="nil"/>
              <w:left w:val="nil"/>
              <w:bottom w:val="nil"/>
              <w:right w:val="nil"/>
            </w:tcBorders>
            <w:shd w:val="clear" w:color="auto" w:fill="auto"/>
            <w:noWrap/>
            <w:vAlign w:val="center"/>
            <w:hideMark/>
          </w:tcPr>
          <w:p w14:paraId="56907C50"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i/>
                <w:sz w:val="24"/>
                <w:szCs w:val="24"/>
              </w:rPr>
              <w:t xml:space="preserve">H&amp;R Block Eastern Tax Servs. Inc. v. </w:t>
            </w:r>
            <w:proofErr w:type="spellStart"/>
            <w:r w:rsidRPr="00F634D2">
              <w:rPr>
                <w:rFonts w:ascii="Times New Roman" w:eastAsia="DengXian" w:hAnsi="Times New Roman" w:cs="Times New Roman"/>
                <w:i/>
                <w:sz w:val="24"/>
                <w:szCs w:val="24"/>
              </w:rPr>
              <w:t>Enchura</w:t>
            </w:r>
            <w:proofErr w:type="spellEnd"/>
            <w:r w:rsidRPr="00F634D2">
              <w:rPr>
                <w:rFonts w:ascii="Times New Roman" w:eastAsia="DengXian" w:hAnsi="Times New Roman" w:cs="Times New Roman"/>
                <w:sz w:val="24"/>
                <w:szCs w:val="24"/>
              </w:rPr>
              <w:t xml:space="preserve">, 122 F. Supp. 2d 1067 (W.D. Mo. 2000) </w:t>
            </w:r>
          </w:p>
        </w:tc>
        <w:tc>
          <w:tcPr>
            <w:tcW w:w="1530" w:type="dxa"/>
            <w:tcBorders>
              <w:top w:val="nil"/>
              <w:left w:val="nil"/>
              <w:bottom w:val="nil"/>
              <w:right w:val="nil"/>
            </w:tcBorders>
            <w:shd w:val="clear" w:color="auto" w:fill="auto"/>
            <w:noWrap/>
            <w:vAlign w:val="center"/>
            <w:hideMark/>
          </w:tcPr>
          <w:p w14:paraId="7FFDF99A"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11/2/2000 </w:t>
            </w:r>
          </w:p>
        </w:tc>
        <w:tc>
          <w:tcPr>
            <w:tcW w:w="1070" w:type="dxa"/>
            <w:tcBorders>
              <w:top w:val="nil"/>
              <w:left w:val="nil"/>
              <w:bottom w:val="nil"/>
              <w:right w:val="nil"/>
            </w:tcBorders>
            <w:shd w:val="clear" w:color="auto" w:fill="auto"/>
            <w:noWrap/>
            <w:vAlign w:val="center"/>
            <w:hideMark/>
          </w:tcPr>
          <w:p w14:paraId="4D5D8267"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33836BDB" w14:textId="77777777" w:rsidTr="007E03F2">
        <w:tc>
          <w:tcPr>
            <w:tcW w:w="743" w:type="dxa"/>
            <w:tcBorders>
              <w:top w:val="nil"/>
              <w:left w:val="nil"/>
              <w:bottom w:val="nil"/>
              <w:right w:val="nil"/>
            </w:tcBorders>
            <w:shd w:val="clear" w:color="auto" w:fill="auto"/>
            <w:noWrap/>
            <w:vAlign w:val="center"/>
            <w:hideMark/>
          </w:tcPr>
          <w:p w14:paraId="6F21EF6B"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NJ </w:t>
            </w:r>
          </w:p>
        </w:tc>
        <w:tc>
          <w:tcPr>
            <w:tcW w:w="9787" w:type="dxa"/>
            <w:tcBorders>
              <w:top w:val="nil"/>
              <w:left w:val="nil"/>
              <w:bottom w:val="nil"/>
              <w:right w:val="nil"/>
            </w:tcBorders>
            <w:shd w:val="clear" w:color="auto" w:fill="auto"/>
            <w:noWrap/>
            <w:vAlign w:val="center"/>
            <w:hideMark/>
          </w:tcPr>
          <w:p w14:paraId="03EAD0FD"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i/>
                <w:sz w:val="24"/>
                <w:szCs w:val="24"/>
              </w:rPr>
              <w:t>Nat’l Starch &amp; Chem. Corp. v. Parker Chem. Corp.</w:t>
            </w:r>
            <w:r w:rsidRPr="00F634D2">
              <w:rPr>
                <w:rFonts w:ascii="Times New Roman" w:eastAsia="DengXian" w:hAnsi="Times New Roman" w:cs="Times New Roman"/>
                <w:sz w:val="24"/>
                <w:szCs w:val="24"/>
              </w:rPr>
              <w:t xml:space="preserve">, 530 A.2d 31 (N.J. Super. Ct. 1987) </w:t>
            </w:r>
          </w:p>
        </w:tc>
        <w:tc>
          <w:tcPr>
            <w:tcW w:w="1530" w:type="dxa"/>
            <w:tcBorders>
              <w:top w:val="nil"/>
              <w:left w:val="nil"/>
              <w:bottom w:val="nil"/>
              <w:right w:val="nil"/>
            </w:tcBorders>
            <w:shd w:val="clear" w:color="auto" w:fill="auto"/>
            <w:noWrap/>
            <w:vAlign w:val="center"/>
            <w:hideMark/>
          </w:tcPr>
          <w:p w14:paraId="626029CA"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4/27/1987</w:t>
            </w:r>
          </w:p>
        </w:tc>
        <w:tc>
          <w:tcPr>
            <w:tcW w:w="1070" w:type="dxa"/>
            <w:tcBorders>
              <w:top w:val="nil"/>
              <w:left w:val="nil"/>
              <w:bottom w:val="nil"/>
              <w:right w:val="nil"/>
            </w:tcBorders>
            <w:shd w:val="clear" w:color="auto" w:fill="auto"/>
            <w:noWrap/>
            <w:vAlign w:val="center"/>
            <w:hideMark/>
          </w:tcPr>
          <w:p w14:paraId="1E3006D9"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1365074C" w14:textId="77777777" w:rsidTr="007E03F2">
        <w:tc>
          <w:tcPr>
            <w:tcW w:w="743" w:type="dxa"/>
            <w:tcBorders>
              <w:top w:val="nil"/>
              <w:left w:val="nil"/>
              <w:bottom w:val="nil"/>
              <w:right w:val="nil"/>
            </w:tcBorders>
            <w:shd w:val="clear" w:color="auto" w:fill="auto"/>
            <w:noWrap/>
            <w:vAlign w:val="center"/>
            <w:hideMark/>
          </w:tcPr>
          <w:p w14:paraId="53CD6CCD"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NY </w:t>
            </w:r>
          </w:p>
        </w:tc>
        <w:tc>
          <w:tcPr>
            <w:tcW w:w="9787" w:type="dxa"/>
            <w:tcBorders>
              <w:top w:val="nil"/>
              <w:left w:val="nil"/>
              <w:bottom w:val="nil"/>
              <w:right w:val="nil"/>
            </w:tcBorders>
            <w:shd w:val="clear" w:color="auto" w:fill="auto"/>
            <w:noWrap/>
            <w:vAlign w:val="center"/>
            <w:hideMark/>
          </w:tcPr>
          <w:p w14:paraId="0AD3CFD0"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i/>
                <w:sz w:val="24"/>
                <w:szCs w:val="24"/>
              </w:rPr>
              <w:t>Eastman Kodak Co. v. Powers Film Prod.</w:t>
            </w:r>
            <w:r w:rsidRPr="00F634D2">
              <w:rPr>
                <w:rFonts w:ascii="Times New Roman" w:eastAsia="DengXian" w:hAnsi="Times New Roman" w:cs="Times New Roman"/>
                <w:sz w:val="24"/>
                <w:szCs w:val="24"/>
              </w:rPr>
              <w:t xml:space="preserve">, 189 A.D. 556 (N.Y.A.D. 1919) </w:t>
            </w:r>
          </w:p>
        </w:tc>
        <w:tc>
          <w:tcPr>
            <w:tcW w:w="1530" w:type="dxa"/>
            <w:tcBorders>
              <w:top w:val="nil"/>
              <w:left w:val="nil"/>
              <w:bottom w:val="nil"/>
              <w:right w:val="nil"/>
            </w:tcBorders>
            <w:shd w:val="clear" w:color="auto" w:fill="auto"/>
            <w:noWrap/>
            <w:vAlign w:val="center"/>
            <w:hideMark/>
          </w:tcPr>
          <w:p w14:paraId="7AD82225"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12/5/1919</w:t>
            </w:r>
          </w:p>
        </w:tc>
        <w:tc>
          <w:tcPr>
            <w:tcW w:w="1070" w:type="dxa"/>
            <w:tcBorders>
              <w:top w:val="nil"/>
              <w:left w:val="nil"/>
              <w:bottom w:val="nil"/>
              <w:right w:val="nil"/>
            </w:tcBorders>
            <w:shd w:val="clear" w:color="auto" w:fill="auto"/>
            <w:noWrap/>
            <w:vAlign w:val="center"/>
            <w:hideMark/>
          </w:tcPr>
          <w:p w14:paraId="50A2DF80"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0CCB3B9A" w14:textId="77777777" w:rsidTr="007E03F2">
        <w:tc>
          <w:tcPr>
            <w:tcW w:w="743" w:type="dxa"/>
            <w:tcBorders>
              <w:top w:val="nil"/>
              <w:left w:val="nil"/>
              <w:bottom w:val="nil"/>
              <w:right w:val="nil"/>
            </w:tcBorders>
            <w:shd w:val="clear" w:color="auto" w:fill="auto"/>
            <w:noWrap/>
            <w:vAlign w:val="center"/>
            <w:hideMark/>
          </w:tcPr>
          <w:p w14:paraId="25D5A143"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NC </w:t>
            </w:r>
          </w:p>
        </w:tc>
        <w:tc>
          <w:tcPr>
            <w:tcW w:w="9787" w:type="dxa"/>
            <w:tcBorders>
              <w:top w:val="nil"/>
              <w:left w:val="nil"/>
              <w:bottom w:val="nil"/>
              <w:right w:val="nil"/>
            </w:tcBorders>
            <w:shd w:val="clear" w:color="auto" w:fill="auto"/>
            <w:noWrap/>
            <w:vAlign w:val="center"/>
            <w:hideMark/>
          </w:tcPr>
          <w:p w14:paraId="0F985917" w14:textId="77777777" w:rsidR="00D50589" w:rsidRPr="00F634D2" w:rsidRDefault="00686261">
            <w:pPr>
              <w:spacing w:after="0" w:line="240" w:lineRule="auto"/>
              <w:rPr>
                <w:rFonts w:ascii="Times New Roman" w:eastAsia="DengXian" w:hAnsi="Times New Roman" w:cs="Times New Roman"/>
                <w:sz w:val="24"/>
                <w:szCs w:val="24"/>
              </w:rPr>
            </w:pPr>
            <w:proofErr w:type="spellStart"/>
            <w:r w:rsidRPr="00F634D2">
              <w:rPr>
                <w:rFonts w:ascii="Times New Roman" w:eastAsia="DengXian" w:hAnsi="Times New Roman" w:cs="Times New Roman"/>
                <w:i/>
                <w:sz w:val="24"/>
                <w:szCs w:val="24"/>
              </w:rPr>
              <w:t>Travenol</w:t>
            </w:r>
            <w:proofErr w:type="spellEnd"/>
            <w:r w:rsidRPr="00F634D2">
              <w:rPr>
                <w:rFonts w:ascii="Times New Roman" w:eastAsia="DengXian" w:hAnsi="Times New Roman" w:cs="Times New Roman"/>
                <w:i/>
                <w:sz w:val="24"/>
                <w:szCs w:val="24"/>
              </w:rPr>
              <w:t xml:space="preserve"> Laboratories Inc. v. Turner,</w:t>
            </w:r>
            <w:r w:rsidRPr="00F634D2">
              <w:rPr>
                <w:rFonts w:ascii="Times New Roman" w:eastAsia="DengXian" w:hAnsi="Times New Roman" w:cs="Times New Roman"/>
                <w:sz w:val="24"/>
                <w:szCs w:val="24"/>
              </w:rPr>
              <w:t xml:space="preserve"> 228 S.E.2d 478 (N.C. Ct. App. 1976)</w:t>
            </w:r>
          </w:p>
        </w:tc>
        <w:tc>
          <w:tcPr>
            <w:tcW w:w="1530" w:type="dxa"/>
            <w:tcBorders>
              <w:top w:val="nil"/>
              <w:left w:val="nil"/>
              <w:bottom w:val="nil"/>
              <w:right w:val="nil"/>
            </w:tcBorders>
            <w:shd w:val="clear" w:color="auto" w:fill="auto"/>
            <w:noWrap/>
            <w:vAlign w:val="center"/>
            <w:hideMark/>
          </w:tcPr>
          <w:p w14:paraId="629E8159"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 6/17/1976 </w:t>
            </w:r>
          </w:p>
        </w:tc>
        <w:tc>
          <w:tcPr>
            <w:tcW w:w="1070" w:type="dxa"/>
            <w:tcBorders>
              <w:top w:val="nil"/>
              <w:left w:val="nil"/>
              <w:bottom w:val="nil"/>
              <w:right w:val="nil"/>
            </w:tcBorders>
            <w:shd w:val="clear" w:color="auto" w:fill="auto"/>
            <w:noWrap/>
            <w:vAlign w:val="center"/>
            <w:hideMark/>
          </w:tcPr>
          <w:p w14:paraId="75D523CC"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3F3893F8" w14:textId="77777777" w:rsidTr="007E03F2">
        <w:tc>
          <w:tcPr>
            <w:tcW w:w="743" w:type="dxa"/>
            <w:tcBorders>
              <w:top w:val="nil"/>
              <w:left w:val="nil"/>
              <w:bottom w:val="nil"/>
              <w:right w:val="nil"/>
            </w:tcBorders>
            <w:shd w:val="clear" w:color="auto" w:fill="auto"/>
            <w:noWrap/>
            <w:vAlign w:val="center"/>
            <w:hideMark/>
          </w:tcPr>
          <w:p w14:paraId="6BBA4B66"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OH </w:t>
            </w:r>
          </w:p>
        </w:tc>
        <w:tc>
          <w:tcPr>
            <w:tcW w:w="9787" w:type="dxa"/>
            <w:tcBorders>
              <w:top w:val="nil"/>
              <w:left w:val="nil"/>
              <w:bottom w:val="nil"/>
              <w:right w:val="nil"/>
            </w:tcBorders>
            <w:shd w:val="clear" w:color="auto" w:fill="auto"/>
            <w:noWrap/>
            <w:vAlign w:val="center"/>
            <w:hideMark/>
          </w:tcPr>
          <w:p w14:paraId="64EB7AB1"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i/>
                <w:sz w:val="24"/>
                <w:szCs w:val="24"/>
              </w:rPr>
              <w:t>Procter &amp; Gamble Co. v. Stoneham</w:t>
            </w:r>
            <w:r w:rsidRPr="00F634D2">
              <w:rPr>
                <w:rFonts w:ascii="Times New Roman" w:eastAsia="DengXian" w:hAnsi="Times New Roman" w:cs="Times New Roman"/>
                <w:sz w:val="24"/>
                <w:szCs w:val="24"/>
              </w:rPr>
              <w:t xml:space="preserve">, 747 N.E.2d 268 (Ohio Ct. App. 2000) </w:t>
            </w:r>
          </w:p>
        </w:tc>
        <w:tc>
          <w:tcPr>
            <w:tcW w:w="1530" w:type="dxa"/>
            <w:tcBorders>
              <w:top w:val="nil"/>
              <w:left w:val="nil"/>
              <w:bottom w:val="nil"/>
              <w:right w:val="nil"/>
            </w:tcBorders>
            <w:shd w:val="clear" w:color="auto" w:fill="auto"/>
            <w:noWrap/>
            <w:vAlign w:val="center"/>
            <w:hideMark/>
          </w:tcPr>
          <w:p w14:paraId="38CED535"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9/29/2000</w:t>
            </w:r>
          </w:p>
        </w:tc>
        <w:tc>
          <w:tcPr>
            <w:tcW w:w="1070" w:type="dxa"/>
            <w:tcBorders>
              <w:top w:val="nil"/>
              <w:left w:val="nil"/>
              <w:bottom w:val="nil"/>
              <w:right w:val="nil"/>
            </w:tcBorders>
            <w:shd w:val="clear" w:color="auto" w:fill="auto"/>
            <w:noWrap/>
            <w:vAlign w:val="center"/>
            <w:hideMark/>
          </w:tcPr>
          <w:p w14:paraId="71D62439"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6129BD9C" w14:textId="77777777" w:rsidTr="007E03F2">
        <w:tc>
          <w:tcPr>
            <w:tcW w:w="743" w:type="dxa"/>
            <w:tcBorders>
              <w:top w:val="nil"/>
              <w:left w:val="nil"/>
              <w:bottom w:val="nil"/>
              <w:right w:val="nil"/>
            </w:tcBorders>
            <w:shd w:val="clear" w:color="auto" w:fill="auto"/>
            <w:noWrap/>
            <w:vAlign w:val="center"/>
            <w:hideMark/>
          </w:tcPr>
          <w:p w14:paraId="78917545"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PA </w:t>
            </w:r>
          </w:p>
        </w:tc>
        <w:tc>
          <w:tcPr>
            <w:tcW w:w="9787" w:type="dxa"/>
            <w:tcBorders>
              <w:top w:val="nil"/>
              <w:left w:val="nil"/>
              <w:bottom w:val="nil"/>
              <w:right w:val="nil"/>
            </w:tcBorders>
            <w:shd w:val="clear" w:color="auto" w:fill="auto"/>
            <w:noWrap/>
            <w:vAlign w:val="center"/>
            <w:hideMark/>
          </w:tcPr>
          <w:p w14:paraId="7F4CD2A5"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i/>
                <w:sz w:val="24"/>
                <w:szCs w:val="24"/>
              </w:rPr>
              <w:t>Air Products &amp; Chemical Inc. v. Johnson</w:t>
            </w:r>
            <w:r w:rsidRPr="00F634D2">
              <w:rPr>
                <w:rFonts w:ascii="Times New Roman" w:eastAsia="DengXian" w:hAnsi="Times New Roman" w:cs="Times New Roman"/>
                <w:sz w:val="24"/>
                <w:szCs w:val="24"/>
              </w:rPr>
              <w:t xml:space="preserve">, 442 A.2d 1114 (Pa. Super. Ct. 1982) </w:t>
            </w:r>
          </w:p>
        </w:tc>
        <w:tc>
          <w:tcPr>
            <w:tcW w:w="1530" w:type="dxa"/>
            <w:tcBorders>
              <w:top w:val="nil"/>
              <w:left w:val="nil"/>
              <w:bottom w:val="nil"/>
              <w:right w:val="nil"/>
            </w:tcBorders>
            <w:shd w:val="clear" w:color="auto" w:fill="auto"/>
            <w:noWrap/>
            <w:vAlign w:val="center"/>
            <w:hideMark/>
          </w:tcPr>
          <w:p w14:paraId="413A0A70"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2/19/1982 </w:t>
            </w:r>
          </w:p>
        </w:tc>
        <w:tc>
          <w:tcPr>
            <w:tcW w:w="1070" w:type="dxa"/>
            <w:tcBorders>
              <w:top w:val="nil"/>
              <w:left w:val="nil"/>
              <w:bottom w:val="nil"/>
              <w:right w:val="nil"/>
            </w:tcBorders>
            <w:shd w:val="clear" w:color="auto" w:fill="auto"/>
            <w:noWrap/>
            <w:vAlign w:val="center"/>
            <w:hideMark/>
          </w:tcPr>
          <w:p w14:paraId="6AAF4653"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36B64D02" w14:textId="77777777" w:rsidTr="007E03F2">
        <w:tc>
          <w:tcPr>
            <w:tcW w:w="743" w:type="dxa"/>
            <w:tcBorders>
              <w:top w:val="nil"/>
              <w:left w:val="nil"/>
              <w:bottom w:val="nil"/>
              <w:right w:val="nil"/>
            </w:tcBorders>
            <w:shd w:val="clear" w:color="auto" w:fill="auto"/>
            <w:noWrap/>
            <w:vAlign w:val="center"/>
            <w:hideMark/>
          </w:tcPr>
          <w:p w14:paraId="195BF340"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TX </w:t>
            </w:r>
          </w:p>
        </w:tc>
        <w:tc>
          <w:tcPr>
            <w:tcW w:w="9787" w:type="dxa"/>
            <w:tcBorders>
              <w:top w:val="nil"/>
              <w:left w:val="nil"/>
              <w:bottom w:val="nil"/>
              <w:right w:val="nil"/>
            </w:tcBorders>
            <w:shd w:val="clear" w:color="auto" w:fill="auto"/>
            <w:noWrap/>
            <w:vAlign w:val="center"/>
            <w:hideMark/>
          </w:tcPr>
          <w:p w14:paraId="778F8F1A"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i/>
                <w:sz w:val="24"/>
                <w:szCs w:val="24"/>
              </w:rPr>
              <w:t>Rugen v. Interactive Business Systems Inc.,</w:t>
            </w:r>
            <w:r w:rsidRPr="00F634D2">
              <w:rPr>
                <w:rFonts w:ascii="Times New Roman" w:eastAsia="DengXian" w:hAnsi="Times New Roman" w:cs="Times New Roman"/>
                <w:sz w:val="24"/>
                <w:szCs w:val="24"/>
              </w:rPr>
              <w:t xml:space="preserve"> 864 S.W.2d 548 (Tex. App. 1993) </w:t>
            </w:r>
          </w:p>
        </w:tc>
        <w:tc>
          <w:tcPr>
            <w:tcW w:w="1530" w:type="dxa"/>
            <w:tcBorders>
              <w:top w:val="nil"/>
              <w:left w:val="nil"/>
              <w:bottom w:val="nil"/>
              <w:right w:val="nil"/>
            </w:tcBorders>
            <w:shd w:val="clear" w:color="auto" w:fill="auto"/>
            <w:noWrap/>
            <w:vAlign w:val="center"/>
            <w:hideMark/>
          </w:tcPr>
          <w:p w14:paraId="5971C2C4"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5/28/1993 </w:t>
            </w:r>
          </w:p>
        </w:tc>
        <w:tc>
          <w:tcPr>
            <w:tcW w:w="1070" w:type="dxa"/>
            <w:tcBorders>
              <w:top w:val="nil"/>
              <w:left w:val="nil"/>
              <w:bottom w:val="nil"/>
              <w:right w:val="nil"/>
            </w:tcBorders>
            <w:shd w:val="clear" w:color="auto" w:fill="auto"/>
            <w:noWrap/>
            <w:vAlign w:val="center"/>
            <w:hideMark/>
          </w:tcPr>
          <w:p w14:paraId="7C49CFD0"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25975E5F" w14:textId="77777777" w:rsidTr="007E03F2">
        <w:tc>
          <w:tcPr>
            <w:tcW w:w="743" w:type="dxa"/>
            <w:tcBorders>
              <w:top w:val="nil"/>
              <w:left w:val="nil"/>
              <w:bottom w:val="nil"/>
              <w:right w:val="nil"/>
            </w:tcBorders>
            <w:shd w:val="clear" w:color="auto" w:fill="auto"/>
            <w:noWrap/>
            <w:vAlign w:val="center"/>
            <w:hideMark/>
          </w:tcPr>
          <w:p w14:paraId="0AB515AE" w14:textId="77777777" w:rsidR="00D50589" w:rsidRPr="00F634D2" w:rsidRDefault="00D50589">
            <w:pPr>
              <w:spacing w:after="0" w:line="240" w:lineRule="auto"/>
              <w:rPr>
                <w:rFonts w:ascii="Times New Roman" w:eastAsia="DengXian" w:hAnsi="Times New Roman" w:cs="Times New Roman"/>
                <w:sz w:val="24"/>
                <w:szCs w:val="24"/>
              </w:rPr>
            </w:pPr>
          </w:p>
        </w:tc>
        <w:tc>
          <w:tcPr>
            <w:tcW w:w="9787" w:type="dxa"/>
            <w:tcBorders>
              <w:top w:val="nil"/>
              <w:left w:val="nil"/>
              <w:bottom w:val="nil"/>
              <w:right w:val="nil"/>
            </w:tcBorders>
            <w:shd w:val="clear" w:color="auto" w:fill="auto"/>
            <w:noWrap/>
            <w:vAlign w:val="center"/>
            <w:hideMark/>
          </w:tcPr>
          <w:p w14:paraId="600D606B" w14:textId="77777777" w:rsidR="00D50589" w:rsidRPr="00F634D2" w:rsidRDefault="00686261">
            <w:pPr>
              <w:spacing w:after="0" w:line="240" w:lineRule="auto"/>
              <w:rPr>
                <w:rFonts w:ascii="Times New Roman" w:eastAsia="DengXian" w:hAnsi="Times New Roman" w:cs="Times New Roman"/>
                <w:i/>
                <w:iCs/>
                <w:sz w:val="24"/>
                <w:szCs w:val="24"/>
              </w:rPr>
            </w:pPr>
            <w:r w:rsidRPr="00F634D2">
              <w:rPr>
                <w:rFonts w:ascii="Times New Roman" w:eastAsia="DengXian" w:hAnsi="Times New Roman" w:cs="Times New Roman"/>
                <w:i/>
                <w:iCs/>
                <w:sz w:val="24"/>
                <w:szCs w:val="24"/>
              </w:rPr>
              <w:t>Cardinal Health Staffing Network Inc. v. Bowen</w:t>
            </w:r>
            <w:r w:rsidRPr="00F634D2">
              <w:rPr>
                <w:rFonts w:ascii="Times New Roman" w:eastAsia="DengXian" w:hAnsi="Times New Roman" w:cs="Times New Roman"/>
                <w:sz w:val="24"/>
                <w:szCs w:val="24"/>
              </w:rPr>
              <w:t xml:space="preserve">, 106 S.W.3d 230 (Tex. App. 2003) </w:t>
            </w:r>
          </w:p>
        </w:tc>
        <w:tc>
          <w:tcPr>
            <w:tcW w:w="1530" w:type="dxa"/>
            <w:tcBorders>
              <w:top w:val="nil"/>
              <w:left w:val="nil"/>
              <w:bottom w:val="nil"/>
              <w:right w:val="nil"/>
            </w:tcBorders>
            <w:shd w:val="clear" w:color="auto" w:fill="auto"/>
            <w:noWrap/>
            <w:vAlign w:val="center"/>
            <w:hideMark/>
          </w:tcPr>
          <w:p w14:paraId="7C38C927"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4/3/2003 </w:t>
            </w:r>
          </w:p>
        </w:tc>
        <w:tc>
          <w:tcPr>
            <w:tcW w:w="1070" w:type="dxa"/>
            <w:tcBorders>
              <w:top w:val="nil"/>
              <w:left w:val="nil"/>
              <w:bottom w:val="nil"/>
              <w:right w:val="nil"/>
            </w:tcBorders>
            <w:shd w:val="clear" w:color="auto" w:fill="auto"/>
            <w:noWrap/>
            <w:vAlign w:val="center"/>
            <w:hideMark/>
          </w:tcPr>
          <w:p w14:paraId="2989C6AB"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Reject</w:t>
            </w:r>
          </w:p>
        </w:tc>
      </w:tr>
      <w:tr w:rsidR="00F634D2" w:rsidRPr="00F634D2" w14:paraId="46F267CC" w14:textId="77777777" w:rsidTr="007E03F2">
        <w:tc>
          <w:tcPr>
            <w:tcW w:w="743" w:type="dxa"/>
            <w:tcBorders>
              <w:top w:val="nil"/>
              <w:left w:val="nil"/>
              <w:bottom w:val="nil"/>
              <w:right w:val="nil"/>
            </w:tcBorders>
            <w:shd w:val="clear" w:color="auto" w:fill="auto"/>
            <w:noWrap/>
            <w:vAlign w:val="center"/>
            <w:hideMark/>
          </w:tcPr>
          <w:p w14:paraId="3B0C2A98"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UT </w:t>
            </w:r>
          </w:p>
        </w:tc>
        <w:tc>
          <w:tcPr>
            <w:tcW w:w="9787" w:type="dxa"/>
            <w:tcBorders>
              <w:top w:val="nil"/>
              <w:left w:val="nil"/>
              <w:bottom w:val="nil"/>
              <w:right w:val="nil"/>
            </w:tcBorders>
            <w:shd w:val="clear" w:color="auto" w:fill="auto"/>
            <w:noWrap/>
            <w:vAlign w:val="center"/>
            <w:hideMark/>
          </w:tcPr>
          <w:p w14:paraId="5CCAD904"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i/>
                <w:sz w:val="24"/>
                <w:szCs w:val="24"/>
              </w:rPr>
              <w:t>Novell Inc. v. Timpanogos Research Group Inc.,</w:t>
            </w:r>
            <w:r w:rsidRPr="00F634D2">
              <w:rPr>
                <w:rFonts w:ascii="Times New Roman" w:eastAsia="DengXian" w:hAnsi="Times New Roman" w:cs="Times New Roman"/>
                <w:sz w:val="24"/>
                <w:szCs w:val="24"/>
              </w:rPr>
              <w:t xml:space="preserve"> 46 U.S.P.Q.2d 1197 (Utah D.C. 1998) </w:t>
            </w:r>
          </w:p>
        </w:tc>
        <w:tc>
          <w:tcPr>
            <w:tcW w:w="1530" w:type="dxa"/>
            <w:tcBorders>
              <w:top w:val="nil"/>
              <w:left w:val="nil"/>
              <w:bottom w:val="nil"/>
              <w:right w:val="nil"/>
            </w:tcBorders>
            <w:shd w:val="clear" w:color="auto" w:fill="auto"/>
            <w:noWrap/>
            <w:vAlign w:val="center"/>
            <w:hideMark/>
          </w:tcPr>
          <w:p w14:paraId="6CF45973"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1/30/1998</w:t>
            </w:r>
          </w:p>
        </w:tc>
        <w:tc>
          <w:tcPr>
            <w:tcW w:w="1070" w:type="dxa"/>
            <w:tcBorders>
              <w:top w:val="nil"/>
              <w:left w:val="nil"/>
              <w:bottom w:val="nil"/>
              <w:right w:val="nil"/>
            </w:tcBorders>
            <w:shd w:val="clear" w:color="auto" w:fill="auto"/>
            <w:noWrap/>
            <w:vAlign w:val="center"/>
            <w:hideMark/>
          </w:tcPr>
          <w:p w14:paraId="7518794D"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48D8EA18" w14:textId="77777777" w:rsidTr="007E03F2">
        <w:tc>
          <w:tcPr>
            <w:tcW w:w="743" w:type="dxa"/>
            <w:tcBorders>
              <w:top w:val="nil"/>
              <w:left w:val="nil"/>
              <w:bottom w:val="single" w:sz="4" w:space="0" w:color="auto"/>
              <w:right w:val="nil"/>
            </w:tcBorders>
            <w:shd w:val="clear" w:color="auto" w:fill="auto"/>
            <w:noWrap/>
            <w:vAlign w:val="center"/>
            <w:hideMark/>
          </w:tcPr>
          <w:p w14:paraId="5C84DB71"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WA </w:t>
            </w:r>
          </w:p>
        </w:tc>
        <w:tc>
          <w:tcPr>
            <w:tcW w:w="9787" w:type="dxa"/>
            <w:tcBorders>
              <w:top w:val="nil"/>
              <w:left w:val="nil"/>
              <w:bottom w:val="single" w:sz="4" w:space="0" w:color="auto"/>
              <w:right w:val="nil"/>
            </w:tcBorders>
            <w:shd w:val="clear" w:color="auto" w:fill="auto"/>
            <w:noWrap/>
            <w:vAlign w:val="center"/>
            <w:hideMark/>
          </w:tcPr>
          <w:p w14:paraId="6FE37230" w14:textId="77777777" w:rsidR="00D50589" w:rsidRPr="00F634D2" w:rsidRDefault="00686261">
            <w:pPr>
              <w:spacing w:after="0" w:line="240" w:lineRule="auto"/>
              <w:rPr>
                <w:rFonts w:ascii="Times New Roman" w:eastAsia="DengXian" w:hAnsi="Times New Roman" w:cs="Times New Roman"/>
                <w:sz w:val="24"/>
                <w:szCs w:val="24"/>
              </w:rPr>
            </w:pPr>
            <w:proofErr w:type="spellStart"/>
            <w:r w:rsidRPr="00F634D2">
              <w:rPr>
                <w:rFonts w:ascii="Times New Roman" w:eastAsia="DengXian" w:hAnsi="Times New Roman" w:cs="Times New Roman"/>
                <w:i/>
                <w:sz w:val="24"/>
                <w:szCs w:val="24"/>
              </w:rPr>
              <w:t>Solutec</w:t>
            </w:r>
            <w:proofErr w:type="spellEnd"/>
            <w:r w:rsidRPr="00F634D2">
              <w:rPr>
                <w:rFonts w:ascii="Times New Roman" w:eastAsia="DengXian" w:hAnsi="Times New Roman" w:cs="Times New Roman"/>
                <w:i/>
                <w:sz w:val="24"/>
                <w:szCs w:val="24"/>
              </w:rPr>
              <w:t xml:space="preserve"> Corp. Inc. v. Agnew</w:t>
            </w:r>
            <w:r w:rsidRPr="00F634D2">
              <w:rPr>
                <w:rFonts w:ascii="Times New Roman" w:eastAsia="DengXian" w:hAnsi="Times New Roman" w:cs="Times New Roman"/>
                <w:sz w:val="24"/>
                <w:szCs w:val="24"/>
              </w:rPr>
              <w:t xml:space="preserve">, 88 Wash. App. 1067 (Wash. Ct. App. 1997) </w:t>
            </w:r>
          </w:p>
        </w:tc>
        <w:tc>
          <w:tcPr>
            <w:tcW w:w="1530" w:type="dxa"/>
            <w:tcBorders>
              <w:top w:val="nil"/>
              <w:left w:val="nil"/>
              <w:bottom w:val="single" w:sz="4" w:space="0" w:color="auto"/>
              <w:right w:val="nil"/>
            </w:tcBorders>
            <w:shd w:val="clear" w:color="auto" w:fill="auto"/>
            <w:noWrap/>
            <w:vAlign w:val="center"/>
            <w:hideMark/>
          </w:tcPr>
          <w:p w14:paraId="03A08A1C" w14:textId="77777777" w:rsidR="00D50589" w:rsidRPr="00F634D2" w:rsidRDefault="00686261">
            <w:pPr>
              <w:spacing w:after="0" w:line="240" w:lineRule="auto"/>
              <w:jc w:val="right"/>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12/30/1997 </w:t>
            </w:r>
          </w:p>
        </w:tc>
        <w:tc>
          <w:tcPr>
            <w:tcW w:w="1070" w:type="dxa"/>
            <w:tcBorders>
              <w:top w:val="nil"/>
              <w:left w:val="nil"/>
              <w:bottom w:val="single" w:sz="4" w:space="0" w:color="auto"/>
              <w:right w:val="nil"/>
            </w:tcBorders>
            <w:shd w:val="clear" w:color="auto" w:fill="auto"/>
            <w:noWrap/>
            <w:vAlign w:val="center"/>
            <w:hideMark/>
          </w:tcPr>
          <w:p w14:paraId="40DF1296"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Adopt</w:t>
            </w:r>
          </w:p>
        </w:tc>
      </w:tr>
      <w:tr w:rsidR="00F634D2" w:rsidRPr="00F634D2" w14:paraId="4FD9CF72" w14:textId="77777777" w:rsidTr="007E03F2">
        <w:tc>
          <w:tcPr>
            <w:tcW w:w="13130" w:type="dxa"/>
            <w:gridSpan w:val="4"/>
            <w:tcBorders>
              <w:top w:val="single" w:sz="4" w:space="0" w:color="auto"/>
              <w:left w:val="nil"/>
              <w:bottom w:val="nil"/>
              <w:right w:val="nil"/>
            </w:tcBorders>
            <w:shd w:val="clear" w:color="auto" w:fill="auto"/>
            <w:noWrap/>
            <w:vAlign w:val="center"/>
          </w:tcPr>
          <w:p w14:paraId="4499803F" w14:textId="77777777" w:rsidR="00D50589" w:rsidRPr="00F634D2" w:rsidRDefault="00686261">
            <w:pPr>
              <w:spacing w:after="0" w:line="240" w:lineRule="auto"/>
              <w:rPr>
                <w:rFonts w:ascii="Times New Roman" w:eastAsia="DengXian" w:hAnsi="Times New Roman" w:cs="Times New Roman"/>
                <w:sz w:val="24"/>
                <w:szCs w:val="24"/>
              </w:rPr>
            </w:pPr>
            <w:r w:rsidRPr="00F634D2">
              <w:rPr>
                <w:rFonts w:ascii="Times New Roman" w:eastAsia="DengXian" w:hAnsi="Times New Roman" w:cs="Times New Roman"/>
                <w:sz w:val="24"/>
                <w:szCs w:val="24"/>
              </w:rPr>
              <w:t xml:space="preserve">This table, reproduced from Table 1 of </w:t>
            </w:r>
            <w:proofErr w:type="spellStart"/>
            <w:r w:rsidRPr="00F634D2">
              <w:rPr>
                <w:rFonts w:ascii="Times New Roman" w:eastAsia="DengXian" w:hAnsi="Times New Roman" w:cs="Times New Roman"/>
                <w:sz w:val="24"/>
                <w:szCs w:val="24"/>
              </w:rPr>
              <w:t>Klasa</w:t>
            </w:r>
            <w:proofErr w:type="spellEnd"/>
            <w:r w:rsidRPr="00F634D2">
              <w:rPr>
                <w:rFonts w:ascii="Times New Roman" w:eastAsia="DengXian" w:hAnsi="Times New Roman" w:cs="Times New Roman"/>
                <w:sz w:val="24"/>
                <w:szCs w:val="24"/>
              </w:rPr>
              <w:t xml:space="preserve"> et al. (2018), lists the precedent-setting legal cases in which state courts adopted IDD or rejected it after adopting it. The states omitted from the table did not consider or considered but rejected IDD.</w:t>
            </w:r>
          </w:p>
        </w:tc>
      </w:tr>
    </w:tbl>
    <w:p w14:paraId="71F82B18" w14:textId="77777777" w:rsidR="00D50589" w:rsidRPr="00F634D2" w:rsidRDefault="00D50589">
      <w:pPr>
        <w:rPr>
          <w:rFonts w:ascii="Times New Roman" w:eastAsia="DengXian" w:hAnsi="Times New Roman" w:cs="Times New Roman"/>
          <w:sz w:val="24"/>
          <w:szCs w:val="24"/>
        </w:rPr>
        <w:sectPr w:rsidR="00D50589" w:rsidRPr="00F634D2">
          <w:pgSz w:w="15840" w:h="12240" w:orient="landscape" w:code="1"/>
          <w:pgMar w:top="1729" w:right="1440" w:bottom="1729" w:left="1440" w:header="720" w:footer="720" w:gutter="0"/>
          <w:cols w:space="708"/>
          <w:docGrid w:linePitch="360"/>
        </w:sectPr>
      </w:pPr>
    </w:p>
    <w:tbl>
      <w:tblPr>
        <w:tblW w:w="5000" w:type="pct"/>
        <w:tblLook w:val="04A0" w:firstRow="1" w:lastRow="0" w:firstColumn="1" w:lastColumn="0" w:noHBand="0" w:noVBand="1"/>
      </w:tblPr>
      <w:tblGrid>
        <w:gridCol w:w="2794"/>
        <w:gridCol w:w="1198"/>
        <w:gridCol w:w="1198"/>
        <w:gridCol w:w="1198"/>
        <w:gridCol w:w="1198"/>
        <w:gridCol w:w="1196"/>
      </w:tblGrid>
      <w:tr w:rsidR="00F634D2" w:rsidRPr="00F634D2" w14:paraId="2AE53E02" w14:textId="77777777" w:rsidTr="007E03F2">
        <w:trPr>
          <w:trHeight w:val="20"/>
        </w:trPr>
        <w:tc>
          <w:tcPr>
            <w:tcW w:w="5000" w:type="pct"/>
            <w:gridSpan w:val="6"/>
            <w:tcBorders>
              <w:left w:val="nil"/>
              <w:bottom w:val="single" w:sz="4" w:space="0" w:color="auto"/>
              <w:right w:val="nil"/>
            </w:tcBorders>
            <w:shd w:val="clear" w:color="auto" w:fill="auto"/>
            <w:noWrap/>
            <w:vAlign w:val="bottom"/>
            <w:hideMark/>
          </w:tcPr>
          <w:p w14:paraId="589A1A06" w14:textId="77777777" w:rsidR="00D50589" w:rsidRPr="00F634D2" w:rsidRDefault="00686261" w:rsidP="007E03F2">
            <w:pPr>
              <w:spacing w:afterLines="50" w:after="12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b/>
                <w:bCs/>
                <w:sz w:val="24"/>
                <w:szCs w:val="24"/>
                <w:lang w:val="en-GB" w:eastAsia="en-GB"/>
              </w:rPr>
              <w:lastRenderedPageBreak/>
              <w:t>Table 1.</w:t>
            </w:r>
            <w:r w:rsidRPr="00F634D2">
              <w:rPr>
                <w:rFonts w:ascii="Times New Roman" w:eastAsia="Times New Roman" w:hAnsi="Times New Roman" w:cs="Times New Roman"/>
                <w:sz w:val="24"/>
                <w:szCs w:val="24"/>
                <w:lang w:val="en-GB" w:eastAsia="en-GB"/>
              </w:rPr>
              <w:t xml:space="preserve"> Descriptive statistics</w:t>
            </w:r>
          </w:p>
        </w:tc>
      </w:tr>
      <w:tr w:rsidR="00F634D2" w:rsidRPr="00F634D2" w14:paraId="5278E683" w14:textId="77777777">
        <w:trPr>
          <w:trHeight w:val="20"/>
        </w:trPr>
        <w:tc>
          <w:tcPr>
            <w:tcW w:w="1591" w:type="pct"/>
            <w:tcBorders>
              <w:top w:val="nil"/>
              <w:left w:val="nil"/>
              <w:bottom w:val="single" w:sz="4" w:space="0" w:color="auto"/>
              <w:right w:val="nil"/>
            </w:tcBorders>
            <w:shd w:val="clear" w:color="auto" w:fill="auto"/>
            <w:noWrap/>
            <w:vAlign w:val="bottom"/>
            <w:hideMark/>
          </w:tcPr>
          <w:p w14:paraId="3788A6CC"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 </w:t>
            </w:r>
          </w:p>
        </w:tc>
        <w:tc>
          <w:tcPr>
            <w:tcW w:w="682" w:type="pct"/>
            <w:tcBorders>
              <w:top w:val="nil"/>
              <w:left w:val="nil"/>
              <w:bottom w:val="single" w:sz="4" w:space="0" w:color="auto"/>
              <w:right w:val="nil"/>
            </w:tcBorders>
            <w:shd w:val="clear" w:color="auto" w:fill="auto"/>
            <w:noWrap/>
            <w:vAlign w:val="center"/>
            <w:hideMark/>
          </w:tcPr>
          <w:p w14:paraId="1073B24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Mean</w:t>
            </w:r>
          </w:p>
        </w:tc>
        <w:tc>
          <w:tcPr>
            <w:tcW w:w="682" w:type="pct"/>
            <w:tcBorders>
              <w:top w:val="nil"/>
              <w:left w:val="nil"/>
              <w:bottom w:val="single" w:sz="4" w:space="0" w:color="auto"/>
              <w:right w:val="nil"/>
            </w:tcBorders>
            <w:shd w:val="clear" w:color="auto" w:fill="auto"/>
            <w:noWrap/>
            <w:vAlign w:val="center"/>
            <w:hideMark/>
          </w:tcPr>
          <w:p w14:paraId="418C3E24"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Q1</w:t>
            </w:r>
          </w:p>
        </w:tc>
        <w:tc>
          <w:tcPr>
            <w:tcW w:w="682" w:type="pct"/>
            <w:tcBorders>
              <w:top w:val="nil"/>
              <w:left w:val="nil"/>
              <w:bottom w:val="single" w:sz="4" w:space="0" w:color="auto"/>
              <w:right w:val="nil"/>
            </w:tcBorders>
            <w:shd w:val="clear" w:color="auto" w:fill="auto"/>
            <w:noWrap/>
            <w:vAlign w:val="center"/>
            <w:hideMark/>
          </w:tcPr>
          <w:p w14:paraId="3C38C2D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Median</w:t>
            </w:r>
          </w:p>
        </w:tc>
        <w:tc>
          <w:tcPr>
            <w:tcW w:w="682" w:type="pct"/>
            <w:tcBorders>
              <w:top w:val="nil"/>
              <w:left w:val="nil"/>
              <w:bottom w:val="single" w:sz="4" w:space="0" w:color="auto"/>
              <w:right w:val="nil"/>
            </w:tcBorders>
            <w:shd w:val="clear" w:color="auto" w:fill="auto"/>
            <w:noWrap/>
            <w:vAlign w:val="center"/>
            <w:hideMark/>
          </w:tcPr>
          <w:p w14:paraId="6896C0A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Q3</w:t>
            </w:r>
          </w:p>
        </w:tc>
        <w:tc>
          <w:tcPr>
            <w:tcW w:w="682" w:type="pct"/>
            <w:tcBorders>
              <w:top w:val="nil"/>
              <w:left w:val="nil"/>
              <w:bottom w:val="single" w:sz="4" w:space="0" w:color="auto"/>
              <w:right w:val="nil"/>
            </w:tcBorders>
            <w:shd w:val="clear" w:color="auto" w:fill="auto"/>
            <w:noWrap/>
            <w:vAlign w:val="center"/>
            <w:hideMark/>
          </w:tcPr>
          <w:p w14:paraId="7A6A137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Std.</w:t>
            </w:r>
          </w:p>
        </w:tc>
      </w:tr>
      <w:tr w:rsidR="00F634D2" w:rsidRPr="00F634D2" w14:paraId="06459261" w14:textId="77777777">
        <w:trPr>
          <w:trHeight w:val="20"/>
        </w:trPr>
        <w:tc>
          <w:tcPr>
            <w:tcW w:w="1591" w:type="pct"/>
            <w:tcBorders>
              <w:top w:val="nil"/>
              <w:left w:val="nil"/>
              <w:bottom w:val="nil"/>
              <w:right w:val="nil"/>
            </w:tcBorders>
            <w:shd w:val="clear" w:color="auto" w:fill="auto"/>
            <w:noWrap/>
            <w:vAlign w:val="center"/>
            <w:hideMark/>
          </w:tcPr>
          <w:p w14:paraId="0330113A"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 xml:space="preserve">Vega </w:t>
            </w:r>
            <w:r w:rsidRPr="00F634D2">
              <w:rPr>
                <w:rFonts w:ascii="Times New Roman" w:eastAsia="Times New Roman" w:hAnsi="Times New Roman" w:cs="Times New Roman"/>
                <w:sz w:val="24"/>
                <w:szCs w:val="24"/>
                <w:lang w:val="en-GB" w:eastAsia="en-GB"/>
              </w:rPr>
              <w:t>(in thousands)</w:t>
            </w:r>
          </w:p>
        </w:tc>
        <w:tc>
          <w:tcPr>
            <w:tcW w:w="682" w:type="pct"/>
            <w:tcBorders>
              <w:top w:val="nil"/>
              <w:left w:val="nil"/>
              <w:bottom w:val="nil"/>
              <w:right w:val="nil"/>
            </w:tcBorders>
            <w:shd w:val="clear" w:color="auto" w:fill="auto"/>
            <w:noWrap/>
            <w:vAlign w:val="center"/>
            <w:hideMark/>
          </w:tcPr>
          <w:p w14:paraId="6611852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3.365</w:t>
            </w:r>
          </w:p>
        </w:tc>
        <w:tc>
          <w:tcPr>
            <w:tcW w:w="682" w:type="pct"/>
            <w:tcBorders>
              <w:top w:val="nil"/>
              <w:left w:val="nil"/>
              <w:bottom w:val="nil"/>
              <w:right w:val="nil"/>
            </w:tcBorders>
            <w:shd w:val="clear" w:color="auto" w:fill="auto"/>
            <w:noWrap/>
            <w:vAlign w:val="center"/>
            <w:hideMark/>
          </w:tcPr>
          <w:p w14:paraId="492F2ED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2.219</w:t>
            </w:r>
          </w:p>
        </w:tc>
        <w:tc>
          <w:tcPr>
            <w:tcW w:w="682" w:type="pct"/>
            <w:tcBorders>
              <w:top w:val="nil"/>
              <w:left w:val="nil"/>
              <w:bottom w:val="nil"/>
              <w:right w:val="nil"/>
            </w:tcBorders>
            <w:shd w:val="clear" w:color="auto" w:fill="auto"/>
            <w:noWrap/>
            <w:vAlign w:val="center"/>
            <w:hideMark/>
          </w:tcPr>
          <w:p w14:paraId="322606D7"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3.623</w:t>
            </w:r>
          </w:p>
        </w:tc>
        <w:tc>
          <w:tcPr>
            <w:tcW w:w="682" w:type="pct"/>
            <w:tcBorders>
              <w:top w:val="nil"/>
              <w:left w:val="nil"/>
              <w:bottom w:val="nil"/>
              <w:right w:val="nil"/>
            </w:tcBorders>
            <w:shd w:val="clear" w:color="auto" w:fill="auto"/>
            <w:noWrap/>
            <w:vAlign w:val="center"/>
            <w:hideMark/>
          </w:tcPr>
          <w:p w14:paraId="77E13A2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4.743</w:t>
            </w:r>
          </w:p>
        </w:tc>
        <w:tc>
          <w:tcPr>
            <w:tcW w:w="682" w:type="pct"/>
            <w:tcBorders>
              <w:top w:val="nil"/>
              <w:left w:val="nil"/>
              <w:bottom w:val="nil"/>
              <w:right w:val="nil"/>
            </w:tcBorders>
            <w:shd w:val="clear" w:color="auto" w:fill="auto"/>
            <w:noWrap/>
            <w:vAlign w:val="center"/>
            <w:hideMark/>
          </w:tcPr>
          <w:p w14:paraId="1681A28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1.885</w:t>
            </w:r>
          </w:p>
        </w:tc>
      </w:tr>
      <w:tr w:rsidR="00F634D2" w:rsidRPr="00F634D2" w14:paraId="0DEB6A29" w14:textId="77777777">
        <w:trPr>
          <w:trHeight w:val="20"/>
        </w:trPr>
        <w:tc>
          <w:tcPr>
            <w:tcW w:w="1591" w:type="pct"/>
            <w:tcBorders>
              <w:top w:val="nil"/>
              <w:left w:val="nil"/>
              <w:bottom w:val="nil"/>
              <w:right w:val="nil"/>
            </w:tcBorders>
            <w:shd w:val="clear" w:color="auto" w:fill="auto"/>
            <w:noWrap/>
            <w:vAlign w:val="center"/>
            <w:hideMark/>
          </w:tcPr>
          <w:p w14:paraId="360D4B96"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AfterIDD</w:t>
            </w:r>
            <w:proofErr w:type="spellEnd"/>
          </w:p>
        </w:tc>
        <w:tc>
          <w:tcPr>
            <w:tcW w:w="682" w:type="pct"/>
            <w:tcBorders>
              <w:top w:val="nil"/>
              <w:left w:val="nil"/>
              <w:bottom w:val="nil"/>
              <w:right w:val="nil"/>
            </w:tcBorders>
            <w:shd w:val="clear" w:color="auto" w:fill="auto"/>
            <w:noWrap/>
            <w:vAlign w:val="center"/>
            <w:hideMark/>
          </w:tcPr>
          <w:p w14:paraId="371983B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0.500</w:t>
            </w:r>
          </w:p>
        </w:tc>
        <w:tc>
          <w:tcPr>
            <w:tcW w:w="682" w:type="pct"/>
            <w:tcBorders>
              <w:top w:val="nil"/>
              <w:left w:val="nil"/>
              <w:bottom w:val="nil"/>
              <w:right w:val="nil"/>
            </w:tcBorders>
            <w:shd w:val="clear" w:color="auto" w:fill="auto"/>
            <w:noWrap/>
            <w:vAlign w:val="center"/>
            <w:hideMark/>
          </w:tcPr>
          <w:p w14:paraId="68E0107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0.000</w:t>
            </w:r>
          </w:p>
        </w:tc>
        <w:tc>
          <w:tcPr>
            <w:tcW w:w="682" w:type="pct"/>
            <w:tcBorders>
              <w:top w:val="nil"/>
              <w:left w:val="nil"/>
              <w:bottom w:val="nil"/>
              <w:right w:val="nil"/>
            </w:tcBorders>
            <w:shd w:val="clear" w:color="auto" w:fill="auto"/>
            <w:noWrap/>
            <w:vAlign w:val="center"/>
            <w:hideMark/>
          </w:tcPr>
          <w:p w14:paraId="76E3F25A"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0.000</w:t>
            </w:r>
          </w:p>
        </w:tc>
        <w:tc>
          <w:tcPr>
            <w:tcW w:w="682" w:type="pct"/>
            <w:tcBorders>
              <w:top w:val="nil"/>
              <w:left w:val="nil"/>
              <w:bottom w:val="nil"/>
              <w:right w:val="nil"/>
            </w:tcBorders>
            <w:shd w:val="clear" w:color="auto" w:fill="auto"/>
            <w:noWrap/>
            <w:vAlign w:val="center"/>
            <w:hideMark/>
          </w:tcPr>
          <w:p w14:paraId="21D55A1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1.000</w:t>
            </w:r>
          </w:p>
        </w:tc>
        <w:tc>
          <w:tcPr>
            <w:tcW w:w="682" w:type="pct"/>
            <w:tcBorders>
              <w:top w:val="nil"/>
              <w:left w:val="nil"/>
              <w:bottom w:val="nil"/>
              <w:right w:val="nil"/>
            </w:tcBorders>
            <w:shd w:val="clear" w:color="auto" w:fill="auto"/>
            <w:noWrap/>
            <w:vAlign w:val="center"/>
            <w:hideMark/>
          </w:tcPr>
          <w:p w14:paraId="10EDCD58"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0.500</w:t>
            </w:r>
          </w:p>
        </w:tc>
      </w:tr>
      <w:tr w:rsidR="00F634D2" w:rsidRPr="00F634D2" w14:paraId="42FA8DAF" w14:textId="77777777">
        <w:trPr>
          <w:trHeight w:val="20"/>
        </w:trPr>
        <w:tc>
          <w:tcPr>
            <w:tcW w:w="1591" w:type="pct"/>
            <w:tcBorders>
              <w:top w:val="nil"/>
              <w:left w:val="nil"/>
              <w:bottom w:val="nil"/>
              <w:right w:val="nil"/>
            </w:tcBorders>
            <w:shd w:val="clear" w:color="auto" w:fill="auto"/>
            <w:vAlign w:val="center"/>
            <w:hideMark/>
          </w:tcPr>
          <w:p w14:paraId="1B545B6C"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Size</w:t>
            </w:r>
          </w:p>
        </w:tc>
        <w:tc>
          <w:tcPr>
            <w:tcW w:w="682" w:type="pct"/>
            <w:tcBorders>
              <w:top w:val="nil"/>
              <w:left w:val="nil"/>
              <w:bottom w:val="nil"/>
              <w:right w:val="nil"/>
            </w:tcBorders>
            <w:shd w:val="clear" w:color="auto" w:fill="auto"/>
            <w:noWrap/>
            <w:vAlign w:val="center"/>
            <w:hideMark/>
          </w:tcPr>
          <w:p w14:paraId="0E43FE6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7.304</w:t>
            </w:r>
          </w:p>
        </w:tc>
        <w:tc>
          <w:tcPr>
            <w:tcW w:w="682" w:type="pct"/>
            <w:tcBorders>
              <w:top w:val="nil"/>
              <w:left w:val="nil"/>
              <w:bottom w:val="nil"/>
              <w:right w:val="nil"/>
            </w:tcBorders>
            <w:shd w:val="clear" w:color="auto" w:fill="auto"/>
            <w:noWrap/>
            <w:vAlign w:val="center"/>
            <w:hideMark/>
          </w:tcPr>
          <w:p w14:paraId="61826EE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6.179</w:t>
            </w:r>
          </w:p>
        </w:tc>
        <w:tc>
          <w:tcPr>
            <w:tcW w:w="682" w:type="pct"/>
            <w:tcBorders>
              <w:top w:val="nil"/>
              <w:left w:val="nil"/>
              <w:bottom w:val="nil"/>
              <w:right w:val="nil"/>
            </w:tcBorders>
            <w:shd w:val="clear" w:color="auto" w:fill="auto"/>
            <w:noWrap/>
            <w:vAlign w:val="center"/>
            <w:hideMark/>
          </w:tcPr>
          <w:p w14:paraId="63E69A4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7.160</w:t>
            </w:r>
          </w:p>
        </w:tc>
        <w:tc>
          <w:tcPr>
            <w:tcW w:w="682" w:type="pct"/>
            <w:tcBorders>
              <w:top w:val="nil"/>
              <w:left w:val="nil"/>
              <w:bottom w:val="nil"/>
              <w:right w:val="nil"/>
            </w:tcBorders>
            <w:shd w:val="clear" w:color="auto" w:fill="auto"/>
            <w:noWrap/>
            <w:vAlign w:val="center"/>
            <w:hideMark/>
          </w:tcPr>
          <w:p w14:paraId="20BA166D"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8.337</w:t>
            </w:r>
          </w:p>
        </w:tc>
        <w:tc>
          <w:tcPr>
            <w:tcW w:w="682" w:type="pct"/>
            <w:tcBorders>
              <w:top w:val="nil"/>
              <w:left w:val="nil"/>
              <w:bottom w:val="nil"/>
              <w:right w:val="nil"/>
            </w:tcBorders>
            <w:shd w:val="clear" w:color="auto" w:fill="auto"/>
            <w:noWrap/>
            <w:vAlign w:val="center"/>
            <w:hideMark/>
          </w:tcPr>
          <w:p w14:paraId="1DFB0BA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1.668</w:t>
            </w:r>
          </w:p>
        </w:tc>
      </w:tr>
      <w:tr w:rsidR="00F634D2" w:rsidRPr="00F634D2" w14:paraId="27A0010B" w14:textId="77777777">
        <w:trPr>
          <w:trHeight w:val="20"/>
        </w:trPr>
        <w:tc>
          <w:tcPr>
            <w:tcW w:w="1591" w:type="pct"/>
            <w:tcBorders>
              <w:top w:val="nil"/>
              <w:left w:val="nil"/>
              <w:bottom w:val="nil"/>
              <w:right w:val="nil"/>
            </w:tcBorders>
            <w:shd w:val="clear" w:color="auto" w:fill="auto"/>
            <w:vAlign w:val="center"/>
            <w:hideMark/>
          </w:tcPr>
          <w:p w14:paraId="211A5D20"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BTM</w:t>
            </w:r>
          </w:p>
        </w:tc>
        <w:tc>
          <w:tcPr>
            <w:tcW w:w="682" w:type="pct"/>
            <w:tcBorders>
              <w:top w:val="nil"/>
              <w:left w:val="nil"/>
              <w:bottom w:val="nil"/>
              <w:right w:val="nil"/>
            </w:tcBorders>
            <w:shd w:val="clear" w:color="auto" w:fill="auto"/>
            <w:noWrap/>
            <w:vAlign w:val="center"/>
            <w:hideMark/>
          </w:tcPr>
          <w:p w14:paraId="0B735358"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0.641</w:t>
            </w:r>
          </w:p>
        </w:tc>
        <w:tc>
          <w:tcPr>
            <w:tcW w:w="682" w:type="pct"/>
            <w:tcBorders>
              <w:top w:val="nil"/>
              <w:left w:val="nil"/>
              <w:bottom w:val="nil"/>
              <w:right w:val="nil"/>
            </w:tcBorders>
            <w:shd w:val="clear" w:color="auto" w:fill="auto"/>
            <w:noWrap/>
            <w:vAlign w:val="center"/>
            <w:hideMark/>
          </w:tcPr>
          <w:p w14:paraId="62510BB7"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0.438</w:t>
            </w:r>
          </w:p>
        </w:tc>
        <w:tc>
          <w:tcPr>
            <w:tcW w:w="682" w:type="pct"/>
            <w:tcBorders>
              <w:top w:val="nil"/>
              <w:left w:val="nil"/>
              <w:bottom w:val="nil"/>
              <w:right w:val="nil"/>
            </w:tcBorders>
            <w:shd w:val="clear" w:color="auto" w:fill="auto"/>
            <w:noWrap/>
            <w:vAlign w:val="center"/>
            <w:hideMark/>
          </w:tcPr>
          <w:p w14:paraId="5A3B66E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0.627</w:t>
            </w:r>
          </w:p>
        </w:tc>
        <w:tc>
          <w:tcPr>
            <w:tcW w:w="682" w:type="pct"/>
            <w:tcBorders>
              <w:top w:val="nil"/>
              <w:left w:val="nil"/>
              <w:bottom w:val="nil"/>
              <w:right w:val="nil"/>
            </w:tcBorders>
            <w:shd w:val="clear" w:color="auto" w:fill="auto"/>
            <w:noWrap/>
            <w:vAlign w:val="center"/>
            <w:hideMark/>
          </w:tcPr>
          <w:p w14:paraId="33E6F28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0.826</w:t>
            </w:r>
          </w:p>
        </w:tc>
        <w:tc>
          <w:tcPr>
            <w:tcW w:w="682" w:type="pct"/>
            <w:tcBorders>
              <w:top w:val="nil"/>
              <w:left w:val="nil"/>
              <w:bottom w:val="nil"/>
              <w:right w:val="nil"/>
            </w:tcBorders>
            <w:shd w:val="clear" w:color="auto" w:fill="auto"/>
            <w:noWrap/>
            <w:vAlign w:val="center"/>
            <w:hideMark/>
          </w:tcPr>
          <w:p w14:paraId="3DF2D34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0.275</w:t>
            </w:r>
          </w:p>
        </w:tc>
      </w:tr>
      <w:tr w:rsidR="00F634D2" w:rsidRPr="00F634D2" w14:paraId="024B523A" w14:textId="77777777">
        <w:trPr>
          <w:trHeight w:val="20"/>
        </w:trPr>
        <w:tc>
          <w:tcPr>
            <w:tcW w:w="1591" w:type="pct"/>
            <w:tcBorders>
              <w:top w:val="nil"/>
              <w:left w:val="nil"/>
              <w:bottom w:val="nil"/>
              <w:right w:val="nil"/>
            </w:tcBorders>
            <w:shd w:val="clear" w:color="auto" w:fill="auto"/>
            <w:vAlign w:val="center"/>
            <w:hideMark/>
          </w:tcPr>
          <w:p w14:paraId="4054C9F4"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ROA</w:t>
            </w:r>
          </w:p>
        </w:tc>
        <w:tc>
          <w:tcPr>
            <w:tcW w:w="682" w:type="pct"/>
            <w:tcBorders>
              <w:top w:val="nil"/>
              <w:left w:val="nil"/>
              <w:bottom w:val="nil"/>
              <w:right w:val="nil"/>
            </w:tcBorders>
            <w:shd w:val="clear" w:color="auto" w:fill="auto"/>
            <w:noWrap/>
            <w:vAlign w:val="center"/>
            <w:hideMark/>
          </w:tcPr>
          <w:p w14:paraId="0FD4700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0.037</w:t>
            </w:r>
          </w:p>
        </w:tc>
        <w:tc>
          <w:tcPr>
            <w:tcW w:w="682" w:type="pct"/>
            <w:tcBorders>
              <w:top w:val="nil"/>
              <w:left w:val="nil"/>
              <w:bottom w:val="nil"/>
              <w:right w:val="nil"/>
            </w:tcBorders>
            <w:shd w:val="clear" w:color="auto" w:fill="auto"/>
            <w:noWrap/>
            <w:vAlign w:val="center"/>
            <w:hideMark/>
          </w:tcPr>
          <w:p w14:paraId="63D9B27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0.017</w:t>
            </w:r>
          </w:p>
        </w:tc>
        <w:tc>
          <w:tcPr>
            <w:tcW w:w="682" w:type="pct"/>
            <w:tcBorders>
              <w:top w:val="nil"/>
              <w:left w:val="nil"/>
              <w:bottom w:val="nil"/>
              <w:right w:val="nil"/>
            </w:tcBorders>
            <w:shd w:val="clear" w:color="auto" w:fill="auto"/>
            <w:noWrap/>
            <w:vAlign w:val="center"/>
            <w:hideMark/>
          </w:tcPr>
          <w:p w14:paraId="319FC8A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0.053</w:t>
            </w:r>
          </w:p>
        </w:tc>
        <w:tc>
          <w:tcPr>
            <w:tcW w:w="682" w:type="pct"/>
            <w:tcBorders>
              <w:top w:val="nil"/>
              <w:left w:val="nil"/>
              <w:bottom w:val="nil"/>
              <w:right w:val="nil"/>
            </w:tcBorders>
            <w:shd w:val="clear" w:color="auto" w:fill="auto"/>
            <w:noWrap/>
            <w:vAlign w:val="center"/>
            <w:hideMark/>
          </w:tcPr>
          <w:p w14:paraId="59E2B26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0.091</w:t>
            </w:r>
          </w:p>
        </w:tc>
        <w:tc>
          <w:tcPr>
            <w:tcW w:w="682" w:type="pct"/>
            <w:tcBorders>
              <w:top w:val="nil"/>
              <w:left w:val="nil"/>
              <w:bottom w:val="nil"/>
              <w:right w:val="nil"/>
            </w:tcBorders>
            <w:shd w:val="clear" w:color="auto" w:fill="auto"/>
            <w:noWrap/>
            <w:vAlign w:val="center"/>
            <w:hideMark/>
          </w:tcPr>
          <w:p w14:paraId="68E3B2B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0.120</w:t>
            </w:r>
          </w:p>
        </w:tc>
      </w:tr>
      <w:tr w:rsidR="00F634D2" w:rsidRPr="00F634D2" w14:paraId="0C0334D2" w14:textId="77777777">
        <w:trPr>
          <w:trHeight w:val="20"/>
        </w:trPr>
        <w:tc>
          <w:tcPr>
            <w:tcW w:w="1591" w:type="pct"/>
            <w:tcBorders>
              <w:top w:val="nil"/>
              <w:left w:val="nil"/>
              <w:bottom w:val="nil"/>
              <w:right w:val="nil"/>
            </w:tcBorders>
            <w:shd w:val="clear" w:color="auto" w:fill="auto"/>
            <w:vAlign w:val="center"/>
            <w:hideMark/>
          </w:tcPr>
          <w:p w14:paraId="1E9E1C57"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Tenure</w:t>
            </w:r>
          </w:p>
        </w:tc>
        <w:tc>
          <w:tcPr>
            <w:tcW w:w="682" w:type="pct"/>
            <w:tcBorders>
              <w:top w:val="nil"/>
              <w:left w:val="nil"/>
              <w:bottom w:val="nil"/>
              <w:right w:val="nil"/>
            </w:tcBorders>
            <w:shd w:val="clear" w:color="auto" w:fill="auto"/>
            <w:noWrap/>
            <w:vAlign w:val="center"/>
            <w:hideMark/>
          </w:tcPr>
          <w:p w14:paraId="32B201F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2.017</w:t>
            </w:r>
          </w:p>
        </w:tc>
        <w:tc>
          <w:tcPr>
            <w:tcW w:w="682" w:type="pct"/>
            <w:tcBorders>
              <w:top w:val="nil"/>
              <w:left w:val="nil"/>
              <w:bottom w:val="nil"/>
              <w:right w:val="nil"/>
            </w:tcBorders>
            <w:shd w:val="clear" w:color="auto" w:fill="auto"/>
            <w:noWrap/>
            <w:vAlign w:val="center"/>
            <w:hideMark/>
          </w:tcPr>
          <w:p w14:paraId="7202085D"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1.386</w:t>
            </w:r>
          </w:p>
        </w:tc>
        <w:tc>
          <w:tcPr>
            <w:tcW w:w="682" w:type="pct"/>
            <w:tcBorders>
              <w:top w:val="nil"/>
              <w:left w:val="nil"/>
              <w:bottom w:val="nil"/>
              <w:right w:val="nil"/>
            </w:tcBorders>
            <w:shd w:val="clear" w:color="auto" w:fill="auto"/>
            <w:noWrap/>
            <w:vAlign w:val="center"/>
            <w:hideMark/>
          </w:tcPr>
          <w:p w14:paraId="5307DB5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2.079</w:t>
            </w:r>
          </w:p>
        </w:tc>
        <w:tc>
          <w:tcPr>
            <w:tcW w:w="682" w:type="pct"/>
            <w:tcBorders>
              <w:top w:val="nil"/>
              <w:left w:val="nil"/>
              <w:bottom w:val="nil"/>
              <w:right w:val="nil"/>
            </w:tcBorders>
            <w:shd w:val="clear" w:color="auto" w:fill="auto"/>
            <w:noWrap/>
            <w:vAlign w:val="center"/>
            <w:hideMark/>
          </w:tcPr>
          <w:p w14:paraId="6F7730C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2.565</w:t>
            </w:r>
          </w:p>
        </w:tc>
        <w:tc>
          <w:tcPr>
            <w:tcW w:w="682" w:type="pct"/>
            <w:tcBorders>
              <w:top w:val="nil"/>
              <w:left w:val="nil"/>
              <w:bottom w:val="nil"/>
              <w:right w:val="nil"/>
            </w:tcBorders>
            <w:shd w:val="clear" w:color="auto" w:fill="auto"/>
            <w:noWrap/>
            <w:vAlign w:val="center"/>
            <w:hideMark/>
          </w:tcPr>
          <w:p w14:paraId="4A96889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0.751</w:t>
            </w:r>
          </w:p>
        </w:tc>
      </w:tr>
      <w:tr w:rsidR="00F634D2" w:rsidRPr="00F634D2" w14:paraId="76DEDF18" w14:textId="77777777">
        <w:trPr>
          <w:trHeight w:val="20"/>
        </w:trPr>
        <w:tc>
          <w:tcPr>
            <w:tcW w:w="1591" w:type="pct"/>
            <w:tcBorders>
              <w:top w:val="nil"/>
              <w:left w:val="nil"/>
              <w:bottom w:val="nil"/>
              <w:right w:val="nil"/>
            </w:tcBorders>
            <w:shd w:val="clear" w:color="auto" w:fill="auto"/>
            <w:vAlign w:val="center"/>
            <w:hideMark/>
          </w:tcPr>
          <w:p w14:paraId="720E0A98"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Salary</w:t>
            </w:r>
          </w:p>
        </w:tc>
        <w:tc>
          <w:tcPr>
            <w:tcW w:w="682" w:type="pct"/>
            <w:tcBorders>
              <w:top w:val="nil"/>
              <w:left w:val="nil"/>
              <w:bottom w:val="nil"/>
              <w:right w:val="nil"/>
            </w:tcBorders>
            <w:shd w:val="clear" w:color="auto" w:fill="auto"/>
            <w:noWrap/>
            <w:vAlign w:val="center"/>
            <w:hideMark/>
          </w:tcPr>
          <w:p w14:paraId="1FB94CCD"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6.364</w:t>
            </w:r>
          </w:p>
        </w:tc>
        <w:tc>
          <w:tcPr>
            <w:tcW w:w="682" w:type="pct"/>
            <w:tcBorders>
              <w:top w:val="nil"/>
              <w:left w:val="nil"/>
              <w:bottom w:val="nil"/>
              <w:right w:val="nil"/>
            </w:tcBorders>
            <w:shd w:val="clear" w:color="auto" w:fill="auto"/>
            <w:noWrap/>
            <w:vAlign w:val="center"/>
            <w:hideMark/>
          </w:tcPr>
          <w:p w14:paraId="22C4176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6.066</w:t>
            </w:r>
          </w:p>
        </w:tc>
        <w:tc>
          <w:tcPr>
            <w:tcW w:w="682" w:type="pct"/>
            <w:tcBorders>
              <w:top w:val="nil"/>
              <w:left w:val="nil"/>
              <w:bottom w:val="nil"/>
              <w:right w:val="nil"/>
            </w:tcBorders>
            <w:shd w:val="clear" w:color="auto" w:fill="auto"/>
            <w:noWrap/>
            <w:vAlign w:val="center"/>
            <w:hideMark/>
          </w:tcPr>
          <w:p w14:paraId="57C1EC4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6.447</w:t>
            </w:r>
          </w:p>
        </w:tc>
        <w:tc>
          <w:tcPr>
            <w:tcW w:w="682" w:type="pct"/>
            <w:tcBorders>
              <w:top w:val="nil"/>
              <w:left w:val="nil"/>
              <w:bottom w:val="nil"/>
              <w:right w:val="nil"/>
            </w:tcBorders>
            <w:shd w:val="clear" w:color="auto" w:fill="auto"/>
            <w:noWrap/>
            <w:vAlign w:val="center"/>
            <w:hideMark/>
          </w:tcPr>
          <w:p w14:paraId="4593672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6.804</w:t>
            </w:r>
          </w:p>
        </w:tc>
        <w:tc>
          <w:tcPr>
            <w:tcW w:w="682" w:type="pct"/>
            <w:tcBorders>
              <w:top w:val="nil"/>
              <w:left w:val="nil"/>
              <w:bottom w:val="nil"/>
              <w:right w:val="nil"/>
            </w:tcBorders>
            <w:shd w:val="clear" w:color="auto" w:fill="auto"/>
            <w:noWrap/>
            <w:vAlign w:val="center"/>
            <w:hideMark/>
          </w:tcPr>
          <w:p w14:paraId="42E8C51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0.756</w:t>
            </w:r>
          </w:p>
        </w:tc>
      </w:tr>
      <w:tr w:rsidR="00F634D2" w:rsidRPr="00F634D2" w14:paraId="53720B97" w14:textId="77777777">
        <w:trPr>
          <w:trHeight w:val="20"/>
        </w:trPr>
        <w:tc>
          <w:tcPr>
            <w:tcW w:w="1591" w:type="pct"/>
            <w:tcBorders>
              <w:top w:val="nil"/>
              <w:left w:val="nil"/>
              <w:bottom w:val="nil"/>
              <w:right w:val="nil"/>
            </w:tcBorders>
            <w:shd w:val="clear" w:color="auto" w:fill="auto"/>
            <w:vAlign w:val="center"/>
            <w:hideMark/>
          </w:tcPr>
          <w:p w14:paraId="5F219BB2"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Bonus</w:t>
            </w:r>
          </w:p>
        </w:tc>
        <w:tc>
          <w:tcPr>
            <w:tcW w:w="682" w:type="pct"/>
            <w:tcBorders>
              <w:top w:val="nil"/>
              <w:left w:val="nil"/>
              <w:bottom w:val="nil"/>
              <w:right w:val="nil"/>
            </w:tcBorders>
            <w:shd w:val="clear" w:color="auto" w:fill="auto"/>
            <w:noWrap/>
            <w:vAlign w:val="center"/>
            <w:hideMark/>
          </w:tcPr>
          <w:p w14:paraId="275EDEC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3.090</w:t>
            </w:r>
          </w:p>
        </w:tc>
        <w:tc>
          <w:tcPr>
            <w:tcW w:w="682" w:type="pct"/>
            <w:tcBorders>
              <w:top w:val="nil"/>
              <w:left w:val="nil"/>
              <w:bottom w:val="nil"/>
              <w:right w:val="nil"/>
            </w:tcBorders>
            <w:shd w:val="clear" w:color="auto" w:fill="auto"/>
            <w:noWrap/>
            <w:vAlign w:val="center"/>
            <w:hideMark/>
          </w:tcPr>
          <w:p w14:paraId="7D95F77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0.000</w:t>
            </w:r>
          </w:p>
        </w:tc>
        <w:tc>
          <w:tcPr>
            <w:tcW w:w="682" w:type="pct"/>
            <w:tcBorders>
              <w:top w:val="nil"/>
              <w:left w:val="nil"/>
              <w:bottom w:val="nil"/>
              <w:right w:val="nil"/>
            </w:tcBorders>
            <w:shd w:val="clear" w:color="auto" w:fill="auto"/>
            <w:noWrap/>
            <w:vAlign w:val="center"/>
            <w:hideMark/>
          </w:tcPr>
          <w:p w14:paraId="7D44B69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3.296</w:t>
            </w:r>
          </w:p>
        </w:tc>
        <w:tc>
          <w:tcPr>
            <w:tcW w:w="682" w:type="pct"/>
            <w:tcBorders>
              <w:top w:val="nil"/>
              <w:left w:val="nil"/>
              <w:bottom w:val="nil"/>
              <w:right w:val="nil"/>
            </w:tcBorders>
            <w:shd w:val="clear" w:color="auto" w:fill="auto"/>
            <w:noWrap/>
            <w:vAlign w:val="center"/>
            <w:hideMark/>
          </w:tcPr>
          <w:p w14:paraId="501E085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6.130</w:t>
            </w:r>
          </w:p>
        </w:tc>
        <w:tc>
          <w:tcPr>
            <w:tcW w:w="682" w:type="pct"/>
            <w:tcBorders>
              <w:top w:val="nil"/>
              <w:left w:val="nil"/>
              <w:bottom w:val="nil"/>
              <w:right w:val="nil"/>
            </w:tcBorders>
            <w:shd w:val="clear" w:color="auto" w:fill="auto"/>
            <w:noWrap/>
            <w:vAlign w:val="center"/>
            <w:hideMark/>
          </w:tcPr>
          <w:p w14:paraId="2B32B5B8"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3.129</w:t>
            </w:r>
          </w:p>
        </w:tc>
      </w:tr>
      <w:tr w:rsidR="00F634D2" w:rsidRPr="00F634D2" w14:paraId="640A95BF" w14:textId="77777777">
        <w:trPr>
          <w:trHeight w:val="20"/>
        </w:trPr>
        <w:tc>
          <w:tcPr>
            <w:tcW w:w="1591" w:type="pct"/>
            <w:tcBorders>
              <w:top w:val="nil"/>
              <w:left w:val="nil"/>
              <w:bottom w:val="nil"/>
              <w:right w:val="nil"/>
            </w:tcBorders>
            <w:shd w:val="clear" w:color="auto" w:fill="auto"/>
            <w:vAlign w:val="center"/>
            <w:hideMark/>
          </w:tcPr>
          <w:p w14:paraId="59337F17"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Other</w:t>
            </w:r>
          </w:p>
        </w:tc>
        <w:tc>
          <w:tcPr>
            <w:tcW w:w="682" w:type="pct"/>
            <w:tcBorders>
              <w:top w:val="nil"/>
              <w:left w:val="nil"/>
              <w:bottom w:val="nil"/>
              <w:right w:val="nil"/>
            </w:tcBorders>
            <w:shd w:val="clear" w:color="auto" w:fill="auto"/>
            <w:noWrap/>
            <w:vAlign w:val="center"/>
            <w:hideMark/>
          </w:tcPr>
          <w:p w14:paraId="279F6A07"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6.869</w:t>
            </w:r>
          </w:p>
        </w:tc>
        <w:tc>
          <w:tcPr>
            <w:tcW w:w="682" w:type="pct"/>
            <w:tcBorders>
              <w:top w:val="nil"/>
              <w:left w:val="nil"/>
              <w:bottom w:val="nil"/>
              <w:right w:val="nil"/>
            </w:tcBorders>
            <w:shd w:val="clear" w:color="auto" w:fill="auto"/>
            <w:noWrap/>
            <w:vAlign w:val="center"/>
            <w:hideMark/>
          </w:tcPr>
          <w:p w14:paraId="29B34BC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6.017</w:t>
            </w:r>
          </w:p>
        </w:tc>
        <w:tc>
          <w:tcPr>
            <w:tcW w:w="682" w:type="pct"/>
            <w:tcBorders>
              <w:top w:val="nil"/>
              <w:left w:val="nil"/>
              <w:bottom w:val="nil"/>
              <w:right w:val="nil"/>
            </w:tcBorders>
            <w:shd w:val="clear" w:color="auto" w:fill="auto"/>
            <w:noWrap/>
            <w:vAlign w:val="center"/>
            <w:hideMark/>
          </w:tcPr>
          <w:p w14:paraId="5E6E3AAD"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7.370</w:t>
            </w:r>
          </w:p>
        </w:tc>
        <w:tc>
          <w:tcPr>
            <w:tcW w:w="682" w:type="pct"/>
            <w:tcBorders>
              <w:top w:val="nil"/>
              <w:left w:val="nil"/>
              <w:bottom w:val="nil"/>
              <w:right w:val="nil"/>
            </w:tcBorders>
            <w:shd w:val="clear" w:color="auto" w:fill="auto"/>
            <w:noWrap/>
            <w:vAlign w:val="center"/>
            <w:hideMark/>
          </w:tcPr>
          <w:p w14:paraId="45CDD99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8.383</w:t>
            </w:r>
          </w:p>
        </w:tc>
        <w:tc>
          <w:tcPr>
            <w:tcW w:w="682" w:type="pct"/>
            <w:tcBorders>
              <w:top w:val="nil"/>
              <w:left w:val="nil"/>
              <w:bottom w:val="nil"/>
              <w:right w:val="nil"/>
            </w:tcBorders>
            <w:shd w:val="clear" w:color="auto" w:fill="auto"/>
            <w:noWrap/>
            <w:vAlign w:val="center"/>
            <w:hideMark/>
          </w:tcPr>
          <w:p w14:paraId="0521281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2.216</w:t>
            </w:r>
          </w:p>
        </w:tc>
      </w:tr>
      <w:tr w:rsidR="00F634D2" w:rsidRPr="00F634D2" w14:paraId="2E273852" w14:textId="77777777">
        <w:trPr>
          <w:trHeight w:val="20"/>
        </w:trPr>
        <w:tc>
          <w:tcPr>
            <w:tcW w:w="1591" w:type="pct"/>
            <w:tcBorders>
              <w:top w:val="nil"/>
              <w:left w:val="nil"/>
              <w:bottom w:val="nil"/>
              <w:right w:val="nil"/>
            </w:tcBorders>
            <w:shd w:val="clear" w:color="auto" w:fill="auto"/>
            <w:vAlign w:val="center"/>
            <w:hideMark/>
          </w:tcPr>
          <w:p w14:paraId="051FB97A"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Gdpgr</w:t>
            </w:r>
            <w:proofErr w:type="spellEnd"/>
          </w:p>
        </w:tc>
        <w:tc>
          <w:tcPr>
            <w:tcW w:w="682" w:type="pct"/>
            <w:tcBorders>
              <w:top w:val="nil"/>
              <w:left w:val="nil"/>
              <w:bottom w:val="nil"/>
              <w:right w:val="nil"/>
            </w:tcBorders>
            <w:shd w:val="clear" w:color="auto" w:fill="auto"/>
            <w:noWrap/>
            <w:vAlign w:val="center"/>
            <w:hideMark/>
          </w:tcPr>
          <w:p w14:paraId="2D1B1ED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0.046</w:t>
            </w:r>
          </w:p>
        </w:tc>
        <w:tc>
          <w:tcPr>
            <w:tcW w:w="682" w:type="pct"/>
            <w:tcBorders>
              <w:top w:val="nil"/>
              <w:left w:val="nil"/>
              <w:bottom w:val="nil"/>
              <w:right w:val="nil"/>
            </w:tcBorders>
            <w:shd w:val="clear" w:color="auto" w:fill="auto"/>
            <w:noWrap/>
            <w:vAlign w:val="center"/>
            <w:hideMark/>
          </w:tcPr>
          <w:p w14:paraId="0479F2D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0.030</w:t>
            </w:r>
          </w:p>
        </w:tc>
        <w:tc>
          <w:tcPr>
            <w:tcW w:w="682" w:type="pct"/>
            <w:tcBorders>
              <w:top w:val="nil"/>
              <w:left w:val="nil"/>
              <w:bottom w:val="nil"/>
              <w:right w:val="nil"/>
            </w:tcBorders>
            <w:shd w:val="clear" w:color="auto" w:fill="auto"/>
            <w:noWrap/>
            <w:vAlign w:val="center"/>
            <w:hideMark/>
          </w:tcPr>
          <w:p w14:paraId="5565334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0.046</w:t>
            </w:r>
          </w:p>
        </w:tc>
        <w:tc>
          <w:tcPr>
            <w:tcW w:w="682" w:type="pct"/>
            <w:tcBorders>
              <w:top w:val="nil"/>
              <w:left w:val="nil"/>
              <w:bottom w:val="nil"/>
              <w:right w:val="nil"/>
            </w:tcBorders>
            <w:shd w:val="clear" w:color="auto" w:fill="auto"/>
            <w:noWrap/>
            <w:vAlign w:val="center"/>
            <w:hideMark/>
          </w:tcPr>
          <w:p w14:paraId="266D5EE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0.064</w:t>
            </w:r>
          </w:p>
        </w:tc>
        <w:tc>
          <w:tcPr>
            <w:tcW w:w="682" w:type="pct"/>
            <w:tcBorders>
              <w:top w:val="nil"/>
              <w:left w:val="nil"/>
              <w:bottom w:val="nil"/>
              <w:right w:val="nil"/>
            </w:tcBorders>
            <w:shd w:val="clear" w:color="auto" w:fill="auto"/>
            <w:noWrap/>
            <w:vAlign w:val="center"/>
            <w:hideMark/>
          </w:tcPr>
          <w:p w14:paraId="4CDF50A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0.032</w:t>
            </w:r>
          </w:p>
        </w:tc>
      </w:tr>
      <w:tr w:rsidR="00F634D2" w:rsidRPr="00F634D2" w14:paraId="342940A6" w14:textId="77777777">
        <w:trPr>
          <w:trHeight w:val="20"/>
        </w:trPr>
        <w:tc>
          <w:tcPr>
            <w:tcW w:w="1591" w:type="pct"/>
            <w:tcBorders>
              <w:top w:val="nil"/>
              <w:left w:val="nil"/>
              <w:bottom w:val="nil"/>
              <w:right w:val="nil"/>
            </w:tcBorders>
            <w:shd w:val="clear" w:color="auto" w:fill="auto"/>
            <w:vAlign w:val="center"/>
            <w:hideMark/>
          </w:tcPr>
          <w:p w14:paraId="31A86719"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Unemp</w:t>
            </w:r>
            <w:proofErr w:type="spellEnd"/>
          </w:p>
        </w:tc>
        <w:tc>
          <w:tcPr>
            <w:tcW w:w="682" w:type="pct"/>
            <w:tcBorders>
              <w:top w:val="nil"/>
              <w:left w:val="nil"/>
              <w:bottom w:val="nil"/>
              <w:right w:val="nil"/>
            </w:tcBorders>
            <w:shd w:val="clear" w:color="auto" w:fill="auto"/>
            <w:noWrap/>
            <w:vAlign w:val="center"/>
            <w:hideMark/>
          </w:tcPr>
          <w:p w14:paraId="2488049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6.316</w:t>
            </w:r>
          </w:p>
        </w:tc>
        <w:tc>
          <w:tcPr>
            <w:tcW w:w="682" w:type="pct"/>
            <w:tcBorders>
              <w:top w:val="nil"/>
              <w:left w:val="nil"/>
              <w:bottom w:val="nil"/>
              <w:right w:val="nil"/>
            </w:tcBorders>
            <w:shd w:val="clear" w:color="auto" w:fill="auto"/>
            <w:noWrap/>
            <w:vAlign w:val="center"/>
            <w:hideMark/>
          </w:tcPr>
          <w:p w14:paraId="1125253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4.800</w:t>
            </w:r>
          </w:p>
        </w:tc>
        <w:tc>
          <w:tcPr>
            <w:tcW w:w="682" w:type="pct"/>
            <w:tcBorders>
              <w:top w:val="nil"/>
              <w:left w:val="nil"/>
              <w:bottom w:val="nil"/>
              <w:right w:val="nil"/>
            </w:tcBorders>
            <w:shd w:val="clear" w:color="auto" w:fill="auto"/>
            <w:noWrap/>
            <w:vAlign w:val="center"/>
            <w:hideMark/>
          </w:tcPr>
          <w:p w14:paraId="5912962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5.700</w:t>
            </w:r>
          </w:p>
        </w:tc>
        <w:tc>
          <w:tcPr>
            <w:tcW w:w="682" w:type="pct"/>
            <w:tcBorders>
              <w:top w:val="nil"/>
              <w:left w:val="nil"/>
              <w:bottom w:val="nil"/>
              <w:right w:val="nil"/>
            </w:tcBorders>
            <w:shd w:val="clear" w:color="auto" w:fill="auto"/>
            <w:noWrap/>
            <w:vAlign w:val="center"/>
            <w:hideMark/>
          </w:tcPr>
          <w:p w14:paraId="3918810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7.600</w:t>
            </w:r>
          </w:p>
        </w:tc>
        <w:tc>
          <w:tcPr>
            <w:tcW w:w="682" w:type="pct"/>
            <w:tcBorders>
              <w:top w:val="nil"/>
              <w:left w:val="nil"/>
              <w:bottom w:val="nil"/>
              <w:right w:val="nil"/>
            </w:tcBorders>
            <w:shd w:val="clear" w:color="auto" w:fill="auto"/>
            <w:noWrap/>
            <w:vAlign w:val="center"/>
            <w:hideMark/>
          </w:tcPr>
          <w:p w14:paraId="7C1B08B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2.134</w:t>
            </w:r>
          </w:p>
        </w:tc>
      </w:tr>
      <w:tr w:rsidR="00F634D2" w:rsidRPr="00F634D2" w14:paraId="5D8B6834" w14:textId="77777777">
        <w:trPr>
          <w:trHeight w:val="20"/>
        </w:trPr>
        <w:tc>
          <w:tcPr>
            <w:tcW w:w="1591" w:type="pct"/>
            <w:tcBorders>
              <w:top w:val="nil"/>
              <w:left w:val="nil"/>
              <w:bottom w:val="nil"/>
              <w:right w:val="nil"/>
            </w:tcBorders>
            <w:shd w:val="clear" w:color="auto" w:fill="auto"/>
            <w:vAlign w:val="center"/>
            <w:hideMark/>
          </w:tcPr>
          <w:p w14:paraId="2DA1EBC2"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Lev</w:t>
            </w:r>
          </w:p>
        </w:tc>
        <w:tc>
          <w:tcPr>
            <w:tcW w:w="682" w:type="pct"/>
            <w:tcBorders>
              <w:top w:val="nil"/>
              <w:left w:val="nil"/>
              <w:bottom w:val="nil"/>
              <w:right w:val="nil"/>
            </w:tcBorders>
            <w:shd w:val="clear" w:color="auto" w:fill="auto"/>
            <w:noWrap/>
            <w:vAlign w:val="center"/>
            <w:hideMark/>
          </w:tcPr>
          <w:p w14:paraId="37DE47F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0.216</w:t>
            </w:r>
          </w:p>
        </w:tc>
        <w:tc>
          <w:tcPr>
            <w:tcW w:w="682" w:type="pct"/>
            <w:tcBorders>
              <w:top w:val="nil"/>
              <w:left w:val="nil"/>
              <w:bottom w:val="nil"/>
              <w:right w:val="nil"/>
            </w:tcBorders>
            <w:shd w:val="clear" w:color="auto" w:fill="auto"/>
            <w:noWrap/>
            <w:vAlign w:val="center"/>
            <w:hideMark/>
          </w:tcPr>
          <w:p w14:paraId="657AD9EA"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0.050</w:t>
            </w:r>
          </w:p>
        </w:tc>
        <w:tc>
          <w:tcPr>
            <w:tcW w:w="682" w:type="pct"/>
            <w:tcBorders>
              <w:top w:val="nil"/>
              <w:left w:val="nil"/>
              <w:bottom w:val="nil"/>
              <w:right w:val="nil"/>
            </w:tcBorders>
            <w:shd w:val="clear" w:color="auto" w:fill="auto"/>
            <w:noWrap/>
            <w:vAlign w:val="center"/>
            <w:hideMark/>
          </w:tcPr>
          <w:p w14:paraId="3506DF6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0.198</w:t>
            </w:r>
          </w:p>
        </w:tc>
        <w:tc>
          <w:tcPr>
            <w:tcW w:w="682" w:type="pct"/>
            <w:tcBorders>
              <w:top w:val="nil"/>
              <w:left w:val="nil"/>
              <w:bottom w:val="nil"/>
              <w:right w:val="nil"/>
            </w:tcBorders>
            <w:shd w:val="clear" w:color="auto" w:fill="auto"/>
            <w:noWrap/>
            <w:vAlign w:val="center"/>
            <w:hideMark/>
          </w:tcPr>
          <w:p w14:paraId="63B4E30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0.326</w:t>
            </w:r>
          </w:p>
        </w:tc>
        <w:tc>
          <w:tcPr>
            <w:tcW w:w="682" w:type="pct"/>
            <w:tcBorders>
              <w:top w:val="nil"/>
              <w:left w:val="nil"/>
              <w:bottom w:val="nil"/>
              <w:right w:val="nil"/>
            </w:tcBorders>
            <w:shd w:val="clear" w:color="auto" w:fill="auto"/>
            <w:noWrap/>
            <w:vAlign w:val="center"/>
            <w:hideMark/>
          </w:tcPr>
          <w:p w14:paraId="2D77873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0.183</w:t>
            </w:r>
          </w:p>
        </w:tc>
      </w:tr>
      <w:tr w:rsidR="00F634D2" w:rsidRPr="00F634D2" w14:paraId="0A64F5D6" w14:textId="77777777">
        <w:trPr>
          <w:trHeight w:val="20"/>
        </w:trPr>
        <w:tc>
          <w:tcPr>
            <w:tcW w:w="1591" w:type="pct"/>
            <w:tcBorders>
              <w:top w:val="nil"/>
              <w:left w:val="nil"/>
              <w:bottom w:val="nil"/>
              <w:right w:val="nil"/>
            </w:tcBorders>
            <w:shd w:val="clear" w:color="auto" w:fill="auto"/>
            <w:vAlign w:val="center"/>
            <w:hideMark/>
          </w:tcPr>
          <w:p w14:paraId="48296C34"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Capx</w:t>
            </w:r>
            <w:proofErr w:type="spellEnd"/>
          </w:p>
        </w:tc>
        <w:tc>
          <w:tcPr>
            <w:tcW w:w="682" w:type="pct"/>
            <w:tcBorders>
              <w:top w:val="nil"/>
              <w:left w:val="nil"/>
              <w:bottom w:val="nil"/>
              <w:right w:val="nil"/>
            </w:tcBorders>
            <w:shd w:val="clear" w:color="auto" w:fill="auto"/>
            <w:noWrap/>
            <w:vAlign w:val="center"/>
            <w:hideMark/>
          </w:tcPr>
          <w:p w14:paraId="7828F48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0.039</w:t>
            </w:r>
          </w:p>
        </w:tc>
        <w:tc>
          <w:tcPr>
            <w:tcW w:w="682" w:type="pct"/>
            <w:tcBorders>
              <w:top w:val="nil"/>
              <w:left w:val="nil"/>
              <w:bottom w:val="nil"/>
              <w:right w:val="nil"/>
            </w:tcBorders>
            <w:shd w:val="clear" w:color="auto" w:fill="auto"/>
            <w:noWrap/>
            <w:vAlign w:val="center"/>
            <w:hideMark/>
          </w:tcPr>
          <w:p w14:paraId="5639157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0.000</w:t>
            </w:r>
          </w:p>
        </w:tc>
        <w:tc>
          <w:tcPr>
            <w:tcW w:w="682" w:type="pct"/>
            <w:tcBorders>
              <w:top w:val="nil"/>
              <w:left w:val="nil"/>
              <w:bottom w:val="nil"/>
              <w:right w:val="nil"/>
            </w:tcBorders>
            <w:shd w:val="clear" w:color="auto" w:fill="auto"/>
            <w:noWrap/>
            <w:vAlign w:val="center"/>
            <w:hideMark/>
          </w:tcPr>
          <w:p w14:paraId="66F941F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0.022</w:t>
            </w:r>
          </w:p>
        </w:tc>
        <w:tc>
          <w:tcPr>
            <w:tcW w:w="682" w:type="pct"/>
            <w:tcBorders>
              <w:top w:val="nil"/>
              <w:left w:val="nil"/>
              <w:bottom w:val="nil"/>
              <w:right w:val="nil"/>
            </w:tcBorders>
            <w:shd w:val="clear" w:color="auto" w:fill="auto"/>
            <w:noWrap/>
            <w:vAlign w:val="center"/>
            <w:hideMark/>
          </w:tcPr>
          <w:p w14:paraId="03652C87"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0.054</w:t>
            </w:r>
          </w:p>
        </w:tc>
        <w:tc>
          <w:tcPr>
            <w:tcW w:w="682" w:type="pct"/>
            <w:tcBorders>
              <w:top w:val="nil"/>
              <w:left w:val="nil"/>
              <w:bottom w:val="nil"/>
              <w:right w:val="nil"/>
            </w:tcBorders>
            <w:shd w:val="clear" w:color="auto" w:fill="auto"/>
            <w:noWrap/>
            <w:vAlign w:val="center"/>
            <w:hideMark/>
          </w:tcPr>
          <w:p w14:paraId="5B69F19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0.051</w:t>
            </w:r>
          </w:p>
        </w:tc>
      </w:tr>
      <w:tr w:rsidR="00F634D2" w:rsidRPr="00F634D2" w14:paraId="5EE0DB10" w14:textId="77777777">
        <w:trPr>
          <w:trHeight w:val="20"/>
        </w:trPr>
        <w:tc>
          <w:tcPr>
            <w:tcW w:w="1591" w:type="pct"/>
            <w:tcBorders>
              <w:top w:val="nil"/>
              <w:left w:val="nil"/>
              <w:bottom w:val="nil"/>
              <w:right w:val="nil"/>
            </w:tcBorders>
            <w:shd w:val="clear" w:color="auto" w:fill="auto"/>
            <w:vAlign w:val="center"/>
            <w:hideMark/>
          </w:tcPr>
          <w:p w14:paraId="5E37C205"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 xml:space="preserve">R&amp;D </w:t>
            </w:r>
          </w:p>
        </w:tc>
        <w:tc>
          <w:tcPr>
            <w:tcW w:w="682" w:type="pct"/>
            <w:tcBorders>
              <w:top w:val="nil"/>
              <w:left w:val="nil"/>
              <w:bottom w:val="nil"/>
              <w:right w:val="nil"/>
            </w:tcBorders>
            <w:shd w:val="clear" w:color="auto" w:fill="auto"/>
            <w:noWrap/>
            <w:vAlign w:val="center"/>
            <w:hideMark/>
          </w:tcPr>
          <w:p w14:paraId="1C1B2B4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0.032</w:t>
            </w:r>
          </w:p>
        </w:tc>
        <w:tc>
          <w:tcPr>
            <w:tcW w:w="682" w:type="pct"/>
            <w:tcBorders>
              <w:top w:val="nil"/>
              <w:left w:val="nil"/>
              <w:bottom w:val="nil"/>
              <w:right w:val="nil"/>
            </w:tcBorders>
            <w:shd w:val="clear" w:color="auto" w:fill="auto"/>
            <w:noWrap/>
            <w:vAlign w:val="center"/>
            <w:hideMark/>
          </w:tcPr>
          <w:p w14:paraId="59575CF7"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0.000</w:t>
            </w:r>
          </w:p>
        </w:tc>
        <w:tc>
          <w:tcPr>
            <w:tcW w:w="682" w:type="pct"/>
            <w:tcBorders>
              <w:top w:val="nil"/>
              <w:left w:val="nil"/>
              <w:bottom w:val="nil"/>
              <w:right w:val="nil"/>
            </w:tcBorders>
            <w:shd w:val="clear" w:color="auto" w:fill="auto"/>
            <w:noWrap/>
            <w:vAlign w:val="center"/>
            <w:hideMark/>
          </w:tcPr>
          <w:p w14:paraId="07964F58"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0.000</w:t>
            </w:r>
          </w:p>
        </w:tc>
        <w:tc>
          <w:tcPr>
            <w:tcW w:w="682" w:type="pct"/>
            <w:tcBorders>
              <w:top w:val="nil"/>
              <w:left w:val="nil"/>
              <w:bottom w:val="nil"/>
              <w:right w:val="nil"/>
            </w:tcBorders>
            <w:shd w:val="clear" w:color="auto" w:fill="auto"/>
            <w:noWrap/>
            <w:vAlign w:val="center"/>
            <w:hideMark/>
          </w:tcPr>
          <w:p w14:paraId="2C6E8DC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0.039</w:t>
            </w:r>
          </w:p>
        </w:tc>
        <w:tc>
          <w:tcPr>
            <w:tcW w:w="682" w:type="pct"/>
            <w:tcBorders>
              <w:top w:val="nil"/>
              <w:left w:val="nil"/>
              <w:bottom w:val="nil"/>
              <w:right w:val="nil"/>
            </w:tcBorders>
            <w:shd w:val="clear" w:color="auto" w:fill="auto"/>
            <w:noWrap/>
            <w:vAlign w:val="center"/>
            <w:hideMark/>
          </w:tcPr>
          <w:p w14:paraId="2840F417"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0.057</w:t>
            </w:r>
          </w:p>
        </w:tc>
      </w:tr>
      <w:tr w:rsidR="00F634D2" w:rsidRPr="00F634D2" w14:paraId="7EDFAA8F" w14:textId="77777777">
        <w:trPr>
          <w:trHeight w:val="20"/>
        </w:trPr>
        <w:tc>
          <w:tcPr>
            <w:tcW w:w="1591" w:type="pct"/>
            <w:tcBorders>
              <w:top w:val="nil"/>
              <w:left w:val="nil"/>
              <w:bottom w:val="nil"/>
              <w:right w:val="nil"/>
            </w:tcBorders>
            <w:shd w:val="clear" w:color="auto" w:fill="auto"/>
            <w:vAlign w:val="center"/>
            <w:hideMark/>
          </w:tcPr>
          <w:p w14:paraId="7340E44E"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Zscore</w:t>
            </w:r>
            <w:proofErr w:type="spellEnd"/>
          </w:p>
        </w:tc>
        <w:tc>
          <w:tcPr>
            <w:tcW w:w="682" w:type="pct"/>
            <w:tcBorders>
              <w:top w:val="nil"/>
              <w:left w:val="nil"/>
              <w:bottom w:val="nil"/>
              <w:right w:val="nil"/>
            </w:tcBorders>
            <w:shd w:val="clear" w:color="auto" w:fill="auto"/>
            <w:vAlign w:val="center"/>
            <w:hideMark/>
          </w:tcPr>
          <w:p w14:paraId="1B8368F8"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3.088</w:t>
            </w:r>
          </w:p>
        </w:tc>
        <w:tc>
          <w:tcPr>
            <w:tcW w:w="682" w:type="pct"/>
            <w:tcBorders>
              <w:top w:val="nil"/>
              <w:left w:val="nil"/>
              <w:bottom w:val="nil"/>
              <w:right w:val="nil"/>
            </w:tcBorders>
            <w:shd w:val="clear" w:color="auto" w:fill="auto"/>
            <w:vAlign w:val="center"/>
            <w:hideMark/>
          </w:tcPr>
          <w:p w14:paraId="1B5EA37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1.506</w:t>
            </w:r>
          </w:p>
        </w:tc>
        <w:tc>
          <w:tcPr>
            <w:tcW w:w="682" w:type="pct"/>
            <w:tcBorders>
              <w:top w:val="nil"/>
              <w:left w:val="nil"/>
              <w:bottom w:val="nil"/>
              <w:right w:val="nil"/>
            </w:tcBorders>
            <w:shd w:val="clear" w:color="auto" w:fill="auto"/>
            <w:vAlign w:val="center"/>
            <w:hideMark/>
          </w:tcPr>
          <w:p w14:paraId="18B2275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2.553</w:t>
            </w:r>
          </w:p>
        </w:tc>
        <w:tc>
          <w:tcPr>
            <w:tcW w:w="682" w:type="pct"/>
            <w:tcBorders>
              <w:top w:val="nil"/>
              <w:left w:val="nil"/>
              <w:bottom w:val="nil"/>
              <w:right w:val="nil"/>
            </w:tcBorders>
            <w:shd w:val="clear" w:color="auto" w:fill="auto"/>
            <w:vAlign w:val="center"/>
            <w:hideMark/>
          </w:tcPr>
          <w:p w14:paraId="059BC19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3.924</w:t>
            </w:r>
          </w:p>
        </w:tc>
        <w:tc>
          <w:tcPr>
            <w:tcW w:w="682" w:type="pct"/>
            <w:tcBorders>
              <w:top w:val="nil"/>
              <w:left w:val="nil"/>
              <w:bottom w:val="nil"/>
              <w:right w:val="nil"/>
            </w:tcBorders>
            <w:shd w:val="clear" w:color="auto" w:fill="auto"/>
            <w:vAlign w:val="center"/>
            <w:hideMark/>
          </w:tcPr>
          <w:p w14:paraId="435DC1C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2.835</w:t>
            </w:r>
          </w:p>
        </w:tc>
      </w:tr>
      <w:tr w:rsidR="00F634D2" w:rsidRPr="00F634D2" w14:paraId="442E1862" w14:textId="77777777">
        <w:trPr>
          <w:trHeight w:val="20"/>
        </w:trPr>
        <w:tc>
          <w:tcPr>
            <w:tcW w:w="1591" w:type="pct"/>
            <w:tcBorders>
              <w:top w:val="nil"/>
              <w:left w:val="nil"/>
              <w:bottom w:val="nil"/>
              <w:right w:val="nil"/>
            </w:tcBorders>
            <w:shd w:val="clear" w:color="auto" w:fill="auto"/>
            <w:vAlign w:val="center"/>
            <w:hideMark/>
          </w:tcPr>
          <w:p w14:paraId="659F23C9"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Seg</w:t>
            </w:r>
          </w:p>
        </w:tc>
        <w:tc>
          <w:tcPr>
            <w:tcW w:w="682" w:type="pct"/>
            <w:tcBorders>
              <w:top w:val="nil"/>
              <w:left w:val="nil"/>
              <w:bottom w:val="nil"/>
              <w:right w:val="nil"/>
            </w:tcBorders>
            <w:shd w:val="clear" w:color="auto" w:fill="auto"/>
            <w:noWrap/>
            <w:vAlign w:val="center"/>
            <w:hideMark/>
          </w:tcPr>
          <w:p w14:paraId="252CCF5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0.580</w:t>
            </w:r>
          </w:p>
        </w:tc>
        <w:tc>
          <w:tcPr>
            <w:tcW w:w="682" w:type="pct"/>
            <w:tcBorders>
              <w:top w:val="nil"/>
              <w:left w:val="nil"/>
              <w:bottom w:val="nil"/>
              <w:right w:val="nil"/>
            </w:tcBorders>
            <w:shd w:val="clear" w:color="auto" w:fill="auto"/>
            <w:noWrap/>
            <w:vAlign w:val="center"/>
            <w:hideMark/>
          </w:tcPr>
          <w:p w14:paraId="431AA647"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0.000</w:t>
            </w:r>
          </w:p>
        </w:tc>
        <w:tc>
          <w:tcPr>
            <w:tcW w:w="682" w:type="pct"/>
            <w:tcBorders>
              <w:top w:val="nil"/>
              <w:left w:val="nil"/>
              <w:bottom w:val="nil"/>
              <w:right w:val="nil"/>
            </w:tcBorders>
            <w:shd w:val="clear" w:color="auto" w:fill="auto"/>
            <w:noWrap/>
            <w:vAlign w:val="center"/>
            <w:hideMark/>
          </w:tcPr>
          <w:p w14:paraId="7069C6A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0.000</w:t>
            </w:r>
          </w:p>
        </w:tc>
        <w:tc>
          <w:tcPr>
            <w:tcW w:w="682" w:type="pct"/>
            <w:tcBorders>
              <w:top w:val="nil"/>
              <w:left w:val="nil"/>
              <w:bottom w:val="nil"/>
              <w:right w:val="nil"/>
            </w:tcBorders>
            <w:shd w:val="clear" w:color="auto" w:fill="auto"/>
            <w:noWrap/>
            <w:vAlign w:val="center"/>
            <w:hideMark/>
          </w:tcPr>
          <w:p w14:paraId="24F8201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1.099</w:t>
            </w:r>
          </w:p>
        </w:tc>
        <w:tc>
          <w:tcPr>
            <w:tcW w:w="682" w:type="pct"/>
            <w:tcBorders>
              <w:top w:val="nil"/>
              <w:left w:val="nil"/>
              <w:bottom w:val="nil"/>
              <w:right w:val="nil"/>
            </w:tcBorders>
            <w:shd w:val="clear" w:color="auto" w:fill="auto"/>
            <w:noWrap/>
            <w:vAlign w:val="center"/>
            <w:hideMark/>
          </w:tcPr>
          <w:p w14:paraId="5DF2BC4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0.645</w:t>
            </w:r>
          </w:p>
        </w:tc>
      </w:tr>
      <w:tr w:rsidR="00F634D2" w:rsidRPr="00F634D2" w14:paraId="675AED25" w14:textId="77777777">
        <w:trPr>
          <w:trHeight w:val="20"/>
        </w:trPr>
        <w:tc>
          <w:tcPr>
            <w:tcW w:w="1591" w:type="pct"/>
            <w:tcBorders>
              <w:top w:val="nil"/>
              <w:left w:val="nil"/>
              <w:bottom w:val="nil"/>
              <w:right w:val="nil"/>
            </w:tcBorders>
            <w:shd w:val="clear" w:color="auto" w:fill="auto"/>
            <w:vAlign w:val="center"/>
            <w:hideMark/>
          </w:tcPr>
          <w:p w14:paraId="376A359A"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 xml:space="preserve">Delta </w:t>
            </w:r>
            <w:r w:rsidRPr="00F634D2">
              <w:rPr>
                <w:rFonts w:ascii="Times New Roman" w:eastAsia="Times New Roman" w:hAnsi="Times New Roman" w:cs="Times New Roman"/>
                <w:sz w:val="24"/>
                <w:szCs w:val="24"/>
                <w:lang w:val="en-GB" w:eastAsia="en-GB"/>
              </w:rPr>
              <w:t>(in thousands)</w:t>
            </w:r>
          </w:p>
        </w:tc>
        <w:tc>
          <w:tcPr>
            <w:tcW w:w="682" w:type="pct"/>
            <w:tcBorders>
              <w:top w:val="nil"/>
              <w:left w:val="nil"/>
              <w:bottom w:val="nil"/>
              <w:right w:val="nil"/>
            </w:tcBorders>
            <w:shd w:val="clear" w:color="auto" w:fill="auto"/>
            <w:noWrap/>
            <w:vAlign w:val="center"/>
            <w:hideMark/>
          </w:tcPr>
          <w:p w14:paraId="0097322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5.276</w:t>
            </w:r>
          </w:p>
        </w:tc>
        <w:tc>
          <w:tcPr>
            <w:tcW w:w="682" w:type="pct"/>
            <w:tcBorders>
              <w:top w:val="nil"/>
              <w:left w:val="nil"/>
              <w:bottom w:val="nil"/>
              <w:right w:val="nil"/>
            </w:tcBorders>
            <w:shd w:val="clear" w:color="auto" w:fill="auto"/>
            <w:noWrap/>
            <w:vAlign w:val="center"/>
            <w:hideMark/>
          </w:tcPr>
          <w:p w14:paraId="436C00D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4.280</w:t>
            </w:r>
          </w:p>
        </w:tc>
        <w:tc>
          <w:tcPr>
            <w:tcW w:w="682" w:type="pct"/>
            <w:tcBorders>
              <w:top w:val="nil"/>
              <w:left w:val="nil"/>
              <w:bottom w:val="nil"/>
              <w:right w:val="nil"/>
            </w:tcBorders>
            <w:shd w:val="clear" w:color="auto" w:fill="auto"/>
            <w:noWrap/>
            <w:vAlign w:val="center"/>
            <w:hideMark/>
          </w:tcPr>
          <w:p w14:paraId="216A4AC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5.318</w:t>
            </w:r>
          </w:p>
        </w:tc>
        <w:tc>
          <w:tcPr>
            <w:tcW w:w="682" w:type="pct"/>
            <w:tcBorders>
              <w:top w:val="nil"/>
              <w:left w:val="nil"/>
              <w:bottom w:val="nil"/>
              <w:right w:val="nil"/>
            </w:tcBorders>
            <w:shd w:val="clear" w:color="auto" w:fill="auto"/>
            <w:noWrap/>
            <w:vAlign w:val="center"/>
            <w:hideMark/>
          </w:tcPr>
          <w:p w14:paraId="05C3521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6.367</w:t>
            </w:r>
          </w:p>
        </w:tc>
        <w:tc>
          <w:tcPr>
            <w:tcW w:w="682" w:type="pct"/>
            <w:tcBorders>
              <w:top w:val="nil"/>
              <w:left w:val="nil"/>
              <w:bottom w:val="nil"/>
              <w:right w:val="nil"/>
            </w:tcBorders>
            <w:shd w:val="clear" w:color="auto" w:fill="auto"/>
            <w:noWrap/>
            <w:vAlign w:val="center"/>
            <w:hideMark/>
          </w:tcPr>
          <w:p w14:paraId="3132079D"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1.683</w:t>
            </w:r>
          </w:p>
        </w:tc>
      </w:tr>
      <w:tr w:rsidR="00F634D2" w:rsidRPr="00F634D2" w14:paraId="2F3D0258" w14:textId="77777777">
        <w:trPr>
          <w:trHeight w:val="20"/>
        </w:trPr>
        <w:tc>
          <w:tcPr>
            <w:tcW w:w="1591" w:type="pct"/>
            <w:tcBorders>
              <w:top w:val="nil"/>
              <w:left w:val="nil"/>
              <w:bottom w:val="single" w:sz="4" w:space="0" w:color="auto"/>
              <w:right w:val="nil"/>
            </w:tcBorders>
            <w:shd w:val="clear" w:color="auto" w:fill="auto"/>
            <w:vAlign w:val="center"/>
            <w:hideMark/>
          </w:tcPr>
          <w:p w14:paraId="26489FDA"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N</w:t>
            </w:r>
          </w:p>
        </w:tc>
        <w:tc>
          <w:tcPr>
            <w:tcW w:w="682" w:type="pct"/>
            <w:tcBorders>
              <w:top w:val="nil"/>
              <w:left w:val="nil"/>
              <w:bottom w:val="single" w:sz="4" w:space="0" w:color="auto"/>
              <w:right w:val="nil"/>
            </w:tcBorders>
            <w:shd w:val="clear" w:color="auto" w:fill="auto"/>
            <w:noWrap/>
            <w:vAlign w:val="bottom"/>
            <w:hideMark/>
          </w:tcPr>
          <w:p w14:paraId="4B2927E4"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 </w:t>
            </w:r>
          </w:p>
        </w:tc>
        <w:tc>
          <w:tcPr>
            <w:tcW w:w="682" w:type="pct"/>
            <w:tcBorders>
              <w:top w:val="nil"/>
              <w:left w:val="nil"/>
              <w:bottom w:val="single" w:sz="4" w:space="0" w:color="auto"/>
              <w:right w:val="nil"/>
            </w:tcBorders>
            <w:shd w:val="clear" w:color="auto" w:fill="auto"/>
            <w:noWrap/>
            <w:vAlign w:val="bottom"/>
            <w:hideMark/>
          </w:tcPr>
          <w:p w14:paraId="04EC2A6D"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 </w:t>
            </w:r>
          </w:p>
        </w:tc>
        <w:tc>
          <w:tcPr>
            <w:tcW w:w="682" w:type="pct"/>
            <w:tcBorders>
              <w:top w:val="nil"/>
              <w:left w:val="nil"/>
              <w:bottom w:val="single" w:sz="4" w:space="0" w:color="auto"/>
              <w:right w:val="nil"/>
            </w:tcBorders>
            <w:shd w:val="clear" w:color="auto" w:fill="auto"/>
            <w:noWrap/>
            <w:vAlign w:val="bottom"/>
            <w:hideMark/>
          </w:tcPr>
          <w:p w14:paraId="73244DD8"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17,257</w:t>
            </w:r>
          </w:p>
        </w:tc>
        <w:tc>
          <w:tcPr>
            <w:tcW w:w="682" w:type="pct"/>
            <w:tcBorders>
              <w:top w:val="nil"/>
              <w:left w:val="nil"/>
              <w:bottom w:val="single" w:sz="4" w:space="0" w:color="auto"/>
              <w:right w:val="nil"/>
            </w:tcBorders>
            <w:shd w:val="clear" w:color="auto" w:fill="auto"/>
            <w:noWrap/>
            <w:vAlign w:val="bottom"/>
            <w:hideMark/>
          </w:tcPr>
          <w:p w14:paraId="52CB44CA"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 </w:t>
            </w:r>
          </w:p>
        </w:tc>
        <w:tc>
          <w:tcPr>
            <w:tcW w:w="682" w:type="pct"/>
            <w:tcBorders>
              <w:top w:val="nil"/>
              <w:left w:val="nil"/>
              <w:bottom w:val="single" w:sz="4" w:space="0" w:color="auto"/>
              <w:right w:val="nil"/>
            </w:tcBorders>
            <w:shd w:val="clear" w:color="auto" w:fill="auto"/>
            <w:noWrap/>
            <w:vAlign w:val="bottom"/>
            <w:hideMark/>
          </w:tcPr>
          <w:p w14:paraId="5B1AD3D2"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 </w:t>
            </w:r>
          </w:p>
        </w:tc>
      </w:tr>
      <w:tr w:rsidR="00F634D2" w:rsidRPr="00F634D2" w14:paraId="71156555" w14:textId="77777777">
        <w:trPr>
          <w:trHeight w:val="20"/>
        </w:trPr>
        <w:tc>
          <w:tcPr>
            <w:tcW w:w="5000" w:type="pct"/>
            <w:gridSpan w:val="6"/>
            <w:tcBorders>
              <w:top w:val="single" w:sz="4" w:space="0" w:color="auto"/>
              <w:left w:val="nil"/>
              <w:bottom w:val="nil"/>
              <w:right w:val="nil"/>
            </w:tcBorders>
            <w:shd w:val="clear" w:color="auto" w:fill="auto"/>
            <w:vAlign w:val="bottom"/>
            <w:hideMark/>
          </w:tcPr>
          <w:p w14:paraId="528FC8C1" w14:textId="77777777" w:rsidR="00D50589" w:rsidRPr="00F634D2" w:rsidRDefault="00686261">
            <w:pPr>
              <w:spacing w:after="0" w:line="240" w:lineRule="auto"/>
              <w:jc w:val="both"/>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This table reports the descriptive statistics of the variables used in the main test. The variables are defined in Appendix A.</w:t>
            </w:r>
          </w:p>
        </w:tc>
      </w:tr>
    </w:tbl>
    <w:p w14:paraId="5CDD6A2F" w14:textId="77777777" w:rsidR="00D50589" w:rsidRPr="00F634D2" w:rsidRDefault="00D50589">
      <w:pPr>
        <w:rPr>
          <w:rFonts w:ascii="Times New Roman" w:hAnsi="Times New Roman" w:cs="Times New Roman"/>
        </w:rPr>
        <w:sectPr w:rsidR="00D50589" w:rsidRPr="00F634D2">
          <w:pgSz w:w="12240" w:h="15840" w:code="1"/>
          <w:pgMar w:top="1440" w:right="1729" w:bottom="1440" w:left="1729" w:header="720" w:footer="720" w:gutter="0"/>
          <w:cols w:space="708"/>
          <w:docGrid w:linePitch="360"/>
        </w:sectPr>
      </w:pPr>
    </w:p>
    <w:tbl>
      <w:tblPr>
        <w:tblW w:w="5000" w:type="pct"/>
        <w:tblLook w:val="04A0" w:firstRow="1" w:lastRow="0" w:firstColumn="1" w:lastColumn="0" w:noHBand="0" w:noVBand="1"/>
      </w:tblPr>
      <w:tblGrid>
        <w:gridCol w:w="1323"/>
        <w:gridCol w:w="727"/>
        <w:gridCol w:w="728"/>
        <w:gridCol w:w="630"/>
        <w:gridCol w:w="630"/>
        <w:gridCol w:w="630"/>
        <w:gridCol w:w="630"/>
        <w:gridCol w:w="728"/>
        <w:gridCol w:w="630"/>
        <w:gridCol w:w="630"/>
        <w:gridCol w:w="728"/>
        <w:gridCol w:w="728"/>
        <w:gridCol w:w="630"/>
        <w:gridCol w:w="728"/>
        <w:gridCol w:w="728"/>
        <w:gridCol w:w="728"/>
        <w:gridCol w:w="689"/>
        <w:gridCol w:w="715"/>
      </w:tblGrid>
      <w:tr w:rsidR="00F634D2" w:rsidRPr="00F634D2" w14:paraId="5E55D9EB" w14:textId="77777777">
        <w:trPr>
          <w:trHeight w:val="20"/>
        </w:trPr>
        <w:tc>
          <w:tcPr>
            <w:tcW w:w="5000" w:type="pct"/>
            <w:gridSpan w:val="18"/>
            <w:tcBorders>
              <w:top w:val="nil"/>
              <w:left w:val="nil"/>
              <w:bottom w:val="nil"/>
              <w:right w:val="nil"/>
            </w:tcBorders>
            <w:shd w:val="clear" w:color="auto" w:fill="auto"/>
            <w:noWrap/>
            <w:vAlign w:val="bottom"/>
            <w:hideMark/>
          </w:tcPr>
          <w:p w14:paraId="353F741A" w14:textId="77777777" w:rsidR="00D50589" w:rsidRPr="00F634D2" w:rsidRDefault="00686261" w:rsidP="007E03F2">
            <w:pPr>
              <w:spacing w:afterLines="50" w:after="120" w:line="240" w:lineRule="auto"/>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b/>
                <w:bCs/>
                <w:sz w:val="24"/>
                <w:szCs w:val="24"/>
                <w:lang w:val="en-GB" w:eastAsia="en-GB"/>
              </w:rPr>
              <w:lastRenderedPageBreak/>
              <w:t>Table 2.</w:t>
            </w:r>
            <w:r w:rsidRPr="00F634D2">
              <w:rPr>
                <w:rFonts w:ascii="Times New Roman" w:eastAsia="Times New Roman" w:hAnsi="Times New Roman" w:cs="Times New Roman"/>
                <w:sz w:val="24"/>
                <w:szCs w:val="24"/>
                <w:lang w:val="en-GB" w:eastAsia="en-GB"/>
              </w:rPr>
              <w:t xml:space="preserve"> Correlations</w:t>
            </w:r>
          </w:p>
        </w:tc>
      </w:tr>
      <w:tr w:rsidR="00F634D2" w:rsidRPr="00F634D2" w14:paraId="3953C436" w14:textId="77777777">
        <w:trPr>
          <w:trHeight w:val="20"/>
        </w:trPr>
        <w:tc>
          <w:tcPr>
            <w:tcW w:w="514" w:type="pct"/>
            <w:tcBorders>
              <w:top w:val="single" w:sz="4" w:space="0" w:color="auto"/>
              <w:left w:val="nil"/>
              <w:bottom w:val="nil"/>
              <w:right w:val="nil"/>
            </w:tcBorders>
            <w:shd w:val="clear" w:color="auto" w:fill="auto"/>
            <w:noWrap/>
            <w:vAlign w:val="bottom"/>
            <w:hideMark/>
          </w:tcPr>
          <w:p w14:paraId="1E95E95C" w14:textId="77777777" w:rsidR="00D50589" w:rsidRPr="00F634D2" w:rsidRDefault="00686261">
            <w:pPr>
              <w:spacing w:after="0" w:line="240" w:lineRule="auto"/>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 </w:t>
            </w:r>
          </w:p>
        </w:tc>
        <w:tc>
          <w:tcPr>
            <w:tcW w:w="284" w:type="pct"/>
            <w:tcBorders>
              <w:top w:val="single" w:sz="4" w:space="0" w:color="auto"/>
              <w:left w:val="nil"/>
              <w:bottom w:val="nil"/>
              <w:right w:val="nil"/>
            </w:tcBorders>
            <w:shd w:val="clear" w:color="auto" w:fill="auto"/>
            <w:vAlign w:val="bottom"/>
            <w:hideMark/>
          </w:tcPr>
          <w:p w14:paraId="782631DB" w14:textId="77777777" w:rsidR="00D50589" w:rsidRPr="00F634D2" w:rsidRDefault="00686261">
            <w:pPr>
              <w:spacing w:after="0" w:line="240" w:lineRule="auto"/>
              <w:jc w:val="center"/>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(1)</w:t>
            </w:r>
          </w:p>
        </w:tc>
        <w:tc>
          <w:tcPr>
            <w:tcW w:w="284" w:type="pct"/>
            <w:tcBorders>
              <w:top w:val="single" w:sz="4" w:space="0" w:color="auto"/>
              <w:left w:val="nil"/>
              <w:bottom w:val="nil"/>
              <w:right w:val="nil"/>
            </w:tcBorders>
            <w:shd w:val="clear" w:color="auto" w:fill="auto"/>
            <w:noWrap/>
            <w:vAlign w:val="bottom"/>
            <w:hideMark/>
          </w:tcPr>
          <w:p w14:paraId="6C538AAE" w14:textId="77777777" w:rsidR="00D50589" w:rsidRPr="00F634D2" w:rsidRDefault="00686261">
            <w:pPr>
              <w:spacing w:after="0" w:line="240" w:lineRule="auto"/>
              <w:jc w:val="center"/>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(2)</w:t>
            </w:r>
          </w:p>
        </w:tc>
        <w:tc>
          <w:tcPr>
            <w:tcW w:w="238" w:type="pct"/>
            <w:tcBorders>
              <w:top w:val="single" w:sz="4" w:space="0" w:color="auto"/>
              <w:left w:val="nil"/>
              <w:bottom w:val="nil"/>
              <w:right w:val="nil"/>
            </w:tcBorders>
            <w:shd w:val="clear" w:color="auto" w:fill="auto"/>
            <w:noWrap/>
            <w:vAlign w:val="bottom"/>
            <w:hideMark/>
          </w:tcPr>
          <w:p w14:paraId="5BFC133F" w14:textId="77777777" w:rsidR="00D50589" w:rsidRPr="00F634D2" w:rsidRDefault="00686261">
            <w:pPr>
              <w:spacing w:after="0" w:line="240" w:lineRule="auto"/>
              <w:jc w:val="center"/>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(3)</w:t>
            </w:r>
          </w:p>
        </w:tc>
        <w:tc>
          <w:tcPr>
            <w:tcW w:w="238" w:type="pct"/>
            <w:tcBorders>
              <w:top w:val="single" w:sz="4" w:space="0" w:color="auto"/>
              <w:left w:val="nil"/>
              <w:bottom w:val="nil"/>
              <w:right w:val="nil"/>
            </w:tcBorders>
            <w:shd w:val="clear" w:color="auto" w:fill="auto"/>
            <w:noWrap/>
            <w:vAlign w:val="bottom"/>
            <w:hideMark/>
          </w:tcPr>
          <w:p w14:paraId="707B3039" w14:textId="77777777" w:rsidR="00D50589" w:rsidRPr="00F634D2" w:rsidRDefault="00686261">
            <w:pPr>
              <w:spacing w:after="0" w:line="240" w:lineRule="auto"/>
              <w:jc w:val="center"/>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(4)</w:t>
            </w:r>
          </w:p>
        </w:tc>
        <w:tc>
          <w:tcPr>
            <w:tcW w:w="238" w:type="pct"/>
            <w:tcBorders>
              <w:top w:val="single" w:sz="4" w:space="0" w:color="auto"/>
              <w:left w:val="nil"/>
              <w:bottom w:val="nil"/>
              <w:right w:val="nil"/>
            </w:tcBorders>
            <w:shd w:val="clear" w:color="auto" w:fill="auto"/>
            <w:noWrap/>
            <w:vAlign w:val="bottom"/>
            <w:hideMark/>
          </w:tcPr>
          <w:p w14:paraId="40F600D4" w14:textId="77777777" w:rsidR="00D50589" w:rsidRPr="00F634D2" w:rsidRDefault="00686261">
            <w:pPr>
              <w:spacing w:after="0" w:line="240" w:lineRule="auto"/>
              <w:jc w:val="center"/>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(5)</w:t>
            </w:r>
          </w:p>
        </w:tc>
        <w:tc>
          <w:tcPr>
            <w:tcW w:w="238" w:type="pct"/>
            <w:tcBorders>
              <w:top w:val="single" w:sz="4" w:space="0" w:color="auto"/>
              <w:left w:val="nil"/>
              <w:bottom w:val="nil"/>
              <w:right w:val="nil"/>
            </w:tcBorders>
            <w:shd w:val="clear" w:color="auto" w:fill="auto"/>
            <w:noWrap/>
            <w:vAlign w:val="bottom"/>
            <w:hideMark/>
          </w:tcPr>
          <w:p w14:paraId="388AA440" w14:textId="77777777" w:rsidR="00D50589" w:rsidRPr="00F634D2" w:rsidRDefault="00686261">
            <w:pPr>
              <w:spacing w:after="0" w:line="240" w:lineRule="auto"/>
              <w:jc w:val="center"/>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(6)</w:t>
            </w:r>
          </w:p>
        </w:tc>
        <w:tc>
          <w:tcPr>
            <w:tcW w:w="284" w:type="pct"/>
            <w:tcBorders>
              <w:top w:val="single" w:sz="4" w:space="0" w:color="auto"/>
              <w:left w:val="nil"/>
              <w:bottom w:val="nil"/>
              <w:right w:val="nil"/>
            </w:tcBorders>
            <w:shd w:val="clear" w:color="auto" w:fill="auto"/>
            <w:noWrap/>
            <w:vAlign w:val="bottom"/>
            <w:hideMark/>
          </w:tcPr>
          <w:p w14:paraId="39CBFFEB" w14:textId="77777777" w:rsidR="00D50589" w:rsidRPr="00F634D2" w:rsidRDefault="00686261">
            <w:pPr>
              <w:spacing w:after="0" w:line="240" w:lineRule="auto"/>
              <w:jc w:val="center"/>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(7)</w:t>
            </w:r>
          </w:p>
        </w:tc>
        <w:tc>
          <w:tcPr>
            <w:tcW w:w="238" w:type="pct"/>
            <w:tcBorders>
              <w:top w:val="single" w:sz="4" w:space="0" w:color="auto"/>
              <w:left w:val="nil"/>
              <w:bottom w:val="nil"/>
              <w:right w:val="nil"/>
            </w:tcBorders>
            <w:shd w:val="clear" w:color="auto" w:fill="auto"/>
            <w:noWrap/>
            <w:vAlign w:val="bottom"/>
            <w:hideMark/>
          </w:tcPr>
          <w:p w14:paraId="6225BDF3" w14:textId="77777777" w:rsidR="00D50589" w:rsidRPr="00F634D2" w:rsidRDefault="00686261">
            <w:pPr>
              <w:spacing w:after="0" w:line="240" w:lineRule="auto"/>
              <w:jc w:val="center"/>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(8)</w:t>
            </w:r>
          </w:p>
        </w:tc>
        <w:tc>
          <w:tcPr>
            <w:tcW w:w="238" w:type="pct"/>
            <w:tcBorders>
              <w:top w:val="single" w:sz="4" w:space="0" w:color="auto"/>
              <w:left w:val="nil"/>
              <w:bottom w:val="nil"/>
              <w:right w:val="nil"/>
            </w:tcBorders>
            <w:shd w:val="clear" w:color="auto" w:fill="auto"/>
            <w:noWrap/>
            <w:vAlign w:val="bottom"/>
            <w:hideMark/>
          </w:tcPr>
          <w:p w14:paraId="5CF4FC7A" w14:textId="77777777" w:rsidR="00D50589" w:rsidRPr="00F634D2" w:rsidRDefault="00686261">
            <w:pPr>
              <w:spacing w:after="0" w:line="240" w:lineRule="auto"/>
              <w:jc w:val="center"/>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(9)</w:t>
            </w:r>
          </w:p>
        </w:tc>
        <w:tc>
          <w:tcPr>
            <w:tcW w:w="284" w:type="pct"/>
            <w:tcBorders>
              <w:top w:val="single" w:sz="4" w:space="0" w:color="auto"/>
              <w:left w:val="nil"/>
              <w:bottom w:val="nil"/>
              <w:right w:val="nil"/>
            </w:tcBorders>
            <w:shd w:val="clear" w:color="auto" w:fill="auto"/>
            <w:noWrap/>
            <w:vAlign w:val="bottom"/>
            <w:hideMark/>
          </w:tcPr>
          <w:p w14:paraId="3D86AF0F" w14:textId="77777777" w:rsidR="00D50589" w:rsidRPr="00F634D2" w:rsidRDefault="00686261">
            <w:pPr>
              <w:spacing w:after="0" w:line="240" w:lineRule="auto"/>
              <w:jc w:val="center"/>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(10)</w:t>
            </w:r>
          </w:p>
        </w:tc>
        <w:tc>
          <w:tcPr>
            <w:tcW w:w="284" w:type="pct"/>
            <w:tcBorders>
              <w:top w:val="single" w:sz="4" w:space="0" w:color="auto"/>
              <w:left w:val="nil"/>
              <w:bottom w:val="nil"/>
              <w:right w:val="nil"/>
            </w:tcBorders>
            <w:shd w:val="clear" w:color="auto" w:fill="auto"/>
            <w:noWrap/>
            <w:vAlign w:val="bottom"/>
            <w:hideMark/>
          </w:tcPr>
          <w:p w14:paraId="72F6AB03" w14:textId="77777777" w:rsidR="00D50589" w:rsidRPr="00F634D2" w:rsidRDefault="00686261">
            <w:pPr>
              <w:spacing w:after="0" w:line="240" w:lineRule="auto"/>
              <w:jc w:val="center"/>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(11)</w:t>
            </w:r>
          </w:p>
        </w:tc>
        <w:tc>
          <w:tcPr>
            <w:tcW w:w="238" w:type="pct"/>
            <w:tcBorders>
              <w:top w:val="single" w:sz="4" w:space="0" w:color="auto"/>
              <w:left w:val="nil"/>
              <w:bottom w:val="nil"/>
              <w:right w:val="nil"/>
            </w:tcBorders>
            <w:shd w:val="clear" w:color="auto" w:fill="auto"/>
            <w:noWrap/>
            <w:vAlign w:val="bottom"/>
            <w:hideMark/>
          </w:tcPr>
          <w:p w14:paraId="7C0B86C0" w14:textId="77777777" w:rsidR="00D50589" w:rsidRPr="00F634D2" w:rsidRDefault="00686261">
            <w:pPr>
              <w:spacing w:after="0" w:line="240" w:lineRule="auto"/>
              <w:jc w:val="center"/>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(12)</w:t>
            </w:r>
          </w:p>
        </w:tc>
        <w:tc>
          <w:tcPr>
            <w:tcW w:w="284" w:type="pct"/>
            <w:tcBorders>
              <w:top w:val="single" w:sz="4" w:space="0" w:color="auto"/>
              <w:left w:val="nil"/>
              <w:bottom w:val="nil"/>
              <w:right w:val="nil"/>
            </w:tcBorders>
            <w:shd w:val="clear" w:color="auto" w:fill="auto"/>
            <w:noWrap/>
            <w:vAlign w:val="bottom"/>
            <w:hideMark/>
          </w:tcPr>
          <w:p w14:paraId="613D6CE8" w14:textId="77777777" w:rsidR="00D50589" w:rsidRPr="00F634D2" w:rsidRDefault="00686261">
            <w:pPr>
              <w:spacing w:after="0" w:line="240" w:lineRule="auto"/>
              <w:jc w:val="center"/>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(13)</w:t>
            </w:r>
          </w:p>
        </w:tc>
        <w:tc>
          <w:tcPr>
            <w:tcW w:w="284" w:type="pct"/>
            <w:tcBorders>
              <w:top w:val="single" w:sz="4" w:space="0" w:color="auto"/>
              <w:left w:val="nil"/>
              <w:bottom w:val="nil"/>
              <w:right w:val="nil"/>
            </w:tcBorders>
            <w:shd w:val="clear" w:color="auto" w:fill="auto"/>
            <w:noWrap/>
            <w:vAlign w:val="bottom"/>
            <w:hideMark/>
          </w:tcPr>
          <w:p w14:paraId="0C87F58C" w14:textId="77777777" w:rsidR="00D50589" w:rsidRPr="00F634D2" w:rsidRDefault="00686261">
            <w:pPr>
              <w:spacing w:after="0" w:line="240" w:lineRule="auto"/>
              <w:jc w:val="center"/>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(14)</w:t>
            </w:r>
          </w:p>
        </w:tc>
        <w:tc>
          <w:tcPr>
            <w:tcW w:w="284" w:type="pct"/>
            <w:tcBorders>
              <w:top w:val="single" w:sz="4" w:space="0" w:color="auto"/>
              <w:left w:val="nil"/>
              <w:bottom w:val="nil"/>
              <w:right w:val="nil"/>
            </w:tcBorders>
            <w:shd w:val="clear" w:color="auto" w:fill="auto"/>
            <w:noWrap/>
            <w:vAlign w:val="bottom"/>
            <w:hideMark/>
          </w:tcPr>
          <w:p w14:paraId="56E3B999" w14:textId="77777777" w:rsidR="00D50589" w:rsidRPr="00F634D2" w:rsidRDefault="00686261">
            <w:pPr>
              <w:spacing w:after="0" w:line="240" w:lineRule="auto"/>
              <w:jc w:val="center"/>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(15)</w:t>
            </w:r>
          </w:p>
        </w:tc>
        <w:tc>
          <w:tcPr>
            <w:tcW w:w="269" w:type="pct"/>
            <w:tcBorders>
              <w:top w:val="single" w:sz="4" w:space="0" w:color="auto"/>
              <w:left w:val="nil"/>
              <w:bottom w:val="nil"/>
              <w:right w:val="nil"/>
            </w:tcBorders>
            <w:shd w:val="clear" w:color="auto" w:fill="auto"/>
            <w:noWrap/>
            <w:vAlign w:val="bottom"/>
            <w:hideMark/>
          </w:tcPr>
          <w:p w14:paraId="79541631" w14:textId="77777777" w:rsidR="00D50589" w:rsidRPr="00F634D2" w:rsidRDefault="00686261">
            <w:pPr>
              <w:spacing w:after="0" w:line="240" w:lineRule="auto"/>
              <w:jc w:val="center"/>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(16)</w:t>
            </w:r>
          </w:p>
        </w:tc>
        <w:tc>
          <w:tcPr>
            <w:tcW w:w="284" w:type="pct"/>
            <w:tcBorders>
              <w:top w:val="single" w:sz="4" w:space="0" w:color="auto"/>
              <w:left w:val="nil"/>
              <w:bottom w:val="nil"/>
              <w:right w:val="nil"/>
            </w:tcBorders>
            <w:shd w:val="clear" w:color="auto" w:fill="auto"/>
            <w:noWrap/>
            <w:vAlign w:val="bottom"/>
            <w:hideMark/>
          </w:tcPr>
          <w:p w14:paraId="29E4606B" w14:textId="77777777" w:rsidR="00D50589" w:rsidRPr="00F634D2" w:rsidRDefault="00686261">
            <w:pPr>
              <w:spacing w:after="0" w:line="240" w:lineRule="auto"/>
              <w:jc w:val="center"/>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(17)</w:t>
            </w:r>
          </w:p>
        </w:tc>
      </w:tr>
      <w:tr w:rsidR="00F634D2" w:rsidRPr="00F634D2" w14:paraId="1231D1B0" w14:textId="77777777">
        <w:trPr>
          <w:trHeight w:val="20"/>
        </w:trPr>
        <w:tc>
          <w:tcPr>
            <w:tcW w:w="514" w:type="pct"/>
            <w:tcBorders>
              <w:top w:val="nil"/>
              <w:left w:val="nil"/>
              <w:bottom w:val="nil"/>
              <w:right w:val="nil"/>
            </w:tcBorders>
            <w:shd w:val="clear" w:color="auto" w:fill="auto"/>
            <w:noWrap/>
            <w:vAlign w:val="center"/>
            <w:hideMark/>
          </w:tcPr>
          <w:p w14:paraId="5D9B0F33" w14:textId="77777777" w:rsidR="00D50589" w:rsidRPr="00F634D2" w:rsidRDefault="00686261">
            <w:pPr>
              <w:spacing w:after="0" w:line="240" w:lineRule="auto"/>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(1) Vega</w:t>
            </w:r>
          </w:p>
        </w:tc>
        <w:tc>
          <w:tcPr>
            <w:tcW w:w="284" w:type="pct"/>
            <w:tcBorders>
              <w:top w:val="nil"/>
              <w:left w:val="nil"/>
              <w:bottom w:val="nil"/>
              <w:right w:val="nil"/>
            </w:tcBorders>
            <w:shd w:val="clear" w:color="auto" w:fill="auto"/>
            <w:noWrap/>
            <w:vAlign w:val="center"/>
            <w:hideMark/>
          </w:tcPr>
          <w:p w14:paraId="20A31196" w14:textId="77777777" w:rsidR="00D50589" w:rsidRPr="00F634D2" w:rsidRDefault="00D50589">
            <w:pPr>
              <w:spacing w:after="0" w:line="240" w:lineRule="auto"/>
              <w:rPr>
                <w:rFonts w:ascii="Times New Roman" w:eastAsia="Times New Roman" w:hAnsi="Times New Roman" w:cs="Times New Roman"/>
                <w:i/>
                <w:iCs/>
                <w:sz w:val="16"/>
                <w:szCs w:val="16"/>
                <w:lang w:val="en-GB" w:eastAsia="en-GB"/>
              </w:rPr>
            </w:pPr>
          </w:p>
        </w:tc>
        <w:tc>
          <w:tcPr>
            <w:tcW w:w="284" w:type="pct"/>
            <w:tcBorders>
              <w:top w:val="nil"/>
              <w:left w:val="nil"/>
              <w:bottom w:val="nil"/>
              <w:right w:val="nil"/>
            </w:tcBorders>
            <w:shd w:val="clear" w:color="auto" w:fill="auto"/>
            <w:noWrap/>
            <w:vAlign w:val="center"/>
            <w:hideMark/>
          </w:tcPr>
          <w:p w14:paraId="2AE67D36"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0.047</w:t>
            </w:r>
          </w:p>
        </w:tc>
        <w:tc>
          <w:tcPr>
            <w:tcW w:w="238" w:type="pct"/>
            <w:tcBorders>
              <w:top w:val="nil"/>
              <w:left w:val="nil"/>
              <w:bottom w:val="nil"/>
              <w:right w:val="nil"/>
            </w:tcBorders>
            <w:shd w:val="clear" w:color="auto" w:fill="auto"/>
            <w:noWrap/>
            <w:vAlign w:val="center"/>
            <w:hideMark/>
          </w:tcPr>
          <w:p w14:paraId="675E52A9"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0.508</w:t>
            </w:r>
          </w:p>
        </w:tc>
        <w:tc>
          <w:tcPr>
            <w:tcW w:w="238" w:type="pct"/>
            <w:tcBorders>
              <w:top w:val="nil"/>
              <w:left w:val="nil"/>
              <w:bottom w:val="nil"/>
              <w:right w:val="nil"/>
            </w:tcBorders>
            <w:shd w:val="clear" w:color="auto" w:fill="auto"/>
            <w:noWrap/>
            <w:vAlign w:val="center"/>
            <w:hideMark/>
          </w:tcPr>
          <w:p w14:paraId="289619A1"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-0.125</w:t>
            </w:r>
          </w:p>
        </w:tc>
        <w:tc>
          <w:tcPr>
            <w:tcW w:w="238" w:type="pct"/>
            <w:tcBorders>
              <w:top w:val="nil"/>
              <w:left w:val="nil"/>
              <w:bottom w:val="nil"/>
              <w:right w:val="nil"/>
            </w:tcBorders>
            <w:shd w:val="clear" w:color="auto" w:fill="auto"/>
            <w:noWrap/>
            <w:vAlign w:val="center"/>
            <w:hideMark/>
          </w:tcPr>
          <w:p w14:paraId="2161EF1C"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0.112</w:t>
            </w:r>
          </w:p>
        </w:tc>
        <w:tc>
          <w:tcPr>
            <w:tcW w:w="238" w:type="pct"/>
            <w:tcBorders>
              <w:top w:val="nil"/>
              <w:left w:val="nil"/>
              <w:bottom w:val="nil"/>
              <w:right w:val="nil"/>
            </w:tcBorders>
            <w:shd w:val="clear" w:color="auto" w:fill="auto"/>
            <w:noWrap/>
            <w:vAlign w:val="center"/>
            <w:hideMark/>
          </w:tcPr>
          <w:p w14:paraId="451ED2CC"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-0.012</w:t>
            </w:r>
          </w:p>
        </w:tc>
        <w:tc>
          <w:tcPr>
            <w:tcW w:w="284" w:type="pct"/>
            <w:tcBorders>
              <w:top w:val="nil"/>
              <w:left w:val="nil"/>
              <w:bottom w:val="nil"/>
              <w:right w:val="nil"/>
            </w:tcBorders>
            <w:shd w:val="clear" w:color="auto" w:fill="auto"/>
            <w:noWrap/>
            <w:vAlign w:val="center"/>
            <w:hideMark/>
          </w:tcPr>
          <w:p w14:paraId="4A89BCD7"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0.345</w:t>
            </w:r>
          </w:p>
        </w:tc>
        <w:tc>
          <w:tcPr>
            <w:tcW w:w="238" w:type="pct"/>
            <w:tcBorders>
              <w:top w:val="nil"/>
              <w:left w:val="nil"/>
              <w:bottom w:val="nil"/>
              <w:right w:val="nil"/>
            </w:tcBorders>
            <w:shd w:val="clear" w:color="auto" w:fill="auto"/>
            <w:noWrap/>
            <w:vAlign w:val="center"/>
            <w:hideMark/>
          </w:tcPr>
          <w:p w14:paraId="211E710E"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0.110</w:t>
            </w:r>
          </w:p>
        </w:tc>
        <w:tc>
          <w:tcPr>
            <w:tcW w:w="238" w:type="pct"/>
            <w:tcBorders>
              <w:top w:val="nil"/>
              <w:left w:val="nil"/>
              <w:bottom w:val="nil"/>
              <w:right w:val="nil"/>
            </w:tcBorders>
            <w:shd w:val="clear" w:color="auto" w:fill="auto"/>
            <w:noWrap/>
            <w:vAlign w:val="center"/>
            <w:hideMark/>
          </w:tcPr>
          <w:p w14:paraId="27E3DD9C"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0.475</w:t>
            </w:r>
          </w:p>
        </w:tc>
        <w:tc>
          <w:tcPr>
            <w:tcW w:w="284" w:type="pct"/>
            <w:tcBorders>
              <w:top w:val="nil"/>
              <w:left w:val="nil"/>
              <w:bottom w:val="nil"/>
              <w:right w:val="nil"/>
            </w:tcBorders>
            <w:shd w:val="clear" w:color="auto" w:fill="auto"/>
            <w:noWrap/>
            <w:vAlign w:val="center"/>
            <w:hideMark/>
          </w:tcPr>
          <w:p w14:paraId="6BB97400"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-0.058</w:t>
            </w:r>
          </w:p>
        </w:tc>
        <w:tc>
          <w:tcPr>
            <w:tcW w:w="284" w:type="pct"/>
            <w:tcBorders>
              <w:top w:val="nil"/>
              <w:left w:val="nil"/>
              <w:bottom w:val="nil"/>
              <w:right w:val="nil"/>
            </w:tcBorders>
            <w:shd w:val="clear" w:color="auto" w:fill="auto"/>
            <w:noWrap/>
            <w:vAlign w:val="center"/>
            <w:hideMark/>
          </w:tcPr>
          <w:p w14:paraId="44A40508"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0.035</w:t>
            </w:r>
          </w:p>
        </w:tc>
        <w:tc>
          <w:tcPr>
            <w:tcW w:w="238" w:type="pct"/>
            <w:tcBorders>
              <w:top w:val="nil"/>
              <w:left w:val="nil"/>
              <w:bottom w:val="nil"/>
              <w:right w:val="nil"/>
            </w:tcBorders>
            <w:shd w:val="clear" w:color="auto" w:fill="auto"/>
            <w:noWrap/>
            <w:vAlign w:val="center"/>
            <w:hideMark/>
          </w:tcPr>
          <w:p w14:paraId="6361E66F"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0.082</w:t>
            </w:r>
          </w:p>
        </w:tc>
        <w:tc>
          <w:tcPr>
            <w:tcW w:w="284" w:type="pct"/>
            <w:tcBorders>
              <w:top w:val="nil"/>
              <w:left w:val="nil"/>
              <w:bottom w:val="nil"/>
              <w:right w:val="nil"/>
            </w:tcBorders>
            <w:shd w:val="clear" w:color="auto" w:fill="auto"/>
            <w:noWrap/>
            <w:vAlign w:val="center"/>
            <w:hideMark/>
          </w:tcPr>
          <w:p w14:paraId="3DD22B0F"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-0.104</w:t>
            </w:r>
          </w:p>
        </w:tc>
        <w:tc>
          <w:tcPr>
            <w:tcW w:w="284" w:type="pct"/>
            <w:tcBorders>
              <w:top w:val="nil"/>
              <w:left w:val="nil"/>
              <w:bottom w:val="nil"/>
              <w:right w:val="nil"/>
            </w:tcBorders>
            <w:shd w:val="clear" w:color="auto" w:fill="auto"/>
            <w:vAlign w:val="center"/>
            <w:hideMark/>
          </w:tcPr>
          <w:p w14:paraId="42CAA628"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0.034</w:t>
            </w:r>
          </w:p>
        </w:tc>
        <w:tc>
          <w:tcPr>
            <w:tcW w:w="284" w:type="pct"/>
            <w:tcBorders>
              <w:top w:val="nil"/>
              <w:left w:val="nil"/>
              <w:bottom w:val="nil"/>
              <w:right w:val="nil"/>
            </w:tcBorders>
            <w:shd w:val="clear" w:color="auto" w:fill="auto"/>
            <w:noWrap/>
            <w:vAlign w:val="center"/>
            <w:hideMark/>
          </w:tcPr>
          <w:p w14:paraId="73551FD9"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-0.114</w:t>
            </w:r>
          </w:p>
        </w:tc>
        <w:tc>
          <w:tcPr>
            <w:tcW w:w="269" w:type="pct"/>
            <w:tcBorders>
              <w:top w:val="nil"/>
              <w:left w:val="nil"/>
              <w:bottom w:val="nil"/>
              <w:right w:val="nil"/>
            </w:tcBorders>
            <w:shd w:val="clear" w:color="auto" w:fill="auto"/>
            <w:vAlign w:val="center"/>
            <w:hideMark/>
          </w:tcPr>
          <w:p w14:paraId="23B3C770"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0.120</w:t>
            </w:r>
          </w:p>
        </w:tc>
        <w:tc>
          <w:tcPr>
            <w:tcW w:w="284" w:type="pct"/>
            <w:tcBorders>
              <w:top w:val="nil"/>
              <w:left w:val="nil"/>
              <w:bottom w:val="nil"/>
              <w:right w:val="nil"/>
            </w:tcBorders>
            <w:shd w:val="clear" w:color="auto" w:fill="auto"/>
            <w:vAlign w:val="center"/>
            <w:hideMark/>
          </w:tcPr>
          <w:p w14:paraId="42F6D40D"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0.457</w:t>
            </w:r>
          </w:p>
        </w:tc>
      </w:tr>
      <w:tr w:rsidR="00F634D2" w:rsidRPr="00F634D2" w14:paraId="7B58051A" w14:textId="77777777">
        <w:trPr>
          <w:trHeight w:val="20"/>
        </w:trPr>
        <w:tc>
          <w:tcPr>
            <w:tcW w:w="514" w:type="pct"/>
            <w:tcBorders>
              <w:top w:val="nil"/>
              <w:left w:val="nil"/>
              <w:bottom w:val="nil"/>
              <w:right w:val="nil"/>
            </w:tcBorders>
            <w:shd w:val="clear" w:color="auto" w:fill="auto"/>
            <w:vAlign w:val="center"/>
            <w:hideMark/>
          </w:tcPr>
          <w:p w14:paraId="1C46140C" w14:textId="77777777" w:rsidR="00D50589" w:rsidRPr="00F634D2" w:rsidRDefault="00686261">
            <w:pPr>
              <w:spacing w:after="0" w:line="240" w:lineRule="auto"/>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 xml:space="preserve">(2) </w:t>
            </w:r>
            <w:proofErr w:type="spellStart"/>
            <w:r w:rsidRPr="00F634D2">
              <w:rPr>
                <w:rFonts w:ascii="Times New Roman" w:eastAsia="Times New Roman" w:hAnsi="Times New Roman" w:cs="Times New Roman"/>
                <w:i/>
                <w:iCs/>
                <w:sz w:val="16"/>
                <w:szCs w:val="16"/>
                <w:lang w:val="en-GB" w:eastAsia="en-GB"/>
              </w:rPr>
              <w:t>AfterIDD</w:t>
            </w:r>
            <w:proofErr w:type="spellEnd"/>
          </w:p>
        </w:tc>
        <w:tc>
          <w:tcPr>
            <w:tcW w:w="284" w:type="pct"/>
            <w:tcBorders>
              <w:top w:val="nil"/>
              <w:left w:val="nil"/>
              <w:bottom w:val="nil"/>
              <w:right w:val="nil"/>
            </w:tcBorders>
            <w:shd w:val="clear" w:color="auto" w:fill="auto"/>
            <w:noWrap/>
            <w:vAlign w:val="center"/>
            <w:hideMark/>
          </w:tcPr>
          <w:p w14:paraId="477BD24C"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0.047</w:t>
            </w:r>
          </w:p>
        </w:tc>
        <w:tc>
          <w:tcPr>
            <w:tcW w:w="284" w:type="pct"/>
            <w:tcBorders>
              <w:top w:val="nil"/>
              <w:left w:val="nil"/>
              <w:bottom w:val="nil"/>
              <w:right w:val="nil"/>
            </w:tcBorders>
            <w:shd w:val="clear" w:color="auto" w:fill="auto"/>
            <w:noWrap/>
            <w:vAlign w:val="center"/>
            <w:hideMark/>
          </w:tcPr>
          <w:p w14:paraId="743F8174" w14:textId="77777777" w:rsidR="00D50589" w:rsidRPr="00F634D2" w:rsidRDefault="00D50589">
            <w:pPr>
              <w:spacing w:after="0" w:line="240" w:lineRule="auto"/>
              <w:jc w:val="center"/>
              <w:rPr>
                <w:rFonts w:ascii="Times New Roman" w:eastAsia="Times New Roman" w:hAnsi="Times New Roman" w:cs="Times New Roman"/>
                <w:b/>
                <w:bCs/>
                <w:sz w:val="16"/>
                <w:szCs w:val="16"/>
                <w:lang w:val="en-GB" w:eastAsia="en-GB"/>
              </w:rPr>
            </w:pPr>
          </w:p>
        </w:tc>
        <w:tc>
          <w:tcPr>
            <w:tcW w:w="238" w:type="pct"/>
            <w:tcBorders>
              <w:top w:val="nil"/>
              <w:left w:val="nil"/>
              <w:bottom w:val="nil"/>
              <w:right w:val="nil"/>
            </w:tcBorders>
            <w:shd w:val="clear" w:color="auto" w:fill="auto"/>
            <w:noWrap/>
            <w:vAlign w:val="center"/>
            <w:hideMark/>
          </w:tcPr>
          <w:p w14:paraId="435622CC"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0.051</w:t>
            </w:r>
          </w:p>
        </w:tc>
        <w:tc>
          <w:tcPr>
            <w:tcW w:w="238" w:type="pct"/>
            <w:tcBorders>
              <w:top w:val="nil"/>
              <w:left w:val="nil"/>
              <w:bottom w:val="nil"/>
              <w:right w:val="nil"/>
            </w:tcBorders>
            <w:shd w:val="clear" w:color="auto" w:fill="auto"/>
            <w:noWrap/>
            <w:vAlign w:val="center"/>
            <w:hideMark/>
          </w:tcPr>
          <w:p w14:paraId="5A81B610"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0.002</w:t>
            </w:r>
          </w:p>
        </w:tc>
        <w:tc>
          <w:tcPr>
            <w:tcW w:w="238" w:type="pct"/>
            <w:tcBorders>
              <w:top w:val="nil"/>
              <w:left w:val="nil"/>
              <w:bottom w:val="nil"/>
              <w:right w:val="nil"/>
            </w:tcBorders>
            <w:shd w:val="clear" w:color="auto" w:fill="auto"/>
            <w:noWrap/>
            <w:vAlign w:val="center"/>
            <w:hideMark/>
          </w:tcPr>
          <w:p w14:paraId="3D32685E"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0.019</w:t>
            </w:r>
          </w:p>
        </w:tc>
        <w:tc>
          <w:tcPr>
            <w:tcW w:w="238" w:type="pct"/>
            <w:tcBorders>
              <w:top w:val="nil"/>
              <w:left w:val="nil"/>
              <w:bottom w:val="nil"/>
              <w:right w:val="nil"/>
            </w:tcBorders>
            <w:shd w:val="clear" w:color="auto" w:fill="auto"/>
            <w:noWrap/>
            <w:vAlign w:val="center"/>
            <w:hideMark/>
          </w:tcPr>
          <w:p w14:paraId="51DAAED8"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-0.012</w:t>
            </w:r>
          </w:p>
        </w:tc>
        <w:tc>
          <w:tcPr>
            <w:tcW w:w="284" w:type="pct"/>
            <w:tcBorders>
              <w:top w:val="nil"/>
              <w:left w:val="nil"/>
              <w:bottom w:val="nil"/>
              <w:right w:val="nil"/>
            </w:tcBorders>
            <w:shd w:val="clear" w:color="auto" w:fill="auto"/>
            <w:noWrap/>
            <w:vAlign w:val="center"/>
            <w:hideMark/>
          </w:tcPr>
          <w:p w14:paraId="4D72865C"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0.046</w:t>
            </w:r>
          </w:p>
        </w:tc>
        <w:tc>
          <w:tcPr>
            <w:tcW w:w="238" w:type="pct"/>
            <w:tcBorders>
              <w:top w:val="nil"/>
              <w:left w:val="nil"/>
              <w:bottom w:val="nil"/>
              <w:right w:val="nil"/>
            </w:tcBorders>
            <w:shd w:val="clear" w:color="auto" w:fill="auto"/>
            <w:noWrap/>
            <w:vAlign w:val="center"/>
            <w:hideMark/>
          </w:tcPr>
          <w:p w14:paraId="3D9954DC"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0.016</w:t>
            </w:r>
          </w:p>
        </w:tc>
        <w:tc>
          <w:tcPr>
            <w:tcW w:w="238" w:type="pct"/>
            <w:tcBorders>
              <w:top w:val="nil"/>
              <w:left w:val="nil"/>
              <w:bottom w:val="nil"/>
              <w:right w:val="nil"/>
            </w:tcBorders>
            <w:shd w:val="clear" w:color="auto" w:fill="auto"/>
            <w:noWrap/>
            <w:vAlign w:val="center"/>
            <w:hideMark/>
          </w:tcPr>
          <w:p w14:paraId="3E5942CE"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0.024</w:t>
            </w:r>
          </w:p>
        </w:tc>
        <w:tc>
          <w:tcPr>
            <w:tcW w:w="284" w:type="pct"/>
            <w:tcBorders>
              <w:top w:val="nil"/>
              <w:left w:val="nil"/>
              <w:bottom w:val="nil"/>
              <w:right w:val="nil"/>
            </w:tcBorders>
            <w:shd w:val="clear" w:color="auto" w:fill="auto"/>
            <w:noWrap/>
            <w:vAlign w:val="center"/>
            <w:hideMark/>
          </w:tcPr>
          <w:p w14:paraId="0164AC3C"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-0.059</w:t>
            </w:r>
          </w:p>
        </w:tc>
        <w:tc>
          <w:tcPr>
            <w:tcW w:w="284" w:type="pct"/>
            <w:tcBorders>
              <w:top w:val="nil"/>
              <w:left w:val="nil"/>
              <w:bottom w:val="nil"/>
              <w:right w:val="nil"/>
            </w:tcBorders>
            <w:shd w:val="clear" w:color="auto" w:fill="auto"/>
            <w:noWrap/>
            <w:vAlign w:val="center"/>
            <w:hideMark/>
          </w:tcPr>
          <w:p w14:paraId="0E3033A5"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-0.087</w:t>
            </w:r>
          </w:p>
        </w:tc>
        <w:tc>
          <w:tcPr>
            <w:tcW w:w="238" w:type="pct"/>
            <w:tcBorders>
              <w:top w:val="nil"/>
              <w:left w:val="nil"/>
              <w:bottom w:val="nil"/>
              <w:right w:val="nil"/>
            </w:tcBorders>
            <w:shd w:val="clear" w:color="auto" w:fill="auto"/>
            <w:noWrap/>
            <w:vAlign w:val="center"/>
            <w:hideMark/>
          </w:tcPr>
          <w:p w14:paraId="6A39FD1C"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0.006</w:t>
            </w:r>
          </w:p>
        </w:tc>
        <w:tc>
          <w:tcPr>
            <w:tcW w:w="284" w:type="pct"/>
            <w:tcBorders>
              <w:top w:val="nil"/>
              <w:left w:val="nil"/>
              <w:bottom w:val="nil"/>
              <w:right w:val="nil"/>
            </w:tcBorders>
            <w:shd w:val="clear" w:color="auto" w:fill="auto"/>
            <w:noWrap/>
            <w:vAlign w:val="center"/>
            <w:hideMark/>
          </w:tcPr>
          <w:p w14:paraId="4DAFFB0B"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-0.024</w:t>
            </w:r>
          </w:p>
        </w:tc>
        <w:tc>
          <w:tcPr>
            <w:tcW w:w="284" w:type="pct"/>
            <w:tcBorders>
              <w:top w:val="nil"/>
              <w:left w:val="nil"/>
              <w:bottom w:val="nil"/>
              <w:right w:val="nil"/>
            </w:tcBorders>
            <w:shd w:val="clear" w:color="auto" w:fill="auto"/>
            <w:vAlign w:val="center"/>
            <w:hideMark/>
          </w:tcPr>
          <w:p w14:paraId="733EAB50"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-0.081</w:t>
            </w:r>
          </w:p>
        </w:tc>
        <w:tc>
          <w:tcPr>
            <w:tcW w:w="284" w:type="pct"/>
            <w:tcBorders>
              <w:top w:val="nil"/>
              <w:left w:val="nil"/>
              <w:bottom w:val="nil"/>
              <w:right w:val="nil"/>
            </w:tcBorders>
            <w:shd w:val="clear" w:color="auto" w:fill="auto"/>
            <w:vAlign w:val="center"/>
            <w:hideMark/>
          </w:tcPr>
          <w:p w14:paraId="463EFF7E"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0.069</w:t>
            </w:r>
          </w:p>
        </w:tc>
        <w:tc>
          <w:tcPr>
            <w:tcW w:w="269" w:type="pct"/>
            <w:tcBorders>
              <w:top w:val="nil"/>
              <w:left w:val="nil"/>
              <w:bottom w:val="nil"/>
              <w:right w:val="nil"/>
            </w:tcBorders>
            <w:shd w:val="clear" w:color="auto" w:fill="auto"/>
            <w:vAlign w:val="center"/>
            <w:hideMark/>
          </w:tcPr>
          <w:p w14:paraId="79DC601C"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0.066</w:t>
            </w:r>
          </w:p>
        </w:tc>
        <w:tc>
          <w:tcPr>
            <w:tcW w:w="284" w:type="pct"/>
            <w:tcBorders>
              <w:top w:val="nil"/>
              <w:left w:val="nil"/>
              <w:bottom w:val="nil"/>
              <w:right w:val="nil"/>
            </w:tcBorders>
            <w:shd w:val="clear" w:color="auto" w:fill="auto"/>
            <w:vAlign w:val="center"/>
            <w:hideMark/>
          </w:tcPr>
          <w:p w14:paraId="165FFC20"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0.032</w:t>
            </w:r>
          </w:p>
        </w:tc>
      </w:tr>
      <w:tr w:rsidR="00F634D2" w:rsidRPr="00F634D2" w14:paraId="60F82471" w14:textId="77777777">
        <w:trPr>
          <w:trHeight w:val="20"/>
        </w:trPr>
        <w:tc>
          <w:tcPr>
            <w:tcW w:w="514" w:type="pct"/>
            <w:tcBorders>
              <w:top w:val="nil"/>
              <w:left w:val="nil"/>
              <w:bottom w:val="nil"/>
              <w:right w:val="nil"/>
            </w:tcBorders>
            <w:shd w:val="clear" w:color="auto" w:fill="auto"/>
            <w:noWrap/>
            <w:vAlign w:val="center"/>
            <w:hideMark/>
          </w:tcPr>
          <w:p w14:paraId="7AC8C076" w14:textId="77777777" w:rsidR="00D50589" w:rsidRPr="00F634D2" w:rsidRDefault="00686261">
            <w:pPr>
              <w:spacing w:after="0" w:line="240" w:lineRule="auto"/>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(3) Size</w:t>
            </w:r>
          </w:p>
        </w:tc>
        <w:tc>
          <w:tcPr>
            <w:tcW w:w="284" w:type="pct"/>
            <w:tcBorders>
              <w:top w:val="nil"/>
              <w:left w:val="nil"/>
              <w:bottom w:val="nil"/>
              <w:right w:val="nil"/>
            </w:tcBorders>
            <w:shd w:val="clear" w:color="auto" w:fill="auto"/>
            <w:noWrap/>
            <w:vAlign w:val="center"/>
            <w:hideMark/>
          </w:tcPr>
          <w:p w14:paraId="028C5F30"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0.508</w:t>
            </w:r>
          </w:p>
        </w:tc>
        <w:tc>
          <w:tcPr>
            <w:tcW w:w="284" w:type="pct"/>
            <w:tcBorders>
              <w:top w:val="nil"/>
              <w:left w:val="nil"/>
              <w:bottom w:val="nil"/>
              <w:right w:val="nil"/>
            </w:tcBorders>
            <w:shd w:val="clear" w:color="auto" w:fill="auto"/>
            <w:noWrap/>
            <w:vAlign w:val="center"/>
            <w:hideMark/>
          </w:tcPr>
          <w:p w14:paraId="5E2C72B4"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0.051</w:t>
            </w:r>
          </w:p>
        </w:tc>
        <w:tc>
          <w:tcPr>
            <w:tcW w:w="238" w:type="pct"/>
            <w:tcBorders>
              <w:top w:val="nil"/>
              <w:left w:val="nil"/>
              <w:bottom w:val="nil"/>
              <w:right w:val="nil"/>
            </w:tcBorders>
            <w:shd w:val="clear" w:color="auto" w:fill="auto"/>
            <w:noWrap/>
            <w:vAlign w:val="center"/>
            <w:hideMark/>
          </w:tcPr>
          <w:p w14:paraId="6A393B0F" w14:textId="77777777" w:rsidR="00D50589" w:rsidRPr="00F634D2" w:rsidRDefault="00D50589">
            <w:pPr>
              <w:spacing w:after="0" w:line="240" w:lineRule="auto"/>
              <w:jc w:val="center"/>
              <w:rPr>
                <w:rFonts w:ascii="Times New Roman" w:eastAsia="Times New Roman" w:hAnsi="Times New Roman" w:cs="Times New Roman"/>
                <w:b/>
                <w:bCs/>
                <w:sz w:val="16"/>
                <w:szCs w:val="16"/>
                <w:lang w:val="en-GB" w:eastAsia="en-GB"/>
              </w:rPr>
            </w:pPr>
          </w:p>
        </w:tc>
        <w:tc>
          <w:tcPr>
            <w:tcW w:w="238" w:type="pct"/>
            <w:tcBorders>
              <w:top w:val="nil"/>
              <w:left w:val="nil"/>
              <w:bottom w:val="nil"/>
              <w:right w:val="nil"/>
            </w:tcBorders>
            <w:shd w:val="clear" w:color="auto" w:fill="auto"/>
            <w:noWrap/>
            <w:vAlign w:val="center"/>
            <w:hideMark/>
          </w:tcPr>
          <w:p w14:paraId="309B8CDC"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-0.393</w:t>
            </w:r>
          </w:p>
        </w:tc>
        <w:tc>
          <w:tcPr>
            <w:tcW w:w="238" w:type="pct"/>
            <w:tcBorders>
              <w:top w:val="nil"/>
              <w:left w:val="nil"/>
              <w:bottom w:val="nil"/>
              <w:right w:val="nil"/>
            </w:tcBorders>
            <w:shd w:val="clear" w:color="auto" w:fill="auto"/>
            <w:noWrap/>
            <w:vAlign w:val="center"/>
            <w:hideMark/>
          </w:tcPr>
          <w:p w14:paraId="5A77A8AA"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0.322</w:t>
            </w:r>
          </w:p>
        </w:tc>
        <w:tc>
          <w:tcPr>
            <w:tcW w:w="238" w:type="pct"/>
            <w:tcBorders>
              <w:top w:val="nil"/>
              <w:left w:val="nil"/>
              <w:bottom w:val="nil"/>
              <w:right w:val="nil"/>
            </w:tcBorders>
            <w:shd w:val="clear" w:color="auto" w:fill="auto"/>
            <w:noWrap/>
            <w:vAlign w:val="center"/>
            <w:hideMark/>
          </w:tcPr>
          <w:p w14:paraId="3B8E6C4E"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-0.029</w:t>
            </w:r>
          </w:p>
        </w:tc>
        <w:tc>
          <w:tcPr>
            <w:tcW w:w="284" w:type="pct"/>
            <w:tcBorders>
              <w:top w:val="nil"/>
              <w:left w:val="nil"/>
              <w:bottom w:val="nil"/>
              <w:right w:val="nil"/>
            </w:tcBorders>
            <w:shd w:val="clear" w:color="auto" w:fill="auto"/>
            <w:noWrap/>
            <w:vAlign w:val="center"/>
            <w:hideMark/>
          </w:tcPr>
          <w:p w14:paraId="61DDD16A"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0.377</w:t>
            </w:r>
          </w:p>
        </w:tc>
        <w:tc>
          <w:tcPr>
            <w:tcW w:w="238" w:type="pct"/>
            <w:tcBorders>
              <w:top w:val="nil"/>
              <w:left w:val="nil"/>
              <w:bottom w:val="nil"/>
              <w:right w:val="nil"/>
            </w:tcBorders>
            <w:shd w:val="clear" w:color="auto" w:fill="auto"/>
            <w:noWrap/>
            <w:vAlign w:val="center"/>
            <w:hideMark/>
          </w:tcPr>
          <w:p w14:paraId="15B7AAA0"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0.110</w:t>
            </w:r>
          </w:p>
        </w:tc>
        <w:tc>
          <w:tcPr>
            <w:tcW w:w="238" w:type="pct"/>
            <w:tcBorders>
              <w:top w:val="nil"/>
              <w:left w:val="nil"/>
              <w:bottom w:val="nil"/>
              <w:right w:val="nil"/>
            </w:tcBorders>
            <w:shd w:val="clear" w:color="auto" w:fill="auto"/>
            <w:noWrap/>
            <w:vAlign w:val="center"/>
            <w:hideMark/>
          </w:tcPr>
          <w:p w14:paraId="42196ACE"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0.486</w:t>
            </w:r>
          </w:p>
        </w:tc>
        <w:tc>
          <w:tcPr>
            <w:tcW w:w="284" w:type="pct"/>
            <w:tcBorders>
              <w:top w:val="nil"/>
              <w:left w:val="nil"/>
              <w:bottom w:val="nil"/>
              <w:right w:val="nil"/>
            </w:tcBorders>
            <w:shd w:val="clear" w:color="auto" w:fill="auto"/>
            <w:noWrap/>
            <w:vAlign w:val="center"/>
            <w:hideMark/>
          </w:tcPr>
          <w:p w14:paraId="642340E4"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-0.021</w:t>
            </w:r>
          </w:p>
        </w:tc>
        <w:tc>
          <w:tcPr>
            <w:tcW w:w="284" w:type="pct"/>
            <w:tcBorders>
              <w:top w:val="nil"/>
              <w:left w:val="nil"/>
              <w:bottom w:val="nil"/>
              <w:right w:val="nil"/>
            </w:tcBorders>
            <w:shd w:val="clear" w:color="auto" w:fill="auto"/>
            <w:noWrap/>
            <w:vAlign w:val="center"/>
            <w:hideMark/>
          </w:tcPr>
          <w:p w14:paraId="377D65C9"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0.060</w:t>
            </w:r>
          </w:p>
        </w:tc>
        <w:tc>
          <w:tcPr>
            <w:tcW w:w="238" w:type="pct"/>
            <w:tcBorders>
              <w:top w:val="nil"/>
              <w:left w:val="nil"/>
              <w:bottom w:val="nil"/>
              <w:right w:val="nil"/>
            </w:tcBorders>
            <w:shd w:val="clear" w:color="auto" w:fill="auto"/>
            <w:noWrap/>
            <w:vAlign w:val="center"/>
            <w:hideMark/>
          </w:tcPr>
          <w:p w14:paraId="60B6ACA1"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0.027</w:t>
            </w:r>
          </w:p>
        </w:tc>
        <w:tc>
          <w:tcPr>
            <w:tcW w:w="284" w:type="pct"/>
            <w:tcBorders>
              <w:top w:val="nil"/>
              <w:left w:val="nil"/>
              <w:bottom w:val="nil"/>
              <w:right w:val="nil"/>
            </w:tcBorders>
            <w:shd w:val="clear" w:color="auto" w:fill="auto"/>
            <w:noWrap/>
            <w:vAlign w:val="center"/>
            <w:hideMark/>
          </w:tcPr>
          <w:p w14:paraId="5B0989CF"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-0.062</w:t>
            </w:r>
          </w:p>
        </w:tc>
        <w:tc>
          <w:tcPr>
            <w:tcW w:w="284" w:type="pct"/>
            <w:tcBorders>
              <w:top w:val="nil"/>
              <w:left w:val="nil"/>
              <w:bottom w:val="nil"/>
              <w:right w:val="nil"/>
            </w:tcBorders>
            <w:shd w:val="clear" w:color="auto" w:fill="auto"/>
            <w:vAlign w:val="center"/>
            <w:hideMark/>
          </w:tcPr>
          <w:p w14:paraId="17F8A491"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-0.070</w:t>
            </w:r>
          </w:p>
        </w:tc>
        <w:tc>
          <w:tcPr>
            <w:tcW w:w="284" w:type="pct"/>
            <w:tcBorders>
              <w:top w:val="nil"/>
              <w:left w:val="nil"/>
              <w:bottom w:val="nil"/>
              <w:right w:val="nil"/>
            </w:tcBorders>
            <w:shd w:val="clear" w:color="auto" w:fill="auto"/>
            <w:vAlign w:val="center"/>
            <w:hideMark/>
          </w:tcPr>
          <w:p w14:paraId="38CE0466"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0.112</w:t>
            </w:r>
          </w:p>
        </w:tc>
        <w:tc>
          <w:tcPr>
            <w:tcW w:w="269" w:type="pct"/>
            <w:tcBorders>
              <w:top w:val="nil"/>
              <w:left w:val="nil"/>
              <w:bottom w:val="nil"/>
              <w:right w:val="nil"/>
            </w:tcBorders>
            <w:shd w:val="clear" w:color="auto" w:fill="auto"/>
            <w:vAlign w:val="center"/>
            <w:hideMark/>
          </w:tcPr>
          <w:p w14:paraId="528B9FF6"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0.184</w:t>
            </w:r>
          </w:p>
        </w:tc>
        <w:tc>
          <w:tcPr>
            <w:tcW w:w="284" w:type="pct"/>
            <w:tcBorders>
              <w:top w:val="nil"/>
              <w:left w:val="nil"/>
              <w:bottom w:val="nil"/>
              <w:right w:val="nil"/>
            </w:tcBorders>
            <w:shd w:val="clear" w:color="auto" w:fill="auto"/>
            <w:vAlign w:val="center"/>
            <w:hideMark/>
          </w:tcPr>
          <w:p w14:paraId="51847137"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0.600</w:t>
            </w:r>
          </w:p>
        </w:tc>
      </w:tr>
      <w:tr w:rsidR="00F634D2" w:rsidRPr="00F634D2" w14:paraId="503916CA" w14:textId="77777777">
        <w:trPr>
          <w:trHeight w:val="20"/>
        </w:trPr>
        <w:tc>
          <w:tcPr>
            <w:tcW w:w="514" w:type="pct"/>
            <w:tcBorders>
              <w:top w:val="nil"/>
              <w:left w:val="nil"/>
              <w:bottom w:val="nil"/>
              <w:right w:val="nil"/>
            </w:tcBorders>
            <w:shd w:val="clear" w:color="auto" w:fill="auto"/>
            <w:noWrap/>
            <w:vAlign w:val="center"/>
            <w:hideMark/>
          </w:tcPr>
          <w:p w14:paraId="2A9AFE9C" w14:textId="77777777" w:rsidR="00D50589" w:rsidRPr="00F634D2" w:rsidRDefault="00686261">
            <w:pPr>
              <w:spacing w:after="0" w:line="240" w:lineRule="auto"/>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(4) BTM</w:t>
            </w:r>
          </w:p>
        </w:tc>
        <w:tc>
          <w:tcPr>
            <w:tcW w:w="284" w:type="pct"/>
            <w:tcBorders>
              <w:top w:val="nil"/>
              <w:left w:val="nil"/>
              <w:bottom w:val="nil"/>
              <w:right w:val="nil"/>
            </w:tcBorders>
            <w:shd w:val="clear" w:color="auto" w:fill="auto"/>
            <w:noWrap/>
            <w:vAlign w:val="center"/>
            <w:hideMark/>
          </w:tcPr>
          <w:p w14:paraId="17266E4E"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-0.125</w:t>
            </w:r>
          </w:p>
        </w:tc>
        <w:tc>
          <w:tcPr>
            <w:tcW w:w="284" w:type="pct"/>
            <w:tcBorders>
              <w:top w:val="nil"/>
              <w:left w:val="nil"/>
              <w:bottom w:val="nil"/>
              <w:right w:val="nil"/>
            </w:tcBorders>
            <w:shd w:val="clear" w:color="auto" w:fill="auto"/>
            <w:noWrap/>
            <w:vAlign w:val="center"/>
            <w:hideMark/>
          </w:tcPr>
          <w:p w14:paraId="386272B0"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0.002</w:t>
            </w:r>
          </w:p>
        </w:tc>
        <w:tc>
          <w:tcPr>
            <w:tcW w:w="238" w:type="pct"/>
            <w:tcBorders>
              <w:top w:val="nil"/>
              <w:left w:val="nil"/>
              <w:bottom w:val="nil"/>
              <w:right w:val="nil"/>
            </w:tcBorders>
            <w:shd w:val="clear" w:color="auto" w:fill="auto"/>
            <w:noWrap/>
            <w:vAlign w:val="center"/>
            <w:hideMark/>
          </w:tcPr>
          <w:p w14:paraId="33D6A74D"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-0.393</w:t>
            </w:r>
          </w:p>
        </w:tc>
        <w:tc>
          <w:tcPr>
            <w:tcW w:w="238" w:type="pct"/>
            <w:tcBorders>
              <w:top w:val="nil"/>
              <w:left w:val="nil"/>
              <w:bottom w:val="nil"/>
              <w:right w:val="nil"/>
            </w:tcBorders>
            <w:shd w:val="clear" w:color="auto" w:fill="auto"/>
            <w:noWrap/>
            <w:vAlign w:val="center"/>
            <w:hideMark/>
          </w:tcPr>
          <w:p w14:paraId="4CDCF4E3" w14:textId="77777777" w:rsidR="00D50589" w:rsidRPr="00F634D2" w:rsidRDefault="00D50589">
            <w:pPr>
              <w:spacing w:after="0" w:line="240" w:lineRule="auto"/>
              <w:jc w:val="center"/>
              <w:rPr>
                <w:rFonts w:ascii="Times New Roman" w:eastAsia="Times New Roman" w:hAnsi="Times New Roman" w:cs="Times New Roman"/>
                <w:b/>
                <w:bCs/>
                <w:sz w:val="16"/>
                <w:szCs w:val="16"/>
                <w:lang w:val="en-GB" w:eastAsia="en-GB"/>
              </w:rPr>
            </w:pPr>
          </w:p>
        </w:tc>
        <w:tc>
          <w:tcPr>
            <w:tcW w:w="238" w:type="pct"/>
            <w:tcBorders>
              <w:top w:val="nil"/>
              <w:left w:val="nil"/>
              <w:bottom w:val="nil"/>
              <w:right w:val="nil"/>
            </w:tcBorders>
            <w:shd w:val="clear" w:color="auto" w:fill="auto"/>
            <w:noWrap/>
            <w:vAlign w:val="center"/>
            <w:hideMark/>
          </w:tcPr>
          <w:p w14:paraId="53AB7FFB"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-0.328</w:t>
            </w:r>
          </w:p>
        </w:tc>
        <w:tc>
          <w:tcPr>
            <w:tcW w:w="238" w:type="pct"/>
            <w:tcBorders>
              <w:top w:val="nil"/>
              <w:left w:val="nil"/>
              <w:bottom w:val="nil"/>
              <w:right w:val="nil"/>
            </w:tcBorders>
            <w:shd w:val="clear" w:color="auto" w:fill="auto"/>
            <w:noWrap/>
            <w:vAlign w:val="center"/>
            <w:hideMark/>
          </w:tcPr>
          <w:p w14:paraId="7559A004"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-0.028</w:t>
            </w:r>
          </w:p>
        </w:tc>
        <w:tc>
          <w:tcPr>
            <w:tcW w:w="284" w:type="pct"/>
            <w:tcBorders>
              <w:top w:val="nil"/>
              <w:left w:val="nil"/>
              <w:bottom w:val="nil"/>
              <w:right w:val="nil"/>
            </w:tcBorders>
            <w:shd w:val="clear" w:color="auto" w:fill="auto"/>
            <w:noWrap/>
            <w:vAlign w:val="center"/>
            <w:hideMark/>
          </w:tcPr>
          <w:p w14:paraId="0A5C9F82"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0.075</w:t>
            </w:r>
          </w:p>
        </w:tc>
        <w:tc>
          <w:tcPr>
            <w:tcW w:w="238" w:type="pct"/>
            <w:tcBorders>
              <w:top w:val="nil"/>
              <w:left w:val="nil"/>
              <w:bottom w:val="nil"/>
              <w:right w:val="nil"/>
            </w:tcBorders>
            <w:shd w:val="clear" w:color="auto" w:fill="auto"/>
            <w:noWrap/>
            <w:vAlign w:val="center"/>
            <w:hideMark/>
          </w:tcPr>
          <w:p w14:paraId="1E6000FD"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-0.130</w:t>
            </w:r>
          </w:p>
        </w:tc>
        <w:tc>
          <w:tcPr>
            <w:tcW w:w="238" w:type="pct"/>
            <w:tcBorders>
              <w:top w:val="nil"/>
              <w:left w:val="nil"/>
              <w:bottom w:val="nil"/>
              <w:right w:val="nil"/>
            </w:tcBorders>
            <w:shd w:val="clear" w:color="auto" w:fill="auto"/>
            <w:noWrap/>
            <w:vAlign w:val="center"/>
            <w:hideMark/>
          </w:tcPr>
          <w:p w14:paraId="6412BDAE"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-0.060</w:t>
            </w:r>
          </w:p>
        </w:tc>
        <w:tc>
          <w:tcPr>
            <w:tcW w:w="284" w:type="pct"/>
            <w:tcBorders>
              <w:top w:val="nil"/>
              <w:left w:val="nil"/>
              <w:bottom w:val="nil"/>
              <w:right w:val="nil"/>
            </w:tcBorders>
            <w:shd w:val="clear" w:color="auto" w:fill="auto"/>
            <w:noWrap/>
            <w:vAlign w:val="center"/>
            <w:hideMark/>
          </w:tcPr>
          <w:p w14:paraId="3E0398E6"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-0.133</w:t>
            </w:r>
          </w:p>
        </w:tc>
        <w:tc>
          <w:tcPr>
            <w:tcW w:w="284" w:type="pct"/>
            <w:tcBorders>
              <w:top w:val="nil"/>
              <w:left w:val="nil"/>
              <w:bottom w:val="nil"/>
              <w:right w:val="nil"/>
            </w:tcBorders>
            <w:shd w:val="clear" w:color="auto" w:fill="auto"/>
            <w:noWrap/>
            <w:vAlign w:val="center"/>
            <w:hideMark/>
          </w:tcPr>
          <w:p w14:paraId="2B0D7D7B"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0.053</w:t>
            </w:r>
          </w:p>
        </w:tc>
        <w:tc>
          <w:tcPr>
            <w:tcW w:w="238" w:type="pct"/>
            <w:tcBorders>
              <w:top w:val="nil"/>
              <w:left w:val="nil"/>
              <w:bottom w:val="nil"/>
              <w:right w:val="nil"/>
            </w:tcBorders>
            <w:shd w:val="clear" w:color="auto" w:fill="auto"/>
            <w:noWrap/>
            <w:vAlign w:val="center"/>
            <w:hideMark/>
          </w:tcPr>
          <w:p w14:paraId="3F93ADED"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0.219</w:t>
            </w:r>
          </w:p>
        </w:tc>
        <w:tc>
          <w:tcPr>
            <w:tcW w:w="284" w:type="pct"/>
            <w:tcBorders>
              <w:top w:val="nil"/>
              <w:left w:val="nil"/>
              <w:bottom w:val="nil"/>
              <w:right w:val="nil"/>
            </w:tcBorders>
            <w:shd w:val="clear" w:color="auto" w:fill="auto"/>
            <w:noWrap/>
            <w:vAlign w:val="center"/>
            <w:hideMark/>
          </w:tcPr>
          <w:p w14:paraId="1F843990"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-0.116</w:t>
            </w:r>
          </w:p>
        </w:tc>
        <w:tc>
          <w:tcPr>
            <w:tcW w:w="284" w:type="pct"/>
            <w:tcBorders>
              <w:top w:val="nil"/>
              <w:left w:val="nil"/>
              <w:bottom w:val="nil"/>
              <w:right w:val="nil"/>
            </w:tcBorders>
            <w:shd w:val="clear" w:color="auto" w:fill="auto"/>
            <w:vAlign w:val="center"/>
            <w:hideMark/>
          </w:tcPr>
          <w:p w14:paraId="2EA10256"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-0.254</w:t>
            </w:r>
          </w:p>
        </w:tc>
        <w:tc>
          <w:tcPr>
            <w:tcW w:w="284" w:type="pct"/>
            <w:tcBorders>
              <w:top w:val="nil"/>
              <w:left w:val="nil"/>
              <w:bottom w:val="nil"/>
              <w:right w:val="nil"/>
            </w:tcBorders>
            <w:shd w:val="clear" w:color="auto" w:fill="auto"/>
            <w:noWrap/>
            <w:vAlign w:val="center"/>
            <w:hideMark/>
          </w:tcPr>
          <w:p w14:paraId="71E3597B"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-0.121</w:t>
            </w:r>
          </w:p>
        </w:tc>
        <w:tc>
          <w:tcPr>
            <w:tcW w:w="269" w:type="pct"/>
            <w:tcBorders>
              <w:top w:val="nil"/>
              <w:left w:val="nil"/>
              <w:bottom w:val="nil"/>
              <w:right w:val="nil"/>
            </w:tcBorders>
            <w:shd w:val="clear" w:color="auto" w:fill="auto"/>
            <w:vAlign w:val="center"/>
            <w:hideMark/>
          </w:tcPr>
          <w:p w14:paraId="39ECC563"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0.115</w:t>
            </w:r>
          </w:p>
        </w:tc>
        <w:tc>
          <w:tcPr>
            <w:tcW w:w="284" w:type="pct"/>
            <w:tcBorders>
              <w:top w:val="nil"/>
              <w:left w:val="nil"/>
              <w:bottom w:val="nil"/>
              <w:right w:val="nil"/>
            </w:tcBorders>
            <w:shd w:val="clear" w:color="auto" w:fill="auto"/>
            <w:vAlign w:val="center"/>
            <w:hideMark/>
          </w:tcPr>
          <w:p w14:paraId="4B5D2AA0"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-0.382</w:t>
            </w:r>
          </w:p>
        </w:tc>
      </w:tr>
      <w:tr w:rsidR="00F634D2" w:rsidRPr="00F634D2" w14:paraId="0FF7F485" w14:textId="77777777">
        <w:trPr>
          <w:trHeight w:val="20"/>
        </w:trPr>
        <w:tc>
          <w:tcPr>
            <w:tcW w:w="514" w:type="pct"/>
            <w:tcBorders>
              <w:top w:val="nil"/>
              <w:left w:val="nil"/>
              <w:bottom w:val="nil"/>
              <w:right w:val="nil"/>
            </w:tcBorders>
            <w:shd w:val="clear" w:color="auto" w:fill="auto"/>
            <w:vAlign w:val="center"/>
            <w:hideMark/>
          </w:tcPr>
          <w:p w14:paraId="392C14FB" w14:textId="77777777" w:rsidR="00D50589" w:rsidRPr="00F634D2" w:rsidRDefault="00686261">
            <w:pPr>
              <w:spacing w:after="0" w:line="240" w:lineRule="auto"/>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(5) ROA</w:t>
            </w:r>
          </w:p>
        </w:tc>
        <w:tc>
          <w:tcPr>
            <w:tcW w:w="284" w:type="pct"/>
            <w:tcBorders>
              <w:top w:val="nil"/>
              <w:left w:val="nil"/>
              <w:bottom w:val="nil"/>
              <w:right w:val="nil"/>
            </w:tcBorders>
            <w:shd w:val="clear" w:color="auto" w:fill="auto"/>
            <w:noWrap/>
            <w:vAlign w:val="center"/>
            <w:hideMark/>
          </w:tcPr>
          <w:p w14:paraId="6B2DB39A"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0.112</w:t>
            </w:r>
          </w:p>
        </w:tc>
        <w:tc>
          <w:tcPr>
            <w:tcW w:w="284" w:type="pct"/>
            <w:tcBorders>
              <w:top w:val="nil"/>
              <w:left w:val="nil"/>
              <w:bottom w:val="nil"/>
              <w:right w:val="nil"/>
            </w:tcBorders>
            <w:shd w:val="clear" w:color="auto" w:fill="auto"/>
            <w:noWrap/>
            <w:vAlign w:val="center"/>
            <w:hideMark/>
          </w:tcPr>
          <w:p w14:paraId="535013A7"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0.019</w:t>
            </w:r>
          </w:p>
        </w:tc>
        <w:tc>
          <w:tcPr>
            <w:tcW w:w="238" w:type="pct"/>
            <w:tcBorders>
              <w:top w:val="nil"/>
              <w:left w:val="nil"/>
              <w:bottom w:val="nil"/>
              <w:right w:val="nil"/>
            </w:tcBorders>
            <w:shd w:val="clear" w:color="auto" w:fill="auto"/>
            <w:noWrap/>
            <w:vAlign w:val="center"/>
            <w:hideMark/>
          </w:tcPr>
          <w:p w14:paraId="420EDF7C"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0.322</w:t>
            </w:r>
          </w:p>
        </w:tc>
        <w:tc>
          <w:tcPr>
            <w:tcW w:w="238" w:type="pct"/>
            <w:tcBorders>
              <w:top w:val="nil"/>
              <w:left w:val="nil"/>
              <w:bottom w:val="nil"/>
              <w:right w:val="nil"/>
            </w:tcBorders>
            <w:shd w:val="clear" w:color="auto" w:fill="auto"/>
            <w:noWrap/>
            <w:vAlign w:val="center"/>
            <w:hideMark/>
          </w:tcPr>
          <w:p w14:paraId="4FA06E83"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-0.328</w:t>
            </w:r>
          </w:p>
        </w:tc>
        <w:tc>
          <w:tcPr>
            <w:tcW w:w="238" w:type="pct"/>
            <w:tcBorders>
              <w:top w:val="nil"/>
              <w:left w:val="nil"/>
              <w:bottom w:val="nil"/>
              <w:right w:val="nil"/>
            </w:tcBorders>
            <w:shd w:val="clear" w:color="auto" w:fill="auto"/>
            <w:noWrap/>
            <w:vAlign w:val="center"/>
            <w:hideMark/>
          </w:tcPr>
          <w:p w14:paraId="58BC88F5" w14:textId="77777777" w:rsidR="00D50589" w:rsidRPr="00F634D2" w:rsidRDefault="00D50589">
            <w:pPr>
              <w:spacing w:after="0" w:line="240" w:lineRule="auto"/>
              <w:jc w:val="center"/>
              <w:rPr>
                <w:rFonts w:ascii="Times New Roman" w:eastAsia="Times New Roman" w:hAnsi="Times New Roman" w:cs="Times New Roman"/>
                <w:b/>
                <w:bCs/>
                <w:sz w:val="16"/>
                <w:szCs w:val="16"/>
                <w:lang w:val="en-GB" w:eastAsia="en-GB"/>
              </w:rPr>
            </w:pPr>
          </w:p>
        </w:tc>
        <w:tc>
          <w:tcPr>
            <w:tcW w:w="238" w:type="pct"/>
            <w:tcBorders>
              <w:top w:val="nil"/>
              <w:left w:val="nil"/>
              <w:bottom w:val="nil"/>
              <w:right w:val="nil"/>
            </w:tcBorders>
            <w:shd w:val="clear" w:color="auto" w:fill="auto"/>
            <w:noWrap/>
            <w:vAlign w:val="center"/>
            <w:hideMark/>
          </w:tcPr>
          <w:p w14:paraId="53DEF206"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0.090</w:t>
            </w:r>
          </w:p>
        </w:tc>
        <w:tc>
          <w:tcPr>
            <w:tcW w:w="284" w:type="pct"/>
            <w:tcBorders>
              <w:top w:val="nil"/>
              <w:left w:val="nil"/>
              <w:bottom w:val="nil"/>
              <w:right w:val="nil"/>
            </w:tcBorders>
            <w:shd w:val="clear" w:color="auto" w:fill="auto"/>
            <w:noWrap/>
            <w:vAlign w:val="center"/>
            <w:hideMark/>
          </w:tcPr>
          <w:p w14:paraId="2AF7B3E9"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0.094</w:t>
            </w:r>
          </w:p>
        </w:tc>
        <w:tc>
          <w:tcPr>
            <w:tcW w:w="238" w:type="pct"/>
            <w:tcBorders>
              <w:top w:val="nil"/>
              <w:left w:val="nil"/>
              <w:bottom w:val="nil"/>
              <w:right w:val="nil"/>
            </w:tcBorders>
            <w:shd w:val="clear" w:color="auto" w:fill="auto"/>
            <w:noWrap/>
            <w:vAlign w:val="center"/>
            <w:hideMark/>
          </w:tcPr>
          <w:p w14:paraId="7BBDC26A"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0.132</w:t>
            </w:r>
          </w:p>
        </w:tc>
        <w:tc>
          <w:tcPr>
            <w:tcW w:w="238" w:type="pct"/>
            <w:tcBorders>
              <w:top w:val="nil"/>
              <w:left w:val="nil"/>
              <w:bottom w:val="nil"/>
              <w:right w:val="nil"/>
            </w:tcBorders>
            <w:shd w:val="clear" w:color="auto" w:fill="auto"/>
            <w:noWrap/>
            <w:vAlign w:val="center"/>
            <w:hideMark/>
          </w:tcPr>
          <w:p w14:paraId="39D8555E"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0.079</w:t>
            </w:r>
          </w:p>
        </w:tc>
        <w:tc>
          <w:tcPr>
            <w:tcW w:w="284" w:type="pct"/>
            <w:tcBorders>
              <w:top w:val="nil"/>
              <w:left w:val="nil"/>
              <w:bottom w:val="nil"/>
              <w:right w:val="nil"/>
            </w:tcBorders>
            <w:shd w:val="clear" w:color="auto" w:fill="auto"/>
            <w:noWrap/>
            <w:vAlign w:val="center"/>
            <w:hideMark/>
          </w:tcPr>
          <w:p w14:paraId="3B4FD08A"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0.068</w:t>
            </w:r>
          </w:p>
        </w:tc>
        <w:tc>
          <w:tcPr>
            <w:tcW w:w="284" w:type="pct"/>
            <w:tcBorders>
              <w:top w:val="nil"/>
              <w:left w:val="nil"/>
              <w:bottom w:val="nil"/>
              <w:right w:val="nil"/>
            </w:tcBorders>
            <w:shd w:val="clear" w:color="auto" w:fill="auto"/>
            <w:noWrap/>
            <w:vAlign w:val="center"/>
            <w:hideMark/>
          </w:tcPr>
          <w:p w14:paraId="00000C5D"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-0.016</w:t>
            </w:r>
          </w:p>
        </w:tc>
        <w:tc>
          <w:tcPr>
            <w:tcW w:w="238" w:type="pct"/>
            <w:tcBorders>
              <w:top w:val="nil"/>
              <w:left w:val="nil"/>
              <w:bottom w:val="nil"/>
              <w:right w:val="nil"/>
            </w:tcBorders>
            <w:shd w:val="clear" w:color="auto" w:fill="auto"/>
            <w:noWrap/>
            <w:vAlign w:val="center"/>
            <w:hideMark/>
          </w:tcPr>
          <w:p w14:paraId="1CE6F12D"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-0.183</w:t>
            </w:r>
          </w:p>
        </w:tc>
        <w:tc>
          <w:tcPr>
            <w:tcW w:w="284" w:type="pct"/>
            <w:tcBorders>
              <w:top w:val="nil"/>
              <w:left w:val="nil"/>
              <w:bottom w:val="nil"/>
              <w:right w:val="nil"/>
            </w:tcBorders>
            <w:shd w:val="clear" w:color="auto" w:fill="auto"/>
            <w:noWrap/>
            <w:vAlign w:val="center"/>
            <w:hideMark/>
          </w:tcPr>
          <w:p w14:paraId="62BF1753"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0.051</w:t>
            </w:r>
          </w:p>
        </w:tc>
        <w:tc>
          <w:tcPr>
            <w:tcW w:w="284" w:type="pct"/>
            <w:tcBorders>
              <w:top w:val="nil"/>
              <w:left w:val="nil"/>
              <w:bottom w:val="nil"/>
              <w:right w:val="nil"/>
            </w:tcBorders>
            <w:shd w:val="clear" w:color="auto" w:fill="auto"/>
            <w:vAlign w:val="center"/>
            <w:hideMark/>
          </w:tcPr>
          <w:p w14:paraId="57EEB9D2"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-0.296</w:t>
            </w:r>
          </w:p>
        </w:tc>
        <w:tc>
          <w:tcPr>
            <w:tcW w:w="284" w:type="pct"/>
            <w:tcBorders>
              <w:top w:val="nil"/>
              <w:left w:val="nil"/>
              <w:bottom w:val="nil"/>
              <w:right w:val="nil"/>
            </w:tcBorders>
            <w:shd w:val="clear" w:color="auto" w:fill="auto"/>
            <w:noWrap/>
            <w:vAlign w:val="center"/>
            <w:hideMark/>
          </w:tcPr>
          <w:p w14:paraId="7C5B91FD"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-0.094</w:t>
            </w:r>
          </w:p>
        </w:tc>
        <w:tc>
          <w:tcPr>
            <w:tcW w:w="269" w:type="pct"/>
            <w:tcBorders>
              <w:top w:val="nil"/>
              <w:left w:val="nil"/>
              <w:bottom w:val="nil"/>
              <w:right w:val="nil"/>
            </w:tcBorders>
            <w:shd w:val="clear" w:color="auto" w:fill="auto"/>
            <w:vAlign w:val="center"/>
            <w:hideMark/>
          </w:tcPr>
          <w:p w14:paraId="5FFC9BE8"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0.003</w:t>
            </w:r>
          </w:p>
        </w:tc>
        <w:tc>
          <w:tcPr>
            <w:tcW w:w="284" w:type="pct"/>
            <w:tcBorders>
              <w:top w:val="nil"/>
              <w:left w:val="nil"/>
              <w:bottom w:val="nil"/>
              <w:right w:val="nil"/>
            </w:tcBorders>
            <w:shd w:val="clear" w:color="auto" w:fill="auto"/>
            <w:vAlign w:val="center"/>
            <w:hideMark/>
          </w:tcPr>
          <w:p w14:paraId="78F5FD00"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0.296</w:t>
            </w:r>
          </w:p>
        </w:tc>
      </w:tr>
      <w:tr w:rsidR="00F634D2" w:rsidRPr="00F634D2" w14:paraId="24E48501" w14:textId="77777777">
        <w:trPr>
          <w:trHeight w:val="20"/>
        </w:trPr>
        <w:tc>
          <w:tcPr>
            <w:tcW w:w="514" w:type="pct"/>
            <w:tcBorders>
              <w:top w:val="nil"/>
              <w:left w:val="nil"/>
              <w:bottom w:val="nil"/>
              <w:right w:val="nil"/>
            </w:tcBorders>
            <w:shd w:val="clear" w:color="auto" w:fill="auto"/>
            <w:vAlign w:val="center"/>
            <w:hideMark/>
          </w:tcPr>
          <w:p w14:paraId="366C4E2F" w14:textId="77777777" w:rsidR="00D50589" w:rsidRPr="00F634D2" w:rsidRDefault="00686261">
            <w:pPr>
              <w:spacing w:after="0" w:line="240" w:lineRule="auto"/>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(6) Tenure</w:t>
            </w:r>
          </w:p>
        </w:tc>
        <w:tc>
          <w:tcPr>
            <w:tcW w:w="284" w:type="pct"/>
            <w:tcBorders>
              <w:top w:val="nil"/>
              <w:left w:val="nil"/>
              <w:bottom w:val="nil"/>
              <w:right w:val="nil"/>
            </w:tcBorders>
            <w:shd w:val="clear" w:color="auto" w:fill="auto"/>
            <w:noWrap/>
            <w:vAlign w:val="center"/>
            <w:hideMark/>
          </w:tcPr>
          <w:p w14:paraId="74003FEE"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-0.012</w:t>
            </w:r>
          </w:p>
        </w:tc>
        <w:tc>
          <w:tcPr>
            <w:tcW w:w="284" w:type="pct"/>
            <w:tcBorders>
              <w:top w:val="nil"/>
              <w:left w:val="nil"/>
              <w:bottom w:val="nil"/>
              <w:right w:val="nil"/>
            </w:tcBorders>
            <w:shd w:val="clear" w:color="auto" w:fill="auto"/>
            <w:noWrap/>
            <w:vAlign w:val="center"/>
            <w:hideMark/>
          </w:tcPr>
          <w:p w14:paraId="48A18C04"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-0.012</w:t>
            </w:r>
          </w:p>
        </w:tc>
        <w:tc>
          <w:tcPr>
            <w:tcW w:w="238" w:type="pct"/>
            <w:tcBorders>
              <w:top w:val="nil"/>
              <w:left w:val="nil"/>
              <w:bottom w:val="nil"/>
              <w:right w:val="nil"/>
            </w:tcBorders>
            <w:shd w:val="clear" w:color="auto" w:fill="auto"/>
            <w:noWrap/>
            <w:vAlign w:val="center"/>
            <w:hideMark/>
          </w:tcPr>
          <w:p w14:paraId="78854759"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-0.029</w:t>
            </w:r>
          </w:p>
        </w:tc>
        <w:tc>
          <w:tcPr>
            <w:tcW w:w="238" w:type="pct"/>
            <w:tcBorders>
              <w:top w:val="nil"/>
              <w:left w:val="nil"/>
              <w:bottom w:val="nil"/>
              <w:right w:val="nil"/>
            </w:tcBorders>
            <w:shd w:val="clear" w:color="auto" w:fill="auto"/>
            <w:noWrap/>
            <w:vAlign w:val="center"/>
            <w:hideMark/>
          </w:tcPr>
          <w:p w14:paraId="2C0F0FA1"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-0.028</w:t>
            </w:r>
          </w:p>
        </w:tc>
        <w:tc>
          <w:tcPr>
            <w:tcW w:w="238" w:type="pct"/>
            <w:tcBorders>
              <w:top w:val="nil"/>
              <w:left w:val="nil"/>
              <w:bottom w:val="nil"/>
              <w:right w:val="nil"/>
            </w:tcBorders>
            <w:shd w:val="clear" w:color="auto" w:fill="auto"/>
            <w:noWrap/>
            <w:vAlign w:val="center"/>
            <w:hideMark/>
          </w:tcPr>
          <w:p w14:paraId="58D75559"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0.090</w:t>
            </w:r>
          </w:p>
        </w:tc>
        <w:tc>
          <w:tcPr>
            <w:tcW w:w="238" w:type="pct"/>
            <w:tcBorders>
              <w:top w:val="nil"/>
              <w:left w:val="nil"/>
              <w:bottom w:val="nil"/>
              <w:right w:val="nil"/>
            </w:tcBorders>
            <w:shd w:val="clear" w:color="auto" w:fill="auto"/>
            <w:noWrap/>
            <w:vAlign w:val="center"/>
            <w:hideMark/>
          </w:tcPr>
          <w:p w14:paraId="57F22A92" w14:textId="77777777" w:rsidR="00D50589" w:rsidRPr="00F634D2" w:rsidRDefault="00D50589">
            <w:pPr>
              <w:spacing w:after="0" w:line="240" w:lineRule="auto"/>
              <w:jc w:val="center"/>
              <w:rPr>
                <w:rFonts w:ascii="Times New Roman" w:eastAsia="Times New Roman" w:hAnsi="Times New Roman" w:cs="Times New Roman"/>
                <w:b/>
                <w:bCs/>
                <w:sz w:val="16"/>
                <w:szCs w:val="16"/>
                <w:lang w:val="en-GB" w:eastAsia="en-GB"/>
              </w:rPr>
            </w:pPr>
          </w:p>
        </w:tc>
        <w:tc>
          <w:tcPr>
            <w:tcW w:w="284" w:type="pct"/>
            <w:tcBorders>
              <w:top w:val="nil"/>
              <w:left w:val="nil"/>
              <w:bottom w:val="nil"/>
              <w:right w:val="nil"/>
            </w:tcBorders>
            <w:shd w:val="clear" w:color="auto" w:fill="auto"/>
            <w:noWrap/>
            <w:vAlign w:val="center"/>
            <w:hideMark/>
          </w:tcPr>
          <w:p w14:paraId="00580AD2"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0.055</w:t>
            </w:r>
          </w:p>
        </w:tc>
        <w:tc>
          <w:tcPr>
            <w:tcW w:w="238" w:type="pct"/>
            <w:tcBorders>
              <w:top w:val="nil"/>
              <w:left w:val="nil"/>
              <w:bottom w:val="nil"/>
              <w:right w:val="nil"/>
            </w:tcBorders>
            <w:shd w:val="clear" w:color="auto" w:fill="auto"/>
            <w:noWrap/>
            <w:vAlign w:val="center"/>
            <w:hideMark/>
          </w:tcPr>
          <w:p w14:paraId="4CA3BD5B"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-0.001</w:t>
            </w:r>
          </w:p>
        </w:tc>
        <w:tc>
          <w:tcPr>
            <w:tcW w:w="238" w:type="pct"/>
            <w:tcBorders>
              <w:top w:val="nil"/>
              <w:left w:val="nil"/>
              <w:bottom w:val="nil"/>
              <w:right w:val="nil"/>
            </w:tcBorders>
            <w:shd w:val="clear" w:color="auto" w:fill="auto"/>
            <w:noWrap/>
            <w:vAlign w:val="center"/>
            <w:hideMark/>
          </w:tcPr>
          <w:p w14:paraId="40A42633"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-0.119</w:t>
            </w:r>
          </w:p>
        </w:tc>
        <w:tc>
          <w:tcPr>
            <w:tcW w:w="284" w:type="pct"/>
            <w:tcBorders>
              <w:top w:val="nil"/>
              <w:left w:val="nil"/>
              <w:bottom w:val="nil"/>
              <w:right w:val="nil"/>
            </w:tcBorders>
            <w:shd w:val="clear" w:color="auto" w:fill="auto"/>
            <w:noWrap/>
            <w:vAlign w:val="center"/>
            <w:hideMark/>
          </w:tcPr>
          <w:p w14:paraId="745A4818"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0.024</w:t>
            </w:r>
          </w:p>
        </w:tc>
        <w:tc>
          <w:tcPr>
            <w:tcW w:w="284" w:type="pct"/>
            <w:tcBorders>
              <w:top w:val="nil"/>
              <w:left w:val="nil"/>
              <w:bottom w:val="nil"/>
              <w:right w:val="nil"/>
            </w:tcBorders>
            <w:shd w:val="clear" w:color="auto" w:fill="auto"/>
            <w:noWrap/>
            <w:vAlign w:val="center"/>
            <w:hideMark/>
          </w:tcPr>
          <w:p w14:paraId="468CAB31"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-0.004</w:t>
            </w:r>
          </w:p>
        </w:tc>
        <w:tc>
          <w:tcPr>
            <w:tcW w:w="238" w:type="pct"/>
            <w:tcBorders>
              <w:top w:val="nil"/>
              <w:left w:val="nil"/>
              <w:bottom w:val="nil"/>
              <w:right w:val="nil"/>
            </w:tcBorders>
            <w:shd w:val="clear" w:color="auto" w:fill="auto"/>
            <w:noWrap/>
            <w:vAlign w:val="center"/>
            <w:hideMark/>
          </w:tcPr>
          <w:p w14:paraId="1D9054FD"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-0.033</w:t>
            </w:r>
          </w:p>
        </w:tc>
        <w:tc>
          <w:tcPr>
            <w:tcW w:w="284" w:type="pct"/>
            <w:tcBorders>
              <w:top w:val="nil"/>
              <w:left w:val="nil"/>
              <w:bottom w:val="nil"/>
              <w:right w:val="nil"/>
            </w:tcBorders>
            <w:shd w:val="clear" w:color="auto" w:fill="auto"/>
            <w:noWrap/>
            <w:vAlign w:val="center"/>
            <w:hideMark/>
          </w:tcPr>
          <w:p w14:paraId="45192DC0"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0.055</w:t>
            </w:r>
          </w:p>
        </w:tc>
        <w:tc>
          <w:tcPr>
            <w:tcW w:w="284" w:type="pct"/>
            <w:tcBorders>
              <w:top w:val="nil"/>
              <w:left w:val="nil"/>
              <w:bottom w:val="nil"/>
              <w:right w:val="nil"/>
            </w:tcBorders>
            <w:shd w:val="clear" w:color="auto" w:fill="auto"/>
            <w:vAlign w:val="center"/>
            <w:hideMark/>
          </w:tcPr>
          <w:p w14:paraId="71FCEF4C"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-0.026</w:t>
            </w:r>
          </w:p>
        </w:tc>
        <w:tc>
          <w:tcPr>
            <w:tcW w:w="284" w:type="pct"/>
            <w:tcBorders>
              <w:top w:val="nil"/>
              <w:left w:val="nil"/>
              <w:bottom w:val="nil"/>
              <w:right w:val="nil"/>
            </w:tcBorders>
            <w:shd w:val="clear" w:color="auto" w:fill="auto"/>
            <w:noWrap/>
            <w:vAlign w:val="center"/>
            <w:hideMark/>
          </w:tcPr>
          <w:p w14:paraId="0F751A91"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-0.110</w:t>
            </w:r>
          </w:p>
        </w:tc>
        <w:tc>
          <w:tcPr>
            <w:tcW w:w="269" w:type="pct"/>
            <w:tcBorders>
              <w:top w:val="nil"/>
              <w:left w:val="nil"/>
              <w:bottom w:val="nil"/>
              <w:right w:val="nil"/>
            </w:tcBorders>
            <w:shd w:val="clear" w:color="auto" w:fill="auto"/>
            <w:vAlign w:val="center"/>
            <w:hideMark/>
          </w:tcPr>
          <w:p w14:paraId="1A88EC25"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0.003</w:t>
            </w:r>
          </w:p>
        </w:tc>
        <w:tc>
          <w:tcPr>
            <w:tcW w:w="284" w:type="pct"/>
            <w:tcBorders>
              <w:top w:val="nil"/>
              <w:left w:val="nil"/>
              <w:bottom w:val="nil"/>
              <w:right w:val="nil"/>
            </w:tcBorders>
            <w:shd w:val="clear" w:color="auto" w:fill="auto"/>
            <w:vAlign w:val="center"/>
            <w:hideMark/>
          </w:tcPr>
          <w:p w14:paraId="11D7F527"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0.356</w:t>
            </w:r>
          </w:p>
        </w:tc>
      </w:tr>
      <w:tr w:rsidR="00F634D2" w:rsidRPr="00F634D2" w14:paraId="38F16A81" w14:textId="77777777">
        <w:trPr>
          <w:trHeight w:val="20"/>
        </w:trPr>
        <w:tc>
          <w:tcPr>
            <w:tcW w:w="514" w:type="pct"/>
            <w:tcBorders>
              <w:top w:val="nil"/>
              <w:left w:val="nil"/>
              <w:bottom w:val="nil"/>
              <w:right w:val="nil"/>
            </w:tcBorders>
            <w:shd w:val="clear" w:color="auto" w:fill="auto"/>
            <w:vAlign w:val="center"/>
            <w:hideMark/>
          </w:tcPr>
          <w:p w14:paraId="6DCF34CD" w14:textId="77777777" w:rsidR="00D50589" w:rsidRPr="00F634D2" w:rsidRDefault="00686261">
            <w:pPr>
              <w:spacing w:after="0" w:line="240" w:lineRule="auto"/>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(7) Salary</w:t>
            </w:r>
          </w:p>
        </w:tc>
        <w:tc>
          <w:tcPr>
            <w:tcW w:w="284" w:type="pct"/>
            <w:tcBorders>
              <w:top w:val="nil"/>
              <w:left w:val="nil"/>
              <w:bottom w:val="nil"/>
              <w:right w:val="nil"/>
            </w:tcBorders>
            <w:shd w:val="clear" w:color="auto" w:fill="auto"/>
            <w:noWrap/>
            <w:vAlign w:val="center"/>
            <w:hideMark/>
          </w:tcPr>
          <w:p w14:paraId="41299A94"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0.345</w:t>
            </w:r>
          </w:p>
        </w:tc>
        <w:tc>
          <w:tcPr>
            <w:tcW w:w="284" w:type="pct"/>
            <w:tcBorders>
              <w:top w:val="nil"/>
              <w:left w:val="nil"/>
              <w:bottom w:val="nil"/>
              <w:right w:val="nil"/>
            </w:tcBorders>
            <w:shd w:val="clear" w:color="auto" w:fill="auto"/>
            <w:noWrap/>
            <w:vAlign w:val="center"/>
            <w:hideMark/>
          </w:tcPr>
          <w:p w14:paraId="741BEE36"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0.046</w:t>
            </w:r>
          </w:p>
        </w:tc>
        <w:tc>
          <w:tcPr>
            <w:tcW w:w="238" w:type="pct"/>
            <w:tcBorders>
              <w:top w:val="nil"/>
              <w:left w:val="nil"/>
              <w:bottom w:val="nil"/>
              <w:right w:val="nil"/>
            </w:tcBorders>
            <w:shd w:val="clear" w:color="auto" w:fill="auto"/>
            <w:noWrap/>
            <w:vAlign w:val="center"/>
            <w:hideMark/>
          </w:tcPr>
          <w:p w14:paraId="6E8E94A3"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0.377</w:t>
            </w:r>
          </w:p>
        </w:tc>
        <w:tc>
          <w:tcPr>
            <w:tcW w:w="238" w:type="pct"/>
            <w:tcBorders>
              <w:top w:val="nil"/>
              <w:left w:val="nil"/>
              <w:bottom w:val="nil"/>
              <w:right w:val="nil"/>
            </w:tcBorders>
            <w:shd w:val="clear" w:color="auto" w:fill="auto"/>
            <w:noWrap/>
            <w:vAlign w:val="center"/>
            <w:hideMark/>
          </w:tcPr>
          <w:p w14:paraId="6EE91757"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0.075</w:t>
            </w:r>
          </w:p>
        </w:tc>
        <w:tc>
          <w:tcPr>
            <w:tcW w:w="238" w:type="pct"/>
            <w:tcBorders>
              <w:top w:val="nil"/>
              <w:left w:val="nil"/>
              <w:bottom w:val="nil"/>
              <w:right w:val="nil"/>
            </w:tcBorders>
            <w:shd w:val="clear" w:color="auto" w:fill="auto"/>
            <w:noWrap/>
            <w:vAlign w:val="center"/>
            <w:hideMark/>
          </w:tcPr>
          <w:p w14:paraId="7F31549F"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0.094</w:t>
            </w:r>
          </w:p>
        </w:tc>
        <w:tc>
          <w:tcPr>
            <w:tcW w:w="238" w:type="pct"/>
            <w:tcBorders>
              <w:top w:val="nil"/>
              <w:left w:val="nil"/>
              <w:bottom w:val="nil"/>
              <w:right w:val="nil"/>
            </w:tcBorders>
            <w:shd w:val="clear" w:color="auto" w:fill="auto"/>
            <w:noWrap/>
            <w:vAlign w:val="center"/>
            <w:hideMark/>
          </w:tcPr>
          <w:p w14:paraId="228846E2"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0.055</w:t>
            </w:r>
          </w:p>
        </w:tc>
        <w:tc>
          <w:tcPr>
            <w:tcW w:w="284" w:type="pct"/>
            <w:tcBorders>
              <w:top w:val="nil"/>
              <w:left w:val="nil"/>
              <w:bottom w:val="nil"/>
              <w:right w:val="nil"/>
            </w:tcBorders>
            <w:shd w:val="clear" w:color="auto" w:fill="auto"/>
            <w:noWrap/>
            <w:vAlign w:val="center"/>
            <w:hideMark/>
          </w:tcPr>
          <w:p w14:paraId="61140DF6" w14:textId="77777777" w:rsidR="00D50589" w:rsidRPr="00F634D2" w:rsidRDefault="00D50589">
            <w:pPr>
              <w:spacing w:after="0" w:line="240" w:lineRule="auto"/>
              <w:jc w:val="center"/>
              <w:rPr>
                <w:rFonts w:ascii="Times New Roman" w:eastAsia="Times New Roman" w:hAnsi="Times New Roman" w:cs="Times New Roman"/>
                <w:b/>
                <w:bCs/>
                <w:sz w:val="16"/>
                <w:szCs w:val="16"/>
                <w:lang w:val="en-GB" w:eastAsia="en-GB"/>
              </w:rPr>
            </w:pPr>
          </w:p>
        </w:tc>
        <w:tc>
          <w:tcPr>
            <w:tcW w:w="238" w:type="pct"/>
            <w:tcBorders>
              <w:top w:val="nil"/>
              <w:left w:val="nil"/>
              <w:bottom w:val="nil"/>
              <w:right w:val="nil"/>
            </w:tcBorders>
            <w:shd w:val="clear" w:color="auto" w:fill="auto"/>
            <w:noWrap/>
            <w:vAlign w:val="center"/>
            <w:hideMark/>
          </w:tcPr>
          <w:p w14:paraId="5968899B"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0.024</w:t>
            </w:r>
          </w:p>
        </w:tc>
        <w:tc>
          <w:tcPr>
            <w:tcW w:w="238" w:type="pct"/>
            <w:tcBorders>
              <w:top w:val="nil"/>
              <w:left w:val="nil"/>
              <w:bottom w:val="nil"/>
              <w:right w:val="nil"/>
            </w:tcBorders>
            <w:shd w:val="clear" w:color="auto" w:fill="auto"/>
            <w:noWrap/>
            <w:vAlign w:val="center"/>
            <w:hideMark/>
          </w:tcPr>
          <w:p w14:paraId="1A73E716"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0.418</w:t>
            </w:r>
          </w:p>
        </w:tc>
        <w:tc>
          <w:tcPr>
            <w:tcW w:w="284" w:type="pct"/>
            <w:tcBorders>
              <w:top w:val="nil"/>
              <w:left w:val="nil"/>
              <w:bottom w:val="nil"/>
              <w:right w:val="nil"/>
            </w:tcBorders>
            <w:shd w:val="clear" w:color="auto" w:fill="auto"/>
            <w:noWrap/>
            <w:vAlign w:val="center"/>
            <w:hideMark/>
          </w:tcPr>
          <w:p w14:paraId="6B75006B"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-0.153</w:t>
            </w:r>
          </w:p>
        </w:tc>
        <w:tc>
          <w:tcPr>
            <w:tcW w:w="284" w:type="pct"/>
            <w:tcBorders>
              <w:top w:val="nil"/>
              <w:left w:val="nil"/>
              <w:bottom w:val="nil"/>
              <w:right w:val="nil"/>
            </w:tcBorders>
            <w:shd w:val="clear" w:color="auto" w:fill="auto"/>
            <w:noWrap/>
            <w:vAlign w:val="center"/>
            <w:hideMark/>
          </w:tcPr>
          <w:p w14:paraId="029E0961"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0.155</w:t>
            </w:r>
          </w:p>
        </w:tc>
        <w:tc>
          <w:tcPr>
            <w:tcW w:w="238" w:type="pct"/>
            <w:tcBorders>
              <w:top w:val="nil"/>
              <w:left w:val="nil"/>
              <w:bottom w:val="nil"/>
              <w:right w:val="nil"/>
            </w:tcBorders>
            <w:shd w:val="clear" w:color="auto" w:fill="auto"/>
            <w:noWrap/>
            <w:vAlign w:val="center"/>
            <w:hideMark/>
          </w:tcPr>
          <w:p w14:paraId="03DA6F23"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0.137</w:t>
            </w:r>
          </w:p>
        </w:tc>
        <w:tc>
          <w:tcPr>
            <w:tcW w:w="284" w:type="pct"/>
            <w:tcBorders>
              <w:top w:val="nil"/>
              <w:left w:val="nil"/>
              <w:bottom w:val="nil"/>
              <w:right w:val="nil"/>
            </w:tcBorders>
            <w:shd w:val="clear" w:color="auto" w:fill="auto"/>
            <w:noWrap/>
            <w:vAlign w:val="center"/>
            <w:hideMark/>
          </w:tcPr>
          <w:p w14:paraId="6DE63B3A"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-0.126</w:t>
            </w:r>
          </w:p>
        </w:tc>
        <w:tc>
          <w:tcPr>
            <w:tcW w:w="284" w:type="pct"/>
            <w:tcBorders>
              <w:top w:val="nil"/>
              <w:left w:val="nil"/>
              <w:bottom w:val="nil"/>
              <w:right w:val="nil"/>
            </w:tcBorders>
            <w:shd w:val="clear" w:color="auto" w:fill="auto"/>
            <w:vAlign w:val="center"/>
            <w:hideMark/>
          </w:tcPr>
          <w:p w14:paraId="347B02AB"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-0.129</w:t>
            </w:r>
          </w:p>
        </w:tc>
        <w:tc>
          <w:tcPr>
            <w:tcW w:w="284" w:type="pct"/>
            <w:tcBorders>
              <w:top w:val="nil"/>
              <w:left w:val="nil"/>
              <w:bottom w:val="nil"/>
              <w:right w:val="nil"/>
            </w:tcBorders>
            <w:shd w:val="clear" w:color="auto" w:fill="auto"/>
            <w:vAlign w:val="center"/>
            <w:hideMark/>
          </w:tcPr>
          <w:p w14:paraId="6E222652"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0.044</w:t>
            </w:r>
          </w:p>
        </w:tc>
        <w:tc>
          <w:tcPr>
            <w:tcW w:w="269" w:type="pct"/>
            <w:tcBorders>
              <w:top w:val="nil"/>
              <w:left w:val="nil"/>
              <w:bottom w:val="nil"/>
              <w:right w:val="nil"/>
            </w:tcBorders>
            <w:shd w:val="clear" w:color="auto" w:fill="auto"/>
            <w:vAlign w:val="center"/>
            <w:hideMark/>
          </w:tcPr>
          <w:p w14:paraId="2F250D94"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0.147</w:t>
            </w:r>
          </w:p>
        </w:tc>
        <w:tc>
          <w:tcPr>
            <w:tcW w:w="284" w:type="pct"/>
            <w:tcBorders>
              <w:top w:val="nil"/>
              <w:left w:val="nil"/>
              <w:bottom w:val="nil"/>
              <w:right w:val="nil"/>
            </w:tcBorders>
            <w:shd w:val="clear" w:color="auto" w:fill="auto"/>
            <w:vAlign w:val="center"/>
            <w:hideMark/>
          </w:tcPr>
          <w:p w14:paraId="3B86AEEC"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0.196</w:t>
            </w:r>
          </w:p>
        </w:tc>
      </w:tr>
      <w:tr w:rsidR="00F634D2" w:rsidRPr="00F634D2" w14:paraId="4AA48AAB" w14:textId="77777777">
        <w:trPr>
          <w:trHeight w:val="20"/>
        </w:trPr>
        <w:tc>
          <w:tcPr>
            <w:tcW w:w="514" w:type="pct"/>
            <w:tcBorders>
              <w:top w:val="nil"/>
              <w:left w:val="nil"/>
              <w:bottom w:val="nil"/>
              <w:right w:val="nil"/>
            </w:tcBorders>
            <w:shd w:val="clear" w:color="auto" w:fill="auto"/>
            <w:vAlign w:val="center"/>
            <w:hideMark/>
          </w:tcPr>
          <w:p w14:paraId="208F9761" w14:textId="77777777" w:rsidR="00D50589" w:rsidRPr="00F634D2" w:rsidRDefault="00686261">
            <w:pPr>
              <w:spacing w:after="0" w:line="240" w:lineRule="auto"/>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(8) Bonus</w:t>
            </w:r>
          </w:p>
        </w:tc>
        <w:tc>
          <w:tcPr>
            <w:tcW w:w="284" w:type="pct"/>
            <w:tcBorders>
              <w:top w:val="nil"/>
              <w:left w:val="nil"/>
              <w:bottom w:val="nil"/>
              <w:right w:val="nil"/>
            </w:tcBorders>
            <w:shd w:val="clear" w:color="auto" w:fill="auto"/>
            <w:noWrap/>
            <w:vAlign w:val="center"/>
            <w:hideMark/>
          </w:tcPr>
          <w:p w14:paraId="3FAF26C6"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0.110</w:t>
            </w:r>
          </w:p>
        </w:tc>
        <w:tc>
          <w:tcPr>
            <w:tcW w:w="284" w:type="pct"/>
            <w:tcBorders>
              <w:top w:val="nil"/>
              <w:left w:val="nil"/>
              <w:bottom w:val="nil"/>
              <w:right w:val="nil"/>
            </w:tcBorders>
            <w:shd w:val="clear" w:color="auto" w:fill="auto"/>
            <w:noWrap/>
            <w:vAlign w:val="center"/>
            <w:hideMark/>
          </w:tcPr>
          <w:p w14:paraId="3D6F5F29"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0.016</w:t>
            </w:r>
          </w:p>
        </w:tc>
        <w:tc>
          <w:tcPr>
            <w:tcW w:w="238" w:type="pct"/>
            <w:tcBorders>
              <w:top w:val="nil"/>
              <w:left w:val="nil"/>
              <w:bottom w:val="nil"/>
              <w:right w:val="nil"/>
            </w:tcBorders>
            <w:shd w:val="clear" w:color="auto" w:fill="auto"/>
            <w:noWrap/>
            <w:vAlign w:val="center"/>
            <w:hideMark/>
          </w:tcPr>
          <w:p w14:paraId="74A26A94"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0.110</w:t>
            </w:r>
          </w:p>
        </w:tc>
        <w:tc>
          <w:tcPr>
            <w:tcW w:w="238" w:type="pct"/>
            <w:tcBorders>
              <w:top w:val="nil"/>
              <w:left w:val="nil"/>
              <w:bottom w:val="nil"/>
              <w:right w:val="nil"/>
            </w:tcBorders>
            <w:shd w:val="clear" w:color="auto" w:fill="auto"/>
            <w:noWrap/>
            <w:vAlign w:val="center"/>
            <w:hideMark/>
          </w:tcPr>
          <w:p w14:paraId="15DFA2EF"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-0.130</w:t>
            </w:r>
          </w:p>
        </w:tc>
        <w:tc>
          <w:tcPr>
            <w:tcW w:w="238" w:type="pct"/>
            <w:tcBorders>
              <w:top w:val="nil"/>
              <w:left w:val="nil"/>
              <w:bottom w:val="nil"/>
              <w:right w:val="nil"/>
            </w:tcBorders>
            <w:shd w:val="clear" w:color="auto" w:fill="auto"/>
            <w:noWrap/>
            <w:vAlign w:val="center"/>
            <w:hideMark/>
          </w:tcPr>
          <w:p w14:paraId="3F7A6558"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0.132</w:t>
            </w:r>
          </w:p>
        </w:tc>
        <w:tc>
          <w:tcPr>
            <w:tcW w:w="238" w:type="pct"/>
            <w:tcBorders>
              <w:top w:val="nil"/>
              <w:left w:val="nil"/>
              <w:bottom w:val="nil"/>
              <w:right w:val="nil"/>
            </w:tcBorders>
            <w:shd w:val="clear" w:color="auto" w:fill="auto"/>
            <w:noWrap/>
            <w:vAlign w:val="center"/>
            <w:hideMark/>
          </w:tcPr>
          <w:p w14:paraId="558EB57D"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-0.001</w:t>
            </w:r>
          </w:p>
        </w:tc>
        <w:tc>
          <w:tcPr>
            <w:tcW w:w="284" w:type="pct"/>
            <w:tcBorders>
              <w:top w:val="nil"/>
              <w:left w:val="nil"/>
              <w:bottom w:val="nil"/>
              <w:right w:val="nil"/>
            </w:tcBorders>
            <w:shd w:val="clear" w:color="auto" w:fill="auto"/>
            <w:noWrap/>
            <w:vAlign w:val="center"/>
            <w:hideMark/>
          </w:tcPr>
          <w:p w14:paraId="5ED5520D"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0.024</w:t>
            </w:r>
          </w:p>
        </w:tc>
        <w:tc>
          <w:tcPr>
            <w:tcW w:w="238" w:type="pct"/>
            <w:tcBorders>
              <w:top w:val="nil"/>
              <w:left w:val="nil"/>
              <w:bottom w:val="nil"/>
              <w:right w:val="nil"/>
            </w:tcBorders>
            <w:shd w:val="clear" w:color="auto" w:fill="auto"/>
            <w:noWrap/>
            <w:vAlign w:val="center"/>
            <w:hideMark/>
          </w:tcPr>
          <w:p w14:paraId="38B9AE2A" w14:textId="77777777" w:rsidR="00D50589" w:rsidRPr="00F634D2" w:rsidRDefault="00D50589">
            <w:pPr>
              <w:spacing w:after="0" w:line="240" w:lineRule="auto"/>
              <w:jc w:val="center"/>
              <w:rPr>
                <w:rFonts w:ascii="Times New Roman" w:eastAsia="Times New Roman" w:hAnsi="Times New Roman" w:cs="Times New Roman"/>
                <w:b/>
                <w:bCs/>
                <w:sz w:val="16"/>
                <w:szCs w:val="16"/>
                <w:lang w:val="en-GB" w:eastAsia="en-GB"/>
              </w:rPr>
            </w:pPr>
          </w:p>
        </w:tc>
        <w:tc>
          <w:tcPr>
            <w:tcW w:w="238" w:type="pct"/>
            <w:tcBorders>
              <w:top w:val="nil"/>
              <w:left w:val="nil"/>
              <w:bottom w:val="nil"/>
              <w:right w:val="nil"/>
            </w:tcBorders>
            <w:shd w:val="clear" w:color="auto" w:fill="auto"/>
            <w:noWrap/>
            <w:vAlign w:val="center"/>
            <w:hideMark/>
          </w:tcPr>
          <w:p w14:paraId="465B5B3F"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-0.057</w:t>
            </w:r>
          </w:p>
        </w:tc>
        <w:tc>
          <w:tcPr>
            <w:tcW w:w="284" w:type="pct"/>
            <w:tcBorders>
              <w:top w:val="nil"/>
              <w:left w:val="nil"/>
              <w:bottom w:val="nil"/>
              <w:right w:val="nil"/>
            </w:tcBorders>
            <w:shd w:val="clear" w:color="auto" w:fill="auto"/>
            <w:noWrap/>
            <w:vAlign w:val="center"/>
            <w:hideMark/>
          </w:tcPr>
          <w:p w14:paraId="39C85F7F"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0.294</w:t>
            </w:r>
          </w:p>
        </w:tc>
        <w:tc>
          <w:tcPr>
            <w:tcW w:w="284" w:type="pct"/>
            <w:tcBorders>
              <w:top w:val="nil"/>
              <w:left w:val="nil"/>
              <w:bottom w:val="nil"/>
              <w:right w:val="nil"/>
            </w:tcBorders>
            <w:shd w:val="clear" w:color="auto" w:fill="auto"/>
            <w:noWrap/>
            <w:vAlign w:val="center"/>
            <w:hideMark/>
          </w:tcPr>
          <w:p w14:paraId="57045C48"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-0.331</w:t>
            </w:r>
          </w:p>
        </w:tc>
        <w:tc>
          <w:tcPr>
            <w:tcW w:w="238" w:type="pct"/>
            <w:tcBorders>
              <w:top w:val="nil"/>
              <w:left w:val="nil"/>
              <w:bottom w:val="nil"/>
              <w:right w:val="nil"/>
            </w:tcBorders>
            <w:shd w:val="clear" w:color="auto" w:fill="auto"/>
            <w:noWrap/>
            <w:vAlign w:val="center"/>
            <w:hideMark/>
          </w:tcPr>
          <w:p w14:paraId="5D552B7E"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0.021</w:t>
            </w:r>
          </w:p>
        </w:tc>
        <w:tc>
          <w:tcPr>
            <w:tcW w:w="284" w:type="pct"/>
            <w:tcBorders>
              <w:top w:val="nil"/>
              <w:left w:val="nil"/>
              <w:bottom w:val="nil"/>
              <w:right w:val="nil"/>
            </w:tcBorders>
            <w:shd w:val="clear" w:color="auto" w:fill="auto"/>
            <w:noWrap/>
            <w:vAlign w:val="center"/>
            <w:hideMark/>
          </w:tcPr>
          <w:p w14:paraId="27726BD9"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0.097</w:t>
            </w:r>
          </w:p>
        </w:tc>
        <w:tc>
          <w:tcPr>
            <w:tcW w:w="284" w:type="pct"/>
            <w:tcBorders>
              <w:top w:val="nil"/>
              <w:left w:val="nil"/>
              <w:bottom w:val="nil"/>
              <w:right w:val="nil"/>
            </w:tcBorders>
            <w:shd w:val="clear" w:color="auto" w:fill="auto"/>
            <w:vAlign w:val="center"/>
            <w:hideMark/>
          </w:tcPr>
          <w:p w14:paraId="6BA02CF6"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-0.066</w:t>
            </w:r>
          </w:p>
        </w:tc>
        <w:tc>
          <w:tcPr>
            <w:tcW w:w="284" w:type="pct"/>
            <w:tcBorders>
              <w:top w:val="nil"/>
              <w:left w:val="nil"/>
              <w:bottom w:val="nil"/>
              <w:right w:val="nil"/>
            </w:tcBorders>
            <w:shd w:val="clear" w:color="auto" w:fill="auto"/>
            <w:noWrap/>
            <w:vAlign w:val="center"/>
            <w:hideMark/>
          </w:tcPr>
          <w:p w14:paraId="7AE9BDFE"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-0.144</w:t>
            </w:r>
          </w:p>
        </w:tc>
        <w:tc>
          <w:tcPr>
            <w:tcW w:w="269" w:type="pct"/>
            <w:tcBorders>
              <w:top w:val="nil"/>
              <w:left w:val="nil"/>
              <w:bottom w:val="nil"/>
              <w:right w:val="nil"/>
            </w:tcBorders>
            <w:shd w:val="clear" w:color="auto" w:fill="auto"/>
            <w:vAlign w:val="center"/>
            <w:hideMark/>
          </w:tcPr>
          <w:p w14:paraId="742AB760"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0.023</w:t>
            </w:r>
          </w:p>
        </w:tc>
        <w:tc>
          <w:tcPr>
            <w:tcW w:w="284" w:type="pct"/>
            <w:tcBorders>
              <w:top w:val="nil"/>
              <w:left w:val="nil"/>
              <w:bottom w:val="nil"/>
              <w:right w:val="nil"/>
            </w:tcBorders>
            <w:shd w:val="clear" w:color="auto" w:fill="auto"/>
            <w:vAlign w:val="center"/>
            <w:hideMark/>
          </w:tcPr>
          <w:p w14:paraId="25C9D2B1"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0.118</w:t>
            </w:r>
          </w:p>
        </w:tc>
      </w:tr>
      <w:tr w:rsidR="00F634D2" w:rsidRPr="00F634D2" w14:paraId="48469368" w14:textId="77777777">
        <w:trPr>
          <w:trHeight w:val="20"/>
        </w:trPr>
        <w:tc>
          <w:tcPr>
            <w:tcW w:w="514" w:type="pct"/>
            <w:tcBorders>
              <w:top w:val="nil"/>
              <w:left w:val="nil"/>
              <w:bottom w:val="nil"/>
              <w:right w:val="nil"/>
            </w:tcBorders>
            <w:shd w:val="clear" w:color="auto" w:fill="auto"/>
            <w:vAlign w:val="center"/>
            <w:hideMark/>
          </w:tcPr>
          <w:p w14:paraId="2568AF12" w14:textId="77777777" w:rsidR="00D50589" w:rsidRPr="00F634D2" w:rsidRDefault="00686261">
            <w:pPr>
              <w:spacing w:after="0" w:line="240" w:lineRule="auto"/>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(9) Other</w:t>
            </w:r>
          </w:p>
        </w:tc>
        <w:tc>
          <w:tcPr>
            <w:tcW w:w="284" w:type="pct"/>
            <w:tcBorders>
              <w:top w:val="nil"/>
              <w:left w:val="nil"/>
              <w:bottom w:val="nil"/>
              <w:right w:val="nil"/>
            </w:tcBorders>
            <w:shd w:val="clear" w:color="auto" w:fill="auto"/>
            <w:noWrap/>
            <w:vAlign w:val="center"/>
            <w:hideMark/>
          </w:tcPr>
          <w:p w14:paraId="3C10FD10"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0.475</w:t>
            </w:r>
          </w:p>
        </w:tc>
        <w:tc>
          <w:tcPr>
            <w:tcW w:w="284" w:type="pct"/>
            <w:tcBorders>
              <w:top w:val="nil"/>
              <w:left w:val="nil"/>
              <w:bottom w:val="nil"/>
              <w:right w:val="nil"/>
            </w:tcBorders>
            <w:shd w:val="clear" w:color="auto" w:fill="auto"/>
            <w:noWrap/>
            <w:vAlign w:val="center"/>
            <w:hideMark/>
          </w:tcPr>
          <w:p w14:paraId="72C91923"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0.024</w:t>
            </w:r>
          </w:p>
        </w:tc>
        <w:tc>
          <w:tcPr>
            <w:tcW w:w="238" w:type="pct"/>
            <w:tcBorders>
              <w:top w:val="nil"/>
              <w:left w:val="nil"/>
              <w:bottom w:val="nil"/>
              <w:right w:val="nil"/>
            </w:tcBorders>
            <w:shd w:val="clear" w:color="auto" w:fill="auto"/>
            <w:noWrap/>
            <w:vAlign w:val="center"/>
            <w:hideMark/>
          </w:tcPr>
          <w:p w14:paraId="27D65B1D"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0.486</w:t>
            </w:r>
          </w:p>
        </w:tc>
        <w:tc>
          <w:tcPr>
            <w:tcW w:w="238" w:type="pct"/>
            <w:tcBorders>
              <w:top w:val="nil"/>
              <w:left w:val="nil"/>
              <w:bottom w:val="nil"/>
              <w:right w:val="nil"/>
            </w:tcBorders>
            <w:shd w:val="clear" w:color="auto" w:fill="auto"/>
            <w:noWrap/>
            <w:vAlign w:val="center"/>
            <w:hideMark/>
          </w:tcPr>
          <w:p w14:paraId="657223B3"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-0.060</w:t>
            </w:r>
          </w:p>
        </w:tc>
        <w:tc>
          <w:tcPr>
            <w:tcW w:w="238" w:type="pct"/>
            <w:tcBorders>
              <w:top w:val="nil"/>
              <w:left w:val="nil"/>
              <w:bottom w:val="nil"/>
              <w:right w:val="nil"/>
            </w:tcBorders>
            <w:shd w:val="clear" w:color="auto" w:fill="auto"/>
            <w:noWrap/>
            <w:vAlign w:val="center"/>
            <w:hideMark/>
          </w:tcPr>
          <w:p w14:paraId="66D084C2"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0.079</w:t>
            </w:r>
          </w:p>
        </w:tc>
        <w:tc>
          <w:tcPr>
            <w:tcW w:w="238" w:type="pct"/>
            <w:tcBorders>
              <w:top w:val="nil"/>
              <w:left w:val="nil"/>
              <w:bottom w:val="nil"/>
              <w:right w:val="nil"/>
            </w:tcBorders>
            <w:shd w:val="clear" w:color="auto" w:fill="auto"/>
            <w:noWrap/>
            <w:vAlign w:val="center"/>
            <w:hideMark/>
          </w:tcPr>
          <w:p w14:paraId="6881F48B"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-0.119</w:t>
            </w:r>
          </w:p>
        </w:tc>
        <w:tc>
          <w:tcPr>
            <w:tcW w:w="284" w:type="pct"/>
            <w:tcBorders>
              <w:top w:val="nil"/>
              <w:left w:val="nil"/>
              <w:bottom w:val="nil"/>
              <w:right w:val="nil"/>
            </w:tcBorders>
            <w:shd w:val="clear" w:color="auto" w:fill="auto"/>
            <w:noWrap/>
            <w:vAlign w:val="center"/>
            <w:hideMark/>
          </w:tcPr>
          <w:p w14:paraId="5C8F722E"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0.418</w:t>
            </w:r>
          </w:p>
        </w:tc>
        <w:tc>
          <w:tcPr>
            <w:tcW w:w="238" w:type="pct"/>
            <w:tcBorders>
              <w:top w:val="nil"/>
              <w:left w:val="nil"/>
              <w:bottom w:val="nil"/>
              <w:right w:val="nil"/>
            </w:tcBorders>
            <w:shd w:val="clear" w:color="auto" w:fill="auto"/>
            <w:noWrap/>
            <w:vAlign w:val="center"/>
            <w:hideMark/>
          </w:tcPr>
          <w:p w14:paraId="061C27F4"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-0.057</w:t>
            </w:r>
          </w:p>
        </w:tc>
        <w:tc>
          <w:tcPr>
            <w:tcW w:w="238" w:type="pct"/>
            <w:tcBorders>
              <w:top w:val="nil"/>
              <w:left w:val="nil"/>
              <w:bottom w:val="nil"/>
              <w:right w:val="nil"/>
            </w:tcBorders>
            <w:shd w:val="clear" w:color="auto" w:fill="auto"/>
            <w:noWrap/>
            <w:vAlign w:val="center"/>
            <w:hideMark/>
          </w:tcPr>
          <w:p w14:paraId="01357BEF" w14:textId="77777777" w:rsidR="00D50589" w:rsidRPr="00F634D2" w:rsidRDefault="00D50589">
            <w:pPr>
              <w:spacing w:after="0" w:line="240" w:lineRule="auto"/>
              <w:jc w:val="center"/>
              <w:rPr>
                <w:rFonts w:ascii="Times New Roman" w:eastAsia="Times New Roman" w:hAnsi="Times New Roman" w:cs="Times New Roman"/>
                <w:b/>
                <w:bCs/>
                <w:sz w:val="16"/>
                <w:szCs w:val="16"/>
                <w:lang w:val="en-GB" w:eastAsia="en-GB"/>
              </w:rPr>
            </w:pPr>
          </w:p>
        </w:tc>
        <w:tc>
          <w:tcPr>
            <w:tcW w:w="284" w:type="pct"/>
            <w:tcBorders>
              <w:top w:val="nil"/>
              <w:left w:val="nil"/>
              <w:bottom w:val="nil"/>
              <w:right w:val="nil"/>
            </w:tcBorders>
            <w:shd w:val="clear" w:color="auto" w:fill="auto"/>
            <w:noWrap/>
            <w:vAlign w:val="center"/>
            <w:hideMark/>
          </w:tcPr>
          <w:p w14:paraId="7BE02D74"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-0.155</w:t>
            </w:r>
          </w:p>
        </w:tc>
        <w:tc>
          <w:tcPr>
            <w:tcW w:w="284" w:type="pct"/>
            <w:tcBorders>
              <w:top w:val="nil"/>
              <w:left w:val="nil"/>
              <w:bottom w:val="nil"/>
              <w:right w:val="nil"/>
            </w:tcBorders>
            <w:shd w:val="clear" w:color="auto" w:fill="auto"/>
            <w:noWrap/>
            <w:vAlign w:val="center"/>
            <w:hideMark/>
          </w:tcPr>
          <w:p w14:paraId="623CACBB"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0.187</w:t>
            </w:r>
          </w:p>
        </w:tc>
        <w:tc>
          <w:tcPr>
            <w:tcW w:w="238" w:type="pct"/>
            <w:tcBorders>
              <w:top w:val="nil"/>
              <w:left w:val="nil"/>
              <w:bottom w:val="nil"/>
              <w:right w:val="nil"/>
            </w:tcBorders>
            <w:shd w:val="clear" w:color="auto" w:fill="auto"/>
            <w:noWrap/>
            <w:vAlign w:val="center"/>
            <w:hideMark/>
          </w:tcPr>
          <w:p w14:paraId="4CBB7566"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0.101</w:t>
            </w:r>
          </w:p>
        </w:tc>
        <w:tc>
          <w:tcPr>
            <w:tcW w:w="284" w:type="pct"/>
            <w:tcBorders>
              <w:top w:val="nil"/>
              <w:left w:val="nil"/>
              <w:bottom w:val="nil"/>
              <w:right w:val="nil"/>
            </w:tcBorders>
            <w:shd w:val="clear" w:color="auto" w:fill="auto"/>
            <w:noWrap/>
            <w:vAlign w:val="center"/>
            <w:hideMark/>
          </w:tcPr>
          <w:p w14:paraId="4E93A05F"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-0.132</w:t>
            </w:r>
          </w:p>
        </w:tc>
        <w:tc>
          <w:tcPr>
            <w:tcW w:w="284" w:type="pct"/>
            <w:tcBorders>
              <w:top w:val="nil"/>
              <w:left w:val="nil"/>
              <w:bottom w:val="nil"/>
              <w:right w:val="nil"/>
            </w:tcBorders>
            <w:shd w:val="clear" w:color="auto" w:fill="auto"/>
            <w:vAlign w:val="center"/>
            <w:hideMark/>
          </w:tcPr>
          <w:p w14:paraId="107C3FF2"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0.000</w:t>
            </w:r>
          </w:p>
        </w:tc>
        <w:tc>
          <w:tcPr>
            <w:tcW w:w="284" w:type="pct"/>
            <w:tcBorders>
              <w:top w:val="nil"/>
              <w:left w:val="nil"/>
              <w:bottom w:val="nil"/>
              <w:right w:val="nil"/>
            </w:tcBorders>
            <w:shd w:val="clear" w:color="auto" w:fill="auto"/>
            <w:noWrap/>
            <w:vAlign w:val="center"/>
            <w:hideMark/>
          </w:tcPr>
          <w:p w14:paraId="09ADDBD1"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-0.123</w:t>
            </w:r>
          </w:p>
        </w:tc>
        <w:tc>
          <w:tcPr>
            <w:tcW w:w="269" w:type="pct"/>
            <w:tcBorders>
              <w:top w:val="nil"/>
              <w:left w:val="nil"/>
              <w:bottom w:val="nil"/>
              <w:right w:val="nil"/>
            </w:tcBorders>
            <w:shd w:val="clear" w:color="auto" w:fill="auto"/>
            <w:vAlign w:val="center"/>
            <w:hideMark/>
          </w:tcPr>
          <w:p w14:paraId="6DD69D8A"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0.135</w:t>
            </w:r>
          </w:p>
        </w:tc>
        <w:tc>
          <w:tcPr>
            <w:tcW w:w="284" w:type="pct"/>
            <w:tcBorders>
              <w:top w:val="nil"/>
              <w:left w:val="nil"/>
              <w:bottom w:val="nil"/>
              <w:right w:val="nil"/>
            </w:tcBorders>
            <w:shd w:val="clear" w:color="auto" w:fill="auto"/>
            <w:vAlign w:val="center"/>
            <w:hideMark/>
          </w:tcPr>
          <w:p w14:paraId="5D66B550"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0.208</w:t>
            </w:r>
          </w:p>
        </w:tc>
      </w:tr>
      <w:tr w:rsidR="00F634D2" w:rsidRPr="00F634D2" w14:paraId="0A877EDC" w14:textId="77777777">
        <w:trPr>
          <w:trHeight w:val="20"/>
        </w:trPr>
        <w:tc>
          <w:tcPr>
            <w:tcW w:w="514" w:type="pct"/>
            <w:tcBorders>
              <w:top w:val="nil"/>
              <w:left w:val="nil"/>
              <w:bottom w:val="nil"/>
              <w:right w:val="nil"/>
            </w:tcBorders>
            <w:shd w:val="clear" w:color="auto" w:fill="auto"/>
            <w:vAlign w:val="center"/>
            <w:hideMark/>
          </w:tcPr>
          <w:p w14:paraId="5691D259" w14:textId="77777777" w:rsidR="00D50589" w:rsidRPr="00F634D2" w:rsidRDefault="00686261">
            <w:pPr>
              <w:spacing w:after="0" w:line="240" w:lineRule="auto"/>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 xml:space="preserve">(10) </w:t>
            </w:r>
            <w:proofErr w:type="spellStart"/>
            <w:r w:rsidRPr="00F634D2">
              <w:rPr>
                <w:rFonts w:ascii="Times New Roman" w:eastAsia="Times New Roman" w:hAnsi="Times New Roman" w:cs="Times New Roman"/>
                <w:i/>
                <w:iCs/>
                <w:sz w:val="16"/>
                <w:szCs w:val="16"/>
                <w:lang w:val="en-GB" w:eastAsia="en-GB"/>
              </w:rPr>
              <w:t>Gdpgr</w:t>
            </w:r>
            <w:proofErr w:type="spellEnd"/>
          </w:p>
        </w:tc>
        <w:tc>
          <w:tcPr>
            <w:tcW w:w="284" w:type="pct"/>
            <w:tcBorders>
              <w:top w:val="nil"/>
              <w:left w:val="nil"/>
              <w:bottom w:val="nil"/>
              <w:right w:val="nil"/>
            </w:tcBorders>
            <w:shd w:val="clear" w:color="auto" w:fill="auto"/>
            <w:noWrap/>
            <w:vAlign w:val="center"/>
            <w:hideMark/>
          </w:tcPr>
          <w:p w14:paraId="333F8ACE"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-0.058</w:t>
            </w:r>
          </w:p>
        </w:tc>
        <w:tc>
          <w:tcPr>
            <w:tcW w:w="284" w:type="pct"/>
            <w:tcBorders>
              <w:top w:val="nil"/>
              <w:left w:val="nil"/>
              <w:bottom w:val="nil"/>
              <w:right w:val="nil"/>
            </w:tcBorders>
            <w:shd w:val="clear" w:color="auto" w:fill="auto"/>
            <w:noWrap/>
            <w:vAlign w:val="center"/>
            <w:hideMark/>
          </w:tcPr>
          <w:p w14:paraId="27BCDEF3"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-0.059</w:t>
            </w:r>
          </w:p>
        </w:tc>
        <w:tc>
          <w:tcPr>
            <w:tcW w:w="238" w:type="pct"/>
            <w:tcBorders>
              <w:top w:val="nil"/>
              <w:left w:val="nil"/>
              <w:bottom w:val="nil"/>
              <w:right w:val="nil"/>
            </w:tcBorders>
            <w:shd w:val="clear" w:color="auto" w:fill="auto"/>
            <w:noWrap/>
            <w:vAlign w:val="center"/>
            <w:hideMark/>
          </w:tcPr>
          <w:p w14:paraId="13C1C927"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-0.021</w:t>
            </w:r>
          </w:p>
        </w:tc>
        <w:tc>
          <w:tcPr>
            <w:tcW w:w="238" w:type="pct"/>
            <w:tcBorders>
              <w:top w:val="nil"/>
              <w:left w:val="nil"/>
              <w:bottom w:val="nil"/>
              <w:right w:val="nil"/>
            </w:tcBorders>
            <w:shd w:val="clear" w:color="auto" w:fill="auto"/>
            <w:noWrap/>
            <w:vAlign w:val="center"/>
            <w:hideMark/>
          </w:tcPr>
          <w:p w14:paraId="0C4E8B7A"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-0.133</w:t>
            </w:r>
          </w:p>
        </w:tc>
        <w:tc>
          <w:tcPr>
            <w:tcW w:w="238" w:type="pct"/>
            <w:tcBorders>
              <w:top w:val="nil"/>
              <w:left w:val="nil"/>
              <w:bottom w:val="nil"/>
              <w:right w:val="nil"/>
            </w:tcBorders>
            <w:shd w:val="clear" w:color="auto" w:fill="auto"/>
            <w:noWrap/>
            <w:vAlign w:val="center"/>
            <w:hideMark/>
          </w:tcPr>
          <w:p w14:paraId="3C49848A"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0.068</w:t>
            </w:r>
          </w:p>
        </w:tc>
        <w:tc>
          <w:tcPr>
            <w:tcW w:w="238" w:type="pct"/>
            <w:tcBorders>
              <w:top w:val="nil"/>
              <w:left w:val="nil"/>
              <w:bottom w:val="nil"/>
              <w:right w:val="nil"/>
            </w:tcBorders>
            <w:shd w:val="clear" w:color="auto" w:fill="auto"/>
            <w:noWrap/>
            <w:vAlign w:val="center"/>
            <w:hideMark/>
          </w:tcPr>
          <w:p w14:paraId="6B6E64F7"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0.024</w:t>
            </w:r>
          </w:p>
        </w:tc>
        <w:tc>
          <w:tcPr>
            <w:tcW w:w="284" w:type="pct"/>
            <w:tcBorders>
              <w:top w:val="nil"/>
              <w:left w:val="nil"/>
              <w:bottom w:val="nil"/>
              <w:right w:val="nil"/>
            </w:tcBorders>
            <w:shd w:val="clear" w:color="auto" w:fill="auto"/>
            <w:noWrap/>
            <w:vAlign w:val="center"/>
            <w:hideMark/>
          </w:tcPr>
          <w:p w14:paraId="052458D6"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-0.153</w:t>
            </w:r>
          </w:p>
        </w:tc>
        <w:tc>
          <w:tcPr>
            <w:tcW w:w="238" w:type="pct"/>
            <w:tcBorders>
              <w:top w:val="nil"/>
              <w:left w:val="nil"/>
              <w:bottom w:val="nil"/>
              <w:right w:val="nil"/>
            </w:tcBorders>
            <w:shd w:val="clear" w:color="auto" w:fill="auto"/>
            <w:noWrap/>
            <w:vAlign w:val="center"/>
            <w:hideMark/>
          </w:tcPr>
          <w:p w14:paraId="5E70BC04"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0.294</w:t>
            </w:r>
          </w:p>
        </w:tc>
        <w:tc>
          <w:tcPr>
            <w:tcW w:w="238" w:type="pct"/>
            <w:tcBorders>
              <w:top w:val="nil"/>
              <w:left w:val="nil"/>
              <w:bottom w:val="nil"/>
              <w:right w:val="nil"/>
            </w:tcBorders>
            <w:shd w:val="clear" w:color="auto" w:fill="auto"/>
            <w:noWrap/>
            <w:vAlign w:val="center"/>
            <w:hideMark/>
          </w:tcPr>
          <w:p w14:paraId="25E9E116"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-0.155</w:t>
            </w:r>
          </w:p>
        </w:tc>
        <w:tc>
          <w:tcPr>
            <w:tcW w:w="284" w:type="pct"/>
            <w:tcBorders>
              <w:top w:val="nil"/>
              <w:left w:val="nil"/>
              <w:bottom w:val="nil"/>
              <w:right w:val="nil"/>
            </w:tcBorders>
            <w:shd w:val="clear" w:color="auto" w:fill="auto"/>
            <w:noWrap/>
            <w:vAlign w:val="center"/>
            <w:hideMark/>
          </w:tcPr>
          <w:p w14:paraId="186CD798" w14:textId="77777777" w:rsidR="00D50589" w:rsidRPr="00F634D2" w:rsidRDefault="00D50589">
            <w:pPr>
              <w:spacing w:after="0" w:line="240" w:lineRule="auto"/>
              <w:jc w:val="center"/>
              <w:rPr>
                <w:rFonts w:ascii="Times New Roman" w:eastAsia="Times New Roman" w:hAnsi="Times New Roman" w:cs="Times New Roman"/>
                <w:b/>
                <w:bCs/>
                <w:sz w:val="16"/>
                <w:szCs w:val="16"/>
                <w:lang w:val="en-GB" w:eastAsia="en-GB"/>
              </w:rPr>
            </w:pPr>
          </w:p>
        </w:tc>
        <w:tc>
          <w:tcPr>
            <w:tcW w:w="284" w:type="pct"/>
            <w:tcBorders>
              <w:top w:val="nil"/>
              <w:left w:val="nil"/>
              <w:bottom w:val="nil"/>
              <w:right w:val="nil"/>
            </w:tcBorders>
            <w:shd w:val="clear" w:color="auto" w:fill="auto"/>
            <w:noWrap/>
            <w:vAlign w:val="center"/>
            <w:hideMark/>
          </w:tcPr>
          <w:p w14:paraId="2297AA74"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-0.456</w:t>
            </w:r>
          </w:p>
        </w:tc>
        <w:tc>
          <w:tcPr>
            <w:tcW w:w="238" w:type="pct"/>
            <w:tcBorders>
              <w:top w:val="nil"/>
              <w:left w:val="nil"/>
              <w:bottom w:val="nil"/>
              <w:right w:val="nil"/>
            </w:tcBorders>
            <w:shd w:val="clear" w:color="auto" w:fill="auto"/>
            <w:noWrap/>
            <w:vAlign w:val="center"/>
            <w:hideMark/>
          </w:tcPr>
          <w:p w14:paraId="2F72DB84"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0.004</w:t>
            </w:r>
          </w:p>
        </w:tc>
        <w:tc>
          <w:tcPr>
            <w:tcW w:w="284" w:type="pct"/>
            <w:tcBorders>
              <w:top w:val="nil"/>
              <w:left w:val="nil"/>
              <w:bottom w:val="nil"/>
              <w:right w:val="nil"/>
            </w:tcBorders>
            <w:shd w:val="clear" w:color="auto" w:fill="auto"/>
            <w:noWrap/>
            <w:vAlign w:val="center"/>
            <w:hideMark/>
          </w:tcPr>
          <w:p w14:paraId="645C1358"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0.146</w:t>
            </w:r>
          </w:p>
        </w:tc>
        <w:tc>
          <w:tcPr>
            <w:tcW w:w="284" w:type="pct"/>
            <w:tcBorders>
              <w:top w:val="nil"/>
              <w:left w:val="nil"/>
              <w:bottom w:val="nil"/>
              <w:right w:val="nil"/>
            </w:tcBorders>
            <w:shd w:val="clear" w:color="auto" w:fill="auto"/>
            <w:vAlign w:val="center"/>
            <w:hideMark/>
          </w:tcPr>
          <w:p w14:paraId="3B5F003E"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-0.008</w:t>
            </w:r>
          </w:p>
        </w:tc>
        <w:tc>
          <w:tcPr>
            <w:tcW w:w="284" w:type="pct"/>
            <w:tcBorders>
              <w:top w:val="nil"/>
              <w:left w:val="nil"/>
              <w:bottom w:val="nil"/>
              <w:right w:val="nil"/>
            </w:tcBorders>
            <w:shd w:val="clear" w:color="auto" w:fill="auto"/>
            <w:vAlign w:val="center"/>
            <w:hideMark/>
          </w:tcPr>
          <w:p w14:paraId="46992C3B"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0.065</w:t>
            </w:r>
          </w:p>
        </w:tc>
        <w:tc>
          <w:tcPr>
            <w:tcW w:w="269" w:type="pct"/>
            <w:tcBorders>
              <w:top w:val="nil"/>
              <w:left w:val="nil"/>
              <w:bottom w:val="nil"/>
              <w:right w:val="nil"/>
            </w:tcBorders>
            <w:shd w:val="clear" w:color="auto" w:fill="auto"/>
            <w:vAlign w:val="center"/>
            <w:hideMark/>
          </w:tcPr>
          <w:p w14:paraId="7D42A7E0"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-0.067</w:t>
            </w:r>
          </w:p>
        </w:tc>
        <w:tc>
          <w:tcPr>
            <w:tcW w:w="284" w:type="pct"/>
            <w:tcBorders>
              <w:top w:val="nil"/>
              <w:left w:val="nil"/>
              <w:bottom w:val="nil"/>
              <w:right w:val="nil"/>
            </w:tcBorders>
            <w:shd w:val="clear" w:color="auto" w:fill="auto"/>
            <w:vAlign w:val="center"/>
            <w:hideMark/>
          </w:tcPr>
          <w:p w14:paraId="012F316B"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0.045</w:t>
            </w:r>
          </w:p>
        </w:tc>
      </w:tr>
      <w:tr w:rsidR="00F634D2" w:rsidRPr="00F634D2" w14:paraId="28B84527" w14:textId="77777777">
        <w:trPr>
          <w:trHeight w:val="20"/>
        </w:trPr>
        <w:tc>
          <w:tcPr>
            <w:tcW w:w="514" w:type="pct"/>
            <w:tcBorders>
              <w:top w:val="nil"/>
              <w:left w:val="nil"/>
              <w:bottom w:val="nil"/>
              <w:right w:val="nil"/>
            </w:tcBorders>
            <w:shd w:val="clear" w:color="auto" w:fill="auto"/>
            <w:vAlign w:val="center"/>
            <w:hideMark/>
          </w:tcPr>
          <w:p w14:paraId="0B1A7F1D" w14:textId="77777777" w:rsidR="00D50589" w:rsidRPr="00F634D2" w:rsidRDefault="00686261">
            <w:pPr>
              <w:spacing w:after="0" w:line="240" w:lineRule="auto"/>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 xml:space="preserve">(11) </w:t>
            </w:r>
            <w:proofErr w:type="spellStart"/>
            <w:r w:rsidRPr="00F634D2">
              <w:rPr>
                <w:rFonts w:ascii="Times New Roman" w:eastAsia="Times New Roman" w:hAnsi="Times New Roman" w:cs="Times New Roman"/>
                <w:i/>
                <w:iCs/>
                <w:sz w:val="16"/>
                <w:szCs w:val="16"/>
                <w:lang w:val="en-GB" w:eastAsia="en-GB"/>
              </w:rPr>
              <w:t>Unemp</w:t>
            </w:r>
            <w:proofErr w:type="spellEnd"/>
          </w:p>
        </w:tc>
        <w:tc>
          <w:tcPr>
            <w:tcW w:w="284" w:type="pct"/>
            <w:tcBorders>
              <w:top w:val="nil"/>
              <w:left w:val="nil"/>
              <w:bottom w:val="nil"/>
              <w:right w:val="nil"/>
            </w:tcBorders>
            <w:shd w:val="clear" w:color="auto" w:fill="auto"/>
            <w:noWrap/>
            <w:vAlign w:val="center"/>
            <w:hideMark/>
          </w:tcPr>
          <w:p w14:paraId="128B3B91"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0.035</w:t>
            </w:r>
          </w:p>
        </w:tc>
        <w:tc>
          <w:tcPr>
            <w:tcW w:w="284" w:type="pct"/>
            <w:tcBorders>
              <w:top w:val="nil"/>
              <w:left w:val="nil"/>
              <w:bottom w:val="nil"/>
              <w:right w:val="nil"/>
            </w:tcBorders>
            <w:shd w:val="clear" w:color="auto" w:fill="auto"/>
            <w:noWrap/>
            <w:vAlign w:val="center"/>
            <w:hideMark/>
          </w:tcPr>
          <w:p w14:paraId="0278D21B"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-0.087</w:t>
            </w:r>
          </w:p>
        </w:tc>
        <w:tc>
          <w:tcPr>
            <w:tcW w:w="238" w:type="pct"/>
            <w:tcBorders>
              <w:top w:val="nil"/>
              <w:left w:val="nil"/>
              <w:bottom w:val="nil"/>
              <w:right w:val="nil"/>
            </w:tcBorders>
            <w:shd w:val="clear" w:color="auto" w:fill="auto"/>
            <w:noWrap/>
            <w:vAlign w:val="center"/>
            <w:hideMark/>
          </w:tcPr>
          <w:p w14:paraId="7020F5EA"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0.060</w:t>
            </w:r>
          </w:p>
        </w:tc>
        <w:tc>
          <w:tcPr>
            <w:tcW w:w="238" w:type="pct"/>
            <w:tcBorders>
              <w:top w:val="nil"/>
              <w:left w:val="nil"/>
              <w:bottom w:val="nil"/>
              <w:right w:val="nil"/>
            </w:tcBorders>
            <w:shd w:val="clear" w:color="auto" w:fill="auto"/>
            <w:noWrap/>
            <w:vAlign w:val="center"/>
            <w:hideMark/>
          </w:tcPr>
          <w:p w14:paraId="3B86F8A0"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0.053</w:t>
            </w:r>
          </w:p>
        </w:tc>
        <w:tc>
          <w:tcPr>
            <w:tcW w:w="238" w:type="pct"/>
            <w:tcBorders>
              <w:top w:val="nil"/>
              <w:left w:val="nil"/>
              <w:bottom w:val="nil"/>
              <w:right w:val="nil"/>
            </w:tcBorders>
            <w:shd w:val="clear" w:color="auto" w:fill="auto"/>
            <w:noWrap/>
            <w:vAlign w:val="center"/>
            <w:hideMark/>
          </w:tcPr>
          <w:p w14:paraId="43FCE692"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-0.016</w:t>
            </w:r>
          </w:p>
        </w:tc>
        <w:tc>
          <w:tcPr>
            <w:tcW w:w="238" w:type="pct"/>
            <w:tcBorders>
              <w:top w:val="nil"/>
              <w:left w:val="nil"/>
              <w:bottom w:val="nil"/>
              <w:right w:val="nil"/>
            </w:tcBorders>
            <w:shd w:val="clear" w:color="auto" w:fill="auto"/>
            <w:noWrap/>
            <w:vAlign w:val="center"/>
            <w:hideMark/>
          </w:tcPr>
          <w:p w14:paraId="58263DB6"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-0.004</w:t>
            </w:r>
          </w:p>
        </w:tc>
        <w:tc>
          <w:tcPr>
            <w:tcW w:w="284" w:type="pct"/>
            <w:tcBorders>
              <w:top w:val="nil"/>
              <w:left w:val="nil"/>
              <w:bottom w:val="nil"/>
              <w:right w:val="nil"/>
            </w:tcBorders>
            <w:shd w:val="clear" w:color="auto" w:fill="auto"/>
            <w:noWrap/>
            <w:vAlign w:val="center"/>
            <w:hideMark/>
          </w:tcPr>
          <w:p w14:paraId="4E1A64AE"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0.155</w:t>
            </w:r>
          </w:p>
        </w:tc>
        <w:tc>
          <w:tcPr>
            <w:tcW w:w="238" w:type="pct"/>
            <w:tcBorders>
              <w:top w:val="nil"/>
              <w:left w:val="nil"/>
              <w:bottom w:val="nil"/>
              <w:right w:val="nil"/>
            </w:tcBorders>
            <w:shd w:val="clear" w:color="auto" w:fill="auto"/>
            <w:noWrap/>
            <w:vAlign w:val="center"/>
            <w:hideMark/>
          </w:tcPr>
          <w:p w14:paraId="659540D3"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-0.331</w:t>
            </w:r>
          </w:p>
        </w:tc>
        <w:tc>
          <w:tcPr>
            <w:tcW w:w="238" w:type="pct"/>
            <w:tcBorders>
              <w:top w:val="nil"/>
              <w:left w:val="nil"/>
              <w:bottom w:val="nil"/>
              <w:right w:val="nil"/>
            </w:tcBorders>
            <w:shd w:val="clear" w:color="auto" w:fill="auto"/>
            <w:noWrap/>
            <w:vAlign w:val="center"/>
            <w:hideMark/>
          </w:tcPr>
          <w:p w14:paraId="29E4C1C9"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0.187</w:t>
            </w:r>
          </w:p>
        </w:tc>
        <w:tc>
          <w:tcPr>
            <w:tcW w:w="284" w:type="pct"/>
            <w:tcBorders>
              <w:top w:val="nil"/>
              <w:left w:val="nil"/>
              <w:bottom w:val="nil"/>
              <w:right w:val="nil"/>
            </w:tcBorders>
            <w:shd w:val="clear" w:color="auto" w:fill="auto"/>
            <w:noWrap/>
            <w:vAlign w:val="center"/>
            <w:hideMark/>
          </w:tcPr>
          <w:p w14:paraId="47EAFB69"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-0.456</w:t>
            </w:r>
          </w:p>
        </w:tc>
        <w:tc>
          <w:tcPr>
            <w:tcW w:w="284" w:type="pct"/>
            <w:tcBorders>
              <w:top w:val="nil"/>
              <w:left w:val="nil"/>
              <w:bottom w:val="nil"/>
              <w:right w:val="nil"/>
            </w:tcBorders>
            <w:shd w:val="clear" w:color="auto" w:fill="auto"/>
            <w:noWrap/>
            <w:vAlign w:val="center"/>
            <w:hideMark/>
          </w:tcPr>
          <w:p w14:paraId="1CBBB840" w14:textId="77777777" w:rsidR="00D50589" w:rsidRPr="00F634D2" w:rsidRDefault="00D50589">
            <w:pPr>
              <w:spacing w:after="0" w:line="240" w:lineRule="auto"/>
              <w:jc w:val="center"/>
              <w:rPr>
                <w:rFonts w:ascii="Times New Roman" w:eastAsia="Times New Roman" w:hAnsi="Times New Roman" w:cs="Times New Roman"/>
                <w:b/>
                <w:bCs/>
                <w:sz w:val="16"/>
                <w:szCs w:val="16"/>
                <w:lang w:val="en-GB" w:eastAsia="en-GB"/>
              </w:rPr>
            </w:pPr>
          </w:p>
        </w:tc>
        <w:tc>
          <w:tcPr>
            <w:tcW w:w="238" w:type="pct"/>
            <w:tcBorders>
              <w:top w:val="nil"/>
              <w:left w:val="nil"/>
              <w:bottom w:val="nil"/>
              <w:right w:val="nil"/>
            </w:tcBorders>
            <w:shd w:val="clear" w:color="auto" w:fill="auto"/>
            <w:noWrap/>
            <w:vAlign w:val="center"/>
            <w:hideMark/>
          </w:tcPr>
          <w:p w14:paraId="68981F34"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-0.057</w:t>
            </w:r>
          </w:p>
        </w:tc>
        <w:tc>
          <w:tcPr>
            <w:tcW w:w="284" w:type="pct"/>
            <w:tcBorders>
              <w:top w:val="nil"/>
              <w:left w:val="nil"/>
              <w:bottom w:val="nil"/>
              <w:right w:val="nil"/>
            </w:tcBorders>
            <w:shd w:val="clear" w:color="auto" w:fill="auto"/>
            <w:noWrap/>
            <w:vAlign w:val="center"/>
            <w:hideMark/>
          </w:tcPr>
          <w:p w14:paraId="2EF1F152"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-0.138</w:t>
            </w:r>
          </w:p>
        </w:tc>
        <w:tc>
          <w:tcPr>
            <w:tcW w:w="284" w:type="pct"/>
            <w:tcBorders>
              <w:top w:val="nil"/>
              <w:left w:val="nil"/>
              <w:bottom w:val="nil"/>
              <w:right w:val="nil"/>
            </w:tcBorders>
            <w:shd w:val="clear" w:color="auto" w:fill="auto"/>
            <w:vAlign w:val="center"/>
            <w:hideMark/>
          </w:tcPr>
          <w:p w14:paraId="12C3B20E"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0.107</w:t>
            </w:r>
          </w:p>
        </w:tc>
        <w:tc>
          <w:tcPr>
            <w:tcW w:w="284" w:type="pct"/>
            <w:tcBorders>
              <w:top w:val="nil"/>
              <w:left w:val="nil"/>
              <w:bottom w:val="nil"/>
              <w:right w:val="nil"/>
            </w:tcBorders>
            <w:shd w:val="clear" w:color="auto" w:fill="auto"/>
            <w:vAlign w:val="center"/>
            <w:hideMark/>
          </w:tcPr>
          <w:p w14:paraId="78927FB3"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0.043</w:t>
            </w:r>
          </w:p>
        </w:tc>
        <w:tc>
          <w:tcPr>
            <w:tcW w:w="269" w:type="pct"/>
            <w:tcBorders>
              <w:top w:val="nil"/>
              <w:left w:val="nil"/>
              <w:bottom w:val="nil"/>
              <w:right w:val="nil"/>
            </w:tcBorders>
            <w:shd w:val="clear" w:color="auto" w:fill="auto"/>
            <w:vAlign w:val="center"/>
            <w:hideMark/>
          </w:tcPr>
          <w:p w14:paraId="2739F435"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0.011</w:t>
            </w:r>
          </w:p>
        </w:tc>
        <w:tc>
          <w:tcPr>
            <w:tcW w:w="284" w:type="pct"/>
            <w:tcBorders>
              <w:top w:val="nil"/>
              <w:left w:val="nil"/>
              <w:bottom w:val="nil"/>
              <w:right w:val="nil"/>
            </w:tcBorders>
            <w:shd w:val="clear" w:color="auto" w:fill="auto"/>
            <w:vAlign w:val="center"/>
            <w:hideMark/>
          </w:tcPr>
          <w:p w14:paraId="755A6A98"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-0.035</w:t>
            </w:r>
          </w:p>
        </w:tc>
      </w:tr>
      <w:tr w:rsidR="00F634D2" w:rsidRPr="00F634D2" w14:paraId="6493B000" w14:textId="77777777">
        <w:trPr>
          <w:trHeight w:val="20"/>
        </w:trPr>
        <w:tc>
          <w:tcPr>
            <w:tcW w:w="514" w:type="pct"/>
            <w:tcBorders>
              <w:top w:val="nil"/>
              <w:left w:val="nil"/>
              <w:bottom w:val="nil"/>
              <w:right w:val="nil"/>
            </w:tcBorders>
            <w:shd w:val="clear" w:color="auto" w:fill="auto"/>
            <w:vAlign w:val="center"/>
            <w:hideMark/>
          </w:tcPr>
          <w:p w14:paraId="4041AD6E" w14:textId="77777777" w:rsidR="00D50589" w:rsidRPr="00F634D2" w:rsidRDefault="00686261">
            <w:pPr>
              <w:spacing w:after="0" w:line="240" w:lineRule="auto"/>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(12) Lev</w:t>
            </w:r>
          </w:p>
        </w:tc>
        <w:tc>
          <w:tcPr>
            <w:tcW w:w="284" w:type="pct"/>
            <w:tcBorders>
              <w:top w:val="nil"/>
              <w:left w:val="nil"/>
              <w:bottom w:val="nil"/>
              <w:right w:val="nil"/>
            </w:tcBorders>
            <w:shd w:val="clear" w:color="auto" w:fill="auto"/>
            <w:noWrap/>
            <w:vAlign w:val="center"/>
            <w:hideMark/>
          </w:tcPr>
          <w:p w14:paraId="32A71AA5"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0.082</w:t>
            </w:r>
          </w:p>
        </w:tc>
        <w:tc>
          <w:tcPr>
            <w:tcW w:w="284" w:type="pct"/>
            <w:tcBorders>
              <w:top w:val="nil"/>
              <w:left w:val="nil"/>
              <w:bottom w:val="nil"/>
              <w:right w:val="nil"/>
            </w:tcBorders>
            <w:shd w:val="clear" w:color="auto" w:fill="auto"/>
            <w:noWrap/>
            <w:vAlign w:val="center"/>
            <w:hideMark/>
          </w:tcPr>
          <w:p w14:paraId="4FB602EF"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0.006</w:t>
            </w:r>
          </w:p>
        </w:tc>
        <w:tc>
          <w:tcPr>
            <w:tcW w:w="238" w:type="pct"/>
            <w:tcBorders>
              <w:top w:val="nil"/>
              <w:left w:val="nil"/>
              <w:bottom w:val="nil"/>
              <w:right w:val="nil"/>
            </w:tcBorders>
            <w:shd w:val="clear" w:color="auto" w:fill="auto"/>
            <w:noWrap/>
            <w:vAlign w:val="center"/>
            <w:hideMark/>
          </w:tcPr>
          <w:p w14:paraId="149B603F"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0.027</w:t>
            </w:r>
          </w:p>
        </w:tc>
        <w:tc>
          <w:tcPr>
            <w:tcW w:w="238" w:type="pct"/>
            <w:tcBorders>
              <w:top w:val="nil"/>
              <w:left w:val="nil"/>
              <w:bottom w:val="nil"/>
              <w:right w:val="nil"/>
            </w:tcBorders>
            <w:shd w:val="clear" w:color="auto" w:fill="auto"/>
            <w:noWrap/>
            <w:vAlign w:val="center"/>
            <w:hideMark/>
          </w:tcPr>
          <w:p w14:paraId="27C80710"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0.219</w:t>
            </w:r>
          </w:p>
        </w:tc>
        <w:tc>
          <w:tcPr>
            <w:tcW w:w="238" w:type="pct"/>
            <w:tcBorders>
              <w:top w:val="nil"/>
              <w:left w:val="nil"/>
              <w:bottom w:val="nil"/>
              <w:right w:val="nil"/>
            </w:tcBorders>
            <w:shd w:val="clear" w:color="auto" w:fill="auto"/>
            <w:noWrap/>
            <w:vAlign w:val="center"/>
            <w:hideMark/>
          </w:tcPr>
          <w:p w14:paraId="3FC3B0CD"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-0.183</w:t>
            </w:r>
          </w:p>
        </w:tc>
        <w:tc>
          <w:tcPr>
            <w:tcW w:w="238" w:type="pct"/>
            <w:tcBorders>
              <w:top w:val="nil"/>
              <w:left w:val="nil"/>
              <w:bottom w:val="nil"/>
              <w:right w:val="nil"/>
            </w:tcBorders>
            <w:shd w:val="clear" w:color="auto" w:fill="auto"/>
            <w:noWrap/>
            <w:vAlign w:val="center"/>
            <w:hideMark/>
          </w:tcPr>
          <w:p w14:paraId="516286F5"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-0.033</w:t>
            </w:r>
          </w:p>
        </w:tc>
        <w:tc>
          <w:tcPr>
            <w:tcW w:w="284" w:type="pct"/>
            <w:tcBorders>
              <w:top w:val="nil"/>
              <w:left w:val="nil"/>
              <w:bottom w:val="nil"/>
              <w:right w:val="nil"/>
            </w:tcBorders>
            <w:shd w:val="clear" w:color="auto" w:fill="auto"/>
            <w:noWrap/>
            <w:vAlign w:val="center"/>
            <w:hideMark/>
          </w:tcPr>
          <w:p w14:paraId="4BE040B7"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0.137</w:t>
            </w:r>
          </w:p>
        </w:tc>
        <w:tc>
          <w:tcPr>
            <w:tcW w:w="238" w:type="pct"/>
            <w:tcBorders>
              <w:top w:val="nil"/>
              <w:left w:val="nil"/>
              <w:bottom w:val="nil"/>
              <w:right w:val="nil"/>
            </w:tcBorders>
            <w:shd w:val="clear" w:color="auto" w:fill="auto"/>
            <w:noWrap/>
            <w:vAlign w:val="center"/>
            <w:hideMark/>
          </w:tcPr>
          <w:p w14:paraId="751F92E8"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0.021</w:t>
            </w:r>
          </w:p>
        </w:tc>
        <w:tc>
          <w:tcPr>
            <w:tcW w:w="238" w:type="pct"/>
            <w:tcBorders>
              <w:top w:val="nil"/>
              <w:left w:val="nil"/>
              <w:bottom w:val="nil"/>
              <w:right w:val="nil"/>
            </w:tcBorders>
            <w:shd w:val="clear" w:color="auto" w:fill="auto"/>
            <w:noWrap/>
            <w:vAlign w:val="center"/>
            <w:hideMark/>
          </w:tcPr>
          <w:p w14:paraId="5753B3BC"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0.101</w:t>
            </w:r>
          </w:p>
        </w:tc>
        <w:tc>
          <w:tcPr>
            <w:tcW w:w="284" w:type="pct"/>
            <w:tcBorders>
              <w:top w:val="nil"/>
              <w:left w:val="nil"/>
              <w:bottom w:val="nil"/>
              <w:right w:val="nil"/>
            </w:tcBorders>
            <w:shd w:val="clear" w:color="auto" w:fill="auto"/>
            <w:noWrap/>
            <w:vAlign w:val="center"/>
            <w:hideMark/>
          </w:tcPr>
          <w:p w14:paraId="41230B0A"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0.004</w:t>
            </w:r>
          </w:p>
        </w:tc>
        <w:tc>
          <w:tcPr>
            <w:tcW w:w="284" w:type="pct"/>
            <w:tcBorders>
              <w:top w:val="nil"/>
              <w:left w:val="nil"/>
              <w:bottom w:val="nil"/>
              <w:right w:val="nil"/>
            </w:tcBorders>
            <w:shd w:val="clear" w:color="auto" w:fill="auto"/>
            <w:noWrap/>
            <w:vAlign w:val="center"/>
            <w:hideMark/>
          </w:tcPr>
          <w:p w14:paraId="786B4D01"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-0.057</w:t>
            </w:r>
          </w:p>
        </w:tc>
        <w:tc>
          <w:tcPr>
            <w:tcW w:w="238" w:type="pct"/>
            <w:tcBorders>
              <w:top w:val="nil"/>
              <w:left w:val="nil"/>
              <w:bottom w:val="nil"/>
              <w:right w:val="nil"/>
            </w:tcBorders>
            <w:shd w:val="clear" w:color="auto" w:fill="auto"/>
            <w:noWrap/>
            <w:vAlign w:val="center"/>
            <w:hideMark/>
          </w:tcPr>
          <w:p w14:paraId="47761F6A" w14:textId="77777777" w:rsidR="00D50589" w:rsidRPr="00F634D2" w:rsidRDefault="00D50589">
            <w:pPr>
              <w:spacing w:after="0" w:line="240" w:lineRule="auto"/>
              <w:jc w:val="center"/>
              <w:rPr>
                <w:rFonts w:ascii="Times New Roman" w:eastAsia="Times New Roman" w:hAnsi="Times New Roman" w:cs="Times New Roman"/>
                <w:b/>
                <w:bCs/>
                <w:sz w:val="16"/>
                <w:szCs w:val="16"/>
                <w:lang w:val="en-GB" w:eastAsia="en-GB"/>
              </w:rPr>
            </w:pPr>
          </w:p>
        </w:tc>
        <w:tc>
          <w:tcPr>
            <w:tcW w:w="284" w:type="pct"/>
            <w:tcBorders>
              <w:top w:val="nil"/>
              <w:left w:val="nil"/>
              <w:bottom w:val="nil"/>
              <w:right w:val="nil"/>
            </w:tcBorders>
            <w:shd w:val="clear" w:color="auto" w:fill="auto"/>
            <w:noWrap/>
            <w:vAlign w:val="center"/>
            <w:hideMark/>
          </w:tcPr>
          <w:p w14:paraId="19A00FAF"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-0.026</w:t>
            </w:r>
          </w:p>
        </w:tc>
        <w:tc>
          <w:tcPr>
            <w:tcW w:w="284" w:type="pct"/>
            <w:tcBorders>
              <w:top w:val="nil"/>
              <w:left w:val="nil"/>
              <w:bottom w:val="nil"/>
              <w:right w:val="nil"/>
            </w:tcBorders>
            <w:shd w:val="clear" w:color="auto" w:fill="auto"/>
            <w:vAlign w:val="center"/>
            <w:hideMark/>
          </w:tcPr>
          <w:p w14:paraId="2C866ED0"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-0.215</w:t>
            </w:r>
          </w:p>
        </w:tc>
        <w:tc>
          <w:tcPr>
            <w:tcW w:w="284" w:type="pct"/>
            <w:tcBorders>
              <w:top w:val="nil"/>
              <w:left w:val="nil"/>
              <w:bottom w:val="nil"/>
              <w:right w:val="nil"/>
            </w:tcBorders>
            <w:shd w:val="clear" w:color="auto" w:fill="auto"/>
            <w:noWrap/>
            <w:vAlign w:val="center"/>
            <w:hideMark/>
          </w:tcPr>
          <w:p w14:paraId="3C55EAEB"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-0.134</w:t>
            </w:r>
          </w:p>
        </w:tc>
        <w:tc>
          <w:tcPr>
            <w:tcW w:w="269" w:type="pct"/>
            <w:tcBorders>
              <w:top w:val="nil"/>
              <w:left w:val="nil"/>
              <w:bottom w:val="nil"/>
              <w:right w:val="nil"/>
            </w:tcBorders>
            <w:shd w:val="clear" w:color="auto" w:fill="auto"/>
            <w:vAlign w:val="center"/>
            <w:hideMark/>
          </w:tcPr>
          <w:p w14:paraId="47220C8B"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0.073</w:t>
            </w:r>
          </w:p>
        </w:tc>
        <w:tc>
          <w:tcPr>
            <w:tcW w:w="284" w:type="pct"/>
            <w:tcBorders>
              <w:top w:val="nil"/>
              <w:left w:val="nil"/>
              <w:bottom w:val="nil"/>
              <w:right w:val="nil"/>
            </w:tcBorders>
            <w:shd w:val="clear" w:color="auto" w:fill="auto"/>
            <w:vAlign w:val="center"/>
            <w:hideMark/>
          </w:tcPr>
          <w:p w14:paraId="0047FBCE"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-0.037</w:t>
            </w:r>
          </w:p>
        </w:tc>
      </w:tr>
      <w:tr w:rsidR="00F634D2" w:rsidRPr="00F634D2" w14:paraId="503FC2FF" w14:textId="77777777">
        <w:trPr>
          <w:trHeight w:val="20"/>
        </w:trPr>
        <w:tc>
          <w:tcPr>
            <w:tcW w:w="514" w:type="pct"/>
            <w:tcBorders>
              <w:top w:val="nil"/>
              <w:left w:val="nil"/>
              <w:bottom w:val="nil"/>
              <w:right w:val="nil"/>
            </w:tcBorders>
            <w:shd w:val="clear" w:color="auto" w:fill="auto"/>
            <w:vAlign w:val="center"/>
            <w:hideMark/>
          </w:tcPr>
          <w:p w14:paraId="10D3E99D" w14:textId="77777777" w:rsidR="00D50589" w:rsidRPr="00F634D2" w:rsidRDefault="00686261">
            <w:pPr>
              <w:spacing w:after="0" w:line="240" w:lineRule="auto"/>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 xml:space="preserve">(13) </w:t>
            </w:r>
            <w:proofErr w:type="spellStart"/>
            <w:r w:rsidRPr="00F634D2">
              <w:rPr>
                <w:rFonts w:ascii="Times New Roman" w:eastAsia="Times New Roman" w:hAnsi="Times New Roman" w:cs="Times New Roman"/>
                <w:i/>
                <w:iCs/>
                <w:sz w:val="16"/>
                <w:szCs w:val="16"/>
                <w:lang w:val="en-GB" w:eastAsia="en-GB"/>
              </w:rPr>
              <w:t>Capx</w:t>
            </w:r>
            <w:proofErr w:type="spellEnd"/>
          </w:p>
        </w:tc>
        <w:tc>
          <w:tcPr>
            <w:tcW w:w="284" w:type="pct"/>
            <w:tcBorders>
              <w:top w:val="nil"/>
              <w:left w:val="nil"/>
              <w:bottom w:val="nil"/>
              <w:right w:val="nil"/>
            </w:tcBorders>
            <w:shd w:val="clear" w:color="auto" w:fill="auto"/>
            <w:noWrap/>
            <w:vAlign w:val="center"/>
            <w:hideMark/>
          </w:tcPr>
          <w:p w14:paraId="2CB5E655"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-0.104</w:t>
            </w:r>
          </w:p>
        </w:tc>
        <w:tc>
          <w:tcPr>
            <w:tcW w:w="284" w:type="pct"/>
            <w:tcBorders>
              <w:top w:val="nil"/>
              <w:left w:val="nil"/>
              <w:bottom w:val="nil"/>
              <w:right w:val="nil"/>
            </w:tcBorders>
            <w:shd w:val="clear" w:color="auto" w:fill="auto"/>
            <w:noWrap/>
            <w:vAlign w:val="center"/>
            <w:hideMark/>
          </w:tcPr>
          <w:p w14:paraId="59520A7E"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-0.024</w:t>
            </w:r>
          </w:p>
        </w:tc>
        <w:tc>
          <w:tcPr>
            <w:tcW w:w="238" w:type="pct"/>
            <w:tcBorders>
              <w:top w:val="nil"/>
              <w:left w:val="nil"/>
              <w:bottom w:val="nil"/>
              <w:right w:val="nil"/>
            </w:tcBorders>
            <w:shd w:val="clear" w:color="auto" w:fill="auto"/>
            <w:noWrap/>
            <w:vAlign w:val="center"/>
            <w:hideMark/>
          </w:tcPr>
          <w:p w14:paraId="3B6965C8"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-0.062</w:t>
            </w:r>
          </w:p>
        </w:tc>
        <w:tc>
          <w:tcPr>
            <w:tcW w:w="238" w:type="pct"/>
            <w:tcBorders>
              <w:top w:val="nil"/>
              <w:left w:val="nil"/>
              <w:bottom w:val="nil"/>
              <w:right w:val="nil"/>
            </w:tcBorders>
            <w:shd w:val="clear" w:color="auto" w:fill="auto"/>
            <w:noWrap/>
            <w:vAlign w:val="center"/>
            <w:hideMark/>
          </w:tcPr>
          <w:p w14:paraId="5572739C"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-0.116</w:t>
            </w:r>
          </w:p>
        </w:tc>
        <w:tc>
          <w:tcPr>
            <w:tcW w:w="238" w:type="pct"/>
            <w:tcBorders>
              <w:top w:val="nil"/>
              <w:left w:val="nil"/>
              <w:bottom w:val="nil"/>
              <w:right w:val="nil"/>
            </w:tcBorders>
            <w:shd w:val="clear" w:color="auto" w:fill="auto"/>
            <w:noWrap/>
            <w:vAlign w:val="center"/>
            <w:hideMark/>
          </w:tcPr>
          <w:p w14:paraId="22CA0C3A"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0.051</w:t>
            </w:r>
          </w:p>
        </w:tc>
        <w:tc>
          <w:tcPr>
            <w:tcW w:w="238" w:type="pct"/>
            <w:tcBorders>
              <w:top w:val="nil"/>
              <w:left w:val="nil"/>
              <w:bottom w:val="nil"/>
              <w:right w:val="nil"/>
            </w:tcBorders>
            <w:shd w:val="clear" w:color="auto" w:fill="auto"/>
            <w:noWrap/>
            <w:vAlign w:val="center"/>
            <w:hideMark/>
          </w:tcPr>
          <w:p w14:paraId="3C43DDC5"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0.055</w:t>
            </w:r>
          </w:p>
        </w:tc>
        <w:tc>
          <w:tcPr>
            <w:tcW w:w="284" w:type="pct"/>
            <w:tcBorders>
              <w:top w:val="nil"/>
              <w:left w:val="nil"/>
              <w:bottom w:val="nil"/>
              <w:right w:val="nil"/>
            </w:tcBorders>
            <w:shd w:val="clear" w:color="auto" w:fill="auto"/>
            <w:noWrap/>
            <w:vAlign w:val="center"/>
            <w:hideMark/>
          </w:tcPr>
          <w:p w14:paraId="129F9A19"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-0.126</w:t>
            </w:r>
          </w:p>
        </w:tc>
        <w:tc>
          <w:tcPr>
            <w:tcW w:w="238" w:type="pct"/>
            <w:tcBorders>
              <w:top w:val="nil"/>
              <w:left w:val="nil"/>
              <w:bottom w:val="nil"/>
              <w:right w:val="nil"/>
            </w:tcBorders>
            <w:shd w:val="clear" w:color="auto" w:fill="auto"/>
            <w:noWrap/>
            <w:vAlign w:val="center"/>
            <w:hideMark/>
          </w:tcPr>
          <w:p w14:paraId="0FE76828"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0.097</w:t>
            </w:r>
          </w:p>
        </w:tc>
        <w:tc>
          <w:tcPr>
            <w:tcW w:w="238" w:type="pct"/>
            <w:tcBorders>
              <w:top w:val="nil"/>
              <w:left w:val="nil"/>
              <w:bottom w:val="nil"/>
              <w:right w:val="nil"/>
            </w:tcBorders>
            <w:shd w:val="clear" w:color="auto" w:fill="auto"/>
            <w:noWrap/>
            <w:vAlign w:val="center"/>
            <w:hideMark/>
          </w:tcPr>
          <w:p w14:paraId="3B938D6A"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-0.132</w:t>
            </w:r>
          </w:p>
        </w:tc>
        <w:tc>
          <w:tcPr>
            <w:tcW w:w="284" w:type="pct"/>
            <w:tcBorders>
              <w:top w:val="nil"/>
              <w:left w:val="nil"/>
              <w:bottom w:val="nil"/>
              <w:right w:val="nil"/>
            </w:tcBorders>
            <w:shd w:val="clear" w:color="auto" w:fill="auto"/>
            <w:noWrap/>
            <w:vAlign w:val="center"/>
            <w:hideMark/>
          </w:tcPr>
          <w:p w14:paraId="26A4EEE8"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0.146</w:t>
            </w:r>
          </w:p>
        </w:tc>
        <w:tc>
          <w:tcPr>
            <w:tcW w:w="284" w:type="pct"/>
            <w:tcBorders>
              <w:top w:val="nil"/>
              <w:left w:val="nil"/>
              <w:bottom w:val="nil"/>
              <w:right w:val="nil"/>
            </w:tcBorders>
            <w:shd w:val="clear" w:color="auto" w:fill="auto"/>
            <w:noWrap/>
            <w:vAlign w:val="center"/>
            <w:hideMark/>
          </w:tcPr>
          <w:p w14:paraId="206DF421"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-0.138</w:t>
            </w:r>
          </w:p>
        </w:tc>
        <w:tc>
          <w:tcPr>
            <w:tcW w:w="238" w:type="pct"/>
            <w:tcBorders>
              <w:top w:val="nil"/>
              <w:left w:val="nil"/>
              <w:bottom w:val="nil"/>
              <w:right w:val="nil"/>
            </w:tcBorders>
            <w:shd w:val="clear" w:color="auto" w:fill="auto"/>
            <w:noWrap/>
            <w:vAlign w:val="center"/>
            <w:hideMark/>
          </w:tcPr>
          <w:p w14:paraId="353B5228"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-0.026</w:t>
            </w:r>
          </w:p>
        </w:tc>
        <w:tc>
          <w:tcPr>
            <w:tcW w:w="284" w:type="pct"/>
            <w:tcBorders>
              <w:top w:val="nil"/>
              <w:left w:val="nil"/>
              <w:bottom w:val="nil"/>
              <w:right w:val="nil"/>
            </w:tcBorders>
            <w:shd w:val="clear" w:color="auto" w:fill="auto"/>
            <w:noWrap/>
            <w:vAlign w:val="center"/>
            <w:hideMark/>
          </w:tcPr>
          <w:p w14:paraId="3FCB9CE7" w14:textId="77777777" w:rsidR="00D50589" w:rsidRPr="00F634D2" w:rsidRDefault="00D50589">
            <w:pPr>
              <w:spacing w:after="0" w:line="240" w:lineRule="auto"/>
              <w:jc w:val="center"/>
              <w:rPr>
                <w:rFonts w:ascii="Times New Roman" w:eastAsia="Times New Roman" w:hAnsi="Times New Roman" w:cs="Times New Roman"/>
                <w:b/>
                <w:bCs/>
                <w:sz w:val="16"/>
                <w:szCs w:val="16"/>
                <w:lang w:val="en-GB" w:eastAsia="en-GB"/>
              </w:rPr>
            </w:pPr>
          </w:p>
        </w:tc>
        <w:tc>
          <w:tcPr>
            <w:tcW w:w="284" w:type="pct"/>
            <w:tcBorders>
              <w:top w:val="nil"/>
              <w:left w:val="nil"/>
              <w:bottom w:val="nil"/>
              <w:right w:val="nil"/>
            </w:tcBorders>
            <w:shd w:val="clear" w:color="auto" w:fill="auto"/>
            <w:vAlign w:val="center"/>
            <w:hideMark/>
          </w:tcPr>
          <w:p w14:paraId="014F11A1"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-0.048</w:t>
            </w:r>
          </w:p>
        </w:tc>
        <w:tc>
          <w:tcPr>
            <w:tcW w:w="284" w:type="pct"/>
            <w:tcBorders>
              <w:top w:val="nil"/>
              <w:left w:val="nil"/>
              <w:bottom w:val="nil"/>
              <w:right w:val="nil"/>
            </w:tcBorders>
            <w:shd w:val="clear" w:color="auto" w:fill="auto"/>
            <w:vAlign w:val="center"/>
            <w:hideMark/>
          </w:tcPr>
          <w:p w14:paraId="5163FA72"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0.162</w:t>
            </w:r>
          </w:p>
        </w:tc>
        <w:tc>
          <w:tcPr>
            <w:tcW w:w="269" w:type="pct"/>
            <w:tcBorders>
              <w:top w:val="nil"/>
              <w:left w:val="nil"/>
              <w:bottom w:val="nil"/>
              <w:right w:val="nil"/>
            </w:tcBorders>
            <w:shd w:val="clear" w:color="auto" w:fill="auto"/>
            <w:vAlign w:val="center"/>
            <w:hideMark/>
          </w:tcPr>
          <w:p w14:paraId="038BC0A9"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-0.145</w:t>
            </w:r>
          </w:p>
        </w:tc>
        <w:tc>
          <w:tcPr>
            <w:tcW w:w="284" w:type="pct"/>
            <w:tcBorders>
              <w:top w:val="nil"/>
              <w:left w:val="nil"/>
              <w:bottom w:val="nil"/>
              <w:right w:val="nil"/>
            </w:tcBorders>
            <w:shd w:val="clear" w:color="auto" w:fill="auto"/>
            <w:vAlign w:val="center"/>
            <w:hideMark/>
          </w:tcPr>
          <w:p w14:paraId="236AB8C9"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0.031</w:t>
            </w:r>
          </w:p>
        </w:tc>
      </w:tr>
      <w:tr w:rsidR="00F634D2" w:rsidRPr="00F634D2" w14:paraId="6C0B6A39" w14:textId="77777777">
        <w:trPr>
          <w:trHeight w:val="20"/>
        </w:trPr>
        <w:tc>
          <w:tcPr>
            <w:tcW w:w="514" w:type="pct"/>
            <w:tcBorders>
              <w:top w:val="nil"/>
              <w:left w:val="nil"/>
              <w:bottom w:val="nil"/>
              <w:right w:val="nil"/>
            </w:tcBorders>
            <w:shd w:val="clear" w:color="auto" w:fill="auto"/>
            <w:vAlign w:val="center"/>
            <w:hideMark/>
          </w:tcPr>
          <w:p w14:paraId="39289185" w14:textId="77777777" w:rsidR="00D50589" w:rsidRPr="00F634D2" w:rsidRDefault="00686261">
            <w:pPr>
              <w:spacing w:after="0" w:line="240" w:lineRule="auto"/>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 xml:space="preserve">(14) R&amp;D </w:t>
            </w:r>
          </w:p>
        </w:tc>
        <w:tc>
          <w:tcPr>
            <w:tcW w:w="284" w:type="pct"/>
            <w:tcBorders>
              <w:top w:val="nil"/>
              <w:left w:val="nil"/>
              <w:bottom w:val="nil"/>
              <w:right w:val="nil"/>
            </w:tcBorders>
            <w:shd w:val="clear" w:color="auto" w:fill="auto"/>
            <w:noWrap/>
            <w:vAlign w:val="center"/>
            <w:hideMark/>
          </w:tcPr>
          <w:p w14:paraId="64636FD5"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0.034</w:t>
            </w:r>
          </w:p>
        </w:tc>
        <w:tc>
          <w:tcPr>
            <w:tcW w:w="284" w:type="pct"/>
            <w:tcBorders>
              <w:top w:val="nil"/>
              <w:left w:val="nil"/>
              <w:bottom w:val="nil"/>
              <w:right w:val="nil"/>
            </w:tcBorders>
            <w:shd w:val="clear" w:color="auto" w:fill="auto"/>
            <w:noWrap/>
            <w:vAlign w:val="center"/>
            <w:hideMark/>
          </w:tcPr>
          <w:p w14:paraId="55C63A62"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-0.081</w:t>
            </w:r>
          </w:p>
        </w:tc>
        <w:tc>
          <w:tcPr>
            <w:tcW w:w="238" w:type="pct"/>
            <w:tcBorders>
              <w:top w:val="nil"/>
              <w:left w:val="nil"/>
              <w:bottom w:val="nil"/>
              <w:right w:val="nil"/>
            </w:tcBorders>
            <w:shd w:val="clear" w:color="auto" w:fill="auto"/>
            <w:noWrap/>
            <w:vAlign w:val="center"/>
            <w:hideMark/>
          </w:tcPr>
          <w:p w14:paraId="30BAB30B"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-0.070</w:t>
            </w:r>
          </w:p>
        </w:tc>
        <w:tc>
          <w:tcPr>
            <w:tcW w:w="238" w:type="pct"/>
            <w:tcBorders>
              <w:top w:val="nil"/>
              <w:left w:val="nil"/>
              <w:bottom w:val="nil"/>
              <w:right w:val="nil"/>
            </w:tcBorders>
            <w:shd w:val="clear" w:color="auto" w:fill="auto"/>
            <w:noWrap/>
            <w:vAlign w:val="center"/>
            <w:hideMark/>
          </w:tcPr>
          <w:p w14:paraId="057386FD"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-0.254</w:t>
            </w:r>
          </w:p>
        </w:tc>
        <w:tc>
          <w:tcPr>
            <w:tcW w:w="238" w:type="pct"/>
            <w:tcBorders>
              <w:top w:val="nil"/>
              <w:left w:val="nil"/>
              <w:bottom w:val="nil"/>
              <w:right w:val="nil"/>
            </w:tcBorders>
            <w:shd w:val="clear" w:color="auto" w:fill="auto"/>
            <w:noWrap/>
            <w:vAlign w:val="center"/>
            <w:hideMark/>
          </w:tcPr>
          <w:p w14:paraId="3C0E5128"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-0.296</w:t>
            </w:r>
          </w:p>
        </w:tc>
        <w:tc>
          <w:tcPr>
            <w:tcW w:w="238" w:type="pct"/>
            <w:tcBorders>
              <w:top w:val="nil"/>
              <w:left w:val="nil"/>
              <w:bottom w:val="nil"/>
              <w:right w:val="nil"/>
            </w:tcBorders>
            <w:shd w:val="clear" w:color="auto" w:fill="auto"/>
            <w:noWrap/>
            <w:vAlign w:val="center"/>
            <w:hideMark/>
          </w:tcPr>
          <w:p w14:paraId="0C4C3CAF"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-0.026</w:t>
            </w:r>
          </w:p>
        </w:tc>
        <w:tc>
          <w:tcPr>
            <w:tcW w:w="284" w:type="pct"/>
            <w:tcBorders>
              <w:top w:val="nil"/>
              <w:left w:val="nil"/>
              <w:bottom w:val="nil"/>
              <w:right w:val="nil"/>
            </w:tcBorders>
            <w:shd w:val="clear" w:color="auto" w:fill="auto"/>
            <w:noWrap/>
            <w:vAlign w:val="center"/>
            <w:hideMark/>
          </w:tcPr>
          <w:p w14:paraId="63C0AE2F"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-0.129</w:t>
            </w:r>
          </w:p>
        </w:tc>
        <w:tc>
          <w:tcPr>
            <w:tcW w:w="238" w:type="pct"/>
            <w:tcBorders>
              <w:top w:val="nil"/>
              <w:left w:val="nil"/>
              <w:bottom w:val="nil"/>
              <w:right w:val="nil"/>
            </w:tcBorders>
            <w:shd w:val="clear" w:color="auto" w:fill="auto"/>
            <w:noWrap/>
            <w:vAlign w:val="center"/>
            <w:hideMark/>
          </w:tcPr>
          <w:p w14:paraId="71E72C25"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-0.066</w:t>
            </w:r>
          </w:p>
        </w:tc>
        <w:tc>
          <w:tcPr>
            <w:tcW w:w="238" w:type="pct"/>
            <w:tcBorders>
              <w:top w:val="nil"/>
              <w:left w:val="nil"/>
              <w:bottom w:val="nil"/>
              <w:right w:val="nil"/>
            </w:tcBorders>
            <w:shd w:val="clear" w:color="auto" w:fill="auto"/>
            <w:noWrap/>
            <w:vAlign w:val="center"/>
            <w:hideMark/>
          </w:tcPr>
          <w:p w14:paraId="4C9576EF"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0.000</w:t>
            </w:r>
          </w:p>
        </w:tc>
        <w:tc>
          <w:tcPr>
            <w:tcW w:w="284" w:type="pct"/>
            <w:tcBorders>
              <w:top w:val="nil"/>
              <w:left w:val="nil"/>
              <w:bottom w:val="nil"/>
              <w:right w:val="nil"/>
            </w:tcBorders>
            <w:shd w:val="clear" w:color="auto" w:fill="auto"/>
            <w:noWrap/>
            <w:vAlign w:val="center"/>
            <w:hideMark/>
          </w:tcPr>
          <w:p w14:paraId="1D009375"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-0.008</w:t>
            </w:r>
          </w:p>
        </w:tc>
        <w:tc>
          <w:tcPr>
            <w:tcW w:w="284" w:type="pct"/>
            <w:tcBorders>
              <w:top w:val="nil"/>
              <w:left w:val="nil"/>
              <w:bottom w:val="nil"/>
              <w:right w:val="nil"/>
            </w:tcBorders>
            <w:shd w:val="clear" w:color="auto" w:fill="auto"/>
            <w:noWrap/>
            <w:vAlign w:val="center"/>
            <w:hideMark/>
          </w:tcPr>
          <w:p w14:paraId="3A25A0CF"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0.107</w:t>
            </w:r>
          </w:p>
        </w:tc>
        <w:tc>
          <w:tcPr>
            <w:tcW w:w="238" w:type="pct"/>
            <w:tcBorders>
              <w:top w:val="nil"/>
              <w:left w:val="nil"/>
              <w:bottom w:val="nil"/>
              <w:right w:val="nil"/>
            </w:tcBorders>
            <w:shd w:val="clear" w:color="auto" w:fill="auto"/>
            <w:noWrap/>
            <w:vAlign w:val="center"/>
            <w:hideMark/>
          </w:tcPr>
          <w:p w14:paraId="5096EC9B"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-0.215</w:t>
            </w:r>
          </w:p>
        </w:tc>
        <w:tc>
          <w:tcPr>
            <w:tcW w:w="284" w:type="pct"/>
            <w:tcBorders>
              <w:top w:val="nil"/>
              <w:left w:val="nil"/>
              <w:bottom w:val="nil"/>
              <w:right w:val="nil"/>
            </w:tcBorders>
            <w:shd w:val="clear" w:color="auto" w:fill="auto"/>
            <w:noWrap/>
            <w:vAlign w:val="center"/>
            <w:hideMark/>
          </w:tcPr>
          <w:p w14:paraId="48FFD41E"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-0.048</w:t>
            </w:r>
          </w:p>
        </w:tc>
        <w:tc>
          <w:tcPr>
            <w:tcW w:w="284" w:type="pct"/>
            <w:tcBorders>
              <w:top w:val="nil"/>
              <w:left w:val="nil"/>
              <w:bottom w:val="nil"/>
              <w:right w:val="nil"/>
            </w:tcBorders>
            <w:shd w:val="clear" w:color="auto" w:fill="auto"/>
            <w:vAlign w:val="center"/>
            <w:hideMark/>
          </w:tcPr>
          <w:p w14:paraId="19796CA0" w14:textId="77777777" w:rsidR="00D50589" w:rsidRPr="00F634D2" w:rsidRDefault="00D50589">
            <w:pPr>
              <w:spacing w:after="0" w:line="240" w:lineRule="auto"/>
              <w:jc w:val="center"/>
              <w:rPr>
                <w:rFonts w:ascii="Times New Roman" w:eastAsia="Times New Roman" w:hAnsi="Times New Roman" w:cs="Times New Roman"/>
                <w:b/>
                <w:bCs/>
                <w:sz w:val="16"/>
                <w:szCs w:val="16"/>
                <w:lang w:val="en-GB" w:eastAsia="en-GB"/>
              </w:rPr>
            </w:pPr>
          </w:p>
        </w:tc>
        <w:tc>
          <w:tcPr>
            <w:tcW w:w="284" w:type="pct"/>
            <w:tcBorders>
              <w:top w:val="nil"/>
              <w:left w:val="nil"/>
              <w:bottom w:val="nil"/>
              <w:right w:val="nil"/>
            </w:tcBorders>
            <w:shd w:val="clear" w:color="auto" w:fill="auto"/>
            <w:noWrap/>
            <w:vAlign w:val="center"/>
            <w:hideMark/>
          </w:tcPr>
          <w:p w14:paraId="6248F4EA"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-0.062</w:t>
            </w:r>
          </w:p>
        </w:tc>
        <w:tc>
          <w:tcPr>
            <w:tcW w:w="269" w:type="pct"/>
            <w:tcBorders>
              <w:top w:val="nil"/>
              <w:left w:val="nil"/>
              <w:bottom w:val="nil"/>
              <w:right w:val="nil"/>
            </w:tcBorders>
            <w:shd w:val="clear" w:color="auto" w:fill="auto"/>
            <w:vAlign w:val="center"/>
            <w:hideMark/>
          </w:tcPr>
          <w:p w14:paraId="23E89717"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-0.080</w:t>
            </w:r>
          </w:p>
        </w:tc>
        <w:tc>
          <w:tcPr>
            <w:tcW w:w="284" w:type="pct"/>
            <w:tcBorders>
              <w:top w:val="nil"/>
              <w:left w:val="nil"/>
              <w:bottom w:val="nil"/>
              <w:right w:val="nil"/>
            </w:tcBorders>
            <w:shd w:val="clear" w:color="auto" w:fill="auto"/>
            <w:vAlign w:val="center"/>
            <w:hideMark/>
          </w:tcPr>
          <w:p w14:paraId="2CF91E48"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-0.060</w:t>
            </w:r>
          </w:p>
        </w:tc>
      </w:tr>
      <w:tr w:rsidR="00F634D2" w:rsidRPr="00F634D2" w14:paraId="16E0268B" w14:textId="77777777">
        <w:trPr>
          <w:trHeight w:val="20"/>
        </w:trPr>
        <w:tc>
          <w:tcPr>
            <w:tcW w:w="514" w:type="pct"/>
            <w:tcBorders>
              <w:top w:val="nil"/>
              <w:left w:val="nil"/>
              <w:bottom w:val="nil"/>
              <w:right w:val="nil"/>
            </w:tcBorders>
            <w:shd w:val="clear" w:color="auto" w:fill="auto"/>
            <w:vAlign w:val="center"/>
            <w:hideMark/>
          </w:tcPr>
          <w:p w14:paraId="0CF70425" w14:textId="77777777" w:rsidR="00D50589" w:rsidRPr="00F634D2" w:rsidRDefault="00686261">
            <w:pPr>
              <w:spacing w:after="0" w:line="240" w:lineRule="auto"/>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 xml:space="preserve">(15) </w:t>
            </w:r>
            <w:proofErr w:type="spellStart"/>
            <w:r w:rsidRPr="00F634D2">
              <w:rPr>
                <w:rFonts w:ascii="Times New Roman" w:eastAsia="Times New Roman" w:hAnsi="Times New Roman" w:cs="Times New Roman"/>
                <w:i/>
                <w:iCs/>
                <w:sz w:val="16"/>
                <w:szCs w:val="16"/>
                <w:lang w:val="en-GB" w:eastAsia="en-GB"/>
              </w:rPr>
              <w:t>Zscore</w:t>
            </w:r>
            <w:proofErr w:type="spellEnd"/>
          </w:p>
        </w:tc>
        <w:tc>
          <w:tcPr>
            <w:tcW w:w="284" w:type="pct"/>
            <w:tcBorders>
              <w:top w:val="nil"/>
              <w:left w:val="nil"/>
              <w:bottom w:val="nil"/>
              <w:right w:val="nil"/>
            </w:tcBorders>
            <w:shd w:val="clear" w:color="auto" w:fill="auto"/>
            <w:noWrap/>
            <w:vAlign w:val="center"/>
            <w:hideMark/>
          </w:tcPr>
          <w:p w14:paraId="7B66C798"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-0.116</w:t>
            </w:r>
          </w:p>
        </w:tc>
        <w:tc>
          <w:tcPr>
            <w:tcW w:w="284" w:type="pct"/>
            <w:tcBorders>
              <w:top w:val="nil"/>
              <w:left w:val="nil"/>
              <w:bottom w:val="nil"/>
              <w:right w:val="nil"/>
            </w:tcBorders>
            <w:shd w:val="clear" w:color="auto" w:fill="auto"/>
            <w:vAlign w:val="center"/>
            <w:hideMark/>
          </w:tcPr>
          <w:p w14:paraId="31040F5A"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0.138</w:t>
            </w:r>
          </w:p>
        </w:tc>
        <w:tc>
          <w:tcPr>
            <w:tcW w:w="238" w:type="pct"/>
            <w:tcBorders>
              <w:top w:val="nil"/>
              <w:left w:val="nil"/>
              <w:bottom w:val="nil"/>
              <w:right w:val="nil"/>
            </w:tcBorders>
            <w:shd w:val="clear" w:color="auto" w:fill="auto"/>
            <w:noWrap/>
            <w:vAlign w:val="center"/>
            <w:hideMark/>
          </w:tcPr>
          <w:p w14:paraId="03CDB05D"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0.121</w:t>
            </w:r>
          </w:p>
        </w:tc>
        <w:tc>
          <w:tcPr>
            <w:tcW w:w="238" w:type="pct"/>
            <w:tcBorders>
              <w:top w:val="nil"/>
              <w:left w:val="nil"/>
              <w:bottom w:val="nil"/>
              <w:right w:val="nil"/>
            </w:tcBorders>
            <w:shd w:val="clear" w:color="auto" w:fill="auto"/>
            <w:noWrap/>
            <w:vAlign w:val="center"/>
            <w:hideMark/>
          </w:tcPr>
          <w:p w14:paraId="04F389E6"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-0.084</w:t>
            </w:r>
          </w:p>
        </w:tc>
        <w:tc>
          <w:tcPr>
            <w:tcW w:w="238" w:type="pct"/>
            <w:tcBorders>
              <w:top w:val="nil"/>
              <w:left w:val="nil"/>
              <w:bottom w:val="nil"/>
              <w:right w:val="nil"/>
            </w:tcBorders>
            <w:shd w:val="clear" w:color="auto" w:fill="auto"/>
            <w:noWrap/>
            <w:vAlign w:val="center"/>
            <w:hideMark/>
          </w:tcPr>
          <w:p w14:paraId="0DFDF32E"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-0.107</w:t>
            </w:r>
          </w:p>
        </w:tc>
        <w:tc>
          <w:tcPr>
            <w:tcW w:w="238" w:type="pct"/>
            <w:tcBorders>
              <w:top w:val="nil"/>
              <w:left w:val="nil"/>
              <w:bottom w:val="nil"/>
              <w:right w:val="nil"/>
            </w:tcBorders>
            <w:shd w:val="clear" w:color="auto" w:fill="auto"/>
            <w:noWrap/>
            <w:vAlign w:val="center"/>
            <w:hideMark/>
          </w:tcPr>
          <w:p w14:paraId="6266EF25"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-0.063</w:t>
            </w:r>
          </w:p>
        </w:tc>
        <w:tc>
          <w:tcPr>
            <w:tcW w:w="284" w:type="pct"/>
            <w:tcBorders>
              <w:top w:val="nil"/>
              <w:left w:val="nil"/>
              <w:bottom w:val="nil"/>
              <w:right w:val="nil"/>
            </w:tcBorders>
            <w:shd w:val="clear" w:color="auto" w:fill="auto"/>
            <w:vAlign w:val="center"/>
            <w:hideMark/>
          </w:tcPr>
          <w:p w14:paraId="21F14A91"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0.064</w:t>
            </w:r>
          </w:p>
        </w:tc>
        <w:tc>
          <w:tcPr>
            <w:tcW w:w="238" w:type="pct"/>
            <w:tcBorders>
              <w:top w:val="nil"/>
              <w:left w:val="nil"/>
              <w:bottom w:val="nil"/>
              <w:right w:val="nil"/>
            </w:tcBorders>
            <w:shd w:val="clear" w:color="auto" w:fill="auto"/>
            <w:noWrap/>
            <w:vAlign w:val="center"/>
            <w:hideMark/>
          </w:tcPr>
          <w:p w14:paraId="40C65446"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-0.139</w:t>
            </w:r>
          </w:p>
        </w:tc>
        <w:tc>
          <w:tcPr>
            <w:tcW w:w="238" w:type="pct"/>
            <w:tcBorders>
              <w:top w:val="nil"/>
              <w:left w:val="nil"/>
              <w:bottom w:val="nil"/>
              <w:right w:val="nil"/>
            </w:tcBorders>
            <w:shd w:val="clear" w:color="auto" w:fill="auto"/>
            <w:noWrap/>
            <w:vAlign w:val="center"/>
            <w:hideMark/>
          </w:tcPr>
          <w:p w14:paraId="139BD2BB"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-0.121</w:t>
            </w:r>
          </w:p>
        </w:tc>
        <w:tc>
          <w:tcPr>
            <w:tcW w:w="284" w:type="pct"/>
            <w:tcBorders>
              <w:top w:val="nil"/>
              <w:left w:val="nil"/>
              <w:bottom w:val="nil"/>
              <w:right w:val="nil"/>
            </w:tcBorders>
            <w:shd w:val="clear" w:color="auto" w:fill="auto"/>
            <w:vAlign w:val="center"/>
            <w:hideMark/>
          </w:tcPr>
          <w:p w14:paraId="5BF0067B"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0.182</w:t>
            </w:r>
          </w:p>
        </w:tc>
        <w:tc>
          <w:tcPr>
            <w:tcW w:w="284" w:type="pct"/>
            <w:tcBorders>
              <w:top w:val="nil"/>
              <w:left w:val="nil"/>
              <w:bottom w:val="nil"/>
              <w:right w:val="nil"/>
            </w:tcBorders>
            <w:shd w:val="clear" w:color="auto" w:fill="auto"/>
            <w:vAlign w:val="center"/>
            <w:hideMark/>
          </w:tcPr>
          <w:p w14:paraId="22357F84"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0.177</w:t>
            </w:r>
          </w:p>
        </w:tc>
        <w:tc>
          <w:tcPr>
            <w:tcW w:w="238" w:type="pct"/>
            <w:tcBorders>
              <w:top w:val="nil"/>
              <w:left w:val="nil"/>
              <w:bottom w:val="nil"/>
              <w:right w:val="nil"/>
            </w:tcBorders>
            <w:shd w:val="clear" w:color="auto" w:fill="auto"/>
            <w:noWrap/>
            <w:vAlign w:val="center"/>
            <w:hideMark/>
          </w:tcPr>
          <w:p w14:paraId="7969B4D4"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-0.202</w:t>
            </w:r>
          </w:p>
        </w:tc>
        <w:tc>
          <w:tcPr>
            <w:tcW w:w="284" w:type="pct"/>
            <w:tcBorders>
              <w:top w:val="nil"/>
              <w:left w:val="nil"/>
              <w:bottom w:val="nil"/>
              <w:right w:val="nil"/>
            </w:tcBorders>
            <w:shd w:val="clear" w:color="auto" w:fill="auto"/>
            <w:vAlign w:val="center"/>
            <w:hideMark/>
          </w:tcPr>
          <w:p w14:paraId="674B2CF6"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0.109</w:t>
            </w:r>
          </w:p>
        </w:tc>
        <w:tc>
          <w:tcPr>
            <w:tcW w:w="284" w:type="pct"/>
            <w:tcBorders>
              <w:top w:val="nil"/>
              <w:left w:val="nil"/>
              <w:bottom w:val="nil"/>
              <w:right w:val="nil"/>
            </w:tcBorders>
            <w:shd w:val="clear" w:color="auto" w:fill="auto"/>
            <w:noWrap/>
            <w:vAlign w:val="center"/>
            <w:hideMark/>
          </w:tcPr>
          <w:p w14:paraId="4A08D4A0"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-0.058</w:t>
            </w:r>
          </w:p>
        </w:tc>
        <w:tc>
          <w:tcPr>
            <w:tcW w:w="284" w:type="pct"/>
            <w:tcBorders>
              <w:top w:val="nil"/>
              <w:left w:val="nil"/>
              <w:bottom w:val="nil"/>
              <w:right w:val="nil"/>
            </w:tcBorders>
            <w:shd w:val="clear" w:color="auto" w:fill="auto"/>
            <w:noWrap/>
            <w:vAlign w:val="center"/>
            <w:hideMark/>
          </w:tcPr>
          <w:p w14:paraId="4FD1D03F" w14:textId="77777777" w:rsidR="00D50589" w:rsidRPr="00F634D2" w:rsidRDefault="00D50589">
            <w:pPr>
              <w:spacing w:after="0" w:line="240" w:lineRule="auto"/>
              <w:jc w:val="center"/>
              <w:rPr>
                <w:rFonts w:ascii="Times New Roman" w:eastAsia="Times New Roman" w:hAnsi="Times New Roman" w:cs="Times New Roman"/>
                <w:b/>
                <w:bCs/>
                <w:sz w:val="16"/>
                <w:szCs w:val="16"/>
                <w:lang w:val="en-GB" w:eastAsia="en-GB"/>
              </w:rPr>
            </w:pPr>
          </w:p>
        </w:tc>
        <w:tc>
          <w:tcPr>
            <w:tcW w:w="269" w:type="pct"/>
            <w:tcBorders>
              <w:top w:val="nil"/>
              <w:left w:val="nil"/>
              <w:bottom w:val="nil"/>
              <w:right w:val="nil"/>
            </w:tcBorders>
            <w:shd w:val="clear" w:color="auto" w:fill="auto"/>
            <w:noWrap/>
            <w:vAlign w:val="center"/>
            <w:hideMark/>
          </w:tcPr>
          <w:p w14:paraId="3F2EDDB9"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0.005</w:t>
            </w:r>
          </w:p>
        </w:tc>
        <w:tc>
          <w:tcPr>
            <w:tcW w:w="284" w:type="pct"/>
            <w:tcBorders>
              <w:top w:val="nil"/>
              <w:left w:val="nil"/>
              <w:bottom w:val="nil"/>
              <w:right w:val="nil"/>
            </w:tcBorders>
            <w:shd w:val="clear" w:color="auto" w:fill="auto"/>
            <w:noWrap/>
            <w:vAlign w:val="center"/>
            <w:hideMark/>
          </w:tcPr>
          <w:p w14:paraId="03FCDE13"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-0.006</w:t>
            </w:r>
          </w:p>
        </w:tc>
      </w:tr>
      <w:tr w:rsidR="00F634D2" w:rsidRPr="00F634D2" w14:paraId="42B189D0" w14:textId="77777777">
        <w:trPr>
          <w:trHeight w:val="20"/>
        </w:trPr>
        <w:tc>
          <w:tcPr>
            <w:tcW w:w="514" w:type="pct"/>
            <w:tcBorders>
              <w:top w:val="nil"/>
              <w:left w:val="nil"/>
              <w:bottom w:val="nil"/>
              <w:right w:val="nil"/>
            </w:tcBorders>
            <w:shd w:val="clear" w:color="auto" w:fill="auto"/>
            <w:vAlign w:val="center"/>
            <w:hideMark/>
          </w:tcPr>
          <w:p w14:paraId="30335958" w14:textId="77777777" w:rsidR="00D50589" w:rsidRPr="00F634D2" w:rsidRDefault="00686261">
            <w:pPr>
              <w:spacing w:after="0" w:line="240" w:lineRule="auto"/>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(16) Seg</w:t>
            </w:r>
          </w:p>
        </w:tc>
        <w:tc>
          <w:tcPr>
            <w:tcW w:w="284" w:type="pct"/>
            <w:tcBorders>
              <w:top w:val="nil"/>
              <w:left w:val="nil"/>
              <w:bottom w:val="nil"/>
              <w:right w:val="nil"/>
            </w:tcBorders>
            <w:shd w:val="clear" w:color="auto" w:fill="auto"/>
            <w:noWrap/>
            <w:vAlign w:val="center"/>
            <w:hideMark/>
          </w:tcPr>
          <w:p w14:paraId="3CF75D4F"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0.120</w:t>
            </w:r>
          </w:p>
        </w:tc>
        <w:tc>
          <w:tcPr>
            <w:tcW w:w="284" w:type="pct"/>
            <w:tcBorders>
              <w:top w:val="nil"/>
              <w:left w:val="nil"/>
              <w:bottom w:val="nil"/>
              <w:right w:val="nil"/>
            </w:tcBorders>
            <w:shd w:val="clear" w:color="auto" w:fill="auto"/>
            <w:noWrap/>
            <w:vAlign w:val="center"/>
            <w:hideMark/>
          </w:tcPr>
          <w:p w14:paraId="78C37F74"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0.066</w:t>
            </w:r>
          </w:p>
        </w:tc>
        <w:tc>
          <w:tcPr>
            <w:tcW w:w="238" w:type="pct"/>
            <w:tcBorders>
              <w:top w:val="nil"/>
              <w:left w:val="nil"/>
              <w:bottom w:val="nil"/>
              <w:right w:val="nil"/>
            </w:tcBorders>
            <w:shd w:val="clear" w:color="auto" w:fill="auto"/>
            <w:noWrap/>
            <w:vAlign w:val="center"/>
            <w:hideMark/>
          </w:tcPr>
          <w:p w14:paraId="7EFD8A96"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0.184</w:t>
            </w:r>
          </w:p>
        </w:tc>
        <w:tc>
          <w:tcPr>
            <w:tcW w:w="238" w:type="pct"/>
            <w:tcBorders>
              <w:top w:val="nil"/>
              <w:left w:val="nil"/>
              <w:bottom w:val="nil"/>
              <w:right w:val="nil"/>
            </w:tcBorders>
            <w:shd w:val="clear" w:color="auto" w:fill="auto"/>
            <w:noWrap/>
            <w:vAlign w:val="center"/>
            <w:hideMark/>
          </w:tcPr>
          <w:p w14:paraId="5FBA89A9"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0.115</w:t>
            </w:r>
          </w:p>
        </w:tc>
        <w:tc>
          <w:tcPr>
            <w:tcW w:w="238" w:type="pct"/>
            <w:tcBorders>
              <w:top w:val="nil"/>
              <w:left w:val="nil"/>
              <w:bottom w:val="nil"/>
              <w:right w:val="nil"/>
            </w:tcBorders>
            <w:shd w:val="clear" w:color="auto" w:fill="auto"/>
            <w:noWrap/>
            <w:vAlign w:val="center"/>
            <w:hideMark/>
          </w:tcPr>
          <w:p w14:paraId="12400B43"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0.003</w:t>
            </w:r>
          </w:p>
        </w:tc>
        <w:tc>
          <w:tcPr>
            <w:tcW w:w="238" w:type="pct"/>
            <w:tcBorders>
              <w:top w:val="nil"/>
              <w:left w:val="nil"/>
              <w:bottom w:val="nil"/>
              <w:right w:val="nil"/>
            </w:tcBorders>
            <w:shd w:val="clear" w:color="auto" w:fill="auto"/>
            <w:noWrap/>
            <w:vAlign w:val="center"/>
            <w:hideMark/>
          </w:tcPr>
          <w:p w14:paraId="3DFCCE46"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0.003</w:t>
            </w:r>
          </w:p>
        </w:tc>
        <w:tc>
          <w:tcPr>
            <w:tcW w:w="284" w:type="pct"/>
            <w:tcBorders>
              <w:top w:val="nil"/>
              <w:left w:val="nil"/>
              <w:bottom w:val="nil"/>
              <w:right w:val="nil"/>
            </w:tcBorders>
            <w:shd w:val="clear" w:color="auto" w:fill="auto"/>
            <w:noWrap/>
            <w:vAlign w:val="center"/>
            <w:hideMark/>
          </w:tcPr>
          <w:p w14:paraId="26823177"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0.147</w:t>
            </w:r>
          </w:p>
        </w:tc>
        <w:tc>
          <w:tcPr>
            <w:tcW w:w="238" w:type="pct"/>
            <w:tcBorders>
              <w:top w:val="nil"/>
              <w:left w:val="nil"/>
              <w:bottom w:val="nil"/>
              <w:right w:val="nil"/>
            </w:tcBorders>
            <w:shd w:val="clear" w:color="auto" w:fill="auto"/>
            <w:noWrap/>
            <w:vAlign w:val="center"/>
            <w:hideMark/>
          </w:tcPr>
          <w:p w14:paraId="6BB07A7E"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0.023</w:t>
            </w:r>
          </w:p>
        </w:tc>
        <w:tc>
          <w:tcPr>
            <w:tcW w:w="238" w:type="pct"/>
            <w:tcBorders>
              <w:top w:val="nil"/>
              <w:left w:val="nil"/>
              <w:bottom w:val="nil"/>
              <w:right w:val="nil"/>
            </w:tcBorders>
            <w:shd w:val="clear" w:color="auto" w:fill="auto"/>
            <w:noWrap/>
            <w:vAlign w:val="center"/>
            <w:hideMark/>
          </w:tcPr>
          <w:p w14:paraId="6C5832ED"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0.135</w:t>
            </w:r>
          </w:p>
        </w:tc>
        <w:tc>
          <w:tcPr>
            <w:tcW w:w="284" w:type="pct"/>
            <w:tcBorders>
              <w:top w:val="nil"/>
              <w:left w:val="nil"/>
              <w:bottom w:val="nil"/>
              <w:right w:val="nil"/>
            </w:tcBorders>
            <w:shd w:val="clear" w:color="auto" w:fill="auto"/>
            <w:noWrap/>
            <w:vAlign w:val="center"/>
            <w:hideMark/>
          </w:tcPr>
          <w:p w14:paraId="0EA69162"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-0.067</w:t>
            </w:r>
          </w:p>
        </w:tc>
        <w:tc>
          <w:tcPr>
            <w:tcW w:w="284" w:type="pct"/>
            <w:tcBorders>
              <w:top w:val="nil"/>
              <w:left w:val="nil"/>
              <w:bottom w:val="nil"/>
              <w:right w:val="nil"/>
            </w:tcBorders>
            <w:shd w:val="clear" w:color="auto" w:fill="auto"/>
            <w:noWrap/>
            <w:vAlign w:val="center"/>
            <w:hideMark/>
          </w:tcPr>
          <w:p w14:paraId="272403A4"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0.011</w:t>
            </w:r>
          </w:p>
        </w:tc>
        <w:tc>
          <w:tcPr>
            <w:tcW w:w="238" w:type="pct"/>
            <w:tcBorders>
              <w:top w:val="nil"/>
              <w:left w:val="nil"/>
              <w:bottom w:val="nil"/>
              <w:right w:val="nil"/>
            </w:tcBorders>
            <w:shd w:val="clear" w:color="auto" w:fill="auto"/>
            <w:noWrap/>
            <w:vAlign w:val="center"/>
            <w:hideMark/>
          </w:tcPr>
          <w:p w14:paraId="2BAC7668"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0.073</w:t>
            </w:r>
          </w:p>
        </w:tc>
        <w:tc>
          <w:tcPr>
            <w:tcW w:w="284" w:type="pct"/>
            <w:tcBorders>
              <w:top w:val="nil"/>
              <w:left w:val="nil"/>
              <w:bottom w:val="nil"/>
              <w:right w:val="nil"/>
            </w:tcBorders>
            <w:shd w:val="clear" w:color="auto" w:fill="auto"/>
            <w:noWrap/>
            <w:vAlign w:val="center"/>
            <w:hideMark/>
          </w:tcPr>
          <w:p w14:paraId="124746BB"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-0.145</w:t>
            </w:r>
          </w:p>
        </w:tc>
        <w:tc>
          <w:tcPr>
            <w:tcW w:w="284" w:type="pct"/>
            <w:tcBorders>
              <w:top w:val="nil"/>
              <w:left w:val="nil"/>
              <w:bottom w:val="nil"/>
              <w:right w:val="nil"/>
            </w:tcBorders>
            <w:shd w:val="clear" w:color="auto" w:fill="auto"/>
            <w:vAlign w:val="center"/>
            <w:hideMark/>
          </w:tcPr>
          <w:p w14:paraId="53712A55"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-0.080</w:t>
            </w:r>
          </w:p>
        </w:tc>
        <w:tc>
          <w:tcPr>
            <w:tcW w:w="284" w:type="pct"/>
            <w:tcBorders>
              <w:top w:val="nil"/>
              <w:left w:val="nil"/>
              <w:bottom w:val="nil"/>
              <w:right w:val="nil"/>
            </w:tcBorders>
            <w:shd w:val="clear" w:color="auto" w:fill="auto"/>
            <w:noWrap/>
            <w:vAlign w:val="center"/>
            <w:hideMark/>
          </w:tcPr>
          <w:p w14:paraId="3771D3C6"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0.005</w:t>
            </w:r>
          </w:p>
        </w:tc>
        <w:tc>
          <w:tcPr>
            <w:tcW w:w="269" w:type="pct"/>
            <w:tcBorders>
              <w:top w:val="nil"/>
              <w:left w:val="nil"/>
              <w:bottom w:val="nil"/>
              <w:right w:val="nil"/>
            </w:tcBorders>
            <w:shd w:val="clear" w:color="auto" w:fill="auto"/>
            <w:vAlign w:val="center"/>
            <w:hideMark/>
          </w:tcPr>
          <w:p w14:paraId="24D6250E" w14:textId="77777777" w:rsidR="00D50589" w:rsidRPr="00F634D2" w:rsidRDefault="00D50589">
            <w:pPr>
              <w:spacing w:after="0" w:line="240" w:lineRule="auto"/>
              <w:jc w:val="center"/>
              <w:rPr>
                <w:rFonts w:ascii="Times New Roman" w:eastAsia="Times New Roman" w:hAnsi="Times New Roman" w:cs="Times New Roman"/>
                <w:sz w:val="16"/>
                <w:szCs w:val="16"/>
                <w:lang w:val="en-GB" w:eastAsia="en-GB"/>
              </w:rPr>
            </w:pPr>
          </w:p>
        </w:tc>
        <w:tc>
          <w:tcPr>
            <w:tcW w:w="284" w:type="pct"/>
            <w:tcBorders>
              <w:top w:val="nil"/>
              <w:left w:val="nil"/>
              <w:bottom w:val="nil"/>
              <w:right w:val="nil"/>
            </w:tcBorders>
            <w:shd w:val="clear" w:color="auto" w:fill="auto"/>
            <w:vAlign w:val="center"/>
            <w:hideMark/>
          </w:tcPr>
          <w:p w14:paraId="4658408F"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0.075</w:t>
            </w:r>
          </w:p>
        </w:tc>
      </w:tr>
      <w:tr w:rsidR="00F634D2" w:rsidRPr="00F634D2" w14:paraId="3680508B" w14:textId="77777777">
        <w:trPr>
          <w:trHeight w:val="20"/>
        </w:trPr>
        <w:tc>
          <w:tcPr>
            <w:tcW w:w="514" w:type="pct"/>
            <w:tcBorders>
              <w:top w:val="nil"/>
              <w:left w:val="nil"/>
              <w:bottom w:val="single" w:sz="4" w:space="0" w:color="auto"/>
              <w:right w:val="nil"/>
            </w:tcBorders>
            <w:shd w:val="clear" w:color="auto" w:fill="auto"/>
            <w:vAlign w:val="center"/>
            <w:hideMark/>
          </w:tcPr>
          <w:p w14:paraId="3000BE90" w14:textId="77777777" w:rsidR="00D50589" w:rsidRPr="00F634D2" w:rsidRDefault="00686261">
            <w:pPr>
              <w:spacing w:after="0" w:line="240" w:lineRule="auto"/>
              <w:rPr>
                <w:rFonts w:ascii="Times New Roman" w:eastAsia="Times New Roman" w:hAnsi="Times New Roman" w:cs="Times New Roman"/>
                <w:i/>
                <w:iCs/>
                <w:sz w:val="16"/>
                <w:szCs w:val="16"/>
                <w:lang w:val="en-GB" w:eastAsia="en-GB"/>
              </w:rPr>
            </w:pPr>
            <w:r w:rsidRPr="00F634D2">
              <w:rPr>
                <w:rFonts w:ascii="Times New Roman" w:eastAsia="Times New Roman" w:hAnsi="Times New Roman" w:cs="Times New Roman"/>
                <w:i/>
                <w:iCs/>
                <w:sz w:val="16"/>
                <w:szCs w:val="16"/>
                <w:lang w:val="en-GB" w:eastAsia="en-GB"/>
              </w:rPr>
              <w:t>(17) Delta</w:t>
            </w:r>
          </w:p>
        </w:tc>
        <w:tc>
          <w:tcPr>
            <w:tcW w:w="284" w:type="pct"/>
            <w:tcBorders>
              <w:top w:val="nil"/>
              <w:left w:val="nil"/>
              <w:bottom w:val="single" w:sz="4" w:space="0" w:color="auto"/>
              <w:right w:val="nil"/>
            </w:tcBorders>
            <w:shd w:val="clear" w:color="auto" w:fill="auto"/>
            <w:noWrap/>
            <w:vAlign w:val="center"/>
            <w:hideMark/>
          </w:tcPr>
          <w:p w14:paraId="279B7786"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0.457</w:t>
            </w:r>
          </w:p>
        </w:tc>
        <w:tc>
          <w:tcPr>
            <w:tcW w:w="284" w:type="pct"/>
            <w:tcBorders>
              <w:top w:val="nil"/>
              <w:left w:val="nil"/>
              <w:bottom w:val="single" w:sz="4" w:space="0" w:color="auto"/>
              <w:right w:val="nil"/>
            </w:tcBorders>
            <w:shd w:val="clear" w:color="auto" w:fill="auto"/>
            <w:noWrap/>
            <w:vAlign w:val="center"/>
            <w:hideMark/>
          </w:tcPr>
          <w:p w14:paraId="12452806"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0.032</w:t>
            </w:r>
          </w:p>
        </w:tc>
        <w:tc>
          <w:tcPr>
            <w:tcW w:w="238" w:type="pct"/>
            <w:tcBorders>
              <w:top w:val="nil"/>
              <w:left w:val="nil"/>
              <w:bottom w:val="single" w:sz="4" w:space="0" w:color="auto"/>
              <w:right w:val="nil"/>
            </w:tcBorders>
            <w:shd w:val="clear" w:color="auto" w:fill="auto"/>
            <w:noWrap/>
            <w:vAlign w:val="center"/>
            <w:hideMark/>
          </w:tcPr>
          <w:p w14:paraId="021D2794"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0.600</w:t>
            </w:r>
          </w:p>
        </w:tc>
        <w:tc>
          <w:tcPr>
            <w:tcW w:w="238" w:type="pct"/>
            <w:tcBorders>
              <w:top w:val="nil"/>
              <w:left w:val="nil"/>
              <w:bottom w:val="single" w:sz="4" w:space="0" w:color="auto"/>
              <w:right w:val="nil"/>
            </w:tcBorders>
            <w:shd w:val="clear" w:color="auto" w:fill="auto"/>
            <w:noWrap/>
            <w:vAlign w:val="center"/>
            <w:hideMark/>
          </w:tcPr>
          <w:p w14:paraId="3384117D"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-0.382</w:t>
            </w:r>
          </w:p>
        </w:tc>
        <w:tc>
          <w:tcPr>
            <w:tcW w:w="238" w:type="pct"/>
            <w:tcBorders>
              <w:top w:val="nil"/>
              <w:left w:val="nil"/>
              <w:bottom w:val="single" w:sz="4" w:space="0" w:color="auto"/>
              <w:right w:val="nil"/>
            </w:tcBorders>
            <w:shd w:val="clear" w:color="auto" w:fill="auto"/>
            <w:noWrap/>
            <w:vAlign w:val="center"/>
            <w:hideMark/>
          </w:tcPr>
          <w:p w14:paraId="6C9FAF24"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0.296</w:t>
            </w:r>
          </w:p>
        </w:tc>
        <w:tc>
          <w:tcPr>
            <w:tcW w:w="238" w:type="pct"/>
            <w:tcBorders>
              <w:top w:val="nil"/>
              <w:left w:val="nil"/>
              <w:bottom w:val="single" w:sz="4" w:space="0" w:color="auto"/>
              <w:right w:val="nil"/>
            </w:tcBorders>
            <w:shd w:val="clear" w:color="auto" w:fill="auto"/>
            <w:noWrap/>
            <w:vAlign w:val="center"/>
            <w:hideMark/>
          </w:tcPr>
          <w:p w14:paraId="450EFAE7"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0.356</w:t>
            </w:r>
          </w:p>
        </w:tc>
        <w:tc>
          <w:tcPr>
            <w:tcW w:w="284" w:type="pct"/>
            <w:tcBorders>
              <w:top w:val="nil"/>
              <w:left w:val="nil"/>
              <w:bottom w:val="single" w:sz="4" w:space="0" w:color="auto"/>
              <w:right w:val="nil"/>
            </w:tcBorders>
            <w:shd w:val="clear" w:color="auto" w:fill="auto"/>
            <w:noWrap/>
            <w:vAlign w:val="center"/>
            <w:hideMark/>
          </w:tcPr>
          <w:p w14:paraId="6ABC4F73"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0.196</w:t>
            </w:r>
          </w:p>
        </w:tc>
        <w:tc>
          <w:tcPr>
            <w:tcW w:w="238" w:type="pct"/>
            <w:tcBorders>
              <w:top w:val="nil"/>
              <w:left w:val="nil"/>
              <w:bottom w:val="single" w:sz="4" w:space="0" w:color="auto"/>
              <w:right w:val="nil"/>
            </w:tcBorders>
            <w:shd w:val="clear" w:color="auto" w:fill="auto"/>
            <w:noWrap/>
            <w:vAlign w:val="center"/>
            <w:hideMark/>
          </w:tcPr>
          <w:p w14:paraId="5540DF52"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0.118</w:t>
            </w:r>
          </w:p>
        </w:tc>
        <w:tc>
          <w:tcPr>
            <w:tcW w:w="238" w:type="pct"/>
            <w:tcBorders>
              <w:top w:val="nil"/>
              <w:left w:val="nil"/>
              <w:bottom w:val="single" w:sz="4" w:space="0" w:color="auto"/>
              <w:right w:val="nil"/>
            </w:tcBorders>
            <w:shd w:val="clear" w:color="auto" w:fill="auto"/>
            <w:noWrap/>
            <w:vAlign w:val="center"/>
            <w:hideMark/>
          </w:tcPr>
          <w:p w14:paraId="34C41FE3"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0.208</w:t>
            </w:r>
          </w:p>
        </w:tc>
        <w:tc>
          <w:tcPr>
            <w:tcW w:w="284" w:type="pct"/>
            <w:tcBorders>
              <w:top w:val="nil"/>
              <w:left w:val="nil"/>
              <w:bottom w:val="single" w:sz="4" w:space="0" w:color="auto"/>
              <w:right w:val="nil"/>
            </w:tcBorders>
            <w:shd w:val="clear" w:color="auto" w:fill="auto"/>
            <w:noWrap/>
            <w:vAlign w:val="center"/>
            <w:hideMark/>
          </w:tcPr>
          <w:p w14:paraId="63080BCC"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0.045</w:t>
            </w:r>
          </w:p>
        </w:tc>
        <w:tc>
          <w:tcPr>
            <w:tcW w:w="284" w:type="pct"/>
            <w:tcBorders>
              <w:top w:val="nil"/>
              <w:left w:val="nil"/>
              <w:bottom w:val="single" w:sz="4" w:space="0" w:color="auto"/>
              <w:right w:val="nil"/>
            </w:tcBorders>
            <w:shd w:val="clear" w:color="auto" w:fill="auto"/>
            <w:noWrap/>
            <w:vAlign w:val="center"/>
            <w:hideMark/>
          </w:tcPr>
          <w:p w14:paraId="46B98420"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-0.035</w:t>
            </w:r>
          </w:p>
        </w:tc>
        <w:tc>
          <w:tcPr>
            <w:tcW w:w="238" w:type="pct"/>
            <w:tcBorders>
              <w:top w:val="nil"/>
              <w:left w:val="nil"/>
              <w:bottom w:val="single" w:sz="4" w:space="0" w:color="auto"/>
              <w:right w:val="nil"/>
            </w:tcBorders>
            <w:shd w:val="clear" w:color="auto" w:fill="auto"/>
            <w:noWrap/>
            <w:vAlign w:val="center"/>
            <w:hideMark/>
          </w:tcPr>
          <w:p w14:paraId="560E927F"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-0.037</w:t>
            </w:r>
          </w:p>
        </w:tc>
        <w:tc>
          <w:tcPr>
            <w:tcW w:w="284" w:type="pct"/>
            <w:tcBorders>
              <w:top w:val="nil"/>
              <w:left w:val="nil"/>
              <w:bottom w:val="single" w:sz="4" w:space="0" w:color="auto"/>
              <w:right w:val="nil"/>
            </w:tcBorders>
            <w:shd w:val="clear" w:color="auto" w:fill="auto"/>
            <w:noWrap/>
            <w:vAlign w:val="center"/>
            <w:hideMark/>
          </w:tcPr>
          <w:p w14:paraId="0816E7EF"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0.031</w:t>
            </w:r>
          </w:p>
        </w:tc>
        <w:tc>
          <w:tcPr>
            <w:tcW w:w="284" w:type="pct"/>
            <w:tcBorders>
              <w:top w:val="nil"/>
              <w:left w:val="nil"/>
              <w:bottom w:val="single" w:sz="4" w:space="0" w:color="auto"/>
              <w:right w:val="nil"/>
            </w:tcBorders>
            <w:shd w:val="clear" w:color="auto" w:fill="auto"/>
            <w:vAlign w:val="center"/>
            <w:hideMark/>
          </w:tcPr>
          <w:p w14:paraId="71CC6E79"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-0.060</w:t>
            </w:r>
          </w:p>
        </w:tc>
        <w:tc>
          <w:tcPr>
            <w:tcW w:w="284" w:type="pct"/>
            <w:tcBorders>
              <w:top w:val="nil"/>
              <w:left w:val="nil"/>
              <w:bottom w:val="single" w:sz="4" w:space="0" w:color="auto"/>
              <w:right w:val="nil"/>
            </w:tcBorders>
            <w:shd w:val="clear" w:color="auto" w:fill="auto"/>
            <w:noWrap/>
            <w:vAlign w:val="center"/>
            <w:hideMark/>
          </w:tcPr>
          <w:p w14:paraId="4AB71011" w14:textId="77777777" w:rsidR="00D50589" w:rsidRPr="00F634D2" w:rsidRDefault="00686261">
            <w:pPr>
              <w:spacing w:after="0" w:line="240" w:lineRule="auto"/>
              <w:jc w:val="center"/>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-0.006</w:t>
            </w:r>
          </w:p>
        </w:tc>
        <w:tc>
          <w:tcPr>
            <w:tcW w:w="269" w:type="pct"/>
            <w:tcBorders>
              <w:top w:val="nil"/>
              <w:left w:val="nil"/>
              <w:bottom w:val="single" w:sz="4" w:space="0" w:color="auto"/>
              <w:right w:val="nil"/>
            </w:tcBorders>
            <w:shd w:val="clear" w:color="auto" w:fill="auto"/>
            <w:vAlign w:val="center"/>
            <w:hideMark/>
          </w:tcPr>
          <w:p w14:paraId="6BF03C9B" w14:textId="77777777" w:rsidR="00D50589" w:rsidRPr="00F634D2" w:rsidRDefault="00686261">
            <w:pPr>
              <w:spacing w:after="0" w:line="240" w:lineRule="auto"/>
              <w:jc w:val="center"/>
              <w:rPr>
                <w:rFonts w:ascii="Times New Roman" w:eastAsia="Times New Roman" w:hAnsi="Times New Roman" w:cs="Times New Roman"/>
                <w:b/>
                <w:bCs/>
                <w:sz w:val="16"/>
                <w:szCs w:val="16"/>
                <w:lang w:val="en-GB" w:eastAsia="en-GB"/>
              </w:rPr>
            </w:pPr>
            <w:r w:rsidRPr="00F634D2">
              <w:rPr>
                <w:rFonts w:ascii="Times New Roman" w:eastAsia="Times New Roman" w:hAnsi="Times New Roman" w:cs="Times New Roman"/>
                <w:b/>
                <w:bCs/>
                <w:sz w:val="16"/>
                <w:szCs w:val="16"/>
                <w:lang w:val="en-GB" w:eastAsia="en-GB"/>
              </w:rPr>
              <w:t>0.075</w:t>
            </w:r>
          </w:p>
        </w:tc>
        <w:tc>
          <w:tcPr>
            <w:tcW w:w="284" w:type="pct"/>
            <w:tcBorders>
              <w:top w:val="nil"/>
              <w:left w:val="nil"/>
              <w:bottom w:val="single" w:sz="4" w:space="0" w:color="auto"/>
              <w:right w:val="nil"/>
            </w:tcBorders>
            <w:shd w:val="clear" w:color="auto" w:fill="auto"/>
            <w:noWrap/>
            <w:vAlign w:val="center"/>
            <w:hideMark/>
          </w:tcPr>
          <w:p w14:paraId="7A51FDBE" w14:textId="77777777" w:rsidR="00D50589" w:rsidRPr="00F634D2" w:rsidRDefault="00686261">
            <w:pPr>
              <w:spacing w:after="0" w:line="240" w:lineRule="auto"/>
              <w:rPr>
                <w:rFonts w:ascii="Times New Roman" w:eastAsia="Times New Roman" w:hAnsi="Times New Roman" w:cs="Times New Roman"/>
                <w:sz w:val="16"/>
                <w:szCs w:val="16"/>
                <w:lang w:val="en-GB" w:eastAsia="en-GB"/>
              </w:rPr>
            </w:pPr>
            <w:r w:rsidRPr="00F634D2">
              <w:rPr>
                <w:rFonts w:ascii="Times New Roman" w:eastAsia="Times New Roman" w:hAnsi="Times New Roman" w:cs="Times New Roman"/>
                <w:sz w:val="16"/>
                <w:szCs w:val="16"/>
                <w:lang w:val="en-GB" w:eastAsia="en-GB"/>
              </w:rPr>
              <w:t> </w:t>
            </w:r>
          </w:p>
        </w:tc>
      </w:tr>
      <w:tr w:rsidR="00F634D2" w:rsidRPr="00F634D2" w14:paraId="2B85C017" w14:textId="77777777">
        <w:trPr>
          <w:trHeight w:val="20"/>
        </w:trPr>
        <w:tc>
          <w:tcPr>
            <w:tcW w:w="5000" w:type="pct"/>
            <w:gridSpan w:val="18"/>
            <w:tcBorders>
              <w:top w:val="single" w:sz="4" w:space="0" w:color="auto"/>
              <w:left w:val="nil"/>
              <w:bottom w:val="nil"/>
              <w:right w:val="nil"/>
            </w:tcBorders>
            <w:shd w:val="clear" w:color="auto" w:fill="auto"/>
            <w:vAlign w:val="bottom"/>
            <w:hideMark/>
          </w:tcPr>
          <w:p w14:paraId="739EBB56"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The Spearman (Pearson) correlations for the sample are reported above (below) the diagonal. Correlations significant at the 5 percent level in a two-tailed test are in boldface. The variables are defined in Appendix A.</w:t>
            </w:r>
          </w:p>
        </w:tc>
      </w:tr>
    </w:tbl>
    <w:p w14:paraId="4526F0EC" w14:textId="77777777" w:rsidR="00D50589" w:rsidRPr="00F634D2" w:rsidRDefault="00686261">
      <w:pPr>
        <w:rPr>
          <w:rFonts w:ascii="Times New Roman" w:hAnsi="Times New Roman" w:cs="Times New Roman"/>
          <w:sz w:val="40"/>
          <w:szCs w:val="40"/>
        </w:rPr>
        <w:sectPr w:rsidR="00D50589" w:rsidRPr="00F634D2">
          <w:pgSz w:w="15840" w:h="12240" w:orient="landscape" w:code="1"/>
          <w:pgMar w:top="1729" w:right="1440" w:bottom="1729" w:left="1440" w:header="720" w:footer="720" w:gutter="0"/>
          <w:cols w:space="708"/>
          <w:docGrid w:linePitch="360"/>
        </w:sectPr>
      </w:pPr>
      <w:r w:rsidRPr="00F634D2">
        <w:rPr>
          <w:rFonts w:ascii="Times New Roman" w:hAnsi="Times New Roman" w:cs="Times New Roman"/>
          <w:sz w:val="40"/>
          <w:szCs w:val="40"/>
        </w:rPr>
        <w:br w:type="page"/>
      </w:r>
    </w:p>
    <w:tbl>
      <w:tblPr>
        <w:tblW w:w="5000" w:type="pct"/>
        <w:tblLook w:val="04A0" w:firstRow="1" w:lastRow="0" w:firstColumn="1" w:lastColumn="0" w:noHBand="0" w:noVBand="1"/>
      </w:tblPr>
      <w:tblGrid>
        <w:gridCol w:w="4112"/>
        <w:gridCol w:w="1556"/>
        <w:gridCol w:w="1556"/>
        <w:gridCol w:w="1558"/>
      </w:tblGrid>
      <w:tr w:rsidR="00F634D2" w:rsidRPr="00F634D2" w14:paraId="3CAD79EE" w14:textId="77777777">
        <w:trPr>
          <w:trHeight w:val="20"/>
        </w:trPr>
        <w:tc>
          <w:tcPr>
            <w:tcW w:w="5000" w:type="pct"/>
            <w:gridSpan w:val="4"/>
            <w:tcBorders>
              <w:top w:val="nil"/>
              <w:left w:val="nil"/>
              <w:bottom w:val="single" w:sz="4" w:space="0" w:color="auto"/>
              <w:right w:val="nil"/>
            </w:tcBorders>
            <w:shd w:val="clear" w:color="auto" w:fill="auto"/>
            <w:noWrap/>
            <w:vAlign w:val="bottom"/>
            <w:hideMark/>
          </w:tcPr>
          <w:p w14:paraId="01F55AEA" w14:textId="73FDC581" w:rsidR="00D50589" w:rsidRPr="00F634D2" w:rsidRDefault="00686261" w:rsidP="007E03F2">
            <w:pPr>
              <w:spacing w:afterLines="50" w:after="12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b/>
                <w:bCs/>
                <w:sz w:val="24"/>
                <w:szCs w:val="24"/>
                <w:lang w:val="en-GB" w:eastAsia="en-GB"/>
              </w:rPr>
              <w:lastRenderedPageBreak/>
              <w:t>Table 3.</w:t>
            </w:r>
            <w:r w:rsidRPr="00F634D2">
              <w:rPr>
                <w:rFonts w:ascii="Times New Roman" w:eastAsia="Times New Roman" w:hAnsi="Times New Roman" w:cs="Times New Roman"/>
                <w:sz w:val="24"/>
                <w:szCs w:val="24"/>
                <w:lang w:val="en-GB" w:eastAsia="en-GB"/>
              </w:rPr>
              <w:t xml:space="preserve"> IDD adoption and CEO </w:t>
            </w:r>
            <w:r w:rsidR="00986ACB" w:rsidRPr="00F634D2">
              <w:rPr>
                <w:rFonts w:ascii="Times New Roman" w:eastAsia="Times New Roman" w:hAnsi="Times New Roman" w:cs="Times New Roman"/>
                <w:sz w:val="24"/>
                <w:szCs w:val="24"/>
                <w:lang w:val="en-GB" w:eastAsia="en-GB"/>
              </w:rPr>
              <w:t>V</w:t>
            </w:r>
            <w:r w:rsidRPr="00F634D2">
              <w:rPr>
                <w:rFonts w:ascii="Times New Roman" w:eastAsia="Times New Roman" w:hAnsi="Times New Roman" w:cs="Times New Roman"/>
                <w:sz w:val="24"/>
                <w:szCs w:val="24"/>
                <w:lang w:val="en-GB" w:eastAsia="en-GB"/>
              </w:rPr>
              <w:t xml:space="preserve">ega </w:t>
            </w:r>
          </w:p>
        </w:tc>
      </w:tr>
      <w:tr w:rsidR="00F634D2" w:rsidRPr="00F634D2" w14:paraId="6821E9BF" w14:textId="77777777">
        <w:trPr>
          <w:trHeight w:val="20"/>
        </w:trPr>
        <w:tc>
          <w:tcPr>
            <w:tcW w:w="2341" w:type="pct"/>
            <w:tcBorders>
              <w:top w:val="single" w:sz="4" w:space="0" w:color="auto"/>
              <w:left w:val="nil"/>
              <w:bottom w:val="single" w:sz="4" w:space="0" w:color="auto"/>
              <w:right w:val="nil"/>
            </w:tcBorders>
            <w:shd w:val="clear" w:color="auto" w:fill="auto"/>
            <w:noWrap/>
            <w:vAlign w:val="bottom"/>
            <w:hideMark/>
          </w:tcPr>
          <w:p w14:paraId="662B7EC5"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 xml:space="preserve">Dep. Var. = </w:t>
            </w:r>
            <w:r w:rsidRPr="00F634D2">
              <w:rPr>
                <w:rFonts w:ascii="Times New Roman" w:eastAsia="Times New Roman" w:hAnsi="Times New Roman" w:cs="Times New Roman"/>
                <w:i/>
                <w:iCs/>
                <w:sz w:val="24"/>
                <w:szCs w:val="24"/>
                <w:lang w:val="en-GB" w:eastAsia="en-GB"/>
              </w:rPr>
              <w:t xml:space="preserve">Vega </w:t>
            </w:r>
          </w:p>
        </w:tc>
        <w:tc>
          <w:tcPr>
            <w:tcW w:w="886" w:type="pct"/>
            <w:tcBorders>
              <w:top w:val="single" w:sz="4" w:space="0" w:color="auto"/>
              <w:left w:val="nil"/>
              <w:bottom w:val="single" w:sz="4" w:space="0" w:color="auto"/>
              <w:right w:val="nil"/>
            </w:tcBorders>
            <w:shd w:val="clear" w:color="auto" w:fill="auto"/>
            <w:noWrap/>
            <w:vAlign w:val="bottom"/>
            <w:hideMark/>
          </w:tcPr>
          <w:p w14:paraId="2DAB3E3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w:t>
            </w:r>
          </w:p>
        </w:tc>
        <w:tc>
          <w:tcPr>
            <w:tcW w:w="886" w:type="pct"/>
            <w:tcBorders>
              <w:top w:val="single" w:sz="4" w:space="0" w:color="auto"/>
              <w:left w:val="nil"/>
              <w:bottom w:val="single" w:sz="4" w:space="0" w:color="auto"/>
              <w:right w:val="nil"/>
            </w:tcBorders>
            <w:shd w:val="clear" w:color="auto" w:fill="auto"/>
            <w:noWrap/>
            <w:vAlign w:val="bottom"/>
            <w:hideMark/>
          </w:tcPr>
          <w:p w14:paraId="1D7E4DA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w:t>
            </w:r>
          </w:p>
        </w:tc>
        <w:tc>
          <w:tcPr>
            <w:tcW w:w="886" w:type="pct"/>
            <w:tcBorders>
              <w:top w:val="single" w:sz="4" w:space="0" w:color="auto"/>
              <w:left w:val="nil"/>
              <w:bottom w:val="single" w:sz="4" w:space="0" w:color="auto"/>
              <w:right w:val="nil"/>
            </w:tcBorders>
            <w:shd w:val="clear" w:color="auto" w:fill="auto"/>
            <w:noWrap/>
            <w:vAlign w:val="bottom"/>
            <w:hideMark/>
          </w:tcPr>
          <w:p w14:paraId="11759D58"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w:t>
            </w:r>
          </w:p>
        </w:tc>
      </w:tr>
      <w:tr w:rsidR="00F634D2" w:rsidRPr="00F634D2" w14:paraId="15C893CE" w14:textId="77777777">
        <w:trPr>
          <w:trHeight w:val="20"/>
        </w:trPr>
        <w:tc>
          <w:tcPr>
            <w:tcW w:w="2341" w:type="pct"/>
            <w:tcBorders>
              <w:top w:val="nil"/>
              <w:left w:val="nil"/>
              <w:bottom w:val="nil"/>
              <w:right w:val="nil"/>
            </w:tcBorders>
            <w:shd w:val="clear" w:color="auto" w:fill="auto"/>
            <w:noWrap/>
            <w:vAlign w:val="center"/>
            <w:hideMark/>
          </w:tcPr>
          <w:p w14:paraId="781127BD"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Constant</w:t>
            </w:r>
          </w:p>
        </w:tc>
        <w:tc>
          <w:tcPr>
            <w:tcW w:w="886" w:type="pct"/>
            <w:tcBorders>
              <w:top w:val="nil"/>
              <w:left w:val="nil"/>
              <w:bottom w:val="nil"/>
              <w:right w:val="nil"/>
            </w:tcBorders>
            <w:shd w:val="clear" w:color="auto" w:fill="auto"/>
            <w:noWrap/>
            <w:vAlign w:val="bottom"/>
            <w:hideMark/>
          </w:tcPr>
          <w:p w14:paraId="452E785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–3.791***</w:t>
            </w:r>
          </w:p>
        </w:tc>
        <w:tc>
          <w:tcPr>
            <w:tcW w:w="886" w:type="pct"/>
            <w:tcBorders>
              <w:top w:val="nil"/>
              <w:left w:val="nil"/>
              <w:bottom w:val="nil"/>
              <w:right w:val="nil"/>
            </w:tcBorders>
            <w:shd w:val="clear" w:color="auto" w:fill="auto"/>
            <w:noWrap/>
            <w:vAlign w:val="bottom"/>
            <w:hideMark/>
          </w:tcPr>
          <w:p w14:paraId="22CAA29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–4.112***</w:t>
            </w:r>
          </w:p>
        </w:tc>
        <w:tc>
          <w:tcPr>
            <w:tcW w:w="886" w:type="pct"/>
            <w:tcBorders>
              <w:top w:val="nil"/>
              <w:left w:val="nil"/>
              <w:bottom w:val="nil"/>
              <w:right w:val="nil"/>
            </w:tcBorders>
            <w:shd w:val="clear" w:color="auto" w:fill="auto"/>
            <w:noWrap/>
            <w:vAlign w:val="bottom"/>
            <w:hideMark/>
          </w:tcPr>
          <w:p w14:paraId="52CCCC5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–3.526***</w:t>
            </w:r>
          </w:p>
        </w:tc>
      </w:tr>
      <w:tr w:rsidR="00F634D2" w:rsidRPr="00F634D2" w14:paraId="6F84A44B" w14:textId="77777777">
        <w:trPr>
          <w:trHeight w:val="20"/>
        </w:trPr>
        <w:tc>
          <w:tcPr>
            <w:tcW w:w="2341" w:type="pct"/>
            <w:tcBorders>
              <w:top w:val="nil"/>
              <w:left w:val="nil"/>
              <w:bottom w:val="nil"/>
              <w:right w:val="nil"/>
            </w:tcBorders>
            <w:shd w:val="clear" w:color="auto" w:fill="auto"/>
            <w:noWrap/>
            <w:vAlign w:val="bottom"/>
            <w:hideMark/>
          </w:tcPr>
          <w:p w14:paraId="4ADB0A05"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501C46E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(–4.79)</w:t>
            </w:r>
          </w:p>
        </w:tc>
        <w:tc>
          <w:tcPr>
            <w:tcW w:w="886" w:type="pct"/>
            <w:tcBorders>
              <w:top w:val="nil"/>
              <w:left w:val="nil"/>
              <w:bottom w:val="nil"/>
              <w:right w:val="nil"/>
            </w:tcBorders>
            <w:shd w:val="clear" w:color="auto" w:fill="auto"/>
            <w:noWrap/>
            <w:vAlign w:val="bottom"/>
            <w:hideMark/>
          </w:tcPr>
          <w:p w14:paraId="67D89A4D"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(–5.15)</w:t>
            </w:r>
          </w:p>
        </w:tc>
        <w:tc>
          <w:tcPr>
            <w:tcW w:w="886" w:type="pct"/>
            <w:tcBorders>
              <w:top w:val="nil"/>
              <w:left w:val="nil"/>
              <w:bottom w:val="nil"/>
              <w:right w:val="nil"/>
            </w:tcBorders>
            <w:shd w:val="clear" w:color="auto" w:fill="auto"/>
            <w:noWrap/>
            <w:vAlign w:val="bottom"/>
            <w:hideMark/>
          </w:tcPr>
          <w:p w14:paraId="7BA4776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(–4.63)</w:t>
            </w:r>
          </w:p>
        </w:tc>
      </w:tr>
      <w:tr w:rsidR="00F634D2" w:rsidRPr="00F634D2" w14:paraId="0E86ADB3" w14:textId="77777777">
        <w:trPr>
          <w:trHeight w:val="20"/>
        </w:trPr>
        <w:tc>
          <w:tcPr>
            <w:tcW w:w="2341" w:type="pct"/>
            <w:tcBorders>
              <w:top w:val="nil"/>
              <w:left w:val="nil"/>
              <w:bottom w:val="nil"/>
              <w:right w:val="nil"/>
            </w:tcBorders>
            <w:shd w:val="clear" w:color="auto" w:fill="auto"/>
            <w:vAlign w:val="center"/>
            <w:hideMark/>
          </w:tcPr>
          <w:p w14:paraId="4E9FCC5A"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AfterIDD</w:t>
            </w:r>
            <w:proofErr w:type="spellEnd"/>
          </w:p>
        </w:tc>
        <w:tc>
          <w:tcPr>
            <w:tcW w:w="886" w:type="pct"/>
            <w:tcBorders>
              <w:top w:val="nil"/>
              <w:left w:val="nil"/>
              <w:bottom w:val="nil"/>
              <w:right w:val="nil"/>
            </w:tcBorders>
            <w:shd w:val="clear" w:color="auto" w:fill="auto"/>
            <w:noWrap/>
            <w:vAlign w:val="bottom"/>
            <w:hideMark/>
          </w:tcPr>
          <w:p w14:paraId="636F835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0.157***</w:t>
            </w:r>
          </w:p>
        </w:tc>
        <w:tc>
          <w:tcPr>
            <w:tcW w:w="886" w:type="pct"/>
            <w:tcBorders>
              <w:top w:val="nil"/>
              <w:left w:val="nil"/>
              <w:bottom w:val="nil"/>
              <w:right w:val="nil"/>
            </w:tcBorders>
            <w:shd w:val="clear" w:color="auto" w:fill="auto"/>
            <w:noWrap/>
            <w:vAlign w:val="bottom"/>
            <w:hideMark/>
          </w:tcPr>
          <w:p w14:paraId="480DA67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0.148***</w:t>
            </w:r>
          </w:p>
        </w:tc>
        <w:tc>
          <w:tcPr>
            <w:tcW w:w="886" w:type="pct"/>
            <w:tcBorders>
              <w:top w:val="nil"/>
              <w:left w:val="nil"/>
              <w:bottom w:val="nil"/>
              <w:right w:val="nil"/>
            </w:tcBorders>
            <w:shd w:val="clear" w:color="auto" w:fill="auto"/>
            <w:noWrap/>
            <w:vAlign w:val="bottom"/>
            <w:hideMark/>
          </w:tcPr>
          <w:p w14:paraId="4EB846F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0.130***</w:t>
            </w:r>
          </w:p>
        </w:tc>
      </w:tr>
      <w:tr w:rsidR="00F634D2" w:rsidRPr="00F634D2" w14:paraId="39AF774C" w14:textId="77777777">
        <w:trPr>
          <w:trHeight w:val="20"/>
        </w:trPr>
        <w:tc>
          <w:tcPr>
            <w:tcW w:w="2341" w:type="pct"/>
            <w:tcBorders>
              <w:top w:val="nil"/>
              <w:left w:val="nil"/>
              <w:bottom w:val="nil"/>
              <w:right w:val="nil"/>
            </w:tcBorders>
            <w:shd w:val="clear" w:color="auto" w:fill="auto"/>
            <w:noWrap/>
            <w:vAlign w:val="bottom"/>
            <w:hideMark/>
          </w:tcPr>
          <w:p w14:paraId="5FC26233"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3F3E24E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(2.80)</w:t>
            </w:r>
          </w:p>
        </w:tc>
        <w:tc>
          <w:tcPr>
            <w:tcW w:w="886" w:type="pct"/>
            <w:tcBorders>
              <w:top w:val="nil"/>
              <w:left w:val="nil"/>
              <w:bottom w:val="nil"/>
              <w:right w:val="nil"/>
            </w:tcBorders>
            <w:shd w:val="clear" w:color="auto" w:fill="auto"/>
            <w:noWrap/>
            <w:vAlign w:val="bottom"/>
            <w:hideMark/>
          </w:tcPr>
          <w:p w14:paraId="4E19AA3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(2.56)</w:t>
            </w:r>
          </w:p>
        </w:tc>
        <w:tc>
          <w:tcPr>
            <w:tcW w:w="886" w:type="pct"/>
            <w:tcBorders>
              <w:top w:val="nil"/>
              <w:left w:val="nil"/>
              <w:bottom w:val="nil"/>
              <w:right w:val="nil"/>
            </w:tcBorders>
            <w:shd w:val="clear" w:color="auto" w:fill="auto"/>
            <w:noWrap/>
            <w:vAlign w:val="bottom"/>
            <w:hideMark/>
          </w:tcPr>
          <w:p w14:paraId="49A4286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(3.00)</w:t>
            </w:r>
          </w:p>
        </w:tc>
      </w:tr>
      <w:tr w:rsidR="00F634D2" w:rsidRPr="00F634D2" w14:paraId="57EF4FC7" w14:textId="77777777">
        <w:trPr>
          <w:trHeight w:val="20"/>
        </w:trPr>
        <w:tc>
          <w:tcPr>
            <w:tcW w:w="2341" w:type="pct"/>
            <w:tcBorders>
              <w:top w:val="nil"/>
              <w:left w:val="nil"/>
              <w:bottom w:val="nil"/>
              <w:right w:val="nil"/>
            </w:tcBorders>
            <w:shd w:val="clear" w:color="auto" w:fill="auto"/>
            <w:vAlign w:val="center"/>
            <w:hideMark/>
          </w:tcPr>
          <w:p w14:paraId="1B808411"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Size</w:t>
            </w:r>
          </w:p>
        </w:tc>
        <w:tc>
          <w:tcPr>
            <w:tcW w:w="886" w:type="pct"/>
            <w:tcBorders>
              <w:top w:val="nil"/>
              <w:left w:val="nil"/>
              <w:bottom w:val="nil"/>
              <w:right w:val="nil"/>
            </w:tcBorders>
            <w:shd w:val="clear" w:color="auto" w:fill="auto"/>
            <w:noWrap/>
            <w:vAlign w:val="bottom"/>
            <w:hideMark/>
          </w:tcPr>
          <w:p w14:paraId="2C573168"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0.475***</w:t>
            </w:r>
          </w:p>
        </w:tc>
        <w:tc>
          <w:tcPr>
            <w:tcW w:w="886" w:type="pct"/>
            <w:tcBorders>
              <w:top w:val="nil"/>
              <w:left w:val="nil"/>
              <w:bottom w:val="nil"/>
              <w:right w:val="nil"/>
            </w:tcBorders>
            <w:shd w:val="clear" w:color="auto" w:fill="auto"/>
            <w:noWrap/>
            <w:vAlign w:val="bottom"/>
            <w:hideMark/>
          </w:tcPr>
          <w:p w14:paraId="280F233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0.423***</w:t>
            </w:r>
          </w:p>
        </w:tc>
        <w:tc>
          <w:tcPr>
            <w:tcW w:w="886" w:type="pct"/>
            <w:tcBorders>
              <w:top w:val="nil"/>
              <w:left w:val="nil"/>
              <w:bottom w:val="nil"/>
              <w:right w:val="nil"/>
            </w:tcBorders>
            <w:shd w:val="clear" w:color="auto" w:fill="auto"/>
            <w:noWrap/>
            <w:vAlign w:val="bottom"/>
            <w:hideMark/>
          </w:tcPr>
          <w:p w14:paraId="67C6FD4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0.128***</w:t>
            </w:r>
          </w:p>
        </w:tc>
      </w:tr>
      <w:tr w:rsidR="00F634D2" w:rsidRPr="00F634D2" w14:paraId="37A61A63" w14:textId="77777777">
        <w:trPr>
          <w:trHeight w:val="20"/>
        </w:trPr>
        <w:tc>
          <w:tcPr>
            <w:tcW w:w="2341" w:type="pct"/>
            <w:tcBorders>
              <w:top w:val="nil"/>
              <w:left w:val="nil"/>
              <w:bottom w:val="nil"/>
              <w:right w:val="nil"/>
            </w:tcBorders>
            <w:shd w:val="clear" w:color="auto" w:fill="auto"/>
            <w:noWrap/>
            <w:vAlign w:val="bottom"/>
            <w:hideMark/>
          </w:tcPr>
          <w:p w14:paraId="12D46DF9"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7A8B936A"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(11.62)</w:t>
            </w:r>
          </w:p>
        </w:tc>
        <w:tc>
          <w:tcPr>
            <w:tcW w:w="886" w:type="pct"/>
            <w:tcBorders>
              <w:top w:val="nil"/>
              <w:left w:val="nil"/>
              <w:bottom w:val="nil"/>
              <w:right w:val="nil"/>
            </w:tcBorders>
            <w:shd w:val="clear" w:color="auto" w:fill="auto"/>
            <w:noWrap/>
            <w:vAlign w:val="bottom"/>
            <w:hideMark/>
          </w:tcPr>
          <w:p w14:paraId="57A33EE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(10.25)</w:t>
            </w:r>
          </w:p>
        </w:tc>
        <w:tc>
          <w:tcPr>
            <w:tcW w:w="886" w:type="pct"/>
            <w:tcBorders>
              <w:top w:val="nil"/>
              <w:left w:val="nil"/>
              <w:bottom w:val="nil"/>
              <w:right w:val="nil"/>
            </w:tcBorders>
            <w:shd w:val="clear" w:color="auto" w:fill="auto"/>
            <w:noWrap/>
            <w:vAlign w:val="bottom"/>
            <w:hideMark/>
          </w:tcPr>
          <w:p w14:paraId="2CB1AF7D"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(2.55)</w:t>
            </w:r>
          </w:p>
        </w:tc>
      </w:tr>
      <w:tr w:rsidR="00F634D2" w:rsidRPr="00F634D2" w14:paraId="3157DE90" w14:textId="77777777">
        <w:trPr>
          <w:trHeight w:val="20"/>
        </w:trPr>
        <w:tc>
          <w:tcPr>
            <w:tcW w:w="2341" w:type="pct"/>
            <w:tcBorders>
              <w:top w:val="nil"/>
              <w:left w:val="nil"/>
              <w:bottom w:val="nil"/>
              <w:right w:val="nil"/>
            </w:tcBorders>
            <w:shd w:val="clear" w:color="auto" w:fill="auto"/>
            <w:vAlign w:val="center"/>
            <w:hideMark/>
          </w:tcPr>
          <w:p w14:paraId="7A4F28D8"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BTM</w:t>
            </w:r>
          </w:p>
        </w:tc>
        <w:tc>
          <w:tcPr>
            <w:tcW w:w="886" w:type="pct"/>
            <w:tcBorders>
              <w:top w:val="nil"/>
              <w:left w:val="nil"/>
              <w:bottom w:val="nil"/>
              <w:right w:val="nil"/>
            </w:tcBorders>
            <w:shd w:val="clear" w:color="auto" w:fill="auto"/>
            <w:noWrap/>
            <w:vAlign w:val="bottom"/>
            <w:hideMark/>
          </w:tcPr>
          <w:p w14:paraId="49DEE15A"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0.669***</w:t>
            </w:r>
          </w:p>
        </w:tc>
        <w:tc>
          <w:tcPr>
            <w:tcW w:w="886" w:type="pct"/>
            <w:tcBorders>
              <w:top w:val="nil"/>
              <w:left w:val="nil"/>
              <w:bottom w:val="nil"/>
              <w:right w:val="nil"/>
            </w:tcBorders>
            <w:shd w:val="clear" w:color="auto" w:fill="auto"/>
            <w:noWrap/>
            <w:vAlign w:val="bottom"/>
            <w:hideMark/>
          </w:tcPr>
          <w:p w14:paraId="06780F58"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0.685***</w:t>
            </w:r>
          </w:p>
        </w:tc>
        <w:tc>
          <w:tcPr>
            <w:tcW w:w="886" w:type="pct"/>
            <w:tcBorders>
              <w:top w:val="nil"/>
              <w:left w:val="nil"/>
              <w:bottom w:val="nil"/>
              <w:right w:val="nil"/>
            </w:tcBorders>
            <w:shd w:val="clear" w:color="auto" w:fill="auto"/>
            <w:noWrap/>
            <w:vAlign w:val="bottom"/>
            <w:hideMark/>
          </w:tcPr>
          <w:p w14:paraId="46F147A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0.961***</w:t>
            </w:r>
          </w:p>
        </w:tc>
      </w:tr>
      <w:tr w:rsidR="00F634D2" w:rsidRPr="00F634D2" w14:paraId="39E33AF3" w14:textId="77777777">
        <w:trPr>
          <w:trHeight w:val="20"/>
        </w:trPr>
        <w:tc>
          <w:tcPr>
            <w:tcW w:w="2341" w:type="pct"/>
            <w:tcBorders>
              <w:top w:val="nil"/>
              <w:left w:val="nil"/>
              <w:bottom w:val="nil"/>
              <w:right w:val="nil"/>
            </w:tcBorders>
            <w:shd w:val="clear" w:color="auto" w:fill="auto"/>
            <w:noWrap/>
            <w:vAlign w:val="bottom"/>
            <w:hideMark/>
          </w:tcPr>
          <w:p w14:paraId="130219ED"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52A943E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(8.77)</w:t>
            </w:r>
          </w:p>
        </w:tc>
        <w:tc>
          <w:tcPr>
            <w:tcW w:w="886" w:type="pct"/>
            <w:tcBorders>
              <w:top w:val="nil"/>
              <w:left w:val="nil"/>
              <w:bottom w:val="nil"/>
              <w:right w:val="nil"/>
            </w:tcBorders>
            <w:shd w:val="clear" w:color="auto" w:fill="auto"/>
            <w:noWrap/>
            <w:vAlign w:val="bottom"/>
            <w:hideMark/>
          </w:tcPr>
          <w:p w14:paraId="429E041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(8.12)</w:t>
            </w:r>
          </w:p>
        </w:tc>
        <w:tc>
          <w:tcPr>
            <w:tcW w:w="886" w:type="pct"/>
            <w:tcBorders>
              <w:top w:val="nil"/>
              <w:left w:val="nil"/>
              <w:bottom w:val="nil"/>
              <w:right w:val="nil"/>
            </w:tcBorders>
            <w:shd w:val="clear" w:color="auto" w:fill="auto"/>
            <w:noWrap/>
            <w:vAlign w:val="bottom"/>
            <w:hideMark/>
          </w:tcPr>
          <w:p w14:paraId="430F37FA"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(10.21)</w:t>
            </w:r>
          </w:p>
        </w:tc>
      </w:tr>
      <w:tr w:rsidR="00F634D2" w:rsidRPr="00F634D2" w14:paraId="2522D454" w14:textId="77777777">
        <w:trPr>
          <w:trHeight w:val="20"/>
        </w:trPr>
        <w:tc>
          <w:tcPr>
            <w:tcW w:w="2341" w:type="pct"/>
            <w:tcBorders>
              <w:top w:val="nil"/>
              <w:left w:val="nil"/>
              <w:bottom w:val="nil"/>
              <w:right w:val="nil"/>
            </w:tcBorders>
            <w:shd w:val="clear" w:color="auto" w:fill="auto"/>
            <w:vAlign w:val="center"/>
            <w:hideMark/>
          </w:tcPr>
          <w:p w14:paraId="5D5960E8"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ROA</w:t>
            </w:r>
          </w:p>
        </w:tc>
        <w:tc>
          <w:tcPr>
            <w:tcW w:w="886" w:type="pct"/>
            <w:tcBorders>
              <w:top w:val="nil"/>
              <w:left w:val="nil"/>
              <w:bottom w:val="nil"/>
              <w:right w:val="nil"/>
            </w:tcBorders>
            <w:shd w:val="clear" w:color="auto" w:fill="auto"/>
            <w:noWrap/>
            <w:vAlign w:val="bottom"/>
            <w:hideMark/>
          </w:tcPr>
          <w:p w14:paraId="48E77BF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0.327***</w:t>
            </w:r>
          </w:p>
        </w:tc>
        <w:tc>
          <w:tcPr>
            <w:tcW w:w="886" w:type="pct"/>
            <w:tcBorders>
              <w:top w:val="nil"/>
              <w:left w:val="nil"/>
              <w:bottom w:val="nil"/>
              <w:right w:val="nil"/>
            </w:tcBorders>
            <w:shd w:val="clear" w:color="auto" w:fill="auto"/>
            <w:noWrap/>
            <w:vAlign w:val="bottom"/>
            <w:hideMark/>
          </w:tcPr>
          <w:p w14:paraId="738AE0A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0.475***</w:t>
            </w:r>
          </w:p>
        </w:tc>
        <w:tc>
          <w:tcPr>
            <w:tcW w:w="886" w:type="pct"/>
            <w:tcBorders>
              <w:top w:val="nil"/>
              <w:left w:val="nil"/>
              <w:bottom w:val="nil"/>
              <w:right w:val="nil"/>
            </w:tcBorders>
            <w:shd w:val="clear" w:color="auto" w:fill="auto"/>
            <w:noWrap/>
            <w:vAlign w:val="bottom"/>
            <w:hideMark/>
          </w:tcPr>
          <w:p w14:paraId="31DA776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0.295***</w:t>
            </w:r>
          </w:p>
        </w:tc>
      </w:tr>
      <w:tr w:rsidR="00F634D2" w:rsidRPr="00F634D2" w14:paraId="714C35C8" w14:textId="77777777">
        <w:trPr>
          <w:trHeight w:val="20"/>
        </w:trPr>
        <w:tc>
          <w:tcPr>
            <w:tcW w:w="2341" w:type="pct"/>
            <w:tcBorders>
              <w:top w:val="nil"/>
              <w:left w:val="nil"/>
              <w:bottom w:val="nil"/>
              <w:right w:val="nil"/>
            </w:tcBorders>
            <w:shd w:val="clear" w:color="auto" w:fill="auto"/>
            <w:noWrap/>
            <w:vAlign w:val="bottom"/>
            <w:hideMark/>
          </w:tcPr>
          <w:p w14:paraId="4438594E"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40C6E76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(2.64)</w:t>
            </w:r>
          </w:p>
        </w:tc>
        <w:tc>
          <w:tcPr>
            <w:tcW w:w="886" w:type="pct"/>
            <w:tcBorders>
              <w:top w:val="nil"/>
              <w:left w:val="nil"/>
              <w:bottom w:val="nil"/>
              <w:right w:val="nil"/>
            </w:tcBorders>
            <w:shd w:val="clear" w:color="auto" w:fill="auto"/>
            <w:noWrap/>
            <w:vAlign w:val="bottom"/>
            <w:hideMark/>
          </w:tcPr>
          <w:p w14:paraId="29A8C4C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(3.01)</w:t>
            </w:r>
          </w:p>
        </w:tc>
        <w:tc>
          <w:tcPr>
            <w:tcW w:w="886" w:type="pct"/>
            <w:tcBorders>
              <w:top w:val="nil"/>
              <w:left w:val="nil"/>
              <w:bottom w:val="nil"/>
              <w:right w:val="nil"/>
            </w:tcBorders>
            <w:shd w:val="clear" w:color="auto" w:fill="auto"/>
            <w:noWrap/>
            <w:vAlign w:val="bottom"/>
            <w:hideMark/>
          </w:tcPr>
          <w:p w14:paraId="4A92802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(2.63)</w:t>
            </w:r>
          </w:p>
        </w:tc>
      </w:tr>
      <w:tr w:rsidR="00F634D2" w:rsidRPr="00F634D2" w14:paraId="7C4725B0" w14:textId="77777777">
        <w:trPr>
          <w:trHeight w:val="20"/>
        </w:trPr>
        <w:tc>
          <w:tcPr>
            <w:tcW w:w="2341" w:type="pct"/>
            <w:tcBorders>
              <w:top w:val="nil"/>
              <w:left w:val="nil"/>
              <w:bottom w:val="nil"/>
              <w:right w:val="nil"/>
            </w:tcBorders>
            <w:shd w:val="clear" w:color="auto" w:fill="auto"/>
            <w:vAlign w:val="center"/>
            <w:hideMark/>
          </w:tcPr>
          <w:p w14:paraId="13B82807"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Tenure</w:t>
            </w:r>
          </w:p>
        </w:tc>
        <w:tc>
          <w:tcPr>
            <w:tcW w:w="886" w:type="pct"/>
            <w:tcBorders>
              <w:top w:val="nil"/>
              <w:left w:val="nil"/>
              <w:bottom w:val="nil"/>
              <w:right w:val="nil"/>
            </w:tcBorders>
            <w:shd w:val="clear" w:color="auto" w:fill="auto"/>
            <w:noWrap/>
            <w:vAlign w:val="bottom"/>
            <w:hideMark/>
          </w:tcPr>
          <w:p w14:paraId="1AE45D7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0.176***</w:t>
            </w:r>
          </w:p>
        </w:tc>
        <w:tc>
          <w:tcPr>
            <w:tcW w:w="886" w:type="pct"/>
            <w:tcBorders>
              <w:top w:val="nil"/>
              <w:left w:val="nil"/>
              <w:bottom w:val="nil"/>
              <w:right w:val="nil"/>
            </w:tcBorders>
            <w:shd w:val="clear" w:color="auto" w:fill="auto"/>
            <w:noWrap/>
            <w:vAlign w:val="bottom"/>
            <w:hideMark/>
          </w:tcPr>
          <w:p w14:paraId="45E1D48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0.136***</w:t>
            </w:r>
          </w:p>
        </w:tc>
        <w:tc>
          <w:tcPr>
            <w:tcW w:w="886" w:type="pct"/>
            <w:tcBorders>
              <w:top w:val="nil"/>
              <w:left w:val="nil"/>
              <w:bottom w:val="nil"/>
              <w:right w:val="nil"/>
            </w:tcBorders>
            <w:shd w:val="clear" w:color="auto" w:fill="auto"/>
            <w:noWrap/>
            <w:vAlign w:val="bottom"/>
            <w:hideMark/>
          </w:tcPr>
          <w:p w14:paraId="03A2168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–0.103***</w:t>
            </w:r>
          </w:p>
        </w:tc>
      </w:tr>
      <w:tr w:rsidR="00F634D2" w:rsidRPr="00F634D2" w14:paraId="543268F4" w14:textId="77777777">
        <w:trPr>
          <w:trHeight w:val="20"/>
        </w:trPr>
        <w:tc>
          <w:tcPr>
            <w:tcW w:w="2341" w:type="pct"/>
            <w:tcBorders>
              <w:top w:val="nil"/>
              <w:left w:val="nil"/>
              <w:bottom w:val="nil"/>
              <w:right w:val="nil"/>
            </w:tcBorders>
            <w:shd w:val="clear" w:color="auto" w:fill="auto"/>
            <w:noWrap/>
            <w:vAlign w:val="bottom"/>
            <w:hideMark/>
          </w:tcPr>
          <w:p w14:paraId="507DB950"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023B0CF4"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(5.98)</w:t>
            </w:r>
          </w:p>
        </w:tc>
        <w:tc>
          <w:tcPr>
            <w:tcW w:w="886" w:type="pct"/>
            <w:tcBorders>
              <w:top w:val="nil"/>
              <w:left w:val="nil"/>
              <w:bottom w:val="nil"/>
              <w:right w:val="nil"/>
            </w:tcBorders>
            <w:shd w:val="clear" w:color="auto" w:fill="auto"/>
            <w:noWrap/>
            <w:vAlign w:val="bottom"/>
            <w:hideMark/>
          </w:tcPr>
          <w:p w14:paraId="2E6CACC8"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(5.32)</w:t>
            </w:r>
          </w:p>
        </w:tc>
        <w:tc>
          <w:tcPr>
            <w:tcW w:w="886" w:type="pct"/>
            <w:tcBorders>
              <w:top w:val="nil"/>
              <w:left w:val="nil"/>
              <w:bottom w:val="nil"/>
              <w:right w:val="nil"/>
            </w:tcBorders>
            <w:shd w:val="clear" w:color="auto" w:fill="auto"/>
            <w:noWrap/>
            <w:vAlign w:val="bottom"/>
            <w:hideMark/>
          </w:tcPr>
          <w:p w14:paraId="1A2D3AB8"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(–3.58)</w:t>
            </w:r>
          </w:p>
        </w:tc>
      </w:tr>
      <w:tr w:rsidR="00F634D2" w:rsidRPr="00F634D2" w14:paraId="6B3DF625" w14:textId="77777777">
        <w:trPr>
          <w:trHeight w:val="20"/>
        </w:trPr>
        <w:tc>
          <w:tcPr>
            <w:tcW w:w="2341" w:type="pct"/>
            <w:tcBorders>
              <w:top w:val="nil"/>
              <w:left w:val="nil"/>
              <w:bottom w:val="nil"/>
              <w:right w:val="nil"/>
            </w:tcBorders>
            <w:shd w:val="clear" w:color="auto" w:fill="auto"/>
            <w:vAlign w:val="center"/>
            <w:hideMark/>
          </w:tcPr>
          <w:p w14:paraId="2CF136C1"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Salary</w:t>
            </w:r>
          </w:p>
        </w:tc>
        <w:tc>
          <w:tcPr>
            <w:tcW w:w="886" w:type="pct"/>
            <w:tcBorders>
              <w:top w:val="nil"/>
              <w:left w:val="nil"/>
              <w:bottom w:val="nil"/>
              <w:right w:val="nil"/>
            </w:tcBorders>
            <w:shd w:val="clear" w:color="auto" w:fill="auto"/>
            <w:noWrap/>
            <w:vAlign w:val="bottom"/>
            <w:hideMark/>
          </w:tcPr>
          <w:p w14:paraId="3CCE42F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0.202***</w:t>
            </w:r>
          </w:p>
        </w:tc>
        <w:tc>
          <w:tcPr>
            <w:tcW w:w="886" w:type="pct"/>
            <w:tcBorders>
              <w:top w:val="nil"/>
              <w:left w:val="nil"/>
              <w:bottom w:val="nil"/>
              <w:right w:val="nil"/>
            </w:tcBorders>
            <w:shd w:val="clear" w:color="auto" w:fill="auto"/>
            <w:noWrap/>
            <w:vAlign w:val="bottom"/>
            <w:hideMark/>
          </w:tcPr>
          <w:p w14:paraId="4FEC9237"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0.163***</w:t>
            </w:r>
          </w:p>
        </w:tc>
        <w:tc>
          <w:tcPr>
            <w:tcW w:w="886" w:type="pct"/>
            <w:tcBorders>
              <w:top w:val="nil"/>
              <w:left w:val="nil"/>
              <w:bottom w:val="nil"/>
              <w:right w:val="nil"/>
            </w:tcBorders>
            <w:shd w:val="clear" w:color="auto" w:fill="auto"/>
            <w:noWrap/>
            <w:vAlign w:val="bottom"/>
            <w:hideMark/>
          </w:tcPr>
          <w:p w14:paraId="41B22B8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0.206***</w:t>
            </w:r>
          </w:p>
        </w:tc>
      </w:tr>
      <w:tr w:rsidR="00F634D2" w:rsidRPr="00F634D2" w14:paraId="3FA2DA09" w14:textId="77777777">
        <w:trPr>
          <w:trHeight w:val="20"/>
        </w:trPr>
        <w:tc>
          <w:tcPr>
            <w:tcW w:w="2341" w:type="pct"/>
            <w:tcBorders>
              <w:top w:val="nil"/>
              <w:left w:val="nil"/>
              <w:bottom w:val="nil"/>
              <w:right w:val="nil"/>
            </w:tcBorders>
            <w:shd w:val="clear" w:color="auto" w:fill="auto"/>
            <w:vAlign w:val="center"/>
            <w:hideMark/>
          </w:tcPr>
          <w:p w14:paraId="4318EA8B"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2DEAAF2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(3.77)</w:t>
            </w:r>
          </w:p>
        </w:tc>
        <w:tc>
          <w:tcPr>
            <w:tcW w:w="886" w:type="pct"/>
            <w:tcBorders>
              <w:top w:val="nil"/>
              <w:left w:val="nil"/>
              <w:bottom w:val="nil"/>
              <w:right w:val="nil"/>
            </w:tcBorders>
            <w:shd w:val="clear" w:color="auto" w:fill="auto"/>
            <w:noWrap/>
            <w:vAlign w:val="bottom"/>
            <w:hideMark/>
          </w:tcPr>
          <w:p w14:paraId="1F4DA6F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(2.96)</w:t>
            </w:r>
          </w:p>
        </w:tc>
        <w:tc>
          <w:tcPr>
            <w:tcW w:w="886" w:type="pct"/>
            <w:tcBorders>
              <w:top w:val="nil"/>
              <w:left w:val="nil"/>
              <w:bottom w:val="nil"/>
              <w:right w:val="nil"/>
            </w:tcBorders>
            <w:shd w:val="clear" w:color="auto" w:fill="auto"/>
            <w:noWrap/>
            <w:vAlign w:val="bottom"/>
            <w:hideMark/>
          </w:tcPr>
          <w:p w14:paraId="010BE027"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(3.97)</w:t>
            </w:r>
          </w:p>
        </w:tc>
      </w:tr>
      <w:tr w:rsidR="00F634D2" w:rsidRPr="00F634D2" w14:paraId="7E1FCCC4" w14:textId="77777777">
        <w:trPr>
          <w:trHeight w:val="20"/>
        </w:trPr>
        <w:tc>
          <w:tcPr>
            <w:tcW w:w="2341" w:type="pct"/>
            <w:tcBorders>
              <w:top w:val="nil"/>
              <w:left w:val="nil"/>
              <w:bottom w:val="nil"/>
              <w:right w:val="nil"/>
            </w:tcBorders>
            <w:shd w:val="clear" w:color="auto" w:fill="auto"/>
            <w:vAlign w:val="center"/>
            <w:hideMark/>
          </w:tcPr>
          <w:p w14:paraId="65936901"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Bonus</w:t>
            </w:r>
          </w:p>
        </w:tc>
        <w:tc>
          <w:tcPr>
            <w:tcW w:w="886" w:type="pct"/>
            <w:tcBorders>
              <w:top w:val="nil"/>
              <w:left w:val="nil"/>
              <w:bottom w:val="nil"/>
              <w:right w:val="nil"/>
            </w:tcBorders>
            <w:shd w:val="clear" w:color="auto" w:fill="auto"/>
            <w:noWrap/>
            <w:vAlign w:val="bottom"/>
            <w:hideMark/>
          </w:tcPr>
          <w:p w14:paraId="6330399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0.002</w:t>
            </w:r>
          </w:p>
        </w:tc>
        <w:tc>
          <w:tcPr>
            <w:tcW w:w="886" w:type="pct"/>
            <w:tcBorders>
              <w:top w:val="nil"/>
              <w:left w:val="nil"/>
              <w:bottom w:val="nil"/>
              <w:right w:val="nil"/>
            </w:tcBorders>
            <w:shd w:val="clear" w:color="auto" w:fill="auto"/>
            <w:noWrap/>
            <w:vAlign w:val="bottom"/>
            <w:hideMark/>
          </w:tcPr>
          <w:p w14:paraId="4C1DEA6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0.001</w:t>
            </w:r>
          </w:p>
        </w:tc>
        <w:tc>
          <w:tcPr>
            <w:tcW w:w="886" w:type="pct"/>
            <w:tcBorders>
              <w:top w:val="nil"/>
              <w:left w:val="nil"/>
              <w:bottom w:val="nil"/>
              <w:right w:val="nil"/>
            </w:tcBorders>
            <w:shd w:val="clear" w:color="auto" w:fill="auto"/>
            <w:noWrap/>
            <w:vAlign w:val="bottom"/>
            <w:hideMark/>
          </w:tcPr>
          <w:p w14:paraId="32B5A8F7"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0.002</w:t>
            </w:r>
          </w:p>
        </w:tc>
      </w:tr>
      <w:tr w:rsidR="00F634D2" w:rsidRPr="00F634D2" w14:paraId="0FD04316" w14:textId="77777777">
        <w:trPr>
          <w:trHeight w:val="20"/>
        </w:trPr>
        <w:tc>
          <w:tcPr>
            <w:tcW w:w="2341" w:type="pct"/>
            <w:tcBorders>
              <w:top w:val="nil"/>
              <w:left w:val="nil"/>
              <w:bottom w:val="nil"/>
              <w:right w:val="nil"/>
            </w:tcBorders>
            <w:shd w:val="clear" w:color="auto" w:fill="auto"/>
            <w:vAlign w:val="center"/>
            <w:hideMark/>
          </w:tcPr>
          <w:p w14:paraId="24FF6E85"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763FACC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(0.23)</w:t>
            </w:r>
          </w:p>
        </w:tc>
        <w:tc>
          <w:tcPr>
            <w:tcW w:w="886" w:type="pct"/>
            <w:tcBorders>
              <w:top w:val="nil"/>
              <w:left w:val="nil"/>
              <w:bottom w:val="nil"/>
              <w:right w:val="nil"/>
            </w:tcBorders>
            <w:shd w:val="clear" w:color="auto" w:fill="auto"/>
            <w:noWrap/>
            <w:vAlign w:val="bottom"/>
            <w:hideMark/>
          </w:tcPr>
          <w:p w14:paraId="03D3F43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(0.03)</w:t>
            </w:r>
          </w:p>
        </w:tc>
        <w:tc>
          <w:tcPr>
            <w:tcW w:w="886" w:type="pct"/>
            <w:tcBorders>
              <w:top w:val="nil"/>
              <w:left w:val="nil"/>
              <w:bottom w:val="nil"/>
              <w:right w:val="nil"/>
            </w:tcBorders>
            <w:shd w:val="clear" w:color="auto" w:fill="auto"/>
            <w:noWrap/>
            <w:vAlign w:val="bottom"/>
            <w:hideMark/>
          </w:tcPr>
          <w:p w14:paraId="754C6BC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(0.56)</w:t>
            </w:r>
          </w:p>
        </w:tc>
      </w:tr>
      <w:tr w:rsidR="00F634D2" w:rsidRPr="00F634D2" w14:paraId="77B8E966" w14:textId="77777777">
        <w:trPr>
          <w:trHeight w:val="20"/>
        </w:trPr>
        <w:tc>
          <w:tcPr>
            <w:tcW w:w="2341" w:type="pct"/>
            <w:tcBorders>
              <w:top w:val="nil"/>
              <w:left w:val="nil"/>
              <w:bottom w:val="nil"/>
              <w:right w:val="nil"/>
            </w:tcBorders>
            <w:shd w:val="clear" w:color="auto" w:fill="auto"/>
            <w:vAlign w:val="center"/>
            <w:hideMark/>
          </w:tcPr>
          <w:p w14:paraId="43AA4BAE"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Other</w:t>
            </w:r>
          </w:p>
        </w:tc>
        <w:tc>
          <w:tcPr>
            <w:tcW w:w="886" w:type="pct"/>
            <w:tcBorders>
              <w:top w:val="nil"/>
              <w:left w:val="nil"/>
              <w:bottom w:val="nil"/>
              <w:right w:val="nil"/>
            </w:tcBorders>
            <w:shd w:val="clear" w:color="auto" w:fill="auto"/>
            <w:noWrap/>
            <w:vAlign w:val="bottom"/>
            <w:hideMark/>
          </w:tcPr>
          <w:p w14:paraId="77261DE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0.089***</w:t>
            </w:r>
          </w:p>
        </w:tc>
        <w:tc>
          <w:tcPr>
            <w:tcW w:w="886" w:type="pct"/>
            <w:tcBorders>
              <w:top w:val="nil"/>
              <w:left w:val="nil"/>
              <w:bottom w:val="nil"/>
              <w:right w:val="nil"/>
            </w:tcBorders>
            <w:shd w:val="clear" w:color="auto" w:fill="auto"/>
            <w:noWrap/>
            <w:vAlign w:val="bottom"/>
            <w:hideMark/>
          </w:tcPr>
          <w:p w14:paraId="0C5578D7"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0.072***</w:t>
            </w:r>
          </w:p>
        </w:tc>
        <w:tc>
          <w:tcPr>
            <w:tcW w:w="886" w:type="pct"/>
            <w:tcBorders>
              <w:top w:val="nil"/>
              <w:left w:val="nil"/>
              <w:bottom w:val="nil"/>
              <w:right w:val="nil"/>
            </w:tcBorders>
            <w:shd w:val="clear" w:color="auto" w:fill="auto"/>
            <w:noWrap/>
            <w:vAlign w:val="bottom"/>
            <w:hideMark/>
          </w:tcPr>
          <w:p w14:paraId="46098ED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0.082***</w:t>
            </w:r>
          </w:p>
        </w:tc>
      </w:tr>
      <w:tr w:rsidR="00F634D2" w:rsidRPr="00F634D2" w14:paraId="7787F02B" w14:textId="77777777">
        <w:trPr>
          <w:trHeight w:val="20"/>
        </w:trPr>
        <w:tc>
          <w:tcPr>
            <w:tcW w:w="2341" w:type="pct"/>
            <w:tcBorders>
              <w:top w:val="nil"/>
              <w:left w:val="nil"/>
              <w:bottom w:val="nil"/>
              <w:right w:val="nil"/>
            </w:tcBorders>
            <w:shd w:val="clear" w:color="auto" w:fill="auto"/>
            <w:vAlign w:val="center"/>
            <w:hideMark/>
          </w:tcPr>
          <w:p w14:paraId="0BDEE977"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01AF340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(8.32)</w:t>
            </w:r>
          </w:p>
        </w:tc>
        <w:tc>
          <w:tcPr>
            <w:tcW w:w="886" w:type="pct"/>
            <w:tcBorders>
              <w:top w:val="nil"/>
              <w:left w:val="nil"/>
              <w:bottom w:val="nil"/>
              <w:right w:val="nil"/>
            </w:tcBorders>
            <w:shd w:val="clear" w:color="auto" w:fill="auto"/>
            <w:noWrap/>
            <w:vAlign w:val="bottom"/>
            <w:hideMark/>
          </w:tcPr>
          <w:p w14:paraId="396ABF9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(6.75)</w:t>
            </w:r>
          </w:p>
        </w:tc>
        <w:tc>
          <w:tcPr>
            <w:tcW w:w="886" w:type="pct"/>
            <w:tcBorders>
              <w:top w:val="nil"/>
              <w:left w:val="nil"/>
              <w:bottom w:val="nil"/>
              <w:right w:val="nil"/>
            </w:tcBorders>
            <w:shd w:val="clear" w:color="auto" w:fill="auto"/>
            <w:noWrap/>
            <w:vAlign w:val="bottom"/>
            <w:hideMark/>
          </w:tcPr>
          <w:p w14:paraId="4F43CFC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(8.38)</w:t>
            </w:r>
          </w:p>
        </w:tc>
      </w:tr>
      <w:tr w:rsidR="00F634D2" w:rsidRPr="00F634D2" w14:paraId="726A7F07" w14:textId="77777777">
        <w:trPr>
          <w:trHeight w:val="20"/>
        </w:trPr>
        <w:tc>
          <w:tcPr>
            <w:tcW w:w="2341" w:type="pct"/>
            <w:tcBorders>
              <w:top w:val="nil"/>
              <w:left w:val="nil"/>
              <w:bottom w:val="nil"/>
              <w:right w:val="nil"/>
            </w:tcBorders>
            <w:shd w:val="clear" w:color="auto" w:fill="auto"/>
            <w:vAlign w:val="center"/>
            <w:hideMark/>
          </w:tcPr>
          <w:p w14:paraId="351595C3"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Gdpgr</w:t>
            </w:r>
            <w:proofErr w:type="spellEnd"/>
          </w:p>
        </w:tc>
        <w:tc>
          <w:tcPr>
            <w:tcW w:w="886" w:type="pct"/>
            <w:tcBorders>
              <w:top w:val="nil"/>
              <w:left w:val="nil"/>
              <w:bottom w:val="nil"/>
              <w:right w:val="nil"/>
            </w:tcBorders>
            <w:shd w:val="clear" w:color="auto" w:fill="auto"/>
            <w:noWrap/>
            <w:vAlign w:val="bottom"/>
            <w:hideMark/>
          </w:tcPr>
          <w:p w14:paraId="181F224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1.170***</w:t>
            </w:r>
          </w:p>
        </w:tc>
        <w:tc>
          <w:tcPr>
            <w:tcW w:w="886" w:type="pct"/>
            <w:tcBorders>
              <w:top w:val="nil"/>
              <w:left w:val="nil"/>
              <w:bottom w:val="nil"/>
              <w:right w:val="nil"/>
            </w:tcBorders>
            <w:shd w:val="clear" w:color="auto" w:fill="auto"/>
            <w:noWrap/>
            <w:vAlign w:val="bottom"/>
            <w:hideMark/>
          </w:tcPr>
          <w:p w14:paraId="7D7389E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1.052**</w:t>
            </w:r>
          </w:p>
        </w:tc>
        <w:tc>
          <w:tcPr>
            <w:tcW w:w="886" w:type="pct"/>
            <w:tcBorders>
              <w:top w:val="nil"/>
              <w:left w:val="nil"/>
              <w:bottom w:val="nil"/>
              <w:right w:val="nil"/>
            </w:tcBorders>
            <w:shd w:val="clear" w:color="auto" w:fill="auto"/>
            <w:noWrap/>
            <w:vAlign w:val="bottom"/>
            <w:hideMark/>
          </w:tcPr>
          <w:p w14:paraId="547D9FD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0.982**</w:t>
            </w:r>
          </w:p>
        </w:tc>
      </w:tr>
      <w:tr w:rsidR="00F634D2" w:rsidRPr="00F634D2" w14:paraId="193F808F" w14:textId="77777777">
        <w:trPr>
          <w:trHeight w:val="20"/>
        </w:trPr>
        <w:tc>
          <w:tcPr>
            <w:tcW w:w="2341" w:type="pct"/>
            <w:tcBorders>
              <w:top w:val="nil"/>
              <w:left w:val="nil"/>
              <w:bottom w:val="nil"/>
              <w:right w:val="nil"/>
            </w:tcBorders>
            <w:shd w:val="clear" w:color="auto" w:fill="auto"/>
            <w:vAlign w:val="center"/>
            <w:hideMark/>
          </w:tcPr>
          <w:p w14:paraId="7A983403"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3C105CB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(2.66)</w:t>
            </w:r>
          </w:p>
        </w:tc>
        <w:tc>
          <w:tcPr>
            <w:tcW w:w="886" w:type="pct"/>
            <w:tcBorders>
              <w:top w:val="nil"/>
              <w:left w:val="nil"/>
              <w:bottom w:val="nil"/>
              <w:right w:val="nil"/>
            </w:tcBorders>
            <w:shd w:val="clear" w:color="auto" w:fill="auto"/>
            <w:noWrap/>
            <w:vAlign w:val="bottom"/>
            <w:hideMark/>
          </w:tcPr>
          <w:p w14:paraId="5AC0A0A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(2.08)</w:t>
            </w:r>
          </w:p>
        </w:tc>
        <w:tc>
          <w:tcPr>
            <w:tcW w:w="886" w:type="pct"/>
            <w:tcBorders>
              <w:top w:val="nil"/>
              <w:left w:val="nil"/>
              <w:bottom w:val="nil"/>
              <w:right w:val="nil"/>
            </w:tcBorders>
            <w:shd w:val="clear" w:color="auto" w:fill="auto"/>
            <w:noWrap/>
            <w:vAlign w:val="bottom"/>
            <w:hideMark/>
          </w:tcPr>
          <w:p w14:paraId="2AE11DC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(2.17)</w:t>
            </w:r>
          </w:p>
        </w:tc>
      </w:tr>
      <w:tr w:rsidR="00F634D2" w:rsidRPr="00F634D2" w14:paraId="113C40F6" w14:textId="77777777">
        <w:trPr>
          <w:trHeight w:val="20"/>
        </w:trPr>
        <w:tc>
          <w:tcPr>
            <w:tcW w:w="2341" w:type="pct"/>
            <w:tcBorders>
              <w:top w:val="nil"/>
              <w:left w:val="nil"/>
              <w:bottom w:val="nil"/>
              <w:right w:val="nil"/>
            </w:tcBorders>
            <w:shd w:val="clear" w:color="auto" w:fill="auto"/>
            <w:vAlign w:val="center"/>
            <w:hideMark/>
          </w:tcPr>
          <w:p w14:paraId="3433A2B3"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Unemp</w:t>
            </w:r>
            <w:proofErr w:type="spellEnd"/>
          </w:p>
        </w:tc>
        <w:tc>
          <w:tcPr>
            <w:tcW w:w="886" w:type="pct"/>
            <w:tcBorders>
              <w:top w:val="nil"/>
              <w:left w:val="nil"/>
              <w:bottom w:val="nil"/>
              <w:right w:val="nil"/>
            </w:tcBorders>
            <w:shd w:val="clear" w:color="auto" w:fill="auto"/>
            <w:noWrap/>
            <w:vAlign w:val="bottom"/>
            <w:hideMark/>
          </w:tcPr>
          <w:p w14:paraId="3BF5821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0.007</w:t>
            </w:r>
          </w:p>
        </w:tc>
        <w:tc>
          <w:tcPr>
            <w:tcW w:w="886" w:type="pct"/>
            <w:tcBorders>
              <w:top w:val="nil"/>
              <w:left w:val="nil"/>
              <w:bottom w:val="nil"/>
              <w:right w:val="nil"/>
            </w:tcBorders>
            <w:shd w:val="clear" w:color="auto" w:fill="auto"/>
            <w:noWrap/>
            <w:vAlign w:val="bottom"/>
            <w:hideMark/>
          </w:tcPr>
          <w:p w14:paraId="548BCC9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0.002</w:t>
            </w:r>
          </w:p>
        </w:tc>
        <w:tc>
          <w:tcPr>
            <w:tcW w:w="886" w:type="pct"/>
            <w:tcBorders>
              <w:top w:val="nil"/>
              <w:left w:val="nil"/>
              <w:bottom w:val="nil"/>
              <w:right w:val="nil"/>
            </w:tcBorders>
            <w:shd w:val="clear" w:color="auto" w:fill="auto"/>
            <w:noWrap/>
            <w:vAlign w:val="bottom"/>
            <w:hideMark/>
          </w:tcPr>
          <w:p w14:paraId="1234DE2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–0.009</w:t>
            </w:r>
          </w:p>
        </w:tc>
      </w:tr>
      <w:tr w:rsidR="00F634D2" w:rsidRPr="00F634D2" w14:paraId="7B3472FA" w14:textId="77777777">
        <w:trPr>
          <w:trHeight w:val="20"/>
        </w:trPr>
        <w:tc>
          <w:tcPr>
            <w:tcW w:w="2341" w:type="pct"/>
            <w:tcBorders>
              <w:top w:val="nil"/>
              <w:left w:val="nil"/>
              <w:bottom w:val="nil"/>
              <w:right w:val="nil"/>
            </w:tcBorders>
            <w:shd w:val="clear" w:color="auto" w:fill="auto"/>
            <w:vAlign w:val="center"/>
            <w:hideMark/>
          </w:tcPr>
          <w:p w14:paraId="4F94E453"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1E081E8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(0.31)</w:t>
            </w:r>
          </w:p>
        </w:tc>
        <w:tc>
          <w:tcPr>
            <w:tcW w:w="886" w:type="pct"/>
            <w:tcBorders>
              <w:top w:val="nil"/>
              <w:left w:val="nil"/>
              <w:bottom w:val="nil"/>
              <w:right w:val="nil"/>
            </w:tcBorders>
            <w:shd w:val="clear" w:color="auto" w:fill="auto"/>
            <w:noWrap/>
            <w:vAlign w:val="bottom"/>
            <w:hideMark/>
          </w:tcPr>
          <w:p w14:paraId="38878A0A"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(0.11)</w:t>
            </w:r>
          </w:p>
        </w:tc>
        <w:tc>
          <w:tcPr>
            <w:tcW w:w="886" w:type="pct"/>
            <w:tcBorders>
              <w:top w:val="nil"/>
              <w:left w:val="nil"/>
              <w:bottom w:val="nil"/>
              <w:right w:val="nil"/>
            </w:tcBorders>
            <w:shd w:val="clear" w:color="auto" w:fill="auto"/>
            <w:noWrap/>
            <w:vAlign w:val="bottom"/>
            <w:hideMark/>
          </w:tcPr>
          <w:p w14:paraId="42C7848A"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(–0.32)</w:t>
            </w:r>
          </w:p>
        </w:tc>
      </w:tr>
      <w:tr w:rsidR="00F634D2" w:rsidRPr="00F634D2" w14:paraId="0AEA99E7" w14:textId="77777777">
        <w:trPr>
          <w:trHeight w:val="20"/>
        </w:trPr>
        <w:tc>
          <w:tcPr>
            <w:tcW w:w="2341" w:type="pct"/>
            <w:tcBorders>
              <w:top w:val="nil"/>
              <w:left w:val="nil"/>
              <w:bottom w:val="nil"/>
              <w:right w:val="nil"/>
            </w:tcBorders>
            <w:shd w:val="clear" w:color="auto" w:fill="auto"/>
            <w:vAlign w:val="center"/>
            <w:hideMark/>
          </w:tcPr>
          <w:p w14:paraId="262BE0A6"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Lev</w:t>
            </w:r>
          </w:p>
        </w:tc>
        <w:tc>
          <w:tcPr>
            <w:tcW w:w="886" w:type="pct"/>
            <w:tcBorders>
              <w:top w:val="nil"/>
              <w:left w:val="nil"/>
              <w:bottom w:val="nil"/>
              <w:right w:val="nil"/>
            </w:tcBorders>
            <w:shd w:val="clear" w:color="auto" w:fill="auto"/>
            <w:noWrap/>
            <w:vAlign w:val="bottom"/>
            <w:hideMark/>
          </w:tcPr>
          <w:p w14:paraId="7C5615A5" w14:textId="77777777" w:rsidR="00D50589" w:rsidRPr="00F634D2" w:rsidRDefault="00D50589">
            <w:pPr>
              <w:spacing w:after="0" w:line="240" w:lineRule="auto"/>
              <w:rPr>
                <w:rFonts w:ascii="Times New Roman" w:eastAsia="Times New Roman" w:hAnsi="Times New Roman" w:cs="Times New Roman"/>
                <w:i/>
                <w:iCs/>
                <w:sz w:val="24"/>
                <w:szCs w:val="24"/>
                <w:lang w:val="en-GB" w:eastAsia="en-GB"/>
              </w:rPr>
            </w:pPr>
          </w:p>
        </w:tc>
        <w:tc>
          <w:tcPr>
            <w:tcW w:w="886" w:type="pct"/>
            <w:tcBorders>
              <w:top w:val="nil"/>
              <w:left w:val="nil"/>
              <w:bottom w:val="nil"/>
              <w:right w:val="nil"/>
            </w:tcBorders>
            <w:shd w:val="clear" w:color="auto" w:fill="auto"/>
            <w:noWrap/>
            <w:vAlign w:val="bottom"/>
            <w:hideMark/>
          </w:tcPr>
          <w:p w14:paraId="0D8956E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0.232*</w:t>
            </w:r>
          </w:p>
        </w:tc>
        <w:tc>
          <w:tcPr>
            <w:tcW w:w="886" w:type="pct"/>
            <w:tcBorders>
              <w:top w:val="nil"/>
              <w:left w:val="nil"/>
              <w:bottom w:val="nil"/>
              <w:right w:val="nil"/>
            </w:tcBorders>
            <w:shd w:val="clear" w:color="auto" w:fill="auto"/>
            <w:noWrap/>
            <w:vAlign w:val="bottom"/>
            <w:hideMark/>
          </w:tcPr>
          <w:p w14:paraId="68D693A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0.258*</w:t>
            </w:r>
          </w:p>
        </w:tc>
      </w:tr>
      <w:tr w:rsidR="00F634D2" w:rsidRPr="00F634D2" w14:paraId="1883F202" w14:textId="77777777">
        <w:trPr>
          <w:trHeight w:val="20"/>
        </w:trPr>
        <w:tc>
          <w:tcPr>
            <w:tcW w:w="2341" w:type="pct"/>
            <w:tcBorders>
              <w:top w:val="nil"/>
              <w:left w:val="nil"/>
              <w:bottom w:val="nil"/>
              <w:right w:val="nil"/>
            </w:tcBorders>
            <w:shd w:val="clear" w:color="auto" w:fill="auto"/>
            <w:noWrap/>
            <w:vAlign w:val="bottom"/>
            <w:hideMark/>
          </w:tcPr>
          <w:p w14:paraId="651EE38B"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6D0C4746"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0B174B5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(1.97)</w:t>
            </w:r>
          </w:p>
        </w:tc>
        <w:tc>
          <w:tcPr>
            <w:tcW w:w="886" w:type="pct"/>
            <w:tcBorders>
              <w:top w:val="nil"/>
              <w:left w:val="nil"/>
              <w:bottom w:val="nil"/>
              <w:right w:val="nil"/>
            </w:tcBorders>
            <w:shd w:val="clear" w:color="auto" w:fill="auto"/>
            <w:noWrap/>
            <w:vAlign w:val="bottom"/>
            <w:hideMark/>
          </w:tcPr>
          <w:p w14:paraId="17B1BBF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(2.02)</w:t>
            </w:r>
          </w:p>
        </w:tc>
      </w:tr>
      <w:tr w:rsidR="00F634D2" w:rsidRPr="00F634D2" w14:paraId="3E8C323B" w14:textId="77777777">
        <w:trPr>
          <w:trHeight w:val="20"/>
        </w:trPr>
        <w:tc>
          <w:tcPr>
            <w:tcW w:w="2341" w:type="pct"/>
            <w:tcBorders>
              <w:top w:val="nil"/>
              <w:left w:val="nil"/>
              <w:bottom w:val="nil"/>
              <w:right w:val="nil"/>
            </w:tcBorders>
            <w:shd w:val="clear" w:color="auto" w:fill="auto"/>
            <w:vAlign w:val="center"/>
            <w:hideMark/>
          </w:tcPr>
          <w:p w14:paraId="18E7E7F5"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Capx</w:t>
            </w:r>
            <w:proofErr w:type="spellEnd"/>
          </w:p>
        </w:tc>
        <w:tc>
          <w:tcPr>
            <w:tcW w:w="886" w:type="pct"/>
            <w:tcBorders>
              <w:top w:val="nil"/>
              <w:left w:val="nil"/>
              <w:bottom w:val="nil"/>
              <w:right w:val="nil"/>
            </w:tcBorders>
            <w:shd w:val="clear" w:color="auto" w:fill="auto"/>
            <w:noWrap/>
            <w:vAlign w:val="bottom"/>
            <w:hideMark/>
          </w:tcPr>
          <w:p w14:paraId="13BA6272" w14:textId="77777777" w:rsidR="00D50589" w:rsidRPr="00F634D2" w:rsidRDefault="00D50589">
            <w:pPr>
              <w:spacing w:after="0" w:line="240" w:lineRule="auto"/>
              <w:rPr>
                <w:rFonts w:ascii="Times New Roman" w:eastAsia="Times New Roman" w:hAnsi="Times New Roman" w:cs="Times New Roman"/>
                <w:i/>
                <w:iCs/>
                <w:sz w:val="24"/>
                <w:szCs w:val="24"/>
                <w:lang w:val="en-GB" w:eastAsia="en-GB"/>
              </w:rPr>
            </w:pPr>
          </w:p>
        </w:tc>
        <w:tc>
          <w:tcPr>
            <w:tcW w:w="886" w:type="pct"/>
            <w:tcBorders>
              <w:top w:val="nil"/>
              <w:left w:val="nil"/>
              <w:bottom w:val="nil"/>
              <w:right w:val="nil"/>
            </w:tcBorders>
            <w:shd w:val="clear" w:color="auto" w:fill="auto"/>
            <w:noWrap/>
            <w:vAlign w:val="bottom"/>
            <w:hideMark/>
          </w:tcPr>
          <w:p w14:paraId="705F6AF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–0.063</w:t>
            </w:r>
          </w:p>
        </w:tc>
        <w:tc>
          <w:tcPr>
            <w:tcW w:w="886" w:type="pct"/>
            <w:tcBorders>
              <w:top w:val="nil"/>
              <w:left w:val="nil"/>
              <w:bottom w:val="nil"/>
              <w:right w:val="nil"/>
            </w:tcBorders>
            <w:shd w:val="clear" w:color="auto" w:fill="auto"/>
            <w:noWrap/>
            <w:vAlign w:val="bottom"/>
            <w:hideMark/>
          </w:tcPr>
          <w:p w14:paraId="1798088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–0.101</w:t>
            </w:r>
          </w:p>
        </w:tc>
      </w:tr>
      <w:tr w:rsidR="00F634D2" w:rsidRPr="00F634D2" w14:paraId="32B11F9E" w14:textId="77777777">
        <w:trPr>
          <w:trHeight w:val="20"/>
        </w:trPr>
        <w:tc>
          <w:tcPr>
            <w:tcW w:w="2341" w:type="pct"/>
            <w:tcBorders>
              <w:top w:val="nil"/>
              <w:left w:val="nil"/>
              <w:bottom w:val="nil"/>
              <w:right w:val="nil"/>
            </w:tcBorders>
            <w:shd w:val="clear" w:color="auto" w:fill="auto"/>
            <w:noWrap/>
            <w:vAlign w:val="bottom"/>
            <w:hideMark/>
          </w:tcPr>
          <w:p w14:paraId="236FDFB2"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15E57679"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1EFECC6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(–0.18)</w:t>
            </w:r>
          </w:p>
        </w:tc>
        <w:tc>
          <w:tcPr>
            <w:tcW w:w="886" w:type="pct"/>
            <w:tcBorders>
              <w:top w:val="nil"/>
              <w:left w:val="nil"/>
              <w:bottom w:val="nil"/>
              <w:right w:val="nil"/>
            </w:tcBorders>
            <w:shd w:val="clear" w:color="auto" w:fill="auto"/>
            <w:noWrap/>
            <w:vAlign w:val="bottom"/>
            <w:hideMark/>
          </w:tcPr>
          <w:p w14:paraId="2FF3AFE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(–0.43)</w:t>
            </w:r>
          </w:p>
        </w:tc>
      </w:tr>
      <w:tr w:rsidR="00F634D2" w:rsidRPr="00F634D2" w14:paraId="2018160F" w14:textId="77777777">
        <w:trPr>
          <w:trHeight w:val="20"/>
        </w:trPr>
        <w:tc>
          <w:tcPr>
            <w:tcW w:w="2341" w:type="pct"/>
            <w:tcBorders>
              <w:top w:val="nil"/>
              <w:left w:val="nil"/>
              <w:bottom w:val="nil"/>
              <w:right w:val="nil"/>
            </w:tcBorders>
            <w:shd w:val="clear" w:color="auto" w:fill="auto"/>
            <w:vAlign w:val="center"/>
            <w:hideMark/>
          </w:tcPr>
          <w:p w14:paraId="5016C84A"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 xml:space="preserve">R&amp;D </w:t>
            </w:r>
          </w:p>
        </w:tc>
        <w:tc>
          <w:tcPr>
            <w:tcW w:w="886" w:type="pct"/>
            <w:tcBorders>
              <w:top w:val="nil"/>
              <w:left w:val="nil"/>
              <w:bottom w:val="nil"/>
              <w:right w:val="nil"/>
            </w:tcBorders>
            <w:shd w:val="clear" w:color="auto" w:fill="auto"/>
            <w:noWrap/>
            <w:vAlign w:val="bottom"/>
            <w:hideMark/>
          </w:tcPr>
          <w:p w14:paraId="150E9B33" w14:textId="77777777" w:rsidR="00D50589" w:rsidRPr="00F634D2" w:rsidRDefault="00D50589">
            <w:pPr>
              <w:spacing w:after="0" w:line="240" w:lineRule="auto"/>
              <w:rPr>
                <w:rFonts w:ascii="Times New Roman" w:eastAsia="Times New Roman" w:hAnsi="Times New Roman" w:cs="Times New Roman"/>
                <w:i/>
                <w:iCs/>
                <w:sz w:val="24"/>
                <w:szCs w:val="24"/>
                <w:lang w:val="en-GB" w:eastAsia="en-GB"/>
              </w:rPr>
            </w:pPr>
          </w:p>
        </w:tc>
        <w:tc>
          <w:tcPr>
            <w:tcW w:w="886" w:type="pct"/>
            <w:tcBorders>
              <w:top w:val="nil"/>
              <w:left w:val="nil"/>
              <w:bottom w:val="nil"/>
              <w:right w:val="nil"/>
            </w:tcBorders>
            <w:shd w:val="clear" w:color="auto" w:fill="auto"/>
            <w:noWrap/>
            <w:vAlign w:val="bottom"/>
            <w:hideMark/>
          </w:tcPr>
          <w:p w14:paraId="6C649E9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1.235***</w:t>
            </w:r>
          </w:p>
        </w:tc>
        <w:tc>
          <w:tcPr>
            <w:tcW w:w="886" w:type="pct"/>
            <w:tcBorders>
              <w:top w:val="nil"/>
              <w:left w:val="nil"/>
              <w:bottom w:val="nil"/>
              <w:right w:val="nil"/>
            </w:tcBorders>
            <w:shd w:val="clear" w:color="auto" w:fill="auto"/>
            <w:noWrap/>
            <w:vAlign w:val="bottom"/>
            <w:hideMark/>
          </w:tcPr>
          <w:p w14:paraId="6B25B184"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1.103***</w:t>
            </w:r>
          </w:p>
        </w:tc>
      </w:tr>
      <w:tr w:rsidR="00F634D2" w:rsidRPr="00F634D2" w14:paraId="37CCE548" w14:textId="77777777">
        <w:trPr>
          <w:trHeight w:val="20"/>
        </w:trPr>
        <w:tc>
          <w:tcPr>
            <w:tcW w:w="2341" w:type="pct"/>
            <w:tcBorders>
              <w:top w:val="nil"/>
              <w:left w:val="nil"/>
              <w:bottom w:val="nil"/>
              <w:right w:val="nil"/>
            </w:tcBorders>
            <w:shd w:val="clear" w:color="auto" w:fill="auto"/>
            <w:noWrap/>
            <w:vAlign w:val="bottom"/>
            <w:hideMark/>
          </w:tcPr>
          <w:p w14:paraId="5712EFBA"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0C8387D8"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2CFF11B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(2.98)</w:t>
            </w:r>
          </w:p>
        </w:tc>
        <w:tc>
          <w:tcPr>
            <w:tcW w:w="886" w:type="pct"/>
            <w:tcBorders>
              <w:top w:val="nil"/>
              <w:left w:val="nil"/>
              <w:bottom w:val="nil"/>
              <w:right w:val="nil"/>
            </w:tcBorders>
            <w:shd w:val="clear" w:color="auto" w:fill="auto"/>
            <w:noWrap/>
            <w:vAlign w:val="bottom"/>
            <w:hideMark/>
          </w:tcPr>
          <w:p w14:paraId="505714F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(3.00)</w:t>
            </w:r>
          </w:p>
        </w:tc>
      </w:tr>
      <w:tr w:rsidR="00F634D2" w:rsidRPr="00F634D2" w14:paraId="049CE8CC" w14:textId="77777777">
        <w:trPr>
          <w:trHeight w:val="20"/>
        </w:trPr>
        <w:tc>
          <w:tcPr>
            <w:tcW w:w="2341" w:type="pct"/>
            <w:tcBorders>
              <w:top w:val="nil"/>
              <w:left w:val="nil"/>
              <w:bottom w:val="nil"/>
              <w:right w:val="nil"/>
            </w:tcBorders>
            <w:shd w:val="clear" w:color="auto" w:fill="auto"/>
            <w:noWrap/>
            <w:vAlign w:val="bottom"/>
            <w:hideMark/>
          </w:tcPr>
          <w:p w14:paraId="4A84DDE9"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Zscore</w:t>
            </w:r>
            <w:proofErr w:type="spellEnd"/>
          </w:p>
        </w:tc>
        <w:tc>
          <w:tcPr>
            <w:tcW w:w="886" w:type="pct"/>
            <w:tcBorders>
              <w:top w:val="nil"/>
              <w:left w:val="nil"/>
              <w:bottom w:val="nil"/>
              <w:right w:val="nil"/>
            </w:tcBorders>
            <w:shd w:val="clear" w:color="auto" w:fill="auto"/>
            <w:noWrap/>
            <w:vAlign w:val="bottom"/>
            <w:hideMark/>
          </w:tcPr>
          <w:p w14:paraId="66421CEB" w14:textId="77777777" w:rsidR="00D50589" w:rsidRPr="00F634D2" w:rsidRDefault="00D50589">
            <w:pPr>
              <w:spacing w:after="0" w:line="240" w:lineRule="auto"/>
              <w:rPr>
                <w:rFonts w:ascii="Times New Roman" w:eastAsia="Times New Roman" w:hAnsi="Times New Roman" w:cs="Times New Roman"/>
                <w:i/>
                <w:iCs/>
                <w:sz w:val="24"/>
                <w:szCs w:val="24"/>
                <w:lang w:val="en-GB" w:eastAsia="en-GB"/>
              </w:rPr>
            </w:pPr>
          </w:p>
        </w:tc>
        <w:tc>
          <w:tcPr>
            <w:tcW w:w="886" w:type="pct"/>
            <w:tcBorders>
              <w:top w:val="nil"/>
              <w:left w:val="nil"/>
              <w:bottom w:val="nil"/>
              <w:right w:val="nil"/>
            </w:tcBorders>
            <w:shd w:val="clear" w:color="auto" w:fill="auto"/>
            <w:noWrap/>
            <w:vAlign w:val="bottom"/>
            <w:hideMark/>
          </w:tcPr>
          <w:p w14:paraId="115C451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0.611**</w:t>
            </w:r>
          </w:p>
        </w:tc>
        <w:tc>
          <w:tcPr>
            <w:tcW w:w="886" w:type="pct"/>
            <w:tcBorders>
              <w:top w:val="nil"/>
              <w:left w:val="nil"/>
              <w:bottom w:val="nil"/>
              <w:right w:val="nil"/>
            </w:tcBorders>
            <w:shd w:val="clear" w:color="auto" w:fill="auto"/>
            <w:noWrap/>
            <w:vAlign w:val="bottom"/>
            <w:hideMark/>
          </w:tcPr>
          <w:p w14:paraId="1BD2E4B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0.783**</w:t>
            </w:r>
          </w:p>
        </w:tc>
      </w:tr>
      <w:tr w:rsidR="00F634D2" w:rsidRPr="00F634D2" w14:paraId="47D5A9A2" w14:textId="77777777">
        <w:trPr>
          <w:trHeight w:val="20"/>
        </w:trPr>
        <w:tc>
          <w:tcPr>
            <w:tcW w:w="2341" w:type="pct"/>
            <w:tcBorders>
              <w:top w:val="nil"/>
              <w:left w:val="nil"/>
              <w:bottom w:val="nil"/>
              <w:right w:val="nil"/>
            </w:tcBorders>
            <w:shd w:val="clear" w:color="auto" w:fill="auto"/>
            <w:noWrap/>
            <w:vAlign w:val="bottom"/>
            <w:hideMark/>
          </w:tcPr>
          <w:p w14:paraId="129B82F3"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72FB5787"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2F59B92D"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(2.31)</w:t>
            </w:r>
          </w:p>
        </w:tc>
        <w:tc>
          <w:tcPr>
            <w:tcW w:w="886" w:type="pct"/>
            <w:tcBorders>
              <w:top w:val="nil"/>
              <w:left w:val="nil"/>
              <w:bottom w:val="nil"/>
              <w:right w:val="nil"/>
            </w:tcBorders>
            <w:shd w:val="clear" w:color="auto" w:fill="auto"/>
            <w:noWrap/>
            <w:vAlign w:val="bottom"/>
            <w:hideMark/>
          </w:tcPr>
          <w:p w14:paraId="2021B2D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(2.52)</w:t>
            </w:r>
          </w:p>
        </w:tc>
      </w:tr>
      <w:tr w:rsidR="00F634D2" w:rsidRPr="00F634D2" w14:paraId="633EDB90" w14:textId="77777777">
        <w:trPr>
          <w:trHeight w:val="20"/>
        </w:trPr>
        <w:tc>
          <w:tcPr>
            <w:tcW w:w="2341" w:type="pct"/>
            <w:tcBorders>
              <w:top w:val="nil"/>
              <w:left w:val="nil"/>
              <w:bottom w:val="nil"/>
              <w:right w:val="nil"/>
            </w:tcBorders>
            <w:shd w:val="clear" w:color="auto" w:fill="auto"/>
            <w:vAlign w:val="center"/>
            <w:hideMark/>
          </w:tcPr>
          <w:p w14:paraId="6AD97E0C"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Seg</w:t>
            </w:r>
          </w:p>
        </w:tc>
        <w:tc>
          <w:tcPr>
            <w:tcW w:w="886" w:type="pct"/>
            <w:tcBorders>
              <w:top w:val="nil"/>
              <w:left w:val="nil"/>
              <w:bottom w:val="nil"/>
              <w:right w:val="nil"/>
            </w:tcBorders>
            <w:shd w:val="clear" w:color="auto" w:fill="auto"/>
            <w:noWrap/>
            <w:vAlign w:val="bottom"/>
            <w:hideMark/>
          </w:tcPr>
          <w:p w14:paraId="34C5762A" w14:textId="77777777" w:rsidR="00D50589" w:rsidRPr="00F634D2" w:rsidRDefault="00D50589">
            <w:pPr>
              <w:spacing w:after="0" w:line="240" w:lineRule="auto"/>
              <w:rPr>
                <w:rFonts w:ascii="Times New Roman" w:eastAsia="Times New Roman" w:hAnsi="Times New Roman" w:cs="Times New Roman"/>
                <w:i/>
                <w:iCs/>
                <w:sz w:val="24"/>
                <w:szCs w:val="24"/>
                <w:lang w:val="en-GB" w:eastAsia="en-GB"/>
              </w:rPr>
            </w:pPr>
          </w:p>
        </w:tc>
        <w:tc>
          <w:tcPr>
            <w:tcW w:w="886" w:type="pct"/>
            <w:tcBorders>
              <w:top w:val="nil"/>
              <w:left w:val="nil"/>
              <w:bottom w:val="nil"/>
              <w:right w:val="nil"/>
            </w:tcBorders>
            <w:shd w:val="clear" w:color="auto" w:fill="auto"/>
            <w:noWrap/>
            <w:vAlign w:val="bottom"/>
            <w:hideMark/>
          </w:tcPr>
          <w:p w14:paraId="1653010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0.040</w:t>
            </w:r>
          </w:p>
        </w:tc>
        <w:tc>
          <w:tcPr>
            <w:tcW w:w="886" w:type="pct"/>
            <w:tcBorders>
              <w:top w:val="nil"/>
              <w:left w:val="nil"/>
              <w:bottom w:val="nil"/>
              <w:right w:val="nil"/>
            </w:tcBorders>
            <w:shd w:val="clear" w:color="auto" w:fill="auto"/>
            <w:noWrap/>
            <w:vAlign w:val="bottom"/>
            <w:hideMark/>
          </w:tcPr>
          <w:p w14:paraId="095A2B6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0.054</w:t>
            </w:r>
          </w:p>
        </w:tc>
      </w:tr>
      <w:tr w:rsidR="00F634D2" w:rsidRPr="00F634D2" w14:paraId="12C3A581" w14:textId="77777777">
        <w:trPr>
          <w:trHeight w:val="20"/>
        </w:trPr>
        <w:tc>
          <w:tcPr>
            <w:tcW w:w="2341" w:type="pct"/>
            <w:tcBorders>
              <w:top w:val="nil"/>
              <w:left w:val="nil"/>
              <w:bottom w:val="nil"/>
              <w:right w:val="nil"/>
            </w:tcBorders>
            <w:shd w:val="clear" w:color="auto" w:fill="auto"/>
            <w:noWrap/>
            <w:vAlign w:val="bottom"/>
            <w:hideMark/>
          </w:tcPr>
          <w:p w14:paraId="7D7A0D68"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4E6156C7"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074ADDD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(1.03)</w:t>
            </w:r>
          </w:p>
        </w:tc>
        <w:tc>
          <w:tcPr>
            <w:tcW w:w="886" w:type="pct"/>
            <w:tcBorders>
              <w:top w:val="nil"/>
              <w:left w:val="nil"/>
              <w:bottom w:val="nil"/>
              <w:right w:val="nil"/>
            </w:tcBorders>
            <w:shd w:val="clear" w:color="auto" w:fill="auto"/>
            <w:noWrap/>
            <w:vAlign w:val="bottom"/>
            <w:hideMark/>
          </w:tcPr>
          <w:p w14:paraId="5E2D813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(1.38)</w:t>
            </w:r>
          </w:p>
        </w:tc>
      </w:tr>
      <w:tr w:rsidR="00F634D2" w:rsidRPr="00F634D2" w14:paraId="6C946291" w14:textId="77777777">
        <w:trPr>
          <w:trHeight w:val="20"/>
        </w:trPr>
        <w:tc>
          <w:tcPr>
            <w:tcW w:w="2341" w:type="pct"/>
            <w:tcBorders>
              <w:top w:val="nil"/>
              <w:left w:val="nil"/>
              <w:bottom w:val="nil"/>
              <w:right w:val="nil"/>
            </w:tcBorders>
            <w:shd w:val="clear" w:color="auto" w:fill="auto"/>
            <w:vAlign w:val="center"/>
            <w:hideMark/>
          </w:tcPr>
          <w:p w14:paraId="76B0FD02"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Delta</w:t>
            </w:r>
          </w:p>
        </w:tc>
        <w:tc>
          <w:tcPr>
            <w:tcW w:w="886" w:type="pct"/>
            <w:tcBorders>
              <w:top w:val="nil"/>
              <w:left w:val="nil"/>
              <w:bottom w:val="nil"/>
              <w:right w:val="nil"/>
            </w:tcBorders>
            <w:shd w:val="clear" w:color="auto" w:fill="auto"/>
            <w:noWrap/>
            <w:vAlign w:val="bottom"/>
            <w:hideMark/>
          </w:tcPr>
          <w:p w14:paraId="7EE729F0" w14:textId="77777777" w:rsidR="00D50589" w:rsidRPr="00F634D2" w:rsidRDefault="00D50589">
            <w:pPr>
              <w:spacing w:after="0" w:line="240" w:lineRule="auto"/>
              <w:rPr>
                <w:rFonts w:ascii="Times New Roman" w:eastAsia="Times New Roman" w:hAnsi="Times New Roman" w:cs="Times New Roman"/>
                <w:i/>
                <w:iCs/>
                <w:sz w:val="24"/>
                <w:szCs w:val="24"/>
                <w:lang w:val="en-GB" w:eastAsia="en-GB"/>
              </w:rPr>
            </w:pPr>
          </w:p>
        </w:tc>
        <w:tc>
          <w:tcPr>
            <w:tcW w:w="886" w:type="pct"/>
            <w:tcBorders>
              <w:top w:val="nil"/>
              <w:left w:val="nil"/>
              <w:bottom w:val="nil"/>
              <w:right w:val="nil"/>
            </w:tcBorders>
            <w:shd w:val="clear" w:color="auto" w:fill="auto"/>
            <w:noWrap/>
            <w:vAlign w:val="bottom"/>
            <w:hideMark/>
          </w:tcPr>
          <w:p w14:paraId="0540D1E7"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22C14C2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0.451***</w:t>
            </w:r>
          </w:p>
        </w:tc>
      </w:tr>
      <w:tr w:rsidR="00F634D2" w:rsidRPr="00F634D2" w14:paraId="74139CCE" w14:textId="77777777">
        <w:trPr>
          <w:trHeight w:val="284"/>
        </w:trPr>
        <w:tc>
          <w:tcPr>
            <w:tcW w:w="2341" w:type="pct"/>
            <w:tcBorders>
              <w:top w:val="nil"/>
              <w:left w:val="nil"/>
              <w:bottom w:val="nil"/>
              <w:right w:val="nil"/>
            </w:tcBorders>
            <w:shd w:val="clear" w:color="auto" w:fill="auto"/>
            <w:noWrap/>
            <w:vAlign w:val="bottom"/>
            <w:hideMark/>
          </w:tcPr>
          <w:p w14:paraId="1396370F"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04CB00F6"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7AF08DEB"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7981652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(12.15)</w:t>
            </w:r>
          </w:p>
        </w:tc>
      </w:tr>
      <w:tr w:rsidR="00F634D2" w:rsidRPr="00F634D2" w14:paraId="13548959" w14:textId="77777777">
        <w:trPr>
          <w:trHeight w:val="284"/>
        </w:trPr>
        <w:tc>
          <w:tcPr>
            <w:tcW w:w="2341" w:type="pct"/>
            <w:tcBorders>
              <w:top w:val="nil"/>
              <w:left w:val="nil"/>
              <w:bottom w:val="nil"/>
              <w:right w:val="nil"/>
            </w:tcBorders>
            <w:shd w:val="clear" w:color="auto" w:fill="auto"/>
            <w:noWrap/>
            <w:vAlign w:val="bottom"/>
            <w:hideMark/>
          </w:tcPr>
          <w:p w14:paraId="2F7377DC"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7BC9F17C"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0D421597"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86" w:type="pct"/>
            <w:tcBorders>
              <w:top w:val="nil"/>
              <w:left w:val="nil"/>
              <w:bottom w:val="nil"/>
              <w:right w:val="nil"/>
            </w:tcBorders>
            <w:shd w:val="clear" w:color="auto" w:fill="auto"/>
            <w:noWrap/>
            <w:vAlign w:val="bottom"/>
            <w:hideMark/>
          </w:tcPr>
          <w:p w14:paraId="3B42F8EE"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21BF151D" w14:textId="77777777">
        <w:trPr>
          <w:trHeight w:val="284"/>
        </w:trPr>
        <w:tc>
          <w:tcPr>
            <w:tcW w:w="2341" w:type="pct"/>
            <w:tcBorders>
              <w:top w:val="nil"/>
              <w:left w:val="nil"/>
              <w:bottom w:val="nil"/>
              <w:right w:val="nil"/>
            </w:tcBorders>
            <w:shd w:val="clear" w:color="auto" w:fill="auto"/>
            <w:noWrap/>
            <w:vAlign w:val="center"/>
            <w:hideMark/>
          </w:tcPr>
          <w:p w14:paraId="2D25C85E"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Firm fixed effects</w:t>
            </w:r>
          </w:p>
        </w:tc>
        <w:tc>
          <w:tcPr>
            <w:tcW w:w="886" w:type="pct"/>
            <w:tcBorders>
              <w:top w:val="nil"/>
              <w:left w:val="nil"/>
              <w:bottom w:val="nil"/>
              <w:right w:val="nil"/>
            </w:tcBorders>
            <w:shd w:val="clear" w:color="auto" w:fill="auto"/>
            <w:noWrap/>
            <w:vAlign w:val="center"/>
            <w:hideMark/>
          </w:tcPr>
          <w:p w14:paraId="1D8477F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886" w:type="pct"/>
            <w:tcBorders>
              <w:top w:val="nil"/>
              <w:left w:val="nil"/>
              <w:bottom w:val="nil"/>
              <w:right w:val="nil"/>
            </w:tcBorders>
            <w:shd w:val="clear" w:color="auto" w:fill="auto"/>
            <w:noWrap/>
            <w:vAlign w:val="center"/>
            <w:hideMark/>
          </w:tcPr>
          <w:p w14:paraId="7DFC2DCD"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886" w:type="pct"/>
            <w:tcBorders>
              <w:top w:val="nil"/>
              <w:left w:val="nil"/>
              <w:bottom w:val="nil"/>
              <w:right w:val="nil"/>
            </w:tcBorders>
            <w:shd w:val="clear" w:color="auto" w:fill="auto"/>
            <w:noWrap/>
            <w:vAlign w:val="center"/>
            <w:hideMark/>
          </w:tcPr>
          <w:p w14:paraId="4E760C34"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r>
      <w:tr w:rsidR="00F634D2" w:rsidRPr="00F634D2" w14:paraId="467A0CAD" w14:textId="77777777">
        <w:trPr>
          <w:trHeight w:val="20"/>
        </w:trPr>
        <w:tc>
          <w:tcPr>
            <w:tcW w:w="2341" w:type="pct"/>
            <w:tcBorders>
              <w:top w:val="nil"/>
              <w:left w:val="nil"/>
              <w:bottom w:val="nil"/>
              <w:right w:val="nil"/>
            </w:tcBorders>
            <w:shd w:val="clear" w:color="auto" w:fill="auto"/>
            <w:noWrap/>
            <w:vAlign w:val="center"/>
            <w:hideMark/>
          </w:tcPr>
          <w:p w14:paraId="3A99B46E"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Industry× Year fixed effects</w:t>
            </w:r>
          </w:p>
        </w:tc>
        <w:tc>
          <w:tcPr>
            <w:tcW w:w="886" w:type="pct"/>
            <w:tcBorders>
              <w:top w:val="nil"/>
              <w:left w:val="nil"/>
              <w:bottom w:val="nil"/>
              <w:right w:val="nil"/>
            </w:tcBorders>
            <w:shd w:val="clear" w:color="auto" w:fill="auto"/>
            <w:noWrap/>
            <w:vAlign w:val="center"/>
            <w:hideMark/>
          </w:tcPr>
          <w:p w14:paraId="35ABB0F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886" w:type="pct"/>
            <w:tcBorders>
              <w:top w:val="nil"/>
              <w:left w:val="nil"/>
              <w:bottom w:val="nil"/>
              <w:right w:val="nil"/>
            </w:tcBorders>
            <w:shd w:val="clear" w:color="auto" w:fill="auto"/>
            <w:noWrap/>
            <w:vAlign w:val="center"/>
            <w:hideMark/>
          </w:tcPr>
          <w:p w14:paraId="16B08E68"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886" w:type="pct"/>
            <w:tcBorders>
              <w:top w:val="nil"/>
              <w:left w:val="nil"/>
              <w:bottom w:val="nil"/>
              <w:right w:val="nil"/>
            </w:tcBorders>
            <w:shd w:val="clear" w:color="auto" w:fill="auto"/>
            <w:noWrap/>
            <w:vAlign w:val="center"/>
            <w:hideMark/>
          </w:tcPr>
          <w:p w14:paraId="0E53F8B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r>
      <w:tr w:rsidR="00F634D2" w:rsidRPr="00F634D2" w14:paraId="4442AA35" w14:textId="77777777">
        <w:trPr>
          <w:trHeight w:val="20"/>
        </w:trPr>
        <w:tc>
          <w:tcPr>
            <w:tcW w:w="2341" w:type="pct"/>
            <w:tcBorders>
              <w:top w:val="nil"/>
              <w:left w:val="nil"/>
              <w:bottom w:val="nil"/>
              <w:right w:val="nil"/>
            </w:tcBorders>
            <w:shd w:val="clear" w:color="auto" w:fill="auto"/>
            <w:noWrap/>
            <w:vAlign w:val="center"/>
            <w:hideMark/>
          </w:tcPr>
          <w:p w14:paraId="53453485"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R</w:t>
            </w:r>
            <w:r w:rsidRPr="00F634D2">
              <w:rPr>
                <w:rFonts w:ascii="Times New Roman" w:eastAsia="Times New Roman" w:hAnsi="Times New Roman" w:cs="Times New Roman"/>
                <w:sz w:val="24"/>
                <w:szCs w:val="24"/>
                <w:vertAlign w:val="superscript"/>
                <w:lang w:val="en-GB" w:eastAsia="en-GB"/>
              </w:rPr>
              <w:t>2</w:t>
            </w:r>
          </w:p>
        </w:tc>
        <w:tc>
          <w:tcPr>
            <w:tcW w:w="886" w:type="pct"/>
            <w:tcBorders>
              <w:top w:val="nil"/>
              <w:left w:val="nil"/>
              <w:bottom w:val="nil"/>
              <w:right w:val="nil"/>
            </w:tcBorders>
            <w:shd w:val="clear" w:color="auto" w:fill="auto"/>
            <w:noWrap/>
            <w:vAlign w:val="center"/>
            <w:hideMark/>
          </w:tcPr>
          <w:p w14:paraId="20FCACD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0.28</w:t>
            </w:r>
          </w:p>
        </w:tc>
        <w:tc>
          <w:tcPr>
            <w:tcW w:w="886" w:type="pct"/>
            <w:tcBorders>
              <w:top w:val="nil"/>
              <w:left w:val="nil"/>
              <w:bottom w:val="nil"/>
              <w:right w:val="nil"/>
            </w:tcBorders>
            <w:shd w:val="clear" w:color="auto" w:fill="auto"/>
            <w:noWrap/>
            <w:vAlign w:val="center"/>
            <w:hideMark/>
          </w:tcPr>
          <w:p w14:paraId="187F2B0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0.28</w:t>
            </w:r>
          </w:p>
        </w:tc>
        <w:tc>
          <w:tcPr>
            <w:tcW w:w="886" w:type="pct"/>
            <w:tcBorders>
              <w:top w:val="nil"/>
              <w:left w:val="nil"/>
              <w:bottom w:val="nil"/>
              <w:right w:val="nil"/>
            </w:tcBorders>
            <w:shd w:val="clear" w:color="auto" w:fill="auto"/>
            <w:noWrap/>
            <w:vAlign w:val="center"/>
            <w:hideMark/>
          </w:tcPr>
          <w:p w14:paraId="61A2F94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0.40</w:t>
            </w:r>
          </w:p>
        </w:tc>
      </w:tr>
      <w:tr w:rsidR="00F634D2" w:rsidRPr="00F634D2" w14:paraId="6B60DDC2" w14:textId="77777777">
        <w:trPr>
          <w:trHeight w:val="20"/>
        </w:trPr>
        <w:tc>
          <w:tcPr>
            <w:tcW w:w="2341" w:type="pct"/>
            <w:tcBorders>
              <w:top w:val="nil"/>
              <w:left w:val="nil"/>
              <w:bottom w:val="single" w:sz="4" w:space="0" w:color="auto"/>
              <w:right w:val="nil"/>
            </w:tcBorders>
            <w:shd w:val="clear" w:color="auto" w:fill="auto"/>
            <w:noWrap/>
            <w:vAlign w:val="center"/>
            <w:hideMark/>
          </w:tcPr>
          <w:p w14:paraId="4C8885AD"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N</w:t>
            </w:r>
          </w:p>
        </w:tc>
        <w:tc>
          <w:tcPr>
            <w:tcW w:w="886" w:type="pct"/>
            <w:tcBorders>
              <w:top w:val="nil"/>
              <w:left w:val="nil"/>
              <w:bottom w:val="single" w:sz="4" w:space="0" w:color="auto"/>
              <w:right w:val="nil"/>
            </w:tcBorders>
            <w:shd w:val="clear" w:color="auto" w:fill="auto"/>
            <w:noWrap/>
            <w:vAlign w:val="center"/>
            <w:hideMark/>
          </w:tcPr>
          <w:p w14:paraId="2C7D103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17,257</w:t>
            </w:r>
          </w:p>
        </w:tc>
        <w:tc>
          <w:tcPr>
            <w:tcW w:w="886" w:type="pct"/>
            <w:tcBorders>
              <w:top w:val="nil"/>
              <w:left w:val="nil"/>
              <w:bottom w:val="single" w:sz="4" w:space="0" w:color="auto"/>
              <w:right w:val="nil"/>
            </w:tcBorders>
            <w:shd w:val="clear" w:color="auto" w:fill="auto"/>
            <w:noWrap/>
            <w:vAlign w:val="center"/>
            <w:hideMark/>
          </w:tcPr>
          <w:p w14:paraId="54E3198A"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17,257</w:t>
            </w:r>
          </w:p>
        </w:tc>
        <w:tc>
          <w:tcPr>
            <w:tcW w:w="886" w:type="pct"/>
            <w:tcBorders>
              <w:top w:val="nil"/>
              <w:left w:val="nil"/>
              <w:bottom w:val="single" w:sz="4" w:space="0" w:color="auto"/>
              <w:right w:val="nil"/>
            </w:tcBorders>
            <w:shd w:val="clear" w:color="auto" w:fill="auto"/>
            <w:noWrap/>
            <w:vAlign w:val="center"/>
            <w:hideMark/>
          </w:tcPr>
          <w:p w14:paraId="2757B8F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17,257</w:t>
            </w:r>
          </w:p>
        </w:tc>
      </w:tr>
      <w:tr w:rsidR="00D50589" w:rsidRPr="00F634D2" w14:paraId="6C3E005F" w14:textId="77777777">
        <w:trPr>
          <w:trHeight w:val="20"/>
        </w:trPr>
        <w:tc>
          <w:tcPr>
            <w:tcW w:w="5000" w:type="pct"/>
            <w:gridSpan w:val="4"/>
            <w:tcBorders>
              <w:top w:val="single" w:sz="4" w:space="0" w:color="auto"/>
              <w:left w:val="nil"/>
              <w:bottom w:val="nil"/>
              <w:right w:val="nil"/>
            </w:tcBorders>
            <w:shd w:val="clear" w:color="auto" w:fill="auto"/>
            <w:vAlign w:val="bottom"/>
            <w:hideMark/>
          </w:tcPr>
          <w:p w14:paraId="7E28547B" w14:textId="77777777" w:rsidR="00D50589" w:rsidRPr="00F634D2" w:rsidRDefault="00686261">
            <w:pPr>
              <w:spacing w:after="0" w:line="240" w:lineRule="auto"/>
              <w:jc w:val="both"/>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 xml:space="preserve">This table reports the results from OLS regressions of CEO Vega on the indicator for the IDD adoption. The dependent variable is </w:t>
            </w:r>
            <w:r w:rsidRPr="00F634D2">
              <w:rPr>
                <w:rFonts w:ascii="Times New Roman" w:eastAsia="Times New Roman" w:hAnsi="Times New Roman" w:cs="Times New Roman"/>
                <w:i/>
                <w:sz w:val="24"/>
                <w:szCs w:val="24"/>
                <w:lang w:val="en-GB" w:eastAsia="en-GB"/>
              </w:rPr>
              <w:t xml:space="preserve">Vega. </w:t>
            </w:r>
            <w:r w:rsidRPr="00F634D2">
              <w:rPr>
                <w:rFonts w:ascii="Times New Roman" w:eastAsia="Times New Roman" w:hAnsi="Times New Roman" w:cs="Times New Roman"/>
                <w:sz w:val="24"/>
                <w:szCs w:val="24"/>
                <w:lang w:val="en-GB" w:eastAsia="en-GB"/>
              </w:rPr>
              <w:t xml:space="preserve">The variables are defined in Appendix A. Standard errors are corrected for heteroskedasticity and clustering at the state level. *, **, and *** denote significance at the 10%, 5%, and 1% levels, respectively. </w:t>
            </w:r>
          </w:p>
        </w:tc>
      </w:tr>
    </w:tbl>
    <w:p w14:paraId="21A128EF" w14:textId="77777777" w:rsidR="00D50589" w:rsidRPr="00F634D2" w:rsidRDefault="00D50589">
      <w:pPr>
        <w:rPr>
          <w:rFonts w:ascii="Times New Roman" w:eastAsia="DengXian" w:hAnsi="Times New Roman" w:cs="Times New Roman"/>
          <w:sz w:val="24"/>
          <w:szCs w:val="24"/>
        </w:rPr>
      </w:pPr>
    </w:p>
    <w:p w14:paraId="3EAC2C5F" w14:textId="77777777" w:rsidR="00D50589" w:rsidRPr="00F634D2" w:rsidRDefault="00686261">
      <w:pPr>
        <w:rPr>
          <w:rFonts w:ascii="Times New Roman" w:eastAsia="DengXian" w:hAnsi="Times New Roman" w:cs="Times New Roman"/>
          <w:sz w:val="24"/>
          <w:szCs w:val="24"/>
        </w:rPr>
      </w:pPr>
      <w:r w:rsidRPr="00F634D2">
        <w:rPr>
          <w:rFonts w:ascii="Times New Roman" w:eastAsia="DengXian" w:hAnsi="Times New Roman" w:cs="Times New Roman"/>
          <w:sz w:val="24"/>
          <w:szCs w:val="24"/>
        </w:rPr>
        <w:br w:type="page"/>
      </w:r>
    </w:p>
    <w:tbl>
      <w:tblPr>
        <w:tblW w:w="5000" w:type="pct"/>
        <w:tblLook w:val="04A0" w:firstRow="1" w:lastRow="0" w:firstColumn="1" w:lastColumn="0" w:noHBand="0" w:noVBand="1"/>
      </w:tblPr>
      <w:tblGrid>
        <w:gridCol w:w="5654"/>
        <w:gridCol w:w="1563"/>
        <w:gridCol w:w="1565"/>
      </w:tblGrid>
      <w:tr w:rsidR="00F634D2" w:rsidRPr="00F634D2" w14:paraId="1C2B178A" w14:textId="77777777">
        <w:trPr>
          <w:trHeight w:val="20"/>
        </w:trPr>
        <w:tc>
          <w:tcPr>
            <w:tcW w:w="5000" w:type="pct"/>
            <w:gridSpan w:val="3"/>
            <w:tcBorders>
              <w:top w:val="nil"/>
              <w:left w:val="nil"/>
              <w:bottom w:val="single" w:sz="4" w:space="0" w:color="auto"/>
              <w:right w:val="nil"/>
            </w:tcBorders>
            <w:shd w:val="clear" w:color="auto" w:fill="auto"/>
            <w:noWrap/>
            <w:vAlign w:val="bottom"/>
            <w:hideMark/>
          </w:tcPr>
          <w:p w14:paraId="6E2F004A" w14:textId="2656F3F6" w:rsidR="00D50589" w:rsidRPr="00F634D2" w:rsidRDefault="00686261" w:rsidP="007E03F2">
            <w:pPr>
              <w:spacing w:afterLines="50" w:after="12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b/>
                <w:bCs/>
                <w:sz w:val="24"/>
                <w:szCs w:val="24"/>
                <w:lang w:val="en-GB" w:eastAsia="en-GB"/>
              </w:rPr>
              <w:lastRenderedPageBreak/>
              <w:t>Table 4.</w:t>
            </w:r>
            <w:r w:rsidRPr="00F634D2">
              <w:rPr>
                <w:rFonts w:ascii="Times New Roman" w:eastAsia="Times New Roman" w:hAnsi="Times New Roman" w:cs="Times New Roman"/>
                <w:sz w:val="24"/>
                <w:szCs w:val="24"/>
                <w:lang w:val="en-GB" w:eastAsia="en-GB"/>
              </w:rPr>
              <w:t xml:space="preserve"> IDD adoption and CEO </w:t>
            </w:r>
            <w:r w:rsidR="00A11120" w:rsidRPr="00F634D2">
              <w:rPr>
                <w:rFonts w:ascii="Times New Roman" w:eastAsia="Times New Roman" w:hAnsi="Times New Roman" w:cs="Times New Roman"/>
                <w:sz w:val="24"/>
                <w:szCs w:val="24"/>
                <w:lang w:val="en-GB" w:eastAsia="en-GB"/>
              </w:rPr>
              <w:t>V</w:t>
            </w:r>
            <w:r w:rsidRPr="00F634D2">
              <w:rPr>
                <w:rFonts w:ascii="Times New Roman" w:eastAsia="Times New Roman" w:hAnsi="Times New Roman" w:cs="Times New Roman"/>
                <w:sz w:val="24"/>
                <w:szCs w:val="24"/>
                <w:lang w:val="en-GB" w:eastAsia="en-GB"/>
              </w:rPr>
              <w:t>ega: The impact of industry homogeneity</w:t>
            </w:r>
          </w:p>
        </w:tc>
      </w:tr>
      <w:tr w:rsidR="00F634D2" w:rsidRPr="00F634D2" w14:paraId="1E9D5E14" w14:textId="77777777">
        <w:trPr>
          <w:trHeight w:val="20"/>
        </w:trPr>
        <w:tc>
          <w:tcPr>
            <w:tcW w:w="3219" w:type="pct"/>
            <w:tcBorders>
              <w:top w:val="single" w:sz="4" w:space="0" w:color="auto"/>
              <w:left w:val="nil"/>
              <w:bottom w:val="single" w:sz="4" w:space="0" w:color="auto"/>
              <w:right w:val="nil"/>
            </w:tcBorders>
            <w:shd w:val="clear" w:color="auto" w:fill="auto"/>
            <w:noWrap/>
            <w:vAlign w:val="bottom"/>
            <w:hideMark/>
          </w:tcPr>
          <w:p w14:paraId="3C32B7F7"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 xml:space="preserve">Dep. Var. = </w:t>
            </w:r>
            <w:r w:rsidRPr="00F634D2">
              <w:rPr>
                <w:rFonts w:ascii="Times New Roman" w:eastAsia="Times New Roman" w:hAnsi="Times New Roman" w:cs="Times New Roman"/>
                <w:i/>
                <w:iCs/>
                <w:sz w:val="24"/>
                <w:szCs w:val="24"/>
                <w:lang w:val="en-GB" w:eastAsia="en-GB"/>
              </w:rPr>
              <w:t xml:space="preserve">Vega </w:t>
            </w:r>
          </w:p>
        </w:tc>
        <w:tc>
          <w:tcPr>
            <w:tcW w:w="890" w:type="pct"/>
            <w:tcBorders>
              <w:top w:val="single" w:sz="4" w:space="0" w:color="auto"/>
              <w:left w:val="nil"/>
              <w:bottom w:val="single" w:sz="4" w:space="0" w:color="auto"/>
              <w:right w:val="nil"/>
            </w:tcBorders>
            <w:shd w:val="clear" w:color="auto" w:fill="auto"/>
            <w:noWrap/>
            <w:vAlign w:val="bottom"/>
            <w:hideMark/>
          </w:tcPr>
          <w:p w14:paraId="00C8465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w:t>
            </w:r>
          </w:p>
        </w:tc>
        <w:tc>
          <w:tcPr>
            <w:tcW w:w="890" w:type="pct"/>
            <w:tcBorders>
              <w:top w:val="single" w:sz="4" w:space="0" w:color="auto"/>
              <w:left w:val="nil"/>
              <w:bottom w:val="single" w:sz="4" w:space="0" w:color="auto"/>
              <w:right w:val="nil"/>
            </w:tcBorders>
            <w:shd w:val="clear" w:color="auto" w:fill="auto"/>
            <w:noWrap/>
            <w:vAlign w:val="bottom"/>
            <w:hideMark/>
          </w:tcPr>
          <w:p w14:paraId="1E402A24"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w:t>
            </w:r>
          </w:p>
        </w:tc>
      </w:tr>
      <w:tr w:rsidR="00F634D2" w:rsidRPr="00F634D2" w14:paraId="48C40018" w14:textId="77777777">
        <w:trPr>
          <w:trHeight w:val="20"/>
        </w:trPr>
        <w:tc>
          <w:tcPr>
            <w:tcW w:w="3219" w:type="pct"/>
            <w:tcBorders>
              <w:top w:val="nil"/>
              <w:left w:val="nil"/>
              <w:bottom w:val="nil"/>
              <w:right w:val="nil"/>
            </w:tcBorders>
            <w:shd w:val="clear" w:color="auto" w:fill="auto"/>
            <w:noWrap/>
            <w:vAlign w:val="center"/>
            <w:hideMark/>
          </w:tcPr>
          <w:p w14:paraId="162EF0AF"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Constant</w:t>
            </w:r>
          </w:p>
        </w:tc>
        <w:tc>
          <w:tcPr>
            <w:tcW w:w="890" w:type="pct"/>
            <w:tcBorders>
              <w:top w:val="nil"/>
              <w:left w:val="nil"/>
              <w:bottom w:val="nil"/>
              <w:right w:val="nil"/>
            </w:tcBorders>
            <w:shd w:val="clear" w:color="auto" w:fill="auto"/>
            <w:noWrap/>
            <w:vAlign w:val="center"/>
            <w:hideMark/>
          </w:tcPr>
          <w:p w14:paraId="21D4296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–2.673***</w:t>
            </w:r>
          </w:p>
        </w:tc>
        <w:tc>
          <w:tcPr>
            <w:tcW w:w="890" w:type="pct"/>
            <w:tcBorders>
              <w:top w:val="nil"/>
              <w:left w:val="nil"/>
              <w:bottom w:val="nil"/>
              <w:right w:val="nil"/>
            </w:tcBorders>
            <w:shd w:val="clear" w:color="auto" w:fill="auto"/>
            <w:noWrap/>
            <w:vAlign w:val="bottom"/>
            <w:hideMark/>
          </w:tcPr>
          <w:p w14:paraId="6344281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–3.807***</w:t>
            </w:r>
          </w:p>
        </w:tc>
      </w:tr>
      <w:tr w:rsidR="00F634D2" w:rsidRPr="00F634D2" w14:paraId="1A14BFD3" w14:textId="77777777">
        <w:trPr>
          <w:trHeight w:val="20"/>
        </w:trPr>
        <w:tc>
          <w:tcPr>
            <w:tcW w:w="3219" w:type="pct"/>
            <w:tcBorders>
              <w:top w:val="nil"/>
              <w:left w:val="nil"/>
              <w:bottom w:val="nil"/>
              <w:right w:val="nil"/>
            </w:tcBorders>
            <w:shd w:val="clear" w:color="auto" w:fill="auto"/>
            <w:noWrap/>
            <w:vAlign w:val="bottom"/>
            <w:hideMark/>
          </w:tcPr>
          <w:p w14:paraId="22447E2C"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90" w:type="pct"/>
            <w:tcBorders>
              <w:top w:val="nil"/>
              <w:left w:val="nil"/>
              <w:bottom w:val="nil"/>
              <w:right w:val="nil"/>
            </w:tcBorders>
            <w:shd w:val="clear" w:color="auto" w:fill="auto"/>
            <w:noWrap/>
            <w:vAlign w:val="center"/>
            <w:hideMark/>
          </w:tcPr>
          <w:p w14:paraId="38A93594"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(–4.16)</w:t>
            </w:r>
          </w:p>
        </w:tc>
        <w:tc>
          <w:tcPr>
            <w:tcW w:w="890" w:type="pct"/>
            <w:tcBorders>
              <w:top w:val="nil"/>
              <w:left w:val="nil"/>
              <w:bottom w:val="nil"/>
              <w:right w:val="nil"/>
            </w:tcBorders>
            <w:shd w:val="clear" w:color="auto" w:fill="auto"/>
            <w:noWrap/>
            <w:vAlign w:val="bottom"/>
            <w:hideMark/>
          </w:tcPr>
          <w:p w14:paraId="4E792F34"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(–4.63)</w:t>
            </w:r>
          </w:p>
        </w:tc>
      </w:tr>
      <w:tr w:rsidR="00F634D2" w:rsidRPr="00F634D2" w14:paraId="69E56737" w14:textId="77777777">
        <w:trPr>
          <w:trHeight w:val="20"/>
        </w:trPr>
        <w:tc>
          <w:tcPr>
            <w:tcW w:w="3219" w:type="pct"/>
            <w:tcBorders>
              <w:top w:val="nil"/>
              <w:left w:val="nil"/>
              <w:bottom w:val="nil"/>
              <w:right w:val="nil"/>
            </w:tcBorders>
            <w:shd w:val="clear" w:color="auto" w:fill="auto"/>
            <w:vAlign w:val="center"/>
            <w:hideMark/>
          </w:tcPr>
          <w:p w14:paraId="290FC4A4"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AfterIDD</w:t>
            </w:r>
            <w:proofErr w:type="spellEnd"/>
          </w:p>
        </w:tc>
        <w:tc>
          <w:tcPr>
            <w:tcW w:w="890" w:type="pct"/>
            <w:tcBorders>
              <w:top w:val="nil"/>
              <w:left w:val="nil"/>
              <w:bottom w:val="nil"/>
              <w:right w:val="nil"/>
            </w:tcBorders>
            <w:shd w:val="clear" w:color="auto" w:fill="auto"/>
            <w:noWrap/>
            <w:vAlign w:val="center"/>
            <w:hideMark/>
          </w:tcPr>
          <w:p w14:paraId="5CF789E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0.030</w:t>
            </w:r>
          </w:p>
        </w:tc>
        <w:tc>
          <w:tcPr>
            <w:tcW w:w="890" w:type="pct"/>
            <w:tcBorders>
              <w:top w:val="nil"/>
              <w:left w:val="nil"/>
              <w:bottom w:val="nil"/>
              <w:right w:val="nil"/>
            </w:tcBorders>
            <w:shd w:val="clear" w:color="auto" w:fill="auto"/>
            <w:noWrap/>
            <w:vAlign w:val="bottom"/>
            <w:hideMark/>
          </w:tcPr>
          <w:p w14:paraId="1F71C027"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0.102</w:t>
            </w:r>
          </w:p>
        </w:tc>
      </w:tr>
      <w:tr w:rsidR="00F634D2" w:rsidRPr="00F634D2" w14:paraId="1C4C0B33" w14:textId="77777777">
        <w:trPr>
          <w:trHeight w:val="20"/>
        </w:trPr>
        <w:tc>
          <w:tcPr>
            <w:tcW w:w="3219" w:type="pct"/>
            <w:tcBorders>
              <w:top w:val="nil"/>
              <w:left w:val="nil"/>
              <w:bottom w:val="nil"/>
              <w:right w:val="nil"/>
            </w:tcBorders>
            <w:shd w:val="clear" w:color="auto" w:fill="auto"/>
            <w:noWrap/>
            <w:vAlign w:val="bottom"/>
            <w:hideMark/>
          </w:tcPr>
          <w:p w14:paraId="20B59B06"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90" w:type="pct"/>
            <w:tcBorders>
              <w:top w:val="nil"/>
              <w:left w:val="nil"/>
              <w:bottom w:val="nil"/>
              <w:right w:val="nil"/>
            </w:tcBorders>
            <w:shd w:val="clear" w:color="auto" w:fill="auto"/>
            <w:noWrap/>
            <w:vAlign w:val="center"/>
            <w:hideMark/>
          </w:tcPr>
          <w:p w14:paraId="7208FA3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(0.43)</w:t>
            </w:r>
          </w:p>
        </w:tc>
        <w:tc>
          <w:tcPr>
            <w:tcW w:w="890" w:type="pct"/>
            <w:tcBorders>
              <w:top w:val="nil"/>
              <w:left w:val="nil"/>
              <w:bottom w:val="nil"/>
              <w:right w:val="nil"/>
            </w:tcBorders>
            <w:shd w:val="clear" w:color="auto" w:fill="auto"/>
            <w:noWrap/>
            <w:vAlign w:val="bottom"/>
            <w:hideMark/>
          </w:tcPr>
          <w:p w14:paraId="5D72E87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(1.13)</w:t>
            </w:r>
          </w:p>
        </w:tc>
      </w:tr>
      <w:tr w:rsidR="00F634D2" w:rsidRPr="00F634D2" w14:paraId="4BF9E4CB" w14:textId="77777777">
        <w:trPr>
          <w:trHeight w:val="20"/>
        </w:trPr>
        <w:tc>
          <w:tcPr>
            <w:tcW w:w="3219" w:type="pct"/>
            <w:tcBorders>
              <w:top w:val="nil"/>
              <w:left w:val="nil"/>
              <w:bottom w:val="nil"/>
              <w:right w:val="nil"/>
            </w:tcBorders>
            <w:shd w:val="clear" w:color="auto" w:fill="auto"/>
            <w:vAlign w:val="center"/>
            <w:hideMark/>
          </w:tcPr>
          <w:p w14:paraId="2C565655"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IndHomogeneity</w:t>
            </w:r>
            <w:proofErr w:type="spellEnd"/>
          </w:p>
        </w:tc>
        <w:tc>
          <w:tcPr>
            <w:tcW w:w="890" w:type="pct"/>
            <w:tcBorders>
              <w:top w:val="nil"/>
              <w:left w:val="nil"/>
              <w:bottom w:val="nil"/>
              <w:right w:val="nil"/>
            </w:tcBorders>
            <w:shd w:val="clear" w:color="auto" w:fill="auto"/>
            <w:noWrap/>
            <w:vAlign w:val="center"/>
            <w:hideMark/>
          </w:tcPr>
          <w:p w14:paraId="073AB434"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–0.423</w:t>
            </w:r>
          </w:p>
        </w:tc>
        <w:tc>
          <w:tcPr>
            <w:tcW w:w="890" w:type="pct"/>
            <w:tcBorders>
              <w:top w:val="nil"/>
              <w:left w:val="nil"/>
              <w:bottom w:val="nil"/>
              <w:right w:val="nil"/>
            </w:tcBorders>
            <w:shd w:val="clear" w:color="auto" w:fill="auto"/>
            <w:noWrap/>
            <w:vAlign w:val="bottom"/>
            <w:hideMark/>
          </w:tcPr>
          <w:p w14:paraId="721FE0A4"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2B1DDB62" w14:textId="77777777">
        <w:trPr>
          <w:trHeight w:val="20"/>
        </w:trPr>
        <w:tc>
          <w:tcPr>
            <w:tcW w:w="3219" w:type="pct"/>
            <w:tcBorders>
              <w:top w:val="nil"/>
              <w:left w:val="nil"/>
              <w:bottom w:val="nil"/>
              <w:right w:val="nil"/>
            </w:tcBorders>
            <w:shd w:val="clear" w:color="auto" w:fill="auto"/>
            <w:noWrap/>
            <w:vAlign w:val="bottom"/>
            <w:hideMark/>
          </w:tcPr>
          <w:p w14:paraId="4CCB2B45"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90" w:type="pct"/>
            <w:tcBorders>
              <w:top w:val="nil"/>
              <w:left w:val="nil"/>
              <w:bottom w:val="nil"/>
              <w:right w:val="nil"/>
            </w:tcBorders>
            <w:shd w:val="clear" w:color="auto" w:fill="auto"/>
            <w:noWrap/>
            <w:vAlign w:val="center"/>
            <w:hideMark/>
          </w:tcPr>
          <w:p w14:paraId="2947C2A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(–0.47)</w:t>
            </w:r>
          </w:p>
        </w:tc>
        <w:tc>
          <w:tcPr>
            <w:tcW w:w="890" w:type="pct"/>
            <w:tcBorders>
              <w:top w:val="nil"/>
              <w:left w:val="nil"/>
              <w:bottom w:val="nil"/>
              <w:right w:val="nil"/>
            </w:tcBorders>
            <w:shd w:val="clear" w:color="auto" w:fill="auto"/>
            <w:noWrap/>
            <w:vAlign w:val="bottom"/>
            <w:hideMark/>
          </w:tcPr>
          <w:p w14:paraId="4102FFD8"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56F1FA90" w14:textId="77777777">
        <w:trPr>
          <w:trHeight w:val="20"/>
        </w:trPr>
        <w:tc>
          <w:tcPr>
            <w:tcW w:w="3219" w:type="pct"/>
            <w:tcBorders>
              <w:top w:val="nil"/>
              <w:left w:val="nil"/>
              <w:bottom w:val="nil"/>
              <w:right w:val="nil"/>
            </w:tcBorders>
            <w:shd w:val="clear" w:color="auto" w:fill="auto"/>
            <w:vAlign w:val="center"/>
            <w:hideMark/>
          </w:tcPr>
          <w:p w14:paraId="3376173E"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AfterIDD×IndHomogeneity</w:t>
            </w:r>
            <w:proofErr w:type="spellEnd"/>
          </w:p>
        </w:tc>
        <w:tc>
          <w:tcPr>
            <w:tcW w:w="890" w:type="pct"/>
            <w:tcBorders>
              <w:top w:val="nil"/>
              <w:left w:val="nil"/>
              <w:bottom w:val="nil"/>
              <w:right w:val="nil"/>
            </w:tcBorders>
            <w:shd w:val="clear" w:color="auto" w:fill="auto"/>
            <w:noWrap/>
            <w:vAlign w:val="center"/>
            <w:hideMark/>
          </w:tcPr>
          <w:p w14:paraId="54667ACA"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0.168**</w:t>
            </w:r>
          </w:p>
        </w:tc>
        <w:tc>
          <w:tcPr>
            <w:tcW w:w="890" w:type="pct"/>
            <w:tcBorders>
              <w:top w:val="nil"/>
              <w:left w:val="nil"/>
              <w:bottom w:val="nil"/>
              <w:right w:val="nil"/>
            </w:tcBorders>
            <w:shd w:val="clear" w:color="auto" w:fill="auto"/>
            <w:noWrap/>
            <w:vAlign w:val="bottom"/>
            <w:hideMark/>
          </w:tcPr>
          <w:p w14:paraId="7A818C58"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24B03EE9" w14:textId="77777777">
        <w:trPr>
          <w:trHeight w:val="20"/>
        </w:trPr>
        <w:tc>
          <w:tcPr>
            <w:tcW w:w="3219" w:type="pct"/>
            <w:tcBorders>
              <w:top w:val="nil"/>
              <w:left w:val="nil"/>
              <w:bottom w:val="nil"/>
              <w:right w:val="nil"/>
            </w:tcBorders>
            <w:shd w:val="clear" w:color="auto" w:fill="auto"/>
            <w:vAlign w:val="center"/>
            <w:hideMark/>
          </w:tcPr>
          <w:p w14:paraId="1C26440D"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90" w:type="pct"/>
            <w:tcBorders>
              <w:top w:val="nil"/>
              <w:left w:val="nil"/>
              <w:bottom w:val="nil"/>
              <w:right w:val="nil"/>
            </w:tcBorders>
            <w:shd w:val="clear" w:color="auto" w:fill="auto"/>
            <w:noWrap/>
            <w:vAlign w:val="bottom"/>
            <w:hideMark/>
          </w:tcPr>
          <w:p w14:paraId="030D631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(2.37)</w:t>
            </w:r>
          </w:p>
        </w:tc>
        <w:tc>
          <w:tcPr>
            <w:tcW w:w="890" w:type="pct"/>
            <w:tcBorders>
              <w:top w:val="nil"/>
              <w:left w:val="nil"/>
              <w:bottom w:val="nil"/>
              <w:right w:val="nil"/>
            </w:tcBorders>
            <w:shd w:val="clear" w:color="auto" w:fill="auto"/>
            <w:noWrap/>
            <w:vAlign w:val="bottom"/>
            <w:hideMark/>
          </w:tcPr>
          <w:p w14:paraId="33A038CF"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7D12C7DA" w14:textId="77777777">
        <w:trPr>
          <w:trHeight w:val="20"/>
        </w:trPr>
        <w:tc>
          <w:tcPr>
            <w:tcW w:w="3219" w:type="pct"/>
            <w:tcBorders>
              <w:top w:val="nil"/>
              <w:left w:val="nil"/>
              <w:bottom w:val="nil"/>
              <w:right w:val="nil"/>
            </w:tcBorders>
            <w:shd w:val="clear" w:color="auto" w:fill="auto"/>
            <w:vAlign w:val="center"/>
            <w:hideMark/>
          </w:tcPr>
          <w:p w14:paraId="186A35BB"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IndHomogeneity</w:t>
            </w:r>
            <w:proofErr w:type="spellEnd"/>
            <w:r w:rsidRPr="00F634D2">
              <w:rPr>
                <w:rFonts w:ascii="Times New Roman" w:eastAsia="Times New Roman" w:hAnsi="Times New Roman" w:cs="Times New Roman"/>
                <w:i/>
                <w:iCs/>
                <w:sz w:val="24"/>
                <w:szCs w:val="24"/>
                <w:lang w:val="en-GB" w:eastAsia="en-GB"/>
              </w:rPr>
              <w:t>(geo)</w:t>
            </w:r>
          </w:p>
        </w:tc>
        <w:tc>
          <w:tcPr>
            <w:tcW w:w="890" w:type="pct"/>
            <w:tcBorders>
              <w:top w:val="nil"/>
              <w:left w:val="nil"/>
              <w:bottom w:val="nil"/>
              <w:right w:val="nil"/>
            </w:tcBorders>
            <w:shd w:val="clear" w:color="auto" w:fill="auto"/>
            <w:noWrap/>
            <w:vAlign w:val="bottom"/>
            <w:hideMark/>
          </w:tcPr>
          <w:p w14:paraId="3D9C0C8B" w14:textId="77777777" w:rsidR="00D50589" w:rsidRPr="00F634D2" w:rsidRDefault="00D50589">
            <w:pPr>
              <w:spacing w:after="0" w:line="240" w:lineRule="auto"/>
              <w:rPr>
                <w:rFonts w:ascii="Times New Roman" w:eastAsia="Times New Roman" w:hAnsi="Times New Roman" w:cs="Times New Roman"/>
                <w:i/>
                <w:iCs/>
                <w:sz w:val="24"/>
                <w:szCs w:val="24"/>
                <w:lang w:val="en-GB" w:eastAsia="en-GB"/>
              </w:rPr>
            </w:pPr>
          </w:p>
        </w:tc>
        <w:tc>
          <w:tcPr>
            <w:tcW w:w="890" w:type="pct"/>
            <w:tcBorders>
              <w:top w:val="nil"/>
              <w:left w:val="nil"/>
              <w:bottom w:val="nil"/>
              <w:right w:val="nil"/>
            </w:tcBorders>
            <w:shd w:val="clear" w:color="auto" w:fill="auto"/>
            <w:noWrap/>
            <w:vAlign w:val="center"/>
            <w:hideMark/>
          </w:tcPr>
          <w:p w14:paraId="269A008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–0.572</w:t>
            </w:r>
          </w:p>
        </w:tc>
      </w:tr>
      <w:tr w:rsidR="00F634D2" w:rsidRPr="00F634D2" w14:paraId="663B45A8" w14:textId="77777777">
        <w:trPr>
          <w:trHeight w:val="20"/>
        </w:trPr>
        <w:tc>
          <w:tcPr>
            <w:tcW w:w="3219" w:type="pct"/>
            <w:tcBorders>
              <w:top w:val="nil"/>
              <w:left w:val="nil"/>
              <w:bottom w:val="nil"/>
              <w:right w:val="nil"/>
            </w:tcBorders>
            <w:shd w:val="clear" w:color="auto" w:fill="auto"/>
            <w:noWrap/>
            <w:vAlign w:val="bottom"/>
            <w:hideMark/>
          </w:tcPr>
          <w:p w14:paraId="5489F8B8"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90" w:type="pct"/>
            <w:tcBorders>
              <w:top w:val="nil"/>
              <w:left w:val="nil"/>
              <w:bottom w:val="nil"/>
              <w:right w:val="nil"/>
            </w:tcBorders>
            <w:shd w:val="clear" w:color="auto" w:fill="auto"/>
            <w:noWrap/>
            <w:vAlign w:val="bottom"/>
            <w:hideMark/>
          </w:tcPr>
          <w:p w14:paraId="4C1794DE"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90" w:type="pct"/>
            <w:tcBorders>
              <w:top w:val="nil"/>
              <w:left w:val="nil"/>
              <w:bottom w:val="nil"/>
              <w:right w:val="nil"/>
            </w:tcBorders>
            <w:shd w:val="clear" w:color="auto" w:fill="auto"/>
            <w:noWrap/>
            <w:vAlign w:val="center"/>
            <w:hideMark/>
          </w:tcPr>
          <w:p w14:paraId="3FB6E35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(–1.05)</w:t>
            </w:r>
          </w:p>
        </w:tc>
      </w:tr>
      <w:tr w:rsidR="00F634D2" w:rsidRPr="00F634D2" w14:paraId="725A4EB2" w14:textId="77777777">
        <w:trPr>
          <w:trHeight w:val="20"/>
        </w:trPr>
        <w:tc>
          <w:tcPr>
            <w:tcW w:w="3219" w:type="pct"/>
            <w:tcBorders>
              <w:top w:val="nil"/>
              <w:left w:val="nil"/>
              <w:bottom w:val="nil"/>
              <w:right w:val="nil"/>
            </w:tcBorders>
            <w:shd w:val="clear" w:color="auto" w:fill="auto"/>
            <w:vAlign w:val="center"/>
            <w:hideMark/>
          </w:tcPr>
          <w:p w14:paraId="0AEC36D2"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AfterIDD×IndHomogeneity</w:t>
            </w:r>
            <w:proofErr w:type="spellEnd"/>
            <w:r w:rsidRPr="00F634D2">
              <w:rPr>
                <w:rFonts w:ascii="Times New Roman" w:eastAsia="Times New Roman" w:hAnsi="Times New Roman" w:cs="Times New Roman"/>
                <w:i/>
                <w:iCs/>
                <w:sz w:val="24"/>
                <w:szCs w:val="24"/>
                <w:lang w:val="en-GB" w:eastAsia="en-GB"/>
              </w:rPr>
              <w:t>(geo)</w:t>
            </w:r>
          </w:p>
        </w:tc>
        <w:tc>
          <w:tcPr>
            <w:tcW w:w="890" w:type="pct"/>
            <w:tcBorders>
              <w:top w:val="nil"/>
              <w:left w:val="nil"/>
              <w:bottom w:val="nil"/>
              <w:right w:val="nil"/>
            </w:tcBorders>
            <w:shd w:val="clear" w:color="auto" w:fill="auto"/>
            <w:noWrap/>
            <w:vAlign w:val="bottom"/>
            <w:hideMark/>
          </w:tcPr>
          <w:p w14:paraId="22FFC246" w14:textId="77777777" w:rsidR="00D50589" w:rsidRPr="00F634D2" w:rsidRDefault="00D50589">
            <w:pPr>
              <w:spacing w:after="0" w:line="240" w:lineRule="auto"/>
              <w:rPr>
                <w:rFonts w:ascii="Times New Roman" w:eastAsia="Times New Roman" w:hAnsi="Times New Roman" w:cs="Times New Roman"/>
                <w:i/>
                <w:iCs/>
                <w:sz w:val="24"/>
                <w:szCs w:val="24"/>
                <w:lang w:val="en-GB" w:eastAsia="en-GB"/>
              </w:rPr>
            </w:pPr>
          </w:p>
        </w:tc>
        <w:tc>
          <w:tcPr>
            <w:tcW w:w="890" w:type="pct"/>
            <w:tcBorders>
              <w:top w:val="nil"/>
              <w:left w:val="nil"/>
              <w:bottom w:val="nil"/>
              <w:right w:val="nil"/>
            </w:tcBorders>
            <w:shd w:val="clear" w:color="auto" w:fill="auto"/>
            <w:noWrap/>
            <w:vAlign w:val="center"/>
            <w:hideMark/>
          </w:tcPr>
          <w:p w14:paraId="48CCC2C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0.237***</w:t>
            </w:r>
          </w:p>
        </w:tc>
      </w:tr>
      <w:tr w:rsidR="00F634D2" w:rsidRPr="00F634D2" w14:paraId="5975ECF1" w14:textId="77777777">
        <w:trPr>
          <w:trHeight w:val="284"/>
        </w:trPr>
        <w:tc>
          <w:tcPr>
            <w:tcW w:w="3219" w:type="pct"/>
            <w:tcBorders>
              <w:top w:val="nil"/>
              <w:left w:val="nil"/>
              <w:bottom w:val="nil"/>
              <w:right w:val="nil"/>
            </w:tcBorders>
            <w:shd w:val="clear" w:color="auto" w:fill="auto"/>
            <w:noWrap/>
            <w:vAlign w:val="bottom"/>
            <w:hideMark/>
          </w:tcPr>
          <w:p w14:paraId="0D89F828"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90" w:type="pct"/>
            <w:tcBorders>
              <w:top w:val="nil"/>
              <w:left w:val="nil"/>
              <w:bottom w:val="nil"/>
              <w:right w:val="nil"/>
            </w:tcBorders>
            <w:shd w:val="clear" w:color="auto" w:fill="auto"/>
            <w:noWrap/>
            <w:vAlign w:val="bottom"/>
            <w:hideMark/>
          </w:tcPr>
          <w:p w14:paraId="0101C2D1"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90" w:type="pct"/>
            <w:tcBorders>
              <w:top w:val="nil"/>
              <w:left w:val="nil"/>
              <w:bottom w:val="nil"/>
              <w:right w:val="nil"/>
            </w:tcBorders>
            <w:shd w:val="clear" w:color="auto" w:fill="auto"/>
            <w:noWrap/>
            <w:vAlign w:val="bottom"/>
            <w:hideMark/>
          </w:tcPr>
          <w:p w14:paraId="3B9B8CD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(2.65)</w:t>
            </w:r>
          </w:p>
        </w:tc>
      </w:tr>
      <w:tr w:rsidR="00F634D2" w:rsidRPr="00F634D2" w14:paraId="14FF42A4" w14:textId="77777777">
        <w:trPr>
          <w:trHeight w:val="284"/>
        </w:trPr>
        <w:tc>
          <w:tcPr>
            <w:tcW w:w="3219" w:type="pct"/>
            <w:tcBorders>
              <w:top w:val="nil"/>
              <w:left w:val="nil"/>
              <w:bottom w:val="nil"/>
              <w:right w:val="nil"/>
            </w:tcBorders>
            <w:shd w:val="clear" w:color="auto" w:fill="auto"/>
            <w:noWrap/>
            <w:vAlign w:val="bottom"/>
            <w:hideMark/>
          </w:tcPr>
          <w:p w14:paraId="1C0FB5A4"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90" w:type="pct"/>
            <w:tcBorders>
              <w:top w:val="nil"/>
              <w:left w:val="nil"/>
              <w:bottom w:val="nil"/>
              <w:right w:val="nil"/>
            </w:tcBorders>
            <w:shd w:val="clear" w:color="auto" w:fill="auto"/>
            <w:noWrap/>
            <w:vAlign w:val="bottom"/>
            <w:hideMark/>
          </w:tcPr>
          <w:p w14:paraId="21B8111F"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90" w:type="pct"/>
            <w:tcBorders>
              <w:top w:val="nil"/>
              <w:left w:val="nil"/>
              <w:bottom w:val="nil"/>
              <w:right w:val="nil"/>
            </w:tcBorders>
            <w:shd w:val="clear" w:color="auto" w:fill="auto"/>
            <w:noWrap/>
            <w:vAlign w:val="bottom"/>
            <w:hideMark/>
          </w:tcPr>
          <w:p w14:paraId="2D75A31C"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016C044E" w14:textId="77777777">
        <w:trPr>
          <w:trHeight w:val="284"/>
        </w:trPr>
        <w:tc>
          <w:tcPr>
            <w:tcW w:w="3219" w:type="pct"/>
            <w:tcBorders>
              <w:top w:val="nil"/>
              <w:left w:val="nil"/>
              <w:bottom w:val="nil"/>
              <w:right w:val="nil"/>
            </w:tcBorders>
            <w:shd w:val="clear" w:color="auto" w:fill="auto"/>
            <w:noWrap/>
            <w:vAlign w:val="bottom"/>
            <w:hideMark/>
          </w:tcPr>
          <w:p w14:paraId="1FAC3C69"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Controls</w:t>
            </w:r>
          </w:p>
        </w:tc>
        <w:tc>
          <w:tcPr>
            <w:tcW w:w="890" w:type="pct"/>
            <w:tcBorders>
              <w:top w:val="nil"/>
              <w:left w:val="nil"/>
              <w:bottom w:val="nil"/>
              <w:right w:val="nil"/>
            </w:tcBorders>
            <w:shd w:val="clear" w:color="auto" w:fill="auto"/>
            <w:noWrap/>
            <w:vAlign w:val="center"/>
            <w:hideMark/>
          </w:tcPr>
          <w:p w14:paraId="2D964FC7"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890" w:type="pct"/>
            <w:tcBorders>
              <w:top w:val="nil"/>
              <w:left w:val="nil"/>
              <w:bottom w:val="nil"/>
              <w:right w:val="nil"/>
            </w:tcBorders>
            <w:shd w:val="clear" w:color="auto" w:fill="auto"/>
            <w:noWrap/>
            <w:vAlign w:val="center"/>
            <w:hideMark/>
          </w:tcPr>
          <w:p w14:paraId="7A7F51A4"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r>
      <w:tr w:rsidR="00F634D2" w:rsidRPr="00F634D2" w14:paraId="3AAAD0FD" w14:textId="77777777">
        <w:trPr>
          <w:trHeight w:val="20"/>
        </w:trPr>
        <w:tc>
          <w:tcPr>
            <w:tcW w:w="3219" w:type="pct"/>
            <w:tcBorders>
              <w:top w:val="nil"/>
              <w:left w:val="nil"/>
              <w:bottom w:val="nil"/>
              <w:right w:val="nil"/>
            </w:tcBorders>
            <w:shd w:val="clear" w:color="auto" w:fill="auto"/>
            <w:noWrap/>
            <w:vAlign w:val="center"/>
            <w:hideMark/>
          </w:tcPr>
          <w:p w14:paraId="27EDE467"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Firm fixed effects</w:t>
            </w:r>
          </w:p>
        </w:tc>
        <w:tc>
          <w:tcPr>
            <w:tcW w:w="890" w:type="pct"/>
            <w:tcBorders>
              <w:top w:val="nil"/>
              <w:left w:val="nil"/>
              <w:bottom w:val="nil"/>
              <w:right w:val="nil"/>
            </w:tcBorders>
            <w:shd w:val="clear" w:color="auto" w:fill="auto"/>
            <w:noWrap/>
            <w:vAlign w:val="center"/>
            <w:hideMark/>
          </w:tcPr>
          <w:p w14:paraId="6C60028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890" w:type="pct"/>
            <w:tcBorders>
              <w:top w:val="nil"/>
              <w:left w:val="nil"/>
              <w:bottom w:val="nil"/>
              <w:right w:val="nil"/>
            </w:tcBorders>
            <w:shd w:val="clear" w:color="auto" w:fill="auto"/>
            <w:noWrap/>
            <w:vAlign w:val="center"/>
            <w:hideMark/>
          </w:tcPr>
          <w:p w14:paraId="3A4D185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r>
      <w:tr w:rsidR="00F634D2" w:rsidRPr="00F634D2" w14:paraId="7397EDBD" w14:textId="77777777">
        <w:trPr>
          <w:trHeight w:val="20"/>
        </w:trPr>
        <w:tc>
          <w:tcPr>
            <w:tcW w:w="3219" w:type="pct"/>
            <w:tcBorders>
              <w:top w:val="nil"/>
              <w:left w:val="nil"/>
              <w:bottom w:val="nil"/>
              <w:right w:val="nil"/>
            </w:tcBorders>
            <w:shd w:val="clear" w:color="auto" w:fill="auto"/>
            <w:noWrap/>
            <w:vAlign w:val="center"/>
            <w:hideMark/>
          </w:tcPr>
          <w:p w14:paraId="46205386"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Industry× Year fixed effects</w:t>
            </w:r>
          </w:p>
        </w:tc>
        <w:tc>
          <w:tcPr>
            <w:tcW w:w="890" w:type="pct"/>
            <w:tcBorders>
              <w:top w:val="nil"/>
              <w:left w:val="nil"/>
              <w:bottom w:val="nil"/>
              <w:right w:val="nil"/>
            </w:tcBorders>
            <w:shd w:val="clear" w:color="auto" w:fill="auto"/>
            <w:noWrap/>
            <w:vAlign w:val="center"/>
            <w:hideMark/>
          </w:tcPr>
          <w:p w14:paraId="61311EC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890" w:type="pct"/>
            <w:tcBorders>
              <w:top w:val="nil"/>
              <w:left w:val="nil"/>
              <w:bottom w:val="nil"/>
              <w:right w:val="nil"/>
            </w:tcBorders>
            <w:shd w:val="clear" w:color="auto" w:fill="auto"/>
            <w:noWrap/>
            <w:vAlign w:val="center"/>
            <w:hideMark/>
          </w:tcPr>
          <w:p w14:paraId="3477D0F4"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r>
      <w:tr w:rsidR="00F634D2" w:rsidRPr="00F634D2" w14:paraId="53404563" w14:textId="77777777">
        <w:trPr>
          <w:trHeight w:val="20"/>
        </w:trPr>
        <w:tc>
          <w:tcPr>
            <w:tcW w:w="3219" w:type="pct"/>
            <w:tcBorders>
              <w:top w:val="nil"/>
              <w:left w:val="nil"/>
              <w:bottom w:val="nil"/>
              <w:right w:val="nil"/>
            </w:tcBorders>
            <w:shd w:val="clear" w:color="auto" w:fill="auto"/>
            <w:noWrap/>
            <w:vAlign w:val="center"/>
            <w:hideMark/>
          </w:tcPr>
          <w:p w14:paraId="26886858"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R</w:t>
            </w:r>
            <w:r w:rsidRPr="00F634D2">
              <w:rPr>
                <w:rFonts w:ascii="Times New Roman" w:eastAsia="Times New Roman" w:hAnsi="Times New Roman" w:cs="Times New Roman"/>
                <w:sz w:val="24"/>
                <w:szCs w:val="24"/>
                <w:vertAlign w:val="superscript"/>
                <w:lang w:val="en-GB" w:eastAsia="en-GB"/>
              </w:rPr>
              <w:t>2</w:t>
            </w:r>
          </w:p>
        </w:tc>
        <w:tc>
          <w:tcPr>
            <w:tcW w:w="890" w:type="pct"/>
            <w:tcBorders>
              <w:top w:val="nil"/>
              <w:left w:val="nil"/>
              <w:bottom w:val="nil"/>
              <w:right w:val="nil"/>
            </w:tcBorders>
            <w:shd w:val="clear" w:color="auto" w:fill="auto"/>
            <w:noWrap/>
            <w:vAlign w:val="center"/>
            <w:hideMark/>
          </w:tcPr>
          <w:p w14:paraId="5A17B50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0.37</w:t>
            </w:r>
          </w:p>
        </w:tc>
        <w:tc>
          <w:tcPr>
            <w:tcW w:w="890" w:type="pct"/>
            <w:tcBorders>
              <w:top w:val="nil"/>
              <w:left w:val="nil"/>
              <w:bottom w:val="nil"/>
              <w:right w:val="nil"/>
            </w:tcBorders>
            <w:shd w:val="clear" w:color="auto" w:fill="auto"/>
            <w:noWrap/>
            <w:vAlign w:val="center"/>
            <w:hideMark/>
          </w:tcPr>
          <w:p w14:paraId="5A88F588"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0.38</w:t>
            </w:r>
          </w:p>
        </w:tc>
      </w:tr>
      <w:tr w:rsidR="00F634D2" w:rsidRPr="00F634D2" w14:paraId="28097A27" w14:textId="77777777">
        <w:trPr>
          <w:trHeight w:val="20"/>
        </w:trPr>
        <w:tc>
          <w:tcPr>
            <w:tcW w:w="3219" w:type="pct"/>
            <w:tcBorders>
              <w:top w:val="nil"/>
              <w:left w:val="nil"/>
              <w:bottom w:val="single" w:sz="4" w:space="0" w:color="auto"/>
              <w:right w:val="nil"/>
            </w:tcBorders>
            <w:shd w:val="clear" w:color="auto" w:fill="auto"/>
            <w:noWrap/>
            <w:vAlign w:val="center"/>
            <w:hideMark/>
          </w:tcPr>
          <w:p w14:paraId="63B2BEC7"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N</w:t>
            </w:r>
          </w:p>
        </w:tc>
        <w:tc>
          <w:tcPr>
            <w:tcW w:w="890" w:type="pct"/>
            <w:tcBorders>
              <w:top w:val="nil"/>
              <w:left w:val="nil"/>
              <w:bottom w:val="single" w:sz="4" w:space="0" w:color="auto"/>
              <w:right w:val="nil"/>
            </w:tcBorders>
            <w:shd w:val="clear" w:color="auto" w:fill="auto"/>
            <w:noWrap/>
            <w:vAlign w:val="center"/>
            <w:hideMark/>
          </w:tcPr>
          <w:p w14:paraId="5B4DD40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17,257</w:t>
            </w:r>
          </w:p>
        </w:tc>
        <w:tc>
          <w:tcPr>
            <w:tcW w:w="890" w:type="pct"/>
            <w:tcBorders>
              <w:top w:val="nil"/>
              <w:left w:val="nil"/>
              <w:bottom w:val="single" w:sz="4" w:space="0" w:color="auto"/>
              <w:right w:val="nil"/>
            </w:tcBorders>
            <w:shd w:val="clear" w:color="auto" w:fill="auto"/>
            <w:noWrap/>
            <w:vAlign w:val="center"/>
            <w:hideMark/>
          </w:tcPr>
          <w:p w14:paraId="53CAD99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17,257</w:t>
            </w:r>
          </w:p>
        </w:tc>
      </w:tr>
      <w:tr w:rsidR="00D50589" w:rsidRPr="00F634D2" w14:paraId="26AAAD3E" w14:textId="77777777">
        <w:trPr>
          <w:trHeight w:val="20"/>
        </w:trPr>
        <w:tc>
          <w:tcPr>
            <w:tcW w:w="5000" w:type="pct"/>
            <w:gridSpan w:val="3"/>
            <w:tcBorders>
              <w:top w:val="single" w:sz="4" w:space="0" w:color="auto"/>
              <w:left w:val="nil"/>
              <w:bottom w:val="nil"/>
              <w:right w:val="nil"/>
            </w:tcBorders>
            <w:shd w:val="clear" w:color="auto" w:fill="auto"/>
            <w:vAlign w:val="bottom"/>
            <w:hideMark/>
          </w:tcPr>
          <w:p w14:paraId="0E9FE1EB" w14:textId="77777777" w:rsidR="00D50589" w:rsidRPr="00F634D2" w:rsidRDefault="00686261">
            <w:pPr>
              <w:spacing w:after="0" w:line="240" w:lineRule="auto"/>
              <w:jc w:val="both"/>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 xml:space="preserve">This table reports the results from OLS regressions of CEO Vega on the indicator for IDD adoption and partition variable based on industry homogeneity. The dependent variable is </w:t>
            </w:r>
            <w:r w:rsidRPr="00F634D2">
              <w:rPr>
                <w:rFonts w:ascii="Times New Roman" w:eastAsia="Times New Roman" w:hAnsi="Times New Roman" w:cs="Times New Roman"/>
                <w:i/>
                <w:iCs/>
                <w:sz w:val="24"/>
                <w:szCs w:val="24"/>
                <w:lang w:val="en-GB" w:eastAsia="en-GB"/>
              </w:rPr>
              <w:t>Vega</w:t>
            </w:r>
            <w:r w:rsidRPr="00F634D2">
              <w:rPr>
                <w:rFonts w:ascii="Times New Roman" w:eastAsia="Times New Roman" w:hAnsi="Times New Roman" w:cs="Times New Roman"/>
                <w:sz w:val="24"/>
                <w:szCs w:val="24"/>
                <w:lang w:val="en-GB" w:eastAsia="en-GB"/>
              </w:rPr>
              <w:t>. Controls are the control variables identified in equation (1). The variables are defined in Appendix A. Standard errors are corrected for heteroskedasticity and clustering at the state level. *, **, and *** denote significance at the 10%, 5%, and 1% levels, respectively.</w:t>
            </w:r>
          </w:p>
        </w:tc>
      </w:tr>
    </w:tbl>
    <w:p w14:paraId="7CC4F830" w14:textId="77777777" w:rsidR="00D50589" w:rsidRPr="00F634D2" w:rsidRDefault="00D50589">
      <w:pPr>
        <w:rPr>
          <w:rFonts w:ascii="Times New Roman" w:eastAsia="DengXian" w:hAnsi="Times New Roman" w:cs="Times New Roman"/>
          <w:sz w:val="24"/>
          <w:szCs w:val="24"/>
        </w:rPr>
      </w:pPr>
    </w:p>
    <w:p w14:paraId="2B725362" w14:textId="77777777" w:rsidR="00D50589" w:rsidRPr="00F634D2" w:rsidRDefault="00D50589">
      <w:pPr>
        <w:rPr>
          <w:rFonts w:ascii="Times New Roman" w:hAnsi="Times New Roman" w:cs="Times New Roman"/>
        </w:rPr>
      </w:pPr>
    </w:p>
    <w:p w14:paraId="5BF59983" w14:textId="77777777" w:rsidR="00D50589" w:rsidRPr="00F634D2" w:rsidRDefault="00686261">
      <w:pPr>
        <w:rPr>
          <w:rFonts w:ascii="Times New Roman" w:eastAsia="DengXian" w:hAnsi="Times New Roman" w:cs="Times New Roman"/>
          <w:sz w:val="24"/>
          <w:szCs w:val="24"/>
        </w:rPr>
      </w:pPr>
      <w:r w:rsidRPr="00F634D2">
        <w:rPr>
          <w:rFonts w:ascii="Times New Roman" w:hAnsi="Times New Roman" w:cs="Times New Roman"/>
        </w:rPr>
        <w:br w:type="page"/>
      </w:r>
    </w:p>
    <w:tbl>
      <w:tblPr>
        <w:tblW w:w="5000" w:type="pct"/>
        <w:tblLook w:val="04A0" w:firstRow="1" w:lastRow="0" w:firstColumn="1" w:lastColumn="0" w:noHBand="0" w:noVBand="1"/>
      </w:tblPr>
      <w:tblGrid>
        <w:gridCol w:w="4469"/>
        <w:gridCol w:w="1438"/>
        <w:gridCol w:w="1438"/>
        <w:gridCol w:w="1437"/>
      </w:tblGrid>
      <w:tr w:rsidR="00F634D2" w:rsidRPr="00F634D2" w14:paraId="7623F00D" w14:textId="77777777">
        <w:trPr>
          <w:trHeight w:val="20"/>
        </w:trPr>
        <w:tc>
          <w:tcPr>
            <w:tcW w:w="5000" w:type="pct"/>
            <w:gridSpan w:val="4"/>
            <w:tcBorders>
              <w:top w:val="nil"/>
              <w:left w:val="nil"/>
              <w:bottom w:val="single" w:sz="4" w:space="0" w:color="auto"/>
              <w:right w:val="nil"/>
            </w:tcBorders>
            <w:shd w:val="clear" w:color="auto" w:fill="auto"/>
            <w:noWrap/>
            <w:vAlign w:val="bottom"/>
            <w:hideMark/>
          </w:tcPr>
          <w:p w14:paraId="780F184B" w14:textId="705FA975" w:rsidR="00D50589" w:rsidRPr="00F634D2" w:rsidRDefault="00686261" w:rsidP="007E03F2">
            <w:pPr>
              <w:spacing w:afterLines="50" w:after="12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b/>
                <w:bCs/>
                <w:sz w:val="24"/>
                <w:szCs w:val="24"/>
                <w:lang w:val="en-GB" w:eastAsia="en-GB"/>
              </w:rPr>
              <w:lastRenderedPageBreak/>
              <w:t>Table 5.</w:t>
            </w:r>
            <w:r w:rsidRPr="00F634D2">
              <w:rPr>
                <w:rFonts w:ascii="Times New Roman" w:eastAsia="Times New Roman" w:hAnsi="Times New Roman" w:cs="Times New Roman"/>
                <w:sz w:val="24"/>
                <w:szCs w:val="24"/>
                <w:lang w:val="en-GB" w:eastAsia="en-GB"/>
              </w:rPr>
              <w:t xml:space="preserve"> IDD adoption and CEO </w:t>
            </w:r>
            <w:r w:rsidR="00A11120" w:rsidRPr="00F634D2">
              <w:rPr>
                <w:rFonts w:ascii="Times New Roman" w:eastAsia="Times New Roman" w:hAnsi="Times New Roman" w:cs="Times New Roman"/>
                <w:sz w:val="24"/>
                <w:szCs w:val="24"/>
                <w:lang w:val="en-GB" w:eastAsia="en-GB"/>
              </w:rPr>
              <w:t>V</w:t>
            </w:r>
            <w:r w:rsidRPr="00F634D2">
              <w:rPr>
                <w:rFonts w:ascii="Times New Roman" w:eastAsia="Times New Roman" w:hAnsi="Times New Roman" w:cs="Times New Roman"/>
                <w:sz w:val="24"/>
                <w:szCs w:val="24"/>
                <w:lang w:val="en-GB" w:eastAsia="en-GB"/>
              </w:rPr>
              <w:t>ega: The impact of CEO tenure</w:t>
            </w:r>
          </w:p>
        </w:tc>
      </w:tr>
      <w:tr w:rsidR="00F634D2" w:rsidRPr="00F634D2" w14:paraId="593B093D" w14:textId="77777777">
        <w:trPr>
          <w:trHeight w:val="20"/>
        </w:trPr>
        <w:tc>
          <w:tcPr>
            <w:tcW w:w="2544" w:type="pct"/>
            <w:tcBorders>
              <w:top w:val="single" w:sz="4" w:space="0" w:color="auto"/>
              <w:left w:val="nil"/>
              <w:bottom w:val="single" w:sz="4" w:space="0" w:color="auto"/>
              <w:right w:val="nil"/>
            </w:tcBorders>
            <w:shd w:val="clear" w:color="auto" w:fill="auto"/>
            <w:noWrap/>
            <w:vAlign w:val="bottom"/>
            <w:hideMark/>
          </w:tcPr>
          <w:p w14:paraId="5BBD17D6"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 xml:space="preserve">Dep. Var. = </w:t>
            </w:r>
            <w:r w:rsidRPr="00F634D2">
              <w:rPr>
                <w:rFonts w:ascii="Times New Roman" w:eastAsia="Times New Roman" w:hAnsi="Times New Roman" w:cs="Times New Roman"/>
                <w:i/>
                <w:iCs/>
                <w:sz w:val="24"/>
                <w:szCs w:val="24"/>
                <w:lang w:val="en-GB" w:eastAsia="en-GB"/>
              </w:rPr>
              <w:t xml:space="preserve">Vega </w:t>
            </w:r>
          </w:p>
        </w:tc>
        <w:tc>
          <w:tcPr>
            <w:tcW w:w="819" w:type="pct"/>
            <w:tcBorders>
              <w:top w:val="single" w:sz="4" w:space="0" w:color="auto"/>
              <w:left w:val="nil"/>
              <w:bottom w:val="single" w:sz="4" w:space="0" w:color="auto"/>
              <w:right w:val="nil"/>
            </w:tcBorders>
            <w:shd w:val="clear" w:color="auto" w:fill="auto"/>
            <w:noWrap/>
            <w:vAlign w:val="bottom"/>
            <w:hideMark/>
          </w:tcPr>
          <w:p w14:paraId="004842FD"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w:t>
            </w:r>
          </w:p>
        </w:tc>
        <w:tc>
          <w:tcPr>
            <w:tcW w:w="819" w:type="pct"/>
            <w:tcBorders>
              <w:top w:val="single" w:sz="4" w:space="0" w:color="auto"/>
              <w:left w:val="nil"/>
              <w:bottom w:val="single" w:sz="4" w:space="0" w:color="auto"/>
              <w:right w:val="nil"/>
            </w:tcBorders>
            <w:shd w:val="clear" w:color="auto" w:fill="auto"/>
            <w:noWrap/>
            <w:vAlign w:val="bottom"/>
            <w:hideMark/>
          </w:tcPr>
          <w:p w14:paraId="6F3E9A0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w:t>
            </w:r>
          </w:p>
        </w:tc>
        <w:tc>
          <w:tcPr>
            <w:tcW w:w="819" w:type="pct"/>
            <w:tcBorders>
              <w:top w:val="single" w:sz="4" w:space="0" w:color="auto"/>
              <w:left w:val="nil"/>
              <w:bottom w:val="single" w:sz="4" w:space="0" w:color="auto"/>
              <w:right w:val="nil"/>
            </w:tcBorders>
            <w:shd w:val="clear" w:color="auto" w:fill="auto"/>
            <w:noWrap/>
            <w:vAlign w:val="bottom"/>
            <w:hideMark/>
          </w:tcPr>
          <w:p w14:paraId="4FA71E1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w:t>
            </w:r>
          </w:p>
        </w:tc>
      </w:tr>
      <w:tr w:rsidR="00F634D2" w:rsidRPr="00F634D2" w14:paraId="2F873AC8" w14:textId="77777777">
        <w:trPr>
          <w:trHeight w:val="20"/>
        </w:trPr>
        <w:tc>
          <w:tcPr>
            <w:tcW w:w="2544" w:type="pct"/>
            <w:tcBorders>
              <w:top w:val="nil"/>
              <w:left w:val="nil"/>
              <w:bottom w:val="nil"/>
              <w:right w:val="nil"/>
            </w:tcBorders>
            <w:shd w:val="clear" w:color="auto" w:fill="auto"/>
            <w:noWrap/>
            <w:vAlign w:val="center"/>
            <w:hideMark/>
          </w:tcPr>
          <w:p w14:paraId="48DE46AC"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Constant</w:t>
            </w:r>
          </w:p>
        </w:tc>
        <w:tc>
          <w:tcPr>
            <w:tcW w:w="819" w:type="pct"/>
            <w:tcBorders>
              <w:top w:val="nil"/>
              <w:left w:val="nil"/>
              <w:bottom w:val="nil"/>
              <w:right w:val="nil"/>
            </w:tcBorders>
            <w:shd w:val="clear" w:color="auto" w:fill="auto"/>
            <w:noWrap/>
            <w:vAlign w:val="center"/>
            <w:hideMark/>
          </w:tcPr>
          <w:p w14:paraId="124A0257"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–2.528***</w:t>
            </w:r>
          </w:p>
        </w:tc>
        <w:tc>
          <w:tcPr>
            <w:tcW w:w="819" w:type="pct"/>
            <w:tcBorders>
              <w:top w:val="nil"/>
              <w:left w:val="nil"/>
              <w:bottom w:val="nil"/>
              <w:right w:val="nil"/>
            </w:tcBorders>
            <w:shd w:val="clear" w:color="auto" w:fill="auto"/>
            <w:noWrap/>
            <w:vAlign w:val="center"/>
            <w:hideMark/>
          </w:tcPr>
          <w:p w14:paraId="3C486C84"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–2.683***</w:t>
            </w:r>
          </w:p>
        </w:tc>
        <w:tc>
          <w:tcPr>
            <w:tcW w:w="819" w:type="pct"/>
            <w:tcBorders>
              <w:top w:val="nil"/>
              <w:left w:val="nil"/>
              <w:bottom w:val="nil"/>
              <w:right w:val="nil"/>
            </w:tcBorders>
            <w:shd w:val="clear" w:color="auto" w:fill="auto"/>
            <w:noWrap/>
            <w:vAlign w:val="center"/>
            <w:hideMark/>
          </w:tcPr>
          <w:p w14:paraId="4177E48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–2.761***</w:t>
            </w:r>
          </w:p>
        </w:tc>
      </w:tr>
      <w:tr w:rsidR="00F634D2" w:rsidRPr="00F634D2" w14:paraId="150C02C1" w14:textId="77777777">
        <w:trPr>
          <w:trHeight w:val="20"/>
        </w:trPr>
        <w:tc>
          <w:tcPr>
            <w:tcW w:w="2544" w:type="pct"/>
            <w:tcBorders>
              <w:top w:val="nil"/>
              <w:left w:val="nil"/>
              <w:bottom w:val="nil"/>
              <w:right w:val="nil"/>
            </w:tcBorders>
            <w:shd w:val="clear" w:color="auto" w:fill="auto"/>
            <w:noWrap/>
            <w:vAlign w:val="bottom"/>
            <w:hideMark/>
          </w:tcPr>
          <w:p w14:paraId="71E6CA6B"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center"/>
            <w:hideMark/>
          </w:tcPr>
          <w:p w14:paraId="3DF05AD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(–4.36)</w:t>
            </w:r>
          </w:p>
        </w:tc>
        <w:tc>
          <w:tcPr>
            <w:tcW w:w="819" w:type="pct"/>
            <w:tcBorders>
              <w:top w:val="nil"/>
              <w:left w:val="nil"/>
              <w:bottom w:val="nil"/>
              <w:right w:val="nil"/>
            </w:tcBorders>
            <w:shd w:val="clear" w:color="auto" w:fill="auto"/>
            <w:noWrap/>
            <w:vAlign w:val="center"/>
            <w:hideMark/>
          </w:tcPr>
          <w:p w14:paraId="48D8C5CA"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(–4.11)</w:t>
            </w:r>
          </w:p>
        </w:tc>
        <w:tc>
          <w:tcPr>
            <w:tcW w:w="819" w:type="pct"/>
            <w:tcBorders>
              <w:top w:val="nil"/>
              <w:left w:val="nil"/>
              <w:bottom w:val="nil"/>
              <w:right w:val="nil"/>
            </w:tcBorders>
            <w:shd w:val="clear" w:color="auto" w:fill="auto"/>
            <w:noWrap/>
            <w:vAlign w:val="center"/>
            <w:hideMark/>
          </w:tcPr>
          <w:p w14:paraId="3F28A34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(–4.03)</w:t>
            </w:r>
          </w:p>
        </w:tc>
      </w:tr>
      <w:tr w:rsidR="00F634D2" w:rsidRPr="00F634D2" w14:paraId="3291B318" w14:textId="77777777">
        <w:trPr>
          <w:trHeight w:val="20"/>
        </w:trPr>
        <w:tc>
          <w:tcPr>
            <w:tcW w:w="2544" w:type="pct"/>
            <w:tcBorders>
              <w:top w:val="nil"/>
              <w:left w:val="nil"/>
              <w:bottom w:val="nil"/>
              <w:right w:val="nil"/>
            </w:tcBorders>
            <w:shd w:val="clear" w:color="auto" w:fill="auto"/>
            <w:vAlign w:val="center"/>
            <w:hideMark/>
          </w:tcPr>
          <w:p w14:paraId="08D26F8C"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AfterIDD</w:t>
            </w:r>
            <w:proofErr w:type="spellEnd"/>
          </w:p>
        </w:tc>
        <w:tc>
          <w:tcPr>
            <w:tcW w:w="819" w:type="pct"/>
            <w:tcBorders>
              <w:top w:val="nil"/>
              <w:left w:val="nil"/>
              <w:bottom w:val="nil"/>
              <w:right w:val="nil"/>
            </w:tcBorders>
            <w:shd w:val="clear" w:color="auto" w:fill="auto"/>
            <w:noWrap/>
            <w:vAlign w:val="center"/>
            <w:hideMark/>
          </w:tcPr>
          <w:p w14:paraId="0C0E01A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0.048</w:t>
            </w:r>
          </w:p>
        </w:tc>
        <w:tc>
          <w:tcPr>
            <w:tcW w:w="819" w:type="pct"/>
            <w:tcBorders>
              <w:top w:val="nil"/>
              <w:left w:val="nil"/>
              <w:bottom w:val="nil"/>
              <w:right w:val="nil"/>
            </w:tcBorders>
            <w:shd w:val="clear" w:color="auto" w:fill="auto"/>
            <w:noWrap/>
            <w:vAlign w:val="center"/>
            <w:hideMark/>
          </w:tcPr>
          <w:p w14:paraId="1061916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0.076</w:t>
            </w:r>
          </w:p>
        </w:tc>
        <w:tc>
          <w:tcPr>
            <w:tcW w:w="819" w:type="pct"/>
            <w:tcBorders>
              <w:top w:val="nil"/>
              <w:left w:val="nil"/>
              <w:bottom w:val="nil"/>
              <w:right w:val="nil"/>
            </w:tcBorders>
            <w:shd w:val="clear" w:color="auto" w:fill="auto"/>
            <w:noWrap/>
            <w:vAlign w:val="center"/>
            <w:hideMark/>
          </w:tcPr>
          <w:p w14:paraId="0A13BEF7"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0.057</w:t>
            </w:r>
          </w:p>
        </w:tc>
      </w:tr>
      <w:tr w:rsidR="00F634D2" w:rsidRPr="00F634D2" w14:paraId="1653C2B4" w14:textId="77777777">
        <w:trPr>
          <w:trHeight w:val="20"/>
        </w:trPr>
        <w:tc>
          <w:tcPr>
            <w:tcW w:w="2544" w:type="pct"/>
            <w:tcBorders>
              <w:top w:val="nil"/>
              <w:left w:val="nil"/>
              <w:bottom w:val="nil"/>
              <w:right w:val="nil"/>
            </w:tcBorders>
            <w:shd w:val="clear" w:color="auto" w:fill="auto"/>
            <w:noWrap/>
            <w:vAlign w:val="bottom"/>
            <w:hideMark/>
          </w:tcPr>
          <w:p w14:paraId="1A905D63"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center"/>
            <w:hideMark/>
          </w:tcPr>
          <w:p w14:paraId="2F5B654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(0.61)</w:t>
            </w:r>
          </w:p>
        </w:tc>
        <w:tc>
          <w:tcPr>
            <w:tcW w:w="819" w:type="pct"/>
            <w:tcBorders>
              <w:top w:val="nil"/>
              <w:left w:val="nil"/>
              <w:bottom w:val="nil"/>
              <w:right w:val="nil"/>
            </w:tcBorders>
            <w:shd w:val="clear" w:color="auto" w:fill="auto"/>
            <w:noWrap/>
            <w:vAlign w:val="center"/>
            <w:hideMark/>
          </w:tcPr>
          <w:p w14:paraId="60480A4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(0.81)</w:t>
            </w:r>
          </w:p>
        </w:tc>
        <w:tc>
          <w:tcPr>
            <w:tcW w:w="819" w:type="pct"/>
            <w:tcBorders>
              <w:top w:val="nil"/>
              <w:left w:val="nil"/>
              <w:bottom w:val="nil"/>
              <w:right w:val="nil"/>
            </w:tcBorders>
            <w:shd w:val="clear" w:color="auto" w:fill="auto"/>
            <w:noWrap/>
            <w:vAlign w:val="center"/>
            <w:hideMark/>
          </w:tcPr>
          <w:p w14:paraId="46BE8727"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(0.63)</w:t>
            </w:r>
          </w:p>
        </w:tc>
      </w:tr>
      <w:tr w:rsidR="00F634D2" w:rsidRPr="00F634D2" w14:paraId="7F6744BE" w14:textId="77777777">
        <w:trPr>
          <w:trHeight w:val="20"/>
        </w:trPr>
        <w:tc>
          <w:tcPr>
            <w:tcW w:w="2544" w:type="pct"/>
            <w:tcBorders>
              <w:top w:val="nil"/>
              <w:left w:val="nil"/>
              <w:bottom w:val="nil"/>
              <w:right w:val="nil"/>
            </w:tcBorders>
            <w:shd w:val="clear" w:color="auto" w:fill="auto"/>
            <w:vAlign w:val="center"/>
            <w:hideMark/>
          </w:tcPr>
          <w:p w14:paraId="26613D92"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LaterYears</w:t>
            </w:r>
            <w:proofErr w:type="spellEnd"/>
          </w:p>
        </w:tc>
        <w:tc>
          <w:tcPr>
            <w:tcW w:w="819" w:type="pct"/>
            <w:tcBorders>
              <w:top w:val="nil"/>
              <w:left w:val="nil"/>
              <w:bottom w:val="nil"/>
              <w:right w:val="nil"/>
            </w:tcBorders>
            <w:shd w:val="clear" w:color="auto" w:fill="auto"/>
            <w:noWrap/>
            <w:vAlign w:val="center"/>
            <w:hideMark/>
          </w:tcPr>
          <w:p w14:paraId="7B83DD2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0.265***</w:t>
            </w:r>
          </w:p>
        </w:tc>
        <w:tc>
          <w:tcPr>
            <w:tcW w:w="819" w:type="pct"/>
            <w:tcBorders>
              <w:top w:val="nil"/>
              <w:left w:val="nil"/>
              <w:bottom w:val="nil"/>
              <w:right w:val="nil"/>
            </w:tcBorders>
            <w:shd w:val="clear" w:color="auto" w:fill="auto"/>
            <w:noWrap/>
            <w:vAlign w:val="bottom"/>
            <w:hideMark/>
          </w:tcPr>
          <w:p w14:paraId="0CC74C0E"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bottom"/>
            <w:hideMark/>
          </w:tcPr>
          <w:p w14:paraId="54BD5B60"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r>
      <w:tr w:rsidR="00F634D2" w:rsidRPr="00F634D2" w14:paraId="4F1F7353" w14:textId="77777777">
        <w:trPr>
          <w:trHeight w:val="20"/>
        </w:trPr>
        <w:tc>
          <w:tcPr>
            <w:tcW w:w="2544" w:type="pct"/>
            <w:tcBorders>
              <w:top w:val="nil"/>
              <w:left w:val="nil"/>
              <w:bottom w:val="nil"/>
              <w:right w:val="nil"/>
            </w:tcBorders>
            <w:shd w:val="clear" w:color="auto" w:fill="auto"/>
            <w:noWrap/>
            <w:vAlign w:val="bottom"/>
            <w:hideMark/>
          </w:tcPr>
          <w:p w14:paraId="37C5292E"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center"/>
            <w:hideMark/>
          </w:tcPr>
          <w:p w14:paraId="21C9A2C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(4.34)</w:t>
            </w:r>
          </w:p>
        </w:tc>
        <w:tc>
          <w:tcPr>
            <w:tcW w:w="819" w:type="pct"/>
            <w:tcBorders>
              <w:top w:val="nil"/>
              <w:left w:val="nil"/>
              <w:bottom w:val="nil"/>
              <w:right w:val="nil"/>
            </w:tcBorders>
            <w:shd w:val="clear" w:color="auto" w:fill="auto"/>
            <w:noWrap/>
            <w:vAlign w:val="bottom"/>
            <w:hideMark/>
          </w:tcPr>
          <w:p w14:paraId="4F776B30"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bottom"/>
            <w:hideMark/>
          </w:tcPr>
          <w:p w14:paraId="3357ECAD"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r>
      <w:tr w:rsidR="00F634D2" w:rsidRPr="00F634D2" w14:paraId="4B3D9E1F" w14:textId="77777777">
        <w:trPr>
          <w:trHeight w:val="20"/>
        </w:trPr>
        <w:tc>
          <w:tcPr>
            <w:tcW w:w="2544" w:type="pct"/>
            <w:tcBorders>
              <w:top w:val="nil"/>
              <w:left w:val="nil"/>
              <w:bottom w:val="nil"/>
              <w:right w:val="nil"/>
            </w:tcBorders>
            <w:shd w:val="clear" w:color="auto" w:fill="auto"/>
            <w:vAlign w:val="center"/>
            <w:hideMark/>
          </w:tcPr>
          <w:p w14:paraId="04982620"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AfterIDD×LaterYears</w:t>
            </w:r>
            <w:proofErr w:type="spellEnd"/>
          </w:p>
        </w:tc>
        <w:tc>
          <w:tcPr>
            <w:tcW w:w="819" w:type="pct"/>
            <w:tcBorders>
              <w:top w:val="nil"/>
              <w:left w:val="nil"/>
              <w:bottom w:val="nil"/>
              <w:right w:val="nil"/>
            </w:tcBorders>
            <w:shd w:val="clear" w:color="auto" w:fill="auto"/>
            <w:noWrap/>
            <w:vAlign w:val="center"/>
            <w:hideMark/>
          </w:tcPr>
          <w:p w14:paraId="5BFB4D7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0.112**</w:t>
            </w:r>
          </w:p>
        </w:tc>
        <w:tc>
          <w:tcPr>
            <w:tcW w:w="819" w:type="pct"/>
            <w:tcBorders>
              <w:top w:val="nil"/>
              <w:left w:val="nil"/>
              <w:bottom w:val="nil"/>
              <w:right w:val="nil"/>
            </w:tcBorders>
            <w:shd w:val="clear" w:color="auto" w:fill="auto"/>
            <w:noWrap/>
            <w:vAlign w:val="bottom"/>
            <w:hideMark/>
          </w:tcPr>
          <w:p w14:paraId="52D80F78"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bottom"/>
            <w:hideMark/>
          </w:tcPr>
          <w:p w14:paraId="45D659BE"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r>
      <w:tr w:rsidR="00F634D2" w:rsidRPr="00F634D2" w14:paraId="3E046E82" w14:textId="77777777">
        <w:trPr>
          <w:trHeight w:val="20"/>
        </w:trPr>
        <w:tc>
          <w:tcPr>
            <w:tcW w:w="2544" w:type="pct"/>
            <w:tcBorders>
              <w:top w:val="nil"/>
              <w:left w:val="nil"/>
              <w:bottom w:val="nil"/>
              <w:right w:val="nil"/>
            </w:tcBorders>
            <w:shd w:val="clear" w:color="auto" w:fill="auto"/>
            <w:noWrap/>
            <w:vAlign w:val="bottom"/>
            <w:hideMark/>
          </w:tcPr>
          <w:p w14:paraId="15E7EBC6"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bottom"/>
            <w:hideMark/>
          </w:tcPr>
          <w:p w14:paraId="7D4CBC9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(2.08)</w:t>
            </w:r>
          </w:p>
        </w:tc>
        <w:tc>
          <w:tcPr>
            <w:tcW w:w="819" w:type="pct"/>
            <w:tcBorders>
              <w:top w:val="nil"/>
              <w:left w:val="nil"/>
              <w:bottom w:val="nil"/>
              <w:right w:val="nil"/>
            </w:tcBorders>
            <w:shd w:val="clear" w:color="auto" w:fill="auto"/>
            <w:noWrap/>
            <w:vAlign w:val="bottom"/>
            <w:hideMark/>
          </w:tcPr>
          <w:p w14:paraId="03EC7090"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bottom"/>
            <w:hideMark/>
          </w:tcPr>
          <w:p w14:paraId="20A6E74E"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r>
      <w:tr w:rsidR="00F634D2" w:rsidRPr="00F634D2" w14:paraId="739238FD" w14:textId="77777777">
        <w:trPr>
          <w:trHeight w:val="20"/>
        </w:trPr>
        <w:tc>
          <w:tcPr>
            <w:tcW w:w="2544" w:type="pct"/>
            <w:tcBorders>
              <w:top w:val="nil"/>
              <w:left w:val="nil"/>
              <w:bottom w:val="nil"/>
              <w:right w:val="nil"/>
            </w:tcBorders>
            <w:shd w:val="clear" w:color="auto" w:fill="auto"/>
            <w:vAlign w:val="center"/>
            <w:hideMark/>
          </w:tcPr>
          <w:p w14:paraId="4B103C87"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LaterYears2</w:t>
            </w:r>
          </w:p>
        </w:tc>
        <w:tc>
          <w:tcPr>
            <w:tcW w:w="819" w:type="pct"/>
            <w:tcBorders>
              <w:top w:val="nil"/>
              <w:left w:val="nil"/>
              <w:bottom w:val="nil"/>
              <w:right w:val="nil"/>
            </w:tcBorders>
            <w:shd w:val="clear" w:color="auto" w:fill="auto"/>
            <w:noWrap/>
            <w:vAlign w:val="bottom"/>
            <w:hideMark/>
          </w:tcPr>
          <w:p w14:paraId="48EEF5F0" w14:textId="77777777" w:rsidR="00D50589" w:rsidRPr="00F634D2" w:rsidRDefault="00D50589">
            <w:pPr>
              <w:spacing w:after="0" w:line="240" w:lineRule="auto"/>
              <w:rPr>
                <w:rFonts w:ascii="Times New Roman" w:eastAsia="Times New Roman" w:hAnsi="Times New Roman" w:cs="Times New Roman"/>
                <w:i/>
                <w:iCs/>
                <w:sz w:val="24"/>
                <w:szCs w:val="24"/>
                <w:lang w:val="en-GB" w:eastAsia="en-GB"/>
              </w:rPr>
            </w:pPr>
          </w:p>
        </w:tc>
        <w:tc>
          <w:tcPr>
            <w:tcW w:w="819" w:type="pct"/>
            <w:tcBorders>
              <w:top w:val="nil"/>
              <w:left w:val="nil"/>
              <w:bottom w:val="nil"/>
              <w:right w:val="nil"/>
            </w:tcBorders>
            <w:shd w:val="clear" w:color="auto" w:fill="auto"/>
            <w:noWrap/>
            <w:vAlign w:val="center"/>
            <w:hideMark/>
          </w:tcPr>
          <w:p w14:paraId="125DCB7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0.306***</w:t>
            </w:r>
          </w:p>
        </w:tc>
        <w:tc>
          <w:tcPr>
            <w:tcW w:w="819" w:type="pct"/>
            <w:tcBorders>
              <w:top w:val="nil"/>
              <w:left w:val="nil"/>
              <w:bottom w:val="nil"/>
              <w:right w:val="nil"/>
            </w:tcBorders>
            <w:shd w:val="clear" w:color="auto" w:fill="auto"/>
            <w:noWrap/>
            <w:vAlign w:val="bottom"/>
            <w:hideMark/>
          </w:tcPr>
          <w:p w14:paraId="33523399"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248F1FC0" w14:textId="77777777">
        <w:trPr>
          <w:trHeight w:val="20"/>
        </w:trPr>
        <w:tc>
          <w:tcPr>
            <w:tcW w:w="2544" w:type="pct"/>
            <w:tcBorders>
              <w:top w:val="nil"/>
              <w:left w:val="nil"/>
              <w:bottom w:val="nil"/>
              <w:right w:val="nil"/>
            </w:tcBorders>
            <w:shd w:val="clear" w:color="auto" w:fill="auto"/>
            <w:noWrap/>
            <w:vAlign w:val="bottom"/>
            <w:hideMark/>
          </w:tcPr>
          <w:p w14:paraId="4BA13BE5"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bottom"/>
            <w:hideMark/>
          </w:tcPr>
          <w:p w14:paraId="03838EF2"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center"/>
            <w:hideMark/>
          </w:tcPr>
          <w:p w14:paraId="690F89B7"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(4.52)</w:t>
            </w:r>
          </w:p>
        </w:tc>
        <w:tc>
          <w:tcPr>
            <w:tcW w:w="819" w:type="pct"/>
            <w:tcBorders>
              <w:top w:val="nil"/>
              <w:left w:val="nil"/>
              <w:bottom w:val="nil"/>
              <w:right w:val="nil"/>
            </w:tcBorders>
            <w:shd w:val="clear" w:color="auto" w:fill="auto"/>
            <w:noWrap/>
            <w:vAlign w:val="bottom"/>
            <w:hideMark/>
          </w:tcPr>
          <w:p w14:paraId="14232D57"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1CD88961" w14:textId="77777777">
        <w:trPr>
          <w:trHeight w:val="20"/>
        </w:trPr>
        <w:tc>
          <w:tcPr>
            <w:tcW w:w="2544" w:type="pct"/>
            <w:tcBorders>
              <w:top w:val="nil"/>
              <w:left w:val="nil"/>
              <w:bottom w:val="nil"/>
              <w:right w:val="nil"/>
            </w:tcBorders>
            <w:shd w:val="clear" w:color="auto" w:fill="auto"/>
            <w:vAlign w:val="center"/>
            <w:hideMark/>
          </w:tcPr>
          <w:p w14:paraId="21C1C49F"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bookmarkStart w:id="7" w:name="RANGE!E15"/>
            <w:r w:rsidRPr="00F634D2">
              <w:rPr>
                <w:rFonts w:ascii="Times New Roman" w:eastAsia="Times New Roman" w:hAnsi="Times New Roman" w:cs="Times New Roman"/>
                <w:i/>
                <w:iCs/>
                <w:sz w:val="24"/>
                <w:szCs w:val="24"/>
                <w:lang w:val="en-GB" w:eastAsia="en-GB"/>
              </w:rPr>
              <w:t>AfterIDD×LaterYears2</w:t>
            </w:r>
            <w:bookmarkEnd w:id="7"/>
          </w:p>
        </w:tc>
        <w:tc>
          <w:tcPr>
            <w:tcW w:w="819" w:type="pct"/>
            <w:tcBorders>
              <w:top w:val="nil"/>
              <w:left w:val="nil"/>
              <w:bottom w:val="nil"/>
              <w:right w:val="nil"/>
            </w:tcBorders>
            <w:shd w:val="clear" w:color="auto" w:fill="auto"/>
            <w:noWrap/>
            <w:vAlign w:val="bottom"/>
            <w:hideMark/>
          </w:tcPr>
          <w:p w14:paraId="21A0C043" w14:textId="77777777" w:rsidR="00D50589" w:rsidRPr="00F634D2" w:rsidRDefault="00D50589">
            <w:pPr>
              <w:spacing w:after="0" w:line="240" w:lineRule="auto"/>
              <w:rPr>
                <w:rFonts w:ascii="Times New Roman" w:eastAsia="Times New Roman" w:hAnsi="Times New Roman" w:cs="Times New Roman"/>
                <w:i/>
                <w:iCs/>
                <w:sz w:val="24"/>
                <w:szCs w:val="24"/>
                <w:lang w:val="en-GB" w:eastAsia="en-GB"/>
              </w:rPr>
            </w:pPr>
          </w:p>
        </w:tc>
        <w:tc>
          <w:tcPr>
            <w:tcW w:w="819" w:type="pct"/>
            <w:tcBorders>
              <w:top w:val="nil"/>
              <w:left w:val="nil"/>
              <w:bottom w:val="nil"/>
              <w:right w:val="nil"/>
            </w:tcBorders>
            <w:shd w:val="clear" w:color="auto" w:fill="auto"/>
            <w:noWrap/>
            <w:vAlign w:val="center"/>
            <w:hideMark/>
          </w:tcPr>
          <w:p w14:paraId="2EFC7C2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0.138**</w:t>
            </w:r>
          </w:p>
        </w:tc>
        <w:tc>
          <w:tcPr>
            <w:tcW w:w="819" w:type="pct"/>
            <w:tcBorders>
              <w:top w:val="nil"/>
              <w:left w:val="nil"/>
              <w:bottom w:val="nil"/>
              <w:right w:val="nil"/>
            </w:tcBorders>
            <w:shd w:val="clear" w:color="auto" w:fill="auto"/>
            <w:noWrap/>
            <w:vAlign w:val="bottom"/>
            <w:hideMark/>
          </w:tcPr>
          <w:p w14:paraId="27344F72"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0DA1223F" w14:textId="77777777">
        <w:trPr>
          <w:trHeight w:val="20"/>
        </w:trPr>
        <w:tc>
          <w:tcPr>
            <w:tcW w:w="2544" w:type="pct"/>
            <w:tcBorders>
              <w:top w:val="nil"/>
              <w:left w:val="nil"/>
              <w:bottom w:val="nil"/>
              <w:right w:val="nil"/>
            </w:tcBorders>
            <w:shd w:val="clear" w:color="auto" w:fill="auto"/>
            <w:vAlign w:val="center"/>
            <w:hideMark/>
          </w:tcPr>
          <w:p w14:paraId="3A1B1439"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bottom"/>
            <w:hideMark/>
          </w:tcPr>
          <w:p w14:paraId="3BE39B36"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bottom"/>
            <w:hideMark/>
          </w:tcPr>
          <w:p w14:paraId="25C62B8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(2.20)</w:t>
            </w:r>
          </w:p>
        </w:tc>
        <w:tc>
          <w:tcPr>
            <w:tcW w:w="819" w:type="pct"/>
            <w:tcBorders>
              <w:top w:val="nil"/>
              <w:left w:val="nil"/>
              <w:bottom w:val="nil"/>
              <w:right w:val="nil"/>
            </w:tcBorders>
            <w:shd w:val="clear" w:color="auto" w:fill="auto"/>
            <w:noWrap/>
            <w:vAlign w:val="bottom"/>
            <w:hideMark/>
          </w:tcPr>
          <w:p w14:paraId="3E819E42"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4A821C75" w14:textId="77777777">
        <w:trPr>
          <w:trHeight w:val="20"/>
        </w:trPr>
        <w:tc>
          <w:tcPr>
            <w:tcW w:w="2544" w:type="pct"/>
            <w:tcBorders>
              <w:top w:val="nil"/>
              <w:left w:val="nil"/>
              <w:bottom w:val="nil"/>
              <w:right w:val="nil"/>
            </w:tcBorders>
            <w:shd w:val="clear" w:color="auto" w:fill="auto"/>
            <w:vAlign w:val="center"/>
            <w:hideMark/>
          </w:tcPr>
          <w:p w14:paraId="79AB7D4F"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LaterYears1</w:t>
            </w:r>
          </w:p>
        </w:tc>
        <w:tc>
          <w:tcPr>
            <w:tcW w:w="819" w:type="pct"/>
            <w:tcBorders>
              <w:top w:val="nil"/>
              <w:left w:val="nil"/>
              <w:bottom w:val="nil"/>
              <w:right w:val="nil"/>
            </w:tcBorders>
            <w:shd w:val="clear" w:color="auto" w:fill="auto"/>
            <w:noWrap/>
            <w:vAlign w:val="bottom"/>
            <w:hideMark/>
          </w:tcPr>
          <w:p w14:paraId="42F34945" w14:textId="77777777" w:rsidR="00D50589" w:rsidRPr="00F634D2" w:rsidRDefault="00D50589">
            <w:pPr>
              <w:spacing w:after="0" w:line="240" w:lineRule="auto"/>
              <w:rPr>
                <w:rFonts w:ascii="Times New Roman" w:eastAsia="Times New Roman" w:hAnsi="Times New Roman" w:cs="Times New Roman"/>
                <w:i/>
                <w:iCs/>
                <w:sz w:val="24"/>
                <w:szCs w:val="24"/>
                <w:lang w:val="en-GB" w:eastAsia="en-GB"/>
              </w:rPr>
            </w:pPr>
          </w:p>
        </w:tc>
        <w:tc>
          <w:tcPr>
            <w:tcW w:w="819" w:type="pct"/>
            <w:tcBorders>
              <w:top w:val="nil"/>
              <w:left w:val="nil"/>
              <w:bottom w:val="nil"/>
              <w:right w:val="nil"/>
            </w:tcBorders>
            <w:shd w:val="clear" w:color="auto" w:fill="auto"/>
            <w:noWrap/>
            <w:vAlign w:val="bottom"/>
            <w:hideMark/>
          </w:tcPr>
          <w:p w14:paraId="0A4EA26D"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center"/>
            <w:hideMark/>
          </w:tcPr>
          <w:p w14:paraId="05B9F89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0.317***</w:t>
            </w:r>
          </w:p>
        </w:tc>
      </w:tr>
      <w:tr w:rsidR="00F634D2" w:rsidRPr="00F634D2" w14:paraId="4AE55B31" w14:textId="77777777">
        <w:trPr>
          <w:trHeight w:val="20"/>
        </w:trPr>
        <w:tc>
          <w:tcPr>
            <w:tcW w:w="2544" w:type="pct"/>
            <w:tcBorders>
              <w:top w:val="nil"/>
              <w:left w:val="nil"/>
              <w:bottom w:val="nil"/>
              <w:right w:val="nil"/>
            </w:tcBorders>
            <w:shd w:val="clear" w:color="auto" w:fill="auto"/>
            <w:noWrap/>
            <w:vAlign w:val="bottom"/>
            <w:hideMark/>
          </w:tcPr>
          <w:p w14:paraId="7C8A9469"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bottom"/>
            <w:hideMark/>
          </w:tcPr>
          <w:p w14:paraId="6B6C6D2A"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bottom"/>
            <w:hideMark/>
          </w:tcPr>
          <w:p w14:paraId="39A4C930"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center"/>
            <w:hideMark/>
          </w:tcPr>
          <w:p w14:paraId="01C703B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(4.68)</w:t>
            </w:r>
          </w:p>
        </w:tc>
      </w:tr>
      <w:tr w:rsidR="00F634D2" w:rsidRPr="00F634D2" w14:paraId="4D4C2338" w14:textId="77777777">
        <w:trPr>
          <w:trHeight w:val="20"/>
        </w:trPr>
        <w:tc>
          <w:tcPr>
            <w:tcW w:w="2544" w:type="pct"/>
            <w:tcBorders>
              <w:top w:val="nil"/>
              <w:left w:val="nil"/>
              <w:bottom w:val="nil"/>
              <w:right w:val="nil"/>
            </w:tcBorders>
            <w:shd w:val="clear" w:color="auto" w:fill="auto"/>
            <w:vAlign w:val="center"/>
            <w:hideMark/>
          </w:tcPr>
          <w:p w14:paraId="5BE841FD"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AfterIDD×LaterYears1</w:t>
            </w:r>
          </w:p>
        </w:tc>
        <w:tc>
          <w:tcPr>
            <w:tcW w:w="819" w:type="pct"/>
            <w:tcBorders>
              <w:top w:val="nil"/>
              <w:left w:val="nil"/>
              <w:bottom w:val="nil"/>
              <w:right w:val="nil"/>
            </w:tcBorders>
            <w:shd w:val="clear" w:color="auto" w:fill="auto"/>
            <w:noWrap/>
            <w:vAlign w:val="bottom"/>
            <w:hideMark/>
          </w:tcPr>
          <w:p w14:paraId="783879EC" w14:textId="77777777" w:rsidR="00D50589" w:rsidRPr="00F634D2" w:rsidRDefault="00D50589">
            <w:pPr>
              <w:spacing w:after="0" w:line="240" w:lineRule="auto"/>
              <w:rPr>
                <w:rFonts w:ascii="Times New Roman" w:eastAsia="Times New Roman" w:hAnsi="Times New Roman" w:cs="Times New Roman"/>
                <w:i/>
                <w:iCs/>
                <w:sz w:val="24"/>
                <w:szCs w:val="24"/>
                <w:lang w:val="en-GB" w:eastAsia="en-GB"/>
              </w:rPr>
            </w:pPr>
          </w:p>
        </w:tc>
        <w:tc>
          <w:tcPr>
            <w:tcW w:w="819" w:type="pct"/>
            <w:tcBorders>
              <w:top w:val="nil"/>
              <w:left w:val="nil"/>
              <w:bottom w:val="nil"/>
              <w:right w:val="nil"/>
            </w:tcBorders>
            <w:shd w:val="clear" w:color="auto" w:fill="auto"/>
            <w:noWrap/>
            <w:vAlign w:val="bottom"/>
            <w:hideMark/>
          </w:tcPr>
          <w:p w14:paraId="29AA4BF8"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center"/>
            <w:hideMark/>
          </w:tcPr>
          <w:p w14:paraId="05313F0A"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0.151**</w:t>
            </w:r>
          </w:p>
        </w:tc>
      </w:tr>
      <w:tr w:rsidR="00F634D2" w:rsidRPr="00F634D2" w14:paraId="6DF8B98D" w14:textId="77777777">
        <w:trPr>
          <w:trHeight w:val="284"/>
        </w:trPr>
        <w:tc>
          <w:tcPr>
            <w:tcW w:w="2544" w:type="pct"/>
            <w:tcBorders>
              <w:top w:val="nil"/>
              <w:left w:val="nil"/>
              <w:bottom w:val="nil"/>
              <w:right w:val="nil"/>
            </w:tcBorders>
            <w:shd w:val="clear" w:color="auto" w:fill="auto"/>
            <w:vAlign w:val="center"/>
            <w:hideMark/>
          </w:tcPr>
          <w:p w14:paraId="7CF00B35"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bottom"/>
            <w:hideMark/>
          </w:tcPr>
          <w:p w14:paraId="1FEAF7BA"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bottom"/>
            <w:hideMark/>
          </w:tcPr>
          <w:p w14:paraId="142E5DA2"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bottom"/>
            <w:hideMark/>
          </w:tcPr>
          <w:p w14:paraId="51CAD92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(2.36)</w:t>
            </w:r>
          </w:p>
        </w:tc>
      </w:tr>
      <w:tr w:rsidR="00F634D2" w:rsidRPr="00F634D2" w14:paraId="28D53270" w14:textId="77777777">
        <w:trPr>
          <w:trHeight w:val="284"/>
        </w:trPr>
        <w:tc>
          <w:tcPr>
            <w:tcW w:w="2544" w:type="pct"/>
            <w:tcBorders>
              <w:top w:val="nil"/>
              <w:left w:val="nil"/>
              <w:bottom w:val="nil"/>
              <w:right w:val="nil"/>
            </w:tcBorders>
            <w:shd w:val="clear" w:color="auto" w:fill="auto"/>
            <w:vAlign w:val="center"/>
            <w:hideMark/>
          </w:tcPr>
          <w:p w14:paraId="79F34C02"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bottom"/>
            <w:hideMark/>
          </w:tcPr>
          <w:p w14:paraId="05B7D740"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bottom"/>
            <w:hideMark/>
          </w:tcPr>
          <w:p w14:paraId="78C962BA"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19" w:type="pct"/>
            <w:tcBorders>
              <w:top w:val="nil"/>
              <w:left w:val="nil"/>
              <w:bottom w:val="nil"/>
              <w:right w:val="nil"/>
            </w:tcBorders>
            <w:shd w:val="clear" w:color="auto" w:fill="auto"/>
            <w:noWrap/>
            <w:vAlign w:val="bottom"/>
            <w:hideMark/>
          </w:tcPr>
          <w:p w14:paraId="60DD676A"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66336C8D" w14:textId="77777777">
        <w:trPr>
          <w:trHeight w:val="284"/>
        </w:trPr>
        <w:tc>
          <w:tcPr>
            <w:tcW w:w="2544" w:type="pct"/>
            <w:tcBorders>
              <w:top w:val="nil"/>
              <w:left w:val="nil"/>
              <w:bottom w:val="nil"/>
              <w:right w:val="nil"/>
            </w:tcBorders>
            <w:shd w:val="clear" w:color="auto" w:fill="auto"/>
            <w:noWrap/>
            <w:vAlign w:val="bottom"/>
            <w:hideMark/>
          </w:tcPr>
          <w:p w14:paraId="15FCBFDE"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Controls</w:t>
            </w:r>
          </w:p>
        </w:tc>
        <w:tc>
          <w:tcPr>
            <w:tcW w:w="819" w:type="pct"/>
            <w:tcBorders>
              <w:top w:val="nil"/>
              <w:left w:val="nil"/>
              <w:bottom w:val="nil"/>
              <w:right w:val="nil"/>
            </w:tcBorders>
            <w:shd w:val="clear" w:color="auto" w:fill="auto"/>
            <w:noWrap/>
            <w:vAlign w:val="center"/>
            <w:hideMark/>
          </w:tcPr>
          <w:p w14:paraId="1C595E9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819" w:type="pct"/>
            <w:tcBorders>
              <w:top w:val="nil"/>
              <w:left w:val="nil"/>
              <w:bottom w:val="nil"/>
              <w:right w:val="nil"/>
            </w:tcBorders>
            <w:shd w:val="clear" w:color="auto" w:fill="auto"/>
            <w:noWrap/>
            <w:vAlign w:val="center"/>
            <w:hideMark/>
          </w:tcPr>
          <w:p w14:paraId="2B8DE65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819" w:type="pct"/>
            <w:tcBorders>
              <w:top w:val="nil"/>
              <w:left w:val="nil"/>
              <w:bottom w:val="nil"/>
              <w:right w:val="nil"/>
            </w:tcBorders>
            <w:shd w:val="clear" w:color="auto" w:fill="auto"/>
            <w:noWrap/>
            <w:vAlign w:val="center"/>
            <w:hideMark/>
          </w:tcPr>
          <w:p w14:paraId="7DCABFF7"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r>
      <w:tr w:rsidR="00F634D2" w:rsidRPr="00F634D2" w14:paraId="23330CFD" w14:textId="77777777">
        <w:trPr>
          <w:trHeight w:val="20"/>
        </w:trPr>
        <w:tc>
          <w:tcPr>
            <w:tcW w:w="2544" w:type="pct"/>
            <w:tcBorders>
              <w:top w:val="nil"/>
              <w:left w:val="nil"/>
              <w:bottom w:val="nil"/>
              <w:right w:val="nil"/>
            </w:tcBorders>
            <w:shd w:val="clear" w:color="auto" w:fill="auto"/>
            <w:noWrap/>
            <w:vAlign w:val="center"/>
            <w:hideMark/>
          </w:tcPr>
          <w:p w14:paraId="5DD846F2"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Firm fixed effects</w:t>
            </w:r>
          </w:p>
        </w:tc>
        <w:tc>
          <w:tcPr>
            <w:tcW w:w="819" w:type="pct"/>
            <w:tcBorders>
              <w:top w:val="nil"/>
              <w:left w:val="nil"/>
              <w:bottom w:val="nil"/>
              <w:right w:val="nil"/>
            </w:tcBorders>
            <w:shd w:val="clear" w:color="auto" w:fill="auto"/>
            <w:noWrap/>
            <w:vAlign w:val="center"/>
            <w:hideMark/>
          </w:tcPr>
          <w:p w14:paraId="4D26971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819" w:type="pct"/>
            <w:tcBorders>
              <w:top w:val="nil"/>
              <w:left w:val="nil"/>
              <w:bottom w:val="nil"/>
              <w:right w:val="nil"/>
            </w:tcBorders>
            <w:shd w:val="clear" w:color="auto" w:fill="auto"/>
            <w:noWrap/>
            <w:vAlign w:val="center"/>
            <w:hideMark/>
          </w:tcPr>
          <w:p w14:paraId="5C7E494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819" w:type="pct"/>
            <w:tcBorders>
              <w:top w:val="nil"/>
              <w:left w:val="nil"/>
              <w:bottom w:val="nil"/>
              <w:right w:val="nil"/>
            </w:tcBorders>
            <w:shd w:val="clear" w:color="auto" w:fill="auto"/>
            <w:noWrap/>
            <w:vAlign w:val="center"/>
            <w:hideMark/>
          </w:tcPr>
          <w:p w14:paraId="73CD39E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r>
      <w:tr w:rsidR="00F634D2" w:rsidRPr="00F634D2" w14:paraId="3045B794" w14:textId="77777777">
        <w:trPr>
          <w:trHeight w:val="20"/>
        </w:trPr>
        <w:tc>
          <w:tcPr>
            <w:tcW w:w="2544" w:type="pct"/>
            <w:tcBorders>
              <w:top w:val="nil"/>
              <w:left w:val="nil"/>
              <w:bottom w:val="nil"/>
              <w:right w:val="nil"/>
            </w:tcBorders>
            <w:shd w:val="clear" w:color="auto" w:fill="auto"/>
            <w:noWrap/>
            <w:vAlign w:val="center"/>
            <w:hideMark/>
          </w:tcPr>
          <w:p w14:paraId="7886170E"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Industry× Year fixed effects</w:t>
            </w:r>
          </w:p>
        </w:tc>
        <w:tc>
          <w:tcPr>
            <w:tcW w:w="819" w:type="pct"/>
            <w:tcBorders>
              <w:top w:val="nil"/>
              <w:left w:val="nil"/>
              <w:bottom w:val="nil"/>
              <w:right w:val="nil"/>
            </w:tcBorders>
            <w:shd w:val="clear" w:color="auto" w:fill="auto"/>
            <w:noWrap/>
            <w:vAlign w:val="center"/>
            <w:hideMark/>
          </w:tcPr>
          <w:p w14:paraId="4B2F696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819" w:type="pct"/>
            <w:tcBorders>
              <w:top w:val="nil"/>
              <w:left w:val="nil"/>
              <w:bottom w:val="nil"/>
              <w:right w:val="nil"/>
            </w:tcBorders>
            <w:shd w:val="clear" w:color="auto" w:fill="auto"/>
            <w:noWrap/>
            <w:vAlign w:val="center"/>
            <w:hideMark/>
          </w:tcPr>
          <w:p w14:paraId="74EC3F74"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819" w:type="pct"/>
            <w:tcBorders>
              <w:top w:val="nil"/>
              <w:left w:val="nil"/>
              <w:bottom w:val="nil"/>
              <w:right w:val="nil"/>
            </w:tcBorders>
            <w:shd w:val="clear" w:color="auto" w:fill="auto"/>
            <w:noWrap/>
            <w:vAlign w:val="center"/>
            <w:hideMark/>
          </w:tcPr>
          <w:p w14:paraId="264B429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r>
      <w:tr w:rsidR="00F634D2" w:rsidRPr="00F634D2" w14:paraId="6D4F77D3" w14:textId="77777777">
        <w:trPr>
          <w:trHeight w:val="20"/>
        </w:trPr>
        <w:tc>
          <w:tcPr>
            <w:tcW w:w="2544" w:type="pct"/>
            <w:tcBorders>
              <w:top w:val="nil"/>
              <w:left w:val="nil"/>
              <w:bottom w:val="nil"/>
              <w:right w:val="nil"/>
            </w:tcBorders>
            <w:shd w:val="clear" w:color="auto" w:fill="auto"/>
            <w:noWrap/>
            <w:vAlign w:val="center"/>
            <w:hideMark/>
          </w:tcPr>
          <w:p w14:paraId="7DA068C0"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R</w:t>
            </w:r>
            <w:r w:rsidRPr="00F634D2">
              <w:rPr>
                <w:rFonts w:ascii="Times New Roman" w:eastAsia="Times New Roman" w:hAnsi="Times New Roman" w:cs="Times New Roman"/>
                <w:sz w:val="24"/>
                <w:szCs w:val="24"/>
                <w:vertAlign w:val="superscript"/>
                <w:lang w:val="en-GB" w:eastAsia="en-GB"/>
              </w:rPr>
              <w:t>2</w:t>
            </w:r>
          </w:p>
        </w:tc>
        <w:tc>
          <w:tcPr>
            <w:tcW w:w="819" w:type="pct"/>
            <w:tcBorders>
              <w:top w:val="nil"/>
              <w:left w:val="nil"/>
              <w:bottom w:val="nil"/>
              <w:right w:val="nil"/>
            </w:tcBorders>
            <w:shd w:val="clear" w:color="auto" w:fill="auto"/>
            <w:noWrap/>
            <w:vAlign w:val="center"/>
            <w:hideMark/>
          </w:tcPr>
          <w:p w14:paraId="0DDF929A"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0.37</w:t>
            </w:r>
          </w:p>
        </w:tc>
        <w:tc>
          <w:tcPr>
            <w:tcW w:w="819" w:type="pct"/>
            <w:tcBorders>
              <w:top w:val="nil"/>
              <w:left w:val="nil"/>
              <w:bottom w:val="nil"/>
              <w:right w:val="nil"/>
            </w:tcBorders>
            <w:shd w:val="clear" w:color="auto" w:fill="auto"/>
            <w:noWrap/>
            <w:vAlign w:val="center"/>
            <w:hideMark/>
          </w:tcPr>
          <w:p w14:paraId="5507D35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0.37</w:t>
            </w:r>
          </w:p>
        </w:tc>
        <w:tc>
          <w:tcPr>
            <w:tcW w:w="819" w:type="pct"/>
            <w:tcBorders>
              <w:top w:val="nil"/>
              <w:left w:val="nil"/>
              <w:bottom w:val="nil"/>
              <w:right w:val="nil"/>
            </w:tcBorders>
            <w:shd w:val="clear" w:color="auto" w:fill="auto"/>
            <w:noWrap/>
            <w:vAlign w:val="center"/>
            <w:hideMark/>
          </w:tcPr>
          <w:p w14:paraId="2844AA8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0.38</w:t>
            </w:r>
          </w:p>
        </w:tc>
      </w:tr>
      <w:tr w:rsidR="00F634D2" w:rsidRPr="00F634D2" w14:paraId="6564DFBF" w14:textId="77777777">
        <w:trPr>
          <w:trHeight w:val="20"/>
        </w:trPr>
        <w:tc>
          <w:tcPr>
            <w:tcW w:w="2544" w:type="pct"/>
            <w:tcBorders>
              <w:top w:val="nil"/>
              <w:left w:val="nil"/>
              <w:bottom w:val="single" w:sz="4" w:space="0" w:color="auto"/>
              <w:right w:val="nil"/>
            </w:tcBorders>
            <w:shd w:val="clear" w:color="auto" w:fill="auto"/>
            <w:noWrap/>
            <w:vAlign w:val="center"/>
            <w:hideMark/>
          </w:tcPr>
          <w:p w14:paraId="1CB4D7FC"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N</w:t>
            </w:r>
          </w:p>
        </w:tc>
        <w:tc>
          <w:tcPr>
            <w:tcW w:w="819" w:type="pct"/>
            <w:tcBorders>
              <w:top w:val="nil"/>
              <w:left w:val="nil"/>
              <w:bottom w:val="single" w:sz="4" w:space="0" w:color="auto"/>
              <w:right w:val="nil"/>
            </w:tcBorders>
            <w:shd w:val="clear" w:color="auto" w:fill="auto"/>
            <w:noWrap/>
            <w:vAlign w:val="center"/>
            <w:hideMark/>
          </w:tcPr>
          <w:p w14:paraId="60CE9B9D"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17,257</w:t>
            </w:r>
          </w:p>
        </w:tc>
        <w:tc>
          <w:tcPr>
            <w:tcW w:w="819" w:type="pct"/>
            <w:tcBorders>
              <w:top w:val="nil"/>
              <w:left w:val="nil"/>
              <w:bottom w:val="single" w:sz="4" w:space="0" w:color="auto"/>
              <w:right w:val="nil"/>
            </w:tcBorders>
            <w:shd w:val="clear" w:color="auto" w:fill="auto"/>
            <w:noWrap/>
            <w:vAlign w:val="center"/>
            <w:hideMark/>
          </w:tcPr>
          <w:p w14:paraId="7134B14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17,257</w:t>
            </w:r>
          </w:p>
        </w:tc>
        <w:tc>
          <w:tcPr>
            <w:tcW w:w="819" w:type="pct"/>
            <w:tcBorders>
              <w:top w:val="nil"/>
              <w:left w:val="nil"/>
              <w:bottom w:val="single" w:sz="4" w:space="0" w:color="auto"/>
              <w:right w:val="nil"/>
            </w:tcBorders>
            <w:shd w:val="clear" w:color="auto" w:fill="auto"/>
            <w:noWrap/>
            <w:vAlign w:val="center"/>
            <w:hideMark/>
          </w:tcPr>
          <w:p w14:paraId="0D829398"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17,257</w:t>
            </w:r>
          </w:p>
        </w:tc>
      </w:tr>
      <w:tr w:rsidR="00F634D2" w:rsidRPr="00F634D2" w14:paraId="17516A7A" w14:textId="77777777">
        <w:trPr>
          <w:trHeight w:val="20"/>
        </w:trPr>
        <w:tc>
          <w:tcPr>
            <w:tcW w:w="5000" w:type="pct"/>
            <w:gridSpan w:val="4"/>
            <w:tcBorders>
              <w:top w:val="single" w:sz="4" w:space="0" w:color="auto"/>
              <w:left w:val="nil"/>
              <w:bottom w:val="nil"/>
              <w:right w:val="nil"/>
            </w:tcBorders>
            <w:shd w:val="clear" w:color="auto" w:fill="auto"/>
            <w:vAlign w:val="bottom"/>
            <w:hideMark/>
          </w:tcPr>
          <w:p w14:paraId="69E87EB2" w14:textId="77777777" w:rsidR="00D50589" w:rsidRPr="00F634D2" w:rsidRDefault="00686261">
            <w:pPr>
              <w:spacing w:after="0" w:line="240" w:lineRule="auto"/>
              <w:jc w:val="both"/>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 xml:space="preserve">This table reports the results from OLS regressions of CEO Vega on the indicator for IDD adoption and partition variable based on CEO tenure. The dependent variable is </w:t>
            </w:r>
            <w:r w:rsidRPr="00F634D2">
              <w:rPr>
                <w:rFonts w:ascii="Times New Roman" w:eastAsia="Times New Roman" w:hAnsi="Times New Roman" w:cs="Times New Roman"/>
                <w:i/>
                <w:iCs/>
                <w:sz w:val="24"/>
                <w:szCs w:val="24"/>
                <w:lang w:val="en-GB" w:eastAsia="en-GB"/>
              </w:rPr>
              <w:t>Vega</w:t>
            </w:r>
            <w:r w:rsidRPr="00F634D2">
              <w:rPr>
                <w:rFonts w:ascii="Times New Roman" w:eastAsia="Times New Roman" w:hAnsi="Times New Roman" w:cs="Times New Roman"/>
                <w:sz w:val="24"/>
                <w:szCs w:val="24"/>
                <w:lang w:val="en-GB" w:eastAsia="en-GB"/>
              </w:rPr>
              <w:t>. Controls are the control variables identified in equation (1). The variables are defined in Appendix A. Standard errors are corrected for heteroskedasticity and clustering at the state level. *, **, and *** denote significance at the 10%, 5%, and 1% levels, respectively.</w:t>
            </w:r>
          </w:p>
        </w:tc>
      </w:tr>
    </w:tbl>
    <w:p w14:paraId="296E8ECE" w14:textId="77777777" w:rsidR="00D50589" w:rsidRPr="00F634D2" w:rsidRDefault="00686261">
      <w:pPr>
        <w:rPr>
          <w:rFonts w:ascii="Times New Roman" w:hAnsi="Times New Roman" w:cs="Times New Roman"/>
        </w:rPr>
      </w:pPr>
      <w:r w:rsidRPr="00F634D2">
        <w:rPr>
          <w:rFonts w:ascii="Times New Roman" w:hAnsi="Times New Roman" w:cs="Times New Roman"/>
        </w:rPr>
        <w:br w:type="page"/>
      </w:r>
    </w:p>
    <w:tbl>
      <w:tblPr>
        <w:tblW w:w="5000" w:type="pct"/>
        <w:tblLook w:val="04A0" w:firstRow="1" w:lastRow="0" w:firstColumn="1" w:lastColumn="0" w:noHBand="0" w:noVBand="1"/>
      </w:tblPr>
      <w:tblGrid>
        <w:gridCol w:w="3402"/>
        <w:gridCol w:w="2691"/>
        <w:gridCol w:w="2689"/>
      </w:tblGrid>
      <w:tr w:rsidR="00F634D2" w:rsidRPr="00F634D2" w14:paraId="1018D33B" w14:textId="77777777">
        <w:trPr>
          <w:trHeight w:val="20"/>
        </w:trPr>
        <w:tc>
          <w:tcPr>
            <w:tcW w:w="5000" w:type="pct"/>
            <w:gridSpan w:val="3"/>
            <w:tcBorders>
              <w:top w:val="nil"/>
              <w:left w:val="nil"/>
              <w:bottom w:val="single" w:sz="4" w:space="0" w:color="auto"/>
              <w:right w:val="nil"/>
            </w:tcBorders>
            <w:shd w:val="clear" w:color="auto" w:fill="auto"/>
            <w:noWrap/>
            <w:vAlign w:val="bottom"/>
            <w:hideMark/>
          </w:tcPr>
          <w:p w14:paraId="11694F6D" w14:textId="77777777" w:rsidR="00D50589" w:rsidRPr="00F634D2" w:rsidRDefault="00686261" w:rsidP="007E03F2">
            <w:pPr>
              <w:spacing w:afterLines="50" w:after="12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b/>
                <w:bCs/>
                <w:sz w:val="24"/>
                <w:szCs w:val="24"/>
                <w:lang w:val="en-GB" w:eastAsia="en-GB"/>
              </w:rPr>
              <w:lastRenderedPageBreak/>
              <w:t>Table 6.</w:t>
            </w:r>
            <w:r w:rsidRPr="00F634D2">
              <w:rPr>
                <w:rFonts w:ascii="Times New Roman" w:eastAsia="Times New Roman" w:hAnsi="Times New Roman" w:cs="Times New Roman"/>
                <w:sz w:val="24"/>
                <w:szCs w:val="24"/>
                <w:lang w:val="en-GB" w:eastAsia="en-GB"/>
              </w:rPr>
              <w:t xml:space="preserve"> IDD Adoption, CEO delta and firms’ risk-taking </w:t>
            </w:r>
          </w:p>
        </w:tc>
      </w:tr>
      <w:tr w:rsidR="00F634D2" w:rsidRPr="00F634D2" w14:paraId="0C35743C" w14:textId="77777777" w:rsidTr="007E03F2">
        <w:trPr>
          <w:trHeight w:val="20"/>
        </w:trPr>
        <w:tc>
          <w:tcPr>
            <w:tcW w:w="1937" w:type="pct"/>
            <w:tcBorders>
              <w:top w:val="nil"/>
              <w:left w:val="nil"/>
              <w:bottom w:val="single" w:sz="4" w:space="0" w:color="auto"/>
              <w:right w:val="nil"/>
            </w:tcBorders>
            <w:shd w:val="clear" w:color="auto" w:fill="auto"/>
            <w:noWrap/>
            <w:vAlign w:val="bottom"/>
            <w:hideMark/>
          </w:tcPr>
          <w:p w14:paraId="236C2E9D"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 </w:t>
            </w:r>
          </w:p>
        </w:tc>
        <w:tc>
          <w:tcPr>
            <w:tcW w:w="1532" w:type="pct"/>
            <w:tcBorders>
              <w:top w:val="single" w:sz="4" w:space="0" w:color="auto"/>
              <w:left w:val="nil"/>
              <w:bottom w:val="single" w:sz="4" w:space="0" w:color="auto"/>
              <w:right w:val="nil"/>
            </w:tcBorders>
            <w:shd w:val="clear" w:color="auto" w:fill="auto"/>
            <w:noWrap/>
            <w:vAlign w:val="bottom"/>
            <w:hideMark/>
          </w:tcPr>
          <w:p w14:paraId="08450F0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w:t>
            </w:r>
          </w:p>
        </w:tc>
        <w:tc>
          <w:tcPr>
            <w:tcW w:w="1532" w:type="pct"/>
            <w:tcBorders>
              <w:top w:val="single" w:sz="4" w:space="0" w:color="auto"/>
              <w:left w:val="nil"/>
              <w:bottom w:val="single" w:sz="4" w:space="0" w:color="auto"/>
              <w:right w:val="nil"/>
            </w:tcBorders>
            <w:shd w:val="clear" w:color="auto" w:fill="auto"/>
            <w:noWrap/>
            <w:vAlign w:val="bottom"/>
            <w:hideMark/>
          </w:tcPr>
          <w:p w14:paraId="5C5D8EA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w:t>
            </w:r>
          </w:p>
        </w:tc>
      </w:tr>
      <w:tr w:rsidR="00F634D2" w:rsidRPr="00F634D2" w14:paraId="040B33A6" w14:textId="77777777" w:rsidTr="007E03F2">
        <w:trPr>
          <w:trHeight w:val="20"/>
        </w:trPr>
        <w:tc>
          <w:tcPr>
            <w:tcW w:w="1937" w:type="pct"/>
            <w:tcBorders>
              <w:top w:val="single" w:sz="4" w:space="0" w:color="auto"/>
              <w:left w:val="nil"/>
              <w:bottom w:val="single" w:sz="4" w:space="0" w:color="auto"/>
              <w:right w:val="nil"/>
            </w:tcBorders>
            <w:shd w:val="clear" w:color="auto" w:fill="auto"/>
            <w:noWrap/>
            <w:vAlign w:val="bottom"/>
            <w:hideMark/>
          </w:tcPr>
          <w:p w14:paraId="79B8C8AE"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Dep. Var.</w:t>
            </w:r>
          </w:p>
        </w:tc>
        <w:tc>
          <w:tcPr>
            <w:tcW w:w="1532" w:type="pct"/>
            <w:tcBorders>
              <w:top w:val="nil"/>
              <w:left w:val="nil"/>
              <w:bottom w:val="single" w:sz="4" w:space="0" w:color="auto"/>
              <w:right w:val="nil"/>
            </w:tcBorders>
            <w:shd w:val="clear" w:color="auto" w:fill="auto"/>
            <w:noWrap/>
            <w:vAlign w:val="bottom"/>
            <w:hideMark/>
          </w:tcPr>
          <w:p w14:paraId="40F7C5D4" w14:textId="77777777" w:rsidR="00D50589" w:rsidRPr="00F634D2" w:rsidRDefault="00686261">
            <w:pPr>
              <w:spacing w:after="0" w:line="240" w:lineRule="auto"/>
              <w:jc w:val="center"/>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Delta</w:t>
            </w:r>
          </w:p>
        </w:tc>
        <w:tc>
          <w:tcPr>
            <w:tcW w:w="1532" w:type="pct"/>
            <w:tcBorders>
              <w:top w:val="nil"/>
              <w:left w:val="nil"/>
              <w:bottom w:val="single" w:sz="4" w:space="0" w:color="auto"/>
              <w:right w:val="nil"/>
            </w:tcBorders>
            <w:shd w:val="clear" w:color="auto" w:fill="auto"/>
            <w:noWrap/>
            <w:vAlign w:val="bottom"/>
            <w:hideMark/>
          </w:tcPr>
          <w:p w14:paraId="7C6D315A" w14:textId="77777777" w:rsidR="00D50589" w:rsidRPr="00F634D2" w:rsidRDefault="00686261">
            <w:pPr>
              <w:spacing w:after="0" w:line="240" w:lineRule="auto"/>
              <w:jc w:val="center"/>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Risk</w:t>
            </w:r>
          </w:p>
        </w:tc>
      </w:tr>
      <w:tr w:rsidR="00F634D2" w:rsidRPr="00F634D2" w14:paraId="0E05F14A" w14:textId="77777777" w:rsidTr="007E03F2">
        <w:trPr>
          <w:trHeight w:val="20"/>
        </w:trPr>
        <w:tc>
          <w:tcPr>
            <w:tcW w:w="1937" w:type="pct"/>
            <w:tcBorders>
              <w:top w:val="nil"/>
              <w:left w:val="nil"/>
              <w:bottom w:val="nil"/>
              <w:right w:val="nil"/>
            </w:tcBorders>
            <w:shd w:val="clear" w:color="auto" w:fill="auto"/>
            <w:noWrap/>
            <w:vAlign w:val="center"/>
            <w:hideMark/>
          </w:tcPr>
          <w:p w14:paraId="3CC914C9"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Constant</w:t>
            </w:r>
          </w:p>
        </w:tc>
        <w:tc>
          <w:tcPr>
            <w:tcW w:w="1532" w:type="pct"/>
            <w:tcBorders>
              <w:top w:val="nil"/>
              <w:left w:val="nil"/>
              <w:bottom w:val="nil"/>
              <w:right w:val="nil"/>
            </w:tcBorders>
            <w:shd w:val="clear" w:color="auto" w:fill="auto"/>
            <w:noWrap/>
            <w:vAlign w:val="center"/>
            <w:hideMark/>
          </w:tcPr>
          <w:p w14:paraId="092F46A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0.372</w:t>
            </w:r>
          </w:p>
        </w:tc>
        <w:tc>
          <w:tcPr>
            <w:tcW w:w="1532" w:type="pct"/>
            <w:tcBorders>
              <w:top w:val="nil"/>
              <w:left w:val="nil"/>
              <w:bottom w:val="nil"/>
              <w:right w:val="nil"/>
            </w:tcBorders>
            <w:shd w:val="clear" w:color="auto" w:fill="auto"/>
            <w:noWrap/>
            <w:vAlign w:val="center"/>
            <w:hideMark/>
          </w:tcPr>
          <w:p w14:paraId="75B724A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–1.103</w:t>
            </w:r>
          </w:p>
        </w:tc>
      </w:tr>
      <w:tr w:rsidR="00F634D2" w:rsidRPr="00F634D2" w14:paraId="5CCD0DF6" w14:textId="77777777" w:rsidTr="007E03F2">
        <w:trPr>
          <w:trHeight w:val="20"/>
        </w:trPr>
        <w:tc>
          <w:tcPr>
            <w:tcW w:w="1937" w:type="pct"/>
            <w:tcBorders>
              <w:top w:val="nil"/>
              <w:left w:val="nil"/>
              <w:bottom w:val="nil"/>
              <w:right w:val="nil"/>
            </w:tcBorders>
            <w:shd w:val="clear" w:color="auto" w:fill="auto"/>
            <w:noWrap/>
            <w:vAlign w:val="bottom"/>
            <w:hideMark/>
          </w:tcPr>
          <w:p w14:paraId="15065676"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1532" w:type="pct"/>
            <w:tcBorders>
              <w:top w:val="nil"/>
              <w:left w:val="nil"/>
              <w:bottom w:val="nil"/>
              <w:right w:val="nil"/>
            </w:tcBorders>
            <w:shd w:val="clear" w:color="auto" w:fill="auto"/>
            <w:noWrap/>
            <w:vAlign w:val="center"/>
            <w:hideMark/>
          </w:tcPr>
          <w:p w14:paraId="2F2FB7A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(0.74)</w:t>
            </w:r>
          </w:p>
        </w:tc>
        <w:tc>
          <w:tcPr>
            <w:tcW w:w="1532" w:type="pct"/>
            <w:tcBorders>
              <w:top w:val="nil"/>
              <w:left w:val="nil"/>
              <w:bottom w:val="nil"/>
              <w:right w:val="nil"/>
            </w:tcBorders>
            <w:shd w:val="clear" w:color="auto" w:fill="auto"/>
            <w:noWrap/>
            <w:vAlign w:val="center"/>
            <w:hideMark/>
          </w:tcPr>
          <w:p w14:paraId="54A5196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(–1.64)</w:t>
            </w:r>
          </w:p>
        </w:tc>
      </w:tr>
      <w:tr w:rsidR="00F634D2" w:rsidRPr="00F634D2" w14:paraId="6DAEA0DF" w14:textId="77777777" w:rsidTr="007E03F2">
        <w:trPr>
          <w:trHeight w:val="20"/>
        </w:trPr>
        <w:tc>
          <w:tcPr>
            <w:tcW w:w="1937" w:type="pct"/>
            <w:tcBorders>
              <w:top w:val="nil"/>
              <w:left w:val="nil"/>
              <w:bottom w:val="nil"/>
              <w:right w:val="nil"/>
            </w:tcBorders>
            <w:shd w:val="clear" w:color="auto" w:fill="auto"/>
            <w:vAlign w:val="center"/>
            <w:hideMark/>
          </w:tcPr>
          <w:p w14:paraId="419D8C61"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AfterIDD</w:t>
            </w:r>
            <w:proofErr w:type="spellEnd"/>
          </w:p>
        </w:tc>
        <w:tc>
          <w:tcPr>
            <w:tcW w:w="1532" w:type="pct"/>
            <w:tcBorders>
              <w:top w:val="nil"/>
              <w:left w:val="nil"/>
              <w:bottom w:val="nil"/>
              <w:right w:val="nil"/>
            </w:tcBorders>
            <w:shd w:val="clear" w:color="auto" w:fill="auto"/>
            <w:noWrap/>
            <w:vAlign w:val="center"/>
            <w:hideMark/>
          </w:tcPr>
          <w:p w14:paraId="541F424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–0.003</w:t>
            </w:r>
          </w:p>
        </w:tc>
        <w:tc>
          <w:tcPr>
            <w:tcW w:w="1532" w:type="pct"/>
            <w:tcBorders>
              <w:top w:val="nil"/>
              <w:left w:val="nil"/>
              <w:bottom w:val="nil"/>
              <w:right w:val="nil"/>
            </w:tcBorders>
            <w:shd w:val="clear" w:color="auto" w:fill="auto"/>
            <w:noWrap/>
            <w:vAlign w:val="center"/>
            <w:hideMark/>
          </w:tcPr>
          <w:p w14:paraId="4E3F4E6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–0.126**</w:t>
            </w:r>
          </w:p>
        </w:tc>
      </w:tr>
      <w:tr w:rsidR="00F634D2" w:rsidRPr="00F634D2" w14:paraId="164721BC" w14:textId="77777777" w:rsidTr="007E03F2">
        <w:trPr>
          <w:trHeight w:val="284"/>
        </w:trPr>
        <w:tc>
          <w:tcPr>
            <w:tcW w:w="1937" w:type="pct"/>
            <w:tcBorders>
              <w:top w:val="nil"/>
              <w:left w:val="nil"/>
              <w:bottom w:val="nil"/>
              <w:right w:val="nil"/>
            </w:tcBorders>
            <w:shd w:val="clear" w:color="auto" w:fill="auto"/>
            <w:noWrap/>
            <w:vAlign w:val="bottom"/>
            <w:hideMark/>
          </w:tcPr>
          <w:p w14:paraId="5F5E8FB5"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1532" w:type="pct"/>
            <w:tcBorders>
              <w:top w:val="nil"/>
              <w:left w:val="nil"/>
              <w:bottom w:val="nil"/>
              <w:right w:val="nil"/>
            </w:tcBorders>
            <w:shd w:val="clear" w:color="auto" w:fill="auto"/>
            <w:noWrap/>
            <w:vAlign w:val="center"/>
            <w:hideMark/>
          </w:tcPr>
          <w:p w14:paraId="49BC06F8"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(–0.06)</w:t>
            </w:r>
          </w:p>
        </w:tc>
        <w:tc>
          <w:tcPr>
            <w:tcW w:w="1532" w:type="pct"/>
            <w:tcBorders>
              <w:top w:val="nil"/>
              <w:left w:val="nil"/>
              <w:bottom w:val="nil"/>
              <w:right w:val="nil"/>
            </w:tcBorders>
            <w:shd w:val="clear" w:color="auto" w:fill="auto"/>
            <w:noWrap/>
            <w:vAlign w:val="center"/>
            <w:hideMark/>
          </w:tcPr>
          <w:p w14:paraId="4D64275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(–2.01)</w:t>
            </w:r>
          </w:p>
        </w:tc>
      </w:tr>
      <w:tr w:rsidR="00F634D2" w:rsidRPr="00F634D2" w14:paraId="56E8D975" w14:textId="77777777" w:rsidTr="007E03F2">
        <w:trPr>
          <w:trHeight w:val="284"/>
        </w:trPr>
        <w:tc>
          <w:tcPr>
            <w:tcW w:w="1937" w:type="pct"/>
            <w:tcBorders>
              <w:top w:val="nil"/>
              <w:left w:val="nil"/>
              <w:bottom w:val="nil"/>
              <w:right w:val="nil"/>
            </w:tcBorders>
            <w:shd w:val="clear" w:color="auto" w:fill="auto"/>
            <w:noWrap/>
            <w:vAlign w:val="bottom"/>
            <w:hideMark/>
          </w:tcPr>
          <w:p w14:paraId="41E5E1F1"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1532" w:type="pct"/>
            <w:tcBorders>
              <w:top w:val="nil"/>
              <w:left w:val="nil"/>
              <w:bottom w:val="nil"/>
              <w:right w:val="nil"/>
            </w:tcBorders>
            <w:shd w:val="clear" w:color="auto" w:fill="auto"/>
            <w:noWrap/>
            <w:vAlign w:val="bottom"/>
            <w:hideMark/>
          </w:tcPr>
          <w:p w14:paraId="2B19C0AE"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1532" w:type="pct"/>
            <w:tcBorders>
              <w:top w:val="nil"/>
              <w:left w:val="nil"/>
              <w:bottom w:val="nil"/>
              <w:right w:val="nil"/>
            </w:tcBorders>
            <w:shd w:val="clear" w:color="auto" w:fill="auto"/>
            <w:noWrap/>
            <w:vAlign w:val="bottom"/>
            <w:hideMark/>
          </w:tcPr>
          <w:p w14:paraId="16019CCB"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0525FF59" w14:textId="77777777" w:rsidTr="007E03F2">
        <w:trPr>
          <w:trHeight w:val="284"/>
        </w:trPr>
        <w:tc>
          <w:tcPr>
            <w:tcW w:w="1937" w:type="pct"/>
            <w:tcBorders>
              <w:top w:val="nil"/>
              <w:left w:val="nil"/>
              <w:bottom w:val="nil"/>
              <w:right w:val="nil"/>
            </w:tcBorders>
            <w:shd w:val="clear" w:color="auto" w:fill="auto"/>
            <w:noWrap/>
            <w:vAlign w:val="bottom"/>
            <w:hideMark/>
          </w:tcPr>
          <w:p w14:paraId="3DEB42CF"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Controls</w:t>
            </w:r>
          </w:p>
        </w:tc>
        <w:tc>
          <w:tcPr>
            <w:tcW w:w="1532" w:type="pct"/>
            <w:tcBorders>
              <w:top w:val="nil"/>
              <w:left w:val="nil"/>
              <w:bottom w:val="nil"/>
              <w:right w:val="nil"/>
            </w:tcBorders>
            <w:shd w:val="clear" w:color="auto" w:fill="auto"/>
            <w:noWrap/>
            <w:vAlign w:val="center"/>
            <w:hideMark/>
          </w:tcPr>
          <w:p w14:paraId="056EC8D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1532" w:type="pct"/>
            <w:tcBorders>
              <w:top w:val="nil"/>
              <w:left w:val="nil"/>
              <w:bottom w:val="nil"/>
              <w:right w:val="nil"/>
            </w:tcBorders>
            <w:shd w:val="clear" w:color="auto" w:fill="auto"/>
            <w:noWrap/>
            <w:vAlign w:val="center"/>
            <w:hideMark/>
          </w:tcPr>
          <w:p w14:paraId="061C423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r>
      <w:tr w:rsidR="00F634D2" w:rsidRPr="00F634D2" w14:paraId="24AE38DD" w14:textId="77777777" w:rsidTr="007E03F2">
        <w:trPr>
          <w:trHeight w:val="20"/>
        </w:trPr>
        <w:tc>
          <w:tcPr>
            <w:tcW w:w="1937" w:type="pct"/>
            <w:tcBorders>
              <w:top w:val="nil"/>
              <w:left w:val="nil"/>
              <w:bottom w:val="nil"/>
              <w:right w:val="nil"/>
            </w:tcBorders>
            <w:shd w:val="clear" w:color="auto" w:fill="auto"/>
            <w:noWrap/>
            <w:vAlign w:val="center"/>
            <w:hideMark/>
          </w:tcPr>
          <w:p w14:paraId="1DC19D00"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Firm fixed effects</w:t>
            </w:r>
          </w:p>
        </w:tc>
        <w:tc>
          <w:tcPr>
            <w:tcW w:w="1532" w:type="pct"/>
            <w:tcBorders>
              <w:top w:val="nil"/>
              <w:left w:val="nil"/>
              <w:bottom w:val="nil"/>
              <w:right w:val="nil"/>
            </w:tcBorders>
            <w:shd w:val="clear" w:color="auto" w:fill="auto"/>
            <w:noWrap/>
            <w:vAlign w:val="center"/>
            <w:hideMark/>
          </w:tcPr>
          <w:p w14:paraId="27B0CE2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1532" w:type="pct"/>
            <w:tcBorders>
              <w:top w:val="nil"/>
              <w:left w:val="nil"/>
              <w:bottom w:val="nil"/>
              <w:right w:val="nil"/>
            </w:tcBorders>
            <w:shd w:val="clear" w:color="auto" w:fill="auto"/>
            <w:noWrap/>
            <w:vAlign w:val="center"/>
            <w:hideMark/>
          </w:tcPr>
          <w:p w14:paraId="44E1C77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r>
      <w:tr w:rsidR="00F634D2" w:rsidRPr="00F634D2" w14:paraId="3FBBB4C3" w14:textId="77777777" w:rsidTr="007E03F2">
        <w:trPr>
          <w:trHeight w:val="20"/>
        </w:trPr>
        <w:tc>
          <w:tcPr>
            <w:tcW w:w="1937" w:type="pct"/>
            <w:tcBorders>
              <w:top w:val="nil"/>
              <w:left w:val="nil"/>
              <w:bottom w:val="nil"/>
              <w:right w:val="nil"/>
            </w:tcBorders>
            <w:shd w:val="clear" w:color="auto" w:fill="auto"/>
            <w:noWrap/>
            <w:vAlign w:val="center"/>
            <w:hideMark/>
          </w:tcPr>
          <w:p w14:paraId="4AC829D6"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Industry× Year fixed effects</w:t>
            </w:r>
          </w:p>
        </w:tc>
        <w:tc>
          <w:tcPr>
            <w:tcW w:w="1532" w:type="pct"/>
            <w:tcBorders>
              <w:top w:val="nil"/>
              <w:left w:val="nil"/>
              <w:bottom w:val="nil"/>
              <w:right w:val="nil"/>
            </w:tcBorders>
            <w:shd w:val="clear" w:color="auto" w:fill="auto"/>
            <w:noWrap/>
            <w:vAlign w:val="center"/>
            <w:hideMark/>
          </w:tcPr>
          <w:p w14:paraId="7BF9CF6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1532" w:type="pct"/>
            <w:tcBorders>
              <w:top w:val="nil"/>
              <w:left w:val="nil"/>
              <w:bottom w:val="nil"/>
              <w:right w:val="nil"/>
            </w:tcBorders>
            <w:shd w:val="clear" w:color="auto" w:fill="auto"/>
            <w:noWrap/>
            <w:vAlign w:val="center"/>
            <w:hideMark/>
          </w:tcPr>
          <w:p w14:paraId="3995B7D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r>
      <w:tr w:rsidR="00F634D2" w:rsidRPr="00F634D2" w14:paraId="36102310" w14:textId="77777777" w:rsidTr="007E03F2">
        <w:trPr>
          <w:trHeight w:val="20"/>
        </w:trPr>
        <w:tc>
          <w:tcPr>
            <w:tcW w:w="1937" w:type="pct"/>
            <w:tcBorders>
              <w:top w:val="nil"/>
              <w:left w:val="nil"/>
              <w:bottom w:val="nil"/>
              <w:right w:val="nil"/>
            </w:tcBorders>
            <w:shd w:val="clear" w:color="auto" w:fill="auto"/>
            <w:noWrap/>
            <w:vAlign w:val="center"/>
            <w:hideMark/>
          </w:tcPr>
          <w:p w14:paraId="1F127302"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R</w:t>
            </w:r>
            <w:r w:rsidRPr="00F634D2">
              <w:rPr>
                <w:rFonts w:ascii="Times New Roman" w:eastAsia="Times New Roman" w:hAnsi="Times New Roman" w:cs="Times New Roman"/>
                <w:sz w:val="24"/>
                <w:szCs w:val="24"/>
                <w:vertAlign w:val="superscript"/>
                <w:lang w:val="en-GB" w:eastAsia="en-GB"/>
              </w:rPr>
              <w:t>2</w:t>
            </w:r>
          </w:p>
        </w:tc>
        <w:tc>
          <w:tcPr>
            <w:tcW w:w="1532" w:type="pct"/>
            <w:tcBorders>
              <w:top w:val="nil"/>
              <w:left w:val="nil"/>
              <w:bottom w:val="nil"/>
              <w:right w:val="nil"/>
            </w:tcBorders>
            <w:shd w:val="clear" w:color="auto" w:fill="auto"/>
            <w:noWrap/>
            <w:vAlign w:val="center"/>
            <w:hideMark/>
          </w:tcPr>
          <w:p w14:paraId="21D2E93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0.55</w:t>
            </w:r>
          </w:p>
        </w:tc>
        <w:tc>
          <w:tcPr>
            <w:tcW w:w="1532" w:type="pct"/>
            <w:tcBorders>
              <w:top w:val="nil"/>
              <w:left w:val="nil"/>
              <w:bottom w:val="nil"/>
              <w:right w:val="nil"/>
            </w:tcBorders>
            <w:shd w:val="clear" w:color="auto" w:fill="auto"/>
            <w:noWrap/>
            <w:vAlign w:val="center"/>
            <w:hideMark/>
          </w:tcPr>
          <w:p w14:paraId="3349ECDA"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0.69</w:t>
            </w:r>
          </w:p>
        </w:tc>
      </w:tr>
      <w:tr w:rsidR="00F634D2" w:rsidRPr="00F634D2" w14:paraId="70138272" w14:textId="77777777" w:rsidTr="007E03F2">
        <w:trPr>
          <w:trHeight w:val="20"/>
        </w:trPr>
        <w:tc>
          <w:tcPr>
            <w:tcW w:w="1937" w:type="pct"/>
            <w:tcBorders>
              <w:top w:val="nil"/>
              <w:left w:val="nil"/>
              <w:bottom w:val="single" w:sz="4" w:space="0" w:color="auto"/>
              <w:right w:val="nil"/>
            </w:tcBorders>
            <w:shd w:val="clear" w:color="auto" w:fill="auto"/>
            <w:noWrap/>
            <w:vAlign w:val="center"/>
            <w:hideMark/>
          </w:tcPr>
          <w:p w14:paraId="241DFBAC"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N</w:t>
            </w:r>
          </w:p>
        </w:tc>
        <w:tc>
          <w:tcPr>
            <w:tcW w:w="1532" w:type="pct"/>
            <w:tcBorders>
              <w:top w:val="nil"/>
              <w:left w:val="nil"/>
              <w:bottom w:val="single" w:sz="4" w:space="0" w:color="auto"/>
              <w:right w:val="nil"/>
            </w:tcBorders>
            <w:shd w:val="clear" w:color="auto" w:fill="auto"/>
            <w:noWrap/>
            <w:vAlign w:val="center"/>
            <w:hideMark/>
          </w:tcPr>
          <w:p w14:paraId="2D4CCDAD"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17,257</w:t>
            </w:r>
          </w:p>
        </w:tc>
        <w:tc>
          <w:tcPr>
            <w:tcW w:w="1532" w:type="pct"/>
            <w:tcBorders>
              <w:top w:val="nil"/>
              <w:left w:val="nil"/>
              <w:bottom w:val="single" w:sz="4" w:space="0" w:color="auto"/>
              <w:right w:val="nil"/>
            </w:tcBorders>
            <w:shd w:val="clear" w:color="auto" w:fill="auto"/>
            <w:noWrap/>
            <w:vAlign w:val="center"/>
            <w:hideMark/>
          </w:tcPr>
          <w:p w14:paraId="767B37A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2,092</w:t>
            </w:r>
          </w:p>
        </w:tc>
      </w:tr>
      <w:tr w:rsidR="00F634D2" w:rsidRPr="00F634D2" w14:paraId="4D845449" w14:textId="77777777">
        <w:trPr>
          <w:trHeight w:val="20"/>
        </w:trPr>
        <w:tc>
          <w:tcPr>
            <w:tcW w:w="5000" w:type="pct"/>
            <w:gridSpan w:val="3"/>
            <w:tcBorders>
              <w:top w:val="single" w:sz="4" w:space="0" w:color="auto"/>
              <w:left w:val="nil"/>
              <w:bottom w:val="nil"/>
              <w:right w:val="nil"/>
            </w:tcBorders>
            <w:shd w:val="clear" w:color="auto" w:fill="auto"/>
            <w:vAlign w:val="bottom"/>
            <w:hideMark/>
          </w:tcPr>
          <w:p w14:paraId="37803BD6" w14:textId="77777777" w:rsidR="00D50589" w:rsidRPr="00F634D2" w:rsidRDefault="00686261">
            <w:pPr>
              <w:spacing w:after="0" w:line="240" w:lineRule="auto"/>
              <w:jc w:val="both"/>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This table reports the results from OLS regressions of CEO delta (</w:t>
            </w:r>
            <w:r w:rsidRPr="00F634D2">
              <w:rPr>
                <w:rFonts w:ascii="Times New Roman" w:eastAsia="Times New Roman" w:hAnsi="Times New Roman" w:cs="Times New Roman"/>
                <w:i/>
                <w:iCs/>
                <w:sz w:val="24"/>
                <w:szCs w:val="24"/>
                <w:lang w:val="en-GB" w:eastAsia="en-GB"/>
              </w:rPr>
              <w:t>Delta)</w:t>
            </w:r>
            <w:r w:rsidRPr="00F634D2">
              <w:rPr>
                <w:rFonts w:ascii="Times New Roman" w:eastAsia="Times New Roman" w:hAnsi="Times New Roman" w:cs="Times New Roman"/>
                <w:sz w:val="24"/>
                <w:szCs w:val="24"/>
                <w:lang w:val="en-GB" w:eastAsia="en-GB"/>
              </w:rPr>
              <w:t xml:space="preserve"> on the indicator for the IDD adoption in Column (1), and firms’ risk-taking (</w:t>
            </w:r>
            <w:r w:rsidRPr="00F634D2">
              <w:rPr>
                <w:rFonts w:ascii="Times New Roman" w:eastAsia="Times New Roman" w:hAnsi="Times New Roman" w:cs="Times New Roman"/>
                <w:i/>
                <w:iCs/>
                <w:sz w:val="24"/>
                <w:szCs w:val="24"/>
                <w:lang w:val="en-GB" w:eastAsia="en-GB"/>
              </w:rPr>
              <w:t>Risk</w:t>
            </w:r>
            <w:r w:rsidRPr="00F634D2">
              <w:rPr>
                <w:rFonts w:ascii="Times New Roman" w:eastAsia="Times New Roman" w:hAnsi="Times New Roman" w:cs="Times New Roman"/>
                <w:sz w:val="24"/>
                <w:szCs w:val="24"/>
                <w:lang w:val="en-GB" w:eastAsia="en-GB"/>
              </w:rPr>
              <w:t xml:space="preserve">) on the indicator for the IDD adoption for a group of firms that experience relatively small change in CEO Vega around the IDD adoption in Column (2). Controls are the control variables identified in equation (1) plus </w:t>
            </w:r>
            <w:r w:rsidRPr="00F634D2">
              <w:rPr>
                <w:rFonts w:ascii="Times New Roman" w:eastAsia="Times New Roman" w:hAnsi="Times New Roman" w:cs="Times New Roman"/>
                <w:i/>
                <w:iCs/>
                <w:sz w:val="24"/>
                <w:szCs w:val="24"/>
                <w:lang w:val="en-GB" w:eastAsia="en-GB"/>
              </w:rPr>
              <w:t xml:space="preserve">Vega </w:t>
            </w:r>
            <w:r w:rsidRPr="00F634D2">
              <w:rPr>
                <w:rFonts w:ascii="Times New Roman" w:eastAsia="Times New Roman" w:hAnsi="Times New Roman" w:cs="Times New Roman"/>
                <w:iCs/>
                <w:sz w:val="24"/>
                <w:szCs w:val="24"/>
                <w:lang w:val="en-GB" w:eastAsia="en-GB"/>
              </w:rPr>
              <w:t xml:space="preserve">in both columns, </w:t>
            </w:r>
            <w:r w:rsidRPr="00F634D2">
              <w:rPr>
                <w:rFonts w:ascii="Times New Roman" w:eastAsia="Times New Roman" w:hAnsi="Times New Roman" w:cs="Times New Roman"/>
                <w:sz w:val="24"/>
                <w:szCs w:val="24"/>
                <w:lang w:val="en-GB" w:eastAsia="en-GB"/>
              </w:rPr>
              <w:t>and minus</w:t>
            </w:r>
            <w:r w:rsidRPr="00F634D2">
              <w:rPr>
                <w:rFonts w:ascii="Times New Roman" w:eastAsia="Times New Roman" w:hAnsi="Times New Roman" w:cs="Times New Roman"/>
                <w:i/>
                <w:iCs/>
                <w:sz w:val="24"/>
                <w:szCs w:val="24"/>
                <w:lang w:val="en-GB" w:eastAsia="en-GB"/>
              </w:rPr>
              <w:t xml:space="preserve"> Lev, </w:t>
            </w:r>
            <w:proofErr w:type="spellStart"/>
            <w:r w:rsidRPr="00F634D2">
              <w:rPr>
                <w:rFonts w:ascii="Times New Roman" w:eastAsia="Times New Roman" w:hAnsi="Times New Roman" w:cs="Times New Roman"/>
                <w:i/>
                <w:iCs/>
                <w:sz w:val="24"/>
                <w:szCs w:val="24"/>
                <w:lang w:val="en-GB" w:eastAsia="en-GB"/>
              </w:rPr>
              <w:t>Capx</w:t>
            </w:r>
            <w:proofErr w:type="spellEnd"/>
            <w:r w:rsidRPr="00F634D2">
              <w:rPr>
                <w:rFonts w:ascii="Times New Roman" w:eastAsia="Times New Roman" w:hAnsi="Times New Roman" w:cs="Times New Roman"/>
                <w:i/>
                <w:iCs/>
                <w:sz w:val="24"/>
                <w:szCs w:val="24"/>
                <w:lang w:val="en-GB" w:eastAsia="en-GB"/>
              </w:rPr>
              <w:t xml:space="preserve">, R&amp;D, </w:t>
            </w:r>
            <w:proofErr w:type="spellStart"/>
            <w:r w:rsidRPr="00F634D2">
              <w:rPr>
                <w:rFonts w:ascii="Times New Roman" w:eastAsia="Times New Roman" w:hAnsi="Times New Roman" w:cs="Times New Roman"/>
                <w:i/>
                <w:iCs/>
                <w:sz w:val="24"/>
                <w:szCs w:val="24"/>
                <w:lang w:val="en-GB" w:eastAsia="en-GB"/>
              </w:rPr>
              <w:t>Zscore</w:t>
            </w:r>
            <w:proofErr w:type="spellEnd"/>
            <w:r w:rsidRPr="00F634D2">
              <w:rPr>
                <w:rFonts w:ascii="Times New Roman" w:eastAsia="Times New Roman" w:hAnsi="Times New Roman" w:cs="Times New Roman"/>
                <w:i/>
                <w:iCs/>
                <w:sz w:val="24"/>
                <w:szCs w:val="24"/>
                <w:lang w:val="en-GB" w:eastAsia="en-GB"/>
              </w:rPr>
              <w:t xml:space="preserve"> </w:t>
            </w:r>
            <w:r w:rsidRPr="00F634D2">
              <w:rPr>
                <w:rFonts w:ascii="Times New Roman" w:eastAsia="Times New Roman" w:hAnsi="Times New Roman" w:cs="Times New Roman"/>
                <w:sz w:val="24"/>
                <w:szCs w:val="24"/>
                <w:lang w:val="en-GB" w:eastAsia="en-GB"/>
              </w:rPr>
              <w:t>and</w:t>
            </w:r>
            <w:r w:rsidRPr="00F634D2">
              <w:rPr>
                <w:rFonts w:ascii="Times New Roman" w:eastAsia="Times New Roman" w:hAnsi="Times New Roman" w:cs="Times New Roman"/>
                <w:i/>
                <w:iCs/>
                <w:sz w:val="24"/>
                <w:szCs w:val="24"/>
                <w:lang w:val="en-GB" w:eastAsia="en-GB"/>
              </w:rPr>
              <w:t xml:space="preserve"> Seg </w:t>
            </w:r>
            <w:r w:rsidRPr="00F634D2">
              <w:rPr>
                <w:rFonts w:ascii="Times New Roman" w:eastAsia="Times New Roman" w:hAnsi="Times New Roman" w:cs="Times New Roman"/>
                <w:sz w:val="24"/>
                <w:szCs w:val="24"/>
                <w:lang w:val="en-GB" w:eastAsia="en-GB"/>
              </w:rPr>
              <w:t xml:space="preserve">in Column 2. For Column 1, </w:t>
            </w:r>
            <w:r w:rsidRPr="00F634D2">
              <w:rPr>
                <w:rFonts w:ascii="Times New Roman" w:eastAsia="Times New Roman" w:hAnsi="Times New Roman" w:cs="Times New Roman"/>
                <w:i/>
                <w:iCs/>
                <w:sz w:val="24"/>
                <w:szCs w:val="24"/>
                <w:lang w:val="en-GB" w:eastAsia="en-GB"/>
              </w:rPr>
              <w:t>Delta</w:t>
            </w:r>
            <w:r w:rsidRPr="00F634D2">
              <w:rPr>
                <w:rFonts w:ascii="Times New Roman" w:eastAsia="Times New Roman" w:hAnsi="Times New Roman" w:cs="Times New Roman"/>
                <w:sz w:val="24"/>
                <w:szCs w:val="24"/>
                <w:lang w:val="en-GB" w:eastAsia="en-GB"/>
              </w:rPr>
              <w:t xml:space="preserve"> is excluded from the controls. The variables are defined in Appendix A. Standard errors are corrected for heteroskedasticity and clustering at the state level. *, **, and *** denote significance at the 10%, 5%, and 1% levels, respectively.</w:t>
            </w:r>
          </w:p>
        </w:tc>
      </w:tr>
    </w:tbl>
    <w:p w14:paraId="68A262A9" w14:textId="77777777" w:rsidR="00D50589" w:rsidRPr="00F634D2" w:rsidRDefault="00686261">
      <w:r w:rsidRPr="00F634D2">
        <w:br w:type="page"/>
      </w:r>
    </w:p>
    <w:tbl>
      <w:tblPr>
        <w:tblW w:w="5000" w:type="pct"/>
        <w:tblLayout w:type="fixed"/>
        <w:tblLook w:val="04A0" w:firstRow="1" w:lastRow="0" w:firstColumn="1" w:lastColumn="0" w:noHBand="0" w:noVBand="1"/>
      </w:tblPr>
      <w:tblGrid>
        <w:gridCol w:w="3352"/>
        <w:gridCol w:w="2715"/>
        <w:gridCol w:w="2715"/>
      </w:tblGrid>
      <w:tr w:rsidR="00F634D2" w:rsidRPr="00F634D2" w14:paraId="504C177A" w14:textId="77777777" w:rsidTr="007E03F2">
        <w:trPr>
          <w:trHeight w:val="20"/>
        </w:trPr>
        <w:tc>
          <w:tcPr>
            <w:tcW w:w="5000" w:type="pct"/>
            <w:gridSpan w:val="3"/>
            <w:tcBorders>
              <w:top w:val="nil"/>
              <w:left w:val="nil"/>
              <w:bottom w:val="single" w:sz="4" w:space="0" w:color="auto"/>
              <w:right w:val="nil"/>
            </w:tcBorders>
            <w:shd w:val="clear" w:color="auto" w:fill="auto"/>
            <w:noWrap/>
            <w:vAlign w:val="bottom"/>
            <w:hideMark/>
          </w:tcPr>
          <w:p w14:paraId="38AFEE0C" w14:textId="77777777" w:rsidR="00D50589" w:rsidRPr="00F634D2" w:rsidRDefault="00686261" w:rsidP="007E03F2">
            <w:pPr>
              <w:spacing w:afterLines="50" w:after="12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b/>
                <w:bCs/>
                <w:sz w:val="24"/>
                <w:szCs w:val="24"/>
                <w:lang w:val="en-GB" w:eastAsia="en-GB"/>
              </w:rPr>
              <w:lastRenderedPageBreak/>
              <w:t>Table 7.</w:t>
            </w:r>
            <w:r w:rsidRPr="00F634D2">
              <w:rPr>
                <w:rFonts w:ascii="Times New Roman" w:eastAsia="Times New Roman" w:hAnsi="Times New Roman" w:cs="Times New Roman"/>
                <w:sz w:val="24"/>
                <w:szCs w:val="24"/>
                <w:lang w:val="en-GB" w:eastAsia="en-GB"/>
              </w:rPr>
              <w:t xml:space="preserve"> Matched sample analyses and controlling for enforceability index </w:t>
            </w:r>
          </w:p>
        </w:tc>
      </w:tr>
      <w:tr w:rsidR="00F634D2" w:rsidRPr="00F634D2" w14:paraId="141AD92A" w14:textId="77777777">
        <w:trPr>
          <w:trHeight w:val="20"/>
        </w:trPr>
        <w:tc>
          <w:tcPr>
            <w:tcW w:w="1908" w:type="pct"/>
            <w:tcBorders>
              <w:top w:val="nil"/>
              <w:left w:val="nil"/>
              <w:bottom w:val="single" w:sz="4" w:space="0" w:color="auto"/>
              <w:right w:val="nil"/>
            </w:tcBorders>
            <w:shd w:val="clear" w:color="auto" w:fill="auto"/>
            <w:noWrap/>
            <w:vAlign w:val="bottom"/>
            <w:hideMark/>
          </w:tcPr>
          <w:p w14:paraId="122D8A5A"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 </w:t>
            </w:r>
          </w:p>
        </w:tc>
        <w:tc>
          <w:tcPr>
            <w:tcW w:w="1546" w:type="pct"/>
            <w:tcBorders>
              <w:top w:val="single" w:sz="4" w:space="0" w:color="auto"/>
              <w:left w:val="nil"/>
              <w:bottom w:val="single" w:sz="4" w:space="0" w:color="auto"/>
              <w:right w:val="nil"/>
            </w:tcBorders>
            <w:shd w:val="clear" w:color="auto" w:fill="auto"/>
            <w:noWrap/>
            <w:vAlign w:val="bottom"/>
            <w:hideMark/>
          </w:tcPr>
          <w:p w14:paraId="782148CD" w14:textId="77777777" w:rsidR="00D50589" w:rsidRPr="00F634D2" w:rsidRDefault="00686261">
            <w:pPr>
              <w:spacing w:after="0" w:line="240" w:lineRule="auto"/>
              <w:jc w:val="center"/>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Matched Sample Analyses</w:t>
            </w:r>
          </w:p>
        </w:tc>
        <w:tc>
          <w:tcPr>
            <w:tcW w:w="1546" w:type="pct"/>
            <w:tcBorders>
              <w:top w:val="single" w:sz="4" w:space="0" w:color="auto"/>
              <w:left w:val="nil"/>
              <w:bottom w:val="single" w:sz="4" w:space="0" w:color="auto"/>
              <w:right w:val="nil"/>
            </w:tcBorders>
            <w:shd w:val="clear" w:color="auto" w:fill="auto"/>
            <w:noWrap/>
            <w:vAlign w:val="bottom"/>
            <w:hideMark/>
          </w:tcPr>
          <w:p w14:paraId="2FF2E3D3" w14:textId="77777777" w:rsidR="00D50589" w:rsidRPr="00F634D2" w:rsidRDefault="00686261">
            <w:pPr>
              <w:spacing w:after="0" w:line="240" w:lineRule="auto"/>
              <w:jc w:val="center"/>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Controlling for Enforceability Index</w:t>
            </w:r>
          </w:p>
        </w:tc>
      </w:tr>
      <w:tr w:rsidR="00F634D2" w:rsidRPr="00F634D2" w14:paraId="2832D29B" w14:textId="77777777">
        <w:trPr>
          <w:trHeight w:val="20"/>
        </w:trPr>
        <w:tc>
          <w:tcPr>
            <w:tcW w:w="1908" w:type="pct"/>
            <w:tcBorders>
              <w:top w:val="single" w:sz="4" w:space="0" w:color="auto"/>
              <w:left w:val="nil"/>
              <w:bottom w:val="single" w:sz="4" w:space="0" w:color="auto"/>
              <w:right w:val="nil"/>
            </w:tcBorders>
            <w:shd w:val="clear" w:color="auto" w:fill="auto"/>
            <w:noWrap/>
            <w:vAlign w:val="bottom"/>
            <w:hideMark/>
          </w:tcPr>
          <w:p w14:paraId="6509ECFC"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Dep. Var.=</w:t>
            </w:r>
            <w:r w:rsidRPr="00F634D2">
              <w:rPr>
                <w:rFonts w:ascii="Times New Roman" w:eastAsia="Times New Roman" w:hAnsi="Times New Roman" w:cs="Times New Roman"/>
                <w:i/>
                <w:iCs/>
                <w:sz w:val="24"/>
                <w:szCs w:val="24"/>
                <w:lang w:val="en-GB" w:eastAsia="en-GB"/>
              </w:rPr>
              <w:t>Vega</w:t>
            </w:r>
          </w:p>
        </w:tc>
        <w:tc>
          <w:tcPr>
            <w:tcW w:w="1546" w:type="pct"/>
            <w:tcBorders>
              <w:top w:val="nil"/>
              <w:left w:val="nil"/>
              <w:bottom w:val="single" w:sz="4" w:space="0" w:color="auto"/>
              <w:right w:val="nil"/>
            </w:tcBorders>
            <w:shd w:val="clear" w:color="auto" w:fill="auto"/>
            <w:noWrap/>
            <w:vAlign w:val="bottom"/>
            <w:hideMark/>
          </w:tcPr>
          <w:p w14:paraId="48D5596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w:t>
            </w:r>
          </w:p>
        </w:tc>
        <w:tc>
          <w:tcPr>
            <w:tcW w:w="1546" w:type="pct"/>
            <w:tcBorders>
              <w:top w:val="nil"/>
              <w:left w:val="nil"/>
              <w:bottom w:val="single" w:sz="4" w:space="0" w:color="auto"/>
              <w:right w:val="nil"/>
            </w:tcBorders>
            <w:shd w:val="clear" w:color="auto" w:fill="auto"/>
            <w:noWrap/>
            <w:vAlign w:val="bottom"/>
            <w:hideMark/>
          </w:tcPr>
          <w:p w14:paraId="3BD2FCA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w:t>
            </w:r>
          </w:p>
        </w:tc>
      </w:tr>
      <w:tr w:rsidR="00F634D2" w:rsidRPr="00F634D2" w14:paraId="75B832E9" w14:textId="77777777">
        <w:trPr>
          <w:trHeight w:val="20"/>
        </w:trPr>
        <w:tc>
          <w:tcPr>
            <w:tcW w:w="1908" w:type="pct"/>
            <w:tcBorders>
              <w:top w:val="nil"/>
              <w:left w:val="nil"/>
              <w:bottom w:val="nil"/>
              <w:right w:val="nil"/>
            </w:tcBorders>
            <w:shd w:val="clear" w:color="auto" w:fill="auto"/>
            <w:noWrap/>
            <w:vAlign w:val="center"/>
            <w:hideMark/>
          </w:tcPr>
          <w:p w14:paraId="40C65289"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Constant</w:t>
            </w:r>
          </w:p>
        </w:tc>
        <w:tc>
          <w:tcPr>
            <w:tcW w:w="1546" w:type="pct"/>
            <w:tcBorders>
              <w:top w:val="nil"/>
              <w:left w:val="nil"/>
              <w:bottom w:val="nil"/>
              <w:right w:val="nil"/>
            </w:tcBorders>
            <w:shd w:val="clear" w:color="auto" w:fill="auto"/>
            <w:noWrap/>
            <w:vAlign w:val="center"/>
            <w:hideMark/>
          </w:tcPr>
          <w:p w14:paraId="13591D8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–2.105***</w:t>
            </w:r>
          </w:p>
        </w:tc>
        <w:tc>
          <w:tcPr>
            <w:tcW w:w="1546" w:type="pct"/>
            <w:tcBorders>
              <w:top w:val="nil"/>
              <w:left w:val="nil"/>
              <w:bottom w:val="nil"/>
              <w:right w:val="nil"/>
            </w:tcBorders>
            <w:shd w:val="clear" w:color="auto" w:fill="auto"/>
            <w:noWrap/>
            <w:vAlign w:val="center"/>
            <w:hideMark/>
          </w:tcPr>
          <w:p w14:paraId="5CCE69A8"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0.615</w:t>
            </w:r>
          </w:p>
        </w:tc>
      </w:tr>
      <w:tr w:rsidR="00F634D2" w:rsidRPr="00F634D2" w14:paraId="17C5ED72" w14:textId="77777777">
        <w:trPr>
          <w:trHeight w:val="20"/>
        </w:trPr>
        <w:tc>
          <w:tcPr>
            <w:tcW w:w="1908" w:type="pct"/>
            <w:tcBorders>
              <w:top w:val="nil"/>
              <w:left w:val="nil"/>
              <w:bottom w:val="nil"/>
              <w:right w:val="nil"/>
            </w:tcBorders>
            <w:shd w:val="clear" w:color="auto" w:fill="auto"/>
            <w:noWrap/>
            <w:vAlign w:val="bottom"/>
            <w:hideMark/>
          </w:tcPr>
          <w:p w14:paraId="36860F87"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1546" w:type="pct"/>
            <w:tcBorders>
              <w:top w:val="nil"/>
              <w:left w:val="nil"/>
              <w:bottom w:val="nil"/>
              <w:right w:val="nil"/>
            </w:tcBorders>
            <w:shd w:val="clear" w:color="auto" w:fill="auto"/>
            <w:noWrap/>
            <w:vAlign w:val="center"/>
            <w:hideMark/>
          </w:tcPr>
          <w:p w14:paraId="500E83A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(–4.11)</w:t>
            </w:r>
          </w:p>
        </w:tc>
        <w:tc>
          <w:tcPr>
            <w:tcW w:w="1546" w:type="pct"/>
            <w:tcBorders>
              <w:top w:val="nil"/>
              <w:left w:val="nil"/>
              <w:bottom w:val="nil"/>
              <w:right w:val="nil"/>
            </w:tcBorders>
            <w:shd w:val="clear" w:color="auto" w:fill="auto"/>
            <w:noWrap/>
            <w:vAlign w:val="center"/>
            <w:hideMark/>
          </w:tcPr>
          <w:p w14:paraId="57DEC204"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(0.01)</w:t>
            </w:r>
          </w:p>
        </w:tc>
      </w:tr>
      <w:tr w:rsidR="00F634D2" w:rsidRPr="00F634D2" w14:paraId="0F85E4D2" w14:textId="77777777">
        <w:trPr>
          <w:trHeight w:val="20"/>
        </w:trPr>
        <w:tc>
          <w:tcPr>
            <w:tcW w:w="1908" w:type="pct"/>
            <w:tcBorders>
              <w:top w:val="nil"/>
              <w:left w:val="nil"/>
              <w:bottom w:val="nil"/>
              <w:right w:val="nil"/>
            </w:tcBorders>
            <w:shd w:val="clear" w:color="auto" w:fill="auto"/>
            <w:vAlign w:val="center"/>
            <w:hideMark/>
          </w:tcPr>
          <w:p w14:paraId="1F32E7A9"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AfterIDD</w:t>
            </w:r>
            <w:proofErr w:type="spellEnd"/>
          </w:p>
        </w:tc>
        <w:tc>
          <w:tcPr>
            <w:tcW w:w="1546" w:type="pct"/>
            <w:tcBorders>
              <w:top w:val="nil"/>
              <w:left w:val="nil"/>
              <w:bottom w:val="nil"/>
              <w:right w:val="nil"/>
            </w:tcBorders>
            <w:shd w:val="clear" w:color="auto" w:fill="auto"/>
            <w:noWrap/>
            <w:vAlign w:val="center"/>
            <w:hideMark/>
          </w:tcPr>
          <w:p w14:paraId="7EEE0F8A"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0.163**</w:t>
            </w:r>
          </w:p>
        </w:tc>
        <w:tc>
          <w:tcPr>
            <w:tcW w:w="1546" w:type="pct"/>
            <w:tcBorders>
              <w:top w:val="nil"/>
              <w:left w:val="nil"/>
              <w:bottom w:val="nil"/>
              <w:right w:val="nil"/>
            </w:tcBorders>
            <w:shd w:val="clear" w:color="auto" w:fill="auto"/>
            <w:noWrap/>
            <w:vAlign w:val="center"/>
            <w:hideMark/>
          </w:tcPr>
          <w:p w14:paraId="0DD7167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0.137***</w:t>
            </w:r>
          </w:p>
        </w:tc>
      </w:tr>
      <w:tr w:rsidR="00F634D2" w:rsidRPr="00F634D2" w14:paraId="33CAC2ED" w14:textId="77777777">
        <w:trPr>
          <w:trHeight w:val="20"/>
        </w:trPr>
        <w:tc>
          <w:tcPr>
            <w:tcW w:w="1908" w:type="pct"/>
            <w:tcBorders>
              <w:top w:val="nil"/>
              <w:left w:val="nil"/>
              <w:bottom w:val="nil"/>
              <w:right w:val="nil"/>
            </w:tcBorders>
            <w:shd w:val="clear" w:color="auto" w:fill="auto"/>
            <w:noWrap/>
            <w:vAlign w:val="bottom"/>
            <w:hideMark/>
          </w:tcPr>
          <w:p w14:paraId="1EA7FCFF"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1546" w:type="pct"/>
            <w:tcBorders>
              <w:top w:val="nil"/>
              <w:left w:val="nil"/>
              <w:bottom w:val="nil"/>
              <w:right w:val="nil"/>
            </w:tcBorders>
            <w:shd w:val="clear" w:color="auto" w:fill="auto"/>
            <w:noWrap/>
            <w:vAlign w:val="center"/>
            <w:hideMark/>
          </w:tcPr>
          <w:p w14:paraId="2DA178A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(2.38)</w:t>
            </w:r>
          </w:p>
        </w:tc>
        <w:tc>
          <w:tcPr>
            <w:tcW w:w="1546" w:type="pct"/>
            <w:tcBorders>
              <w:top w:val="nil"/>
              <w:left w:val="nil"/>
              <w:bottom w:val="nil"/>
              <w:right w:val="nil"/>
            </w:tcBorders>
            <w:shd w:val="clear" w:color="auto" w:fill="auto"/>
            <w:noWrap/>
            <w:vAlign w:val="center"/>
            <w:hideMark/>
          </w:tcPr>
          <w:p w14:paraId="269EC3D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(3.02)</w:t>
            </w:r>
          </w:p>
        </w:tc>
      </w:tr>
      <w:tr w:rsidR="00F634D2" w:rsidRPr="00F634D2" w14:paraId="2261A655" w14:textId="77777777">
        <w:trPr>
          <w:trHeight w:val="20"/>
        </w:trPr>
        <w:tc>
          <w:tcPr>
            <w:tcW w:w="1908" w:type="pct"/>
            <w:tcBorders>
              <w:top w:val="nil"/>
              <w:left w:val="nil"/>
              <w:bottom w:val="nil"/>
              <w:right w:val="nil"/>
            </w:tcBorders>
            <w:shd w:val="clear" w:color="auto" w:fill="auto"/>
            <w:noWrap/>
            <w:vAlign w:val="bottom"/>
            <w:hideMark/>
          </w:tcPr>
          <w:p w14:paraId="04A4D911"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Enforce</w:t>
            </w:r>
          </w:p>
        </w:tc>
        <w:tc>
          <w:tcPr>
            <w:tcW w:w="1546" w:type="pct"/>
            <w:tcBorders>
              <w:top w:val="nil"/>
              <w:left w:val="nil"/>
              <w:bottom w:val="nil"/>
              <w:right w:val="nil"/>
            </w:tcBorders>
            <w:shd w:val="clear" w:color="auto" w:fill="auto"/>
            <w:noWrap/>
            <w:vAlign w:val="center"/>
            <w:hideMark/>
          </w:tcPr>
          <w:p w14:paraId="432801EB" w14:textId="77777777" w:rsidR="00D50589" w:rsidRPr="00F634D2" w:rsidRDefault="00D50589">
            <w:pPr>
              <w:spacing w:after="0" w:line="240" w:lineRule="auto"/>
              <w:rPr>
                <w:rFonts w:ascii="Times New Roman" w:eastAsia="Times New Roman" w:hAnsi="Times New Roman" w:cs="Times New Roman"/>
                <w:i/>
                <w:iCs/>
                <w:sz w:val="24"/>
                <w:szCs w:val="24"/>
                <w:lang w:val="en-GB" w:eastAsia="en-GB"/>
              </w:rPr>
            </w:pPr>
          </w:p>
        </w:tc>
        <w:tc>
          <w:tcPr>
            <w:tcW w:w="1546" w:type="pct"/>
            <w:tcBorders>
              <w:top w:val="nil"/>
              <w:left w:val="nil"/>
              <w:bottom w:val="nil"/>
              <w:right w:val="nil"/>
            </w:tcBorders>
            <w:shd w:val="clear" w:color="auto" w:fill="auto"/>
            <w:noWrap/>
            <w:vAlign w:val="center"/>
            <w:hideMark/>
          </w:tcPr>
          <w:p w14:paraId="70DE7CA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0.048*</w:t>
            </w:r>
          </w:p>
        </w:tc>
      </w:tr>
      <w:tr w:rsidR="00F634D2" w:rsidRPr="00F634D2" w14:paraId="6B506624" w14:textId="77777777">
        <w:trPr>
          <w:trHeight w:val="284"/>
        </w:trPr>
        <w:tc>
          <w:tcPr>
            <w:tcW w:w="1908" w:type="pct"/>
            <w:tcBorders>
              <w:top w:val="nil"/>
              <w:left w:val="nil"/>
              <w:bottom w:val="nil"/>
              <w:right w:val="nil"/>
            </w:tcBorders>
            <w:shd w:val="clear" w:color="auto" w:fill="auto"/>
            <w:noWrap/>
            <w:vAlign w:val="bottom"/>
            <w:hideMark/>
          </w:tcPr>
          <w:p w14:paraId="1736C83F"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1546" w:type="pct"/>
            <w:tcBorders>
              <w:top w:val="nil"/>
              <w:left w:val="nil"/>
              <w:bottom w:val="nil"/>
              <w:right w:val="nil"/>
            </w:tcBorders>
            <w:shd w:val="clear" w:color="auto" w:fill="auto"/>
            <w:noWrap/>
            <w:vAlign w:val="center"/>
            <w:hideMark/>
          </w:tcPr>
          <w:p w14:paraId="2BACE9A9"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1546" w:type="pct"/>
            <w:tcBorders>
              <w:top w:val="nil"/>
              <w:left w:val="nil"/>
              <w:bottom w:val="nil"/>
              <w:right w:val="nil"/>
            </w:tcBorders>
            <w:shd w:val="clear" w:color="auto" w:fill="auto"/>
            <w:noWrap/>
            <w:vAlign w:val="center"/>
            <w:hideMark/>
          </w:tcPr>
          <w:p w14:paraId="238CCAE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(1.68)</w:t>
            </w:r>
          </w:p>
        </w:tc>
      </w:tr>
      <w:tr w:rsidR="00F634D2" w:rsidRPr="00F634D2" w14:paraId="0907739D" w14:textId="77777777">
        <w:trPr>
          <w:trHeight w:val="284"/>
        </w:trPr>
        <w:tc>
          <w:tcPr>
            <w:tcW w:w="1908" w:type="pct"/>
            <w:tcBorders>
              <w:top w:val="nil"/>
              <w:left w:val="nil"/>
              <w:bottom w:val="nil"/>
              <w:right w:val="nil"/>
            </w:tcBorders>
            <w:shd w:val="clear" w:color="auto" w:fill="auto"/>
            <w:noWrap/>
            <w:vAlign w:val="bottom"/>
            <w:hideMark/>
          </w:tcPr>
          <w:p w14:paraId="066B60B4"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1546" w:type="pct"/>
            <w:tcBorders>
              <w:top w:val="nil"/>
              <w:left w:val="nil"/>
              <w:bottom w:val="nil"/>
              <w:right w:val="nil"/>
            </w:tcBorders>
            <w:shd w:val="clear" w:color="auto" w:fill="auto"/>
            <w:noWrap/>
            <w:vAlign w:val="bottom"/>
            <w:hideMark/>
          </w:tcPr>
          <w:p w14:paraId="606982F9"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1546" w:type="pct"/>
            <w:tcBorders>
              <w:top w:val="nil"/>
              <w:left w:val="nil"/>
              <w:bottom w:val="nil"/>
              <w:right w:val="nil"/>
            </w:tcBorders>
            <w:shd w:val="clear" w:color="auto" w:fill="auto"/>
            <w:noWrap/>
            <w:vAlign w:val="bottom"/>
            <w:hideMark/>
          </w:tcPr>
          <w:p w14:paraId="4AD28364"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793BF568" w14:textId="77777777">
        <w:trPr>
          <w:trHeight w:val="284"/>
        </w:trPr>
        <w:tc>
          <w:tcPr>
            <w:tcW w:w="1908" w:type="pct"/>
            <w:tcBorders>
              <w:top w:val="nil"/>
              <w:left w:val="nil"/>
              <w:bottom w:val="nil"/>
              <w:right w:val="nil"/>
            </w:tcBorders>
            <w:shd w:val="clear" w:color="auto" w:fill="auto"/>
            <w:noWrap/>
            <w:vAlign w:val="bottom"/>
            <w:hideMark/>
          </w:tcPr>
          <w:p w14:paraId="7DEB112B"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Controls</w:t>
            </w:r>
          </w:p>
        </w:tc>
        <w:tc>
          <w:tcPr>
            <w:tcW w:w="1546" w:type="pct"/>
            <w:tcBorders>
              <w:top w:val="nil"/>
              <w:left w:val="nil"/>
              <w:bottom w:val="nil"/>
              <w:right w:val="nil"/>
            </w:tcBorders>
            <w:shd w:val="clear" w:color="auto" w:fill="auto"/>
            <w:noWrap/>
            <w:vAlign w:val="center"/>
            <w:hideMark/>
          </w:tcPr>
          <w:p w14:paraId="3DFE953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1546" w:type="pct"/>
            <w:tcBorders>
              <w:top w:val="nil"/>
              <w:left w:val="nil"/>
              <w:bottom w:val="nil"/>
              <w:right w:val="nil"/>
            </w:tcBorders>
            <w:shd w:val="clear" w:color="auto" w:fill="auto"/>
            <w:noWrap/>
            <w:vAlign w:val="center"/>
            <w:hideMark/>
          </w:tcPr>
          <w:p w14:paraId="6AAFE6F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r>
      <w:tr w:rsidR="00F634D2" w:rsidRPr="00F634D2" w14:paraId="6EA793E0" w14:textId="77777777">
        <w:trPr>
          <w:trHeight w:val="20"/>
        </w:trPr>
        <w:tc>
          <w:tcPr>
            <w:tcW w:w="1908" w:type="pct"/>
            <w:tcBorders>
              <w:top w:val="nil"/>
              <w:left w:val="nil"/>
              <w:bottom w:val="nil"/>
              <w:right w:val="nil"/>
            </w:tcBorders>
            <w:shd w:val="clear" w:color="auto" w:fill="auto"/>
            <w:noWrap/>
            <w:vAlign w:val="center"/>
            <w:hideMark/>
          </w:tcPr>
          <w:p w14:paraId="0C427DA9"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Firm fixed effects</w:t>
            </w:r>
          </w:p>
        </w:tc>
        <w:tc>
          <w:tcPr>
            <w:tcW w:w="1546" w:type="pct"/>
            <w:tcBorders>
              <w:top w:val="nil"/>
              <w:left w:val="nil"/>
              <w:bottom w:val="nil"/>
              <w:right w:val="nil"/>
            </w:tcBorders>
            <w:shd w:val="clear" w:color="auto" w:fill="auto"/>
            <w:noWrap/>
            <w:vAlign w:val="center"/>
            <w:hideMark/>
          </w:tcPr>
          <w:p w14:paraId="6DDB7F0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1546" w:type="pct"/>
            <w:tcBorders>
              <w:top w:val="nil"/>
              <w:left w:val="nil"/>
              <w:bottom w:val="nil"/>
              <w:right w:val="nil"/>
            </w:tcBorders>
            <w:shd w:val="clear" w:color="auto" w:fill="auto"/>
            <w:noWrap/>
            <w:vAlign w:val="center"/>
            <w:hideMark/>
          </w:tcPr>
          <w:p w14:paraId="18A4359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r>
      <w:tr w:rsidR="00F634D2" w:rsidRPr="00F634D2" w14:paraId="7EED9800" w14:textId="77777777">
        <w:trPr>
          <w:trHeight w:val="20"/>
        </w:trPr>
        <w:tc>
          <w:tcPr>
            <w:tcW w:w="1908" w:type="pct"/>
            <w:tcBorders>
              <w:top w:val="nil"/>
              <w:left w:val="nil"/>
              <w:bottom w:val="nil"/>
              <w:right w:val="nil"/>
            </w:tcBorders>
            <w:shd w:val="clear" w:color="auto" w:fill="auto"/>
            <w:noWrap/>
            <w:vAlign w:val="center"/>
            <w:hideMark/>
          </w:tcPr>
          <w:p w14:paraId="2DE0EBEA"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Industry× Year fixed effects</w:t>
            </w:r>
          </w:p>
        </w:tc>
        <w:tc>
          <w:tcPr>
            <w:tcW w:w="1546" w:type="pct"/>
            <w:tcBorders>
              <w:top w:val="nil"/>
              <w:left w:val="nil"/>
              <w:bottom w:val="nil"/>
              <w:right w:val="nil"/>
            </w:tcBorders>
            <w:shd w:val="clear" w:color="auto" w:fill="auto"/>
            <w:noWrap/>
            <w:vAlign w:val="center"/>
            <w:hideMark/>
          </w:tcPr>
          <w:p w14:paraId="28C74D7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1546" w:type="pct"/>
            <w:tcBorders>
              <w:top w:val="nil"/>
              <w:left w:val="nil"/>
              <w:bottom w:val="nil"/>
              <w:right w:val="nil"/>
            </w:tcBorders>
            <w:shd w:val="clear" w:color="auto" w:fill="auto"/>
            <w:noWrap/>
            <w:vAlign w:val="center"/>
            <w:hideMark/>
          </w:tcPr>
          <w:p w14:paraId="00F2D54D"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r>
      <w:tr w:rsidR="00F634D2" w:rsidRPr="00F634D2" w14:paraId="474928E2" w14:textId="77777777">
        <w:trPr>
          <w:trHeight w:val="20"/>
        </w:trPr>
        <w:tc>
          <w:tcPr>
            <w:tcW w:w="1908" w:type="pct"/>
            <w:tcBorders>
              <w:top w:val="nil"/>
              <w:left w:val="nil"/>
              <w:bottom w:val="nil"/>
              <w:right w:val="nil"/>
            </w:tcBorders>
            <w:shd w:val="clear" w:color="auto" w:fill="auto"/>
            <w:noWrap/>
            <w:vAlign w:val="center"/>
            <w:hideMark/>
          </w:tcPr>
          <w:p w14:paraId="7BED3E92"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R</w:t>
            </w:r>
            <w:r w:rsidRPr="00F634D2">
              <w:rPr>
                <w:rFonts w:ascii="Times New Roman" w:eastAsia="Times New Roman" w:hAnsi="Times New Roman" w:cs="Times New Roman"/>
                <w:sz w:val="24"/>
                <w:szCs w:val="24"/>
                <w:vertAlign w:val="superscript"/>
                <w:lang w:val="en-GB" w:eastAsia="en-GB"/>
              </w:rPr>
              <w:t>2</w:t>
            </w:r>
          </w:p>
        </w:tc>
        <w:tc>
          <w:tcPr>
            <w:tcW w:w="1546" w:type="pct"/>
            <w:tcBorders>
              <w:top w:val="nil"/>
              <w:left w:val="nil"/>
              <w:bottom w:val="nil"/>
              <w:right w:val="nil"/>
            </w:tcBorders>
            <w:shd w:val="clear" w:color="auto" w:fill="auto"/>
            <w:noWrap/>
            <w:vAlign w:val="center"/>
            <w:hideMark/>
          </w:tcPr>
          <w:p w14:paraId="5786551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0.41</w:t>
            </w:r>
          </w:p>
        </w:tc>
        <w:tc>
          <w:tcPr>
            <w:tcW w:w="1546" w:type="pct"/>
            <w:tcBorders>
              <w:top w:val="nil"/>
              <w:left w:val="nil"/>
              <w:bottom w:val="nil"/>
              <w:right w:val="nil"/>
            </w:tcBorders>
            <w:shd w:val="clear" w:color="auto" w:fill="auto"/>
            <w:noWrap/>
            <w:vAlign w:val="center"/>
            <w:hideMark/>
          </w:tcPr>
          <w:p w14:paraId="577BE69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0.39</w:t>
            </w:r>
          </w:p>
        </w:tc>
      </w:tr>
      <w:tr w:rsidR="00F634D2" w:rsidRPr="00F634D2" w14:paraId="65D41AD3" w14:textId="77777777">
        <w:trPr>
          <w:trHeight w:val="20"/>
        </w:trPr>
        <w:tc>
          <w:tcPr>
            <w:tcW w:w="1908" w:type="pct"/>
            <w:tcBorders>
              <w:top w:val="nil"/>
              <w:left w:val="nil"/>
              <w:bottom w:val="single" w:sz="4" w:space="0" w:color="auto"/>
              <w:right w:val="nil"/>
            </w:tcBorders>
            <w:shd w:val="clear" w:color="auto" w:fill="auto"/>
            <w:noWrap/>
            <w:vAlign w:val="center"/>
            <w:hideMark/>
          </w:tcPr>
          <w:p w14:paraId="5CB248A1"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N</w:t>
            </w:r>
          </w:p>
        </w:tc>
        <w:tc>
          <w:tcPr>
            <w:tcW w:w="1546" w:type="pct"/>
            <w:tcBorders>
              <w:top w:val="nil"/>
              <w:left w:val="nil"/>
              <w:bottom w:val="single" w:sz="4" w:space="0" w:color="auto"/>
              <w:right w:val="nil"/>
            </w:tcBorders>
            <w:shd w:val="clear" w:color="auto" w:fill="auto"/>
            <w:noWrap/>
            <w:vAlign w:val="center"/>
            <w:hideMark/>
          </w:tcPr>
          <w:p w14:paraId="3E99433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10,339</w:t>
            </w:r>
          </w:p>
        </w:tc>
        <w:tc>
          <w:tcPr>
            <w:tcW w:w="1546" w:type="pct"/>
            <w:tcBorders>
              <w:top w:val="nil"/>
              <w:left w:val="nil"/>
              <w:bottom w:val="single" w:sz="4" w:space="0" w:color="auto"/>
              <w:right w:val="nil"/>
            </w:tcBorders>
            <w:shd w:val="clear" w:color="auto" w:fill="auto"/>
            <w:noWrap/>
            <w:vAlign w:val="center"/>
            <w:hideMark/>
          </w:tcPr>
          <w:p w14:paraId="18B4A96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17,240</w:t>
            </w:r>
          </w:p>
        </w:tc>
      </w:tr>
      <w:tr w:rsidR="00F634D2" w:rsidRPr="00F634D2" w14:paraId="0A7A7445" w14:textId="77777777" w:rsidTr="007E03F2">
        <w:trPr>
          <w:trHeight w:val="20"/>
        </w:trPr>
        <w:tc>
          <w:tcPr>
            <w:tcW w:w="5000" w:type="pct"/>
            <w:gridSpan w:val="3"/>
            <w:tcBorders>
              <w:top w:val="single" w:sz="4" w:space="0" w:color="auto"/>
              <w:left w:val="nil"/>
              <w:bottom w:val="nil"/>
              <w:right w:val="nil"/>
            </w:tcBorders>
            <w:shd w:val="clear" w:color="auto" w:fill="auto"/>
            <w:vAlign w:val="bottom"/>
            <w:hideMark/>
          </w:tcPr>
          <w:p w14:paraId="15161042" w14:textId="77777777" w:rsidR="00D50589" w:rsidRPr="00F634D2" w:rsidRDefault="00686261">
            <w:pPr>
              <w:spacing w:after="0" w:line="240" w:lineRule="auto"/>
              <w:jc w:val="both"/>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Column 1 of this table reports the results from OLS regressions of CEO Vega on the indicator for the IDD adoption based on a neighbouring-state matched sample. The matching procedure yields 13 matched state groups: (NY:VT), (FL: AL), (DE: DC, MD), (NC: VA, SC, TN), (MN: ND, SD, WI), (IL: KY), (TX: NM, OK, LA), (MA: RI, NH), (IA: NE), (AR: MS), (WA: OR, ID), (UT: NV, CO, WY, AZ), and (OH: WV).</w:t>
            </w:r>
          </w:p>
        </w:tc>
      </w:tr>
      <w:tr w:rsidR="00F634D2" w:rsidRPr="00F634D2" w14:paraId="0AE52642" w14:textId="77777777" w:rsidTr="007E03F2">
        <w:trPr>
          <w:trHeight w:val="20"/>
        </w:trPr>
        <w:tc>
          <w:tcPr>
            <w:tcW w:w="5000" w:type="pct"/>
            <w:gridSpan w:val="3"/>
            <w:tcBorders>
              <w:top w:val="nil"/>
              <w:left w:val="nil"/>
              <w:bottom w:val="nil"/>
              <w:right w:val="nil"/>
            </w:tcBorders>
            <w:shd w:val="clear" w:color="auto" w:fill="auto"/>
            <w:vAlign w:val="bottom"/>
            <w:hideMark/>
          </w:tcPr>
          <w:p w14:paraId="16CB28B3" w14:textId="77777777" w:rsidR="00D50589" w:rsidRPr="00F634D2" w:rsidRDefault="00686261">
            <w:pPr>
              <w:spacing w:after="0" w:line="240" w:lineRule="auto"/>
              <w:jc w:val="both"/>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Column 2 of this table reports the results from OLS regressions of CEO Vega on the indicator for IDD adoption after controlling for the enforceability index (</w:t>
            </w:r>
            <w:r w:rsidRPr="00F634D2">
              <w:rPr>
                <w:rFonts w:ascii="Times New Roman" w:eastAsia="Times New Roman" w:hAnsi="Times New Roman" w:cs="Times New Roman"/>
                <w:i/>
                <w:iCs/>
                <w:sz w:val="24"/>
                <w:szCs w:val="24"/>
                <w:lang w:val="en-GB" w:eastAsia="en-GB"/>
              </w:rPr>
              <w:t>Enforce</w:t>
            </w:r>
            <w:r w:rsidRPr="00F634D2">
              <w:rPr>
                <w:rFonts w:ascii="Times New Roman" w:eastAsia="Times New Roman" w:hAnsi="Times New Roman" w:cs="Times New Roman"/>
                <w:sz w:val="24"/>
                <w:szCs w:val="24"/>
                <w:lang w:val="en-GB" w:eastAsia="en-GB"/>
              </w:rPr>
              <w:t xml:space="preserve">). A higher value of </w:t>
            </w:r>
            <w:r w:rsidRPr="00F634D2">
              <w:rPr>
                <w:rFonts w:ascii="Times New Roman" w:eastAsia="Times New Roman" w:hAnsi="Times New Roman" w:cs="Times New Roman"/>
                <w:i/>
                <w:iCs/>
                <w:sz w:val="24"/>
                <w:szCs w:val="24"/>
                <w:lang w:val="en-GB" w:eastAsia="en-GB"/>
              </w:rPr>
              <w:t>Enforce</w:t>
            </w:r>
            <w:r w:rsidRPr="00F634D2">
              <w:rPr>
                <w:rFonts w:ascii="Times New Roman" w:eastAsia="Times New Roman" w:hAnsi="Times New Roman" w:cs="Times New Roman"/>
                <w:sz w:val="24"/>
                <w:szCs w:val="24"/>
                <w:lang w:val="en-GB" w:eastAsia="en-GB"/>
              </w:rPr>
              <w:t xml:space="preserve"> indicates greater strength in enforcement of contractual agreements. </w:t>
            </w:r>
          </w:p>
        </w:tc>
      </w:tr>
      <w:tr w:rsidR="00F634D2" w:rsidRPr="00F634D2" w14:paraId="63D24C7F" w14:textId="77777777" w:rsidTr="007E03F2">
        <w:trPr>
          <w:trHeight w:val="20"/>
        </w:trPr>
        <w:tc>
          <w:tcPr>
            <w:tcW w:w="5000" w:type="pct"/>
            <w:gridSpan w:val="3"/>
            <w:tcBorders>
              <w:top w:val="nil"/>
              <w:left w:val="nil"/>
              <w:bottom w:val="nil"/>
              <w:right w:val="nil"/>
            </w:tcBorders>
            <w:shd w:val="clear" w:color="auto" w:fill="auto"/>
            <w:vAlign w:val="bottom"/>
            <w:hideMark/>
          </w:tcPr>
          <w:p w14:paraId="13F9738B" w14:textId="77777777" w:rsidR="00D50589" w:rsidRPr="00F634D2" w:rsidRDefault="00686261">
            <w:pPr>
              <w:spacing w:after="0" w:line="240" w:lineRule="auto"/>
              <w:jc w:val="both"/>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Controls are the control variables identified in equation (1). The variables are defined in Appendix A. Standard errors are corrected for heteroskedasticity and clustering at the state level. *, **, and *** denote significance at the 10%, 5%, and 1% levels, respectively.</w:t>
            </w:r>
          </w:p>
        </w:tc>
      </w:tr>
    </w:tbl>
    <w:p w14:paraId="15CD9C66" w14:textId="77777777" w:rsidR="00D50589" w:rsidRPr="00F634D2" w:rsidRDefault="00686261">
      <w:pPr>
        <w:rPr>
          <w:rFonts w:ascii="Times New Roman" w:hAnsi="Times New Roman" w:cs="Times New Roman"/>
        </w:rPr>
      </w:pPr>
      <w:r w:rsidRPr="00F634D2">
        <w:rPr>
          <w:rFonts w:ascii="Times New Roman" w:hAnsi="Times New Roman" w:cs="Times New Roman"/>
        </w:rPr>
        <w:br w:type="page"/>
      </w:r>
    </w:p>
    <w:tbl>
      <w:tblPr>
        <w:tblW w:w="5000" w:type="pct"/>
        <w:tblLook w:val="04A0" w:firstRow="1" w:lastRow="0" w:firstColumn="1" w:lastColumn="0" w:noHBand="0" w:noVBand="1"/>
      </w:tblPr>
      <w:tblGrid>
        <w:gridCol w:w="4385"/>
        <w:gridCol w:w="1465"/>
        <w:gridCol w:w="1465"/>
        <w:gridCol w:w="1467"/>
      </w:tblGrid>
      <w:tr w:rsidR="00F634D2" w:rsidRPr="00F634D2" w14:paraId="6D5FF7C5" w14:textId="77777777">
        <w:trPr>
          <w:trHeight w:val="20"/>
        </w:trPr>
        <w:tc>
          <w:tcPr>
            <w:tcW w:w="5000" w:type="pct"/>
            <w:gridSpan w:val="4"/>
            <w:tcBorders>
              <w:top w:val="nil"/>
              <w:left w:val="nil"/>
              <w:bottom w:val="single" w:sz="4" w:space="0" w:color="auto"/>
              <w:right w:val="nil"/>
            </w:tcBorders>
            <w:shd w:val="clear" w:color="auto" w:fill="auto"/>
            <w:noWrap/>
            <w:vAlign w:val="bottom"/>
            <w:hideMark/>
          </w:tcPr>
          <w:bookmarkEnd w:id="6"/>
          <w:p w14:paraId="0BF5BCFD" w14:textId="77777777" w:rsidR="00D50589" w:rsidRPr="00F634D2" w:rsidRDefault="00686261" w:rsidP="007E03F2">
            <w:pPr>
              <w:spacing w:afterLines="50" w:after="12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b/>
                <w:bCs/>
                <w:sz w:val="24"/>
                <w:szCs w:val="24"/>
                <w:lang w:val="en-GB" w:eastAsia="en-GB"/>
              </w:rPr>
              <w:lastRenderedPageBreak/>
              <w:t>Table 8.</w:t>
            </w:r>
            <w:r w:rsidRPr="00F634D2">
              <w:rPr>
                <w:rFonts w:ascii="Times New Roman" w:eastAsia="Times New Roman" w:hAnsi="Times New Roman" w:cs="Times New Roman"/>
                <w:sz w:val="24"/>
                <w:szCs w:val="24"/>
                <w:lang w:val="en-GB" w:eastAsia="en-GB"/>
              </w:rPr>
              <w:t xml:space="preserve"> Board quality, job switching, and IDD non-adoption</w:t>
            </w:r>
          </w:p>
        </w:tc>
      </w:tr>
      <w:tr w:rsidR="00F634D2" w:rsidRPr="00F634D2" w14:paraId="2620881A" w14:textId="77777777">
        <w:trPr>
          <w:trHeight w:val="20"/>
        </w:trPr>
        <w:tc>
          <w:tcPr>
            <w:tcW w:w="2497" w:type="pct"/>
            <w:tcBorders>
              <w:top w:val="single" w:sz="4" w:space="0" w:color="auto"/>
              <w:left w:val="nil"/>
              <w:bottom w:val="single" w:sz="4" w:space="0" w:color="auto"/>
              <w:right w:val="nil"/>
            </w:tcBorders>
            <w:shd w:val="clear" w:color="auto" w:fill="auto"/>
            <w:noWrap/>
            <w:vAlign w:val="bottom"/>
            <w:hideMark/>
          </w:tcPr>
          <w:p w14:paraId="15B133CF"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Dep. Var.=</w:t>
            </w:r>
            <w:r w:rsidRPr="00F634D2">
              <w:rPr>
                <w:rFonts w:ascii="Times New Roman" w:eastAsia="Times New Roman" w:hAnsi="Times New Roman" w:cs="Times New Roman"/>
                <w:i/>
                <w:iCs/>
                <w:sz w:val="24"/>
                <w:szCs w:val="24"/>
                <w:lang w:val="en-GB" w:eastAsia="en-GB"/>
              </w:rPr>
              <w:t>Vega</w:t>
            </w:r>
          </w:p>
        </w:tc>
        <w:tc>
          <w:tcPr>
            <w:tcW w:w="834" w:type="pct"/>
            <w:tcBorders>
              <w:top w:val="single" w:sz="4" w:space="0" w:color="auto"/>
              <w:left w:val="nil"/>
              <w:bottom w:val="single" w:sz="4" w:space="0" w:color="auto"/>
              <w:right w:val="nil"/>
            </w:tcBorders>
            <w:shd w:val="clear" w:color="auto" w:fill="auto"/>
            <w:noWrap/>
            <w:vAlign w:val="bottom"/>
            <w:hideMark/>
          </w:tcPr>
          <w:p w14:paraId="4A1D4DC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w:t>
            </w:r>
          </w:p>
        </w:tc>
        <w:tc>
          <w:tcPr>
            <w:tcW w:w="834" w:type="pct"/>
            <w:tcBorders>
              <w:top w:val="single" w:sz="4" w:space="0" w:color="auto"/>
              <w:left w:val="nil"/>
              <w:bottom w:val="single" w:sz="4" w:space="0" w:color="auto"/>
              <w:right w:val="nil"/>
            </w:tcBorders>
            <w:shd w:val="clear" w:color="auto" w:fill="auto"/>
            <w:noWrap/>
            <w:vAlign w:val="bottom"/>
            <w:hideMark/>
          </w:tcPr>
          <w:p w14:paraId="613D0934"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w:t>
            </w:r>
          </w:p>
        </w:tc>
        <w:tc>
          <w:tcPr>
            <w:tcW w:w="834" w:type="pct"/>
            <w:tcBorders>
              <w:top w:val="single" w:sz="4" w:space="0" w:color="auto"/>
              <w:left w:val="nil"/>
              <w:bottom w:val="single" w:sz="4" w:space="0" w:color="auto"/>
              <w:right w:val="nil"/>
            </w:tcBorders>
            <w:shd w:val="clear" w:color="auto" w:fill="auto"/>
            <w:noWrap/>
            <w:vAlign w:val="bottom"/>
            <w:hideMark/>
          </w:tcPr>
          <w:p w14:paraId="7D97082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w:t>
            </w:r>
          </w:p>
        </w:tc>
      </w:tr>
      <w:tr w:rsidR="00F634D2" w:rsidRPr="00F634D2" w14:paraId="32878A38" w14:textId="77777777">
        <w:trPr>
          <w:trHeight w:val="20"/>
        </w:trPr>
        <w:tc>
          <w:tcPr>
            <w:tcW w:w="2497" w:type="pct"/>
            <w:tcBorders>
              <w:top w:val="nil"/>
              <w:left w:val="nil"/>
              <w:bottom w:val="nil"/>
              <w:right w:val="nil"/>
            </w:tcBorders>
            <w:shd w:val="clear" w:color="auto" w:fill="auto"/>
            <w:noWrap/>
            <w:vAlign w:val="center"/>
            <w:hideMark/>
          </w:tcPr>
          <w:p w14:paraId="49120F4F"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Constant</w:t>
            </w:r>
          </w:p>
        </w:tc>
        <w:tc>
          <w:tcPr>
            <w:tcW w:w="834" w:type="pct"/>
            <w:tcBorders>
              <w:top w:val="nil"/>
              <w:left w:val="nil"/>
              <w:bottom w:val="nil"/>
              <w:right w:val="nil"/>
            </w:tcBorders>
            <w:shd w:val="clear" w:color="auto" w:fill="auto"/>
            <w:noWrap/>
            <w:vAlign w:val="center"/>
            <w:hideMark/>
          </w:tcPr>
          <w:p w14:paraId="54E2169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–2.105***</w:t>
            </w:r>
          </w:p>
        </w:tc>
        <w:tc>
          <w:tcPr>
            <w:tcW w:w="834" w:type="pct"/>
            <w:tcBorders>
              <w:top w:val="nil"/>
              <w:left w:val="nil"/>
              <w:bottom w:val="nil"/>
              <w:right w:val="nil"/>
            </w:tcBorders>
            <w:shd w:val="clear" w:color="auto" w:fill="auto"/>
            <w:noWrap/>
            <w:vAlign w:val="center"/>
            <w:hideMark/>
          </w:tcPr>
          <w:p w14:paraId="0088ED2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–2.598***</w:t>
            </w:r>
          </w:p>
        </w:tc>
        <w:tc>
          <w:tcPr>
            <w:tcW w:w="834" w:type="pct"/>
            <w:tcBorders>
              <w:top w:val="nil"/>
              <w:left w:val="nil"/>
              <w:bottom w:val="nil"/>
              <w:right w:val="nil"/>
            </w:tcBorders>
            <w:shd w:val="clear" w:color="auto" w:fill="auto"/>
            <w:noWrap/>
            <w:vAlign w:val="center"/>
            <w:hideMark/>
          </w:tcPr>
          <w:p w14:paraId="1FFFC72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–2.365***</w:t>
            </w:r>
          </w:p>
        </w:tc>
      </w:tr>
      <w:tr w:rsidR="00F634D2" w:rsidRPr="00F634D2" w14:paraId="31E1F665" w14:textId="77777777">
        <w:trPr>
          <w:trHeight w:val="20"/>
        </w:trPr>
        <w:tc>
          <w:tcPr>
            <w:tcW w:w="2497" w:type="pct"/>
            <w:tcBorders>
              <w:top w:val="nil"/>
              <w:left w:val="nil"/>
              <w:bottom w:val="nil"/>
              <w:right w:val="nil"/>
            </w:tcBorders>
            <w:shd w:val="clear" w:color="auto" w:fill="auto"/>
            <w:noWrap/>
            <w:vAlign w:val="bottom"/>
            <w:hideMark/>
          </w:tcPr>
          <w:p w14:paraId="14CE5908"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4B3A391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(–3.38)</w:t>
            </w:r>
          </w:p>
        </w:tc>
        <w:tc>
          <w:tcPr>
            <w:tcW w:w="834" w:type="pct"/>
            <w:tcBorders>
              <w:top w:val="nil"/>
              <w:left w:val="nil"/>
              <w:bottom w:val="nil"/>
              <w:right w:val="nil"/>
            </w:tcBorders>
            <w:shd w:val="clear" w:color="auto" w:fill="auto"/>
            <w:noWrap/>
            <w:vAlign w:val="center"/>
            <w:hideMark/>
          </w:tcPr>
          <w:p w14:paraId="13AD443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(–3.81)</w:t>
            </w:r>
          </w:p>
        </w:tc>
        <w:tc>
          <w:tcPr>
            <w:tcW w:w="834" w:type="pct"/>
            <w:tcBorders>
              <w:top w:val="nil"/>
              <w:left w:val="nil"/>
              <w:bottom w:val="nil"/>
              <w:right w:val="nil"/>
            </w:tcBorders>
            <w:shd w:val="clear" w:color="auto" w:fill="auto"/>
            <w:noWrap/>
            <w:vAlign w:val="center"/>
            <w:hideMark/>
          </w:tcPr>
          <w:p w14:paraId="791EE91D"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(–3.65)</w:t>
            </w:r>
          </w:p>
        </w:tc>
      </w:tr>
      <w:tr w:rsidR="00F634D2" w:rsidRPr="00F634D2" w14:paraId="44DBE384" w14:textId="77777777">
        <w:trPr>
          <w:trHeight w:val="20"/>
        </w:trPr>
        <w:tc>
          <w:tcPr>
            <w:tcW w:w="2497" w:type="pct"/>
            <w:tcBorders>
              <w:top w:val="nil"/>
              <w:left w:val="nil"/>
              <w:bottom w:val="nil"/>
              <w:right w:val="nil"/>
            </w:tcBorders>
            <w:shd w:val="clear" w:color="auto" w:fill="auto"/>
            <w:vAlign w:val="center"/>
            <w:hideMark/>
          </w:tcPr>
          <w:p w14:paraId="44B65A15"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AfterIDD</w:t>
            </w:r>
            <w:proofErr w:type="spellEnd"/>
          </w:p>
        </w:tc>
        <w:tc>
          <w:tcPr>
            <w:tcW w:w="834" w:type="pct"/>
            <w:tcBorders>
              <w:top w:val="nil"/>
              <w:left w:val="nil"/>
              <w:bottom w:val="nil"/>
              <w:right w:val="nil"/>
            </w:tcBorders>
            <w:shd w:val="clear" w:color="auto" w:fill="auto"/>
            <w:noWrap/>
            <w:vAlign w:val="center"/>
            <w:hideMark/>
          </w:tcPr>
          <w:p w14:paraId="22AAA5D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0.113*</w:t>
            </w:r>
          </w:p>
        </w:tc>
        <w:tc>
          <w:tcPr>
            <w:tcW w:w="834" w:type="pct"/>
            <w:tcBorders>
              <w:top w:val="nil"/>
              <w:left w:val="nil"/>
              <w:bottom w:val="nil"/>
              <w:right w:val="nil"/>
            </w:tcBorders>
            <w:shd w:val="clear" w:color="auto" w:fill="auto"/>
            <w:noWrap/>
            <w:vAlign w:val="bottom"/>
            <w:hideMark/>
          </w:tcPr>
          <w:p w14:paraId="07A98E5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0.112***</w:t>
            </w:r>
          </w:p>
        </w:tc>
        <w:tc>
          <w:tcPr>
            <w:tcW w:w="834" w:type="pct"/>
            <w:tcBorders>
              <w:top w:val="nil"/>
              <w:left w:val="nil"/>
              <w:bottom w:val="nil"/>
              <w:right w:val="nil"/>
            </w:tcBorders>
            <w:shd w:val="clear" w:color="auto" w:fill="auto"/>
            <w:noWrap/>
            <w:vAlign w:val="center"/>
            <w:hideMark/>
          </w:tcPr>
          <w:p w14:paraId="0EC55F0B"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3B9A7E3B" w14:textId="77777777">
        <w:trPr>
          <w:trHeight w:val="20"/>
        </w:trPr>
        <w:tc>
          <w:tcPr>
            <w:tcW w:w="2497" w:type="pct"/>
            <w:tcBorders>
              <w:top w:val="nil"/>
              <w:left w:val="nil"/>
              <w:bottom w:val="nil"/>
              <w:right w:val="nil"/>
            </w:tcBorders>
            <w:shd w:val="clear" w:color="auto" w:fill="auto"/>
            <w:noWrap/>
            <w:vAlign w:val="bottom"/>
            <w:hideMark/>
          </w:tcPr>
          <w:p w14:paraId="42B41379"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115BDE9A"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(1.87)</w:t>
            </w:r>
          </w:p>
        </w:tc>
        <w:tc>
          <w:tcPr>
            <w:tcW w:w="834" w:type="pct"/>
            <w:tcBorders>
              <w:top w:val="nil"/>
              <w:left w:val="nil"/>
              <w:bottom w:val="nil"/>
              <w:right w:val="nil"/>
            </w:tcBorders>
            <w:shd w:val="clear" w:color="auto" w:fill="auto"/>
            <w:noWrap/>
            <w:vAlign w:val="bottom"/>
            <w:hideMark/>
          </w:tcPr>
          <w:p w14:paraId="0C778507"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(2.63)</w:t>
            </w:r>
          </w:p>
        </w:tc>
        <w:tc>
          <w:tcPr>
            <w:tcW w:w="834" w:type="pct"/>
            <w:tcBorders>
              <w:top w:val="nil"/>
              <w:left w:val="nil"/>
              <w:bottom w:val="nil"/>
              <w:right w:val="nil"/>
            </w:tcBorders>
            <w:shd w:val="clear" w:color="auto" w:fill="auto"/>
            <w:noWrap/>
            <w:vAlign w:val="center"/>
            <w:hideMark/>
          </w:tcPr>
          <w:p w14:paraId="6037112B"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18CA420C" w14:textId="77777777">
        <w:trPr>
          <w:trHeight w:val="20"/>
        </w:trPr>
        <w:tc>
          <w:tcPr>
            <w:tcW w:w="2497" w:type="pct"/>
            <w:tcBorders>
              <w:top w:val="nil"/>
              <w:left w:val="nil"/>
              <w:bottom w:val="nil"/>
              <w:right w:val="nil"/>
            </w:tcBorders>
            <w:shd w:val="clear" w:color="auto" w:fill="auto"/>
            <w:noWrap/>
            <w:vAlign w:val="bottom"/>
            <w:hideMark/>
          </w:tcPr>
          <w:p w14:paraId="30E96E95"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Independence</w:t>
            </w:r>
          </w:p>
        </w:tc>
        <w:tc>
          <w:tcPr>
            <w:tcW w:w="834" w:type="pct"/>
            <w:tcBorders>
              <w:top w:val="nil"/>
              <w:left w:val="nil"/>
              <w:bottom w:val="nil"/>
              <w:right w:val="nil"/>
            </w:tcBorders>
            <w:shd w:val="clear" w:color="auto" w:fill="auto"/>
            <w:noWrap/>
            <w:vAlign w:val="center"/>
            <w:hideMark/>
          </w:tcPr>
          <w:p w14:paraId="0644191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DengXian" w:hAnsi="Times New Roman" w:cs="Times New Roman"/>
                <w:sz w:val="24"/>
                <w:szCs w:val="24"/>
                <w:lang w:eastAsia="en-GB"/>
              </w:rPr>
              <w:t>–0.023</w:t>
            </w:r>
          </w:p>
        </w:tc>
        <w:tc>
          <w:tcPr>
            <w:tcW w:w="834" w:type="pct"/>
            <w:tcBorders>
              <w:top w:val="nil"/>
              <w:left w:val="nil"/>
              <w:bottom w:val="nil"/>
              <w:right w:val="nil"/>
            </w:tcBorders>
            <w:shd w:val="clear" w:color="auto" w:fill="auto"/>
            <w:noWrap/>
            <w:vAlign w:val="center"/>
            <w:hideMark/>
          </w:tcPr>
          <w:p w14:paraId="7D83E584"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4808E872"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19D87AB6" w14:textId="77777777">
        <w:trPr>
          <w:trHeight w:val="20"/>
        </w:trPr>
        <w:tc>
          <w:tcPr>
            <w:tcW w:w="2497" w:type="pct"/>
            <w:tcBorders>
              <w:top w:val="nil"/>
              <w:left w:val="nil"/>
              <w:bottom w:val="nil"/>
              <w:right w:val="nil"/>
            </w:tcBorders>
            <w:shd w:val="clear" w:color="auto" w:fill="auto"/>
            <w:noWrap/>
            <w:vAlign w:val="bottom"/>
            <w:hideMark/>
          </w:tcPr>
          <w:p w14:paraId="225477AA"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1D7F7C2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DengXian" w:hAnsi="Times New Roman" w:cs="Times New Roman"/>
                <w:sz w:val="24"/>
                <w:szCs w:val="24"/>
                <w:lang w:eastAsia="en-GB"/>
              </w:rPr>
              <w:t>(–0.31)</w:t>
            </w:r>
          </w:p>
        </w:tc>
        <w:tc>
          <w:tcPr>
            <w:tcW w:w="834" w:type="pct"/>
            <w:tcBorders>
              <w:top w:val="nil"/>
              <w:left w:val="nil"/>
              <w:bottom w:val="nil"/>
              <w:right w:val="nil"/>
            </w:tcBorders>
            <w:shd w:val="clear" w:color="auto" w:fill="auto"/>
            <w:noWrap/>
            <w:vAlign w:val="center"/>
            <w:hideMark/>
          </w:tcPr>
          <w:p w14:paraId="3ECB3512"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14BFB6E7"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4C80B888" w14:textId="77777777">
        <w:trPr>
          <w:trHeight w:val="20"/>
        </w:trPr>
        <w:tc>
          <w:tcPr>
            <w:tcW w:w="2497" w:type="pct"/>
            <w:tcBorders>
              <w:top w:val="nil"/>
              <w:left w:val="nil"/>
              <w:bottom w:val="nil"/>
              <w:right w:val="nil"/>
            </w:tcBorders>
            <w:shd w:val="clear" w:color="auto" w:fill="auto"/>
            <w:noWrap/>
            <w:vAlign w:val="bottom"/>
            <w:hideMark/>
          </w:tcPr>
          <w:p w14:paraId="20E853D6"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AfterIDD×Independence</w:t>
            </w:r>
            <w:proofErr w:type="spellEnd"/>
          </w:p>
        </w:tc>
        <w:tc>
          <w:tcPr>
            <w:tcW w:w="834" w:type="pct"/>
            <w:tcBorders>
              <w:top w:val="nil"/>
              <w:left w:val="nil"/>
              <w:bottom w:val="nil"/>
              <w:right w:val="nil"/>
            </w:tcBorders>
            <w:shd w:val="clear" w:color="auto" w:fill="auto"/>
            <w:noWrap/>
            <w:vAlign w:val="center"/>
            <w:hideMark/>
          </w:tcPr>
          <w:p w14:paraId="0BE509AB"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DengXian" w:hAnsi="Times New Roman" w:cs="Times New Roman"/>
                <w:sz w:val="24"/>
                <w:szCs w:val="24"/>
                <w:lang w:eastAsia="en-GB"/>
              </w:rPr>
              <w:t>0.152***</w:t>
            </w:r>
          </w:p>
        </w:tc>
        <w:tc>
          <w:tcPr>
            <w:tcW w:w="834" w:type="pct"/>
            <w:tcBorders>
              <w:top w:val="nil"/>
              <w:left w:val="nil"/>
              <w:bottom w:val="nil"/>
              <w:right w:val="nil"/>
            </w:tcBorders>
            <w:shd w:val="clear" w:color="auto" w:fill="auto"/>
            <w:noWrap/>
            <w:vAlign w:val="center"/>
            <w:hideMark/>
          </w:tcPr>
          <w:p w14:paraId="6CB09F30"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4ED7EBDF"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70EBAC37" w14:textId="77777777">
        <w:trPr>
          <w:trHeight w:val="20"/>
        </w:trPr>
        <w:tc>
          <w:tcPr>
            <w:tcW w:w="2497" w:type="pct"/>
            <w:tcBorders>
              <w:top w:val="nil"/>
              <w:left w:val="nil"/>
              <w:bottom w:val="nil"/>
              <w:right w:val="nil"/>
            </w:tcBorders>
            <w:shd w:val="clear" w:color="auto" w:fill="auto"/>
            <w:noWrap/>
            <w:vAlign w:val="bottom"/>
            <w:hideMark/>
          </w:tcPr>
          <w:p w14:paraId="0134102D"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455D4ED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DengXian" w:hAnsi="Times New Roman" w:cs="Times New Roman"/>
                <w:sz w:val="24"/>
                <w:szCs w:val="24"/>
                <w:lang w:eastAsia="en-GB"/>
              </w:rPr>
              <w:t>(2.57)</w:t>
            </w:r>
          </w:p>
        </w:tc>
        <w:tc>
          <w:tcPr>
            <w:tcW w:w="834" w:type="pct"/>
            <w:tcBorders>
              <w:top w:val="nil"/>
              <w:left w:val="nil"/>
              <w:bottom w:val="nil"/>
              <w:right w:val="nil"/>
            </w:tcBorders>
            <w:shd w:val="clear" w:color="auto" w:fill="auto"/>
            <w:noWrap/>
            <w:vAlign w:val="center"/>
            <w:hideMark/>
          </w:tcPr>
          <w:p w14:paraId="27A736D3"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54EF06FB"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51B9DAFB" w14:textId="77777777">
        <w:trPr>
          <w:trHeight w:val="20"/>
        </w:trPr>
        <w:tc>
          <w:tcPr>
            <w:tcW w:w="2497" w:type="pct"/>
            <w:tcBorders>
              <w:top w:val="nil"/>
              <w:left w:val="nil"/>
              <w:bottom w:val="nil"/>
              <w:right w:val="nil"/>
            </w:tcBorders>
            <w:shd w:val="clear" w:color="auto" w:fill="auto"/>
            <w:noWrap/>
            <w:vAlign w:val="bottom"/>
            <w:hideMark/>
          </w:tcPr>
          <w:p w14:paraId="1C3A9C70"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Expertise</w:t>
            </w:r>
          </w:p>
        </w:tc>
        <w:tc>
          <w:tcPr>
            <w:tcW w:w="834" w:type="pct"/>
            <w:tcBorders>
              <w:top w:val="nil"/>
              <w:left w:val="nil"/>
              <w:bottom w:val="nil"/>
              <w:right w:val="nil"/>
            </w:tcBorders>
            <w:shd w:val="clear" w:color="auto" w:fill="auto"/>
            <w:noWrap/>
            <w:vAlign w:val="center"/>
            <w:hideMark/>
          </w:tcPr>
          <w:p w14:paraId="0F90423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DengXian" w:hAnsi="Times New Roman" w:cs="Times New Roman"/>
                <w:sz w:val="24"/>
                <w:szCs w:val="24"/>
                <w:lang w:eastAsia="en-GB"/>
              </w:rPr>
              <w:t>–0.011</w:t>
            </w:r>
          </w:p>
        </w:tc>
        <w:tc>
          <w:tcPr>
            <w:tcW w:w="834" w:type="pct"/>
            <w:tcBorders>
              <w:top w:val="nil"/>
              <w:left w:val="nil"/>
              <w:bottom w:val="nil"/>
              <w:right w:val="nil"/>
            </w:tcBorders>
            <w:shd w:val="clear" w:color="auto" w:fill="auto"/>
            <w:noWrap/>
            <w:vAlign w:val="center"/>
            <w:hideMark/>
          </w:tcPr>
          <w:p w14:paraId="2C49F7ED"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2CB909CD"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0479D87D" w14:textId="77777777">
        <w:trPr>
          <w:trHeight w:val="20"/>
        </w:trPr>
        <w:tc>
          <w:tcPr>
            <w:tcW w:w="2497" w:type="pct"/>
            <w:tcBorders>
              <w:top w:val="nil"/>
              <w:left w:val="nil"/>
              <w:bottom w:val="nil"/>
              <w:right w:val="nil"/>
            </w:tcBorders>
            <w:shd w:val="clear" w:color="auto" w:fill="auto"/>
            <w:noWrap/>
            <w:vAlign w:val="bottom"/>
            <w:hideMark/>
          </w:tcPr>
          <w:p w14:paraId="6212C365"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04DEEF5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DengXian" w:hAnsi="Times New Roman" w:cs="Times New Roman"/>
                <w:sz w:val="24"/>
                <w:szCs w:val="24"/>
                <w:lang w:eastAsia="en-GB"/>
              </w:rPr>
              <w:t>(–0.21)</w:t>
            </w:r>
          </w:p>
        </w:tc>
        <w:tc>
          <w:tcPr>
            <w:tcW w:w="834" w:type="pct"/>
            <w:tcBorders>
              <w:top w:val="nil"/>
              <w:left w:val="nil"/>
              <w:bottom w:val="nil"/>
              <w:right w:val="nil"/>
            </w:tcBorders>
            <w:shd w:val="clear" w:color="auto" w:fill="auto"/>
            <w:noWrap/>
            <w:vAlign w:val="center"/>
            <w:hideMark/>
          </w:tcPr>
          <w:p w14:paraId="77904A18"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75778017"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58326B51" w14:textId="77777777">
        <w:trPr>
          <w:trHeight w:val="20"/>
        </w:trPr>
        <w:tc>
          <w:tcPr>
            <w:tcW w:w="2497" w:type="pct"/>
            <w:tcBorders>
              <w:top w:val="nil"/>
              <w:left w:val="nil"/>
              <w:bottom w:val="nil"/>
              <w:right w:val="nil"/>
            </w:tcBorders>
            <w:shd w:val="clear" w:color="auto" w:fill="auto"/>
            <w:noWrap/>
            <w:vAlign w:val="bottom"/>
            <w:hideMark/>
          </w:tcPr>
          <w:p w14:paraId="5172D6B3"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AfterIDD×Expertise</w:t>
            </w:r>
            <w:proofErr w:type="spellEnd"/>
          </w:p>
        </w:tc>
        <w:tc>
          <w:tcPr>
            <w:tcW w:w="834" w:type="pct"/>
            <w:tcBorders>
              <w:top w:val="nil"/>
              <w:left w:val="nil"/>
              <w:bottom w:val="nil"/>
              <w:right w:val="nil"/>
            </w:tcBorders>
            <w:shd w:val="clear" w:color="auto" w:fill="auto"/>
            <w:noWrap/>
            <w:vAlign w:val="center"/>
            <w:hideMark/>
          </w:tcPr>
          <w:p w14:paraId="3DA38012"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DengXian" w:hAnsi="Times New Roman" w:cs="Times New Roman"/>
                <w:sz w:val="24"/>
                <w:szCs w:val="24"/>
                <w:lang w:eastAsia="en-GB"/>
              </w:rPr>
              <w:t>0.085**</w:t>
            </w:r>
          </w:p>
        </w:tc>
        <w:tc>
          <w:tcPr>
            <w:tcW w:w="834" w:type="pct"/>
            <w:tcBorders>
              <w:top w:val="nil"/>
              <w:left w:val="nil"/>
              <w:bottom w:val="nil"/>
              <w:right w:val="nil"/>
            </w:tcBorders>
            <w:shd w:val="clear" w:color="auto" w:fill="auto"/>
            <w:noWrap/>
            <w:vAlign w:val="center"/>
            <w:hideMark/>
          </w:tcPr>
          <w:p w14:paraId="447513B9"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5A826A3C"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0BDC52E8" w14:textId="77777777">
        <w:trPr>
          <w:trHeight w:val="20"/>
        </w:trPr>
        <w:tc>
          <w:tcPr>
            <w:tcW w:w="2497" w:type="pct"/>
            <w:tcBorders>
              <w:top w:val="nil"/>
              <w:left w:val="nil"/>
              <w:bottom w:val="nil"/>
              <w:right w:val="nil"/>
            </w:tcBorders>
            <w:shd w:val="clear" w:color="auto" w:fill="auto"/>
            <w:noWrap/>
            <w:vAlign w:val="bottom"/>
            <w:hideMark/>
          </w:tcPr>
          <w:p w14:paraId="214BF55E"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7A10E30C"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DengXian" w:hAnsi="Times New Roman" w:cs="Times New Roman"/>
                <w:sz w:val="24"/>
                <w:szCs w:val="24"/>
                <w:lang w:eastAsia="en-GB"/>
              </w:rPr>
              <w:t>(2.01)</w:t>
            </w:r>
          </w:p>
        </w:tc>
        <w:tc>
          <w:tcPr>
            <w:tcW w:w="834" w:type="pct"/>
            <w:tcBorders>
              <w:top w:val="nil"/>
              <w:left w:val="nil"/>
              <w:bottom w:val="nil"/>
              <w:right w:val="nil"/>
            </w:tcBorders>
            <w:shd w:val="clear" w:color="auto" w:fill="auto"/>
            <w:noWrap/>
            <w:vAlign w:val="center"/>
            <w:hideMark/>
          </w:tcPr>
          <w:p w14:paraId="74E343A2"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4DA69CDB"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7DE4180B" w14:textId="77777777">
        <w:trPr>
          <w:trHeight w:val="20"/>
        </w:trPr>
        <w:tc>
          <w:tcPr>
            <w:tcW w:w="2497" w:type="pct"/>
            <w:tcBorders>
              <w:top w:val="nil"/>
              <w:left w:val="nil"/>
              <w:bottom w:val="nil"/>
              <w:right w:val="nil"/>
            </w:tcBorders>
            <w:shd w:val="clear" w:color="auto" w:fill="auto"/>
            <w:noWrap/>
            <w:vAlign w:val="bottom"/>
            <w:hideMark/>
          </w:tcPr>
          <w:p w14:paraId="1E653D7D"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Nswitch</w:t>
            </w:r>
            <w:proofErr w:type="spellEnd"/>
          </w:p>
        </w:tc>
        <w:tc>
          <w:tcPr>
            <w:tcW w:w="834" w:type="pct"/>
            <w:tcBorders>
              <w:top w:val="nil"/>
              <w:left w:val="nil"/>
              <w:bottom w:val="nil"/>
              <w:right w:val="nil"/>
            </w:tcBorders>
            <w:shd w:val="clear" w:color="auto" w:fill="auto"/>
            <w:noWrap/>
            <w:vAlign w:val="center"/>
            <w:hideMark/>
          </w:tcPr>
          <w:p w14:paraId="2CF4A885" w14:textId="77777777" w:rsidR="00D50589" w:rsidRPr="00F634D2" w:rsidRDefault="00D50589">
            <w:pPr>
              <w:spacing w:after="0" w:line="240" w:lineRule="auto"/>
              <w:rPr>
                <w:rFonts w:ascii="Times New Roman" w:eastAsia="Times New Roman" w:hAnsi="Times New Roman" w:cs="Times New Roman"/>
                <w:i/>
                <w:iCs/>
                <w:sz w:val="24"/>
                <w:szCs w:val="24"/>
                <w:lang w:val="en-GB" w:eastAsia="en-GB"/>
              </w:rPr>
            </w:pPr>
          </w:p>
        </w:tc>
        <w:tc>
          <w:tcPr>
            <w:tcW w:w="834" w:type="pct"/>
            <w:tcBorders>
              <w:top w:val="nil"/>
              <w:left w:val="nil"/>
              <w:bottom w:val="nil"/>
              <w:right w:val="nil"/>
            </w:tcBorders>
            <w:shd w:val="clear" w:color="auto" w:fill="auto"/>
            <w:noWrap/>
            <w:vAlign w:val="center"/>
            <w:hideMark/>
          </w:tcPr>
          <w:p w14:paraId="40F1D46D"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DengXian" w:hAnsi="Times New Roman" w:cs="Times New Roman"/>
                <w:sz w:val="24"/>
                <w:szCs w:val="24"/>
                <w:lang w:eastAsia="en-GB"/>
              </w:rPr>
              <w:t>0.035</w:t>
            </w:r>
          </w:p>
        </w:tc>
        <w:tc>
          <w:tcPr>
            <w:tcW w:w="834" w:type="pct"/>
            <w:tcBorders>
              <w:top w:val="nil"/>
              <w:left w:val="nil"/>
              <w:bottom w:val="nil"/>
              <w:right w:val="nil"/>
            </w:tcBorders>
            <w:shd w:val="clear" w:color="auto" w:fill="auto"/>
            <w:noWrap/>
            <w:vAlign w:val="center"/>
            <w:hideMark/>
          </w:tcPr>
          <w:p w14:paraId="186F38D6"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02CC6983" w14:textId="77777777">
        <w:trPr>
          <w:trHeight w:val="20"/>
        </w:trPr>
        <w:tc>
          <w:tcPr>
            <w:tcW w:w="2497" w:type="pct"/>
            <w:tcBorders>
              <w:top w:val="nil"/>
              <w:left w:val="nil"/>
              <w:bottom w:val="nil"/>
              <w:right w:val="nil"/>
            </w:tcBorders>
            <w:shd w:val="clear" w:color="auto" w:fill="auto"/>
            <w:noWrap/>
            <w:vAlign w:val="bottom"/>
            <w:hideMark/>
          </w:tcPr>
          <w:p w14:paraId="327B67F1"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434F4B76"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540ECF9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DengXian" w:hAnsi="Times New Roman" w:cs="Times New Roman"/>
                <w:sz w:val="24"/>
                <w:szCs w:val="24"/>
                <w:lang w:eastAsia="en-GB"/>
              </w:rPr>
              <w:t>(0.63)</w:t>
            </w:r>
          </w:p>
        </w:tc>
        <w:tc>
          <w:tcPr>
            <w:tcW w:w="834" w:type="pct"/>
            <w:tcBorders>
              <w:top w:val="nil"/>
              <w:left w:val="nil"/>
              <w:bottom w:val="nil"/>
              <w:right w:val="nil"/>
            </w:tcBorders>
            <w:shd w:val="clear" w:color="auto" w:fill="auto"/>
            <w:noWrap/>
            <w:vAlign w:val="center"/>
            <w:hideMark/>
          </w:tcPr>
          <w:p w14:paraId="573E0ED8"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1C6CBDA8" w14:textId="77777777">
        <w:trPr>
          <w:trHeight w:val="20"/>
        </w:trPr>
        <w:tc>
          <w:tcPr>
            <w:tcW w:w="2497" w:type="pct"/>
            <w:tcBorders>
              <w:top w:val="nil"/>
              <w:left w:val="nil"/>
              <w:bottom w:val="nil"/>
              <w:right w:val="nil"/>
            </w:tcBorders>
            <w:shd w:val="clear" w:color="auto" w:fill="auto"/>
            <w:noWrap/>
            <w:vAlign w:val="bottom"/>
            <w:hideMark/>
          </w:tcPr>
          <w:p w14:paraId="76F86F6C"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AfterIDD×Nswitch</w:t>
            </w:r>
            <w:proofErr w:type="spellEnd"/>
          </w:p>
        </w:tc>
        <w:tc>
          <w:tcPr>
            <w:tcW w:w="834" w:type="pct"/>
            <w:tcBorders>
              <w:top w:val="nil"/>
              <w:left w:val="nil"/>
              <w:bottom w:val="nil"/>
              <w:right w:val="nil"/>
            </w:tcBorders>
            <w:shd w:val="clear" w:color="auto" w:fill="auto"/>
            <w:noWrap/>
            <w:vAlign w:val="center"/>
            <w:hideMark/>
          </w:tcPr>
          <w:p w14:paraId="33D78237" w14:textId="77777777" w:rsidR="00D50589" w:rsidRPr="00F634D2" w:rsidRDefault="00D50589">
            <w:pPr>
              <w:spacing w:after="0" w:line="240" w:lineRule="auto"/>
              <w:rPr>
                <w:rFonts w:ascii="Times New Roman" w:eastAsia="Times New Roman" w:hAnsi="Times New Roman" w:cs="Times New Roman"/>
                <w:i/>
                <w:iCs/>
                <w:sz w:val="24"/>
                <w:szCs w:val="24"/>
                <w:lang w:val="en-GB" w:eastAsia="en-GB"/>
              </w:rPr>
            </w:pPr>
          </w:p>
        </w:tc>
        <w:tc>
          <w:tcPr>
            <w:tcW w:w="834" w:type="pct"/>
            <w:tcBorders>
              <w:top w:val="nil"/>
              <w:left w:val="nil"/>
              <w:bottom w:val="nil"/>
              <w:right w:val="nil"/>
            </w:tcBorders>
            <w:shd w:val="clear" w:color="auto" w:fill="auto"/>
            <w:noWrap/>
            <w:vAlign w:val="bottom"/>
            <w:hideMark/>
          </w:tcPr>
          <w:p w14:paraId="6DAB4BD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0.047**</w:t>
            </w:r>
          </w:p>
        </w:tc>
        <w:tc>
          <w:tcPr>
            <w:tcW w:w="834" w:type="pct"/>
            <w:tcBorders>
              <w:top w:val="nil"/>
              <w:left w:val="nil"/>
              <w:bottom w:val="nil"/>
              <w:right w:val="nil"/>
            </w:tcBorders>
            <w:shd w:val="clear" w:color="auto" w:fill="auto"/>
            <w:noWrap/>
            <w:vAlign w:val="center"/>
            <w:hideMark/>
          </w:tcPr>
          <w:p w14:paraId="5F88C14E"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5E242D98" w14:textId="77777777">
        <w:trPr>
          <w:trHeight w:val="20"/>
        </w:trPr>
        <w:tc>
          <w:tcPr>
            <w:tcW w:w="2497" w:type="pct"/>
            <w:tcBorders>
              <w:top w:val="nil"/>
              <w:left w:val="nil"/>
              <w:bottom w:val="nil"/>
              <w:right w:val="nil"/>
            </w:tcBorders>
            <w:shd w:val="clear" w:color="auto" w:fill="auto"/>
            <w:noWrap/>
            <w:vAlign w:val="bottom"/>
            <w:hideMark/>
          </w:tcPr>
          <w:p w14:paraId="12B4943A"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34A71F68"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bottom"/>
            <w:hideMark/>
          </w:tcPr>
          <w:p w14:paraId="0A6CA45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(1.98)</w:t>
            </w:r>
          </w:p>
        </w:tc>
        <w:tc>
          <w:tcPr>
            <w:tcW w:w="834" w:type="pct"/>
            <w:tcBorders>
              <w:top w:val="nil"/>
              <w:left w:val="nil"/>
              <w:bottom w:val="nil"/>
              <w:right w:val="nil"/>
            </w:tcBorders>
            <w:shd w:val="clear" w:color="auto" w:fill="auto"/>
            <w:noWrap/>
            <w:vAlign w:val="center"/>
            <w:hideMark/>
          </w:tcPr>
          <w:p w14:paraId="04E84824"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05CAC103" w14:textId="77777777">
        <w:trPr>
          <w:trHeight w:val="20"/>
        </w:trPr>
        <w:tc>
          <w:tcPr>
            <w:tcW w:w="2497" w:type="pct"/>
            <w:tcBorders>
              <w:top w:val="nil"/>
              <w:left w:val="nil"/>
              <w:bottom w:val="nil"/>
              <w:right w:val="nil"/>
            </w:tcBorders>
            <w:shd w:val="clear" w:color="auto" w:fill="auto"/>
            <w:noWrap/>
            <w:vAlign w:val="bottom"/>
            <w:hideMark/>
          </w:tcPr>
          <w:p w14:paraId="2CF619FB"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proofErr w:type="spellStart"/>
            <w:r w:rsidRPr="00F634D2">
              <w:rPr>
                <w:rFonts w:ascii="Times New Roman" w:eastAsia="Times New Roman" w:hAnsi="Times New Roman" w:cs="Times New Roman"/>
                <w:i/>
                <w:iCs/>
                <w:sz w:val="24"/>
                <w:szCs w:val="24"/>
                <w:lang w:val="en-GB" w:eastAsia="en-GB"/>
              </w:rPr>
              <w:t>Nreversal</w:t>
            </w:r>
            <w:proofErr w:type="spellEnd"/>
          </w:p>
        </w:tc>
        <w:tc>
          <w:tcPr>
            <w:tcW w:w="834" w:type="pct"/>
            <w:tcBorders>
              <w:top w:val="nil"/>
              <w:left w:val="nil"/>
              <w:bottom w:val="nil"/>
              <w:right w:val="nil"/>
            </w:tcBorders>
            <w:shd w:val="clear" w:color="auto" w:fill="auto"/>
            <w:noWrap/>
            <w:vAlign w:val="center"/>
            <w:hideMark/>
          </w:tcPr>
          <w:p w14:paraId="784F6C06" w14:textId="77777777" w:rsidR="00D50589" w:rsidRPr="00F634D2" w:rsidRDefault="00D50589">
            <w:pPr>
              <w:spacing w:after="0" w:line="240" w:lineRule="auto"/>
              <w:rPr>
                <w:rFonts w:ascii="Times New Roman" w:eastAsia="Times New Roman" w:hAnsi="Times New Roman" w:cs="Times New Roman"/>
                <w:i/>
                <w:iCs/>
                <w:sz w:val="24"/>
                <w:szCs w:val="24"/>
                <w:lang w:val="en-GB" w:eastAsia="en-GB"/>
              </w:rPr>
            </w:pPr>
          </w:p>
        </w:tc>
        <w:tc>
          <w:tcPr>
            <w:tcW w:w="834" w:type="pct"/>
            <w:tcBorders>
              <w:top w:val="nil"/>
              <w:left w:val="nil"/>
              <w:bottom w:val="nil"/>
              <w:right w:val="nil"/>
            </w:tcBorders>
            <w:shd w:val="clear" w:color="auto" w:fill="auto"/>
            <w:noWrap/>
            <w:vAlign w:val="center"/>
            <w:hideMark/>
          </w:tcPr>
          <w:p w14:paraId="19F02B14"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bottom"/>
            <w:hideMark/>
          </w:tcPr>
          <w:p w14:paraId="2DB14C59"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–0.108***</w:t>
            </w:r>
          </w:p>
        </w:tc>
      </w:tr>
      <w:tr w:rsidR="00F634D2" w:rsidRPr="00F634D2" w14:paraId="766E58AD" w14:textId="77777777">
        <w:trPr>
          <w:trHeight w:val="20"/>
        </w:trPr>
        <w:tc>
          <w:tcPr>
            <w:tcW w:w="2497" w:type="pct"/>
            <w:tcBorders>
              <w:top w:val="nil"/>
              <w:left w:val="nil"/>
              <w:bottom w:val="nil"/>
              <w:right w:val="nil"/>
            </w:tcBorders>
            <w:shd w:val="clear" w:color="auto" w:fill="auto"/>
            <w:noWrap/>
            <w:vAlign w:val="bottom"/>
            <w:hideMark/>
          </w:tcPr>
          <w:p w14:paraId="4E5B38ED"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1CA3B5B7"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4F7EEA3F"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bottom"/>
            <w:hideMark/>
          </w:tcPr>
          <w:p w14:paraId="52ED58A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(–2.67)</w:t>
            </w:r>
          </w:p>
        </w:tc>
      </w:tr>
      <w:tr w:rsidR="00F634D2" w:rsidRPr="00F634D2" w14:paraId="1D4E7745" w14:textId="77777777">
        <w:trPr>
          <w:trHeight w:val="20"/>
        </w:trPr>
        <w:tc>
          <w:tcPr>
            <w:tcW w:w="2497" w:type="pct"/>
            <w:tcBorders>
              <w:top w:val="nil"/>
              <w:left w:val="nil"/>
              <w:bottom w:val="nil"/>
              <w:right w:val="nil"/>
            </w:tcBorders>
            <w:shd w:val="clear" w:color="auto" w:fill="auto"/>
            <w:noWrap/>
            <w:vAlign w:val="bottom"/>
            <w:hideMark/>
          </w:tcPr>
          <w:p w14:paraId="024CE188" w14:textId="77777777" w:rsidR="00D50589" w:rsidRPr="00F634D2" w:rsidRDefault="00686261">
            <w:pPr>
              <w:spacing w:after="0" w:line="240" w:lineRule="auto"/>
              <w:rPr>
                <w:rFonts w:ascii="Times New Roman" w:eastAsia="Times New Roman" w:hAnsi="Times New Roman" w:cs="Times New Roman"/>
                <w:i/>
                <w:iCs/>
                <w:sz w:val="24"/>
                <w:szCs w:val="24"/>
                <w:lang w:val="en-GB" w:eastAsia="en-GB"/>
              </w:rPr>
            </w:pPr>
            <w:r w:rsidRPr="00F634D2">
              <w:rPr>
                <w:rFonts w:ascii="Times New Roman" w:eastAsia="Times New Roman" w:hAnsi="Times New Roman" w:cs="Times New Roman"/>
                <w:i/>
                <w:iCs/>
                <w:sz w:val="24"/>
                <w:szCs w:val="24"/>
                <w:lang w:val="en-GB" w:eastAsia="en-GB"/>
              </w:rPr>
              <w:t>Reversal</w:t>
            </w:r>
          </w:p>
        </w:tc>
        <w:tc>
          <w:tcPr>
            <w:tcW w:w="834" w:type="pct"/>
            <w:tcBorders>
              <w:top w:val="nil"/>
              <w:left w:val="nil"/>
              <w:bottom w:val="nil"/>
              <w:right w:val="nil"/>
            </w:tcBorders>
            <w:shd w:val="clear" w:color="auto" w:fill="auto"/>
            <w:noWrap/>
            <w:vAlign w:val="center"/>
            <w:hideMark/>
          </w:tcPr>
          <w:p w14:paraId="5A74DB79" w14:textId="77777777" w:rsidR="00D50589" w:rsidRPr="00F634D2" w:rsidRDefault="00D50589">
            <w:pPr>
              <w:spacing w:after="0" w:line="240" w:lineRule="auto"/>
              <w:rPr>
                <w:rFonts w:ascii="Times New Roman" w:eastAsia="Times New Roman" w:hAnsi="Times New Roman" w:cs="Times New Roman"/>
                <w:i/>
                <w:iCs/>
                <w:sz w:val="24"/>
                <w:szCs w:val="24"/>
                <w:lang w:val="en-GB" w:eastAsia="en-GB"/>
              </w:rPr>
            </w:pPr>
          </w:p>
        </w:tc>
        <w:tc>
          <w:tcPr>
            <w:tcW w:w="834" w:type="pct"/>
            <w:tcBorders>
              <w:top w:val="nil"/>
              <w:left w:val="nil"/>
              <w:bottom w:val="nil"/>
              <w:right w:val="nil"/>
            </w:tcBorders>
            <w:shd w:val="clear" w:color="auto" w:fill="auto"/>
            <w:noWrap/>
            <w:vAlign w:val="center"/>
            <w:hideMark/>
          </w:tcPr>
          <w:p w14:paraId="50148C39"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bottom"/>
            <w:hideMark/>
          </w:tcPr>
          <w:p w14:paraId="3F543A54"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–0.058**</w:t>
            </w:r>
          </w:p>
        </w:tc>
      </w:tr>
      <w:tr w:rsidR="00F634D2" w:rsidRPr="00F634D2" w14:paraId="0080C91A" w14:textId="77777777">
        <w:trPr>
          <w:trHeight w:val="284"/>
        </w:trPr>
        <w:tc>
          <w:tcPr>
            <w:tcW w:w="2497" w:type="pct"/>
            <w:tcBorders>
              <w:top w:val="nil"/>
              <w:left w:val="nil"/>
              <w:bottom w:val="nil"/>
              <w:right w:val="nil"/>
            </w:tcBorders>
            <w:shd w:val="clear" w:color="auto" w:fill="auto"/>
            <w:noWrap/>
            <w:vAlign w:val="bottom"/>
            <w:hideMark/>
          </w:tcPr>
          <w:p w14:paraId="664241DE"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16E5DD82"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center"/>
            <w:hideMark/>
          </w:tcPr>
          <w:p w14:paraId="0B6F815F"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bottom"/>
            <w:hideMark/>
          </w:tcPr>
          <w:p w14:paraId="4FC2D56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(–2.00)</w:t>
            </w:r>
          </w:p>
        </w:tc>
      </w:tr>
      <w:tr w:rsidR="00F634D2" w:rsidRPr="00F634D2" w14:paraId="1900F787" w14:textId="77777777">
        <w:trPr>
          <w:trHeight w:val="284"/>
        </w:trPr>
        <w:tc>
          <w:tcPr>
            <w:tcW w:w="2497" w:type="pct"/>
            <w:tcBorders>
              <w:top w:val="nil"/>
              <w:left w:val="nil"/>
              <w:bottom w:val="nil"/>
              <w:right w:val="nil"/>
            </w:tcBorders>
            <w:shd w:val="clear" w:color="auto" w:fill="auto"/>
            <w:noWrap/>
            <w:vAlign w:val="bottom"/>
            <w:hideMark/>
          </w:tcPr>
          <w:p w14:paraId="67AF9C45"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bottom"/>
            <w:hideMark/>
          </w:tcPr>
          <w:p w14:paraId="570AFB40" w14:textId="77777777" w:rsidR="00D50589" w:rsidRPr="00F634D2" w:rsidRDefault="00D50589">
            <w:pPr>
              <w:spacing w:after="0" w:line="240" w:lineRule="auto"/>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bottom"/>
            <w:hideMark/>
          </w:tcPr>
          <w:p w14:paraId="5B55B90A"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c>
          <w:tcPr>
            <w:tcW w:w="834" w:type="pct"/>
            <w:tcBorders>
              <w:top w:val="nil"/>
              <w:left w:val="nil"/>
              <w:bottom w:val="nil"/>
              <w:right w:val="nil"/>
            </w:tcBorders>
            <w:shd w:val="clear" w:color="auto" w:fill="auto"/>
            <w:noWrap/>
            <w:vAlign w:val="bottom"/>
            <w:hideMark/>
          </w:tcPr>
          <w:p w14:paraId="02A898F7" w14:textId="77777777" w:rsidR="00D50589" w:rsidRPr="00F634D2" w:rsidRDefault="00D50589">
            <w:pPr>
              <w:spacing w:after="0" w:line="240" w:lineRule="auto"/>
              <w:jc w:val="center"/>
              <w:rPr>
                <w:rFonts w:ascii="Times New Roman" w:eastAsia="Times New Roman" w:hAnsi="Times New Roman" w:cs="Times New Roman"/>
                <w:sz w:val="24"/>
                <w:szCs w:val="24"/>
                <w:lang w:val="en-GB" w:eastAsia="en-GB"/>
              </w:rPr>
            </w:pPr>
          </w:p>
        </w:tc>
      </w:tr>
      <w:tr w:rsidR="00F634D2" w:rsidRPr="00F634D2" w14:paraId="16CB45AE" w14:textId="77777777">
        <w:trPr>
          <w:trHeight w:val="284"/>
        </w:trPr>
        <w:tc>
          <w:tcPr>
            <w:tcW w:w="2497" w:type="pct"/>
            <w:tcBorders>
              <w:top w:val="nil"/>
              <w:left w:val="nil"/>
              <w:bottom w:val="nil"/>
              <w:right w:val="nil"/>
            </w:tcBorders>
            <w:shd w:val="clear" w:color="auto" w:fill="auto"/>
            <w:noWrap/>
            <w:vAlign w:val="bottom"/>
            <w:hideMark/>
          </w:tcPr>
          <w:p w14:paraId="5524A792"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Controls</w:t>
            </w:r>
          </w:p>
        </w:tc>
        <w:tc>
          <w:tcPr>
            <w:tcW w:w="834" w:type="pct"/>
            <w:tcBorders>
              <w:top w:val="nil"/>
              <w:left w:val="nil"/>
              <w:bottom w:val="nil"/>
              <w:right w:val="nil"/>
            </w:tcBorders>
            <w:shd w:val="clear" w:color="auto" w:fill="auto"/>
            <w:noWrap/>
            <w:vAlign w:val="center"/>
            <w:hideMark/>
          </w:tcPr>
          <w:p w14:paraId="7A3D7F5A"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834" w:type="pct"/>
            <w:tcBorders>
              <w:top w:val="nil"/>
              <w:left w:val="nil"/>
              <w:bottom w:val="nil"/>
              <w:right w:val="nil"/>
            </w:tcBorders>
            <w:shd w:val="clear" w:color="auto" w:fill="auto"/>
            <w:noWrap/>
            <w:vAlign w:val="center"/>
            <w:hideMark/>
          </w:tcPr>
          <w:p w14:paraId="244B8E7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834" w:type="pct"/>
            <w:tcBorders>
              <w:top w:val="nil"/>
              <w:left w:val="nil"/>
              <w:bottom w:val="nil"/>
              <w:right w:val="nil"/>
            </w:tcBorders>
            <w:shd w:val="clear" w:color="auto" w:fill="auto"/>
            <w:noWrap/>
            <w:vAlign w:val="center"/>
            <w:hideMark/>
          </w:tcPr>
          <w:p w14:paraId="01A44A8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r>
      <w:tr w:rsidR="00F634D2" w:rsidRPr="00F634D2" w14:paraId="52A37996" w14:textId="77777777">
        <w:trPr>
          <w:trHeight w:val="20"/>
        </w:trPr>
        <w:tc>
          <w:tcPr>
            <w:tcW w:w="2497" w:type="pct"/>
            <w:tcBorders>
              <w:top w:val="nil"/>
              <w:left w:val="nil"/>
              <w:bottom w:val="nil"/>
              <w:right w:val="nil"/>
            </w:tcBorders>
            <w:shd w:val="clear" w:color="auto" w:fill="auto"/>
            <w:noWrap/>
            <w:vAlign w:val="center"/>
            <w:hideMark/>
          </w:tcPr>
          <w:p w14:paraId="0F3CDFA2"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Firm fixed effects</w:t>
            </w:r>
          </w:p>
        </w:tc>
        <w:tc>
          <w:tcPr>
            <w:tcW w:w="834" w:type="pct"/>
            <w:tcBorders>
              <w:top w:val="nil"/>
              <w:left w:val="nil"/>
              <w:bottom w:val="nil"/>
              <w:right w:val="nil"/>
            </w:tcBorders>
            <w:shd w:val="clear" w:color="auto" w:fill="auto"/>
            <w:noWrap/>
            <w:vAlign w:val="center"/>
            <w:hideMark/>
          </w:tcPr>
          <w:p w14:paraId="2D5C0A67"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834" w:type="pct"/>
            <w:tcBorders>
              <w:top w:val="nil"/>
              <w:left w:val="nil"/>
              <w:bottom w:val="nil"/>
              <w:right w:val="nil"/>
            </w:tcBorders>
            <w:shd w:val="clear" w:color="auto" w:fill="auto"/>
            <w:noWrap/>
            <w:vAlign w:val="center"/>
            <w:hideMark/>
          </w:tcPr>
          <w:p w14:paraId="3F07EA9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834" w:type="pct"/>
            <w:tcBorders>
              <w:top w:val="nil"/>
              <w:left w:val="nil"/>
              <w:bottom w:val="nil"/>
              <w:right w:val="nil"/>
            </w:tcBorders>
            <w:shd w:val="clear" w:color="auto" w:fill="auto"/>
            <w:noWrap/>
            <w:vAlign w:val="center"/>
            <w:hideMark/>
          </w:tcPr>
          <w:p w14:paraId="2DC0A5C0"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r>
      <w:tr w:rsidR="00F634D2" w:rsidRPr="00F634D2" w14:paraId="47F77885" w14:textId="77777777">
        <w:trPr>
          <w:trHeight w:val="20"/>
        </w:trPr>
        <w:tc>
          <w:tcPr>
            <w:tcW w:w="2497" w:type="pct"/>
            <w:tcBorders>
              <w:top w:val="nil"/>
              <w:left w:val="nil"/>
              <w:bottom w:val="nil"/>
              <w:right w:val="nil"/>
            </w:tcBorders>
            <w:shd w:val="clear" w:color="auto" w:fill="auto"/>
            <w:noWrap/>
            <w:vAlign w:val="center"/>
            <w:hideMark/>
          </w:tcPr>
          <w:p w14:paraId="647C4A3A"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Industry× Year fixed effects</w:t>
            </w:r>
          </w:p>
        </w:tc>
        <w:tc>
          <w:tcPr>
            <w:tcW w:w="834" w:type="pct"/>
            <w:tcBorders>
              <w:top w:val="nil"/>
              <w:left w:val="nil"/>
              <w:bottom w:val="nil"/>
              <w:right w:val="nil"/>
            </w:tcBorders>
            <w:shd w:val="clear" w:color="auto" w:fill="auto"/>
            <w:noWrap/>
            <w:vAlign w:val="center"/>
            <w:hideMark/>
          </w:tcPr>
          <w:p w14:paraId="0F38920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834" w:type="pct"/>
            <w:tcBorders>
              <w:top w:val="nil"/>
              <w:left w:val="nil"/>
              <w:bottom w:val="nil"/>
              <w:right w:val="nil"/>
            </w:tcBorders>
            <w:shd w:val="clear" w:color="auto" w:fill="auto"/>
            <w:noWrap/>
            <w:vAlign w:val="center"/>
            <w:hideMark/>
          </w:tcPr>
          <w:p w14:paraId="0845D84E"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c>
          <w:tcPr>
            <w:tcW w:w="834" w:type="pct"/>
            <w:tcBorders>
              <w:top w:val="nil"/>
              <w:left w:val="nil"/>
              <w:bottom w:val="nil"/>
              <w:right w:val="nil"/>
            </w:tcBorders>
            <w:shd w:val="clear" w:color="auto" w:fill="auto"/>
            <w:noWrap/>
            <w:vAlign w:val="center"/>
            <w:hideMark/>
          </w:tcPr>
          <w:p w14:paraId="7A87D4B1"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Yes</w:t>
            </w:r>
          </w:p>
        </w:tc>
      </w:tr>
      <w:tr w:rsidR="00F634D2" w:rsidRPr="00F634D2" w14:paraId="2F3ADC09" w14:textId="77777777">
        <w:trPr>
          <w:trHeight w:val="20"/>
        </w:trPr>
        <w:tc>
          <w:tcPr>
            <w:tcW w:w="2497" w:type="pct"/>
            <w:tcBorders>
              <w:top w:val="nil"/>
              <w:left w:val="nil"/>
              <w:bottom w:val="nil"/>
              <w:right w:val="nil"/>
            </w:tcBorders>
            <w:shd w:val="clear" w:color="auto" w:fill="auto"/>
            <w:noWrap/>
            <w:vAlign w:val="center"/>
            <w:hideMark/>
          </w:tcPr>
          <w:p w14:paraId="7BD767A5"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R</w:t>
            </w:r>
            <w:r w:rsidRPr="00F634D2">
              <w:rPr>
                <w:rFonts w:ascii="Times New Roman" w:eastAsia="Times New Roman" w:hAnsi="Times New Roman" w:cs="Times New Roman"/>
                <w:sz w:val="24"/>
                <w:szCs w:val="24"/>
                <w:vertAlign w:val="superscript"/>
                <w:lang w:val="en-GB" w:eastAsia="en-GB"/>
              </w:rPr>
              <w:t>2</w:t>
            </w:r>
          </w:p>
        </w:tc>
        <w:tc>
          <w:tcPr>
            <w:tcW w:w="834" w:type="pct"/>
            <w:tcBorders>
              <w:top w:val="nil"/>
              <w:left w:val="nil"/>
              <w:bottom w:val="nil"/>
              <w:right w:val="nil"/>
            </w:tcBorders>
            <w:shd w:val="clear" w:color="auto" w:fill="auto"/>
            <w:noWrap/>
            <w:vAlign w:val="center"/>
            <w:hideMark/>
          </w:tcPr>
          <w:p w14:paraId="11B0234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0.36</w:t>
            </w:r>
          </w:p>
        </w:tc>
        <w:tc>
          <w:tcPr>
            <w:tcW w:w="834" w:type="pct"/>
            <w:tcBorders>
              <w:top w:val="nil"/>
              <w:left w:val="nil"/>
              <w:bottom w:val="nil"/>
              <w:right w:val="nil"/>
            </w:tcBorders>
            <w:shd w:val="clear" w:color="auto" w:fill="auto"/>
            <w:noWrap/>
            <w:vAlign w:val="center"/>
            <w:hideMark/>
          </w:tcPr>
          <w:p w14:paraId="2D45F17F"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0.41</w:t>
            </w:r>
          </w:p>
        </w:tc>
        <w:tc>
          <w:tcPr>
            <w:tcW w:w="834" w:type="pct"/>
            <w:tcBorders>
              <w:top w:val="nil"/>
              <w:left w:val="nil"/>
              <w:bottom w:val="nil"/>
              <w:right w:val="nil"/>
            </w:tcBorders>
            <w:shd w:val="clear" w:color="auto" w:fill="auto"/>
            <w:noWrap/>
            <w:vAlign w:val="center"/>
            <w:hideMark/>
          </w:tcPr>
          <w:p w14:paraId="6F4E7066"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0.40</w:t>
            </w:r>
          </w:p>
        </w:tc>
      </w:tr>
      <w:tr w:rsidR="00F634D2" w:rsidRPr="00F634D2" w14:paraId="4FBF416D" w14:textId="77777777">
        <w:trPr>
          <w:trHeight w:val="20"/>
        </w:trPr>
        <w:tc>
          <w:tcPr>
            <w:tcW w:w="2497" w:type="pct"/>
            <w:tcBorders>
              <w:top w:val="nil"/>
              <w:left w:val="nil"/>
              <w:bottom w:val="single" w:sz="4" w:space="0" w:color="auto"/>
              <w:right w:val="nil"/>
            </w:tcBorders>
            <w:shd w:val="clear" w:color="auto" w:fill="auto"/>
            <w:noWrap/>
            <w:vAlign w:val="center"/>
            <w:hideMark/>
          </w:tcPr>
          <w:p w14:paraId="00181D2A" w14:textId="77777777" w:rsidR="00D50589" w:rsidRPr="00F634D2" w:rsidRDefault="00686261">
            <w:pPr>
              <w:spacing w:after="0" w:line="240" w:lineRule="auto"/>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N</w:t>
            </w:r>
          </w:p>
        </w:tc>
        <w:tc>
          <w:tcPr>
            <w:tcW w:w="834" w:type="pct"/>
            <w:tcBorders>
              <w:top w:val="nil"/>
              <w:left w:val="nil"/>
              <w:bottom w:val="single" w:sz="4" w:space="0" w:color="auto"/>
              <w:right w:val="nil"/>
            </w:tcBorders>
            <w:shd w:val="clear" w:color="auto" w:fill="auto"/>
            <w:noWrap/>
            <w:vAlign w:val="center"/>
            <w:hideMark/>
          </w:tcPr>
          <w:p w14:paraId="38238A35"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11,289</w:t>
            </w:r>
          </w:p>
        </w:tc>
        <w:tc>
          <w:tcPr>
            <w:tcW w:w="834" w:type="pct"/>
            <w:tcBorders>
              <w:top w:val="nil"/>
              <w:left w:val="nil"/>
              <w:bottom w:val="single" w:sz="4" w:space="0" w:color="auto"/>
              <w:right w:val="nil"/>
            </w:tcBorders>
            <w:shd w:val="clear" w:color="auto" w:fill="auto"/>
            <w:noWrap/>
            <w:vAlign w:val="center"/>
            <w:hideMark/>
          </w:tcPr>
          <w:p w14:paraId="4679E4B4"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17,257</w:t>
            </w:r>
          </w:p>
        </w:tc>
        <w:tc>
          <w:tcPr>
            <w:tcW w:w="834" w:type="pct"/>
            <w:tcBorders>
              <w:top w:val="nil"/>
              <w:left w:val="nil"/>
              <w:bottom w:val="single" w:sz="4" w:space="0" w:color="auto"/>
              <w:right w:val="nil"/>
            </w:tcBorders>
            <w:shd w:val="clear" w:color="auto" w:fill="auto"/>
            <w:noWrap/>
            <w:vAlign w:val="center"/>
            <w:hideMark/>
          </w:tcPr>
          <w:p w14:paraId="4D479F83" w14:textId="77777777" w:rsidR="00D50589" w:rsidRPr="00F634D2" w:rsidRDefault="00686261">
            <w:pPr>
              <w:spacing w:after="0" w:line="240" w:lineRule="auto"/>
              <w:jc w:val="center"/>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17,257</w:t>
            </w:r>
          </w:p>
        </w:tc>
      </w:tr>
      <w:tr w:rsidR="00F634D2" w:rsidRPr="00F634D2" w14:paraId="192652DF" w14:textId="77777777">
        <w:trPr>
          <w:trHeight w:val="20"/>
        </w:trPr>
        <w:tc>
          <w:tcPr>
            <w:tcW w:w="5000" w:type="pct"/>
            <w:gridSpan w:val="4"/>
            <w:tcBorders>
              <w:top w:val="single" w:sz="4" w:space="0" w:color="auto"/>
              <w:left w:val="nil"/>
              <w:bottom w:val="nil"/>
              <w:right w:val="nil"/>
            </w:tcBorders>
            <w:shd w:val="clear" w:color="auto" w:fill="auto"/>
            <w:vAlign w:val="bottom"/>
            <w:hideMark/>
          </w:tcPr>
          <w:p w14:paraId="773DCE75" w14:textId="77777777" w:rsidR="00D50589" w:rsidRPr="00F634D2" w:rsidRDefault="00686261">
            <w:pPr>
              <w:spacing w:after="0" w:line="240" w:lineRule="auto"/>
              <w:jc w:val="both"/>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Column 1 of this table reports the OLS regression results of the impact of board quality on the relation between CEO Vega and the IDD adoption. Board quality is proxied by board independence (</w:t>
            </w:r>
            <w:r w:rsidRPr="00F634D2">
              <w:rPr>
                <w:rFonts w:ascii="Times New Roman" w:eastAsia="Times New Roman" w:hAnsi="Times New Roman" w:cs="Times New Roman"/>
                <w:i/>
                <w:iCs/>
                <w:sz w:val="24"/>
                <w:szCs w:val="24"/>
                <w:lang w:val="en-GB" w:eastAsia="en-GB"/>
              </w:rPr>
              <w:t>Independence</w:t>
            </w:r>
            <w:r w:rsidRPr="00F634D2">
              <w:rPr>
                <w:rFonts w:ascii="Times New Roman" w:eastAsia="Times New Roman" w:hAnsi="Times New Roman" w:cs="Times New Roman"/>
                <w:sz w:val="24"/>
                <w:szCs w:val="24"/>
                <w:lang w:val="en-GB" w:eastAsia="en-GB"/>
              </w:rPr>
              <w:t>) and board expertise (</w:t>
            </w:r>
            <w:r w:rsidRPr="00F634D2">
              <w:rPr>
                <w:rFonts w:ascii="Times New Roman" w:eastAsia="Times New Roman" w:hAnsi="Times New Roman" w:cs="Times New Roman"/>
                <w:i/>
                <w:iCs/>
                <w:sz w:val="24"/>
                <w:szCs w:val="24"/>
                <w:lang w:val="en-GB" w:eastAsia="en-GB"/>
              </w:rPr>
              <w:t>Expertise</w:t>
            </w:r>
            <w:r w:rsidRPr="00F634D2">
              <w:rPr>
                <w:rFonts w:ascii="Times New Roman" w:eastAsia="Times New Roman" w:hAnsi="Times New Roman" w:cs="Times New Roman"/>
                <w:sz w:val="24"/>
                <w:szCs w:val="24"/>
                <w:lang w:val="en-GB" w:eastAsia="en-GB"/>
              </w:rPr>
              <w:t xml:space="preserve">). </w:t>
            </w:r>
          </w:p>
        </w:tc>
      </w:tr>
      <w:tr w:rsidR="00F634D2" w:rsidRPr="00F634D2" w14:paraId="0B790F23" w14:textId="77777777">
        <w:trPr>
          <w:trHeight w:val="20"/>
        </w:trPr>
        <w:tc>
          <w:tcPr>
            <w:tcW w:w="5000" w:type="pct"/>
            <w:gridSpan w:val="4"/>
            <w:tcBorders>
              <w:top w:val="nil"/>
              <w:left w:val="nil"/>
              <w:bottom w:val="nil"/>
              <w:right w:val="nil"/>
            </w:tcBorders>
            <w:shd w:val="clear" w:color="auto" w:fill="auto"/>
            <w:vAlign w:val="bottom"/>
            <w:hideMark/>
          </w:tcPr>
          <w:p w14:paraId="6E45EBEF" w14:textId="77777777" w:rsidR="00D50589" w:rsidRPr="00F634D2" w:rsidRDefault="00686261">
            <w:pPr>
              <w:spacing w:after="0" w:line="240" w:lineRule="auto"/>
              <w:jc w:val="both"/>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Column 2 of this table reports the OLS regression results of the impact of CEO job-switching (</w:t>
            </w:r>
            <w:proofErr w:type="spellStart"/>
            <w:r w:rsidRPr="00F634D2">
              <w:rPr>
                <w:rFonts w:ascii="Times New Roman" w:eastAsia="Times New Roman" w:hAnsi="Times New Roman" w:cs="Times New Roman"/>
                <w:i/>
                <w:iCs/>
                <w:sz w:val="24"/>
                <w:szCs w:val="24"/>
                <w:lang w:val="en-GB" w:eastAsia="en-GB"/>
              </w:rPr>
              <w:t>Nswitch</w:t>
            </w:r>
            <w:proofErr w:type="spellEnd"/>
            <w:r w:rsidRPr="00F634D2">
              <w:rPr>
                <w:rFonts w:ascii="Times New Roman" w:eastAsia="Times New Roman" w:hAnsi="Times New Roman" w:cs="Times New Roman"/>
                <w:sz w:val="24"/>
                <w:szCs w:val="24"/>
                <w:lang w:val="en-GB" w:eastAsia="en-GB"/>
              </w:rPr>
              <w:t xml:space="preserve">) on the relation between CEO Vega and the IDD adoption. </w:t>
            </w:r>
          </w:p>
        </w:tc>
      </w:tr>
      <w:tr w:rsidR="00F634D2" w:rsidRPr="00F634D2" w14:paraId="2DE9D75F" w14:textId="77777777">
        <w:trPr>
          <w:trHeight w:val="20"/>
        </w:trPr>
        <w:tc>
          <w:tcPr>
            <w:tcW w:w="5000" w:type="pct"/>
            <w:gridSpan w:val="4"/>
            <w:tcBorders>
              <w:top w:val="nil"/>
              <w:left w:val="nil"/>
              <w:bottom w:val="nil"/>
              <w:right w:val="nil"/>
            </w:tcBorders>
            <w:shd w:val="clear" w:color="auto" w:fill="auto"/>
            <w:vAlign w:val="bottom"/>
            <w:hideMark/>
          </w:tcPr>
          <w:p w14:paraId="3E4666FD" w14:textId="77777777" w:rsidR="00D50589" w:rsidRPr="00F634D2" w:rsidRDefault="00686261">
            <w:pPr>
              <w:spacing w:after="0" w:line="240" w:lineRule="auto"/>
              <w:jc w:val="both"/>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Column 3 of this table reports the OLS regression results on the relation between CEO Vega and the IDD non-adoption. The IDD non-adoption is separated into where the IDD was never adopted (</w:t>
            </w:r>
            <w:proofErr w:type="spellStart"/>
            <w:r w:rsidRPr="00F634D2">
              <w:rPr>
                <w:rFonts w:ascii="Times New Roman" w:eastAsia="Times New Roman" w:hAnsi="Times New Roman" w:cs="Times New Roman"/>
                <w:i/>
                <w:iCs/>
                <w:sz w:val="24"/>
                <w:szCs w:val="24"/>
                <w:lang w:val="en-GB" w:eastAsia="en-GB"/>
              </w:rPr>
              <w:t>Nreversal</w:t>
            </w:r>
            <w:proofErr w:type="spellEnd"/>
            <w:r w:rsidRPr="00F634D2">
              <w:rPr>
                <w:rFonts w:ascii="Times New Roman" w:eastAsia="Times New Roman" w:hAnsi="Times New Roman" w:cs="Times New Roman"/>
                <w:sz w:val="24"/>
                <w:szCs w:val="24"/>
                <w:lang w:val="en-GB" w:eastAsia="en-GB"/>
              </w:rPr>
              <w:t>) and where the prior IDD adoption was reversed (</w:t>
            </w:r>
            <w:r w:rsidRPr="00F634D2">
              <w:rPr>
                <w:rFonts w:ascii="Times New Roman" w:eastAsia="Times New Roman" w:hAnsi="Times New Roman" w:cs="Times New Roman"/>
                <w:i/>
                <w:iCs/>
                <w:sz w:val="24"/>
                <w:szCs w:val="24"/>
                <w:lang w:val="en-GB" w:eastAsia="en-GB"/>
              </w:rPr>
              <w:t>Reversal</w:t>
            </w:r>
            <w:r w:rsidRPr="00F634D2">
              <w:rPr>
                <w:rFonts w:ascii="Times New Roman" w:eastAsia="Times New Roman" w:hAnsi="Times New Roman" w:cs="Times New Roman"/>
                <w:sz w:val="24"/>
                <w:szCs w:val="24"/>
                <w:lang w:val="en-GB" w:eastAsia="en-GB"/>
              </w:rPr>
              <w:t>).</w:t>
            </w:r>
          </w:p>
        </w:tc>
      </w:tr>
      <w:tr w:rsidR="00D50589" w:rsidRPr="00F634D2" w14:paraId="0F26026D" w14:textId="77777777">
        <w:trPr>
          <w:trHeight w:val="20"/>
        </w:trPr>
        <w:tc>
          <w:tcPr>
            <w:tcW w:w="5000" w:type="pct"/>
            <w:gridSpan w:val="4"/>
            <w:tcBorders>
              <w:top w:val="nil"/>
              <w:left w:val="nil"/>
              <w:bottom w:val="nil"/>
              <w:right w:val="nil"/>
            </w:tcBorders>
            <w:shd w:val="clear" w:color="auto" w:fill="auto"/>
            <w:vAlign w:val="bottom"/>
            <w:hideMark/>
          </w:tcPr>
          <w:p w14:paraId="7EF81AB8" w14:textId="77777777" w:rsidR="00D50589" w:rsidRPr="00F634D2" w:rsidRDefault="00686261">
            <w:pPr>
              <w:spacing w:after="0" w:line="240" w:lineRule="auto"/>
              <w:jc w:val="both"/>
              <w:rPr>
                <w:rFonts w:ascii="Times New Roman" w:eastAsia="Times New Roman" w:hAnsi="Times New Roman" w:cs="Times New Roman"/>
                <w:sz w:val="24"/>
                <w:szCs w:val="24"/>
                <w:lang w:val="en-GB" w:eastAsia="en-GB"/>
              </w:rPr>
            </w:pPr>
            <w:r w:rsidRPr="00F634D2">
              <w:rPr>
                <w:rFonts w:ascii="Times New Roman" w:eastAsia="Times New Roman" w:hAnsi="Times New Roman" w:cs="Times New Roman"/>
                <w:sz w:val="24"/>
                <w:szCs w:val="24"/>
                <w:lang w:val="en-GB" w:eastAsia="en-GB"/>
              </w:rPr>
              <w:t>Controls are the control variables identified in equation (1). The variables are defined in Appendix A. Standard errors are corrected for heteroskedasticity and clustering at the state level. *, **, and *** denote significance at the 10%, 5%, and 1% levels, respectively.</w:t>
            </w:r>
          </w:p>
        </w:tc>
      </w:tr>
    </w:tbl>
    <w:p w14:paraId="4037D38F" w14:textId="77777777" w:rsidR="00D50589" w:rsidRPr="00F634D2" w:rsidRDefault="00D50589">
      <w:pPr>
        <w:adjustRightInd w:val="0"/>
        <w:snapToGrid w:val="0"/>
        <w:spacing w:after="0" w:line="480" w:lineRule="auto"/>
        <w:ind w:firstLineChars="200" w:firstLine="480"/>
        <w:jc w:val="both"/>
        <w:rPr>
          <w:rFonts w:ascii="Times New Roman" w:eastAsia="DengXian" w:hAnsi="Times New Roman" w:cs="Times New Roman"/>
          <w:sz w:val="24"/>
          <w:szCs w:val="24"/>
        </w:rPr>
      </w:pPr>
    </w:p>
    <w:sectPr w:rsidR="00D50589" w:rsidRPr="00F634D2">
      <w:pgSz w:w="12240" w:h="15840" w:code="1"/>
      <w:pgMar w:top="1134" w:right="1729" w:bottom="1134" w:left="172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7B212" w14:textId="77777777" w:rsidR="009D7E64" w:rsidRDefault="009D7E64">
      <w:pPr>
        <w:spacing w:after="0" w:line="240" w:lineRule="auto"/>
      </w:pPr>
      <w:r>
        <w:separator/>
      </w:r>
    </w:p>
  </w:endnote>
  <w:endnote w:type="continuationSeparator" w:id="0">
    <w:p w14:paraId="27B630F3" w14:textId="77777777" w:rsidR="009D7E64" w:rsidRDefault="009D7E64">
      <w:pPr>
        <w:spacing w:after="0" w:line="240" w:lineRule="auto"/>
      </w:pPr>
      <w:r>
        <w:continuationSeparator/>
      </w:r>
    </w:p>
  </w:endnote>
  <w:endnote w:type="continuationNotice" w:id="1">
    <w:p w14:paraId="4A5FC205" w14:textId="77777777" w:rsidR="009D7E64" w:rsidRDefault="009D7E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ymbol Tiger Expert">
    <w:altName w:val="Symbol"/>
    <w:panose1 w:val="05050102010706020507"/>
    <w:charset w:val="02"/>
    <w:family w:val="roman"/>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505912"/>
      <w:docPartObj>
        <w:docPartGallery w:val="Page Numbers (Bottom of Page)"/>
        <w:docPartUnique/>
      </w:docPartObj>
    </w:sdtPr>
    <w:sdtEndPr/>
    <w:sdtContent>
      <w:p w14:paraId="4A219B19" w14:textId="77777777" w:rsidR="009D7E64" w:rsidRDefault="009D7E64">
        <w:pPr>
          <w:pStyle w:val="Footer"/>
          <w:jc w:val="center"/>
        </w:pPr>
        <w:r>
          <w:fldChar w:fldCharType="begin"/>
        </w:r>
        <w:r>
          <w:instrText>PAGE   \* MERGEFORMAT</w:instrText>
        </w:r>
        <w:r>
          <w:fldChar w:fldCharType="separate"/>
        </w:r>
        <w:r>
          <w:rPr>
            <w:noProof/>
            <w:lang w:val="zh-CN"/>
          </w:rPr>
          <w:t>1</w:t>
        </w:r>
        <w:r>
          <w:rPr>
            <w:noProof/>
            <w:lang w:val="zh-CN"/>
          </w:rPr>
          <w:fldChar w:fldCharType="end"/>
        </w:r>
      </w:p>
    </w:sdtContent>
  </w:sdt>
  <w:p w14:paraId="0647EED1" w14:textId="77777777" w:rsidR="009D7E64" w:rsidRDefault="009D7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527362"/>
      <w:docPartObj>
        <w:docPartGallery w:val="Page Numbers (Bottom of Page)"/>
        <w:docPartUnique/>
      </w:docPartObj>
    </w:sdtPr>
    <w:sdtEndPr/>
    <w:sdtContent>
      <w:p w14:paraId="20E4EF1D" w14:textId="77777777" w:rsidR="009D7E64" w:rsidRDefault="009D7E64">
        <w:pPr>
          <w:pStyle w:val="Footer"/>
          <w:jc w:val="center"/>
        </w:pPr>
        <w:r>
          <w:fldChar w:fldCharType="begin"/>
        </w:r>
        <w:r>
          <w:instrText>PAGE   \* MERGEFORMAT</w:instrText>
        </w:r>
        <w:r>
          <w:fldChar w:fldCharType="separate"/>
        </w:r>
        <w:r>
          <w:rPr>
            <w:noProof/>
            <w:lang w:val="zh-CN"/>
          </w:rPr>
          <w:t>39</w:t>
        </w:r>
        <w:r>
          <w:rPr>
            <w:noProof/>
            <w:lang w:val="zh-CN"/>
          </w:rPr>
          <w:fldChar w:fldCharType="end"/>
        </w:r>
      </w:p>
    </w:sdtContent>
  </w:sdt>
  <w:p w14:paraId="09B5F5DE" w14:textId="77777777" w:rsidR="009D7E64" w:rsidRDefault="009D7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736D1" w14:textId="77777777" w:rsidR="009D7E64" w:rsidRDefault="009D7E64">
      <w:pPr>
        <w:autoSpaceDE w:val="0"/>
        <w:autoSpaceDN w:val="0"/>
        <w:adjustRightInd w:val="0"/>
        <w:snapToGrid w:val="0"/>
        <w:spacing w:after="0" w:line="240" w:lineRule="auto"/>
      </w:pPr>
      <w:r>
        <w:separator/>
      </w:r>
    </w:p>
  </w:footnote>
  <w:footnote w:type="continuationSeparator" w:id="0">
    <w:p w14:paraId="621E4785" w14:textId="77777777" w:rsidR="009D7E64" w:rsidRDefault="009D7E64">
      <w:pPr>
        <w:spacing w:after="0" w:line="240" w:lineRule="auto"/>
      </w:pPr>
      <w:r>
        <w:continuationSeparator/>
      </w:r>
    </w:p>
  </w:footnote>
  <w:footnote w:type="continuationNotice" w:id="1">
    <w:p w14:paraId="313B12F0" w14:textId="77777777" w:rsidR="009D7E64" w:rsidRDefault="009D7E64">
      <w:pPr>
        <w:pStyle w:val="Footer"/>
      </w:pPr>
    </w:p>
  </w:footnote>
  <w:footnote w:id="2">
    <w:p w14:paraId="7E597C80" w14:textId="6DD522FA" w:rsidR="009D7E64" w:rsidRDefault="009D7E64">
      <w:pPr>
        <w:pStyle w:val="FootnoteText"/>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We focus on Vega because </w:t>
      </w:r>
      <w:r>
        <w:rPr>
          <w:rFonts w:ascii="Times New Roman" w:eastAsia="DengXian" w:hAnsi="Times New Roman" w:cs="Times New Roman"/>
          <w:sz w:val="20"/>
          <w:szCs w:val="20"/>
        </w:rPr>
        <w:t xml:space="preserve">prior literature shows that Vega has a positive effect on managerial risk-taking. However, </w:t>
      </w:r>
      <w:r>
        <w:rPr>
          <w:rFonts w:ascii="Times New Roman" w:hAnsi="Times New Roman" w:cs="Times New Roman"/>
          <w:sz w:val="20"/>
          <w:szCs w:val="20"/>
        </w:rPr>
        <w:t>the evidence for how increased CEO delta affects managerial risk-taking incentives is inconclusive. For example, while Armstrong and Vashishtha (2012) find that delta is associated with greater risk, Gormley et al. (2013) find that higher delta is associated with lower managerial risk-taking, as evidenced by a larger reduction in leverage and a larger increase in cash holdings.</w:t>
      </w:r>
    </w:p>
  </w:footnote>
  <w:footnote w:id="3">
    <w:p w14:paraId="4A0A2CB1" w14:textId="77777777" w:rsidR="009D7E64" w:rsidRDefault="009D7E64">
      <w:pPr>
        <w:pStyle w:val="FootnoteText"/>
        <w:jc w:val="both"/>
      </w:pPr>
      <w:r>
        <w:rPr>
          <w:rStyle w:val="FootnoteReference"/>
        </w:rPr>
        <w:footnoteRef/>
      </w:r>
      <w:r>
        <w:t xml:space="preserve"> </w:t>
      </w:r>
      <w:r>
        <w:rPr>
          <w:rFonts w:ascii="Times New Roman" w:hAnsi="Times New Roman" w:cs="Times New Roman"/>
          <w:sz w:val="20"/>
          <w:szCs w:val="20"/>
          <w:lang w:val="en-GB"/>
        </w:rPr>
        <w:t>Garmaise (2011) reports that 30 per cent of the sample firms do not use NCCs with their top executives.</w:t>
      </w:r>
    </w:p>
  </w:footnote>
  <w:footnote w:id="4">
    <w:p w14:paraId="03615540" w14:textId="77777777" w:rsidR="009D7E64" w:rsidRDefault="009D7E64">
      <w:pPr>
        <w:pStyle w:val="FootnoteText"/>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Section 4.1 in Klasa et al. (2018) discusses the legal background surrounding state courts’ recognition of the IDD. The paper concludes that the occurrence of adoption of the IDD is unlikely to be systemically associated with changes in business or political conditions in a state, or lobbying, or to be anticipated by firms. Empirically, they find that a state’s labor laws, adoption of the Uniform Trade Secrets Act, worker characteristics, and economic or political conditions do not affect the state courts’ decisions to adopt the IDD.</w:t>
      </w:r>
    </w:p>
  </w:footnote>
  <w:footnote w:id="5">
    <w:p w14:paraId="48102EA6" w14:textId="77777777" w:rsidR="009D7E64" w:rsidRDefault="009D7E64">
      <w:pPr>
        <w:pStyle w:val="FootnoteText"/>
        <w:jc w:val="both"/>
        <w:rPr>
          <w:rFonts w:ascii="Times New Roman" w:hAnsi="Times New Roman" w:cs="Times New Roman"/>
          <w:sz w:val="20"/>
          <w:szCs w:val="20"/>
          <w:lang w:val="en-GB"/>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DengXian" w:hAnsi="Times New Roman" w:cs="Times New Roman"/>
          <w:sz w:val="20"/>
          <w:szCs w:val="20"/>
        </w:rPr>
        <w:t xml:space="preserve">The variables of </w:t>
      </w:r>
      <w:r>
        <w:rPr>
          <w:rFonts w:ascii="Times New Roman" w:eastAsia="DengXian" w:hAnsi="Times New Roman" w:cs="Times New Roman"/>
          <w:i/>
          <w:sz w:val="20"/>
          <w:szCs w:val="20"/>
        </w:rPr>
        <w:t xml:space="preserve">R&amp;D </w:t>
      </w:r>
      <w:r>
        <w:rPr>
          <w:rFonts w:ascii="Times New Roman" w:eastAsia="DengXian" w:hAnsi="Times New Roman" w:cs="Times New Roman"/>
          <w:sz w:val="20"/>
          <w:szCs w:val="20"/>
        </w:rPr>
        <w:t xml:space="preserve">and </w:t>
      </w:r>
      <w:r>
        <w:rPr>
          <w:rFonts w:ascii="Times New Roman" w:eastAsia="DengXian" w:hAnsi="Times New Roman" w:cs="Times New Roman"/>
          <w:i/>
          <w:sz w:val="20"/>
          <w:szCs w:val="20"/>
        </w:rPr>
        <w:t>Zscore</w:t>
      </w:r>
      <w:r>
        <w:rPr>
          <w:rFonts w:ascii="Times New Roman" w:eastAsia="DengXian" w:hAnsi="Times New Roman" w:cs="Times New Roman"/>
          <w:sz w:val="20"/>
          <w:szCs w:val="20"/>
        </w:rPr>
        <w:t xml:space="preserve"> also help control for the firm’s risk-taking policies.</w:t>
      </w:r>
    </w:p>
  </w:footnote>
  <w:footnote w:id="6">
    <w:p w14:paraId="2FDA6B33" w14:textId="77777777" w:rsidR="009D7E64" w:rsidRDefault="009D7E64">
      <w:pPr>
        <w:pStyle w:val="FootnoteText"/>
        <w:jc w:val="both"/>
        <w:rPr>
          <w:rFonts w:ascii="Times New Roman" w:hAnsi="Times New Roman" w:cs="Times New Roman"/>
          <w:sz w:val="20"/>
          <w:szCs w:val="20"/>
          <w:lang w:val="en-GB"/>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 mean (median) value of the sample CEO tenure is 7.5151(8) years. </w:t>
      </w:r>
    </w:p>
  </w:footnote>
  <w:footnote w:id="7">
    <w:p w14:paraId="694F55A6" w14:textId="77777777" w:rsidR="009D7E64" w:rsidRDefault="009D7E64">
      <w:pPr>
        <w:pStyle w:val="FootnoteText"/>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Because the dependent variable is in the form ln(1+</w:t>
      </w:r>
      <w:r>
        <w:rPr>
          <w:rFonts w:ascii="Times New Roman" w:hAnsi="Times New Roman" w:cs="Times New Roman"/>
          <w:i/>
          <w:sz w:val="20"/>
          <w:szCs w:val="20"/>
        </w:rPr>
        <w:t>y</w:t>
      </w:r>
      <w:r>
        <w:rPr>
          <w:rFonts w:ascii="Times New Roman" w:hAnsi="Times New Roman" w:cs="Times New Roman"/>
          <w:sz w:val="20"/>
          <w:szCs w:val="20"/>
        </w:rPr>
        <w:t xml:space="preserve">), its first derivative should be </w:t>
      </w:r>
      <w:r>
        <w:rPr>
          <w:rFonts w:ascii="Times New Roman" w:hAnsi="Times New Roman" w:cs="Times New Roman"/>
          <w:sz w:val="20"/>
          <w:szCs w:val="20"/>
        </w:rPr>
        <w:sym w:font="Symbol Tiger Expert" w:char="F044"/>
      </w:r>
      <w:r>
        <w:rPr>
          <w:rFonts w:ascii="Times New Roman" w:hAnsi="Times New Roman" w:cs="Times New Roman"/>
          <w:i/>
          <w:sz w:val="20"/>
          <w:szCs w:val="20"/>
        </w:rPr>
        <w:t>y</w:t>
      </w:r>
      <w:r>
        <w:rPr>
          <w:rFonts w:ascii="Times New Roman" w:hAnsi="Times New Roman" w:cs="Times New Roman"/>
          <w:sz w:val="20"/>
          <w:szCs w:val="20"/>
        </w:rPr>
        <w:t>/(1+</w:t>
      </w:r>
      <w:r>
        <w:rPr>
          <w:rFonts w:ascii="Times New Roman" w:hAnsi="Times New Roman" w:cs="Times New Roman"/>
          <w:i/>
          <w:sz w:val="20"/>
          <w:szCs w:val="20"/>
        </w:rPr>
        <w:t>y</w:t>
      </w:r>
      <w:r>
        <w:rPr>
          <w:rFonts w:ascii="Times New Roman" w:hAnsi="Times New Roman" w:cs="Times New Roman"/>
          <w:sz w:val="20"/>
          <w:szCs w:val="20"/>
        </w:rPr>
        <w:t xml:space="preserve">), and the economic magnitude is estimated by </w:t>
      </w:r>
      <w:r>
        <w:rPr>
          <w:rFonts w:ascii="Times New Roman" w:eastAsia="DengXian" w:hAnsi="Times New Roman" w:cs="Times New Roman"/>
          <w:i/>
          <w:sz w:val="20"/>
          <w:szCs w:val="20"/>
        </w:rPr>
        <w:t>β</w:t>
      </w:r>
      <w:r>
        <w:rPr>
          <w:rFonts w:ascii="Times New Roman" w:eastAsia="DengXian" w:hAnsi="Times New Roman" w:cs="Times New Roman"/>
          <w:sz w:val="20"/>
          <w:szCs w:val="20"/>
        </w:rPr>
        <w:sym w:font="Symbol" w:char="F0B4"/>
      </w:r>
      <w:r>
        <w:rPr>
          <w:rFonts w:ascii="Times New Roman" w:eastAsia="DengXian" w:hAnsi="Times New Roman" w:cs="Times New Roman"/>
          <w:sz w:val="20"/>
          <w:szCs w:val="20"/>
        </w:rPr>
        <w:t>(1+</w:t>
      </w:r>
      <w:r>
        <w:rPr>
          <w:rFonts w:ascii="Times New Roman" w:eastAsia="DengXian" w:hAnsi="Times New Roman" w:cs="Times New Roman"/>
          <w:i/>
          <w:sz w:val="20"/>
          <w:szCs w:val="20"/>
        </w:rPr>
        <w:t>y</w:t>
      </w:r>
      <w:r>
        <w:rPr>
          <w:rFonts w:ascii="Times New Roman" w:eastAsia="DengXian" w:hAnsi="Times New Roman" w:cs="Times New Roman"/>
          <w:sz w:val="20"/>
          <w:szCs w:val="20"/>
        </w:rPr>
        <w:t>)/</w:t>
      </w:r>
      <w:r>
        <w:rPr>
          <w:rFonts w:ascii="Times New Roman" w:eastAsia="DengXian" w:hAnsi="Times New Roman" w:cs="Times New Roman"/>
          <w:i/>
          <w:sz w:val="20"/>
          <w:szCs w:val="20"/>
        </w:rPr>
        <w:t>y</w:t>
      </w:r>
      <w:r>
        <w:rPr>
          <w:rFonts w:ascii="Times New Roman" w:eastAsia="DengXian" w:hAnsi="Times New Roman" w:cs="Times New Roman"/>
          <w:sz w:val="20"/>
          <w:szCs w:val="20"/>
        </w:rPr>
        <w:t>. Thus, the economic magnitude of the coefficients is 20.37% (0.157</w:t>
      </w:r>
      <w:r>
        <w:rPr>
          <w:rFonts w:ascii="Times New Roman" w:eastAsia="DengXian" w:hAnsi="Times New Roman" w:cs="Times New Roman"/>
          <w:sz w:val="20"/>
          <w:szCs w:val="20"/>
        </w:rPr>
        <w:sym w:font="Symbol" w:char="F0B4"/>
      </w:r>
      <w:r>
        <w:rPr>
          <w:rFonts w:ascii="Times New Roman" w:eastAsia="DengXian" w:hAnsi="Times New Roman" w:cs="Times New Roman"/>
          <w:sz w:val="20"/>
          <w:szCs w:val="20"/>
        </w:rPr>
        <w:t>(1+3.365)/3.365) in Column 1, 19.20% (0.148</w:t>
      </w:r>
      <w:r>
        <w:rPr>
          <w:rFonts w:ascii="Times New Roman" w:eastAsia="DengXian" w:hAnsi="Times New Roman" w:cs="Times New Roman"/>
          <w:sz w:val="20"/>
          <w:szCs w:val="20"/>
        </w:rPr>
        <w:sym w:font="Symbol" w:char="F0B4"/>
      </w:r>
      <w:r>
        <w:rPr>
          <w:rFonts w:ascii="Times New Roman" w:eastAsia="DengXian" w:hAnsi="Times New Roman" w:cs="Times New Roman"/>
          <w:sz w:val="20"/>
          <w:szCs w:val="20"/>
        </w:rPr>
        <w:t>(1+3.365)/3.365) in Column 2, and 16.86% (0.130</w:t>
      </w:r>
      <w:r>
        <w:rPr>
          <w:rFonts w:ascii="Times New Roman" w:eastAsia="DengXian" w:hAnsi="Times New Roman" w:cs="Times New Roman"/>
          <w:sz w:val="20"/>
          <w:szCs w:val="20"/>
        </w:rPr>
        <w:sym w:font="Symbol" w:char="F0B4"/>
      </w:r>
      <w:r>
        <w:rPr>
          <w:rFonts w:ascii="Times New Roman" w:eastAsia="DengXian" w:hAnsi="Times New Roman" w:cs="Times New Roman"/>
          <w:sz w:val="20"/>
          <w:szCs w:val="20"/>
        </w:rPr>
        <w:t>(1+3.365)/3.365) in Column 3.</w:t>
      </w:r>
    </w:p>
  </w:footnote>
  <w:footnote w:id="8">
    <w:p w14:paraId="23959E25" w14:textId="34DAC7C2" w:rsidR="009D7E64" w:rsidRPr="00AD7F24" w:rsidRDefault="009D7E64">
      <w:pPr>
        <w:pStyle w:val="FootnoteText"/>
        <w:jc w:val="both"/>
        <w:rPr>
          <w:rFonts w:ascii="Times New Roman" w:hAnsi="Times New Roman" w:cs="Times New Roman"/>
          <w:sz w:val="20"/>
          <w:szCs w:val="20"/>
          <w:lang w:val="en-GB"/>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00AD7F24" w:rsidRPr="00AD7F24">
        <w:rPr>
          <w:rFonts w:ascii="Times New Roman" w:hAnsi="Times New Roman" w:cs="Times New Roman"/>
          <w:sz w:val="20"/>
          <w:szCs w:val="20"/>
        </w:rPr>
        <w:t>T</w:t>
      </w:r>
      <w:r w:rsidR="0038111B" w:rsidRPr="00AD7F24">
        <w:rPr>
          <w:rFonts w:ascii="Times New Roman" w:hAnsi="Times New Roman" w:cs="Times New Roman"/>
          <w:sz w:val="20"/>
          <w:szCs w:val="20"/>
        </w:rPr>
        <w:t>he sample median value of the number of geographic locations for homogeneous industries is six.</w:t>
      </w:r>
      <w:r w:rsidR="00AD7F24" w:rsidRPr="00AD7F24">
        <w:rPr>
          <w:rFonts w:ascii="Times New Roman" w:hAnsi="Times New Roman" w:cs="Times New Roman"/>
          <w:sz w:val="20"/>
          <w:szCs w:val="20"/>
        </w:rPr>
        <w:t xml:space="preserve"> The geographic locations are at county-level. When county-level data are unavailable, state-level data are used. The data collection procedure is similar to Garcia and Norli (2012). </w:t>
      </w:r>
      <w:r w:rsidRPr="00AD7F24">
        <w:rPr>
          <w:rFonts w:ascii="Times New Roman" w:hAnsi="Times New Roman" w:cs="Times New Roman"/>
          <w:sz w:val="20"/>
          <w:szCs w:val="20"/>
        </w:rPr>
        <w:t xml:space="preserve"> </w:t>
      </w:r>
    </w:p>
  </w:footnote>
  <w:footnote w:id="9">
    <w:p w14:paraId="3DE0A6F1" w14:textId="77777777" w:rsidR="009D7E64" w:rsidRDefault="009D7E64">
      <w:pPr>
        <w:pStyle w:val="FootnoteText"/>
        <w:spacing w:after="0" w:line="240" w:lineRule="auto"/>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20"/>
          <w:szCs w:val="20"/>
        </w:rPr>
        <w:t xml:space="preserve">The mean (median) of change in </w:t>
      </w:r>
      <w:r w:rsidRPr="007E03F2">
        <w:rPr>
          <w:rFonts w:ascii="Times New Roman" w:hAnsi="Times New Roman" w:cs="Times New Roman"/>
          <w:i/>
          <w:iCs/>
          <w:sz w:val="20"/>
          <w:szCs w:val="20"/>
        </w:rPr>
        <w:t>Vega</w:t>
      </w:r>
      <w:r>
        <w:rPr>
          <w:rFonts w:ascii="Times New Roman" w:hAnsi="Times New Roman" w:cs="Times New Roman"/>
          <w:sz w:val="20"/>
          <w:szCs w:val="20"/>
        </w:rPr>
        <w:t xml:space="preserve"> in this group is 8.90 (7.71). The mean (median) of change in </w:t>
      </w:r>
      <w:r w:rsidRPr="007E03F2">
        <w:rPr>
          <w:rFonts w:ascii="Times New Roman" w:hAnsi="Times New Roman" w:cs="Times New Roman"/>
          <w:i/>
          <w:iCs/>
          <w:sz w:val="20"/>
          <w:szCs w:val="20"/>
        </w:rPr>
        <w:t>Vega</w:t>
      </w:r>
      <w:r>
        <w:rPr>
          <w:rFonts w:ascii="Times New Roman" w:hAnsi="Times New Roman" w:cs="Times New Roman"/>
          <w:sz w:val="20"/>
          <w:szCs w:val="20"/>
        </w:rPr>
        <w:t xml:space="preserve"> in the lowest group is -42.09 (-22.32). The mean (median) of change in </w:t>
      </w:r>
      <w:r w:rsidRPr="007E03F2">
        <w:rPr>
          <w:rFonts w:ascii="Times New Roman" w:hAnsi="Times New Roman" w:cs="Times New Roman"/>
          <w:i/>
          <w:iCs/>
          <w:sz w:val="20"/>
          <w:szCs w:val="20"/>
        </w:rPr>
        <w:t>Vega</w:t>
      </w:r>
      <w:r>
        <w:rPr>
          <w:rFonts w:ascii="Times New Roman" w:hAnsi="Times New Roman" w:cs="Times New Roman"/>
          <w:sz w:val="20"/>
          <w:szCs w:val="20"/>
        </w:rPr>
        <w:t xml:space="preserve"> in the highest group is 109.02 (64.29).</w:t>
      </w:r>
    </w:p>
  </w:footnote>
  <w:footnote w:id="10">
    <w:p w14:paraId="6E71398C" w14:textId="77777777" w:rsidR="009D7E64" w:rsidRDefault="009D7E64">
      <w:pPr>
        <w:pStyle w:val="FootnoteText"/>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Style w:val="fontstyle01"/>
          <w:rFonts w:ascii="Times New Roman" w:hAnsi="Times New Roman" w:cs="Times New Roman"/>
          <w:color w:val="auto"/>
          <w:sz w:val="20"/>
          <w:szCs w:val="20"/>
        </w:rPr>
        <w:t xml:space="preserve">The neighboring-state-matched sample is created by matching the treatment firms (those that are located in the states that adopted the IDD) with the control firms in the same two-digit SIC industry and in the neighboring states that did not adopt the IDD. </w:t>
      </w:r>
    </w:p>
  </w:footnote>
  <w:footnote w:id="11">
    <w:p w14:paraId="08B9B370" w14:textId="77777777" w:rsidR="009D7E64" w:rsidRDefault="009D7E64">
      <w:pPr>
        <w:pStyle w:val="FootnoteText"/>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Style w:val="fontstyle01"/>
          <w:rFonts w:ascii="Times New Roman" w:hAnsi="Times New Roman" w:cs="Times New Roman"/>
          <w:color w:val="auto"/>
          <w:sz w:val="20"/>
          <w:szCs w:val="20"/>
        </w:rPr>
        <w:t>As discussed in Section 2, IDD adoption is based on a judicial decision by the state court. Such judicial decisions</w:t>
      </w:r>
      <w:r>
        <w:rPr>
          <w:rFonts w:ascii="Times New Roman" w:hAnsi="Times New Roman" w:cs="Times New Roman"/>
          <w:sz w:val="20"/>
          <w:szCs w:val="20"/>
        </w:rPr>
        <w:t xml:space="preserve"> </w:t>
      </w:r>
      <w:r>
        <w:rPr>
          <w:rStyle w:val="fontstyle01"/>
          <w:rFonts w:ascii="Times New Roman" w:hAnsi="Times New Roman" w:cs="Times New Roman"/>
          <w:color w:val="auto"/>
          <w:sz w:val="20"/>
          <w:szCs w:val="20"/>
        </w:rPr>
        <w:t>are more likely to be driven by the merits of precedent-setting cases than by the state’s</w:t>
      </w:r>
      <w:r>
        <w:rPr>
          <w:rFonts w:ascii="Times New Roman" w:hAnsi="Times New Roman" w:cs="Times New Roman"/>
          <w:sz w:val="20"/>
          <w:szCs w:val="20"/>
        </w:rPr>
        <w:t xml:space="preserve"> local </w:t>
      </w:r>
      <w:r>
        <w:rPr>
          <w:rStyle w:val="fontstyle01"/>
          <w:rFonts w:ascii="Times New Roman" w:hAnsi="Times New Roman" w:cs="Times New Roman"/>
          <w:color w:val="auto"/>
          <w:sz w:val="20"/>
          <w:szCs w:val="20"/>
        </w:rPr>
        <w:t>economic conditions.</w:t>
      </w:r>
    </w:p>
  </w:footnote>
  <w:footnote w:id="12">
    <w:p w14:paraId="572581AA" w14:textId="77777777" w:rsidR="009D7E64" w:rsidRDefault="009D7E64">
      <w:pPr>
        <w:pStyle w:val="FootnoteText"/>
        <w:spacing w:after="0"/>
        <w:jc w:val="both"/>
        <w:rPr>
          <w:rFonts w:ascii="Times New Roman" w:hAnsi="Times New Roman" w:cs="Times New Roman"/>
          <w:sz w:val="20"/>
          <w:szCs w:val="20"/>
          <w:lang w:val="en-GB"/>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About 70 percent of sample firms have independent boards. </w:t>
      </w:r>
    </w:p>
  </w:footnote>
  <w:footnote w:id="13">
    <w:p w14:paraId="54EC3684" w14:textId="77777777" w:rsidR="009D7E64" w:rsidRDefault="009D7E64">
      <w:pPr>
        <w:pStyle w:val="FootnoteText"/>
        <w:spacing w:after="0"/>
        <w:jc w:val="both"/>
        <w:rPr>
          <w:rFonts w:ascii="Times New Roman" w:hAnsi="Times New Roman" w:cs="Times New Roman"/>
          <w:sz w:val="20"/>
          <w:szCs w:val="20"/>
          <w:lang w:val="en-GB"/>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n-GB"/>
        </w:rPr>
        <w:t xml:space="preserve">Similar to Carcello et al. (2002), our sample median of outside directorships held by non-executive directors is 2.1. </w:t>
      </w:r>
    </w:p>
  </w:footnote>
  <w:footnote w:id="14">
    <w:p w14:paraId="04F4450B" w14:textId="77777777" w:rsidR="009D7E64" w:rsidRDefault="009D7E64">
      <w:pPr>
        <w:pStyle w:val="FootnoteText"/>
        <w:jc w:val="both"/>
        <w:rPr>
          <w:rFonts w:ascii="Times New Roman" w:hAnsi="Times New Roman" w:cs="Times New Roman"/>
          <w:sz w:val="20"/>
          <w:szCs w:val="20"/>
          <w:lang w:val="en-GB"/>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About half of the sample CEOs never switched jobs before IDD adoption. </w:t>
      </w:r>
    </w:p>
  </w:footnote>
  <w:footnote w:id="15">
    <w:p w14:paraId="2A09575E" w14:textId="77777777" w:rsidR="009D7E64" w:rsidRDefault="009D7E64">
      <w:pPr>
        <w:pStyle w:val="FootnoteText"/>
        <w:jc w:val="both"/>
        <w:rPr>
          <w:rFonts w:ascii="Times New Roman" w:hAnsi="Times New Roman" w:cs="Times New Roman"/>
          <w:sz w:val="20"/>
          <w:szCs w:val="20"/>
          <w:lang w:val="en-GB"/>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 our sample, there is no CEO turnover event in the three-year window around the state’s adoption of the IDD.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71596"/>
    <w:multiLevelType w:val="hybridMultilevel"/>
    <w:tmpl w:val="354AC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034061"/>
    <w:multiLevelType w:val="hybridMultilevel"/>
    <w:tmpl w:val="013A6F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159B1"/>
    <w:multiLevelType w:val="multilevel"/>
    <w:tmpl w:val="7DAE11E4"/>
    <w:lvl w:ilvl="0">
      <w:start w:val="1"/>
      <w:numFmt w:val="decimal"/>
      <w:lvlText w:val="%1."/>
      <w:lvlJc w:val="left"/>
      <w:pPr>
        <w:ind w:left="785"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10" w:hanging="72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9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65" w:hanging="1800"/>
      </w:pPr>
      <w:rPr>
        <w:rFonts w:hint="default"/>
      </w:rPr>
    </w:lvl>
  </w:abstractNum>
  <w:abstractNum w:abstractNumId="3" w15:restartNumberingAfterBreak="0">
    <w:nsid w:val="3EC96EF4"/>
    <w:multiLevelType w:val="hybridMultilevel"/>
    <w:tmpl w:val="63C03E0C"/>
    <w:lvl w:ilvl="0" w:tplc="5BE246B8">
      <w:start w:val="2"/>
      <w:numFmt w:val="decimal"/>
      <w:lvlText w:val="%1."/>
      <w:lvlJc w:val="left"/>
      <w:pPr>
        <w:ind w:left="785" w:hanging="360"/>
      </w:pPr>
      <w:rPr>
        <w:rFonts w:hint="default"/>
      </w:r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15:restartNumberingAfterBreak="0">
    <w:nsid w:val="4AA309E5"/>
    <w:multiLevelType w:val="hybridMultilevel"/>
    <w:tmpl w:val="EA462466"/>
    <w:lvl w:ilvl="0" w:tplc="40963684">
      <w:start w:val="1"/>
      <w:numFmt w:val="lowerRoman"/>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15:restartNumberingAfterBreak="0">
    <w:nsid w:val="6B7B1810"/>
    <w:multiLevelType w:val="hybridMultilevel"/>
    <w:tmpl w:val="63E6F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E378D"/>
    <w:multiLevelType w:val="hybridMultilevel"/>
    <w:tmpl w:val="37CC1320"/>
    <w:lvl w:ilvl="0" w:tplc="13D09888">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283"/>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ordCount" w:val="8953"/>
  </w:docVars>
  <w:rsids>
    <w:rsidRoot w:val="00D50589"/>
    <w:rsid w:val="00185BEF"/>
    <w:rsid w:val="00256EB2"/>
    <w:rsid w:val="0038111B"/>
    <w:rsid w:val="00397AF3"/>
    <w:rsid w:val="00426D88"/>
    <w:rsid w:val="004331D2"/>
    <w:rsid w:val="00460519"/>
    <w:rsid w:val="005147A2"/>
    <w:rsid w:val="00521CDD"/>
    <w:rsid w:val="005677AE"/>
    <w:rsid w:val="0067392D"/>
    <w:rsid w:val="00686261"/>
    <w:rsid w:val="00717D2F"/>
    <w:rsid w:val="0072577A"/>
    <w:rsid w:val="007E03F2"/>
    <w:rsid w:val="0082282F"/>
    <w:rsid w:val="00986ACB"/>
    <w:rsid w:val="009D7E64"/>
    <w:rsid w:val="00A11120"/>
    <w:rsid w:val="00AD7F24"/>
    <w:rsid w:val="00C93192"/>
    <w:rsid w:val="00D50589"/>
    <w:rsid w:val="00EA26E1"/>
    <w:rsid w:val="00EC058A"/>
    <w:rsid w:val="00F63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1F36F0B"/>
  <w15:docId w15:val="{2AAC832A-5A50-4454-988C-25108129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before="360" w:after="60" w:line="360" w:lineRule="auto"/>
      <w:ind w:right="567"/>
      <w:contextualSpacing/>
      <w:outlineLvl w:val="1"/>
    </w:pPr>
    <w:rPr>
      <w:rFonts w:ascii="Times New Roman" w:hAnsi="Times New Roman" w:cs="Arial"/>
      <w:b/>
      <w:bCs/>
      <w:i/>
      <w:iCs/>
      <w:sz w:val="24"/>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Century Schoolbook" w:eastAsia="Century Schoolbook" w:cs="Century Schoolbook"/>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Pr>
      <w:rFonts w:ascii="Microsoft YaHei UI" w:eastAsia="Microsoft YaHei UI"/>
      <w:sz w:val="18"/>
      <w:szCs w:val="18"/>
    </w:rPr>
  </w:style>
  <w:style w:type="paragraph" w:styleId="FootnoteText">
    <w:name w:val="footnote text"/>
    <w:basedOn w:val="Normal"/>
    <w:link w:val="FootnoteTextChar"/>
    <w:uiPriority w:val="99"/>
    <w:unhideWhenUsed/>
    <w:pPr>
      <w:snapToGrid w:val="0"/>
    </w:pPr>
    <w:rPr>
      <w:sz w:val="18"/>
      <w:szCs w:val="18"/>
    </w:rPr>
  </w:style>
  <w:style w:type="character" w:customStyle="1" w:styleId="FootnoteTextChar">
    <w:name w:val="Footnote Text Char"/>
    <w:basedOn w:val="DefaultParagraphFont"/>
    <w:link w:val="FootnoteText"/>
    <w:uiPriority w:val="99"/>
    <w:rPr>
      <w:sz w:val="18"/>
      <w:szCs w:val="18"/>
    </w:rPr>
  </w:style>
  <w:style w:type="character" w:styleId="FootnoteReference">
    <w:name w:val="footnote reference"/>
    <w:basedOn w:val="DefaultParagraphFont"/>
    <w:uiPriority w:val="99"/>
    <w:unhideWhenUsed/>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w:eastAsia="PMingLiU" w:hAnsi="Times" w:cs="Times New Roman"/>
      <w:sz w:val="20"/>
      <w:szCs w:val="20"/>
      <w:lang w:eastAsia="en-US"/>
    </w:rPr>
  </w:style>
  <w:style w:type="paragraph" w:styleId="EndnoteText">
    <w:name w:val="endnote text"/>
    <w:basedOn w:val="Normal"/>
    <w:link w:val="EndnoteTextChar"/>
    <w:uiPriority w:val="99"/>
    <w:semiHidden/>
    <w:unhideWhenUsed/>
    <w:pPr>
      <w:snapToGrid w:val="0"/>
    </w:pPr>
  </w:style>
  <w:style w:type="character" w:customStyle="1" w:styleId="EndnoteTextChar">
    <w:name w:val="Endnote Text Char"/>
    <w:basedOn w:val="DefaultParagraphFont"/>
    <w:link w:val="EndnoteText"/>
    <w:uiPriority w:val="99"/>
    <w:semiHidden/>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pPr>
      <w:widowControl w:val="0"/>
      <w:spacing w:after="0" w:line="240" w:lineRule="auto"/>
      <w:jc w:val="both"/>
    </w:pPr>
    <w:rPr>
      <w:rFonts w:ascii="Calibri" w:eastAsia="PMingLiU" w:hAnsi="Calibri" w:cs="Times New Roman"/>
      <w:kern w:val="2"/>
      <w:sz w:val="21"/>
    </w:rPr>
  </w:style>
  <w:style w:type="character" w:styleId="Hyperlink">
    <w:name w:val="Hyperlink"/>
    <w:basedOn w:val="DefaultParagraphFont"/>
    <w:unhideWhenUsed/>
    <w:rPr>
      <w:color w:val="0563C1" w:themeColor="hyperlink"/>
      <w:u w:val="single"/>
    </w:rPr>
  </w:style>
  <w:style w:type="character" w:customStyle="1" w:styleId="apple-converted-space">
    <w:name w:val="apple-converted-space"/>
    <w:basedOn w:val="DefaultParagraphFont"/>
  </w:style>
  <w:style w:type="paragraph" w:styleId="Revision">
    <w:name w:val="Revision"/>
    <w:hidden/>
    <w:uiPriority w:val="99"/>
    <w:semiHidden/>
    <w:pPr>
      <w:spacing w:after="0" w:line="240" w:lineRule="auto"/>
    </w:p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link w:val="TableChar"/>
    <w:qFormat/>
    <w:pPr>
      <w:snapToGrid w:val="0"/>
      <w:spacing w:before="120" w:after="240" w:line="480" w:lineRule="auto"/>
      <w:contextualSpacing/>
      <w:jc w:val="center"/>
    </w:pPr>
    <w:rPr>
      <w:rFonts w:ascii="Times New Roman" w:hAnsi="Times New Roman" w:cs="Times New Roman"/>
      <w:sz w:val="24"/>
      <w:szCs w:val="24"/>
    </w:rPr>
  </w:style>
  <w:style w:type="character" w:customStyle="1" w:styleId="TableChar">
    <w:name w:val="Table Char"/>
    <w:basedOn w:val="DefaultParagraphFont"/>
    <w:link w:val="Table"/>
    <w:rPr>
      <w:rFonts w:ascii="Times New Roman" w:hAnsi="Times New Roman" w:cs="Times New Roman"/>
      <w:sz w:val="24"/>
      <w:szCs w:val="24"/>
    </w:rPr>
  </w:style>
  <w:style w:type="character" w:customStyle="1" w:styleId="tgc">
    <w:name w:val="_tgc"/>
    <w:basedOn w:val="DefaultParagraphFont"/>
  </w:style>
  <w:style w:type="character" w:customStyle="1" w:styleId="fontstyle01">
    <w:name w:val="fontstyle01"/>
    <w:basedOn w:val="DefaultParagraphFont"/>
    <w:rPr>
      <w:rFonts w:ascii="TimesNewRomanPSMT" w:hAnsi="TimesNewRomanPSMT" w:hint="default"/>
      <w:b w:val="0"/>
      <w:bCs w:val="0"/>
      <w:i w:val="0"/>
      <w:iCs w:val="0"/>
      <w:color w:val="000000"/>
      <w:sz w:val="24"/>
      <w:szCs w:val="24"/>
    </w:rPr>
  </w:style>
  <w:style w:type="character" w:customStyle="1" w:styleId="Heading2Char">
    <w:name w:val="Heading 2 Char"/>
    <w:basedOn w:val="DefaultParagraphFont"/>
    <w:link w:val="Heading2"/>
    <w:rPr>
      <w:rFonts w:ascii="Times New Roman" w:hAnsi="Times New Roman" w:cs="Arial"/>
      <w:b/>
      <w:bCs/>
      <w:i/>
      <w:iCs/>
      <w:sz w:val="24"/>
      <w:szCs w:val="28"/>
      <w:lang w:val="en-GB" w:eastAsia="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1">
    <w:name w:val="未处理的提及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041">
      <w:bodyDiv w:val="1"/>
      <w:marLeft w:val="0"/>
      <w:marRight w:val="0"/>
      <w:marTop w:val="0"/>
      <w:marBottom w:val="0"/>
      <w:divBdr>
        <w:top w:val="none" w:sz="0" w:space="0" w:color="auto"/>
        <w:left w:val="none" w:sz="0" w:space="0" w:color="auto"/>
        <w:bottom w:val="none" w:sz="0" w:space="0" w:color="auto"/>
        <w:right w:val="none" w:sz="0" w:space="0" w:color="auto"/>
      </w:divBdr>
    </w:div>
    <w:div w:id="60452171">
      <w:bodyDiv w:val="1"/>
      <w:marLeft w:val="0"/>
      <w:marRight w:val="0"/>
      <w:marTop w:val="0"/>
      <w:marBottom w:val="0"/>
      <w:divBdr>
        <w:top w:val="none" w:sz="0" w:space="0" w:color="auto"/>
        <w:left w:val="none" w:sz="0" w:space="0" w:color="auto"/>
        <w:bottom w:val="none" w:sz="0" w:space="0" w:color="auto"/>
        <w:right w:val="none" w:sz="0" w:space="0" w:color="auto"/>
      </w:divBdr>
    </w:div>
    <w:div w:id="79723410">
      <w:bodyDiv w:val="1"/>
      <w:marLeft w:val="0"/>
      <w:marRight w:val="0"/>
      <w:marTop w:val="0"/>
      <w:marBottom w:val="0"/>
      <w:divBdr>
        <w:top w:val="none" w:sz="0" w:space="0" w:color="auto"/>
        <w:left w:val="none" w:sz="0" w:space="0" w:color="auto"/>
        <w:bottom w:val="none" w:sz="0" w:space="0" w:color="auto"/>
        <w:right w:val="none" w:sz="0" w:space="0" w:color="auto"/>
      </w:divBdr>
    </w:div>
    <w:div w:id="112141044">
      <w:bodyDiv w:val="1"/>
      <w:marLeft w:val="0"/>
      <w:marRight w:val="0"/>
      <w:marTop w:val="0"/>
      <w:marBottom w:val="0"/>
      <w:divBdr>
        <w:top w:val="none" w:sz="0" w:space="0" w:color="auto"/>
        <w:left w:val="none" w:sz="0" w:space="0" w:color="auto"/>
        <w:bottom w:val="none" w:sz="0" w:space="0" w:color="auto"/>
        <w:right w:val="none" w:sz="0" w:space="0" w:color="auto"/>
      </w:divBdr>
    </w:div>
    <w:div w:id="143011232">
      <w:bodyDiv w:val="1"/>
      <w:marLeft w:val="0"/>
      <w:marRight w:val="0"/>
      <w:marTop w:val="0"/>
      <w:marBottom w:val="0"/>
      <w:divBdr>
        <w:top w:val="none" w:sz="0" w:space="0" w:color="auto"/>
        <w:left w:val="none" w:sz="0" w:space="0" w:color="auto"/>
        <w:bottom w:val="none" w:sz="0" w:space="0" w:color="auto"/>
        <w:right w:val="none" w:sz="0" w:space="0" w:color="auto"/>
      </w:divBdr>
    </w:div>
    <w:div w:id="176431571">
      <w:bodyDiv w:val="1"/>
      <w:marLeft w:val="0"/>
      <w:marRight w:val="0"/>
      <w:marTop w:val="0"/>
      <w:marBottom w:val="0"/>
      <w:divBdr>
        <w:top w:val="none" w:sz="0" w:space="0" w:color="auto"/>
        <w:left w:val="none" w:sz="0" w:space="0" w:color="auto"/>
        <w:bottom w:val="none" w:sz="0" w:space="0" w:color="auto"/>
        <w:right w:val="none" w:sz="0" w:space="0" w:color="auto"/>
      </w:divBdr>
    </w:div>
    <w:div w:id="185751228">
      <w:bodyDiv w:val="1"/>
      <w:marLeft w:val="0"/>
      <w:marRight w:val="0"/>
      <w:marTop w:val="0"/>
      <w:marBottom w:val="0"/>
      <w:divBdr>
        <w:top w:val="none" w:sz="0" w:space="0" w:color="auto"/>
        <w:left w:val="none" w:sz="0" w:space="0" w:color="auto"/>
        <w:bottom w:val="none" w:sz="0" w:space="0" w:color="auto"/>
        <w:right w:val="none" w:sz="0" w:space="0" w:color="auto"/>
      </w:divBdr>
    </w:div>
    <w:div w:id="255943800">
      <w:bodyDiv w:val="1"/>
      <w:marLeft w:val="0"/>
      <w:marRight w:val="0"/>
      <w:marTop w:val="0"/>
      <w:marBottom w:val="0"/>
      <w:divBdr>
        <w:top w:val="none" w:sz="0" w:space="0" w:color="auto"/>
        <w:left w:val="none" w:sz="0" w:space="0" w:color="auto"/>
        <w:bottom w:val="none" w:sz="0" w:space="0" w:color="auto"/>
        <w:right w:val="none" w:sz="0" w:space="0" w:color="auto"/>
      </w:divBdr>
    </w:div>
    <w:div w:id="292836787">
      <w:bodyDiv w:val="1"/>
      <w:marLeft w:val="0"/>
      <w:marRight w:val="0"/>
      <w:marTop w:val="0"/>
      <w:marBottom w:val="0"/>
      <w:divBdr>
        <w:top w:val="none" w:sz="0" w:space="0" w:color="auto"/>
        <w:left w:val="none" w:sz="0" w:space="0" w:color="auto"/>
        <w:bottom w:val="none" w:sz="0" w:space="0" w:color="auto"/>
        <w:right w:val="none" w:sz="0" w:space="0" w:color="auto"/>
      </w:divBdr>
    </w:div>
    <w:div w:id="346561730">
      <w:bodyDiv w:val="1"/>
      <w:marLeft w:val="0"/>
      <w:marRight w:val="0"/>
      <w:marTop w:val="0"/>
      <w:marBottom w:val="0"/>
      <w:divBdr>
        <w:top w:val="none" w:sz="0" w:space="0" w:color="auto"/>
        <w:left w:val="none" w:sz="0" w:space="0" w:color="auto"/>
        <w:bottom w:val="none" w:sz="0" w:space="0" w:color="auto"/>
        <w:right w:val="none" w:sz="0" w:space="0" w:color="auto"/>
      </w:divBdr>
    </w:div>
    <w:div w:id="349138221">
      <w:bodyDiv w:val="1"/>
      <w:marLeft w:val="0"/>
      <w:marRight w:val="0"/>
      <w:marTop w:val="0"/>
      <w:marBottom w:val="0"/>
      <w:divBdr>
        <w:top w:val="none" w:sz="0" w:space="0" w:color="auto"/>
        <w:left w:val="none" w:sz="0" w:space="0" w:color="auto"/>
        <w:bottom w:val="none" w:sz="0" w:space="0" w:color="auto"/>
        <w:right w:val="none" w:sz="0" w:space="0" w:color="auto"/>
      </w:divBdr>
    </w:div>
    <w:div w:id="408499614">
      <w:bodyDiv w:val="1"/>
      <w:marLeft w:val="0"/>
      <w:marRight w:val="0"/>
      <w:marTop w:val="0"/>
      <w:marBottom w:val="0"/>
      <w:divBdr>
        <w:top w:val="none" w:sz="0" w:space="0" w:color="auto"/>
        <w:left w:val="none" w:sz="0" w:space="0" w:color="auto"/>
        <w:bottom w:val="none" w:sz="0" w:space="0" w:color="auto"/>
        <w:right w:val="none" w:sz="0" w:space="0" w:color="auto"/>
      </w:divBdr>
    </w:div>
    <w:div w:id="469831667">
      <w:bodyDiv w:val="1"/>
      <w:marLeft w:val="0"/>
      <w:marRight w:val="0"/>
      <w:marTop w:val="0"/>
      <w:marBottom w:val="0"/>
      <w:divBdr>
        <w:top w:val="none" w:sz="0" w:space="0" w:color="auto"/>
        <w:left w:val="none" w:sz="0" w:space="0" w:color="auto"/>
        <w:bottom w:val="none" w:sz="0" w:space="0" w:color="auto"/>
        <w:right w:val="none" w:sz="0" w:space="0" w:color="auto"/>
      </w:divBdr>
    </w:div>
    <w:div w:id="508760323">
      <w:bodyDiv w:val="1"/>
      <w:marLeft w:val="0"/>
      <w:marRight w:val="0"/>
      <w:marTop w:val="0"/>
      <w:marBottom w:val="0"/>
      <w:divBdr>
        <w:top w:val="none" w:sz="0" w:space="0" w:color="auto"/>
        <w:left w:val="none" w:sz="0" w:space="0" w:color="auto"/>
        <w:bottom w:val="none" w:sz="0" w:space="0" w:color="auto"/>
        <w:right w:val="none" w:sz="0" w:space="0" w:color="auto"/>
      </w:divBdr>
    </w:div>
    <w:div w:id="639309338">
      <w:bodyDiv w:val="1"/>
      <w:marLeft w:val="0"/>
      <w:marRight w:val="0"/>
      <w:marTop w:val="0"/>
      <w:marBottom w:val="0"/>
      <w:divBdr>
        <w:top w:val="none" w:sz="0" w:space="0" w:color="auto"/>
        <w:left w:val="none" w:sz="0" w:space="0" w:color="auto"/>
        <w:bottom w:val="none" w:sz="0" w:space="0" w:color="auto"/>
        <w:right w:val="none" w:sz="0" w:space="0" w:color="auto"/>
      </w:divBdr>
    </w:div>
    <w:div w:id="702634254">
      <w:bodyDiv w:val="1"/>
      <w:marLeft w:val="0"/>
      <w:marRight w:val="0"/>
      <w:marTop w:val="0"/>
      <w:marBottom w:val="0"/>
      <w:divBdr>
        <w:top w:val="none" w:sz="0" w:space="0" w:color="auto"/>
        <w:left w:val="none" w:sz="0" w:space="0" w:color="auto"/>
        <w:bottom w:val="none" w:sz="0" w:space="0" w:color="auto"/>
        <w:right w:val="none" w:sz="0" w:space="0" w:color="auto"/>
      </w:divBdr>
    </w:div>
    <w:div w:id="800418864">
      <w:bodyDiv w:val="1"/>
      <w:marLeft w:val="0"/>
      <w:marRight w:val="0"/>
      <w:marTop w:val="0"/>
      <w:marBottom w:val="0"/>
      <w:divBdr>
        <w:top w:val="none" w:sz="0" w:space="0" w:color="auto"/>
        <w:left w:val="none" w:sz="0" w:space="0" w:color="auto"/>
        <w:bottom w:val="none" w:sz="0" w:space="0" w:color="auto"/>
        <w:right w:val="none" w:sz="0" w:space="0" w:color="auto"/>
      </w:divBdr>
    </w:div>
    <w:div w:id="816067471">
      <w:bodyDiv w:val="1"/>
      <w:marLeft w:val="0"/>
      <w:marRight w:val="0"/>
      <w:marTop w:val="0"/>
      <w:marBottom w:val="0"/>
      <w:divBdr>
        <w:top w:val="none" w:sz="0" w:space="0" w:color="auto"/>
        <w:left w:val="none" w:sz="0" w:space="0" w:color="auto"/>
        <w:bottom w:val="none" w:sz="0" w:space="0" w:color="auto"/>
        <w:right w:val="none" w:sz="0" w:space="0" w:color="auto"/>
      </w:divBdr>
    </w:div>
    <w:div w:id="822165243">
      <w:bodyDiv w:val="1"/>
      <w:marLeft w:val="0"/>
      <w:marRight w:val="0"/>
      <w:marTop w:val="0"/>
      <w:marBottom w:val="0"/>
      <w:divBdr>
        <w:top w:val="none" w:sz="0" w:space="0" w:color="auto"/>
        <w:left w:val="none" w:sz="0" w:space="0" w:color="auto"/>
        <w:bottom w:val="none" w:sz="0" w:space="0" w:color="auto"/>
        <w:right w:val="none" w:sz="0" w:space="0" w:color="auto"/>
      </w:divBdr>
    </w:div>
    <w:div w:id="871768228">
      <w:bodyDiv w:val="1"/>
      <w:marLeft w:val="0"/>
      <w:marRight w:val="0"/>
      <w:marTop w:val="0"/>
      <w:marBottom w:val="0"/>
      <w:divBdr>
        <w:top w:val="none" w:sz="0" w:space="0" w:color="auto"/>
        <w:left w:val="none" w:sz="0" w:space="0" w:color="auto"/>
        <w:bottom w:val="none" w:sz="0" w:space="0" w:color="auto"/>
        <w:right w:val="none" w:sz="0" w:space="0" w:color="auto"/>
      </w:divBdr>
      <w:divsChild>
        <w:div w:id="1853105139">
          <w:marLeft w:val="0"/>
          <w:marRight w:val="0"/>
          <w:marTop w:val="0"/>
          <w:marBottom w:val="0"/>
          <w:divBdr>
            <w:top w:val="none" w:sz="0" w:space="0" w:color="auto"/>
            <w:left w:val="none" w:sz="0" w:space="0" w:color="auto"/>
            <w:bottom w:val="none" w:sz="0" w:space="0" w:color="auto"/>
            <w:right w:val="none" w:sz="0" w:space="0" w:color="auto"/>
          </w:divBdr>
          <w:divsChild>
            <w:div w:id="173611286">
              <w:marLeft w:val="0"/>
              <w:marRight w:val="0"/>
              <w:marTop w:val="0"/>
              <w:marBottom w:val="0"/>
              <w:divBdr>
                <w:top w:val="none" w:sz="0" w:space="0" w:color="auto"/>
                <w:left w:val="none" w:sz="0" w:space="0" w:color="auto"/>
                <w:bottom w:val="none" w:sz="0" w:space="0" w:color="auto"/>
                <w:right w:val="none" w:sz="0" w:space="0" w:color="auto"/>
              </w:divBdr>
              <w:divsChild>
                <w:div w:id="364453817">
                  <w:marLeft w:val="0"/>
                  <w:marRight w:val="0"/>
                  <w:marTop w:val="0"/>
                  <w:marBottom w:val="0"/>
                  <w:divBdr>
                    <w:top w:val="none" w:sz="0" w:space="0" w:color="auto"/>
                    <w:left w:val="none" w:sz="0" w:space="0" w:color="auto"/>
                    <w:bottom w:val="none" w:sz="0" w:space="0" w:color="auto"/>
                    <w:right w:val="none" w:sz="0" w:space="0" w:color="auto"/>
                  </w:divBdr>
                  <w:divsChild>
                    <w:div w:id="199323526">
                      <w:marLeft w:val="0"/>
                      <w:marRight w:val="0"/>
                      <w:marTop w:val="0"/>
                      <w:marBottom w:val="0"/>
                      <w:divBdr>
                        <w:top w:val="none" w:sz="0" w:space="0" w:color="auto"/>
                        <w:left w:val="none" w:sz="0" w:space="0" w:color="auto"/>
                        <w:bottom w:val="none" w:sz="0" w:space="0" w:color="auto"/>
                        <w:right w:val="none" w:sz="0" w:space="0" w:color="auto"/>
                      </w:divBdr>
                      <w:divsChild>
                        <w:div w:id="1874347143">
                          <w:marLeft w:val="0"/>
                          <w:marRight w:val="0"/>
                          <w:marTop w:val="0"/>
                          <w:marBottom w:val="0"/>
                          <w:divBdr>
                            <w:top w:val="none" w:sz="0" w:space="0" w:color="auto"/>
                            <w:left w:val="none" w:sz="0" w:space="0" w:color="auto"/>
                            <w:bottom w:val="none" w:sz="0" w:space="0" w:color="auto"/>
                            <w:right w:val="none" w:sz="0" w:space="0" w:color="auto"/>
                          </w:divBdr>
                          <w:divsChild>
                            <w:div w:id="2000034010">
                              <w:marLeft w:val="0"/>
                              <w:marRight w:val="0"/>
                              <w:marTop w:val="0"/>
                              <w:marBottom w:val="0"/>
                              <w:divBdr>
                                <w:top w:val="none" w:sz="0" w:space="0" w:color="auto"/>
                                <w:left w:val="none" w:sz="0" w:space="0" w:color="auto"/>
                                <w:bottom w:val="none" w:sz="0" w:space="0" w:color="auto"/>
                                <w:right w:val="none" w:sz="0" w:space="0" w:color="auto"/>
                              </w:divBdr>
                              <w:divsChild>
                                <w:div w:id="1993752553">
                                  <w:marLeft w:val="0"/>
                                  <w:marRight w:val="0"/>
                                  <w:marTop w:val="0"/>
                                  <w:marBottom w:val="0"/>
                                  <w:divBdr>
                                    <w:top w:val="none" w:sz="0" w:space="0" w:color="auto"/>
                                    <w:left w:val="none" w:sz="0" w:space="0" w:color="auto"/>
                                    <w:bottom w:val="none" w:sz="0" w:space="0" w:color="auto"/>
                                    <w:right w:val="none" w:sz="0" w:space="0" w:color="auto"/>
                                  </w:divBdr>
                                  <w:divsChild>
                                    <w:div w:id="15017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525024">
      <w:bodyDiv w:val="1"/>
      <w:marLeft w:val="0"/>
      <w:marRight w:val="0"/>
      <w:marTop w:val="0"/>
      <w:marBottom w:val="0"/>
      <w:divBdr>
        <w:top w:val="none" w:sz="0" w:space="0" w:color="auto"/>
        <w:left w:val="none" w:sz="0" w:space="0" w:color="auto"/>
        <w:bottom w:val="none" w:sz="0" w:space="0" w:color="auto"/>
        <w:right w:val="none" w:sz="0" w:space="0" w:color="auto"/>
      </w:divBdr>
    </w:div>
    <w:div w:id="904026505">
      <w:bodyDiv w:val="1"/>
      <w:marLeft w:val="0"/>
      <w:marRight w:val="0"/>
      <w:marTop w:val="0"/>
      <w:marBottom w:val="0"/>
      <w:divBdr>
        <w:top w:val="none" w:sz="0" w:space="0" w:color="auto"/>
        <w:left w:val="none" w:sz="0" w:space="0" w:color="auto"/>
        <w:bottom w:val="none" w:sz="0" w:space="0" w:color="auto"/>
        <w:right w:val="none" w:sz="0" w:space="0" w:color="auto"/>
      </w:divBdr>
    </w:div>
    <w:div w:id="921258352">
      <w:bodyDiv w:val="1"/>
      <w:marLeft w:val="0"/>
      <w:marRight w:val="0"/>
      <w:marTop w:val="0"/>
      <w:marBottom w:val="0"/>
      <w:divBdr>
        <w:top w:val="none" w:sz="0" w:space="0" w:color="auto"/>
        <w:left w:val="none" w:sz="0" w:space="0" w:color="auto"/>
        <w:bottom w:val="none" w:sz="0" w:space="0" w:color="auto"/>
        <w:right w:val="none" w:sz="0" w:space="0" w:color="auto"/>
      </w:divBdr>
    </w:div>
    <w:div w:id="931163107">
      <w:bodyDiv w:val="1"/>
      <w:marLeft w:val="0"/>
      <w:marRight w:val="0"/>
      <w:marTop w:val="0"/>
      <w:marBottom w:val="0"/>
      <w:divBdr>
        <w:top w:val="none" w:sz="0" w:space="0" w:color="auto"/>
        <w:left w:val="none" w:sz="0" w:space="0" w:color="auto"/>
        <w:bottom w:val="none" w:sz="0" w:space="0" w:color="auto"/>
        <w:right w:val="none" w:sz="0" w:space="0" w:color="auto"/>
      </w:divBdr>
    </w:div>
    <w:div w:id="931549709">
      <w:bodyDiv w:val="1"/>
      <w:marLeft w:val="0"/>
      <w:marRight w:val="0"/>
      <w:marTop w:val="0"/>
      <w:marBottom w:val="0"/>
      <w:divBdr>
        <w:top w:val="none" w:sz="0" w:space="0" w:color="auto"/>
        <w:left w:val="none" w:sz="0" w:space="0" w:color="auto"/>
        <w:bottom w:val="none" w:sz="0" w:space="0" w:color="auto"/>
        <w:right w:val="none" w:sz="0" w:space="0" w:color="auto"/>
      </w:divBdr>
    </w:div>
    <w:div w:id="996344651">
      <w:bodyDiv w:val="1"/>
      <w:marLeft w:val="0"/>
      <w:marRight w:val="0"/>
      <w:marTop w:val="0"/>
      <w:marBottom w:val="0"/>
      <w:divBdr>
        <w:top w:val="none" w:sz="0" w:space="0" w:color="auto"/>
        <w:left w:val="none" w:sz="0" w:space="0" w:color="auto"/>
        <w:bottom w:val="none" w:sz="0" w:space="0" w:color="auto"/>
        <w:right w:val="none" w:sz="0" w:space="0" w:color="auto"/>
      </w:divBdr>
    </w:div>
    <w:div w:id="1040284723">
      <w:bodyDiv w:val="1"/>
      <w:marLeft w:val="0"/>
      <w:marRight w:val="0"/>
      <w:marTop w:val="0"/>
      <w:marBottom w:val="0"/>
      <w:divBdr>
        <w:top w:val="none" w:sz="0" w:space="0" w:color="auto"/>
        <w:left w:val="none" w:sz="0" w:space="0" w:color="auto"/>
        <w:bottom w:val="none" w:sz="0" w:space="0" w:color="auto"/>
        <w:right w:val="none" w:sz="0" w:space="0" w:color="auto"/>
      </w:divBdr>
    </w:div>
    <w:div w:id="1055543935">
      <w:bodyDiv w:val="1"/>
      <w:marLeft w:val="0"/>
      <w:marRight w:val="0"/>
      <w:marTop w:val="0"/>
      <w:marBottom w:val="0"/>
      <w:divBdr>
        <w:top w:val="none" w:sz="0" w:space="0" w:color="auto"/>
        <w:left w:val="none" w:sz="0" w:space="0" w:color="auto"/>
        <w:bottom w:val="none" w:sz="0" w:space="0" w:color="auto"/>
        <w:right w:val="none" w:sz="0" w:space="0" w:color="auto"/>
      </w:divBdr>
    </w:div>
    <w:div w:id="1075054260">
      <w:bodyDiv w:val="1"/>
      <w:marLeft w:val="0"/>
      <w:marRight w:val="0"/>
      <w:marTop w:val="0"/>
      <w:marBottom w:val="0"/>
      <w:divBdr>
        <w:top w:val="none" w:sz="0" w:space="0" w:color="auto"/>
        <w:left w:val="none" w:sz="0" w:space="0" w:color="auto"/>
        <w:bottom w:val="none" w:sz="0" w:space="0" w:color="auto"/>
        <w:right w:val="none" w:sz="0" w:space="0" w:color="auto"/>
      </w:divBdr>
    </w:div>
    <w:div w:id="1075131811">
      <w:bodyDiv w:val="1"/>
      <w:marLeft w:val="0"/>
      <w:marRight w:val="0"/>
      <w:marTop w:val="0"/>
      <w:marBottom w:val="0"/>
      <w:divBdr>
        <w:top w:val="none" w:sz="0" w:space="0" w:color="auto"/>
        <w:left w:val="none" w:sz="0" w:space="0" w:color="auto"/>
        <w:bottom w:val="none" w:sz="0" w:space="0" w:color="auto"/>
        <w:right w:val="none" w:sz="0" w:space="0" w:color="auto"/>
      </w:divBdr>
    </w:div>
    <w:div w:id="1370690928">
      <w:bodyDiv w:val="1"/>
      <w:marLeft w:val="0"/>
      <w:marRight w:val="0"/>
      <w:marTop w:val="0"/>
      <w:marBottom w:val="0"/>
      <w:divBdr>
        <w:top w:val="none" w:sz="0" w:space="0" w:color="auto"/>
        <w:left w:val="none" w:sz="0" w:space="0" w:color="auto"/>
        <w:bottom w:val="none" w:sz="0" w:space="0" w:color="auto"/>
        <w:right w:val="none" w:sz="0" w:space="0" w:color="auto"/>
      </w:divBdr>
    </w:div>
    <w:div w:id="1477449944">
      <w:bodyDiv w:val="1"/>
      <w:marLeft w:val="0"/>
      <w:marRight w:val="0"/>
      <w:marTop w:val="0"/>
      <w:marBottom w:val="0"/>
      <w:divBdr>
        <w:top w:val="none" w:sz="0" w:space="0" w:color="auto"/>
        <w:left w:val="none" w:sz="0" w:space="0" w:color="auto"/>
        <w:bottom w:val="none" w:sz="0" w:space="0" w:color="auto"/>
        <w:right w:val="none" w:sz="0" w:space="0" w:color="auto"/>
      </w:divBdr>
    </w:div>
    <w:div w:id="1515920885">
      <w:bodyDiv w:val="1"/>
      <w:marLeft w:val="0"/>
      <w:marRight w:val="0"/>
      <w:marTop w:val="0"/>
      <w:marBottom w:val="0"/>
      <w:divBdr>
        <w:top w:val="none" w:sz="0" w:space="0" w:color="auto"/>
        <w:left w:val="none" w:sz="0" w:space="0" w:color="auto"/>
        <w:bottom w:val="none" w:sz="0" w:space="0" w:color="auto"/>
        <w:right w:val="none" w:sz="0" w:space="0" w:color="auto"/>
      </w:divBdr>
    </w:div>
    <w:div w:id="1624844968">
      <w:bodyDiv w:val="1"/>
      <w:marLeft w:val="0"/>
      <w:marRight w:val="0"/>
      <w:marTop w:val="0"/>
      <w:marBottom w:val="0"/>
      <w:divBdr>
        <w:top w:val="none" w:sz="0" w:space="0" w:color="auto"/>
        <w:left w:val="none" w:sz="0" w:space="0" w:color="auto"/>
        <w:bottom w:val="none" w:sz="0" w:space="0" w:color="auto"/>
        <w:right w:val="none" w:sz="0" w:space="0" w:color="auto"/>
      </w:divBdr>
    </w:div>
    <w:div w:id="1647708750">
      <w:bodyDiv w:val="1"/>
      <w:marLeft w:val="0"/>
      <w:marRight w:val="0"/>
      <w:marTop w:val="0"/>
      <w:marBottom w:val="0"/>
      <w:divBdr>
        <w:top w:val="none" w:sz="0" w:space="0" w:color="auto"/>
        <w:left w:val="none" w:sz="0" w:space="0" w:color="auto"/>
        <w:bottom w:val="none" w:sz="0" w:space="0" w:color="auto"/>
        <w:right w:val="none" w:sz="0" w:space="0" w:color="auto"/>
      </w:divBdr>
    </w:div>
    <w:div w:id="1710641147">
      <w:bodyDiv w:val="1"/>
      <w:marLeft w:val="0"/>
      <w:marRight w:val="0"/>
      <w:marTop w:val="0"/>
      <w:marBottom w:val="0"/>
      <w:divBdr>
        <w:top w:val="none" w:sz="0" w:space="0" w:color="auto"/>
        <w:left w:val="none" w:sz="0" w:space="0" w:color="auto"/>
        <w:bottom w:val="none" w:sz="0" w:space="0" w:color="auto"/>
        <w:right w:val="none" w:sz="0" w:space="0" w:color="auto"/>
      </w:divBdr>
    </w:div>
    <w:div w:id="1729303377">
      <w:bodyDiv w:val="1"/>
      <w:marLeft w:val="0"/>
      <w:marRight w:val="0"/>
      <w:marTop w:val="0"/>
      <w:marBottom w:val="0"/>
      <w:divBdr>
        <w:top w:val="none" w:sz="0" w:space="0" w:color="auto"/>
        <w:left w:val="none" w:sz="0" w:space="0" w:color="auto"/>
        <w:bottom w:val="none" w:sz="0" w:space="0" w:color="auto"/>
        <w:right w:val="none" w:sz="0" w:space="0" w:color="auto"/>
      </w:divBdr>
    </w:div>
    <w:div w:id="1735927237">
      <w:bodyDiv w:val="1"/>
      <w:marLeft w:val="0"/>
      <w:marRight w:val="0"/>
      <w:marTop w:val="0"/>
      <w:marBottom w:val="0"/>
      <w:divBdr>
        <w:top w:val="none" w:sz="0" w:space="0" w:color="auto"/>
        <w:left w:val="none" w:sz="0" w:space="0" w:color="auto"/>
        <w:bottom w:val="none" w:sz="0" w:space="0" w:color="auto"/>
        <w:right w:val="none" w:sz="0" w:space="0" w:color="auto"/>
      </w:divBdr>
    </w:div>
    <w:div w:id="1816945284">
      <w:bodyDiv w:val="1"/>
      <w:marLeft w:val="0"/>
      <w:marRight w:val="0"/>
      <w:marTop w:val="0"/>
      <w:marBottom w:val="0"/>
      <w:divBdr>
        <w:top w:val="none" w:sz="0" w:space="0" w:color="auto"/>
        <w:left w:val="none" w:sz="0" w:space="0" w:color="auto"/>
        <w:bottom w:val="none" w:sz="0" w:space="0" w:color="auto"/>
        <w:right w:val="none" w:sz="0" w:space="0" w:color="auto"/>
      </w:divBdr>
    </w:div>
    <w:div w:id="1830710000">
      <w:bodyDiv w:val="1"/>
      <w:marLeft w:val="0"/>
      <w:marRight w:val="0"/>
      <w:marTop w:val="0"/>
      <w:marBottom w:val="0"/>
      <w:divBdr>
        <w:top w:val="none" w:sz="0" w:space="0" w:color="auto"/>
        <w:left w:val="none" w:sz="0" w:space="0" w:color="auto"/>
        <w:bottom w:val="none" w:sz="0" w:space="0" w:color="auto"/>
        <w:right w:val="none" w:sz="0" w:space="0" w:color="auto"/>
      </w:divBdr>
    </w:div>
    <w:div w:id="1832330071">
      <w:bodyDiv w:val="1"/>
      <w:marLeft w:val="0"/>
      <w:marRight w:val="0"/>
      <w:marTop w:val="0"/>
      <w:marBottom w:val="0"/>
      <w:divBdr>
        <w:top w:val="none" w:sz="0" w:space="0" w:color="auto"/>
        <w:left w:val="none" w:sz="0" w:space="0" w:color="auto"/>
        <w:bottom w:val="none" w:sz="0" w:space="0" w:color="auto"/>
        <w:right w:val="none" w:sz="0" w:space="0" w:color="auto"/>
      </w:divBdr>
    </w:div>
    <w:div w:id="1839685643">
      <w:bodyDiv w:val="1"/>
      <w:marLeft w:val="0"/>
      <w:marRight w:val="0"/>
      <w:marTop w:val="0"/>
      <w:marBottom w:val="0"/>
      <w:divBdr>
        <w:top w:val="none" w:sz="0" w:space="0" w:color="auto"/>
        <w:left w:val="none" w:sz="0" w:space="0" w:color="auto"/>
        <w:bottom w:val="none" w:sz="0" w:space="0" w:color="auto"/>
        <w:right w:val="none" w:sz="0" w:space="0" w:color="auto"/>
      </w:divBdr>
    </w:div>
    <w:div w:id="1892686137">
      <w:bodyDiv w:val="1"/>
      <w:marLeft w:val="0"/>
      <w:marRight w:val="0"/>
      <w:marTop w:val="0"/>
      <w:marBottom w:val="0"/>
      <w:divBdr>
        <w:top w:val="none" w:sz="0" w:space="0" w:color="auto"/>
        <w:left w:val="none" w:sz="0" w:space="0" w:color="auto"/>
        <w:bottom w:val="none" w:sz="0" w:space="0" w:color="auto"/>
        <w:right w:val="none" w:sz="0" w:space="0" w:color="auto"/>
      </w:divBdr>
    </w:div>
    <w:div w:id="1905528533">
      <w:bodyDiv w:val="1"/>
      <w:marLeft w:val="0"/>
      <w:marRight w:val="0"/>
      <w:marTop w:val="0"/>
      <w:marBottom w:val="0"/>
      <w:divBdr>
        <w:top w:val="none" w:sz="0" w:space="0" w:color="auto"/>
        <w:left w:val="none" w:sz="0" w:space="0" w:color="auto"/>
        <w:bottom w:val="none" w:sz="0" w:space="0" w:color="auto"/>
        <w:right w:val="none" w:sz="0" w:space="0" w:color="auto"/>
      </w:divBdr>
    </w:div>
    <w:div w:id="1937207779">
      <w:bodyDiv w:val="1"/>
      <w:marLeft w:val="0"/>
      <w:marRight w:val="0"/>
      <w:marTop w:val="0"/>
      <w:marBottom w:val="0"/>
      <w:divBdr>
        <w:top w:val="none" w:sz="0" w:space="0" w:color="auto"/>
        <w:left w:val="none" w:sz="0" w:space="0" w:color="auto"/>
        <w:bottom w:val="none" w:sz="0" w:space="0" w:color="auto"/>
        <w:right w:val="none" w:sz="0" w:space="0" w:color="auto"/>
      </w:divBdr>
    </w:div>
    <w:div w:id="2040541905">
      <w:bodyDiv w:val="1"/>
      <w:marLeft w:val="0"/>
      <w:marRight w:val="0"/>
      <w:marTop w:val="0"/>
      <w:marBottom w:val="0"/>
      <w:divBdr>
        <w:top w:val="none" w:sz="0" w:space="0" w:color="auto"/>
        <w:left w:val="none" w:sz="0" w:space="0" w:color="auto"/>
        <w:bottom w:val="none" w:sz="0" w:space="0" w:color="auto"/>
        <w:right w:val="none" w:sz="0" w:space="0" w:color="auto"/>
      </w:divBdr>
    </w:div>
    <w:div w:id="2045446204">
      <w:bodyDiv w:val="1"/>
      <w:marLeft w:val="0"/>
      <w:marRight w:val="0"/>
      <w:marTop w:val="0"/>
      <w:marBottom w:val="0"/>
      <w:divBdr>
        <w:top w:val="none" w:sz="0" w:space="0" w:color="auto"/>
        <w:left w:val="none" w:sz="0" w:space="0" w:color="auto"/>
        <w:bottom w:val="none" w:sz="0" w:space="0" w:color="auto"/>
        <w:right w:val="none" w:sz="0" w:space="0" w:color="auto"/>
      </w:divBdr>
    </w:div>
    <w:div w:id="21041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B4AC23-1F29-4F7A-9AEB-643ED3FBCA9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94D64-BCE2-4EA6-BB23-FB8D3CDD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2869</TotalTime>
  <Pages>39</Pages>
  <Words>9978</Words>
  <Characters>69401</Characters>
  <Application>Microsoft Office Word</Application>
  <DocSecurity>0</DocSecurity>
  <Lines>578</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Zhang, Ziyang</cp:lastModifiedBy>
  <cp:revision>51</cp:revision>
  <dcterms:created xsi:type="dcterms:W3CDTF">2020-10-23T14:25:00Z</dcterms:created>
  <dcterms:modified xsi:type="dcterms:W3CDTF">2020-11-27T21:20:00Z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