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8DE88" w14:textId="5A4809C7" w:rsidR="00FB76D9" w:rsidRPr="007143BC" w:rsidRDefault="00FB76D9" w:rsidP="00772E6C">
      <w:pPr>
        <w:pStyle w:val="Title"/>
        <w:jc w:val="center"/>
        <w:outlineLvl w:val="0"/>
        <w:rPr>
          <w:rFonts w:ascii="Times New Roman" w:hAnsi="Times New Roman" w:cs="Times New Roman"/>
          <w:b/>
          <w:sz w:val="24"/>
          <w:szCs w:val="24"/>
        </w:rPr>
      </w:pPr>
      <w:r w:rsidRPr="007143BC">
        <w:rPr>
          <w:rFonts w:ascii="Times New Roman" w:hAnsi="Times New Roman" w:cs="Times New Roman"/>
          <w:b/>
          <w:sz w:val="24"/>
          <w:szCs w:val="24"/>
        </w:rPr>
        <w:t xml:space="preserve">A </w:t>
      </w:r>
      <w:r w:rsidR="00B5624C" w:rsidRPr="007143BC">
        <w:rPr>
          <w:rFonts w:ascii="Times New Roman" w:hAnsi="Times New Roman" w:cs="Times New Roman"/>
          <w:b/>
          <w:sz w:val="24"/>
          <w:szCs w:val="24"/>
        </w:rPr>
        <w:t xml:space="preserve">Novel </w:t>
      </w:r>
      <w:r w:rsidRPr="007143BC">
        <w:rPr>
          <w:rFonts w:ascii="Times New Roman" w:hAnsi="Times New Roman" w:cs="Times New Roman"/>
          <w:b/>
          <w:sz w:val="24"/>
          <w:szCs w:val="24"/>
        </w:rPr>
        <w:t>Causal Risk</w:t>
      </w:r>
      <w:r w:rsidR="0034367F" w:rsidRPr="007143BC">
        <w:rPr>
          <w:rFonts w:ascii="Times New Roman" w:hAnsi="Times New Roman" w:cs="Times New Roman"/>
          <w:b/>
          <w:sz w:val="24"/>
          <w:szCs w:val="24"/>
        </w:rPr>
        <w:t>-Based Decision-Making</w:t>
      </w:r>
      <w:r w:rsidR="00680B91">
        <w:rPr>
          <w:rFonts w:ascii="Times New Roman" w:hAnsi="Times New Roman" w:cs="Times New Roman"/>
          <w:b/>
          <w:sz w:val="24"/>
          <w:szCs w:val="24"/>
        </w:rPr>
        <w:t xml:space="preserve"> Methodology</w:t>
      </w:r>
      <w:r w:rsidR="0034367F" w:rsidRPr="007143BC">
        <w:rPr>
          <w:rFonts w:ascii="Times New Roman" w:hAnsi="Times New Roman" w:cs="Times New Roman"/>
          <w:b/>
          <w:sz w:val="24"/>
          <w:szCs w:val="24"/>
        </w:rPr>
        <w:t>: The Case of Coronavirus</w:t>
      </w:r>
    </w:p>
    <w:p w14:paraId="5B0F49F8" w14:textId="77777777" w:rsidR="0000674A" w:rsidRPr="007143BC" w:rsidRDefault="0000674A" w:rsidP="0000674A"/>
    <w:p w14:paraId="2B938F76" w14:textId="3C0E2E6F" w:rsidR="00322A12" w:rsidRPr="007143BC" w:rsidRDefault="00322A12" w:rsidP="00322A12">
      <w:pPr>
        <w:pStyle w:val="Title"/>
        <w:spacing w:before="120" w:after="120" w:line="360" w:lineRule="auto"/>
        <w:jc w:val="center"/>
        <w:rPr>
          <w:rFonts w:ascii="Times New Roman" w:hAnsi="Times New Roman" w:cs="Times New Roman"/>
          <w:sz w:val="24"/>
          <w:szCs w:val="24"/>
        </w:rPr>
      </w:pPr>
      <w:r w:rsidRPr="007143BC">
        <w:rPr>
          <w:rFonts w:ascii="Times New Roman" w:hAnsi="Times New Roman" w:cs="Times New Roman"/>
          <w:sz w:val="24"/>
          <w:szCs w:val="24"/>
        </w:rPr>
        <w:t>Stavros K. Stavroglou</w:t>
      </w:r>
      <w:r w:rsidRPr="007143BC">
        <w:rPr>
          <w:rFonts w:ascii="Times New Roman" w:hAnsi="Times New Roman" w:cs="Times New Roman"/>
          <w:sz w:val="24"/>
          <w:szCs w:val="24"/>
          <w:vertAlign w:val="superscript"/>
        </w:rPr>
        <w:t>1</w:t>
      </w:r>
      <w:r w:rsidRPr="007143BC">
        <w:rPr>
          <w:rFonts w:ascii="Times New Roman" w:hAnsi="Times New Roman" w:cs="Times New Roman"/>
          <w:sz w:val="24"/>
          <w:szCs w:val="24"/>
        </w:rPr>
        <w:t xml:space="preserve">, Bilal </w:t>
      </w:r>
      <w:r w:rsidR="007143BC">
        <w:rPr>
          <w:rFonts w:ascii="Times New Roman" w:hAnsi="Times New Roman" w:cs="Times New Roman"/>
          <w:sz w:val="24"/>
          <w:szCs w:val="24"/>
        </w:rPr>
        <w:t xml:space="preserve">M. </w:t>
      </w:r>
      <w:r w:rsidRPr="007143BC">
        <w:rPr>
          <w:rFonts w:ascii="Times New Roman" w:hAnsi="Times New Roman" w:cs="Times New Roman"/>
          <w:sz w:val="24"/>
          <w:szCs w:val="24"/>
        </w:rPr>
        <w:t>Ayyub</w:t>
      </w:r>
      <w:r w:rsidRPr="007143BC">
        <w:rPr>
          <w:rFonts w:ascii="Times New Roman" w:hAnsi="Times New Roman" w:cs="Times New Roman"/>
          <w:sz w:val="24"/>
          <w:szCs w:val="24"/>
          <w:vertAlign w:val="superscript"/>
        </w:rPr>
        <w:t>2</w:t>
      </w:r>
      <w:r w:rsidR="005421B4">
        <w:rPr>
          <w:rFonts w:ascii="Times New Roman" w:hAnsi="Times New Roman" w:cs="Times New Roman"/>
          <w:sz w:val="24"/>
          <w:szCs w:val="24"/>
          <w:vertAlign w:val="superscript"/>
        </w:rPr>
        <w:t>*</w:t>
      </w:r>
      <w:r w:rsidRPr="007143BC">
        <w:rPr>
          <w:rFonts w:ascii="Times New Roman" w:hAnsi="Times New Roman" w:cs="Times New Roman"/>
          <w:sz w:val="24"/>
          <w:szCs w:val="24"/>
        </w:rPr>
        <w:t>, Vasileios Kallinterakis</w:t>
      </w:r>
      <w:r w:rsidRPr="007143BC">
        <w:rPr>
          <w:rFonts w:ascii="Times New Roman" w:hAnsi="Times New Roman" w:cs="Times New Roman"/>
          <w:sz w:val="24"/>
          <w:szCs w:val="24"/>
          <w:vertAlign w:val="superscript"/>
        </w:rPr>
        <w:t>3</w:t>
      </w:r>
      <w:r w:rsidRPr="007143BC">
        <w:rPr>
          <w:rFonts w:ascii="Times New Roman" w:hAnsi="Times New Roman" w:cs="Times New Roman"/>
          <w:sz w:val="24"/>
          <w:szCs w:val="24"/>
        </w:rPr>
        <w:t xml:space="preserve">, </w:t>
      </w:r>
    </w:p>
    <w:p w14:paraId="4B6E5B1D" w14:textId="17291293" w:rsidR="00322A12" w:rsidRPr="007143BC" w:rsidRDefault="00322A12" w:rsidP="00322A12">
      <w:pPr>
        <w:pStyle w:val="Title"/>
        <w:spacing w:before="120" w:after="120" w:line="360" w:lineRule="auto"/>
        <w:jc w:val="center"/>
        <w:rPr>
          <w:rFonts w:ascii="Times New Roman" w:hAnsi="Times New Roman" w:cs="Times New Roman"/>
          <w:sz w:val="24"/>
          <w:szCs w:val="24"/>
        </w:rPr>
      </w:pPr>
      <w:r w:rsidRPr="007143BC">
        <w:rPr>
          <w:rFonts w:ascii="Times New Roman" w:hAnsi="Times New Roman" w:cs="Times New Roman"/>
          <w:sz w:val="24"/>
          <w:szCs w:val="24"/>
        </w:rPr>
        <w:t>Athanasios A. Pantelous</w:t>
      </w:r>
      <w:r w:rsidRPr="007143BC">
        <w:rPr>
          <w:rFonts w:ascii="Times New Roman" w:hAnsi="Times New Roman" w:cs="Times New Roman"/>
          <w:sz w:val="24"/>
          <w:szCs w:val="24"/>
          <w:vertAlign w:val="superscript"/>
        </w:rPr>
        <w:t>1</w:t>
      </w:r>
      <w:r w:rsidRPr="007143BC">
        <w:rPr>
          <w:rFonts w:ascii="Times New Roman" w:hAnsi="Times New Roman" w:cs="Times New Roman"/>
          <w:sz w:val="24"/>
          <w:szCs w:val="24"/>
        </w:rPr>
        <w:t>, H. Eugene Stanley</w:t>
      </w:r>
      <w:r w:rsidRPr="007143BC">
        <w:rPr>
          <w:rFonts w:ascii="Times New Roman" w:hAnsi="Times New Roman" w:cs="Times New Roman"/>
          <w:sz w:val="24"/>
          <w:szCs w:val="24"/>
          <w:vertAlign w:val="superscript"/>
        </w:rPr>
        <w:t>4</w:t>
      </w:r>
    </w:p>
    <w:p w14:paraId="2E59040A" w14:textId="77777777" w:rsidR="006E22C5" w:rsidRDefault="00322A12" w:rsidP="007143BC">
      <w:pPr>
        <w:pStyle w:val="Title"/>
        <w:spacing w:before="120" w:after="120" w:line="360" w:lineRule="auto"/>
        <w:rPr>
          <w:rFonts w:ascii="Times New Roman" w:hAnsi="Times New Roman" w:cs="Times New Roman"/>
          <w:sz w:val="22"/>
          <w:szCs w:val="22"/>
        </w:rPr>
      </w:pPr>
      <w:r w:rsidRPr="00CF0F4B">
        <w:rPr>
          <w:rFonts w:ascii="Times New Roman" w:hAnsi="Times New Roman" w:cs="Times New Roman"/>
          <w:sz w:val="22"/>
          <w:szCs w:val="22"/>
          <w:vertAlign w:val="superscript"/>
        </w:rPr>
        <w:t>1</w:t>
      </w:r>
      <w:r w:rsidRPr="00CF0F4B">
        <w:rPr>
          <w:rFonts w:ascii="Times New Roman" w:hAnsi="Times New Roman" w:cs="Times New Roman"/>
          <w:sz w:val="22"/>
          <w:szCs w:val="22"/>
        </w:rPr>
        <w:t>Department of Econometrics and Business Statistics, Monash Universit</w:t>
      </w:r>
      <w:r w:rsidR="007143BC" w:rsidRPr="00CF0F4B">
        <w:rPr>
          <w:rFonts w:ascii="Times New Roman" w:hAnsi="Times New Roman" w:cs="Times New Roman"/>
          <w:sz w:val="22"/>
          <w:szCs w:val="22"/>
        </w:rPr>
        <w:t>y, Clayton VIC 3800, Australia.</w:t>
      </w:r>
      <w:r w:rsidR="00295DA6">
        <w:rPr>
          <w:rFonts w:ascii="Times New Roman" w:hAnsi="Times New Roman" w:cs="Times New Roman"/>
          <w:sz w:val="22"/>
          <w:szCs w:val="22"/>
        </w:rPr>
        <w:t xml:space="preserve"> </w:t>
      </w:r>
    </w:p>
    <w:p w14:paraId="568323CB" w14:textId="0B8A40EB" w:rsidR="007143BC" w:rsidRPr="00CF0F4B" w:rsidRDefault="008847A3" w:rsidP="007143BC">
      <w:pPr>
        <w:pStyle w:val="Title"/>
        <w:spacing w:before="120" w:after="120" w:line="360" w:lineRule="auto"/>
        <w:rPr>
          <w:rFonts w:ascii="Times New Roman" w:hAnsi="Times New Roman" w:cs="Times New Roman"/>
          <w:sz w:val="22"/>
          <w:szCs w:val="22"/>
        </w:rPr>
      </w:pPr>
      <w:hyperlink r:id="rId8" w:history="1">
        <w:r w:rsidRPr="003E60BB">
          <w:rPr>
            <w:rStyle w:val="Hyperlink"/>
            <w:rFonts w:ascii="Times New Roman" w:hAnsi="Times New Roman" w:cs="Times New Roman"/>
            <w:sz w:val="22"/>
            <w:szCs w:val="22"/>
          </w:rPr>
          <w:t>stavros.stavroglou@monash.edu</w:t>
        </w:r>
      </w:hyperlink>
      <w:r w:rsidR="00827AB2">
        <w:rPr>
          <w:rFonts w:ascii="Times New Roman" w:hAnsi="Times New Roman" w:cs="Times New Roman"/>
          <w:sz w:val="22"/>
          <w:szCs w:val="22"/>
        </w:rPr>
        <w:t xml:space="preserve"> </w:t>
      </w:r>
      <w:r w:rsidR="008E5C08">
        <w:rPr>
          <w:rFonts w:ascii="Times New Roman" w:hAnsi="Times New Roman" w:cs="Times New Roman"/>
          <w:sz w:val="22"/>
          <w:szCs w:val="22"/>
        </w:rPr>
        <w:t xml:space="preserve">and </w:t>
      </w:r>
      <w:hyperlink r:id="rId9" w:history="1">
        <w:r w:rsidR="008E5C08" w:rsidRPr="00DE667B">
          <w:rPr>
            <w:rStyle w:val="Hyperlink"/>
            <w:rFonts w:ascii="Times New Roman" w:hAnsi="Times New Roman" w:cs="Times New Roman"/>
            <w:sz w:val="22"/>
            <w:szCs w:val="22"/>
          </w:rPr>
          <w:t>Athanasios.Pantelous@monash.edu</w:t>
        </w:r>
      </w:hyperlink>
      <w:r w:rsidR="008E5C08">
        <w:rPr>
          <w:rFonts w:ascii="Times New Roman" w:hAnsi="Times New Roman" w:cs="Times New Roman"/>
          <w:sz w:val="22"/>
          <w:szCs w:val="22"/>
        </w:rPr>
        <w:t xml:space="preserve"> </w:t>
      </w:r>
    </w:p>
    <w:p w14:paraId="6FD34064" w14:textId="65E05DC7" w:rsidR="00820AEB" w:rsidRPr="00CF0F4B" w:rsidRDefault="00E974A9" w:rsidP="007143BC">
      <w:pPr>
        <w:pStyle w:val="Title"/>
        <w:spacing w:before="120" w:after="120" w:line="360" w:lineRule="auto"/>
        <w:rPr>
          <w:rFonts w:ascii="Times New Roman" w:hAnsi="Times New Roman" w:cs="Times New Roman"/>
          <w:sz w:val="22"/>
          <w:szCs w:val="22"/>
        </w:rPr>
      </w:pPr>
      <w:r w:rsidRPr="00CF0F4B">
        <w:rPr>
          <w:rFonts w:ascii="Times New Roman" w:hAnsi="Times New Roman" w:cs="Times New Roman"/>
          <w:sz w:val="22"/>
          <w:szCs w:val="22"/>
          <w:vertAlign w:val="superscript"/>
        </w:rPr>
        <w:t>2</w:t>
      </w:r>
      <w:r w:rsidR="007143BC" w:rsidRPr="00CF0F4B">
        <w:rPr>
          <w:rFonts w:ascii="Times New Roman" w:hAnsi="Times New Roman" w:cs="Times New Roman"/>
          <w:sz w:val="22"/>
          <w:szCs w:val="22"/>
        </w:rPr>
        <w:t>Center for Technology and Systems Management, University of Maryland, College Park, MD 20742, USA.</w:t>
      </w:r>
      <w:r w:rsidR="00827AB2">
        <w:rPr>
          <w:rFonts w:ascii="Times New Roman" w:hAnsi="Times New Roman" w:cs="Times New Roman"/>
          <w:sz w:val="22"/>
          <w:szCs w:val="22"/>
        </w:rPr>
        <w:t xml:space="preserve"> </w:t>
      </w:r>
      <w:hyperlink r:id="rId10" w:history="1">
        <w:r w:rsidR="00827AB2" w:rsidRPr="00DE667B">
          <w:rPr>
            <w:rStyle w:val="Hyperlink"/>
            <w:rFonts w:ascii="Times New Roman" w:hAnsi="Times New Roman" w:cs="Times New Roman"/>
            <w:sz w:val="22"/>
            <w:szCs w:val="22"/>
          </w:rPr>
          <w:t>ba@umd.edu</w:t>
        </w:r>
      </w:hyperlink>
      <w:r w:rsidR="00827AB2">
        <w:rPr>
          <w:rFonts w:ascii="Times New Roman" w:hAnsi="Times New Roman" w:cs="Times New Roman"/>
          <w:sz w:val="22"/>
          <w:szCs w:val="22"/>
        </w:rPr>
        <w:t xml:space="preserve"> </w:t>
      </w:r>
    </w:p>
    <w:p w14:paraId="6C66FF2B" w14:textId="7AADC473" w:rsidR="00820AEB" w:rsidRPr="00CF0F4B" w:rsidRDefault="00820AEB" w:rsidP="00322A12">
      <w:pPr>
        <w:pStyle w:val="Title"/>
        <w:spacing w:before="120" w:after="120" w:line="360" w:lineRule="auto"/>
        <w:rPr>
          <w:rFonts w:ascii="Times New Roman" w:hAnsi="Times New Roman" w:cs="Times New Roman"/>
          <w:sz w:val="22"/>
          <w:szCs w:val="22"/>
        </w:rPr>
      </w:pPr>
      <w:r w:rsidRPr="00CF0F4B">
        <w:rPr>
          <w:rFonts w:ascii="Times New Roman" w:hAnsi="Times New Roman" w:cs="Times New Roman"/>
          <w:sz w:val="22"/>
          <w:szCs w:val="22"/>
          <w:vertAlign w:val="superscript"/>
        </w:rPr>
        <w:t>3</w:t>
      </w:r>
      <w:r w:rsidR="00810BDB" w:rsidRPr="00CF0F4B">
        <w:rPr>
          <w:rFonts w:ascii="Times New Roman" w:hAnsi="Times New Roman" w:cs="Times New Roman"/>
          <w:sz w:val="22"/>
          <w:szCs w:val="22"/>
        </w:rPr>
        <w:t>University of Liverpool Management School, Chatham Building, Chatha</w:t>
      </w:r>
      <w:r w:rsidRPr="00CF0F4B">
        <w:rPr>
          <w:rFonts w:ascii="Times New Roman" w:hAnsi="Times New Roman" w:cs="Times New Roman"/>
          <w:sz w:val="22"/>
          <w:szCs w:val="22"/>
        </w:rPr>
        <w:t>m Street, Liverpool L69 7ZH, UK</w:t>
      </w:r>
      <w:r w:rsidR="007143BC" w:rsidRPr="00CF0F4B">
        <w:rPr>
          <w:rFonts w:ascii="Times New Roman" w:hAnsi="Times New Roman" w:cs="Times New Roman"/>
          <w:sz w:val="22"/>
          <w:szCs w:val="22"/>
        </w:rPr>
        <w:t>.</w:t>
      </w:r>
      <w:r w:rsidR="00827AB2">
        <w:rPr>
          <w:rFonts w:ascii="Times New Roman" w:hAnsi="Times New Roman" w:cs="Times New Roman"/>
          <w:sz w:val="22"/>
          <w:szCs w:val="22"/>
        </w:rPr>
        <w:t xml:space="preserve"> </w:t>
      </w:r>
      <w:hyperlink r:id="rId11" w:history="1">
        <w:r w:rsidR="00827AB2" w:rsidRPr="00DE667B">
          <w:rPr>
            <w:rStyle w:val="Hyperlink"/>
            <w:rFonts w:ascii="Times New Roman" w:hAnsi="Times New Roman" w:cs="Times New Roman"/>
            <w:sz w:val="22"/>
            <w:szCs w:val="22"/>
          </w:rPr>
          <w:t>V.Kallinterakis@liverpool.ac.uk</w:t>
        </w:r>
      </w:hyperlink>
      <w:r w:rsidR="00827AB2">
        <w:rPr>
          <w:rFonts w:ascii="Times New Roman" w:hAnsi="Times New Roman" w:cs="Times New Roman"/>
          <w:sz w:val="22"/>
          <w:szCs w:val="22"/>
        </w:rPr>
        <w:t xml:space="preserve"> </w:t>
      </w:r>
    </w:p>
    <w:p w14:paraId="152D9677" w14:textId="2CD8D827" w:rsidR="00322A12" w:rsidRPr="00CF0F4B" w:rsidRDefault="007143BC" w:rsidP="00322A12">
      <w:pPr>
        <w:pStyle w:val="Title"/>
        <w:spacing w:before="120" w:after="120" w:line="360" w:lineRule="auto"/>
        <w:rPr>
          <w:rFonts w:ascii="Times New Roman" w:hAnsi="Times New Roman" w:cs="Times New Roman"/>
          <w:sz w:val="22"/>
          <w:szCs w:val="22"/>
        </w:rPr>
      </w:pPr>
      <w:r w:rsidRPr="00CF0F4B">
        <w:rPr>
          <w:rFonts w:ascii="Times New Roman" w:hAnsi="Times New Roman" w:cs="Times New Roman"/>
          <w:sz w:val="22"/>
          <w:szCs w:val="22"/>
          <w:vertAlign w:val="superscript"/>
        </w:rPr>
        <w:t>4</w:t>
      </w:r>
      <w:r w:rsidR="008E5C08" w:rsidRPr="008E5C08">
        <w:rPr>
          <w:rFonts w:ascii="Times New Roman" w:hAnsi="Times New Roman" w:cs="Times New Roman"/>
          <w:sz w:val="22"/>
          <w:szCs w:val="22"/>
        </w:rPr>
        <w:t xml:space="preserve"> </w:t>
      </w:r>
      <w:r w:rsidR="008E5C08" w:rsidRPr="00CF0F4B">
        <w:rPr>
          <w:rFonts w:ascii="Times New Roman" w:hAnsi="Times New Roman" w:cs="Times New Roman"/>
          <w:sz w:val="22"/>
          <w:szCs w:val="22"/>
        </w:rPr>
        <w:t>Department of Physics</w:t>
      </w:r>
      <w:r w:rsidR="008E5C08">
        <w:rPr>
          <w:rFonts w:ascii="Times New Roman" w:hAnsi="Times New Roman" w:cs="Times New Roman"/>
          <w:sz w:val="22"/>
          <w:szCs w:val="22"/>
        </w:rPr>
        <w:t xml:space="preserve"> and </w:t>
      </w:r>
      <w:r w:rsidR="008C081F" w:rsidRPr="00CF0F4B">
        <w:rPr>
          <w:rFonts w:ascii="Times New Roman" w:hAnsi="Times New Roman" w:cs="Times New Roman"/>
          <w:sz w:val="22"/>
          <w:szCs w:val="22"/>
        </w:rPr>
        <w:t>Center for Polymer</w:t>
      </w:r>
      <w:r w:rsidR="00322A12" w:rsidRPr="00CF0F4B">
        <w:rPr>
          <w:rFonts w:ascii="Times New Roman" w:hAnsi="Times New Roman" w:cs="Times New Roman"/>
          <w:sz w:val="22"/>
          <w:szCs w:val="22"/>
        </w:rPr>
        <w:t xml:space="preserve"> Studies</w:t>
      </w:r>
      <w:r w:rsidR="008E5C08">
        <w:rPr>
          <w:rFonts w:ascii="Times New Roman" w:hAnsi="Times New Roman" w:cs="Times New Roman"/>
          <w:sz w:val="22"/>
          <w:szCs w:val="22"/>
        </w:rPr>
        <w:t xml:space="preserve">, </w:t>
      </w:r>
      <w:r w:rsidR="00322A12" w:rsidRPr="00CF0F4B">
        <w:rPr>
          <w:rFonts w:ascii="Times New Roman" w:hAnsi="Times New Roman" w:cs="Times New Roman"/>
          <w:sz w:val="22"/>
          <w:szCs w:val="22"/>
        </w:rPr>
        <w:t xml:space="preserve">Boston University, Boston, MA 02215, USA. </w:t>
      </w:r>
      <w:hyperlink r:id="rId12" w:history="1">
        <w:r w:rsidR="008E5C08" w:rsidRPr="00DE667B">
          <w:rPr>
            <w:rStyle w:val="Hyperlink"/>
            <w:rFonts w:ascii="Times New Roman" w:hAnsi="Times New Roman" w:cs="Times New Roman"/>
            <w:sz w:val="22"/>
            <w:szCs w:val="22"/>
          </w:rPr>
          <w:t>hes@bu.edu</w:t>
        </w:r>
      </w:hyperlink>
      <w:r w:rsidR="008E5C08">
        <w:rPr>
          <w:rFonts w:ascii="Times New Roman" w:hAnsi="Times New Roman" w:cs="Times New Roman"/>
          <w:sz w:val="22"/>
          <w:szCs w:val="22"/>
        </w:rPr>
        <w:t xml:space="preserve"> </w:t>
      </w:r>
    </w:p>
    <w:p w14:paraId="5EC1560D" w14:textId="09138325" w:rsidR="00322A12" w:rsidRPr="00CF0F4B" w:rsidRDefault="00322A12" w:rsidP="00322A12">
      <w:pPr>
        <w:pStyle w:val="Title"/>
        <w:spacing w:before="120" w:after="120" w:line="360" w:lineRule="auto"/>
        <w:rPr>
          <w:rFonts w:ascii="Times New Roman" w:hAnsi="Times New Roman" w:cs="Times New Roman"/>
          <w:sz w:val="22"/>
          <w:szCs w:val="22"/>
        </w:rPr>
      </w:pPr>
      <w:r w:rsidRPr="00CF0F4B">
        <w:rPr>
          <w:rFonts w:ascii="Times New Roman" w:hAnsi="Times New Roman" w:cs="Times New Roman"/>
          <w:sz w:val="22"/>
          <w:szCs w:val="22"/>
        </w:rPr>
        <w:t>*corresponding author</w:t>
      </w:r>
    </w:p>
    <w:p w14:paraId="4BC40D3B" w14:textId="77777777" w:rsidR="00B5624C" w:rsidRDefault="00B5624C">
      <w:pPr>
        <w:spacing w:after="160" w:line="259" w:lineRule="auto"/>
        <w:rPr>
          <w:b/>
          <w:bCs/>
        </w:rPr>
      </w:pPr>
    </w:p>
    <w:p w14:paraId="66092A1D" w14:textId="77777777" w:rsidR="007143BC" w:rsidRDefault="007143BC" w:rsidP="00772E6C">
      <w:pPr>
        <w:spacing w:after="160" w:line="259" w:lineRule="auto"/>
        <w:outlineLvl w:val="0"/>
        <w:rPr>
          <w:b/>
          <w:bCs/>
        </w:rPr>
      </w:pPr>
      <w:r>
        <w:rPr>
          <w:b/>
          <w:bCs/>
        </w:rPr>
        <w:t>Abstract</w:t>
      </w:r>
    </w:p>
    <w:p w14:paraId="07159DED" w14:textId="49CA1C39" w:rsidR="00770C2F" w:rsidRDefault="005E555B" w:rsidP="008E5EF0">
      <w:pPr>
        <w:spacing w:after="160" w:line="259" w:lineRule="auto"/>
        <w:jc w:val="both"/>
      </w:pPr>
      <w:r>
        <w:t>E</w:t>
      </w:r>
      <w:r w:rsidR="00965946">
        <w:t xml:space="preserve">ither in the form of </w:t>
      </w:r>
      <w:r w:rsidR="008C6BA5">
        <w:t xml:space="preserve">nature’s wrath or </w:t>
      </w:r>
      <w:r w:rsidR="008E5EF0">
        <w:t>a pandemic</w:t>
      </w:r>
      <w:r w:rsidR="00614A92">
        <w:t xml:space="preserve">, </w:t>
      </w:r>
      <w:r>
        <w:t>catastrophes</w:t>
      </w:r>
      <w:r w:rsidR="006E4A52">
        <w:t xml:space="preserve"> cause </w:t>
      </w:r>
      <w:r w:rsidR="00C84415">
        <w:t>major destructions</w:t>
      </w:r>
      <w:r w:rsidR="003924CA">
        <w:t xml:space="preserve"> in societies</w:t>
      </w:r>
      <w:r w:rsidR="006A015A">
        <w:t>, thus</w:t>
      </w:r>
      <w:r w:rsidR="00C84415">
        <w:t xml:space="preserve"> requir</w:t>
      </w:r>
      <w:r w:rsidR="006A015A">
        <w:t>ing</w:t>
      </w:r>
      <w:r>
        <w:t xml:space="preserve"> p</w:t>
      </w:r>
      <w:r w:rsidR="008E5EF0">
        <w:t>olicy</w:t>
      </w:r>
      <w:r w:rsidR="00A72D72">
        <w:t xml:space="preserve"> and </w:t>
      </w:r>
      <w:r w:rsidR="006C4912">
        <w:t>de</w:t>
      </w:r>
      <w:r w:rsidR="00BF6709">
        <w:t>cision makers to</w:t>
      </w:r>
      <w:r w:rsidR="0011264E">
        <w:t xml:space="preserve"> take </w:t>
      </w:r>
      <w:r w:rsidR="00514F2D">
        <w:t>urgent</w:t>
      </w:r>
      <w:r w:rsidR="00C84415">
        <w:t xml:space="preserve"> action </w:t>
      </w:r>
      <w:r w:rsidR="0090360A">
        <w:t xml:space="preserve">by </w:t>
      </w:r>
      <w:r w:rsidR="00C84415">
        <w:t>evaluating</w:t>
      </w:r>
      <w:r w:rsidR="00BF6709">
        <w:t xml:space="preserve"> </w:t>
      </w:r>
      <w:r w:rsidR="00C84415">
        <w:t xml:space="preserve">a </w:t>
      </w:r>
      <w:r w:rsidR="000044D8">
        <w:t>host</w:t>
      </w:r>
      <w:r w:rsidR="00C84415">
        <w:t xml:space="preserve"> of interdependen</w:t>
      </w:r>
      <w:r w:rsidR="00520817">
        <w:t xml:space="preserve">t </w:t>
      </w:r>
      <w:r w:rsidR="003924CA">
        <w:t>parameters, and possible scenarios</w:t>
      </w:r>
      <w:r w:rsidR="00331720">
        <w:t>.</w:t>
      </w:r>
      <w:r w:rsidR="00BF6709">
        <w:t xml:space="preserve"> </w:t>
      </w:r>
      <w:r>
        <w:t xml:space="preserve">The </w:t>
      </w:r>
      <w:r w:rsidR="0090360A">
        <w:t xml:space="preserve">primary </w:t>
      </w:r>
      <w:r>
        <w:t xml:space="preserve">purpose of this paper is to </w:t>
      </w:r>
      <w:r w:rsidR="006A015A">
        <w:t xml:space="preserve">propose </w:t>
      </w:r>
      <w:r>
        <w:t>a novel risk-based</w:t>
      </w:r>
      <w:r w:rsidR="006A015A">
        <w:t>,</w:t>
      </w:r>
      <w:r>
        <w:t xml:space="preserve"> decision-making methodology</w:t>
      </w:r>
      <w:r w:rsidR="00C84415">
        <w:t xml:space="preserve"> </w:t>
      </w:r>
      <w:r w:rsidR="006A015A">
        <w:t xml:space="preserve">capable of </w:t>
      </w:r>
      <w:r w:rsidR="00C84415" w:rsidRPr="009513BC">
        <w:t>unveil</w:t>
      </w:r>
      <w:r w:rsidR="006A015A">
        <w:t>ing</w:t>
      </w:r>
      <w:r w:rsidR="00C84415" w:rsidRPr="009513BC">
        <w:t xml:space="preserve"> causal relationships between pairs of variables</w:t>
      </w:r>
      <w:r w:rsidR="00C84415">
        <w:t xml:space="preserve">. </w:t>
      </w:r>
      <w:r w:rsidR="006A015A">
        <w:t>M</w:t>
      </w:r>
      <w:r w:rsidR="00520065">
        <w:t xml:space="preserve">otivated by the </w:t>
      </w:r>
      <w:r w:rsidR="006A015A">
        <w:t xml:space="preserve">ongoing global </w:t>
      </w:r>
      <w:r w:rsidR="00520065">
        <w:t xml:space="preserve">emergency of the coronavirus pandemic, </w:t>
      </w:r>
      <w:r w:rsidR="00A106AE">
        <w:t xml:space="preserve">the paper </w:t>
      </w:r>
      <w:r w:rsidR="00C84415">
        <w:t>elaborate</w:t>
      </w:r>
      <w:r w:rsidR="00A106AE">
        <w:t>s</w:t>
      </w:r>
      <w:r w:rsidR="00C84415">
        <w:t xml:space="preserve"> </w:t>
      </w:r>
      <w:r w:rsidR="006A015A">
        <w:t xml:space="preserve">on </w:t>
      </w:r>
      <w:r w:rsidR="00C84415">
        <w:t>this powerful</w:t>
      </w:r>
      <w:r w:rsidR="007D4374">
        <w:t xml:space="preserve"> quantitative framework</w:t>
      </w:r>
      <w:r w:rsidR="00514F2D">
        <w:t xml:space="preserve"> </w:t>
      </w:r>
      <w:r w:rsidR="006A015A">
        <w:t>drawing on</w:t>
      </w:r>
      <w:r w:rsidR="00514F2D">
        <w:t xml:space="preserve"> data</w:t>
      </w:r>
      <w:r w:rsidR="00287C81">
        <w:t xml:space="preserve"> </w:t>
      </w:r>
      <w:r w:rsidR="00514F2D">
        <w:t xml:space="preserve">from the </w:t>
      </w:r>
      <w:r w:rsidR="006A015A">
        <w:t>US</w:t>
      </w:r>
      <w:r w:rsidR="007D4374">
        <w:t xml:space="preserve"> </w:t>
      </w:r>
      <w:r w:rsidR="00A106AE">
        <w:t xml:space="preserve">at the county level </w:t>
      </w:r>
      <w:r w:rsidR="006A015A">
        <w:t>aiming at assisting</w:t>
      </w:r>
      <w:r w:rsidR="00FD20AB">
        <w:t xml:space="preserve"> </w:t>
      </w:r>
      <w:r w:rsidR="00514F2D">
        <w:t>policy and decision makers</w:t>
      </w:r>
      <w:r w:rsidR="00FD20AB">
        <w:t xml:space="preserve"> in taking </w:t>
      </w:r>
      <w:r w:rsidR="006A015A">
        <w:t xml:space="preserve">timely </w:t>
      </w:r>
      <w:r w:rsidR="00514F2D">
        <w:t>action</w:t>
      </w:r>
      <w:r w:rsidR="006A015A">
        <w:t xml:space="preserve"> amid this emergency</w:t>
      </w:r>
      <w:r w:rsidR="00FD20AB">
        <w:t xml:space="preserve">. </w:t>
      </w:r>
      <w:r w:rsidR="00A106AE">
        <w:t xml:space="preserve">This </w:t>
      </w:r>
      <w:r w:rsidR="0071194F">
        <w:t xml:space="preserve">methodology </w:t>
      </w:r>
      <w:r w:rsidR="00A106AE">
        <w:t xml:space="preserve">offers a basis for </w:t>
      </w:r>
      <w:r w:rsidR="006A015A">
        <w:t>identify</w:t>
      </w:r>
      <w:r w:rsidR="00A106AE">
        <w:t>ing</w:t>
      </w:r>
      <w:r w:rsidR="006A015A">
        <w:t xml:space="preserve"> </w:t>
      </w:r>
      <w:r w:rsidR="00CA4206">
        <w:t xml:space="preserve">potential </w:t>
      </w:r>
      <w:r w:rsidR="004D14DD">
        <w:t xml:space="preserve">scenarios and consequences </w:t>
      </w:r>
      <w:r w:rsidR="006A015A">
        <w:t xml:space="preserve">of </w:t>
      </w:r>
      <w:r w:rsidR="00CC3DE8">
        <w:t>the</w:t>
      </w:r>
      <w:r w:rsidR="00A106AE">
        <w:t xml:space="preserve"> ongoing</w:t>
      </w:r>
      <w:r w:rsidR="00CC3DE8">
        <w:t xml:space="preserve"> </w:t>
      </w:r>
      <w:r w:rsidR="00A106AE">
        <w:t>20</w:t>
      </w:r>
      <w:r w:rsidR="00181ADF">
        <w:t>20</w:t>
      </w:r>
      <w:r w:rsidR="00A106AE">
        <w:t xml:space="preserve"> </w:t>
      </w:r>
      <w:r w:rsidR="00CC3DE8">
        <w:t>pandemic</w:t>
      </w:r>
      <w:r w:rsidR="00A106AE">
        <w:t xml:space="preserve"> by</w:t>
      </w:r>
      <w:r w:rsidR="00CA4206">
        <w:t xml:space="preserve"> drawing on</w:t>
      </w:r>
      <w:r w:rsidR="00CC3DE8">
        <w:t xml:space="preserve"> weather variables</w:t>
      </w:r>
      <w:r w:rsidR="00A106AE">
        <w:t xml:space="preserve"> to </w:t>
      </w:r>
      <w:r w:rsidR="00CC3DE8">
        <w:t>examine the causal impact of</w:t>
      </w:r>
      <w:r w:rsidR="00A106AE">
        <w:t xml:space="preserve"> changing </w:t>
      </w:r>
      <w:r w:rsidR="0036027F">
        <w:t>weather</w:t>
      </w:r>
      <w:r w:rsidR="00CC3DE8">
        <w:t xml:space="preserve"> on the </w:t>
      </w:r>
      <w:r w:rsidR="00502BA9">
        <w:t>trend of daily coronavirus cases.</w:t>
      </w:r>
    </w:p>
    <w:p w14:paraId="00E0FDC0" w14:textId="77777777" w:rsidR="00A32147" w:rsidRDefault="00A32147">
      <w:pPr>
        <w:spacing w:after="160" w:line="259" w:lineRule="auto"/>
        <w:rPr>
          <w:b/>
          <w:bCs/>
        </w:rPr>
      </w:pPr>
    </w:p>
    <w:p w14:paraId="1F4C7735" w14:textId="77777777" w:rsidR="00EA2E5B" w:rsidRDefault="000C7D6B" w:rsidP="00772E6C">
      <w:pPr>
        <w:spacing w:after="160" w:line="259" w:lineRule="auto"/>
        <w:outlineLvl w:val="0"/>
      </w:pPr>
      <w:r>
        <w:rPr>
          <w:b/>
          <w:bCs/>
          <w:lang w:val="en-GB"/>
        </w:rPr>
        <w:t xml:space="preserve">KEY WORDS: </w:t>
      </w:r>
      <w:r w:rsidR="002A7478" w:rsidRPr="000C7D6B">
        <w:t>Decision Making</w:t>
      </w:r>
      <w:r w:rsidRPr="000C7D6B">
        <w:t>;</w:t>
      </w:r>
      <w:r w:rsidR="0051613D" w:rsidRPr="000C7D6B">
        <w:t xml:space="preserve"> Risk Quadruplet</w:t>
      </w:r>
      <w:r w:rsidRPr="000C7D6B">
        <w:t>;</w:t>
      </w:r>
      <w:r w:rsidR="002A7478" w:rsidRPr="000C7D6B">
        <w:t xml:space="preserve"> </w:t>
      </w:r>
      <w:r w:rsidR="00303AB7" w:rsidRPr="000C7D6B">
        <w:t>Quantitative</w:t>
      </w:r>
      <w:r w:rsidR="002A7478" w:rsidRPr="000C7D6B">
        <w:t xml:space="preserve"> Analysis</w:t>
      </w:r>
      <w:r w:rsidRPr="000C7D6B">
        <w:t>;</w:t>
      </w:r>
      <w:r w:rsidR="002A7478" w:rsidRPr="000C7D6B">
        <w:t xml:space="preserve"> Causality</w:t>
      </w:r>
      <w:r w:rsidRPr="000C7D6B">
        <w:t>;</w:t>
      </w:r>
      <w:r w:rsidR="002978E3" w:rsidRPr="000C7D6B">
        <w:t xml:space="preserve"> Coronavirus</w:t>
      </w:r>
      <w:r w:rsidRPr="000C7D6B">
        <w:t>;</w:t>
      </w:r>
      <w:r w:rsidR="00D96DD1" w:rsidRPr="000C7D6B">
        <w:t xml:space="preserve"> </w:t>
      </w:r>
      <w:r w:rsidR="0051613D" w:rsidRPr="000C7D6B">
        <w:t>US county-level data</w:t>
      </w:r>
    </w:p>
    <w:p w14:paraId="55DE6CD3" w14:textId="77777777" w:rsidR="00EA2E5B" w:rsidRDefault="00EA2E5B" w:rsidP="00772E6C">
      <w:pPr>
        <w:spacing w:after="160" w:line="259" w:lineRule="auto"/>
        <w:outlineLvl w:val="0"/>
      </w:pPr>
    </w:p>
    <w:p w14:paraId="440B98E6" w14:textId="0C33E664" w:rsidR="00EA2E5B" w:rsidRDefault="00EA2E5B" w:rsidP="00772E6C">
      <w:pPr>
        <w:spacing w:after="160" w:line="259" w:lineRule="auto"/>
        <w:outlineLvl w:val="0"/>
        <w:rPr>
          <w:color w:val="222222"/>
          <w:shd w:val="clear" w:color="auto" w:fill="FFFFFF"/>
        </w:rPr>
      </w:pPr>
      <w:r w:rsidRPr="00EA2E5B">
        <w:rPr>
          <w:color w:val="222222"/>
          <w:shd w:val="clear" w:color="auto" w:fill="FFFFFF"/>
        </w:rPr>
        <w:t>200-character summary:</w:t>
      </w:r>
    </w:p>
    <w:p w14:paraId="0886EB5C" w14:textId="07133148" w:rsidR="000440BD" w:rsidRDefault="005A6EAB" w:rsidP="005A6EAB">
      <w:pPr>
        <w:spacing w:after="160" w:line="259" w:lineRule="auto"/>
        <w:jc w:val="both"/>
        <w:outlineLvl w:val="0"/>
        <w:rPr>
          <w:color w:val="222222"/>
          <w:shd w:val="clear" w:color="auto" w:fill="FFFFFF"/>
        </w:rPr>
      </w:pPr>
      <w:r w:rsidRPr="005A6EAB">
        <w:rPr>
          <w:color w:val="222222"/>
          <w:shd w:val="clear" w:color="auto" w:fill="FFFFFF"/>
        </w:rPr>
        <w:t>Events, like the outbreak of a local epidemic can rapidly evolve into a looming global pandemic. Unveiling causal interactions, a novel causal risk-based decision-making framework is developed.</w:t>
      </w:r>
    </w:p>
    <w:p w14:paraId="03CC41EE" w14:textId="4E09FCA9" w:rsidR="000440BD" w:rsidRDefault="000440BD" w:rsidP="00772E6C">
      <w:pPr>
        <w:spacing w:after="160" w:line="259" w:lineRule="auto"/>
        <w:outlineLvl w:val="0"/>
        <w:rPr>
          <w:color w:val="222222"/>
          <w:shd w:val="clear" w:color="auto" w:fill="FFFFFF"/>
        </w:rPr>
      </w:pPr>
    </w:p>
    <w:p w14:paraId="702EB7E2" w14:textId="4B5146CC" w:rsidR="000440BD" w:rsidRDefault="000440BD" w:rsidP="00772E6C">
      <w:pPr>
        <w:spacing w:after="160" w:line="259" w:lineRule="auto"/>
        <w:outlineLvl w:val="0"/>
        <w:rPr>
          <w:color w:val="222222"/>
          <w:shd w:val="clear" w:color="auto" w:fill="FFFFFF"/>
        </w:rPr>
      </w:pPr>
    </w:p>
    <w:p w14:paraId="0815D6F4" w14:textId="06563FC5" w:rsidR="000440BD" w:rsidRDefault="000440BD" w:rsidP="00772E6C">
      <w:pPr>
        <w:spacing w:after="160" w:line="259" w:lineRule="auto"/>
        <w:outlineLvl w:val="0"/>
        <w:rPr>
          <w:color w:val="222222"/>
          <w:shd w:val="clear" w:color="auto" w:fill="FFFFFF"/>
        </w:rPr>
      </w:pPr>
    </w:p>
    <w:p w14:paraId="35D92D47" w14:textId="77777777" w:rsidR="005A6EAB" w:rsidRPr="00EA2E5B" w:rsidRDefault="005A6EAB" w:rsidP="00772E6C">
      <w:pPr>
        <w:spacing w:after="160" w:line="259" w:lineRule="auto"/>
        <w:outlineLvl w:val="0"/>
        <w:rPr>
          <w:color w:val="222222"/>
          <w:shd w:val="clear" w:color="auto" w:fill="FFFFFF"/>
        </w:rPr>
      </w:pPr>
    </w:p>
    <w:p w14:paraId="52CEA9AE" w14:textId="6E5CE4C0" w:rsidR="00B13B7C" w:rsidRPr="009513BC" w:rsidRDefault="00B13B7C" w:rsidP="00B13B7C">
      <w:pPr>
        <w:pStyle w:val="ListParagraph"/>
        <w:numPr>
          <w:ilvl w:val="0"/>
          <w:numId w:val="1"/>
        </w:numPr>
        <w:spacing w:before="120" w:after="120" w:line="360" w:lineRule="auto"/>
        <w:jc w:val="both"/>
        <w:rPr>
          <w:rFonts w:ascii="Times New Roman" w:hAnsi="Times New Roman" w:cs="Times New Roman"/>
          <w:b/>
          <w:bCs/>
          <w:sz w:val="24"/>
          <w:szCs w:val="24"/>
        </w:rPr>
      </w:pPr>
      <w:r w:rsidRPr="009513BC">
        <w:rPr>
          <w:rFonts w:ascii="Times New Roman" w:hAnsi="Times New Roman" w:cs="Times New Roman"/>
          <w:b/>
          <w:bCs/>
          <w:sz w:val="24"/>
          <w:szCs w:val="24"/>
        </w:rPr>
        <w:lastRenderedPageBreak/>
        <w:t>Introduction</w:t>
      </w:r>
    </w:p>
    <w:p w14:paraId="6DC76728" w14:textId="23BDAF89" w:rsidR="00D123DF" w:rsidRDefault="00212BEC" w:rsidP="00212BEC">
      <w:pPr>
        <w:widowControl w:val="0"/>
        <w:autoSpaceDE w:val="0"/>
        <w:autoSpaceDN w:val="0"/>
        <w:adjustRightInd w:val="0"/>
        <w:spacing w:before="120" w:after="120" w:line="360" w:lineRule="auto"/>
        <w:jc w:val="both"/>
        <w:rPr>
          <w:color w:val="000000"/>
        </w:rPr>
      </w:pPr>
      <w:r w:rsidRPr="00212BEC">
        <w:rPr>
          <w:color w:val="000000"/>
        </w:rPr>
        <w:t xml:space="preserve">Decision-making and risk analysis addresses a host of diverse real-world problems </w:t>
      </w:r>
      <w:r>
        <w:rPr>
          <w:color w:val="000000"/>
        </w:rPr>
        <w:t xml:space="preserve"> </w:t>
      </w:r>
      <w:r w:rsidRPr="00212BEC">
        <w:rPr>
          <w:color w:val="000000"/>
        </w:rPr>
        <w:t>(Howard, 1988),</w:t>
      </w:r>
      <w:r>
        <w:rPr>
          <w:color w:val="000000"/>
        </w:rPr>
        <w:t xml:space="preserve"> </w:t>
      </w:r>
      <w:r w:rsidRPr="00212BEC">
        <w:rPr>
          <w:color w:val="000000"/>
        </w:rPr>
        <w:t>(McGill,</w:t>
      </w:r>
      <w:r w:rsidR="005E7BFD">
        <w:rPr>
          <w:color w:val="000000"/>
        </w:rPr>
        <w:t xml:space="preserve"> Ayyub </w:t>
      </w:r>
      <w:r w:rsidR="007A33B9">
        <w:rPr>
          <w:color w:val="000000"/>
        </w:rPr>
        <w:t>&amp;</w:t>
      </w:r>
      <w:r w:rsidR="005E7BFD">
        <w:rPr>
          <w:color w:val="000000"/>
        </w:rPr>
        <w:t xml:space="preserve"> </w:t>
      </w:r>
      <w:proofErr w:type="spellStart"/>
      <w:r w:rsidR="005E7BFD">
        <w:rPr>
          <w:color w:val="000000"/>
        </w:rPr>
        <w:t>Kaminskiy</w:t>
      </w:r>
      <w:proofErr w:type="spellEnd"/>
      <w:r w:rsidR="005E7BFD">
        <w:rPr>
          <w:color w:val="000000"/>
        </w:rPr>
        <w:t>,</w:t>
      </w:r>
      <w:r w:rsidRPr="00212BEC">
        <w:rPr>
          <w:color w:val="000000"/>
        </w:rPr>
        <w:t xml:space="preserve"> 2007),</w:t>
      </w:r>
      <w:r>
        <w:rPr>
          <w:color w:val="000000"/>
        </w:rPr>
        <w:t xml:space="preserve"> </w:t>
      </w:r>
      <w:r w:rsidRPr="00212BEC">
        <w:rPr>
          <w:color w:val="000000"/>
        </w:rPr>
        <w:t>(</w:t>
      </w:r>
      <w:proofErr w:type="spellStart"/>
      <w:r w:rsidRPr="00212BEC">
        <w:rPr>
          <w:color w:val="000000"/>
        </w:rPr>
        <w:t>Paté</w:t>
      </w:r>
      <w:proofErr w:type="spellEnd"/>
      <w:r w:rsidRPr="00212BEC">
        <w:rPr>
          <w:color w:val="000000"/>
        </w:rPr>
        <w:t>-Cornell, 2012)</w:t>
      </w:r>
      <w:r w:rsidR="00FF02E8">
        <w:rPr>
          <w:color w:val="000000"/>
        </w:rPr>
        <w:t xml:space="preserve">, </w:t>
      </w:r>
      <w:r w:rsidRPr="00212BEC">
        <w:rPr>
          <w:color w:val="000000"/>
        </w:rPr>
        <w:t>(</w:t>
      </w:r>
      <w:proofErr w:type="spellStart"/>
      <w:r w:rsidRPr="00212BEC">
        <w:rPr>
          <w:color w:val="000000"/>
        </w:rPr>
        <w:t>Borgonovo</w:t>
      </w:r>
      <w:proofErr w:type="spellEnd"/>
      <w:r w:rsidR="00D85111">
        <w:rPr>
          <w:color w:val="000000"/>
        </w:rPr>
        <w:t>,</w:t>
      </w:r>
      <w:r w:rsidRPr="00212BEC">
        <w:rPr>
          <w:color w:val="000000"/>
        </w:rPr>
        <w:t xml:space="preserve"> </w:t>
      </w:r>
      <w:r w:rsidR="00D85111" w:rsidRPr="00E70FE7">
        <w:rPr>
          <w:noProof/>
        </w:rPr>
        <w:t>Cappelli, Maccheroni</w:t>
      </w:r>
      <w:r w:rsidR="007A33B9">
        <w:rPr>
          <w:noProof/>
        </w:rPr>
        <w:t xml:space="preserve"> &amp;</w:t>
      </w:r>
      <w:r w:rsidR="00D85111" w:rsidRPr="00E70FE7">
        <w:rPr>
          <w:noProof/>
        </w:rPr>
        <w:t xml:space="preserve"> Marinacci</w:t>
      </w:r>
      <w:r w:rsidRPr="00212BEC">
        <w:rPr>
          <w:color w:val="000000"/>
        </w:rPr>
        <w:t>, 2018)</w:t>
      </w:r>
      <w:r w:rsidR="00FF02E8">
        <w:rPr>
          <w:color w:val="000000"/>
        </w:rPr>
        <w:t xml:space="preserve"> and (Kontosakos, Hwang, Kallinterakis </w:t>
      </w:r>
      <w:r w:rsidR="007A33B9">
        <w:rPr>
          <w:color w:val="000000"/>
        </w:rPr>
        <w:t>&amp;</w:t>
      </w:r>
      <w:r w:rsidR="00FF02E8">
        <w:rPr>
          <w:color w:val="000000"/>
        </w:rPr>
        <w:t xml:space="preserve"> Pa</w:t>
      </w:r>
      <w:r w:rsidR="00722192">
        <w:rPr>
          <w:color w:val="000000"/>
        </w:rPr>
        <w:t>n</w:t>
      </w:r>
      <w:r w:rsidR="00FF02E8">
        <w:rPr>
          <w:color w:val="000000"/>
        </w:rPr>
        <w:t>telous, 2020)</w:t>
      </w:r>
      <w:r w:rsidR="0044505E">
        <w:rPr>
          <w:color w:val="000000"/>
        </w:rPr>
        <w:t xml:space="preserve"> </w:t>
      </w:r>
      <w:r w:rsidR="000542F2">
        <w:rPr>
          <w:color w:val="000000"/>
        </w:rPr>
        <w:t xml:space="preserve">by traditionally </w:t>
      </w:r>
      <w:r w:rsidR="002C023F">
        <w:rPr>
          <w:color w:val="000000"/>
        </w:rPr>
        <w:t>draw</w:t>
      </w:r>
      <w:r w:rsidR="000542F2">
        <w:rPr>
          <w:color w:val="000000"/>
        </w:rPr>
        <w:t>ing</w:t>
      </w:r>
      <w:r w:rsidR="002C023F">
        <w:rPr>
          <w:color w:val="000000"/>
        </w:rPr>
        <w:t xml:space="preserve"> heavily on quantitative methodologies</w:t>
      </w:r>
      <w:r w:rsidR="000542F2">
        <w:rPr>
          <w:color w:val="000000"/>
        </w:rPr>
        <w:t>, which</w:t>
      </w:r>
      <w:r w:rsidR="002C023F">
        <w:rPr>
          <w:color w:val="000000"/>
        </w:rPr>
        <w:t xml:space="preserve"> rely on </w:t>
      </w:r>
      <w:r w:rsidR="00520D33">
        <w:rPr>
          <w:color w:val="000000"/>
        </w:rPr>
        <w:t xml:space="preserve">interdisciplinary </w:t>
      </w:r>
      <w:r w:rsidR="002C023F">
        <w:rPr>
          <w:color w:val="000000"/>
        </w:rPr>
        <w:t>designs</w:t>
      </w:r>
      <w:r w:rsidR="005C1DCF">
        <w:rPr>
          <w:color w:val="000000"/>
        </w:rPr>
        <w:t xml:space="preserve"> </w:t>
      </w:r>
      <w:r w:rsidR="006A015A">
        <w:rPr>
          <w:color w:val="000000"/>
        </w:rPr>
        <w:t>via</w:t>
      </w:r>
      <w:r w:rsidR="00520D33">
        <w:rPr>
          <w:color w:val="000000"/>
        </w:rPr>
        <w:t xml:space="preserve"> </w:t>
      </w:r>
      <w:r w:rsidR="001F13C3">
        <w:rPr>
          <w:color w:val="000000"/>
        </w:rPr>
        <w:t xml:space="preserve">the </w:t>
      </w:r>
      <w:r w:rsidR="00520D33">
        <w:rPr>
          <w:color w:val="000000"/>
        </w:rPr>
        <w:t>integration of several disciplines</w:t>
      </w:r>
      <w:r w:rsidR="00621AD2">
        <w:rPr>
          <w:color w:val="000000"/>
        </w:rPr>
        <w:t xml:space="preserve"> </w:t>
      </w:r>
      <w:r w:rsidR="0014662A">
        <w:rPr>
          <w:color w:val="000000"/>
        </w:rPr>
        <w:fldChar w:fldCharType="begin" w:fldLock="1"/>
      </w:r>
      <w:r w:rsidR="00386B8F">
        <w:rPr>
          <w:color w:val="000000"/>
        </w:rPr>
        <w:instrText>ADDIN CSL_CITATION {"citationItems":[{"id":"ITEM-1","itemData":{"DOI":"10.1111/j.1539-6924.2012.01798.x","ISSN":"02724332","author":[{"dropping-particle":"","family":"Aven","given":"Terje","non-dropping-particle":"","parse-names":false,"suffix":""}],"container-title":"Risk Analysis","id":"ITEM-1","issue":"10","issued":{"date-parts":[["2012","10"]]},"page":"1647-1656","title":"Foundational Issues in Risk Assessment and Risk Management","type":"article-journal","volume":"32"},"uris":["http://www.mendeley.com/documents/?uuid=0c569a82-e9fe-4787-ad86-06104395e26b"]}],"mendeley":{"formattedCitation":"(Aven, 2012)","plainTextFormattedCitation":"(Aven, 2012)","previouslyFormattedCitation":"(Aven, 2012)"},"properties":{"noteIndex":0},"schema":"https://github.com/citation-style-language/schema/raw/master/csl-citation.json"}</w:instrText>
      </w:r>
      <w:r w:rsidR="0014662A">
        <w:rPr>
          <w:color w:val="000000"/>
        </w:rPr>
        <w:fldChar w:fldCharType="separate"/>
      </w:r>
      <w:r w:rsidR="0014662A" w:rsidRPr="0014662A">
        <w:rPr>
          <w:noProof/>
          <w:color w:val="000000"/>
        </w:rPr>
        <w:t>(Aven, 2012)</w:t>
      </w:r>
      <w:r w:rsidR="0014662A">
        <w:rPr>
          <w:color w:val="000000"/>
        </w:rPr>
        <w:fldChar w:fldCharType="end"/>
      </w:r>
      <w:r w:rsidR="0044505E">
        <w:rPr>
          <w:color w:val="000000"/>
        </w:rPr>
        <w:t xml:space="preserve"> and </w:t>
      </w:r>
      <w:r w:rsidR="00386B8F">
        <w:rPr>
          <w:color w:val="000000"/>
        </w:rPr>
        <w:fldChar w:fldCharType="begin" w:fldLock="1"/>
      </w:r>
      <w:r w:rsidR="0044505E">
        <w:rPr>
          <w:color w:val="000000"/>
        </w:rPr>
        <w:instrText>ADDIN CSL_CITATION {"citationItems":[{"id":"ITEM-1","itemData":{"DOI":"10.1111/risa.12132","ISSN":"02724332","author":[{"dropping-particle":"","family":"Aven","given":"Terje","non-dropping-particle":"","parse-names":false,"suffix":""},{"dropping-particle":"","family":"Zio","given":"Enrico","non-dropping-particle":"","parse-names":false,"suffix":""}],"container-title":"Risk Analysis","id":"ITEM-1","issue":"7","issued":{"date-parts":[["2014","7"]]},"page":"1164-1172","title":"Foundational Issues in Risk Assessment and Risk Management","type":"article-journal","volume":"34"},"uris":["http://www.mendeley.com/documents/?uuid=c74da046-4d2b-43a3-9fc6-a3ad41ac341c"]}],"mendeley":{"formattedCitation":"(Aven &amp; Zio, 2014)","plainTextFormattedCitation":"(Aven &amp; Zio, 2014)","previouslyFormattedCitation":"(Aven &amp; Zio, 2014)"},"properties":{"noteIndex":0},"schema":"https://github.com/citation-style-language/schema/raw/master/csl-citation.json"}</w:instrText>
      </w:r>
      <w:r w:rsidR="00386B8F">
        <w:rPr>
          <w:color w:val="000000"/>
        </w:rPr>
        <w:fldChar w:fldCharType="separate"/>
      </w:r>
      <w:r w:rsidR="00386B8F" w:rsidRPr="00386B8F">
        <w:rPr>
          <w:noProof/>
          <w:color w:val="000000"/>
        </w:rPr>
        <w:t>(Aven &amp; Zio, 2014)</w:t>
      </w:r>
      <w:r w:rsidR="00386B8F">
        <w:rPr>
          <w:color w:val="000000"/>
        </w:rPr>
        <w:fldChar w:fldCharType="end"/>
      </w:r>
      <w:r w:rsidR="00994493">
        <w:rPr>
          <w:color w:val="000000"/>
        </w:rPr>
        <w:t>.</w:t>
      </w:r>
      <w:r w:rsidR="002C023F">
        <w:rPr>
          <w:color w:val="000000"/>
          <w:vertAlign w:val="superscript"/>
        </w:rPr>
        <w:t xml:space="preserve"> </w:t>
      </w:r>
      <w:r w:rsidR="002C023F">
        <w:rPr>
          <w:color w:val="000000"/>
        </w:rPr>
        <w:t>Despite the large number of risk-based decision-making frameworks developed in that respect, it is nevertheless interesting to note that they tend to only rarely incorporate</w:t>
      </w:r>
      <w:r w:rsidR="00344D4B">
        <w:rPr>
          <w:color w:val="000000"/>
        </w:rPr>
        <w:t xml:space="preserve"> causal arguments in the treatment of decisions, even though </w:t>
      </w:r>
      <w:r w:rsidR="00163F2F">
        <w:rPr>
          <w:color w:val="000000"/>
        </w:rPr>
        <w:t xml:space="preserve">real-world </w:t>
      </w:r>
      <w:r w:rsidR="00BA5FA7">
        <w:rPr>
          <w:color w:val="000000"/>
        </w:rPr>
        <w:t xml:space="preserve">practice </w:t>
      </w:r>
      <w:r w:rsidR="005E727B" w:rsidRPr="008E508E">
        <w:rPr>
          <w:color w:val="000000"/>
        </w:rPr>
        <w:t>decisions often depend</w:t>
      </w:r>
      <w:r w:rsidR="00163F2F">
        <w:rPr>
          <w:color w:val="000000"/>
        </w:rPr>
        <w:t xml:space="preserve"> </w:t>
      </w:r>
      <w:r w:rsidR="00C81F7A">
        <w:rPr>
          <w:color w:val="000000"/>
        </w:rPr>
        <w:t>heavily</w:t>
      </w:r>
      <w:r w:rsidR="00DA3AF8">
        <w:rPr>
          <w:color w:val="000000"/>
        </w:rPr>
        <w:t xml:space="preserve"> </w:t>
      </w:r>
      <w:r w:rsidR="00163F2F">
        <w:rPr>
          <w:color w:val="000000"/>
        </w:rPr>
        <w:t xml:space="preserve">on causal knowledge and </w:t>
      </w:r>
      <w:r w:rsidR="005E727B" w:rsidRPr="008E508E">
        <w:rPr>
          <w:color w:val="000000"/>
        </w:rPr>
        <w:t>reasoning</w:t>
      </w:r>
      <w:r w:rsidR="0044505E">
        <w:rPr>
          <w:color w:val="000000"/>
        </w:rPr>
        <w:t xml:space="preserve"> </w:t>
      </w:r>
      <w:r w:rsidR="0044505E">
        <w:rPr>
          <w:color w:val="000000"/>
        </w:rPr>
        <w:fldChar w:fldCharType="begin" w:fldLock="1"/>
      </w:r>
      <w:r w:rsidR="00DD1696">
        <w:rPr>
          <w:color w:val="000000"/>
        </w:rPr>
        <w:instrText>ADDIN CSL_CITATION {"citationItems":[{"id":"ITEM-1","itemData":{"ISBN":"9780199399550","author":[{"dropping-particle":"","family":"Hagmayer","given":"York","non-dropping-particle":"","parse-names":false,"suffix":""},{"dropping-particle":"","family":"Fernbach","given":"Philip","non-dropping-particle":"","parse-names":false,"suffix":""}],"container-title":"Oxford Handbook of Causal Reasoning","editor":[{"dropping-particle":"","family":"Waldmann","given":"Michael R.","non-dropping-particle":"","parse-names":false,"suffix":""}],"id":"ITEM-1","issue":"March 2018","issued":{"date-parts":[["2017"]]},"page":"1-32","publisher":"Oxford University Press","title":"Causality in Decision-Making","type":"chapter","volume":"1"},"uris":["http://www.mendeley.com/documents/?uuid=05bb9dfd-f9bc-3516-8f97-caf1af80c532"]}],"mendeley":{"formattedCitation":"(Hagmayer &amp; Fernbach, 2017)","plainTextFormattedCitation":"(Hagmayer &amp; Fernbach, 2017)","previouslyFormattedCitation":"(Hagmayer &amp; Fernbach, 2017)"},"properties":{"noteIndex":0},"schema":"https://github.com/citation-style-language/schema/raw/master/csl-citation.json"}</w:instrText>
      </w:r>
      <w:r w:rsidR="0044505E">
        <w:rPr>
          <w:color w:val="000000"/>
        </w:rPr>
        <w:fldChar w:fldCharType="separate"/>
      </w:r>
      <w:r w:rsidR="0044505E" w:rsidRPr="0044505E">
        <w:rPr>
          <w:noProof/>
          <w:color w:val="000000"/>
        </w:rPr>
        <w:t>(Hagmayer &amp; Fernbach, 2017)</w:t>
      </w:r>
      <w:r w:rsidR="0044505E">
        <w:rPr>
          <w:color w:val="000000"/>
        </w:rPr>
        <w:fldChar w:fldCharType="end"/>
      </w:r>
      <w:r w:rsidR="005E727B" w:rsidRPr="008E508E">
        <w:rPr>
          <w:color w:val="000000"/>
        </w:rPr>
        <w:t>.</w:t>
      </w:r>
      <w:r w:rsidR="0044505E">
        <w:rPr>
          <w:color w:val="000000"/>
        </w:rPr>
        <w:t xml:space="preserve"> </w:t>
      </w:r>
      <w:r w:rsidR="00344D4B">
        <w:rPr>
          <w:color w:val="000000"/>
        </w:rPr>
        <w:t xml:space="preserve">Although </w:t>
      </w:r>
      <w:r w:rsidR="000542F2">
        <w:rPr>
          <w:color w:val="000000"/>
        </w:rPr>
        <w:t xml:space="preserve">the scope of </w:t>
      </w:r>
      <w:r w:rsidR="00344D4B">
        <w:rPr>
          <w:color w:val="000000"/>
        </w:rPr>
        <w:t xml:space="preserve">decisions </w:t>
      </w:r>
      <w:r w:rsidR="0046151E">
        <w:rPr>
          <w:color w:val="000000"/>
        </w:rPr>
        <w:t xml:space="preserve">generally </w:t>
      </w:r>
      <w:r w:rsidR="000542F2">
        <w:rPr>
          <w:color w:val="000000"/>
        </w:rPr>
        <w:t xml:space="preserve">involves determining </w:t>
      </w:r>
      <w:r w:rsidR="003553DC">
        <w:rPr>
          <w:color w:val="000000"/>
        </w:rPr>
        <w:t>potential actions</w:t>
      </w:r>
      <w:r w:rsidR="00BB1839">
        <w:rPr>
          <w:color w:val="000000"/>
        </w:rPr>
        <w:t xml:space="preserve"> (e.g.</w:t>
      </w:r>
      <w:r w:rsidR="00C401AB">
        <w:rPr>
          <w:color w:val="000000"/>
        </w:rPr>
        <w:t>,</w:t>
      </w:r>
      <w:r w:rsidR="00BB1839">
        <w:rPr>
          <w:color w:val="000000"/>
        </w:rPr>
        <w:t xml:space="preserve"> </w:t>
      </w:r>
      <w:r w:rsidR="006A015A">
        <w:rPr>
          <w:color w:val="000000"/>
        </w:rPr>
        <w:t>identifying the</w:t>
      </w:r>
      <w:r w:rsidR="000D109A">
        <w:rPr>
          <w:color w:val="000000"/>
        </w:rPr>
        <w:t xml:space="preserve"> </w:t>
      </w:r>
      <w:r w:rsidR="00E730E5">
        <w:rPr>
          <w:color w:val="000000"/>
        </w:rPr>
        <w:t>location</w:t>
      </w:r>
      <w:r w:rsidR="000051D6">
        <w:rPr>
          <w:color w:val="000000"/>
        </w:rPr>
        <w:t xml:space="preserve"> </w:t>
      </w:r>
      <w:r w:rsidR="006A015A">
        <w:rPr>
          <w:color w:val="000000"/>
        </w:rPr>
        <w:t xml:space="preserve">that </w:t>
      </w:r>
      <w:r w:rsidR="000D109A">
        <w:rPr>
          <w:color w:val="000000"/>
        </w:rPr>
        <w:t xml:space="preserve">must </w:t>
      </w:r>
      <w:r w:rsidR="000051D6">
        <w:rPr>
          <w:color w:val="000000"/>
        </w:rPr>
        <w:t>go into lockdown</w:t>
      </w:r>
      <w:r w:rsidR="00A01B3D">
        <w:rPr>
          <w:color w:val="000000"/>
        </w:rPr>
        <w:t xml:space="preserve"> due to </w:t>
      </w:r>
      <w:r w:rsidR="00524667">
        <w:rPr>
          <w:color w:val="000000"/>
        </w:rPr>
        <w:t>steadily increasing</w:t>
      </w:r>
      <w:r w:rsidR="00A01B3D">
        <w:rPr>
          <w:color w:val="000000"/>
        </w:rPr>
        <w:t xml:space="preserve"> number</w:t>
      </w:r>
      <w:r w:rsidR="00524667">
        <w:rPr>
          <w:color w:val="000000"/>
        </w:rPr>
        <w:t>s</w:t>
      </w:r>
      <w:r w:rsidR="00A01B3D">
        <w:rPr>
          <w:color w:val="000000"/>
        </w:rPr>
        <w:t xml:space="preserve"> of </w:t>
      </w:r>
      <w:r w:rsidR="00A106AE">
        <w:rPr>
          <w:color w:val="000000"/>
        </w:rPr>
        <w:t>the 2019 Co</w:t>
      </w:r>
      <w:r w:rsidR="00FA75EC">
        <w:rPr>
          <w:color w:val="000000"/>
        </w:rPr>
        <w:t>rona</w:t>
      </w:r>
      <w:r w:rsidR="00AE6593">
        <w:rPr>
          <w:color w:val="000000"/>
        </w:rPr>
        <w:t xml:space="preserve">virus, </w:t>
      </w:r>
      <w:r w:rsidR="00A01B3D">
        <w:rPr>
          <w:color w:val="000000"/>
        </w:rPr>
        <w:t>COVID-19</w:t>
      </w:r>
      <w:r w:rsidR="00AE6593">
        <w:rPr>
          <w:color w:val="000000"/>
        </w:rPr>
        <w:t>,</w:t>
      </w:r>
      <w:r w:rsidR="00A01B3D">
        <w:rPr>
          <w:color w:val="000000"/>
        </w:rPr>
        <w:t xml:space="preserve"> cases</w:t>
      </w:r>
      <w:r w:rsidR="00BB1839">
        <w:rPr>
          <w:color w:val="000000"/>
        </w:rPr>
        <w:t>)</w:t>
      </w:r>
      <w:r w:rsidR="003553DC">
        <w:rPr>
          <w:color w:val="000000"/>
        </w:rPr>
        <w:t xml:space="preserve"> or </w:t>
      </w:r>
      <w:r w:rsidR="0045528C">
        <w:rPr>
          <w:color w:val="000000"/>
        </w:rPr>
        <w:t xml:space="preserve">outcomes </w:t>
      </w:r>
      <w:r w:rsidR="006A015A">
        <w:rPr>
          <w:color w:val="000000"/>
        </w:rPr>
        <w:t xml:space="preserve">requiring </w:t>
      </w:r>
      <w:r w:rsidR="003553DC">
        <w:rPr>
          <w:color w:val="000000"/>
        </w:rPr>
        <w:t>actions</w:t>
      </w:r>
      <w:r w:rsidR="000D109A">
        <w:rPr>
          <w:color w:val="000000"/>
        </w:rPr>
        <w:t xml:space="preserve"> (</w:t>
      </w:r>
      <w:r w:rsidR="00000EFB">
        <w:rPr>
          <w:color w:val="000000"/>
        </w:rPr>
        <w:t>e.g.</w:t>
      </w:r>
      <w:r w:rsidR="00C401AB">
        <w:rPr>
          <w:color w:val="000000"/>
        </w:rPr>
        <w:t>,</w:t>
      </w:r>
      <w:r w:rsidR="00E730E5">
        <w:rPr>
          <w:color w:val="000000"/>
        </w:rPr>
        <w:t xml:space="preserve"> </w:t>
      </w:r>
      <w:r w:rsidR="000843A3">
        <w:rPr>
          <w:color w:val="000000"/>
        </w:rPr>
        <w:t xml:space="preserve">a </w:t>
      </w:r>
      <w:r w:rsidR="00D256F5">
        <w:rPr>
          <w:color w:val="000000"/>
        </w:rPr>
        <w:t>health</w:t>
      </w:r>
      <w:r w:rsidR="00232FD6">
        <w:rPr>
          <w:color w:val="000000"/>
        </w:rPr>
        <w:t>care</w:t>
      </w:r>
      <w:r w:rsidR="00D256F5">
        <w:rPr>
          <w:color w:val="000000"/>
        </w:rPr>
        <w:t xml:space="preserve"> system under strain</w:t>
      </w:r>
      <w:r w:rsidR="000D109A">
        <w:rPr>
          <w:color w:val="000000"/>
        </w:rPr>
        <w:t>)</w:t>
      </w:r>
      <w:r w:rsidR="00DD1696">
        <w:rPr>
          <w:color w:val="000000"/>
        </w:rPr>
        <w:t xml:space="preserve"> </w:t>
      </w:r>
      <w:r w:rsidR="00DD1696">
        <w:rPr>
          <w:color w:val="000000"/>
        </w:rPr>
        <w:fldChar w:fldCharType="begin" w:fldLock="1"/>
      </w:r>
      <w:r w:rsidR="00DD1696">
        <w:rPr>
          <w:color w:val="000000"/>
        </w:rPr>
        <w:instrText>ADDIN CSL_CITATION {"citationItems":[{"id":"ITEM-1","itemData":{"DOI":"10.4414/smw.2020.20233","ISSN":"1424-3997","author":[{"dropping-particle":"","family":"Borasio","given":"Gian Domenico","non-dropping-particle":"","parse-names":false,"suffix":""},{"dropping-particle":"","family":"Gamondi","given":"Claudia","non-dropping-particle":"","parse-names":false,"suffix":""},{"dropping-particle":"","family":"Obrist","given":"Monika","non-dropping-particle":"","parse-names":false,"suffix":""},{"dropping-particle":"","family":"Jox","given":"Ralf","non-dropping-particle":"","parse-names":false,"suffix":""},{"dropping-particle":"","family":"for the COVID-19 task force of palliative ch","given":"","non-dropping-particle":"","parse-names":false,"suffix":""}],"container-title":"Swiss Medical Weekly","id":"ITEM-1","issued":{"date-parts":[["2020","3","24"]]},"title":"COVID-19: decision making and palliative care","type":"article-journal"},"uris":["http://www.mendeley.com/documents/?uuid=50fb8428-ec61-41c0-9e2c-f3c3605b00f9"]}],"mendeley":{"formattedCitation":"(Borasio et al., 2020)","plainTextFormattedCitation":"(Borasio et al., 2020)","previouslyFormattedCitation":"(Borasio et al., 2020)"},"properties":{"noteIndex":0},"schema":"https://github.com/citation-style-language/schema/raw/master/csl-citation.json"}</w:instrText>
      </w:r>
      <w:r w:rsidR="00DD1696">
        <w:rPr>
          <w:color w:val="000000"/>
        </w:rPr>
        <w:fldChar w:fldCharType="separate"/>
      </w:r>
      <w:r w:rsidR="00DD1696" w:rsidRPr="00DD1696">
        <w:rPr>
          <w:noProof/>
          <w:color w:val="000000"/>
        </w:rPr>
        <w:t>(Borasio,</w:t>
      </w:r>
      <w:r w:rsidR="00897EBC">
        <w:rPr>
          <w:noProof/>
          <w:color w:val="000000"/>
        </w:rPr>
        <w:t xml:space="preserve"> Gamondi, Obrist </w:t>
      </w:r>
      <w:r w:rsidR="00280668">
        <w:rPr>
          <w:noProof/>
          <w:color w:val="000000"/>
        </w:rPr>
        <w:t>&amp;</w:t>
      </w:r>
      <w:r w:rsidR="00897EBC">
        <w:rPr>
          <w:noProof/>
          <w:color w:val="000000"/>
        </w:rPr>
        <w:t xml:space="preserve"> Jox,</w:t>
      </w:r>
      <w:r w:rsidR="00DD1696" w:rsidRPr="00DD1696">
        <w:rPr>
          <w:noProof/>
          <w:color w:val="000000"/>
        </w:rPr>
        <w:t xml:space="preserve"> 2020)</w:t>
      </w:r>
      <w:r w:rsidR="00DD1696">
        <w:rPr>
          <w:color w:val="000000"/>
        </w:rPr>
        <w:fldChar w:fldCharType="end"/>
      </w:r>
      <w:r w:rsidR="00DD1696">
        <w:rPr>
          <w:color w:val="000000"/>
        </w:rPr>
        <w:t xml:space="preserve"> and </w:t>
      </w:r>
      <w:r w:rsidR="00DD1696">
        <w:rPr>
          <w:color w:val="000000"/>
        </w:rPr>
        <w:fldChar w:fldCharType="begin" w:fldLock="1"/>
      </w:r>
      <w:r w:rsidR="00DD1696">
        <w:rPr>
          <w:color w:val="000000"/>
        </w:rPr>
        <w:instrText>ADDIN CSL_CITATION {"citationItems":[{"id":"ITEM-1","itemData":{"DOI":"10.1038/s41571-020-0362-6","ISSN":"1759-4774","author":[{"dropping-particle":"","family":"Hanna","given":"Timothy P.","non-dropping-particle":"","parse-names":false,"suffix":""},{"dropping-particle":"","family":"Evans","given":"Gerald A.","non-dropping-particle":"","parse-names":false,"suffix":""},{"dropping-particle":"","family":"Booth","given":"Christopher M.","non-dropping-particle":"","parse-names":false,"suffix":""}],"container-title":"Nature Reviews Clinical Oncology","id":"ITEM-1","issue":"5","issued":{"date-parts":[["2020","5","2"]]},"page":"268-270","title":"Cancer, COVID-19 and the precautionary principle: prioritizing treatment during a global pandemic","type":"article-journal","volume":"17"},"uris":["http://www.mendeley.com/documents/?uuid=9329950a-64e8-48ca-8fdf-3c1efd66915c"]}],"mendeley":{"formattedCitation":"(Hanna et al., 2020)","plainTextFormattedCitation":"(Hanna et al., 2020)","previouslyFormattedCitation":"(Hanna et al., 2020)"},"properties":{"noteIndex":0},"schema":"https://github.com/citation-style-language/schema/raw/master/csl-citation.json"}</w:instrText>
      </w:r>
      <w:r w:rsidR="00DD1696">
        <w:rPr>
          <w:color w:val="000000"/>
        </w:rPr>
        <w:fldChar w:fldCharType="separate"/>
      </w:r>
      <w:r w:rsidR="00DD1696" w:rsidRPr="00DD1696">
        <w:rPr>
          <w:noProof/>
          <w:color w:val="000000"/>
        </w:rPr>
        <w:t>(Hanna,</w:t>
      </w:r>
      <w:r w:rsidR="00897EBC">
        <w:rPr>
          <w:noProof/>
          <w:color w:val="000000"/>
        </w:rPr>
        <w:t xml:space="preserve"> Evans </w:t>
      </w:r>
      <w:r w:rsidR="00280668">
        <w:rPr>
          <w:noProof/>
          <w:color w:val="000000"/>
        </w:rPr>
        <w:t>&amp;</w:t>
      </w:r>
      <w:r w:rsidR="00897EBC">
        <w:rPr>
          <w:noProof/>
          <w:color w:val="000000"/>
        </w:rPr>
        <w:t xml:space="preserve"> Booth,</w:t>
      </w:r>
      <w:r w:rsidR="00DD1696" w:rsidRPr="00DD1696">
        <w:rPr>
          <w:noProof/>
          <w:color w:val="000000"/>
        </w:rPr>
        <w:t xml:space="preserve"> 2020)</w:t>
      </w:r>
      <w:r w:rsidR="00DD1696">
        <w:rPr>
          <w:color w:val="000000"/>
        </w:rPr>
        <w:fldChar w:fldCharType="end"/>
      </w:r>
      <w:r w:rsidR="00344D4B" w:rsidRPr="006B2397">
        <w:rPr>
          <w:color w:val="000000"/>
        </w:rPr>
        <w:t>,</w:t>
      </w:r>
      <w:r w:rsidR="0045528C">
        <w:rPr>
          <w:color w:val="000000"/>
        </w:rPr>
        <w:t xml:space="preserve"> </w:t>
      </w:r>
      <w:r w:rsidR="000542F2">
        <w:rPr>
          <w:color w:val="000000"/>
        </w:rPr>
        <w:t>it</w:t>
      </w:r>
      <w:r w:rsidR="0046151E">
        <w:rPr>
          <w:color w:val="000000"/>
        </w:rPr>
        <w:t xml:space="preserve"> </w:t>
      </w:r>
      <w:r w:rsidR="000542F2">
        <w:rPr>
          <w:color w:val="000000"/>
        </w:rPr>
        <w:t>can be expanded</w:t>
      </w:r>
      <w:r w:rsidR="000843A3">
        <w:rPr>
          <w:color w:val="000000"/>
        </w:rPr>
        <w:t xml:space="preserve"> </w:t>
      </w:r>
      <w:r w:rsidR="00124914">
        <w:rPr>
          <w:color w:val="000000"/>
        </w:rPr>
        <w:t>to include</w:t>
      </w:r>
      <w:r w:rsidR="008E4256">
        <w:rPr>
          <w:color w:val="000000"/>
        </w:rPr>
        <w:t xml:space="preserve"> risk-based criteria</w:t>
      </w:r>
      <w:r w:rsidR="00344D4B">
        <w:rPr>
          <w:color w:val="000000"/>
        </w:rPr>
        <w:t xml:space="preserve">. For </w:t>
      </w:r>
      <w:r w:rsidR="008E4256">
        <w:rPr>
          <w:color w:val="000000"/>
        </w:rPr>
        <w:t xml:space="preserve">example, </w:t>
      </w:r>
      <w:r w:rsidR="00A106AE">
        <w:rPr>
          <w:color w:val="000000"/>
        </w:rPr>
        <w:t>under the assumption of</w:t>
      </w:r>
      <w:r w:rsidR="008E4256">
        <w:rPr>
          <w:color w:val="000000"/>
        </w:rPr>
        <w:t xml:space="preserve"> </w:t>
      </w:r>
      <w:r w:rsidR="00181ADF">
        <w:rPr>
          <w:color w:val="000000"/>
        </w:rPr>
        <w:t xml:space="preserve">instituting </w:t>
      </w:r>
      <w:r w:rsidR="00A106AE">
        <w:rPr>
          <w:color w:val="000000"/>
        </w:rPr>
        <w:t xml:space="preserve">and </w:t>
      </w:r>
      <w:r w:rsidR="00181ADF">
        <w:rPr>
          <w:color w:val="000000"/>
        </w:rPr>
        <w:t xml:space="preserve">enforcing </w:t>
      </w:r>
      <w:r w:rsidR="008E4256">
        <w:rPr>
          <w:color w:val="000000"/>
        </w:rPr>
        <w:t xml:space="preserve">a lockdown in </w:t>
      </w:r>
      <w:r w:rsidR="00124914">
        <w:rPr>
          <w:color w:val="000000"/>
        </w:rPr>
        <w:t>an</w:t>
      </w:r>
      <w:r w:rsidR="008E4256">
        <w:rPr>
          <w:color w:val="000000"/>
        </w:rPr>
        <w:t xml:space="preserve"> area, </w:t>
      </w:r>
      <w:r w:rsidR="00A106AE">
        <w:rPr>
          <w:color w:val="000000"/>
        </w:rPr>
        <w:t xml:space="preserve">decision and policy makers must examine </w:t>
      </w:r>
      <w:r w:rsidR="008E4256">
        <w:rPr>
          <w:color w:val="000000"/>
        </w:rPr>
        <w:t xml:space="preserve">a set of </w:t>
      </w:r>
      <w:r w:rsidR="004021CB">
        <w:rPr>
          <w:color w:val="000000"/>
        </w:rPr>
        <w:t xml:space="preserve">other </w:t>
      </w:r>
      <w:r w:rsidR="008E4256">
        <w:rPr>
          <w:color w:val="000000"/>
        </w:rPr>
        <w:t xml:space="preserve">actions </w:t>
      </w:r>
      <w:r w:rsidR="00344D4B">
        <w:rPr>
          <w:color w:val="000000"/>
        </w:rPr>
        <w:t>(</w:t>
      </w:r>
      <w:r w:rsidR="00A106AE">
        <w:rPr>
          <w:color w:val="000000"/>
        </w:rPr>
        <w:t>as</w:t>
      </w:r>
      <w:r w:rsidR="000843A3">
        <w:rPr>
          <w:color w:val="000000"/>
        </w:rPr>
        <w:t xml:space="preserve"> </w:t>
      </w:r>
      <w:r w:rsidR="004021CB">
        <w:rPr>
          <w:color w:val="000000"/>
        </w:rPr>
        <w:t>they</w:t>
      </w:r>
      <w:r w:rsidR="000843A3">
        <w:rPr>
          <w:color w:val="000000"/>
        </w:rPr>
        <w:t>, jointly,</w:t>
      </w:r>
      <w:r w:rsidR="004021CB">
        <w:rPr>
          <w:color w:val="000000"/>
        </w:rPr>
        <w:t xml:space="preserve"> </w:t>
      </w:r>
      <w:r w:rsidR="000843A3">
        <w:rPr>
          <w:color w:val="000000"/>
        </w:rPr>
        <w:t>help</w:t>
      </w:r>
      <w:r w:rsidR="001444A2">
        <w:rPr>
          <w:color w:val="000000"/>
        </w:rPr>
        <w:t xml:space="preserve"> mitigate the COVID</w:t>
      </w:r>
      <w:r w:rsidR="004021CB">
        <w:rPr>
          <w:color w:val="000000"/>
        </w:rPr>
        <w:t xml:space="preserve">-19 </w:t>
      </w:r>
      <w:r w:rsidR="000843A3">
        <w:rPr>
          <w:color w:val="000000"/>
        </w:rPr>
        <w:t>spread</w:t>
      </w:r>
      <w:r w:rsidR="00344D4B">
        <w:rPr>
          <w:color w:val="000000"/>
        </w:rPr>
        <w:t>)</w:t>
      </w:r>
      <w:r w:rsidR="00FA75EC">
        <w:rPr>
          <w:color w:val="000000"/>
        </w:rPr>
        <w:t>;</w:t>
      </w:r>
      <w:r w:rsidR="004021CB">
        <w:rPr>
          <w:color w:val="000000"/>
        </w:rPr>
        <w:t xml:space="preserve"> </w:t>
      </w:r>
      <w:r w:rsidR="002123E7">
        <w:rPr>
          <w:color w:val="000000"/>
        </w:rPr>
        <w:t>thus,</w:t>
      </w:r>
      <w:r w:rsidR="000D0D44">
        <w:rPr>
          <w:color w:val="000000"/>
        </w:rPr>
        <w:t xml:space="preserve"> allow</w:t>
      </w:r>
      <w:r w:rsidR="000843A3">
        <w:rPr>
          <w:color w:val="000000"/>
        </w:rPr>
        <w:t>ing</w:t>
      </w:r>
      <w:r w:rsidR="00124914">
        <w:rPr>
          <w:color w:val="000000"/>
        </w:rPr>
        <w:t xml:space="preserve"> health systems to </w:t>
      </w:r>
      <w:r w:rsidR="000843A3">
        <w:rPr>
          <w:color w:val="000000"/>
        </w:rPr>
        <w:t xml:space="preserve">better </w:t>
      </w:r>
      <w:r w:rsidR="00124914">
        <w:rPr>
          <w:color w:val="000000"/>
        </w:rPr>
        <w:t>cope with this disease</w:t>
      </w:r>
      <w:r w:rsidR="000843A3">
        <w:rPr>
          <w:color w:val="000000"/>
        </w:rPr>
        <w:t xml:space="preserve"> and </w:t>
      </w:r>
      <w:r w:rsidR="00FA75EC">
        <w:rPr>
          <w:color w:val="000000"/>
        </w:rPr>
        <w:t xml:space="preserve">expedite </w:t>
      </w:r>
      <w:r w:rsidR="000843A3">
        <w:rPr>
          <w:color w:val="000000"/>
        </w:rPr>
        <w:t xml:space="preserve">the </w:t>
      </w:r>
      <w:r w:rsidR="000D0D44">
        <w:rPr>
          <w:color w:val="000000"/>
        </w:rPr>
        <w:t>resumption of economic activity</w:t>
      </w:r>
      <w:r w:rsidR="004021CB">
        <w:rPr>
          <w:color w:val="000000"/>
        </w:rPr>
        <w:t>.</w:t>
      </w:r>
      <w:r w:rsidR="000D0D44">
        <w:rPr>
          <w:color w:val="000000"/>
        </w:rPr>
        <w:t xml:space="preserve"> </w:t>
      </w:r>
      <w:r w:rsidR="001E24D5">
        <w:rPr>
          <w:color w:val="000000"/>
        </w:rPr>
        <w:t xml:space="preserve">The </w:t>
      </w:r>
      <w:r w:rsidR="000D0D44">
        <w:rPr>
          <w:color w:val="000000"/>
        </w:rPr>
        <w:t xml:space="preserve">outcomes </w:t>
      </w:r>
      <w:r w:rsidR="001E24D5">
        <w:rPr>
          <w:color w:val="000000"/>
        </w:rPr>
        <w:t xml:space="preserve">of such </w:t>
      </w:r>
      <w:r w:rsidR="000843A3">
        <w:rPr>
          <w:color w:val="000000"/>
        </w:rPr>
        <w:t xml:space="preserve">decisions </w:t>
      </w:r>
      <w:r w:rsidR="00C67245">
        <w:rPr>
          <w:color w:val="000000"/>
        </w:rPr>
        <w:t xml:space="preserve">largely </w:t>
      </w:r>
      <w:r w:rsidR="00A45196">
        <w:rPr>
          <w:color w:val="000000"/>
        </w:rPr>
        <w:t>depend on underlying caus</w:t>
      </w:r>
      <w:r w:rsidR="00CE6E7C">
        <w:rPr>
          <w:color w:val="000000"/>
        </w:rPr>
        <w:t xml:space="preserve">al mechanisms. </w:t>
      </w:r>
      <w:r w:rsidR="001E24D5">
        <w:rPr>
          <w:color w:val="000000"/>
        </w:rPr>
        <w:t>L</w:t>
      </w:r>
      <w:r w:rsidR="00932331">
        <w:rPr>
          <w:color w:val="000000"/>
        </w:rPr>
        <w:t>ockdown</w:t>
      </w:r>
      <w:r w:rsidR="001128D4">
        <w:rPr>
          <w:color w:val="000000"/>
        </w:rPr>
        <w:t>s</w:t>
      </w:r>
      <w:r w:rsidR="000843A3">
        <w:rPr>
          <w:color w:val="000000"/>
        </w:rPr>
        <w:t>, for instance,</w:t>
      </w:r>
      <w:r w:rsidR="001128D4">
        <w:rPr>
          <w:color w:val="000000"/>
        </w:rPr>
        <w:t xml:space="preserve"> </w:t>
      </w:r>
      <w:r w:rsidR="000542F2">
        <w:rPr>
          <w:color w:val="000000"/>
        </w:rPr>
        <w:t>allow</w:t>
      </w:r>
      <w:r w:rsidR="00A45196">
        <w:rPr>
          <w:color w:val="000000"/>
        </w:rPr>
        <w:t xml:space="preserve"> health</w:t>
      </w:r>
      <w:r w:rsidR="001128D4">
        <w:rPr>
          <w:color w:val="000000"/>
        </w:rPr>
        <w:t>care</w:t>
      </w:r>
      <w:r w:rsidR="00A45196">
        <w:rPr>
          <w:color w:val="000000"/>
        </w:rPr>
        <w:t xml:space="preserve"> system</w:t>
      </w:r>
      <w:r w:rsidR="001128D4">
        <w:rPr>
          <w:color w:val="000000"/>
        </w:rPr>
        <w:t xml:space="preserve">s to </w:t>
      </w:r>
      <w:r w:rsidR="000843A3">
        <w:rPr>
          <w:color w:val="000000"/>
        </w:rPr>
        <w:t xml:space="preserve">better </w:t>
      </w:r>
      <w:r w:rsidR="001128D4">
        <w:rPr>
          <w:color w:val="000000"/>
        </w:rPr>
        <w:t>cope with this</w:t>
      </w:r>
      <w:r w:rsidR="00932331">
        <w:rPr>
          <w:color w:val="000000"/>
        </w:rPr>
        <w:t xml:space="preserve"> disease </w:t>
      </w:r>
      <w:r w:rsidR="000843A3">
        <w:rPr>
          <w:color w:val="000000"/>
        </w:rPr>
        <w:t>(</w:t>
      </w:r>
      <w:r w:rsidR="00800BB3">
        <w:rPr>
          <w:color w:val="000000"/>
        </w:rPr>
        <w:t>as well as facilitating</w:t>
      </w:r>
      <w:r w:rsidR="00A45196">
        <w:rPr>
          <w:color w:val="000000"/>
        </w:rPr>
        <w:t xml:space="preserve"> the </w:t>
      </w:r>
      <w:r w:rsidR="00932331">
        <w:rPr>
          <w:color w:val="000000"/>
        </w:rPr>
        <w:t xml:space="preserve">smooth </w:t>
      </w:r>
      <w:r w:rsidR="00344D4B">
        <w:rPr>
          <w:color w:val="000000"/>
        </w:rPr>
        <w:t xml:space="preserve">resumption </w:t>
      </w:r>
      <w:r w:rsidR="00932331">
        <w:rPr>
          <w:color w:val="000000"/>
        </w:rPr>
        <w:t>of economic</w:t>
      </w:r>
      <w:r w:rsidR="00A45196">
        <w:rPr>
          <w:color w:val="000000"/>
        </w:rPr>
        <w:t xml:space="preserve"> activities afterward</w:t>
      </w:r>
      <w:r w:rsidR="000843A3">
        <w:rPr>
          <w:color w:val="000000"/>
        </w:rPr>
        <w:t>)</w:t>
      </w:r>
      <w:r w:rsidR="001E24D5">
        <w:rPr>
          <w:color w:val="000000"/>
        </w:rPr>
        <w:t>; however</w:t>
      </w:r>
      <w:r w:rsidR="007C0D5C">
        <w:rPr>
          <w:color w:val="000000"/>
        </w:rPr>
        <w:t>,</w:t>
      </w:r>
      <w:r w:rsidR="001E24D5">
        <w:rPr>
          <w:color w:val="000000"/>
        </w:rPr>
        <w:t xml:space="preserve"> the outcomes</w:t>
      </w:r>
      <w:r w:rsidR="00A45196">
        <w:rPr>
          <w:color w:val="000000"/>
        </w:rPr>
        <w:t xml:space="preserve"> depend on a complex</w:t>
      </w:r>
      <w:r w:rsidR="00932331">
        <w:rPr>
          <w:color w:val="000000"/>
        </w:rPr>
        <w:t xml:space="preserve"> system of </w:t>
      </w:r>
      <w:r w:rsidR="00800BB3">
        <w:rPr>
          <w:color w:val="000000"/>
        </w:rPr>
        <w:t>factor-interactions</w:t>
      </w:r>
      <w:r w:rsidR="00932331">
        <w:rPr>
          <w:color w:val="000000"/>
        </w:rPr>
        <w:t xml:space="preserve">. </w:t>
      </w:r>
      <w:r w:rsidR="007C0D5C">
        <w:rPr>
          <w:color w:val="000000"/>
        </w:rPr>
        <w:t>L</w:t>
      </w:r>
      <w:r w:rsidR="0066413D">
        <w:rPr>
          <w:color w:val="000000"/>
        </w:rPr>
        <w:t>ockdown</w:t>
      </w:r>
      <w:r w:rsidR="001128D4">
        <w:rPr>
          <w:color w:val="000000"/>
        </w:rPr>
        <w:t>s</w:t>
      </w:r>
      <w:r w:rsidR="0066413D">
        <w:rPr>
          <w:color w:val="000000"/>
        </w:rPr>
        <w:t xml:space="preserve"> may keep people </w:t>
      </w:r>
      <w:r w:rsidR="000843A3">
        <w:rPr>
          <w:color w:val="000000"/>
        </w:rPr>
        <w:t xml:space="preserve">at </w:t>
      </w:r>
      <w:r w:rsidR="0066413D">
        <w:rPr>
          <w:color w:val="000000"/>
        </w:rPr>
        <w:t xml:space="preserve">a physical distance, resulting in </w:t>
      </w:r>
      <w:r w:rsidR="007B2F35">
        <w:rPr>
          <w:color w:val="000000"/>
        </w:rPr>
        <w:t xml:space="preserve">flattening </w:t>
      </w:r>
      <w:r w:rsidR="000843A3">
        <w:rPr>
          <w:color w:val="000000"/>
        </w:rPr>
        <w:t xml:space="preserve">an </w:t>
      </w:r>
      <w:r w:rsidR="007B2F35">
        <w:rPr>
          <w:color w:val="000000"/>
        </w:rPr>
        <w:t>area’s coronavirus curve</w:t>
      </w:r>
      <w:r w:rsidR="007C0D5C">
        <w:rPr>
          <w:color w:val="000000"/>
        </w:rPr>
        <w:t xml:space="preserve"> of the number of new cases o</w:t>
      </w:r>
      <w:r w:rsidR="006C52B5">
        <w:rPr>
          <w:color w:val="000000"/>
        </w:rPr>
        <w:t>f</w:t>
      </w:r>
      <w:r w:rsidR="007C0D5C">
        <w:rPr>
          <w:color w:val="000000"/>
        </w:rPr>
        <w:t xml:space="preserve"> hospitalizations or deaths;</w:t>
      </w:r>
      <w:r w:rsidR="007B2F35">
        <w:rPr>
          <w:color w:val="000000"/>
        </w:rPr>
        <w:t xml:space="preserve"> </w:t>
      </w:r>
      <w:r w:rsidR="000843A3">
        <w:rPr>
          <w:color w:val="000000"/>
        </w:rPr>
        <w:t xml:space="preserve">while also giving rise to </w:t>
      </w:r>
      <w:r w:rsidR="007B2F35">
        <w:rPr>
          <w:color w:val="000000"/>
        </w:rPr>
        <w:t xml:space="preserve">increased mental health </w:t>
      </w:r>
      <w:r w:rsidR="001128D4">
        <w:rPr>
          <w:color w:val="000000"/>
        </w:rPr>
        <w:t>issues</w:t>
      </w:r>
      <w:r w:rsidR="007B2F35">
        <w:rPr>
          <w:color w:val="000000"/>
        </w:rPr>
        <w:t xml:space="preserve"> </w:t>
      </w:r>
      <w:r w:rsidR="000843A3">
        <w:rPr>
          <w:color w:val="000000"/>
        </w:rPr>
        <w:t>(</w:t>
      </w:r>
      <w:r w:rsidR="001128D4">
        <w:rPr>
          <w:color w:val="000000"/>
        </w:rPr>
        <w:t>thus</w:t>
      </w:r>
      <w:r w:rsidR="000843A3">
        <w:rPr>
          <w:color w:val="000000"/>
        </w:rPr>
        <w:t>, potentially,</w:t>
      </w:r>
      <w:r w:rsidR="001128D4">
        <w:rPr>
          <w:color w:val="000000"/>
        </w:rPr>
        <w:t xml:space="preserve"> put</w:t>
      </w:r>
      <w:r w:rsidR="000843A3">
        <w:rPr>
          <w:color w:val="000000"/>
        </w:rPr>
        <w:t>ting more strain onto</w:t>
      </w:r>
      <w:r w:rsidR="001128D4">
        <w:rPr>
          <w:color w:val="000000"/>
        </w:rPr>
        <w:t xml:space="preserve"> </w:t>
      </w:r>
      <w:r w:rsidR="007B2F35">
        <w:rPr>
          <w:color w:val="000000"/>
        </w:rPr>
        <w:t xml:space="preserve">the </w:t>
      </w:r>
      <w:r w:rsidR="00232FD6">
        <w:rPr>
          <w:color w:val="000000"/>
        </w:rPr>
        <w:t>welfare system</w:t>
      </w:r>
      <w:r w:rsidR="000843A3">
        <w:rPr>
          <w:color w:val="000000"/>
        </w:rPr>
        <w:t>)</w:t>
      </w:r>
      <w:r w:rsidR="00ED0D9A">
        <w:rPr>
          <w:color w:val="000000"/>
        </w:rPr>
        <w:t xml:space="preserve"> </w:t>
      </w:r>
      <w:r w:rsidR="00DD1696">
        <w:rPr>
          <w:color w:val="000000"/>
        </w:rPr>
        <w:fldChar w:fldCharType="begin" w:fldLock="1"/>
      </w:r>
      <w:r w:rsidR="00ED0D9A">
        <w:rPr>
          <w:color w:val="000000"/>
        </w:rPr>
        <w:instrText>ADDIN CSL_CITATION {"citationItems":[{"id":"ITEM-1","itemData":{"DOI":"10.1080/09638237.2020.1757052","ISSN":"0963-8237","author":[{"dropping-particle":"","family":"Kumar","given":"Anant","non-dropping-particle":"","parse-names":false,"suffix":""},{"dropping-particle":"","family":"Nayar","given":"K. Rajasekharan","non-dropping-particle":"","parse-names":false,"suffix":""}],"container-title":"Journal of Mental Health","id":"ITEM-1","issued":{"date-parts":[["2020","4","27"]]},"page":"1-2","title":"COVID 19 and its mental health consequences","type":"article-journal"},"uris":["http://www.mendeley.com/documents/?uuid=58618725-8df6-41e5-8268-6958886110ea"]}],"mendeley":{"formattedCitation":"(Kumar &amp; Nayar, 2020)","plainTextFormattedCitation":"(Kumar &amp; Nayar, 2020)","previouslyFormattedCitation":"(Kumar &amp; Nayar, 2020)"},"properties":{"noteIndex":0},"schema":"https://github.com/citation-style-language/schema/raw/master/csl-citation.json"}</w:instrText>
      </w:r>
      <w:r w:rsidR="00DD1696">
        <w:rPr>
          <w:color w:val="000000"/>
        </w:rPr>
        <w:fldChar w:fldCharType="separate"/>
      </w:r>
      <w:r w:rsidR="00DD1696" w:rsidRPr="00DD1696">
        <w:rPr>
          <w:noProof/>
          <w:color w:val="000000"/>
        </w:rPr>
        <w:t>(Kumar &amp; Nayar, 2020)</w:t>
      </w:r>
      <w:r w:rsidR="00DD1696">
        <w:rPr>
          <w:color w:val="000000"/>
        </w:rPr>
        <w:fldChar w:fldCharType="end"/>
      </w:r>
      <w:r w:rsidR="00ED0D9A">
        <w:rPr>
          <w:color w:val="000000"/>
        </w:rPr>
        <w:t>.</w:t>
      </w:r>
      <w:r w:rsidR="0087160F">
        <w:rPr>
          <w:color w:val="000000"/>
        </w:rPr>
        <w:t xml:space="preserve"> </w:t>
      </w:r>
      <w:r w:rsidR="007B2F35">
        <w:rPr>
          <w:color w:val="000000"/>
        </w:rPr>
        <w:t>Thus,</w:t>
      </w:r>
      <w:r w:rsidR="00F7464B">
        <w:rPr>
          <w:color w:val="000000"/>
        </w:rPr>
        <w:t xml:space="preserve"> </w:t>
      </w:r>
      <w:r w:rsidR="007B2F35">
        <w:rPr>
          <w:color w:val="000000"/>
        </w:rPr>
        <w:t>causal knowledge about the system under consideration assist</w:t>
      </w:r>
      <w:r w:rsidR="007C0D5C">
        <w:rPr>
          <w:color w:val="000000"/>
        </w:rPr>
        <w:t>s</w:t>
      </w:r>
      <w:r w:rsidR="007B2F35">
        <w:rPr>
          <w:color w:val="000000"/>
        </w:rPr>
        <w:t xml:space="preserve"> </w:t>
      </w:r>
      <w:r w:rsidR="007C0D5C">
        <w:rPr>
          <w:color w:val="000000"/>
        </w:rPr>
        <w:t xml:space="preserve">society </w:t>
      </w:r>
      <w:r w:rsidR="00344D4B">
        <w:rPr>
          <w:color w:val="000000"/>
        </w:rPr>
        <w:t xml:space="preserve">in making </w:t>
      </w:r>
      <w:r w:rsidR="007B2F35">
        <w:rPr>
          <w:color w:val="000000"/>
        </w:rPr>
        <w:t>adaptive decisions, thus</w:t>
      </w:r>
      <w:r w:rsidR="00524667">
        <w:rPr>
          <w:color w:val="000000"/>
        </w:rPr>
        <w:t xml:space="preserve">, </w:t>
      </w:r>
      <w:r w:rsidR="007C0D5C">
        <w:rPr>
          <w:color w:val="000000"/>
        </w:rPr>
        <w:t xml:space="preserve">enhancing </w:t>
      </w:r>
      <w:r w:rsidR="00524667">
        <w:rPr>
          <w:color w:val="000000"/>
        </w:rPr>
        <w:t>risk</w:t>
      </w:r>
      <w:r w:rsidR="007C0D5C">
        <w:rPr>
          <w:color w:val="000000"/>
        </w:rPr>
        <w:t xml:space="preserve"> management</w:t>
      </w:r>
      <w:r w:rsidR="00524667">
        <w:rPr>
          <w:color w:val="000000"/>
        </w:rPr>
        <w:t xml:space="preserve">. </w:t>
      </w:r>
    </w:p>
    <w:p w14:paraId="7711FE17" w14:textId="577A22CC" w:rsidR="009D35EF" w:rsidRDefault="00F7464B" w:rsidP="009D35EF">
      <w:pPr>
        <w:widowControl w:val="0"/>
        <w:autoSpaceDE w:val="0"/>
        <w:autoSpaceDN w:val="0"/>
        <w:adjustRightInd w:val="0"/>
        <w:spacing w:before="120" w:after="120" w:line="360" w:lineRule="auto"/>
        <w:ind w:firstLine="284"/>
        <w:jc w:val="both"/>
        <w:rPr>
          <w:shd w:val="clear" w:color="auto" w:fill="FFFFFF"/>
        </w:rPr>
      </w:pPr>
      <w:r>
        <w:rPr>
          <w:color w:val="000000"/>
        </w:rPr>
        <w:t xml:space="preserve">In this </w:t>
      </w:r>
      <w:r w:rsidR="00D123DF">
        <w:rPr>
          <w:color w:val="000000"/>
        </w:rPr>
        <w:t>paper</w:t>
      </w:r>
      <w:r>
        <w:rPr>
          <w:color w:val="000000"/>
        </w:rPr>
        <w:t xml:space="preserve">, a novel </w:t>
      </w:r>
      <w:r w:rsidR="003553DC">
        <w:rPr>
          <w:color w:val="000000"/>
        </w:rPr>
        <w:t>risk-base</w:t>
      </w:r>
      <w:r>
        <w:rPr>
          <w:color w:val="000000"/>
        </w:rPr>
        <w:t xml:space="preserve">d decision-making methodology is </w:t>
      </w:r>
      <w:r w:rsidR="0070580D">
        <w:rPr>
          <w:color w:val="000000"/>
        </w:rPr>
        <w:t>introduced</w:t>
      </w:r>
      <w:r w:rsidR="003516A2">
        <w:rPr>
          <w:color w:val="000000"/>
        </w:rPr>
        <w:t xml:space="preserve"> </w:t>
      </w:r>
      <w:r w:rsidR="007F721B">
        <w:rPr>
          <w:color w:val="000000"/>
        </w:rPr>
        <w:t>for</w:t>
      </w:r>
      <w:r w:rsidR="00344D4B">
        <w:rPr>
          <w:color w:val="000000"/>
        </w:rPr>
        <w:t xml:space="preserve"> </w:t>
      </w:r>
      <w:r w:rsidR="007F721B">
        <w:rPr>
          <w:color w:val="000000"/>
        </w:rPr>
        <w:t xml:space="preserve">structuring </w:t>
      </w:r>
      <w:r w:rsidR="001444A2">
        <w:rPr>
          <w:color w:val="000000"/>
        </w:rPr>
        <w:t xml:space="preserve">the decision-making process </w:t>
      </w:r>
      <w:r w:rsidR="007F721B">
        <w:rPr>
          <w:color w:val="000000"/>
        </w:rPr>
        <w:t xml:space="preserve">with </w:t>
      </w:r>
      <w:r w:rsidR="001444A2">
        <w:rPr>
          <w:color w:val="000000"/>
        </w:rPr>
        <w:t>the COVID-19</w:t>
      </w:r>
      <w:r w:rsidR="003E425B">
        <w:rPr>
          <w:color w:val="000000"/>
        </w:rPr>
        <w:t xml:space="preserve"> pandemic</w:t>
      </w:r>
      <w:r w:rsidR="007F721B">
        <w:rPr>
          <w:color w:val="000000"/>
        </w:rPr>
        <w:t xml:space="preserve"> as a </w:t>
      </w:r>
      <w:r w:rsidR="00CA1E8F">
        <w:rPr>
          <w:color w:val="000000"/>
        </w:rPr>
        <w:t>case study</w:t>
      </w:r>
      <w:r>
        <w:rPr>
          <w:color w:val="000000"/>
        </w:rPr>
        <w:t>.</w:t>
      </w:r>
      <w:r w:rsidR="00D123DF">
        <w:rPr>
          <w:color w:val="000000"/>
        </w:rPr>
        <w:t xml:space="preserve"> In this regard, </w:t>
      </w:r>
      <w:r w:rsidR="0070580D">
        <w:rPr>
          <w:shd w:val="clear" w:color="auto" w:fill="FFFFFF"/>
        </w:rPr>
        <w:t>the proposed</w:t>
      </w:r>
      <w:r w:rsidR="00E9222E" w:rsidRPr="002F520B">
        <w:rPr>
          <w:shd w:val="clear" w:color="auto" w:fill="FFFFFF"/>
        </w:rPr>
        <w:t xml:space="preserve"> method</w:t>
      </w:r>
      <w:r w:rsidR="0019671B">
        <w:rPr>
          <w:shd w:val="clear" w:color="auto" w:fill="FFFFFF"/>
        </w:rPr>
        <w:t xml:space="preserve">ology </w:t>
      </w:r>
      <w:r w:rsidR="0070580D">
        <w:rPr>
          <w:shd w:val="clear" w:color="auto" w:fill="FFFFFF"/>
        </w:rPr>
        <w:t>extends</w:t>
      </w:r>
      <w:r w:rsidR="00EB0B6D">
        <w:rPr>
          <w:shd w:val="clear" w:color="auto" w:fill="FFFFFF"/>
        </w:rPr>
        <w:t xml:space="preserve"> the </w:t>
      </w:r>
      <w:r w:rsidR="00C96F49">
        <w:rPr>
          <w:shd w:val="clear" w:color="auto" w:fill="FFFFFF"/>
        </w:rPr>
        <w:t>r</w:t>
      </w:r>
      <w:r w:rsidR="00EB0B6D">
        <w:rPr>
          <w:shd w:val="clear" w:color="auto" w:fill="FFFFFF"/>
        </w:rPr>
        <w:t xml:space="preserve">isk </w:t>
      </w:r>
      <w:r w:rsidR="00C96F49">
        <w:rPr>
          <w:shd w:val="clear" w:color="auto" w:fill="FFFFFF"/>
        </w:rPr>
        <w:t>t</w:t>
      </w:r>
      <w:r w:rsidR="00E9222E" w:rsidRPr="002F520B">
        <w:rPr>
          <w:shd w:val="clear" w:color="auto" w:fill="FFFFFF"/>
        </w:rPr>
        <w:t>riplet</w:t>
      </w:r>
      <w:r w:rsidR="00ED0D9A">
        <w:rPr>
          <w:shd w:val="clear" w:color="auto" w:fill="FFFFFF"/>
        </w:rPr>
        <w:t xml:space="preserve"> </w:t>
      </w:r>
      <w:r w:rsidR="00ED0D9A">
        <w:rPr>
          <w:shd w:val="clear" w:color="auto" w:fill="FFFFFF"/>
        </w:rPr>
        <w:fldChar w:fldCharType="begin" w:fldLock="1"/>
      </w:r>
      <w:r w:rsidR="00ED0D9A">
        <w:rPr>
          <w:shd w:val="clear" w:color="auto" w:fill="FFFFFF"/>
        </w:rPr>
        <w:instrText>ADDIN CSL_CITATION {"citationItems":[{"id":"ITEM-1","itemData":{"DOI":"10.1111/j.1539-6924.1981.tb01350.x","ISSN":"0272-4332","author":[{"dropping-particle":"","family":"Kaplan","given":"Stanley","non-dropping-particle":"","parse-names":false,"suffix":""},{"dropping-particle":"","family":"Garrick","given":"B. John","non-dropping-particle":"","parse-names":false,"suffix":""}],"container-title":"Risk Analysis","id":"ITEM-1","issue":"1","issued":{"date-parts":[["1981","3"]]},"page":"11-27","title":"On The Quantitative Definition of Risk","type":"article-journal","volume":"1"},"uris":["http://www.mendeley.com/documents/?uuid=ea1a62f6-1913-4ebd-a709-c42341b6cf99"]}],"mendeley":{"formattedCitation":"(Stanley Kaplan &amp; Garrick, 1981)","plainTextFormattedCitation":"(Stanley Kaplan &amp; Garrick, 1981)","previouslyFormattedCitation":"(Stanley Kaplan &amp; Garrick, 1981)"},"properties":{"noteIndex":0},"schema":"https://github.com/citation-style-language/schema/raw/master/csl-citation.json"}</w:instrText>
      </w:r>
      <w:r w:rsidR="00ED0D9A">
        <w:rPr>
          <w:shd w:val="clear" w:color="auto" w:fill="FFFFFF"/>
        </w:rPr>
        <w:fldChar w:fldCharType="separate"/>
      </w:r>
      <w:r w:rsidR="00ED0D9A" w:rsidRPr="00ED0D9A">
        <w:rPr>
          <w:noProof/>
          <w:shd w:val="clear" w:color="auto" w:fill="FFFFFF"/>
        </w:rPr>
        <w:t>(Kaplan &amp; Garrick, 1981)</w:t>
      </w:r>
      <w:r w:rsidR="00ED0D9A">
        <w:rPr>
          <w:shd w:val="clear" w:color="auto" w:fill="FFFFFF"/>
        </w:rPr>
        <w:fldChar w:fldCharType="end"/>
      </w:r>
      <w:r w:rsidR="00ED0D9A">
        <w:rPr>
          <w:shd w:val="clear" w:color="auto" w:fill="FFFFFF"/>
        </w:rPr>
        <w:t xml:space="preserve"> and </w:t>
      </w:r>
      <w:r w:rsidR="00ED0D9A">
        <w:rPr>
          <w:shd w:val="clear" w:color="auto" w:fill="FFFFFF"/>
        </w:rPr>
        <w:fldChar w:fldCharType="begin" w:fldLock="1"/>
      </w:r>
      <w:r w:rsidR="00ED0D9A">
        <w:rPr>
          <w:shd w:val="clear" w:color="auto" w:fill="FFFFFF"/>
        </w:rPr>
        <w:instrText>ADDIN CSL_CITATION {"citationItems":[{"id":"ITEM-1","itemData":{"DOI":"10.1111/j.1539-6924.1997.tb00881.x","ISSN":"0272-4332","author":[{"dropping-particle":"","family":"Kaplan","given":"Stan","non-dropping-particle":"","parse-names":false,"suffix":""}],"container-title":"Risk Analysis","id":"ITEM-1","issue":"4","issued":{"date-parts":[["1997","8"]]},"page":"407-417","title":"The Words of Risk Analysis","type":"article-journal","volume":"17"},"uris":["http://www.mendeley.com/documents/?uuid=209e2998-6d9e-4f75-a757-a3178aeef935"]}],"mendeley":{"formattedCitation":"(Stan Kaplan, 1997)","plainTextFormattedCitation":"(Stan Kaplan, 1997)","previouslyFormattedCitation":"(Stan Kaplan, 1997)"},"properties":{"noteIndex":0},"schema":"https://github.com/citation-style-language/schema/raw/master/csl-citation.json"}</w:instrText>
      </w:r>
      <w:r w:rsidR="00ED0D9A">
        <w:rPr>
          <w:shd w:val="clear" w:color="auto" w:fill="FFFFFF"/>
        </w:rPr>
        <w:fldChar w:fldCharType="separate"/>
      </w:r>
      <w:r w:rsidR="00ED0D9A" w:rsidRPr="00ED0D9A">
        <w:rPr>
          <w:noProof/>
          <w:shd w:val="clear" w:color="auto" w:fill="FFFFFF"/>
        </w:rPr>
        <w:t>(Kaplan, 1997)</w:t>
      </w:r>
      <w:r w:rsidR="00ED0D9A">
        <w:rPr>
          <w:shd w:val="clear" w:color="auto" w:fill="FFFFFF"/>
        </w:rPr>
        <w:fldChar w:fldCharType="end"/>
      </w:r>
      <w:r w:rsidR="00E9222E" w:rsidRPr="002F520B">
        <w:rPr>
          <w:shd w:val="clear" w:color="auto" w:fill="FFFFFF"/>
        </w:rPr>
        <w:t xml:space="preserve"> </w:t>
      </w:r>
      <w:r w:rsidR="007F721B">
        <w:rPr>
          <w:shd w:val="clear" w:color="auto" w:fill="FFFFFF"/>
        </w:rPr>
        <w:t xml:space="preserve">of </w:t>
      </w:r>
      <w:r w:rsidR="00C96F49">
        <w:rPr>
          <w:shd w:val="clear" w:color="auto" w:fill="FFFFFF"/>
        </w:rPr>
        <w:t xml:space="preserve">scenarios, likelihoods and consequences </w:t>
      </w:r>
      <w:r w:rsidR="0019671B">
        <w:rPr>
          <w:shd w:val="clear" w:color="auto" w:fill="FFFFFF"/>
        </w:rPr>
        <w:t>to accommodate</w:t>
      </w:r>
      <w:r w:rsidR="00B140CE">
        <w:rPr>
          <w:shd w:val="clear" w:color="auto" w:fill="FFFFFF"/>
        </w:rPr>
        <w:t xml:space="preserve"> an explicit treatment of</w:t>
      </w:r>
      <w:r w:rsidR="0019671B">
        <w:rPr>
          <w:shd w:val="clear" w:color="auto" w:fill="FFFFFF"/>
        </w:rPr>
        <w:t xml:space="preserve"> causality</w:t>
      </w:r>
      <w:r w:rsidR="00B140CE">
        <w:rPr>
          <w:shd w:val="clear" w:color="auto" w:fill="FFFFFF"/>
        </w:rPr>
        <w:t xml:space="preserve"> that might be implicitly included in the </w:t>
      </w:r>
      <w:r w:rsidR="008A4D76" w:rsidRPr="007E4E42">
        <w:rPr>
          <w:shd w:val="clear" w:color="auto" w:fill="FFFFFF"/>
        </w:rPr>
        <w:t>decision-making</w:t>
      </w:r>
      <w:r w:rsidR="00B140CE">
        <w:rPr>
          <w:shd w:val="clear" w:color="auto" w:fill="FFFFFF"/>
        </w:rPr>
        <w:t>.</w:t>
      </w:r>
      <w:r w:rsidR="0019671B">
        <w:rPr>
          <w:shd w:val="clear" w:color="auto" w:fill="FFFFFF"/>
        </w:rPr>
        <w:t xml:space="preserve"> </w:t>
      </w:r>
      <w:r w:rsidR="00B140CE">
        <w:rPr>
          <w:shd w:val="clear" w:color="auto" w:fill="FFFFFF"/>
        </w:rPr>
        <w:t xml:space="preserve">Such an approach enables </w:t>
      </w:r>
      <w:r w:rsidR="007F721B">
        <w:rPr>
          <w:shd w:val="clear" w:color="auto" w:fill="FFFFFF"/>
        </w:rPr>
        <w:t>account</w:t>
      </w:r>
      <w:r w:rsidR="00B140CE">
        <w:rPr>
          <w:shd w:val="clear" w:color="auto" w:fill="FFFFFF"/>
        </w:rPr>
        <w:t>ing</w:t>
      </w:r>
      <w:r w:rsidR="007F721B">
        <w:rPr>
          <w:shd w:val="clear" w:color="auto" w:fill="FFFFFF"/>
        </w:rPr>
        <w:t xml:space="preserve"> for</w:t>
      </w:r>
      <w:r w:rsidR="00E9222E" w:rsidRPr="002F520B">
        <w:rPr>
          <w:shd w:val="clear" w:color="auto" w:fill="FFFFFF"/>
        </w:rPr>
        <w:t xml:space="preserve"> </w:t>
      </w:r>
      <w:r w:rsidR="007F721B">
        <w:rPr>
          <w:shd w:val="clear" w:color="auto" w:fill="FFFFFF"/>
        </w:rPr>
        <w:t xml:space="preserve">the </w:t>
      </w:r>
      <w:r w:rsidR="00E9222E" w:rsidRPr="002F520B">
        <w:rPr>
          <w:shd w:val="clear" w:color="auto" w:fill="FFFFFF"/>
        </w:rPr>
        <w:t xml:space="preserve">performance of a complex system </w:t>
      </w:r>
      <w:r w:rsidR="00376422">
        <w:rPr>
          <w:shd w:val="clear" w:color="auto" w:fill="FFFFFF"/>
        </w:rPr>
        <w:t xml:space="preserve">including </w:t>
      </w:r>
      <w:r w:rsidR="00E9222E" w:rsidRPr="002F520B">
        <w:rPr>
          <w:shd w:val="clear" w:color="auto" w:fill="FFFFFF"/>
        </w:rPr>
        <w:t>likely outcomes, sensitivities, areas of importance, system interactions,</w:t>
      </w:r>
      <w:r w:rsidR="00EB0B6D">
        <w:rPr>
          <w:shd w:val="clear" w:color="auto" w:fill="FFFFFF"/>
        </w:rPr>
        <w:t xml:space="preserve"> and areas of uncertainty. The </w:t>
      </w:r>
      <w:r w:rsidR="00D365DE">
        <w:rPr>
          <w:shd w:val="clear" w:color="auto" w:fill="FFFFFF"/>
        </w:rPr>
        <w:t xml:space="preserve">resulting </w:t>
      </w:r>
      <w:r w:rsidR="00B140CE">
        <w:rPr>
          <w:shd w:val="clear" w:color="auto" w:fill="FFFFFF"/>
        </w:rPr>
        <w:t>r</w:t>
      </w:r>
      <w:r w:rsidR="00E9222E" w:rsidRPr="002F520B">
        <w:rPr>
          <w:shd w:val="clear" w:color="auto" w:fill="FFFFFF"/>
        </w:rPr>
        <w:t xml:space="preserve">isk </w:t>
      </w:r>
      <w:r w:rsidR="00B140CE">
        <w:rPr>
          <w:shd w:val="clear" w:color="auto" w:fill="FFFFFF"/>
        </w:rPr>
        <w:t>q</w:t>
      </w:r>
      <w:r w:rsidR="00D123DF">
        <w:rPr>
          <w:shd w:val="clear" w:color="auto" w:fill="FFFFFF"/>
        </w:rPr>
        <w:t>uadru</w:t>
      </w:r>
      <w:r w:rsidR="00D2011A">
        <w:rPr>
          <w:shd w:val="clear" w:color="auto" w:fill="FFFFFF"/>
        </w:rPr>
        <w:t>plet</w:t>
      </w:r>
      <w:r w:rsidR="00D123DF">
        <w:rPr>
          <w:shd w:val="clear" w:color="auto" w:fill="FFFFFF"/>
        </w:rPr>
        <w:t xml:space="preserve"> not only </w:t>
      </w:r>
      <w:r w:rsidR="00D123DF">
        <w:rPr>
          <w:shd w:val="clear" w:color="auto" w:fill="FFFFFF"/>
        </w:rPr>
        <w:lastRenderedPageBreak/>
        <w:t xml:space="preserve">considers </w:t>
      </w:r>
      <w:r w:rsidR="00E9222E" w:rsidRPr="002F520B">
        <w:rPr>
          <w:shd w:val="clear" w:color="auto" w:fill="FFFFFF"/>
        </w:rPr>
        <w:t xml:space="preserve">the set of </w:t>
      </w:r>
      <w:r w:rsidR="00D123DF">
        <w:rPr>
          <w:shd w:val="clear" w:color="auto" w:fill="FFFFFF"/>
        </w:rPr>
        <w:t xml:space="preserve">the </w:t>
      </w:r>
      <w:r w:rsidR="002E469F">
        <w:rPr>
          <w:shd w:val="clear" w:color="auto" w:fill="FFFFFF"/>
        </w:rPr>
        <w:t xml:space="preserve">first </w:t>
      </w:r>
      <w:r w:rsidR="00E9222E" w:rsidRPr="002F520B">
        <w:rPr>
          <w:shd w:val="clear" w:color="auto" w:fill="FFFFFF"/>
        </w:rPr>
        <w:t xml:space="preserve">three </w:t>
      </w:r>
      <w:r w:rsidR="00D123DF">
        <w:rPr>
          <w:shd w:val="clear" w:color="auto" w:fill="FFFFFF"/>
        </w:rPr>
        <w:t xml:space="preserve">standard </w:t>
      </w:r>
      <w:r w:rsidR="00E9222E" w:rsidRPr="002F520B">
        <w:rPr>
          <w:shd w:val="clear" w:color="auto" w:fill="FFFFFF"/>
        </w:rPr>
        <w:t xml:space="preserve">questions </w:t>
      </w:r>
      <w:r w:rsidR="001F13C3">
        <w:rPr>
          <w:shd w:val="clear" w:color="auto" w:fill="FFFFFF"/>
        </w:rPr>
        <w:t>to define “risk”</w:t>
      </w:r>
      <w:r w:rsidR="00D123DF">
        <w:rPr>
          <w:shd w:val="clear" w:color="auto" w:fill="FFFFFF"/>
        </w:rPr>
        <w:t xml:space="preserve"> based on the standard </w:t>
      </w:r>
      <w:r w:rsidR="002123E7">
        <w:rPr>
          <w:shd w:val="clear" w:color="auto" w:fill="FFFFFF"/>
        </w:rPr>
        <w:t>r</w:t>
      </w:r>
      <w:r w:rsidR="00EB0B6D">
        <w:rPr>
          <w:shd w:val="clear" w:color="auto" w:fill="FFFFFF"/>
        </w:rPr>
        <w:t xml:space="preserve">isk </w:t>
      </w:r>
      <w:r w:rsidR="002123E7">
        <w:rPr>
          <w:shd w:val="clear" w:color="auto" w:fill="FFFFFF"/>
        </w:rPr>
        <w:t>t</w:t>
      </w:r>
      <w:r w:rsidR="00D123DF">
        <w:rPr>
          <w:shd w:val="clear" w:color="auto" w:fill="FFFFFF"/>
        </w:rPr>
        <w:t>riplet</w:t>
      </w:r>
      <w:r w:rsidR="00E9222E" w:rsidRPr="002F520B">
        <w:rPr>
          <w:shd w:val="clear" w:color="auto" w:fill="FFFFFF"/>
        </w:rPr>
        <w:t xml:space="preserve"> </w:t>
      </w:r>
      <w:r w:rsidR="002E469F">
        <w:rPr>
          <w:shd w:val="clear" w:color="auto" w:fill="FFFFFF"/>
        </w:rPr>
        <w:t>(</w:t>
      </w:r>
      <w:r w:rsidR="00E9222E" w:rsidRPr="00F751DC">
        <w:rPr>
          <w:i/>
          <w:shd w:val="clear" w:color="auto" w:fill="FFFFFF"/>
        </w:rPr>
        <w:t>What can go wrong?</w:t>
      </w:r>
      <w:r w:rsidR="00CA1E8F">
        <w:rPr>
          <w:shd w:val="clear" w:color="auto" w:fill="FFFFFF"/>
        </w:rPr>
        <w:t xml:space="preserve">, </w:t>
      </w:r>
      <w:r w:rsidR="00E9222E" w:rsidRPr="00F751DC">
        <w:rPr>
          <w:i/>
          <w:shd w:val="clear" w:color="auto" w:fill="FFFFFF"/>
        </w:rPr>
        <w:t>How likely is it?</w:t>
      </w:r>
      <w:r w:rsidR="00CA1E8F">
        <w:rPr>
          <w:shd w:val="clear" w:color="auto" w:fill="FFFFFF"/>
        </w:rPr>
        <w:t xml:space="preserve"> and </w:t>
      </w:r>
      <w:r w:rsidR="00E9222E" w:rsidRPr="00F751DC">
        <w:rPr>
          <w:i/>
          <w:shd w:val="clear" w:color="auto" w:fill="FFFFFF"/>
        </w:rPr>
        <w:t>What are the consequences?</w:t>
      </w:r>
      <w:r w:rsidR="002E469F" w:rsidRPr="008C0F31">
        <w:rPr>
          <w:iCs/>
          <w:shd w:val="clear" w:color="auto" w:fill="FFFFFF"/>
        </w:rPr>
        <w:t>)</w:t>
      </w:r>
      <w:r w:rsidR="00D123DF">
        <w:rPr>
          <w:shd w:val="clear" w:color="auto" w:fill="FFFFFF"/>
        </w:rPr>
        <w:t xml:space="preserve">, but also </w:t>
      </w:r>
      <w:r w:rsidR="002E469F">
        <w:rPr>
          <w:shd w:val="clear" w:color="auto" w:fill="FFFFFF"/>
        </w:rPr>
        <w:t xml:space="preserve">addresses </w:t>
      </w:r>
      <w:r w:rsidR="00B140CE">
        <w:rPr>
          <w:shd w:val="clear" w:color="auto" w:fill="FFFFFF"/>
        </w:rPr>
        <w:t xml:space="preserve">explicitly </w:t>
      </w:r>
      <w:r w:rsidR="00D123DF">
        <w:rPr>
          <w:shd w:val="clear" w:color="auto" w:fill="FFFFFF"/>
        </w:rPr>
        <w:t xml:space="preserve">the </w:t>
      </w:r>
      <w:r w:rsidR="002E469F">
        <w:rPr>
          <w:shd w:val="clear" w:color="auto" w:fill="FFFFFF"/>
        </w:rPr>
        <w:t>fourth question</w:t>
      </w:r>
      <w:r w:rsidR="00D123DF">
        <w:rPr>
          <w:shd w:val="clear" w:color="auto" w:fill="FFFFFF"/>
        </w:rPr>
        <w:t xml:space="preserve"> </w:t>
      </w:r>
      <w:r w:rsidR="002E469F">
        <w:rPr>
          <w:shd w:val="clear" w:color="auto" w:fill="FFFFFF"/>
        </w:rPr>
        <w:t>(</w:t>
      </w:r>
      <w:r w:rsidR="00D123DF" w:rsidRPr="00D123DF">
        <w:rPr>
          <w:i/>
          <w:shd w:val="clear" w:color="auto" w:fill="FFFFFF"/>
        </w:rPr>
        <w:t xml:space="preserve">What </w:t>
      </w:r>
      <w:r w:rsidR="009C5BE0">
        <w:rPr>
          <w:i/>
          <w:shd w:val="clear" w:color="auto" w:fill="FFFFFF"/>
        </w:rPr>
        <w:t>are</w:t>
      </w:r>
      <w:r w:rsidR="00D123DF" w:rsidRPr="00D123DF">
        <w:rPr>
          <w:i/>
          <w:shd w:val="clear" w:color="auto" w:fill="FFFFFF"/>
        </w:rPr>
        <w:t xml:space="preserve"> the </w:t>
      </w:r>
      <w:r w:rsidR="009C5BE0">
        <w:rPr>
          <w:i/>
          <w:shd w:val="clear" w:color="auto" w:fill="FFFFFF"/>
        </w:rPr>
        <w:t>causal relations</w:t>
      </w:r>
      <w:r w:rsidR="00D123DF" w:rsidRPr="00D123DF">
        <w:rPr>
          <w:i/>
          <w:shd w:val="clear" w:color="auto" w:fill="FFFFFF"/>
        </w:rPr>
        <w:t>?</w:t>
      </w:r>
      <w:r w:rsidR="002E469F" w:rsidRPr="008C0F31">
        <w:rPr>
          <w:iCs/>
          <w:shd w:val="clear" w:color="auto" w:fill="FFFFFF"/>
        </w:rPr>
        <w:t>)</w:t>
      </w:r>
      <w:r w:rsidR="005F389E">
        <w:rPr>
          <w:shd w:val="clear" w:color="auto" w:fill="FFFFFF"/>
        </w:rPr>
        <w:t>. The latter is key to</w:t>
      </w:r>
      <w:r w:rsidR="0019671B">
        <w:rPr>
          <w:shd w:val="clear" w:color="auto" w:fill="FFFFFF"/>
        </w:rPr>
        <w:t xml:space="preserve"> risk assessment research</w:t>
      </w:r>
      <w:r w:rsidR="005F389E">
        <w:rPr>
          <w:shd w:val="clear" w:color="auto" w:fill="FFFFFF"/>
        </w:rPr>
        <w:t>, since deciphering the nature of causal interactions of different variables relevant to a complex system can aid us in assessing its evolution – and, thus improve our decision</w:t>
      </w:r>
      <w:r w:rsidR="00C96F49">
        <w:rPr>
          <w:shd w:val="clear" w:color="auto" w:fill="FFFFFF"/>
        </w:rPr>
        <w:t xml:space="preserve"> and policy </w:t>
      </w:r>
      <w:r w:rsidR="005F389E">
        <w:rPr>
          <w:shd w:val="clear" w:color="auto" w:fill="FFFFFF"/>
        </w:rPr>
        <w:t>making</w:t>
      </w:r>
      <w:r w:rsidR="00C96F49">
        <w:rPr>
          <w:shd w:val="clear" w:color="auto" w:fill="FFFFFF"/>
        </w:rPr>
        <w:t xml:space="preserve"> abilities</w:t>
      </w:r>
      <w:r w:rsidR="005F389E">
        <w:rPr>
          <w:shd w:val="clear" w:color="auto" w:fill="FFFFFF"/>
        </w:rPr>
        <w:t>.</w:t>
      </w:r>
    </w:p>
    <w:p w14:paraId="6831AFE5" w14:textId="77777777" w:rsidR="009D35EF" w:rsidRPr="009D35EF" w:rsidRDefault="009D35EF" w:rsidP="009D35EF">
      <w:pPr>
        <w:widowControl w:val="0"/>
        <w:autoSpaceDE w:val="0"/>
        <w:autoSpaceDN w:val="0"/>
        <w:adjustRightInd w:val="0"/>
        <w:spacing w:before="120" w:after="120" w:line="360" w:lineRule="auto"/>
        <w:ind w:firstLine="284"/>
        <w:jc w:val="both"/>
        <w:rPr>
          <w:shd w:val="clear" w:color="auto" w:fill="FFFFFF"/>
        </w:rPr>
      </w:pPr>
    </w:p>
    <w:p w14:paraId="49968C84" w14:textId="3AAA5845" w:rsidR="009D120C" w:rsidRDefault="008B5CDE" w:rsidP="009D120C">
      <w:pPr>
        <w:pStyle w:val="ListParagraph"/>
        <w:numPr>
          <w:ilvl w:val="0"/>
          <w:numId w:val="1"/>
        </w:numPr>
        <w:spacing w:before="120" w:after="120" w:line="360" w:lineRule="auto"/>
        <w:jc w:val="both"/>
        <w:rPr>
          <w:rFonts w:ascii="Times New Roman" w:hAnsi="Times New Roman" w:cs="Times New Roman"/>
          <w:b/>
          <w:bCs/>
          <w:sz w:val="24"/>
          <w:szCs w:val="24"/>
        </w:rPr>
      </w:pPr>
      <w:r w:rsidRPr="0024479F">
        <w:rPr>
          <w:rFonts w:ascii="Times New Roman" w:hAnsi="Times New Roman" w:cs="Times New Roman"/>
          <w:b/>
          <w:bCs/>
          <w:sz w:val="24"/>
          <w:szCs w:val="24"/>
        </w:rPr>
        <w:t>Introduction to Pattern Causality</w:t>
      </w:r>
      <w:r w:rsidR="00B13B7C" w:rsidRPr="009513BC">
        <w:rPr>
          <w:rFonts w:ascii="Times New Roman" w:hAnsi="Times New Roman" w:cs="Times New Roman"/>
          <w:b/>
          <w:bCs/>
          <w:sz w:val="24"/>
          <w:szCs w:val="24"/>
        </w:rPr>
        <w:t xml:space="preserve"> </w:t>
      </w:r>
    </w:p>
    <w:p w14:paraId="5689DA25" w14:textId="2CA747B8" w:rsidR="000A1B43" w:rsidRDefault="00D87BB1" w:rsidP="000A1B43">
      <w:pPr>
        <w:spacing w:before="120" w:after="120" w:line="360" w:lineRule="auto"/>
        <w:ind w:firstLine="284"/>
        <w:jc w:val="both"/>
      </w:pPr>
      <w:r>
        <w:t>The concept of c</w:t>
      </w:r>
      <w:r w:rsidR="008B5CDE">
        <w:t xml:space="preserve">ausality permeated decision making since </w:t>
      </w:r>
      <w:r w:rsidR="00871DF1">
        <w:t xml:space="preserve">the </w:t>
      </w:r>
      <w:r w:rsidR="008B5CDE">
        <w:t>antiquity</w:t>
      </w:r>
      <w:r>
        <w:t>, with people</w:t>
      </w:r>
      <w:r w:rsidR="006A14A6">
        <w:t xml:space="preserve"> since then</w:t>
      </w:r>
      <w:r>
        <w:t xml:space="preserve"> tending to interpret it across a continuum, ranging from </w:t>
      </w:r>
      <w:r w:rsidR="00DF71F2">
        <w:t>arbitrary causality based on random observations to the identification of consistent patterns that separated random observations from truly causal observations</w:t>
      </w:r>
      <w:r w:rsidR="00ED0D9A">
        <w:t xml:space="preserve"> </w:t>
      </w:r>
      <w:r w:rsidR="00ED0D9A">
        <w:fldChar w:fldCharType="begin" w:fldLock="1"/>
      </w:r>
      <w:r w:rsidR="00ED0D9A">
        <w:instrText>ADDIN CSL_CITATION {"citationItems":[{"id":"ITEM-1","itemData":{"ISBN":"978-0960287017","author":[{"dropping-particle":"","family":"Cohen, S. Marc and Reeve","given":"C. D. C.","non-dropping-particle":"","parse-names":false,"suffix":""}],"edition":"Winter 202","editor":[{"dropping-particle":"","family":"Edward N. Zalta","given":"","non-dropping-particle":"","parse-names":false,"suffix":""}],"id":"ITEM-1","issued":{"date-parts":[["2020"]]},"publisher":"Metaphysics Research Lab, Stanford University","title":"Aristotle’s Metaphysics","type":"book"},"uris":["http://www.mendeley.com/documents/?uuid=09f01130-616c-4614-901c-d522525aee83"]}],"mendeley":{"formattedCitation":"(Cohen, S. Marc and Reeve, 2020)","plainTextFormattedCitation":"(Cohen, S. Marc and Reeve, 2020)","previouslyFormattedCitation":"(Cohen, S. Marc and Reeve, 2020)"},"properties":{"noteIndex":0},"schema":"https://github.com/citation-style-language/schema/raw/master/csl-citation.json"}</w:instrText>
      </w:r>
      <w:r w:rsidR="00ED0D9A">
        <w:fldChar w:fldCharType="separate"/>
      </w:r>
      <w:r w:rsidR="00ED0D9A" w:rsidRPr="00ED0D9A">
        <w:rPr>
          <w:noProof/>
        </w:rPr>
        <w:t xml:space="preserve">(Cohen </w:t>
      </w:r>
      <w:r w:rsidR="00897EBC">
        <w:rPr>
          <w:noProof/>
        </w:rPr>
        <w:t>&amp;</w:t>
      </w:r>
      <w:r w:rsidR="00ED0D9A" w:rsidRPr="00ED0D9A">
        <w:rPr>
          <w:noProof/>
        </w:rPr>
        <w:t xml:space="preserve"> Reeve, 2020)</w:t>
      </w:r>
      <w:r w:rsidR="00ED0D9A">
        <w:fldChar w:fldCharType="end"/>
      </w:r>
      <w:r w:rsidR="00ED0D9A">
        <w:t xml:space="preserve">, </w:t>
      </w:r>
      <w:r w:rsidR="00ED0D9A">
        <w:fldChar w:fldCharType="begin" w:fldLock="1"/>
      </w:r>
      <w:r w:rsidR="00ED0D9A">
        <w:instrText>ADDIN CSL_CITATION {"citationItems":[{"id":"ITEM-1","itemData":{"DOI":"10.1080/10572252.2019.1669967","ISSN":"1057-2252","author":[{"dropping-particle":"","family":"Cornblatt","given":"Chenchen","non-dropping-particle":"","parse-names":false,"suffix":""}],"container-title":"Technical Communication Quarterly","id":"ITEM-1","issue":"1","issued":{"date-parts":[["2020","1","2"]]},"page":"110-113","title":"Guiguzi, China’s First Treatise on Rhetoric: A Critical Translation and Commentary","type":"article-journal","volume":"29"},"uris":["http://www.mendeley.com/documents/?uuid=104c8ba4-c1ba-45e6-9022-8495ef98ecba"]}],"mendeley":{"formattedCitation":"(Cornblatt, 2020)","plainTextFormattedCitation":"(Cornblatt, 2020)","previouslyFormattedCitation":"(Cornblatt, 2020)"},"properties":{"noteIndex":0},"schema":"https://github.com/citation-style-language/schema/raw/master/csl-citation.json"}</w:instrText>
      </w:r>
      <w:r w:rsidR="00ED0D9A">
        <w:fldChar w:fldCharType="separate"/>
      </w:r>
      <w:r w:rsidR="00ED0D9A" w:rsidRPr="00ED0D9A">
        <w:rPr>
          <w:noProof/>
        </w:rPr>
        <w:t>(Cornblatt, 2020)</w:t>
      </w:r>
      <w:r w:rsidR="00ED0D9A">
        <w:fldChar w:fldCharType="end"/>
      </w:r>
      <w:r w:rsidR="00ED0D9A">
        <w:t xml:space="preserve">, </w:t>
      </w:r>
      <w:r w:rsidR="00ED0D9A">
        <w:fldChar w:fldCharType="begin" w:fldLock="1"/>
      </w:r>
      <w:r w:rsidR="00ED0D9A">
        <w:instrText>ADDIN CSL_CITATION {"citationItems":[{"id":"ITEM-1","itemData":{"DOI":"10.2307/606596","ISSN":"00030279","author":[{"dropping-particle":"","family":"Gerber","given":"Manuel","non-dropping-particle":"","parse-names":false,"suffix":""},{"dropping-particle":"","family":"Hunger","given":"Hermann","non-dropping-particle":"","parse-names":false,"suffix":""},{"dropping-particle":"","family":"Pingree","given":"David","non-dropping-particle":"","parse-names":false,"suffix":""}],"container-title":"Journal of the American Oriental Society","id":"ITEM-1","issue":"2","issued":{"date-parts":[["2001","4"]]},"page":"317","title":"Astral Sciences in Mesopotamia","type":"article-journal","volume":"121"},"uris":["http://www.mendeley.com/documents/?uuid=bd8adc12-4607-4505-a835-6333905e92bc"]}],"mendeley":{"formattedCitation":"(Gerber et al., 2001)","plainTextFormattedCitation":"(Gerber et al., 2001)","previouslyFormattedCitation":"(Gerber et al., 2001)"},"properties":{"noteIndex":0},"schema":"https://github.com/citation-style-language/schema/raw/master/csl-citation.json"}</w:instrText>
      </w:r>
      <w:r w:rsidR="00ED0D9A">
        <w:fldChar w:fldCharType="separate"/>
      </w:r>
      <w:r w:rsidR="00ED0D9A" w:rsidRPr="00ED0D9A">
        <w:rPr>
          <w:noProof/>
        </w:rPr>
        <w:t>(Gerber,</w:t>
      </w:r>
      <w:r w:rsidR="00897EBC">
        <w:rPr>
          <w:noProof/>
        </w:rPr>
        <w:t xml:space="preserve"> Hunger </w:t>
      </w:r>
      <w:r w:rsidR="007A33B9">
        <w:rPr>
          <w:noProof/>
        </w:rPr>
        <w:t>&amp;</w:t>
      </w:r>
      <w:r w:rsidR="00897EBC">
        <w:rPr>
          <w:noProof/>
        </w:rPr>
        <w:t xml:space="preserve"> Pingree,</w:t>
      </w:r>
      <w:r w:rsidR="00ED0D9A" w:rsidRPr="00ED0D9A">
        <w:rPr>
          <w:noProof/>
        </w:rPr>
        <w:t xml:space="preserve"> 2001)</w:t>
      </w:r>
      <w:r w:rsidR="00ED0D9A">
        <w:fldChar w:fldCharType="end"/>
      </w:r>
      <w:r w:rsidR="00ED0D9A">
        <w:t xml:space="preserve"> and </w:t>
      </w:r>
      <w:r w:rsidR="00ED0D9A">
        <w:fldChar w:fldCharType="begin" w:fldLock="1"/>
      </w:r>
      <w:r w:rsidR="00ED0D9A">
        <w:instrText>ADDIN CSL_CITATION {"citationItems":[{"id":"ITEM-1","itemData":{"ISBN":"9780471129943","abstract":"Includes index. Derivatives are the power tools that enable users to analyze components of risk and return inherent in an investment or a business. The popularity of derivative use in the marketplace has surged in recent years, spurring financial innovation and better risk management. Yet this popular instrument is double-edged: derivatives are as risky as they are beneficial. In light of recent, highly publicized disasters - the Orange County bankruptcy and the Barings fiasco - it is imperative that business and finance professionals have a current and basic knowledge of this complicated and venturesome field. If you are a shareholder, director, or other decision maker in a company utilizing derivatives, it is important that you know how to maximize the benefits of derivatives and minimize the damage that they can cause. Now, two leading financial experts provide the solid principles you need to understand and properly use derivative products and structured financing. 1. Options and Futures -- 2. Swaps and Structured Notes -- 3. Mortgage \"Derivatives\" -- 4. Leverage -- 5. Overview of Modern Derivatives Uses -- 6. Hedging a Stock Portfolio -- 7. Business Risk Management -- 8. Investing Through Derivatives -- 9. Summary of Risk -- 10. Derivative Disasters -- 11. Derivative Regulation -- 12. Controlling Risk -- 13. Your Fiduciary Duty -- 14. Standard of Care in Delegation -- 15. Legal Liability in Using Derivatives -- 16. Looking Forward.","author":[{"dropping-particle":"","family":"Crawford","given":"George.","non-dropping-particle":"","parse-names":false,"suffix":""},{"dropping-particle":"","family":"Sen","given":"Bidyut.","non-dropping-particle":"","parse-names":false,"suffix":""}],"id":"ITEM-1","issued":{"date-parts":[["1996"]]},"number-of-pages":"222","publisher":"John Wiley &amp; Sons","title":"Derivatives for decision makers : strategic management issues","type":"book"},"uris":["http://www.mendeley.com/documents/?uuid=cf05f634-065e-3de8-b945-31b8296fc018"]}],"mendeley":{"formattedCitation":"(Crawford &amp; Sen, 1996)","plainTextFormattedCitation":"(Crawford &amp; Sen, 1996)","previouslyFormattedCitation":"(Crawford &amp; Sen, 1996)"},"properties":{"noteIndex":0},"schema":"https://github.com/citation-style-language/schema/raw/master/csl-citation.json"}</w:instrText>
      </w:r>
      <w:r w:rsidR="00ED0D9A">
        <w:fldChar w:fldCharType="separate"/>
      </w:r>
      <w:r w:rsidR="00ED0D9A" w:rsidRPr="00ED0D9A">
        <w:rPr>
          <w:noProof/>
        </w:rPr>
        <w:t>(Crawford &amp; Sen, 1996)</w:t>
      </w:r>
      <w:r w:rsidR="00ED0D9A">
        <w:fldChar w:fldCharType="end"/>
      </w:r>
      <w:r w:rsidR="0087160F">
        <w:t>.</w:t>
      </w:r>
      <w:r>
        <w:t xml:space="preserve"> </w:t>
      </w:r>
      <w:r w:rsidR="000E3F73">
        <w:t>In more recent times, research on causality has shifted toward extrapolating from consistent patterns in order to define governing principles of systems bearing varying degrees of complexity</w:t>
      </w:r>
      <w:r w:rsidR="006B2397">
        <w:t>.</w:t>
      </w:r>
      <w:r w:rsidR="000E3F73">
        <w:t xml:space="preserve"> </w:t>
      </w:r>
      <w:r w:rsidR="008B5CDE">
        <w:t xml:space="preserve"> </w:t>
      </w:r>
    </w:p>
    <w:p w14:paraId="2E4F0A15" w14:textId="4E38B4EA" w:rsidR="0024479F" w:rsidRPr="006B2397" w:rsidRDefault="00A15E7E" w:rsidP="000A1B43">
      <w:pPr>
        <w:spacing w:before="120" w:after="120" w:line="360" w:lineRule="auto"/>
        <w:ind w:firstLine="284"/>
        <w:jc w:val="both"/>
        <w:rPr>
          <w:b/>
          <w:bCs/>
        </w:rPr>
      </w:pPr>
      <w:r>
        <w:t xml:space="preserve">This </w:t>
      </w:r>
      <w:r w:rsidR="00ED33A2">
        <w:t xml:space="preserve">abstraction </w:t>
      </w:r>
      <w:r>
        <w:t>allows</w:t>
      </w:r>
      <w:r w:rsidR="00181ADF">
        <w:t xml:space="preserve"> us</w:t>
      </w:r>
      <w:r>
        <w:t xml:space="preserve"> to formulate alternative scenario</w:t>
      </w:r>
      <w:r w:rsidR="00AF51D8">
        <w:t>s</w:t>
      </w:r>
      <w:r>
        <w:t xml:space="preserve"> and consequences of what </w:t>
      </w:r>
      <w:r w:rsidR="005C2C03">
        <w:t>to expect</w:t>
      </w:r>
      <w:r w:rsidR="00D71761">
        <w:t xml:space="preserve">, based on the </w:t>
      </w:r>
      <w:r w:rsidR="004A5788">
        <w:t>established causalities</w:t>
      </w:r>
      <w:r w:rsidR="00A9700A">
        <w:t xml:space="preserve"> </w:t>
      </w:r>
      <w:r w:rsidR="00ED33A2">
        <w:t>identified</w:t>
      </w:r>
      <w:r w:rsidR="001578BC">
        <w:t>.</w:t>
      </w:r>
      <w:r w:rsidR="00ED33A2">
        <w:t xml:space="preserve"> </w:t>
      </w:r>
      <w:r w:rsidR="001578BC">
        <w:t>T</w:t>
      </w:r>
      <w:r w:rsidR="00B61DDD">
        <w:t xml:space="preserve">his abstraction and the very </w:t>
      </w:r>
      <w:r w:rsidR="000F7A89">
        <w:t>principles that emerge from such a process</w:t>
      </w:r>
      <w:r w:rsidR="00421382">
        <w:t xml:space="preserve"> </w:t>
      </w:r>
      <w:r w:rsidR="001578BC">
        <w:t xml:space="preserve">provide the </w:t>
      </w:r>
      <w:r w:rsidR="00F62B7E">
        <w:t>motivat</w:t>
      </w:r>
      <w:r w:rsidR="001578BC">
        <w:t xml:space="preserve">ion </w:t>
      </w:r>
      <w:r w:rsidR="00D50271">
        <w:t>to design this</w:t>
      </w:r>
      <w:r w:rsidR="001578BC">
        <w:t xml:space="preserve"> proposed</w:t>
      </w:r>
      <w:r w:rsidR="00D50271">
        <w:t xml:space="preserve"> causal risk-based </w:t>
      </w:r>
      <w:r w:rsidR="0044071C">
        <w:t>decision-making</w:t>
      </w:r>
      <w:r w:rsidR="00D50271">
        <w:t xml:space="preserve"> </w:t>
      </w:r>
      <w:r w:rsidR="008A4031">
        <w:t>methodology</w:t>
      </w:r>
      <w:r w:rsidR="00ED33A2">
        <w:t xml:space="preserve"> </w:t>
      </w:r>
      <w:r w:rsidR="001578BC">
        <w:t>conceptualized in this section</w:t>
      </w:r>
      <w:r w:rsidR="00EE48FC">
        <w:t>.</w:t>
      </w:r>
    </w:p>
    <w:p w14:paraId="023B93F7" w14:textId="366BA25B" w:rsidR="00ED33A2" w:rsidRDefault="00ED33A2" w:rsidP="001A25FB">
      <w:pPr>
        <w:spacing w:before="120" w:after="120" w:line="360" w:lineRule="auto"/>
        <w:ind w:firstLine="284"/>
        <w:jc w:val="both"/>
      </w:pPr>
      <w:r>
        <w:t>To begin with, the crux of</w:t>
      </w:r>
      <w:r w:rsidR="00FC11C4">
        <w:t xml:space="preserve"> the</w:t>
      </w:r>
      <w:r>
        <w:t xml:space="preserve"> argument</w:t>
      </w:r>
      <w:r w:rsidR="00FC11C4">
        <w:t xml:space="preserve"> for the </w:t>
      </w:r>
      <w:r w:rsidR="00103481">
        <w:t>methodology</w:t>
      </w:r>
      <w:r w:rsidR="00B05F41">
        <w:t xml:space="preserve"> rests</w:t>
      </w:r>
      <w:r>
        <w:t xml:space="preserve"> upon the enhanced volatility and interconnectivity </w:t>
      </w:r>
      <w:r w:rsidR="0095444B">
        <w:t xml:space="preserve">of </w:t>
      </w:r>
      <w:r w:rsidR="00FC11C4">
        <w:t xml:space="preserve">many </w:t>
      </w:r>
      <w:r w:rsidR="00871DF1">
        <w:t xml:space="preserve">challenges </w:t>
      </w:r>
      <w:r w:rsidR="00FC11C4">
        <w:t>facing humanity</w:t>
      </w:r>
      <w:r w:rsidR="00871DF1">
        <w:t xml:space="preserve"> that, increase </w:t>
      </w:r>
      <w:r>
        <w:t>complexity in decision making</w:t>
      </w:r>
      <w:r w:rsidR="00FC11C4">
        <w:t xml:space="preserve"> </w:t>
      </w:r>
      <w:r w:rsidR="00871DF1">
        <w:t xml:space="preserve">and force us to </w:t>
      </w:r>
      <w:r w:rsidR="00FC11C4">
        <w:t xml:space="preserve">account for </w:t>
      </w:r>
      <w:r>
        <w:t>multiple risk factors</w:t>
      </w:r>
      <w:r w:rsidR="00871DF1">
        <w:t xml:space="preserve">; this, in turn, is </w:t>
      </w:r>
      <w:r>
        <w:t>prompt</w:t>
      </w:r>
      <w:r w:rsidR="00FC11C4">
        <w:t>ing</w:t>
      </w:r>
      <w:r>
        <w:t xml:space="preserve"> public discourse to acknowledge the importance of unveiling the structure of complex systems in order to improve the assessment of those risk factors. </w:t>
      </w:r>
    </w:p>
    <w:p w14:paraId="2D956AB0" w14:textId="0BB7324C" w:rsidR="00B13B7C" w:rsidRPr="009513BC" w:rsidRDefault="000A395D" w:rsidP="001A25FB">
      <w:pPr>
        <w:spacing w:before="120" w:after="120" w:line="360" w:lineRule="auto"/>
        <w:ind w:firstLine="284"/>
        <w:jc w:val="both"/>
      </w:pPr>
      <w:r w:rsidRPr="008B15CB">
        <w:t>Recently,</w:t>
      </w:r>
      <w:r w:rsidR="002F0387" w:rsidRPr="008B15CB">
        <w:t xml:space="preserve"> </w:t>
      </w:r>
      <w:r w:rsidR="002678C5">
        <w:fldChar w:fldCharType="begin" w:fldLock="1"/>
      </w:r>
      <w:r w:rsidR="002678C5">
        <w:instrText>ADDIN CSL_CITATION {"citationItems":[{"id":"ITEM-1","itemData":{"DOI":"10.1073/pnas.1819449116","ISSN":"0027-8424","abstract":"The hidden nature of causality is a puzzling, yet critical notion for effective decision-making. Financial markets are characterized by fluctuating interdependencies which seldom give rise to emergent phenomena such as bubbles or crashes. In this paper, we propose a method based on symbolic dynamics, which probes beneath the surface of abstract causality and unveils the nature of causal interactions. Our method allows distinction between positive and negative interdependencies as well as a hybrid form that we refer to as “dark causality.” We propose an algorithm which is validated by models of a priori defined causal interaction. Then, we test our method on asset pairs and on a network of sovereign credit default swaps (CDS). Our findings suggest that dark causality dominates the sovereign CDS network, indicating interdependencies which require caution from an investor’s perspective.","author":[{"dropping-particle":"","family":"Stavroglou","given":"Stavros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Sciences","id":"ITEM-1","issue":"22","issued":{"date-parts":[["2019","5","28"]]},"page":"10646-10651","title":"Hidden interactions in financial markets","type":"article-journal","volume":"116"},"uris":["http://www.mendeley.com/documents/?uuid=3566b0c4-ea7b-4f9b-97a4-34a9770b8f5d"]}],"mendeley":{"formattedCitation":"(Stavroglou et al., 2019)","plainTextFormattedCitation":"(Stavroglou et al., 2019)","previouslyFormattedCitation":"(Stavroglou et al., 2019)"},"properties":{"noteIndex":0},"schema":"https://github.com/citation-style-language/schema/raw/master/csl-citation.json"}</w:instrText>
      </w:r>
      <w:r w:rsidR="002678C5">
        <w:fldChar w:fldCharType="separate"/>
      </w:r>
      <w:r w:rsidR="002678C5" w:rsidRPr="00ED0D9A">
        <w:rPr>
          <w:noProof/>
        </w:rPr>
        <w:t>Stavroglou</w:t>
      </w:r>
      <w:r w:rsidR="00897EBC">
        <w:rPr>
          <w:noProof/>
        </w:rPr>
        <w:t>, Pantelous, Stanley and Zuev</w:t>
      </w:r>
      <w:r w:rsidR="002678C5" w:rsidRPr="00ED0D9A">
        <w:rPr>
          <w:noProof/>
        </w:rPr>
        <w:t xml:space="preserve"> </w:t>
      </w:r>
      <w:r w:rsidR="00621AD2">
        <w:rPr>
          <w:noProof/>
        </w:rPr>
        <w:t>(</w:t>
      </w:r>
      <w:r w:rsidR="002678C5" w:rsidRPr="00ED0D9A">
        <w:rPr>
          <w:noProof/>
        </w:rPr>
        <w:t>2019</w:t>
      </w:r>
      <w:r w:rsidR="00897EBC">
        <w:rPr>
          <w:noProof/>
        </w:rPr>
        <w:t>, 2020</w:t>
      </w:r>
      <w:r w:rsidR="002678C5" w:rsidRPr="00ED0D9A">
        <w:rPr>
          <w:noProof/>
        </w:rPr>
        <w:t>)</w:t>
      </w:r>
      <w:r w:rsidR="002678C5">
        <w:fldChar w:fldCharType="end"/>
      </w:r>
      <w:r w:rsidR="002678C5">
        <w:t xml:space="preserve"> </w:t>
      </w:r>
      <w:r w:rsidR="00C931EB" w:rsidRPr="008B15CB">
        <w:t>propose</w:t>
      </w:r>
      <w:r w:rsidR="00F62B7E">
        <w:t>d</w:t>
      </w:r>
      <w:r w:rsidR="00C931EB" w:rsidRPr="008B15CB">
        <w:t xml:space="preserve"> </w:t>
      </w:r>
      <w:r w:rsidR="00DA5CA8">
        <w:t>the</w:t>
      </w:r>
      <w:r w:rsidR="00F62B7E" w:rsidRPr="008B15CB">
        <w:t xml:space="preserve"> </w:t>
      </w:r>
      <w:r w:rsidR="00ED33A2">
        <w:t>pattern causality (PC, hereafter)</w:t>
      </w:r>
      <w:r w:rsidR="00ED0D9A">
        <w:t xml:space="preserve"> </w:t>
      </w:r>
      <w:r w:rsidR="00C931EB" w:rsidRPr="008B15CB">
        <w:t xml:space="preserve">algorithm </w:t>
      </w:r>
      <w:r w:rsidR="00ED33A2">
        <w:t>geared towards</w:t>
      </w:r>
      <w:r w:rsidR="00C931EB" w:rsidRPr="008B15CB">
        <w:t xml:space="preserve"> </w:t>
      </w:r>
      <w:r w:rsidR="00F62B7E">
        <w:t>deciphering</w:t>
      </w:r>
      <w:r w:rsidR="00F62B7E" w:rsidRPr="008B15CB">
        <w:t xml:space="preserve"> </w:t>
      </w:r>
      <w:r w:rsidR="00C931EB" w:rsidRPr="008B15CB">
        <w:t>the nature of causality</w:t>
      </w:r>
      <w:r w:rsidR="00F62B7E">
        <w:t>, drawing on</w:t>
      </w:r>
      <w:r w:rsidR="00C931EB" w:rsidRPr="008B15CB">
        <w:t xml:space="preserve"> theories of symbolic dynamics and attractor reconstruction. According to </w:t>
      </w:r>
      <w:r w:rsidR="00103481">
        <w:t>their</w:t>
      </w:r>
      <w:r w:rsidR="00790B15" w:rsidRPr="008B15CB">
        <w:t xml:space="preserve"> </w:t>
      </w:r>
      <w:r w:rsidR="0011664B" w:rsidRPr="008B15CB">
        <w:t>treatment</w:t>
      </w:r>
      <w:r w:rsidR="00C931EB" w:rsidRPr="008B15CB">
        <w:t xml:space="preserve">, each time series </w:t>
      </w:r>
      <w:r w:rsidR="0011664B" w:rsidRPr="008B15CB">
        <w:t xml:space="preserve">can be represented </w:t>
      </w:r>
      <w:r w:rsidR="00C931EB" w:rsidRPr="008B15CB">
        <w:t>through patterns that account for one</w:t>
      </w:r>
      <w:r w:rsidR="00F62B7E">
        <w:t>-</w:t>
      </w:r>
      <w:r w:rsidR="00C931EB" w:rsidRPr="008B15CB">
        <w:t>step</w:t>
      </w:r>
      <w:r w:rsidR="00F62B7E">
        <w:t>-</w:t>
      </w:r>
      <w:r w:rsidR="00C931EB" w:rsidRPr="008B15CB">
        <w:t>ahead percentage</w:t>
      </w:r>
      <w:r w:rsidR="002F0387" w:rsidRPr="008B15CB">
        <w:t xml:space="preserve"> </w:t>
      </w:r>
      <w:r w:rsidR="00C931EB" w:rsidRPr="008B15CB">
        <w:t>changes. Symbolic dynamics allow the patterns to expose the nature</w:t>
      </w:r>
      <w:r w:rsidR="002F0387" w:rsidRPr="008B15CB">
        <w:t xml:space="preserve"> </w:t>
      </w:r>
      <w:r w:rsidR="00C931EB" w:rsidRPr="008B15CB">
        <w:t>of causality</w:t>
      </w:r>
      <w:r w:rsidR="00F62B7E">
        <w:t>, yet not before</w:t>
      </w:r>
      <w:r w:rsidR="00C931EB" w:rsidRPr="008B15CB">
        <w:t xml:space="preserve"> a valid causal relationship</w:t>
      </w:r>
      <w:r w:rsidR="0011664B" w:rsidRPr="008B15CB">
        <w:t xml:space="preserve"> </w:t>
      </w:r>
      <w:r w:rsidR="00F62B7E">
        <w:t>is first</w:t>
      </w:r>
      <w:r w:rsidR="0011664B" w:rsidRPr="008B15CB">
        <w:t xml:space="preserve"> identified</w:t>
      </w:r>
      <w:r w:rsidR="00C931EB" w:rsidRPr="008B15CB">
        <w:t>. Time series</w:t>
      </w:r>
      <w:r w:rsidR="002F0387" w:rsidRPr="008B15CB">
        <w:t xml:space="preserve"> </w:t>
      </w:r>
      <w:r w:rsidR="00C931EB" w:rsidRPr="008B15CB">
        <w:t>belong</w:t>
      </w:r>
      <w:r w:rsidR="00F62B7E">
        <w:t>ing</w:t>
      </w:r>
      <w:r w:rsidR="00C931EB" w:rsidRPr="008B15CB">
        <w:t xml:space="preserve"> to the same dynamical system</w:t>
      </w:r>
      <w:r w:rsidR="0011664B" w:rsidRPr="008B15CB">
        <w:t xml:space="preserve"> are</w:t>
      </w:r>
      <w:r w:rsidR="00C931EB" w:rsidRPr="008B15CB">
        <w:t xml:space="preserve"> parts of </w:t>
      </w:r>
      <w:r w:rsidR="0011664B" w:rsidRPr="008B15CB">
        <w:t>a</w:t>
      </w:r>
      <w:r w:rsidR="00C931EB" w:rsidRPr="008B15CB">
        <w:t xml:space="preserve"> common attractor, which</w:t>
      </w:r>
      <w:r w:rsidR="002F0387" w:rsidRPr="008B15CB">
        <w:t xml:space="preserve"> </w:t>
      </w:r>
      <w:r w:rsidR="00C931EB" w:rsidRPr="008B15CB">
        <w:t xml:space="preserve">corresponds to the states of that system. </w:t>
      </w:r>
      <w:r w:rsidR="001A25FB" w:rsidRPr="008B15CB">
        <w:t>In th</w:t>
      </w:r>
      <w:r w:rsidR="00ED1867" w:rsidRPr="008B15CB">
        <w:t>e present</w:t>
      </w:r>
      <w:r w:rsidR="001A25FB">
        <w:t xml:space="preserve"> paper, t</w:t>
      </w:r>
      <w:r w:rsidR="00B13B7C" w:rsidRPr="009513BC">
        <w:t xml:space="preserve">he </w:t>
      </w:r>
      <w:r w:rsidR="00ED33A2">
        <w:t>PC</w:t>
      </w:r>
      <w:r w:rsidR="00ED33A2" w:rsidRPr="009513BC">
        <w:t xml:space="preserve"> </w:t>
      </w:r>
      <w:r w:rsidR="00B13B7C" w:rsidRPr="009513BC">
        <w:t xml:space="preserve">framework’s steps are abstracted in a way that can be used for a wide </w:t>
      </w:r>
      <w:r w:rsidR="00B13B7C" w:rsidRPr="009513BC">
        <w:lastRenderedPageBreak/>
        <w:t xml:space="preserve">spectrum of </w:t>
      </w:r>
      <w:r w:rsidR="00FB747D" w:rsidRPr="009513BC">
        <w:t>decision-making</w:t>
      </w:r>
      <w:r w:rsidR="00B13B7C" w:rsidRPr="009513BC">
        <w:t xml:space="preserve"> settings</w:t>
      </w:r>
      <w:r w:rsidR="00F62B7E">
        <w:t xml:space="preserve"> (</w:t>
      </w:r>
      <w:r w:rsidR="00ED33A2">
        <w:t>h</w:t>
      </w:r>
      <w:r w:rsidR="00ED33A2" w:rsidRPr="009513BC">
        <w:t>ere</w:t>
      </w:r>
      <w:r w:rsidR="00ED33A2">
        <w:t>after</w:t>
      </w:r>
      <w:r w:rsidR="00F62B7E">
        <w:t>,</w:t>
      </w:r>
      <w:r w:rsidR="00F62B7E" w:rsidRPr="009513BC">
        <w:t xml:space="preserve"> refer</w:t>
      </w:r>
      <w:r w:rsidR="00ED33A2">
        <w:t>red</w:t>
      </w:r>
      <w:r w:rsidR="00F62B7E" w:rsidRPr="009513BC">
        <w:t xml:space="preserve"> to abstractly as “systems”</w:t>
      </w:r>
      <w:r w:rsidR="00F62B7E">
        <w:t>),</w:t>
      </w:r>
      <w:r w:rsidR="00B13B7C" w:rsidRPr="009513BC">
        <w:t xml:space="preserve"> such as </w:t>
      </w:r>
      <w:r w:rsidR="00790B15">
        <w:t xml:space="preserve">in </w:t>
      </w:r>
      <w:r w:rsidR="00FB747D" w:rsidRPr="009513BC">
        <w:t>business</w:t>
      </w:r>
      <w:r w:rsidR="00B13B7C" w:rsidRPr="009513BC">
        <w:t xml:space="preserve">, economy, weather, ecosystems, </w:t>
      </w:r>
      <w:r w:rsidR="00790B15">
        <w:t>climate, pandemics</w:t>
      </w:r>
      <w:r w:rsidR="00790B15" w:rsidRPr="009513BC">
        <w:t xml:space="preserve"> </w:t>
      </w:r>
      <w:r w:rsidR="00B13B7C" w:rsidRPr="009513BC">
        <w:t xml:space="preserve">and more. </w:t>
      </w:r>
      <w:r w:rsidR="00F62B7E">
        <w:t>This</w:t>
      </w:r>
      <w:r w:rsidR="00F62B7E" w:rsidRPr="009513BC">
        <w:t xml:space="preserve"> </w:t>
      </w:r>
      <w:r w:rsidR="00103481">
        <w:t>approach</w:t>
      </w:r>
      <w:r w:rsidR="00B13B7C" w:rsidRPr="009513BC">
        <w:t xml:space="preserve"> breaks down decision making </w:t>
      </w:r>
      <w:r w:rsidR="00F62B7E">
        <w:t>in</w:t>
      </w:r>
      <w:r w:rsidR="00B13B7C" w:rsidRPr="009513BC">
        <w:t xml:space="preserve">to a series of basic steps. It can add value to almost any situation, especially </w:t>
      </w:r>
      <w:r w:rsidR="00790B15">
        <w:t>where</w:t>
      </w:r>
      <w:r w:rsidR="00790B15" w:rsidRPr="009513BC">
        <w:t xml:space="preserve"> </w:t>
      </w:r>
      <w:r w:rsidR="00B13B7C" w:rsidRPr="009513BC">
        <w:t>serious or catastrophic outcomes</w:t>
      </w:r>
      <w:r w:rsidR="00F62B7E">
        <w:t xml:space="preserve"> are </w:t>
      </w:r>
      <w:r w:rsidR="00790B15">
        <w:t>of concern</w:t>
      </w:r>
      <w:r w:rsidR="00B13B7C" w:rsidRPr="009513BC">
        <w:t>. The</w:t>
      </w:r>
      <w:r w:rsidR="00F62B7E">
        <w:t>se</w:t>
      </w:r>
      <w:r w:rsidR="00B13B7C" w:rsidRPr="009513BC">
        <w:t xml:space="preserve"> steps can be used at different levels of detail and with varying degrees of formality, depending on the situation. The key to using the process is in completing each step in the most simple, practical way to provide the information </w:t>
      </w:r>
      <w:r w:rsidR="00790B15">
        <w:t>a</w:t>
      </w:r>
      <w:r w:rsidR="00790B15" w:rsidRPr="009513BC">
        <w:t xml:space="preserve"> </w:t>
      </w:r>
      <w:r w:rsidR="00B13B7C" w:rsidRPr="009513BC">
        <w:t xml:space="preserve">decision </w:t>
      </w:r>
      <w:r w:rsidR="00790B15">
        <w:t xml:space="preserve">or policy </w:t>
      </w:r>
      <w:r w:rsidR="00B13B7C" w:rsidRPr="009513BC">
        <w:t xml:space="preserve">maker needs. Some situations are so complex that detailed causal assessments are needed, but most can be addressed with </w:t>
      </w:r>
      <w:r w:rsidR="00772E6C" w:rsidRPr="009513BC">
        <w:t>simpler</w:t>
      </w:r>
      <w:r w:rsidR="00B13B7C" w:rsidRPr="009513BC">
        <w:t xml:space="preserve"> causal assessments.</w:t>
      </w:r>
    </w:p>
    <w:p w14:paraId="09E60C0F" w14:textId="4B5B9FB8" w:rsidR="00CC2B11" w:rsidRPr="009513BC" w:rsidRDefault="00A14BDA" w:rsidP="00D96947">
      <w:pPr>
        <w:spacing w:before="120" w:after="120" w:line="360" w:lineRule="auto"/>
        <w:ind w:firstLine="284"/>
        <w:jc w:val="both"/>
      </w:pPr>
      <w:r>
        <w:t>T</w:t>
      </w:r>
      <w:r w:rsidR="00C931EB" w:rsidRPr="009513BC">
        <w:t xml:space="preserve">he </w:t>
      </w:r>
      <w:r w:rsidR="007F1B69">
        <w:t>methodology</w:t>
      </w:r>
      <w:r w:rsidR="00C931EB" w:rsidRPr="009513BC">
        <w:t xml:space="preserve"> </w:t>
      </w:r>
      <w:r>
        <w:t xml:space="preserve">provides </w:t>
      </w:r>
      <w:r w:rsidR="00C931EB" w:rsidRPr="009513BC">
        <w:t>guid</w:t>
      </w:r>
      <w:r>
        <w:t>ance</w:t>
      </w:r>
      <w:r w:rsidR="00C931EB" w:rsidRPr="009513BC">
        <w:t xml:space="preserve"> </w:t>
      </w:r>
      <w:r>
        <w:t xml:space="preserve">towards early stage or </w:t>
      </w:r>
      <w:r w:rsidR="00C931EB" w:rsidRPr="009513BC">
        <w:t xml:space="preserve">minor decisions, which </w:t>
      </w:r>
      <w:r>
        <w:t>at</w:t>
      </w:r>
      <w:r w:rsidRPr="009513BC">
        <w:t xml:space="preserve"> </w:t>
      </w:r>
      <w:r w:rsidR="00C931EB" w:rsidRPr="009513BC">
        <w:t xml:space="preserve">the end </w:t>
      </w:r>
      <w:r>
        <w:t>enables</w:t>
      </w:r>
      <w:r w:rsidRPr="009513BC">
        <w:t xml:space="preserve"> </w:t>
      </w:r>
      <w:r w:rsidR="00C931EB" w:rsidRPr="009513BC">
        <w:t xml:space="preserve">concluding </w:t>
      </w:r>
      <w:r>
        <w:t xml:space="preserve">or </w:t>
      </w:r>
      <w:r w:rsidR="00C931EB" w:rsidRPr="009513BC">
        <w:t xml:space="preserve">major decisions to be made in a transparent way. This is contrary to many “black box” methodologies which simply receive input and produce </w:t>
      </w:r>
      <w:r w:rsidR="001A72F7">
        <w:t xml:space="preserve">an </w:t>
      </w:r>
      <w:r w:rsidR="00C931EB" w:rsidRPr="009513BC">
        <w:t xml:space="preserve">output where the </w:t>
      </w:r>
      <w:proofErr w:type="gramStart"/>
      <w:r w:rsidR="00C931EB" w:rsidRPr="009513BC">
        <w:t>end product</w:t>
      </w:r>
      <w:proofErr w:type="gramEnd"/>
      <w:r w:rsidR="00C931EB" w:rsidRPr="009513BC">
        <w:t xml:space="preserve"> is based more on randomness</w:t>
      </w:r>
      <w:r w:rsidR="00023DDE">
        <w:t>, rather</w:t>
      </w:r>
      <w:r w:rsidR="008C1903">
        <w:t xml:space="preserve"> than causality. Thus,</w:t>
      </w:r>
      <w:r w:rsidR="000E140B">
        <w:t xml:space="preserve"> </w:t>
      </w:r>
      <w:r w:rsidR="008C1903">
        <w:t xml:space="preserve">the </w:t>
      </w:r>
      <w:r w:rsidR="00C931EB" w:rsidRPr="009513BC">
        <w:t xml:space="preserve">purpose of </w:t>
      </w:r>
      <w:r w:rsidR="00816F38">
        <w:t xml:space="preserve">the </w:t>
      </w:r>
      <w:r w:rsidR="008C1903">
        <w:t>proposed methodology</w:t>
      </w:r>
      <w:r w:rsidR="00C931EB" w:rsidRPr="009513BC">
        <w:t xml:space="preserve"> is to provide enough information to help </w:t>
      </w:r>
      <w:r>
        <w:t>inform</w:t>
      </w:r>
      <w:r w:rsidRPr="009513BC">
        <w:t xml:space="preserve"> </w:t>
      </w:r>
      <w:r w:rsidR="00C931EB" w:rsidRPr="009513BC">
        <w:t>decision</w:t>
      </w:r>
      <w:r>
        <w:t xml:space="preserve"> or policy making practices</w:t>
      </w:r>
      <w:r w:rsidR="00C931EB" w:rsidRPr="009513BC">
        <w:t xml:space="preserve">. </w:t>
      </w:r>
      <w:r w:rsidR="009C5656">
        <w:t>It</w:t>
      </w:r>
      <w:r w:rsidR="000C5815" w:rsidRPr="009513BC">
        <w:t xml:space="preserve"> </w:t>
      </w:r>
      <w:r w:rsidR="00C931EB" w:rsidRPr="009513BC">
        <w:t>focuses on organizing information for logical understanding</w:t>
      </w:r>
      <w:r w:rsidR="000C5815">
        <w:t xml:space="preserve"> in a highly structured fashion</w:t>
      </w:r>
      <w:r w:rsidR="00C931EB" w:rsidRPr="009513BC">
        <w:t xml:space="preserve">. </w:t>
      </w:r>
      <w:r w:rsidR="009C5656">
        <w:t>However, i</w:t>
      </w:r>
      <w:r w:rsidR="00C931EB" w:rsidRPr="009513BC">
        <w:t xml:space="preserve">t </w:t>
      </w:r>
      <w:r w:rsidR="00023DDE">
        <w:t>neither</w:t>
      </w:r>
      <w:r w:rsidR="00C931EB" w:rsidRPr="009513BC">
        <w:t xml:space="preserve"> replace</w:t>
      </w:r>
      <w:r w:rsidR="00023DDE">
        <w:t>s</w:t>
      </w:r>
      <w:r w:rsidR="00C931EB" w:rsidRPr="009513BC">
        <w:t xml:space="preserve"> the decision maker</w:t>
      </w:r>
      <w:r w:rsidR="00023DDE">
        <w:t>, nor does</w:t>
      </w:r>
      <w:r w:rsidR="00C931EB" w:rsidRPr="009513BC">
        <w:t xml:space="preserve"> it </w:t>
      </w:r>
      <w:r w:rsidR="000C5815">
        <w:t>lead</w:t>
      </w:r>
      <w:r w:rsidR="00C931EB" w:rsidRPr="009513BC">
        <w:t xml:space="preserve"> into burdensome risk </w:t>
      </w:r>
      <w:r w:rsidR="000C5815">
        <w:t xml:space="preserve">or inconclusive </w:t>
      </w:r>
      <w:r w:rsidR="00C931EB" w:rsidRPr="009513BC">
        <w:t xml:space="preserve">assessments </w:t>
      </w:r>
      <w:r w:rsidR="00023DDE">
        <w:t>involving</w:t>
      </w:r>
      <w:r w:rsidR="00023DDE" w:rsidRPr="009513BC">
        <w:t xml:space="preserve"> </w:t>
      </w:r>
      <w:r w:rsidR="00C931EB" w:rsidRPr="009513BC">
        <w:t>gather</w:t>
      </w:r>
      <w:r w:rsidR="00023DDE">
        <w:t>ing</w:t>
      </w:r>
      <w:r w:rsidR="00C931EB" w:rsidRPr="009513BC">
        <w:t xml:space="preserve"> information that is irrelevant to the decision. On average, and over time, </w:t>
      </w:r>
      <w:r w:rsidR="000C5815">
        <w:t>appropriate</w:t>
      </w:r>
      <w:r w:rsidR="000C5815" w:rsidRPr="009513BC">
        <w:t xml:space="preserve"> </w:t>
      </w:r>
      <w:r w:rsidR="00C931EB" w:rsidRPr="009513BC">
        <w:t xml:space="preserve">decisions made through this process should </w:t>
      </w:r>
      <w:r w:rsidR="00023DDE">
        <w:t>generate</w:t>
      </w:r>
      <w:r w:rsidR="00023DDE" w:rsidRPr="009513BC">
        <w:t xml:space="preserve"> </w:t>
      </w:r>
      <w:r w:rsidR="000C5815">
        <w:t>appropriate</w:t>
      </w:r>
      <w:r w:rsidR="00C931EB" w:rsidRPr="009513BC">
        <w:t xml:space="preserve"> outcomes</w:t>
      </w:r>
      <w:r w:rsidR="00023DDE">
        <w:t>, while</w:t>
      </w:r>
      <w:r w:rsidR="00C931EB" w:rsidRPr="009513BC">
        <w:t xml:space="preserve"> also </w:t>
      </w:r>
      <w:r w:rsidR="00023DDE">
        <w:t>offering</w:t>
      </w:r>
      <w:r w:rsidR="00C931EB" w:rsidRPr="009513BC">
        <w:t xml:space="preserve"> logical explanations for decisions </w:t>
      </w:r>
      <w:r w:rsidR="000C5815">
        <w:t>with</w:t>
      </w:r>
      <w:r w:rsidR="000C5815" w:rsidRPr="009513BC">
        <w:t xml:space="preserve"> </w:t>
      </w:r>
      <w:r w:rsidR="000C5815">
        <w:t>un</w:t>
      </w:r>
      <w:r w:rsidR="000C5815" w:rsidRPr="009513BC">
        <w:t xml:space="preserve">favorable </w:t>
      </w:r>
      <w:r w:rsidR="00C931EB" w:rsidRPr="009513BC">
        <w:t>outcomes</w:t>
      </w:r>
      <w:r w:rsidR="00005A4B">
        <w:t xml:space="preserve"> </w:t>
      </w:r>
      <w:r w:rsidR="00005A4B">
        <w:fldChar w:fldCharType="begin" w:fldLock="1"/>
      </w:r>
      <w:r w:rsidR="00005A4B">
        <w:instrText>ADDIN CSL_CITATION {"citationItems":[{"id":"ITEM-1","itemData":{"DOI":"10.1287/mnsc.2015.2233","ISSN":"0025-1909","author":[{"dropping-particle":"","family":"Peysakhovich","given":"Alexander","non-dropping-particle":"","parse-names":false,"suffix":""},{"dropping-particle":"","family":"Karmarkar","given":"Uma R.","non-dropping-particle":"","parse-names":false,"suffix":""}],"container-title":"Management Science","id":"ITEM-1","issue":"8","issued":{"date-parts":[["2016","8"]]},"page":"2163-2178","title":"Asymmetric Effects of Favorable and Unfavorable Information on Decision Making Under Ambiguity","type":"article-journal","volume":"62"},"uris":["http://www.mendeley.com/documents/?uuid=4181d1ca-cd61-493c-b05c-65806e319f92"]}],"mendeley":{"formattedCitation":"(Peysakhovich &amp; Karmarkar, 2016)","plainTextFormattedCitation":"(Peysakhovich &amp; Karmarkar, 2016)","previouslyFormattedCitation":"(Peysakhovich &amp; Karmarkar, 2016)"},"properties":{"noteIndex":0},"schema":"https://github.com/citation-style-language/schema/raw/master/csl-citation.json"}</w:instrText>
      </w:r>
      <w:r w:rsidR="00005A4B">
        <w:fldChar w:fldCharType="separate"/>
      </w:r>
      <w:r w:rsidR="00005A4B" w:rsidRPr="00005A4B">
        <w:rPr>
          <w:noProof/>
        </w:rPr>
        <w:t>(Peysakhovich &amp; Karmarkar, 2016)</w:t>
      </w:r>
      <w:r w:rsidR="00005A4B">
        <w:fldChar w:fldCharType="end"/>
      </w:r>
      <w:r w:rsidR="00C84B36">
        <w:t xml:space="preserve">. </w:t>
      </w:r>
      <w:r w:rsidR="000C5815">
        <w:t>T</w:t>
      </w:r>
      <w:r w:rsidR="009C5656">
        <w:t>he</w:t>
      </w:r>
      <w:r w:rsidR="00C931EB" w:rsidRPr="009513BC">
        <w:t xml:space="preserve"> PC algorithm</w:t>
      </w:r>
      <w:r w:rsidR="000C5815">
        <w:t xml:space="preserve"> provides a rational basis for </w:t>
      </w:r>
      <w:r w:rsidR="00C931EB" w:rsidRPr="009513BC">
        <w:t xml:space="preserve">a causal risk-based decision-making </w:t>
      </w:r>
      <w:r w:rsidR="008C1903">
        <w:t>methodology</w:t>
      </w:r>
      <w:r w:rsidR="000C5815" w:rsidRPr="009513BC">
        <w:t xml:space="preserve"> </w:t>
      </w:r>
      <w:r w:rsidR="000C5815">
        <w:t>a</w:t>
      </w:r>
      <w:r w:rsidR="00C931EB" w:rsidRPr="009513BC">
        <w:t>s developed</w:t>
      </w:r>
      <w:r w:rsidR="000C5815">
        <w:t xml:space="preserve"> in the subsequent section</w:t>
      </w:r>
      <w:r w:rsidR="00C931EB" w:rsidRPr="009513BC">
        <w:t xml:space="preserve">.  </w:t>
      </w:r>
    </w:p>
    <w:p w14:paraId="3007A119" w14:textId="1E76F14D" w:rsidR="00B13B7C" w:rsidRPr="009513BC" w:rsidRDefault="00B13B7C">
      <w:pPr>
        <w:rPr>
          <w:b/>
          <w:bCs/>
        </w:rPr>
      </w:pPr>
    </w:p>
    <w:p w14:paraId="74BDE76A" w14:textId="15BBD28A" w:rsidR="0077071B" w:rsidRPr="009513BC" w:rsidRDefault="006F4CE3" w:rsidP="0077071B">
      <w:pPr>
        <w:pStyle w:val="ListParagraph"/>
        <w:numPr>
          <w:ilvl w:val="0"/>
          <w:numId w:val="1"/>
        </w:numPr>
        <w:spacing w:before="120" w:after="120" w:line="360" w:lineRule="auto"/>
        <w:jc w:val="both"/>
        <w:rPr>
          <w:rFonts w:ascii="Times New Roman" w:hAnsi="Times New Roman" w:cs="Times New Roman"/>
          <w:b/>
          <w:bCs/>
          <w:sz w:val="24"/>
          <w:szCs w:val="24"/>
        </w:rPr>
      </w:pPr>
      <w:r w:rsidRPr="009513BC">
        <w:rPr>
          <w:rFonts w:ascii="Times New Roman" w:hAnsi="Times New Roman" w:cs="Times New Roman"/>
          <w:b/>
          <w:bCs/>
          <w:sz w:val="24"/>
          <w:szCs w:val="24"/>
        </w:rPr>
        <w:t xml:space="preserve">Causal </w:t>
      </w:r>
      <w:r w:rsidR="00B4694E" w:rsidRPr="009513BC">
        <w:rPr>
          <w:rFonts w:ascii="Times New Roman" w:hAnsi="Times New Roman" w:cs="Times New Roman"/>
          <w:b/>
          <w:bCs/>
          <w:sz w:val="24"/>
          <w:szCs w:val="24"/>
        </w:rPr>
        <w:t xml:space="preserve">risk-based </w:t>
      </w:r>
      <w:r w:rsidRPr="009513BC">
        <w:rPr>
          <w:rFonts w:ascii="Times New Roman" w:hAnsi="Times New Roman" w:cs="Times New Roman"/>
          <w:b/>
          <w:bCs/>
          <w:sz w:val="24"/>
          <w:szCs w:val="24"/>
        </w:rPr>
        <w:t>d</w:t>
      </w:r>
      <w:r w:rsidR="00B13B7C" w:rsidRPr="009513BC">
        <w:rPr>
          <w:rFonts w:ascii="Times New Roman" w:hAnsi="Times New Roman" w:cs="Times New Roman"/>
          <w:b/>
          <w:bCs/>
          <w:sz w:val="24"/>
          <w:szCs w:val="24"/>
        </w:rPr>
        <w:t>ecision</w:t>
      </w:r>
      <w:r w:rsidRPr="009513BC">
        <w:rPr>
          <w:rFonts w:ascii="Times New Roman" w:hAnsi="Times New Roman" w:cs="Times New Roman"/>
          <w:b/>
          <w:bCs/>
          <w:sz w:val="24"/>
          <w:szCs w:val="24"/>
        </w:rPr>
        <w:t>-</w:t>
      </w:r>
      <w:r w:rsidR="007F1B69">
        <w:rPr>
          <w:rFonts w:ascii="Times New Roman" w:hAnsi="Times New Roman" w:cs="Times New Roman"/>
          <w:b/>
          <w:bCs/>
          <w:sz w:val="24"/>
          <w:szCs w:val="24"/>
        </w:rPr>
        <w:t>making methodology</w:t>
      </w:r>
    </w:p>
    <w:p w14:paraId="6A49EF19" w14:textId="4BCDEE75" w:rsidR="001B6716" w:rsidRPr="009513BC" w:rsidRDefault="005D040B" w:rsidP="00B61D6F">
      <w:pPr>
        <w:spacing w:before="120" w:after="120" w:line="360" w:lineRule="auto"/>
        <w:ind w:firstLine="284"/>
        <w:jc w:val="both"/>
      </w:pPr>
      <w:r w:rsidRPr="009513BC">
        <w:t xml:space="preserve">The purpose of </w:t>
      </w:r>
      <w:r w:rsidR="005C1048" w:rsidRPr="009513BC">
        <w:t xml:space="preserve">developing </w:t>
      </w:r>
      <w:r w:rsidR="00E52813" w:rsidRPr="009513BC">
        <w:t>this</w:t>
      </w:r>
      <w:r w:rsidR="005C1048" w:rsidRPr="009513BC">
        <w:t xml:space="preserve"> </w:t>
      </w:r>
      <w:r w:rsidR="003365CB" w:rsidRPr="009513BC">
        <w:t>novel decision</w:t>
      </w:r>
      <w:r w:rsidR="001B6716" w:rsidRPr="009513BC">
        <w:t>-</w:t>
      </w:r>
      <w:r w:rsidR="003365CB" w:rsidRPr="009513BC">
        <w:t xml:space="preserve">making </w:t>
      </w:r>
      <w:r w:rsidR="00F9335D">
        <w:t>methodology</w:t>
      </w:r>
      <w:r w:rsidR="00B05F41">
        <w:t xml:space="preserve"> </w:t>
      </w:r>
      <w:r w:rsidRPr="009513BC">
        <w:t xml:space="preserve">is </w:t>
      </w:r>
      <w:r w:rsidR="003365CB" w:rsidRPr="009513BC">
        <w:t>to</w:t>
      </w:r>
      <w:r w:rsidR="00B13B7C" w:rsidRPr="009513BC">
        <w:t xml:space="preserve"> </w:t>
      </w:r>
      <w:r w:rsidR="0077071B" w:rsidRPr="009513BC">
        <w:t xml:space="preserve">unveil </w:t>
      </w:r>
      <w:r w:rsidR="000A6D21" w:rsidRPr="009513BC">
        <w:t>causal</w:t>
      </w:r>
      <w:r w:rsidR="00712626">
        <w:rPr>
          <w:rStyle w:val="FootnoteReference"/>
        </w:rPr>
        <w:footnoteReference w:id="1"/>
      </w:r>
      <w:r w:rsidR="000A6D21" w:rsidRPr="009513BC">
        <w:t xml:space="preserve"> </w:t>
      </w:r>
      <w:r w:rsidR="0077071B" w:rsidRPr="009513BC">
        <w:t>relationship</w:t>
      </w:r>
      <w:r w:rsidR="00864B46" w:rsidRPr="009513BC">
        <w:t xml:space="preserve">s </w:t>
      </w:r>
      <w:r w:rsidR="000A6D21" w:rsidRPr="009513BC">
        <w:t xml:space="preserve">between </w:t>
      </w:r>
      <w:r w:rsidR="00864B46" w:rsidRPr="009513BC">
        <w:t xml:space="preserve">pairs of </w:t>
      </w:r>
      <w:r w:rsidR="000A6D21" w:rsidRPr="009513BC">
        <w:t>variables</w:t>
      </w:r>
      <w:r w:rsidR="00864B46" w:rsidRPr="009513BC">
        <w:t>.</w:t>
      </w:r>
      <w:r w:rsidR="0077071B" w:rsidRPr="009513BC">
        <w:t xml:space="preserve"> </w:t>
      </w:r>
      <w:r w:rsidR="00126F8E" w:rsidRPr="009513BC">
        <w:t xml:space="preserve">However, </w:t>
      </w:r>
      <w:r w:rsidR="00200AA9" w:rsidRPr="009513BC">
        <w:t xml:space="preserve">as is the case </w:t>
      </w:r>
      <w:r w:rsidR="006D36CF">
        <w:t>with</w:t>
      </w:r>
      <w:r w:rsidR="00126F8E" w:rsidRPr="009513BC">
        <w:t xml:space="preserve"> many</w:t>
      </w:r>
      <w:r w:rsidR="00864B46" w:rsidRPr="009513BC">
        <w:t xml:space="preserve"> real-world </w:t>
      </w:r>
      <w:r w:rsidR="00126F8E" w:rsidRPr="009513BC">
        <w:t>problems</w:t>
      </w:r>
      <w:r w:rsidR="00864B46" w:rsidRPr="009513BC">
        <w:t xml:space="preserve">, </w:t>
      </w:r>
      <w:r w:rsidR="00126F8E" w:rsidRPr="009513BC">
        <w:t xml:space="preserve">the available </w:t>
      </w:r>
      <w:r w:rsidR="00864B46" w:rsidRPr="009513BC">
        <w:t>datasets might contain well over a few thousands of variables</w:t>
      </w:r>
      <w:r w:rsidR="001D0455" w:rsidRPr="009513BC">
        <w:t xml:space="preserve"> of </w:t>
      </w:r>
      <w:r w:rsidR="001D0455" w:rsidRPr="001A2A6D">
        <w:t>any type</w:t>
      </w:r>
      <w:r w:rsidR="003A01BB" w:rsidRPr="001A2A6D">
        <w:t xml:space="preserve"> (categorical</w:t>
      </w:r>
      <w:r w:rsidR="00895120" w:rsidRPr="001A2A6D">
        <w:t>,</w:t>
      </w:r>
      <w:r w:rsidR="003A01BB" w:rsidRPr="001A2A6D">
        <w:t xml:space="preserve"> numerical</w:t>
      </w:r>
      <w:r w:rsidR="001A72F7" w:rsidRPr="001A2A6D">
        <w:t>,</w:t>
      </w:r>
      <w:r w:rsidR="003A01BB" w:rsidRPr="001A2A6D">
        <w:t xml:space="preserve"> etc.)</w:t>
      </w:r>
      <w:r w:rsidR="00126F8E" w:rsidRPr="001A2A6D">
        <w:t>.</w:t>
      </w:r>
      <w:r w:rsidR="001D0455" w:rsidRPr="001A2A6D">
        <w:t xml:space="preserve"> </w:t>
      </w:r>
      <w:r w:rsidR="001D0455" w:rsidRPr="009513BC">
        <w:t>S</w:t>
      </w:r>
      <w:r w:rsidR="00126F8E" w:rsidRPr="009513BC">
        <w:t xml:space="preserve">uch complexity </w:t>
      </w:r>
      <w:r w:rsidR="00FB747D" w:rsidRPr="009513BC">
        <w:t>might</w:t>
      </w:r>
      <w:r w:rsidR="001D0455" w:rsidRPr="009513BC">
        <w:t xml:space="preserve"> </w:t>
      </w:r>
      <w:r w:rsidR="009935A6">
        <w:t>lead to</w:t>
      </w:r>
      <w:r w:rsidR="001D0455" w:rsidRPr="009513BC">
        <w:t xml:space="preserve"> ill-directed analysis, </w:t>
      </w:r>
      <w:r w:rsidR="00200AA9" w:rsidRPr="009513BC">
        <w:t>although</w:t>
      </w:r>
      <w:r w:rsidR="001D0455" w:rsidRPr="009513BC">
        <w:t xml:space="preserve"> in practice, </w:t>
      </w:r>
      <w:r w:rsidR="00620CEF">
        <w:t>an</w:t>
      </w:r>
      <w:r w:rsidR="006476C6" w:rsidRPr="009F1C67">
        <w:t>yone</w:t>
      </w:r>
      <w:r w:rsidR="00864B46" w:rsidRPr="009513BC">
        <w:t xml:space="preserve"> </w:t>
      </w:r>
      <w:r w:rsidR="0077071B" w:rsidRPr="009513BC">
        <w:t>interest</w:t>
      </w:r>
      <w:r w:rsidR="00864B46" w:rsidRPr="009513BC">
        <w:t>ed</w:t>
      </w:r>
      <w:r w:rsidR="0077071B" w:rsidRPr="009513BC">
        <w:t xml:space="preserve"> </w:t>
      </w:r>
      <w:r w:rsidR="00620CEF">
        <w:t xml:space="preserve">might be centered </w:t>
      </w:r>
      <w:r w:rsidR="0077071B" w:rsidRPr="009513BC">
        <w:t xml:space="preserve">on </w:t>
      </w:r>
      <w:r w:rsidR="00864B46" w:rsidRPr="009513BC">
        <w:t>particular</w:t>
      </w:r>
      <w:r w:rsidR="0077071B" w:rsidRPr="009513BC">
        <w:t xml:space="preserve"> variable(s)</w:t>
      </w:r>
      <w:r w:rsidR="000A6D21" w:rsidRPr="009513BC">
        <w:t>,</w:t>
      </w:r>
      <w:r w:rsidR="0077071B" w:rsidRPr="009513BC">
        <w:t xml:space="preserve"> </w:t>
      </w:r>
      <w:bookmarkStart w:id="0" w:name="OLE_LINK1"/>
      <w:bookmarkStart w:id="1" w:name="OLE_LINK2"/>
      <m:oMath>
        <m:r>
          <w:rPr>
            <w:rFonts w:ascii="Cambria Math" w:hAnsi="Cambria Math"/>
          </w:rPr>
          <m:t>Y</m:t>
        </m:r>
        <w:bookmarkEnd w:id="0"/>
        <w:bookmarkEnd w:id="1"/>
        <m:r>
          <m:rPr>
            <m:scr m:val="double-struck"/>
          </m:rPr>
          <w:rPr>
            <w:rFonts w:ascii="Cambria Math" w:hAnsi="Cambria Math"/>
          </w:rPr>
          <m:t>∈R</m:t>
        </m:r>
      </m:oMath>
      <w:r w:rsidR="0077071B" w:rsidRPr="009513BC">
        <w:t xml:space="preserve"> (see</w:t>
      </w:r>
      <w:r w:rsidR="00735379">
        <w:t xml:space="preserve"> the</w:t>
      </w:r>
      <w:r w:rsidR="0077071B" w:rsidRPr="009513BC">
        <w:t xml:space="preserve"> </w:t>
      </w:r>
      <w:r w:rsidR="0077071B" w:rsidRPr="009513BC">
        <w:rPr>
          <w:i/>
          <w:iCs/>
        </w:rPr>
        <w:t>red</w:t>
      </w:r>
      <w:r w:rsidR="0077071B" w:rsidRPr="009513BC">
        <w:t xml:space="preserve"> node </w:t>
      </w:r>
      <w:r w:rsidR="0077071B" w:rsidRPr="009513BC">
        <w:lastRenderedPageBreak/>
        <w:t xml:space="preserve">in </w:t>
      </w:r>
      <w:r w:rsidR="00AC2E53">
        <w:rPr>
          <w:b/>
          <w:bCs/>
        </w:rPr>
        <w:t>Fig</w:t>
      </w:r>
      <w:r w:rsidR="007B2A0F">
        <w:rPr>
          <w:b/>
          <w:bCs/>
        </w:rPr>
        <w:t>s.</w:t>
      </w:r>
      <w:r w:rsidR="00AC2E53">
        <w:rPr>
          <w:b/>
          <w:bCs/>
        </w:rPr>
        <w:t xml:space="preserve"> 1</w:t>
      </w:r>
      <w:r w:rsidR="006F3A10">
        <w:rPr>
          <w:b/>
          <w:bCs/>
        </w:rPr>
        <w:t>a</w:t>
      </w:r>
      <w:r w:rsidR="002F276E">
        <w:rPr>
          <w:b/>
          <w:bCs/>
        </w:rPr>
        <w:t>,</w:t>
      </w:r>
      <w:r w:rsidR="005866F3">
        <w:rPr>
          <w:b/>
          <w:bCs/>
        </w:rPr>
        <w:t xml:space="preserve"> </w:t>
      </w:r>
      <w:r w:rsidR="002F276E">
        <w:rPr>
          <w:b/>
          <w:bCs/>
        </w:rPr>
        <w:t>b</w:t>
      </w:r>
      <w:r w:rsidR="0077071B" w:rsidRPr="009513BC">
        <w:t>)</w:t>
      </w:r>
      <w:r w:rsidR="000A6D21" w:rsidRPr="009513BC">
        <w:t>,</w:t>
      </w:r>
      <w:r w:rsidR="0077071B" w:rsidRPr="009513BC">
        <w:t xml:space="preserve"> which </w:t>
      </w:r>
      <w:r w:rsidR="00F809E9" w:rsidRPr="009513BC">
        <w:t>can</w:t>
      </w:r>
      <w:r w:rsidR="006F7F51" w:rsidRPr="009513BC">
        <w:t xml:space="preserve"> </w:t>
      </w:r>
      <w:r w:rsidR="0077071B" w:rsidRPr="009513BC">
        <w:t xml:space="preserve">play a </w:t>
      </w:r>
      <w:r w:rsidR="004C7B88" w:rsidRPr="009513BC">
        <w:t>key</w:t>
      </w:r>
      <w:r w:rsidR="0077071B" w:rsidRPr="009513BC">
        <w:t xml:space="preserve"> role </w:t>
      </w:r>
      <w:r w:rsidR="00735379">
        <w:t>i</w:t>
      </w:r>
      <w:r w:rsidR="00C41354" w:rsidRPr="009513BC">
        <w:t>n</w:t>
      </w:r>
      <w:r w:rsidR="00864B46" w:rsidRPr="009513BC">
        <w:t xml:space="preserve"> </w:t>
      </w:r>
      <w:r w:rsidR="00895120">
        <w:t xml:space="preserve">some </w:t>
      </w:r>
      <w:r w:rsidR="0077071B" w:rsidRPr="009513BC">
        <w:t>case-specific decision-making problem.</w:t>
      </w:r>
      <w:r w:rsidR="001D0455" w:rsidRPr="009513BC">
        <w:t xml:space="preserve"> </w:t>
      </w:r>
      <w:r w:rsidR="00635F9A" w:rsidRPr="009513BC">
        <w:t xml:space="preserve">In </w:t>
      </w:r>
      <w:r w:rsidR="00620CEF">
        <w:t>the proposed</w:t>
      </w:r>
      <w:r w:rsidR="00620CEF" w:rsidRPr="009513BC">
        <w:t xml:space="preserve"> </w:t>
      </w:r>
      <w:r w:rsidR="00036320">
        <w:t>setting</w:t>
      </w:r>
      <w:r w:rsidR="00635F9A" w:rsidRPr="009513BC">
        <w:t>, t</w:t>
      </w:r>
      <w:r w:rsidR="0077071B" w:rsidRPr="009513BC">
        <w:t>he</w:t>
      </w:r>
      <w:r w:rsidR="004C7B88" w:rsidRPr="009513BC">
        <w:t xml:space="preserve"> </w:t>
      </w:r>
      <w:r w:rsidR="001D0455" w:rsidRPr="009513BC">
        <w:t xml:space="preserve">outcome of </w:t>
      </w:r>
      <w:r w:rsidR="00635F9A" w:rsidRPr="009513BC">
        <w:t>the</w:t>
      </w:r>
      <w:r w:rsidR="001D0455" w:rsidRPr="009513BC">
        <w:t xml:space="preserve"> decision-making process</w:t>
      </w:r>
      <w:r w:rsidR="0077071B" w:rsidRPr="009513BC">
        <w:t xml:space="preserve"> </w:t>
      </w:r>
      <w:r w:rsidR="004C7B88" w:rsidRPr="009513BC">
        <w:t>is</w:t>
      </w:r>
      <w:r w:rsidR="0077071B" w:rsidRPr="009513BC">
        <w:t xml:space="preserve"> </w:t>
      </w:r>
      <w:r w:rsidR="006F34CE" w:rsidRPr="009513BC">
        <w:t>expected to be</w:t>
      </w:r>
      <w:r w:rsidR="002B105B" w:rsidRPr="009513BC">
        <w:t xml:space="preserve"> a</w:t>
      </w:r>
      <w:r w:rsidR="0077071B" w:rsidRPr="009513BC">
        <w:t xml:space="preserve"> causality-enabled prediction of </w:t>
      </w:r>
      <w:r w:rsidR="00620CEF">
        <w:t>such</w:t>
      </w:r>
      <w:r w:rsidR="0077071B" w:rsidRPr="009513BC">
        <w:t xml:space="preserve"> critical variable(s).</w:t>
      </w:r>
      <w:r w:rsidR="00B61D6F" w:rsidRPr="009513BC">
        <w:t xml:space="preserve"> </w:t>
      </w:r>
      <w:r w:rsidR="001B6716" w:rsidRPr="009513BC">
        <w:t xml:space="preserve">In </w:t>
      </w:r>
      <w:r w:rsidR="000B70A3" w:rsidRPr="009513BC">
        <w:t>what follows</w:t>
      </w:r>
      <w:r w:rsidR="001B6716" w:rsidRPr="009513BC">
        <w:t>,</w:t>
      </w:r>
      <w:r w:rsidR="002B105B" w:rsidRPr="009513BC">
        <w:t xml:space="preserve"> the</w:t>
      </w:r>
      <w:r w:rsidR="001B6716" w:rsidRPr="009513BC">
        <w:t xml:space="preserve"> </w:t>
      </w:r>
      <w:r w:rsidR="00DC4555">
        <w:t>proposed</w:t>
      </w:r>
      <w:r w:rsidR="001B6716" w:rsidRPr="009513BC">
        <w:t xml:space="preserve"> causal decision-making </w:t>
      </w:r>
      <w:r w:rsidR="00C8562D">
        <w:t>methodology</w:t>
      </w:r>
      <w:r w:rsidR="002B105B" w:rsidRPr="009513BC">
        <w:t xml:space="preserve"> is presented</w:t>
      </w:r>
      <w:r w:rsidR="00B61D6F" w:rsidRPr="009513BC">
        <w:t xml:space="preserve"> with </w:t>
      </w:r>
      <w:r w:rsidR="00895120">
        <w:t xml:space="preserve">its </w:t>
      </w:r>
      <w:r w:rsidR="00B61D6F" w:rsidRPr="009513BC">
        <w:t>five main steps</w:t>
      </w:r>
      <w:r w:rsidR="00895120">
        <w:t>, each</w:t>
      </w:r>
      <w:r w:rsidR="000A1B43">
        <w:t xml:space="preserve"> </w:t>
      </w:r>
      <w:r w:rsidR="00895120">
        <w:t>outlined</w:t>
      </w:r>
      <w:r w:rsidR="000B70A3" w:rsidRPr="009513BC">
        <w:t xml:space="preserve"> </w:t>
      </w:r>
      <w:r w:rsidR="00710E0A">
        <w:t>under</w:t>
      </w:r>
      <w:r w:rsidR="00710E0A" w:rsidRPr="009513BC">
        <w:t xml:space="preserve"> </w:t>
      </w:r>
      <w:r w:rsidR="00895120">
        <w:t>a separate</w:t>
      </w:r>
      <w:r w:rsidR="000B70A3" w:rsidRPr="009513BC">
        <w:t xml:space="preserve"> </w:t>
      </w:r>
      <w:r w:rsidR="00710E0A">
        <w:t>heading</w:t>
      </w:r>
      <w:r w:rsidR="001B6716" w:rsidRPr="009513BC">
        <w:t xml:space="preserve">.  </w:t>
      </w:r>
    </w:p>
    <w:p w14:paraId="3AB86682" w14:textId="77777777" w:rsidR="00F01AFE" w:rsidRPr="009513BC" w:rsidRDefault="00F01AFE" w:rsidP="00B13B7C">
      <w:pPr>
        <w:spacing w:before="120" w:after="120" w:line="360" w:lineRule="auto"/>
        <w:jc w:val="both"/>
      </w:pPr>
    </w:p>
    <w:p w14:paraId="10FCDE1D" w14:textId="227EE659" w:rsidR="005D040B" w:rsidRPr="009513BC" w:rsidRDefault="0063290B" w:rsidP="004C7B88">
      <w:pPr>
        <w:pStyle w:val="ListParagraph"/>
        <w:numPr>
          <w:ilvl w:val="1"/>
          <w:numId w:val="1"/>
        </w:numPr>
        <w:spacing w:before="120" w:after="120" w:line="360" w:lineRule="auto"/>
        <w:jc w:val="both"/>
        <w:rPr>
          <w:rFonts w:ascii="Times New Roman" w:hAnsi="Times New Roman" w:cs="Times New Roman"/>
          <w:b/>
          <w:bCs/>
          <w:sz w:val="24"/>
          <w:szCs w:val="24"/>
        </w:rPr>
      </w:pPr>
      <w:r w:rsidRPr="009513BC">
        <w:rPr>
          <w:rFonts w:ascii="Times New Roman" w:hAnsi="Times New Roman" w:cs="Times New Roman"/>
          <w:b/>
          <w:bCs/>
          <w:sz w:val="24"/>
          <w:szCs w:val="24"/>
        </w:rPr>
        <w:t xml:space="preserve"> </w:t>
      </w:r>
      <w:r w:rsidR="008F777C" w:rsidRPr="009513BC">
        <w:rPr>
          <w:rFonts w:ascii="Times New Roman" w:hAnsi="Times New Roman" w:cs="Times New Roman"/>
          <w:b/>
          <w:bCs/>
          <w:sz w:val="24"/>
          <w:szCs w:val="24"/>
        </w:rPr>
        <w:t>Formulate the problem</w:t>
      </w:r>
    </w:p>
    <w:p w14:paraId="6EB0AABB" w14:textId="1B8D5933" w:rsidR="002C77AD" w:rsidRPr="009513BC" w:rsidRDefault="00681B22" w:rsidP="00317FC1">
      <w:pPr>
        <w:spacing w:before="120" w:after="120" w:line="360" w:lineRule="auto"/>
        <w:ind w:firstLine="284"/>
        <w:jc w:val="both"/>
      </w:pPr>
      <w:r w:rsidRPr="009513BC">
        <w:t xml:space="preserve">The first step for any data-driven decision-making methodology is to describe the raw data </w:t>
      </w:r>
      <w:r w:rsidR="00FF0C0D" w:rsidRPr="009513BC">
        <w:t>collect</w:t>
      </w:r>
      <w:r w:rsidRPr="009513BC">
        <w:t>ed.</w:t>
      </w:r>
      <w:r w:rsidR="00FF0C0D" w:rsidRPr="009513BC">
        <w:t xml:space="preserve"> </w:t>
      </w:r>
      <w:r w:rsidR="00710E0A">
        <w:t>The</w:t>
      </w:r>
      <w:r w:rsidR="00710E0A" w:rsidRPr="009513BC">
        <w:t xml:space="preserve"> </w:t>
      </w:r>
      <w:r w:rsidRPr="009513BC">
        <w:t xml:space="preserve">data </w:t>
      </w:r>
      <w:r w:rsidR="00710E0A">
        <w:t>typically</w:t>
      </w:r>
      <w:r w:rsidR="00710E0A" w:rsidRPr="009513BC">
        <w:t xml:space="preserve"> </w:t>
      </w:r>
      <w:r w:rsidR="000776BE" w:rsidRPr="009F1C67">
        <w:t>resonate with</w:t>
      </w:r>
      <w:r w:rsidR="000776BE">
        <w:t xml:space="preserve"> </w:t>
      </w:r>
      <w:r w:rsidR="002C77AD" w:rsidRPr="009513BC">
        <w:t>our</w:t>
      </w:r>
      <w:r w:rsidRPr="009513BC">
        <w:t xml:space="preserve"> understanding of </w:t>
      </w:r>
      <w:r w:rsidR="002C77AD" w:rsidRPr="009513BC">
        <w:t xml:space="preserve">causal </w:t>
      </w:r>
      <w:r w:rsidRPr="009513BC">
        <w:t xml:space="preserve">relations </w:t>
      </w:r>
      <w:r w:rsidR="00710E0A">
        <w:t>among</w:t>
      </w:r>
      <w:r w:rsidR="00710E0A" w:rsidRPr="009513BC">
        <w:t xml:space="preserve"> </w:t>
      </w:r>
      <w:r w:rsidRPr="009513BC">
        <w:t>variables</w:t>
      </w:r>
      <w:r w:rsidR="00B51D0C" w:rsidRPr="009513BC">
        <w:t xml:space="preserve"> </w:t>
      </w:r>
      <w:r w:rsidRPr="009513BC">
        <w:t>an</w:t>
      </w:r>
      <w:r w:rsidR="00B51D0C" w:rsidRPr="009513BC">
        <w:t xml:space="preserve">d </w:t>
      </w:r>
      <w:r w:rsidR="00EB3AD7">
        <w:t>contain</w:t>
      </w:r>
      <w:r w:rsidR="00EB3AD7" w:rsidRPr="009513BC">
        <w:t xml:space="preserve"> </w:t>
      </w:r>
      <w:r w:rsidRPr="009513BC">
        <w:t xml:space="preserve">implications for </w:t>
      </w:r>
      <w:r w:rsidR="00710E0A">
        <w:t>subsequent</w:t>
      </w:r>
      <w:r w:rsidR="00710E0A" w:rsidRPr="009513BC">
        <w:t xml:space="preserve"> </w:t>
      </w:r>
      <w:r w:rsidR="002C77AD" w:rsidRPr="009513BC">
        <w:t>decisions</w:t>
      </w:r>
      <w:r w:rsidRPr="009513BC">
        <w:t>.</w:t>
      </w:r>
      <w:r w:rsidR="002C77AD" w:rsidRPr="009513BC">
        <w:t xml:space="preserve"> However, whether data becomes information</w:t>
      </w:r>
      <w:r w:rsidR="00EB3AD7">
        <w:t xml:space="preserve"> or not, </w:t>
      </w:r>
      <w:r w:rsidR="002C77AD" w:rsidRPr="009513BC">
        <w:t>depend</w:t>
      </w:r>
      <w:r w:rsidR="00710E0A">
        <w:t>s</w:t>
      </w:r>
      <w:r w:rsidR="002C77AD" w:rsidRPr="009513BC">
        <w:t xml:space="preserve"> on what the decision maker </w:t>
      </w:r>
      <w:r w:rsidR="00EB3AD7" w:rsidRPr="009513BC">
        <w:t>expect</w:t>
      </w:r>
      <w:r w:rsidR="00EB3AD7">
        <w:t>s</w:t>
      </w:r>
      <w:r w:rsidR="00EB3AD7" w:rsidRPr="009513BC">
        <w:t xml:space="preserve"> </w:t>
      </w:r>
      <w:r w:rsidR="002C77AD" w:rsidRPr="009513BC">
        <w:t xml:space="preserve">to extract from them. </w:t>
      </w:r>
      <w:r w:rsidR="00317FC1" w:rsidRPr="009513BC">
        <w:t>In this regard, b</w:t>
      </w:r>
      <w:r w:rsidR="00FF0C0D" w:rsidRPr="009513BC">
        <w:t>efore</w:t>
      </w:r>
      <w:r w:rsidR="00F439CF" w:rsidRPr="009513BC">
        <w:t xml:space="preserve"> </w:t>
      </w:r>
      <w:r w:rsidR="00B51D0C" w:rsidRPr="009513BC">
        <w:t>proceed</w:t>
      </w:r>
      <w:r w:rsidR="00F439CF" w:rsidRPr="009513BC">
        <w:t>ing</w:t>
      </w:r>
      <w:r w:rsidR="00B51D0C" w:rsidRPr="009513BC">
        <w:t xml:space="preserve"> further</w:t>
      </w:r>
      <w:r w:rsidR="00317FC1" w:rsidRPr="009513BC">
        <w:t xml:space="preserve"> with the directed analysis</w:t>
      </w:r>
      <w:r w:rsidR="00FF0C0D" w:rsidRPr="009513BC">
        <w:t xml:space="preserve">, </w:t>
      </w:r>
      <w:r w:rsidR="00D366F5" w:rsidRPr="009513BC">
        <w:t>as a second step</w:t>
      </w:r>
      <w:r w:rsidR="00317FC1" w:rsidRPr="009513BC">
        <w:t>,</w:t>
      </w:r>
      <w:r w:rsidR="00D366F5" w:rsidRPr="009513BC">
        <w:t xml:space="preserve"> </w:t>
      </w:r>
      <w:r w:rsidR="00FF0C0D" w:rsidRPr="009513BC">
        <w:t>filter</w:t>
      </w:r>
      <w:r w:rsidR="00710E0A">
        <w:t>ing</w:t>
      </w:r>
      <w:r w:rsidR="00FF0C0D" w:rsidRPr="009513BC">
        <w:t xml:space="preserve"> out some</w:t>
      </w:r>
      <w:r w:rsidR="00F439CF" w:rsidRPr="009513BC">
        <w:t xml:space="preserve"> of </w:t>
      </w:r>
      <w:r w:rsidR="00800608">
        <w:t xml:space="preserve">the </w:t>
      </w:r>
      <w:r w:rsidR="00710E0A">
        <w:t>key</w:t>
      </w:r>
      <w:r w:rsidR="00710E0A" w:rsidRPr="009513BC">
        <w:t xml:space="preserve"> </w:t>
      </w:r>
      <w:r w:rsidR="00FF0C0D" w:rsidRPr="009513BC">
        <w:t>variables</w:t>
      </w:r>
      <w:r w:rsidR="00710E0A">
        <w:t xml:space="preserve"> is necessary</w:t>
      </w:r>
      <w:r w:rsidR="00FF0C0D" w:rsidRPr="009513BC">
        <w:t xml:space="preserve">. </w:t>
      </w:r>
      <w:r w:rsidR="00B51D0C" w:rsidRPr="009513BC">
        <w:t>I</w:t>
      </w:r>
      <w:r w:rsidR="002C77AD" w:rsidRPr="009513BC">
        <w:t>n</w:t>
      </w:r>
      <w:r w:rsidR="00D366F5" w:rsidRPr="009513BC">
        <w:t xml:space="preserve"> </w:t>
      </w:r>
      <w:r w:rsidR="00710E0A">
        <w:t>this</w:t>
      </w:r>
      <w:r w:rsidR="00710E0A" w:rsidRPr="009513BC">
        <w:t xml:space="preserve"> </w:t>
      </w:r>
      <w:r w:rsidR="00317FC1" w:rsidRPr="00B05F41">
        <w:t>framework</w:t>
      </w:r>
      <w:r w:rsidR="00FF0C0D" w:rsidRPr="009513BC">
        <w:t xml:space="preserve">, </w:t>
      </w:r>
      <w:r w:rsidR="00710E0A">
        <w:t xml:space="preserve">exploring </w:t>
      </w:r>
      <w:r w:rsidR="00D366F5" w:rsidRPr="009513BC">
        <w:t>dependencies throughout a time horizon</w:t>
      </w:r>
      <w:r w:rsidR="00BE0EE3">
        <w:rPr>
          <w:rStyle w:val="FootnoteReference"/>
        </w:rPr>
        <w:footnoteReference w:id="2"/>
      </w:r>
      <w:r w:rsidR="00710E0A">
        <w:t xml:space="preserve"> </w:t>
      </w:r>
      <w:r w:rsidR="00EB3AD7">
        <w:t>retain</w:t>
      </w:r>
      <w:r w:rsidR="00710E0A">
        <w:t>s</w:t>
      </w:r>
      <w:r w:rsidR="00317FC1" w:rsidRPr="009513BC">
        <w:t xml:space="preserve"> only time series variables</w:t>
      </w:r>
      <w:r w:rsidR="00F439CF" w:rsidRPr="009513BC">
        <w:t>.</w:t>
      </w:r>
      <w:r w:rsidR="00FF0C0D" w:rsidRPr="009513BC">
        <w:t xml:space="preserve"> </w:t>
      </w:r>
      <w:r w:rsidR="00F439CF" w:rsidRPr="009513BC">
        <w:t>Consequently,</w:t>
      </w:r>
      <w:r w:rsidR="00D366F5" w:rsidRPr="009513BC">
        <w:t xml:space="preserve"> </w:t>
      </w:r>
      <w:r w:rsidR="00623E2E" w:rsidRPr="009513BC">
        <w:t xml:space="preserve">all other categories of data </w:t>
      </w:r>
      <w:r w:rsidR="00710E0A">
        <w:t>are</w:t>
      </w:r>
      <w:r w:rsidR="00623E2E" w:rsidRPr="009513BC">
        <w:t xml:space="preserve"> </w:t>
      </w:r>
      <w:r w:rsidR="00623E2E" w:rsidRPr="006B536A">
        <w:t>removed</w:t>
      </w:r>
      <w:r w:rsidR="00FF0C0D" w:rsidRPr="009513BC">
        <w:t>.</w:t>
      </w:r>
      <w:r w:rsidR="00AA5C80" w:rsidRPr="009513BC">
        <w:t xml:space="preserve"> </w:t>
      </w:r>
      <w:r w:rsidR="002C77AD" w:rsidRPr="009513BC">
        <w:t xml:space="preserve">After </w:t>
      </w:r>
      <w:r w:rsidR="00710E0A">
        <w:t>completing the</w:t>
      </w:r>
      <w:r w:rsidR="002C77AD" w:rsidRPr="009513BC">
        <w:t xml:space="preserve"> </w:t>
      </w:r>
      <w:r w:rsidR="00196644">
        <w:t>initial filtering</w:t>
      </w:r>
      <w:r w:rsidR="002C77AD" w:rsidRPr="009513BC">
        <w:t>,</w:t>
      </w:r>
      <w:r w:rsidR="00623E2E" w:rsidRPr="009513BC">
        <w:t xml:space="preserve"> </w:t>
      </w:r>
      <w:r w:rsidR="00710E0A">
        <w:t>only</w:t>
      </w:r>
      <w:r w:rsidR="00317FC1" w:rsidRPr="009513BC">
        <w:t xml:space="preserve"> </w:t>
      </w:r>
      <w:r w:rsidR="002C77AD" w:rsidRPr="009513BC">
        <w:t>time series variables</w:t>
      </w:r>
      <w:r w:rsidR="00317FC1" w:rsidRPr="009513BC">
        <w:t>,</w:t>
      </w:r>
      <w:r w:rsidR="002C77AD" w:rsidRPr="009513BC">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 Y</m:t>
        </m:r>
        <m:r>
          <m:rPr>
            <m:scr m:val="double-struck"/>
          </m:rPr>
          <w:rPr>
            <w:rFonts w:ascii="Cambria Math" w:hAnsi="Cambria Math"/>
          </w:rPr>
          <m:t>∈R</m:t>
        </m:r>
        <m:r>
          <w:rPr>
            <w:rStyle w:val="FootnoteReference"/>
            <w:rFonts w:ascii="Cambria Math" w:hAnsi="Cambria Math"/>
            <w:i/>
          </w:rPr>
          <w:footnoteReference w:id="3"/>
        </m:r>
      </m:oMath>
      <w:r w:rsidR="00317FC1" w:rsidRPr="009513BC">
        <w:rPr>
          <w:rFonts w:eastAsiaTheme="minorEastAsia"/>
        </w:rPr>
        <w:t>,</w:t>
      </w:r>
      <w:r w:rsidR="002C77AD" w:rsidRPr="009513BC">
        <w:t xml:space="preserve"> depicted as nodes in </w:t>
      </w:r>
      <w:r w:rsidR="002C77AD" w:rsidRPr="009513BC">
        <w:rPr>
          <w:b/>
          <w:bCs/>
        </w:rPr>
        <w:t>Fig</w:t>
      </w:r>
      <w:r w:rsidR="007B2A0F">
        <w:rPr>
          <w:b/>
          <w:bCs/>
        </w:rPr>
        <w:t>.</w:t>
      </w:r>
      <w:r w:rsidR="002C77AD" w:rsidRPr="009513BC">
        <w:rPr>
          <w:b/>
          <w:bCs/>
        </w:rPr>
        <w:t xml:space="preserve"> 1</w:t>
      </w:r>
      <w:r w:rsidR="00BE0EE3" w:rsidRPr="00E85B48">
        <w:rPr>
          <w:rStyle w:val="FootnoteReference"/>
          <w:bCs/>
        </w:rPr>
        <w:footnoteReference w:id="4"/>
      </w:r>
      <w:r w:rsidR="002C77AD" w:rsidRPr="009513BC">
        <w:t xml:space="preserve"> </w:t>
      </w:r>
      <w:r w:rsidR="00710E0A">
        <w:t xml:space="preserve">are retained. These variables </w:t>
      </w:r>
      <w:r w:rsidR="002C77AD" w:rsidRPr="009513BC">
        <w:t xml:space="preserve">have some implied </w:t>
      </w:r>
      <w:r w:rsidR="00B601C2">
        <w:t>- yet</w:t>
      </w:r>
      <w:r w:rsidR="002C77AD" w:rsidRPr="009513BC">
        <w:t xml:space="preserve"> currently unknown</w:t>
      </w:r>
      <w:r w:rsidR="00B601C2">
        <w:t xml:space="preserve"> -</w:t>
      </w:r>
      <w:r w:rsidR="002C77AD" w:rsidRPr="009513BC">
        <w:t xml:space="preserve"> causal structure.</w:t>
      </w:r>
      <w:r w:rsidR="00B44BEC">
        <w:rPr>
          <w:rStyle w:val="FootnoteReference"/>
        </w:rPr>
        <w:footnoteReference w:id="5"/>
      </w:r>
      <w:r w:rsidR="007A1A0E">
        <w:t xml:space="preserve"> </w:t>
      </w:r>
    </w:p>
    <w:p w14:paraId="33E893EC" w14:textId="55FC3151" w:rsidR="003A01BB" w:rsidRPr="009513BC" w:rsidRDefault="00166E7C" w:rsidP="003A01BB">
      <w:pPr>
        <w:spacing w:before="120" w:after="120" w:line="360" w:lineRule="auto"/>
        <w:ind w:firstLine="284"/>
        <w:jc w:val="both"/>
      </w:pPr>
      <w:r w:rsidRPr="009513BC">
        <w:t>In real-world applications, v</w:t>
      </w:r>
      <w:r w:rsidR="002C77AD" w:rsidRPr="009513BC">
        <w:t xml:space="preserve">ariables </w:t>
      </w:r>
      <w:r w:rsidR="00C65E4D">
        <w:t>identified for a particular decision situation</w:t>
      </w:r>
      <w:r w:rsidR="002C77AD" w:rsidRPr="009513BC">
        <w:t xml:space="preserve"> from different perspectives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eastAsiaTheme="minorEastAsia" w:hAnsi="Cambria Math"/>
          </w:rPr>
          <m:t>, Y)</m:t>
        </m:r>
      </m:oMath>
      <w:r w:rsidR="002C77AD" w:rsidRPr="009513BC">
        <w:t xml:space="preserve"> are not only subject to a causal network structure (</w:t>
      </w:r>
      <w:r w:rsidRPr="009513BC">
        <w:t xml:space="preserve">see </w:t>
      </w:r>
      <w:r w:rsidR="002C77AD" w:rsidRPr="009513BC">
        <w:rPr>
          <w:b/>
          <w:bCs/>
        </w:rPr>
        <w:t>Fig</w:t>
      </w:r>
      <w:r w:rsidR="007B2A0F">
        <w:rPr>
          <w:b/>
          <w:bCs/>
        </w:rPr>
        <w:t>.</w:t>
      </w:r>
      <w:r w:rsidR="002C77AD" w:rsidRPr="009513BC">
        <w:rPr>
          <w:b/>
          <w:bCs/>
        </w:rPr>
        <w:t xml:space="preserve"> 1</w:t>
      </w:r>
      <w:r w:rsidR="00C65E4D">
        <w:rPr>
          <w:b/>
          <w:bCs/>
        </w:rPr>
        <w:t>a</w:t>
      </w:r>
      <w:r w:rsidR="002C77AD" w:rsidRPr="009513BC">
        <w:t xml:space="preserve">) but also are governed by </w:t>
      </w:r>
      <w:r w:rsidR="00C43374" w:rsidRPr="009F1C67">
        <w:t>the same</w:t>
      </w:r>
      <w:r w:rsidR="00C43374">
        <w:t xml:space="preserve"> </w:t>
      </w:r>
      <w:r w:rsidR="002C77AD" w:rsidRPr="009513BC">
        <w:t>attractor dynamics</w:t>
      </w:r>
      <w:r w:rsidR="00E00293" w:rsidRPr="009513BC">
        <w:t xml:space="preserve">, i.e., </w:t>
      </w:r>
      <w:r w:rsidR="009D3E63">
        <w:t>belong to the same manifold</w:t>
      </w:r>
      <w:r w:rsidR="00E00293" w:rsidRPr="009513BC">
        <w:t xml:space="preserve"> </w:t>
      </w:r>
      <m:oMath>
        <m:r>
          <w:rPr>
            <w:rFonts w:ascii="Cambria Math" w:hAnsi="Cambria Math"/>
          </w:rPr>
          <m:t>M∈</m:t>
        </m:r>
        <m:sSup>
          <m:sSupPr>
            <m:ctrlPr>
              <w:rPr>
                <w:rFonts w:ascii="Cambria Math" w:hAnsi="Cambria Math"/>
                <w:i/>
              </w:rPr>
            </m:ctrlPr>
          </m:sSupPr>
          <m:e>
            <m:r>
              <m:rPr>
                <m:scr m:val="double-struck"/>
              </m:rPr>
              <w:rPr>
                <w:rFonts w:ascii="Cambria Math" w:hAnsi="Cambria Math"/>
              </w:rPr>
              <m:t>R</m:t>
            </m:r>
          </m:e>
          <m:sup>
            <m:r>
              <w:rPr>
                <w:rFonts w:ascii="Cambria Math" w:hAnsi="Cambria Math"/>
              </w:rPr>
              <m:t>E</m:t>
            </m:r>
          </m:sup>
        </m:sSup>
      </m:oMath>
      <w:r w:rsidR="002C77AD" w:rsidRPr="009513BC">
        <w:t xml:space="preserve"> (</w:t>
      </w:r>
      <w:r w:rsidRPr="009513BC">
        <w:t xml:space="preserve">see </w:t>
      </w:r>
      <w:r w:rsidR="002C77AD" w:rsidRPr="009513BC">
        <w:t xml:space="preserve">the </w:t>
      </w:r>
      <w:r w:rsidR="002C77AD" w:rsidRPr="009513BC">
        <w:rPr>
          <w:i/>
          <w:iCs/>
        </w:rPr>
        <w:t>orange</w:t>
      </w:r>
      <w:r w:rsidR="002C77AD" w:rsidRPr="009513BC">
        <w:t xml:space="preserve"> manifold in </w:t>
      </w:r>
      <w:r w:rsidR="002C77AD" w:rsidRPr="009513BC">
        <w:rPr>
          <w:b/>
          <w:bCs/>
        </w:rPr>
        <w:t>Fig</w:t>
      </w:r>
      <w:r w:rsidR="007B2A0F">
        <w:rPr>
          <w:b/>
          <w:bCs/>
        </w:rPr>
        <w:t>.</w:t>
      </w:r>
      <w:r w:rsidR="002C77AD" w:rsidRPr="009513BC">
        <w:rPr>
          <w:b/>
          <w:bCs/>
        </w:rPr>
        <w:t xml:space="preserve"> 1</w:t>
      </w:r>
      <w:r w:rsidR="00C65E4D">
        <w:rPr>
          <w:b/>
          <w:bCs/>
        </w:rPr>
        <w:t>b</w:t>
      </w:r>
      <w:r w:rsidR="002C77AD" w:rsidRPr="009513BC">
        <w:t>).</w:t>
      </w:r>
      <w:r w:rsidR="00881E24">
        <w:rPr>
          <w:rStyle w:val="FootnoteReference"/>
        </w:rPr>
        <w:footnoteReference w:id="6"/>
      </w:r>
      <w:r w:rsidR="002C77AD" w:rsidRPr="009513BC">
        <w:t xml:space="preserve"> These dynamics can approximately be observed by rendering scatterplots of combinations of two or three variables</w:t>
      </w:r>
      <w:r w:rsidR="003A01BB" w:rsidRPr="009513BC">
        <w:t>.</w:t>
      </w:r>
      <w:r w:rsidR="002C77AD" w:rsidRPr="009513BC">
        <w:t xml:space="preserve"> </w:t>
      </w:r>
      <w:r w:rsidR="003A01BB" w:rsidRPr="009513BC">
        <w:t xml:space="preserve">For illustration purposes, </w:t>
      </w:r>
      <w:r w:rsidR="002C77AD" w:rsidRPr="009513BC">
        <w:rPr>
          <w:b/>
          <w:bCs/>
        </w:rPr>
        <w:t>Fig</w:t>
      </w:r>
      <w:r w:rsidR="007B2A0F">
        <w:rPr>
          <w:b/>
          <w:bCs/>
        </w:rPr>
        <w:t>.</w:t>
      </w:r>
      <w:r w:rsidR="002C77AD" w:rsidRPr="009513BC">
        <w:rPr>
          <w:b/>
          <w:bCs/>
        </w:rPr>
        <w:t xml:space="preserve"> 1</w:t>
      </w:r>
      <w:r w:rsidR="00C65E4D">
        <w:rPr>
          <w:b/>
          <w:bCs/>
        </w:rPr>
        <w:t>b</w:t>
      </w:r>
      <w:r w:rsidR="002C77AD" w:rsidRPr="009513BC">
        <w:t xml:space="preserve"> </w:t>
      </w:r>
      <w:r w:rsidR="00C65E4D">
        <w:t>shows the</w:t>
      </w:r>
      <w:r w:rsidR="002C77AD" w:rsidRPr="009513BC">
        <w:t xml:space="preserve"> Lorenz attractor which is built by taking the scatterplot of the three constituent variables </w:t>
      </w:r>
      <w:r w:rsidR="00935669" w:rsidRPr="009513BC">
        <w:t>that</w:t>
      </w:r>
      <w:r w:rsidR="002C77AD" w:rsidRPr="009513BC">
        <w:t xml:space="preserve"> comprise the Lorenz Differential </w:t>
      </w:r>
      <w:r w:rsidR="002C77AD" w:rsidRPr="003F7A90">
        <w:t>Equations</w:t>
      </w:r>
      <w:r w:rsidR="00005A4B">
        <w:t xml:space="preserve"> </w:t>
      </w:r>
      <w:r w:rsidR="00005A4B">
        <w:fldChar w:fldCharType="begin" w:fldLock="1"/>
      </w:r>
      <w:r w:rsidR="00005A4B">
        <w:instrText>ADDIN CSL_CITATION {"citationItems":[{"id":"ITEM-1","itemData":{"DOI":"10.1007/978-0-387-21830-4_2","author":[{"dropping-particle":"","family":"Lorenz","given":"Edward N.","non-dropping-particle":"","parse-names":false,"suffix":""}],"container-title":"The Theory of Chaotic Attractors","id":"ITEM-1","issued":{"date-parts":[["2004"]]},"page":"25-36","publisher":"Springer New York","publisher-place":"New York, NY","title":"Deterministic Nonperiodic Flow","type":"chapter"},"uris":["http://www.mendeley.com/documents/?uuid=9fedb07d-6657-4598-ac3e-82b503a5ef07"]}],"mendeley":{"formattedCitation":"(Lorenz, 2004)","plainTextFormattedCitation":"(Lorenz, 2004)","previouslyFormattedCitation":"(Lorenz, 2004)"},"properties":{"noteIndex":0},"schema":"https://github.com/citation-style-language/schema/raw/master/csl-citation.json"}</w:instrText>
      </w:r>
      <w:r w:rsidR="00005A4B">
        <w:fldChar w:fldCharType="separate"/>
      </w:r>
      <w:r w:rsidR="00005A4B" w:rsidRPr="00005A4B">
        <w:rPr>
          <w:noProof/>
        </w:rPr>
        <w:t>(Lorenz, 2004)</w:t>
      </w:r>
      <w:r w:rsidR="00005A4B">
        <w:fldChar w:fldCharType="end"/>
      </w:r>
      <w:r w:rsidR="00005A4B">
        <w:t xml:space="preserve"> </w:t>
      </w:r>
      <w:r w:rsidR="002C77AD" w:rsidRPr="003F7A90">
        <w:t>.</w:t>
      </w:r>
      <w:r w:rsidR="002C77AD" w:rsidRPr="009513BC">
        <w:t xml:space="preserve"> </w:t>
      </w:r>
      <w:r w:rsidR="00F719FF" w:rsidRPr="009513BC">
        <w:t>In practice</w:t>
      </w:r>
      <w:r w:rsidR="00877964" w:rsidRPr="009513BC">
        <w:t>,</w:t>
      </w:r>
      <w:r w:rsidR="002C77AD" w:rsidRPr="009513BC">
        <w:t xml:space="preserve"> it is often the case that such scatterplot</w:t>
      </w:r>
      <w:r w:rsidR="005F438A" w:rsidRPr="009513BC">
        <w:t>s</w:t>
      </w:r>
      <w:r w:rsidR="002C77AD" w:rsidRPr="009513BC">
        <w:t xml:space="preserve">, </w:t>
      </w:r>
      <w:r w:rsidR="008F777C" w:rsidRPr="009513BC">
        <w:t xml:space="preserve">particularly </w:t>
      </w:r>
      <w:r w:rsidR="002C77AD" w:rsidRPr="009513BC">
        <w:t>when produced from real-world data, visually appear as nothing but</w:t>
      </w:r>
      <w:r w:rsidR="004247C6">
        <w:t xml:space="preserve"> </w:t>
      </w:r>
      <w:r w:rsidR="002C77AD" w:rsidRPr="009513BC">
        <w:t xml:space="preserve">noise, which </w:t>
      </w:r>
      <w:r w:rsidR="00927102">
        <w:t xml:space="preserve">does not </w:t>
      </w:r>
      <w:r w:rsidR="00C65E4D">
        <w:t>help</w:t>
      </w:r>
      <w:r w:rsidR="00F719FF" w:rsidRPr="009513BC">
        <w:t xml:space="preserve"> </w:t>
      </w:r>
      <w:r w:rsidR="00C65E4D">
        <w:t>in a</w:t>
      </w:r>
      <w:r w:rsidR="00C65E4D" w:rsidRPr="009513BC">
        <w:t xml:space="preserve"> </w:t>
      </w:r>
      <w:r w:rsidR="00F719FF" w:rsidRPr="009513BC">
        <w:t>decision-making process</w:t>
      </w:r>
      <w:r w:rsidR="00877964" w:rsidRPr="009513BC">
        <w:t>.</w:t>
      </w:r>
      <w:r w:rsidR="002C77AD" w:rsidRPr="009513BC">
        <w:t xml:space="preserve"> Therefore, </w:t>
      </w:r>
      <w:r w:rsidR="00042742" w:rsidRPr="009513BC">
        <w:lastRenderedPageBreak/>
        <w:t xml:space="preserve">since </w:t>
      </w:r>
      <w:r w:rsidR="00DB4754" w:rsidRPr="009513BC">
        <w:t>it is essential not to</w:t>
      </w:r>
      <w:r w:rsidR="002C77AD" w:rsidRPr="009513BC">
        <w:t xml:space="preserve"> rely on visual techniques, </w:t>
      </w:r>
      <w:r w:rsidR="009B1D40">
        <w:t>our treatment</w:t>
      </w:r>
      <w:r w:rsidR="002C77AD" w:rsidRPr="009513BC">
        <w:t xml:space="preserve"> algorithmically exploits the underlying attractor dynamics to perform </w:t>
      </w:r>
      <w:r w:rsidR="00981358">
        <w:t xml:space="preserve">causality-based </w:t>
      </w:r>
      <w:r w:rsidR="002C77AD" w:rsidRPr="009513BC">
        <w:t>predictio</w:t>
      </w:r>
      <w:r w:rsidR="00981358">
        <w:t>ns which can be used in decision making</w:t>
      </w:r>
      <w:r w:rsidR="002C77AD" w:rsidRPr="009513BC">
        <w:t>.</w:t>
      </w:r>
    </w:p>
    <w:p w14:paraId="6227A8EA" w14:textId="099EBF8D" w:rsidR="00805BA3" w:rsidRDefault="001C19A5" w:rsidP="00546ADF">
      <w:pPr>
        <w:spacing w:before="120" w:after="120" w:line="360" w:lineRule="auto"/>
        <w:ind w:firstLine="284"/>
        <w:jc w:val="both"/>
      </w:pPr>
      <w:r>
        <w:t>The proposed</w:t>
      </w:r>
      <w:r w:rsidRPr="009513BC">
        <w:t xml:space="preserve"> </w:t>
      </w:r>
      <w:r w:rsidR="007337F2" w:rsidRPr="009513BC">
        <w:t xml:space="preserve">causal decision-making </w:t>
      </w:r>
      <w:r w:rsidR="006F1956">
        <w:t>methodology</w:t>
      </w:r>
      <w:r w:rsidR="002F3604" w:rsidRPr="009513BC">
        <w:t xml:space="preserve"> </w:t>
      </w:r>
      <w:r w:rsidR="00166E7C" w:rsidRPr="009513BC">
        <w:t xml:space="preserve">with </w:t>
      </w:r>
      <w:r w:rsidR="003F1789" w:rsidRPr="009513BC">
        <w:t xml:space="preserve">real </w:t>
      </w:r>
      <w:r w:rsidR="00877964" w:rsidRPr="009513BC">
        <w:t>time</w:t>
      </w:r>
      <w:r>
        <w:t>-</w:t>
      </w:r>
      <w:r w:rsidR="00877964" w:rsidRPr="009513BC">
        <w:t xml:space="preserve">series </w:t>
      </w:r>
      <w:r w:rsidR="00FF0C0D" w:rsidRPr="009513BC">
        <w:t>variable</w:t>
      </w:r>
      <w:r w:rsidR="00877964" w:rsidRPr="009513BC">
        <w:t>s</w:t>
      </w:r>
      <w:r>
        <w:t xml:space="preserve"> is </w:t>
      </w:r>
      <w:r w:rsidRPr="009F1C67">
        <w:t xml:space="preserve">robust to </w:t>
      </w:r>
      <w:r w:rsidR="00FF0C0D" w:rsidRPr="009F1C67">
        <w:t>produce</w:t>
      </w:r>
      <w:r w:rsidR="00FF0C0D" w:rsidRPr="009513BC">
        <w:t xml:space="preserve"> results </w:t>
      </w:r>
      <w:r>
        <w:t>in case of</w:t>
      </w:r>
      <w:r w:rsidR="003F1789" w:rsidRPr="009513BC">
        <w:t xml:space="preserve"> </w:t>
      </w:r>
      <w:r w:rsidR="00FF0C0D" w:rsidRPr="009513BC">
        <w:t>missing values</w:t>
      </w:r>
      <w:r w:rsidR="00166E7C" w:rsidRPr="009513BC">
        <w:t xml:space="preserve"> in the data</w:t>
      </w:r>
      <w:r w:rsidR="00FF0C0D" w:rsidRPr="009513BC">
        <w:t xml:space="preserve">. </w:t>
      </w:r>
      <w:r>
        <w:t xml:space="preserve">In such cases, </w:t>
      </w:r>
      <w:r w:rsidR="00FF0C0D" w:rsidRPr="009513BC">
        <w:t xml:space="preserve">moving </w:t>
      </w:r>
      <w:r w:rsidR="00200551">
        <w:t xml:space="preserve">on </w:t>
      </w:r>
      <w:r w:rsidR="00FF0C0D" w:rsidRPr="009513BC">
        <w:t>to the next value</w:t>
      </w:r>
      <w:r>
        <w:t xml:space="preserve"> works and is </w:t>
      </w:r>
      <w:r w:rsidR="00FF0C0D" w:rsidRPr="009513BC">
        <w:t xml:space="preserve">efficient for prediction </w:t>
      </w:r>
      <w:r>
        <w:t>purposes</w:t>
      </w:r>
      <w:r w:rsidR="00FF0C0D" w:rsidRPr="009513BC">
        <w:t xml:space="preserve">, especially when the accuracy is high despite </w:t>
      </w:r>
      <w:r w:rsidR="00EF36C5" w:rsidRPr="009513BC">
        <w:t xml:space="preserve">the </w:t>
      </w:r>
      <w:r w:rsidR="00FF0C0D" w:rsidRPr="009513BC">
        <w:t>missing values. However, when interpreting causalit</w:t>
      </w:r>
      <w:r w:rsidR="00316E79" w:rsidRPr="009513BC">
        <w:t>y</w:t>
      </w:r>
      <w:r w:rsidR="003F1789" w:rsidRPr="009513BC">
        <w:t>,</w:t>
      </w:r>
      <w:r w:rsidR="00FF0C0D" w:rsidRPr="009513BC">
        <w:t xml:space="preserve"> cautio</w:t>
      </w:r>
      <w:r>
        <w:t>n must be exercised</w:t>
      </w:r>
      <w:r w:rsidR="00200551">
        <w:t xml:space="preserve"> since</w:t>
      </w:r>
      <w:r w:rsidR="00200551" w:rsidRPr="009513BC">
        <w:t xml:space="preserve"> </w:t>
      </w:r>
      <w:r w:rsidR="00200551">
        <w:t>t</w:t>
      </w:r>
      <w:r w:rsidR="00200551" w:rsidRPr="009513BC">
        <w:t xml:space="preserve">he </w:t>
      </w:r>
      <w:r w:rsidR="00FF0C0D" w:rsidRPr="009513BC">
        <w:t>higher the percentage of missing values</w:t>
      </w:r>
      <w:r w:rsidR="00200551">
        <w:t>,</w:t>
      </w:r>
      <w:r w:rsidR="00FF0C0D" w:rsidRPr="009513BC">
        <w:t xml:space="preserve"> the greater the uncertainty </w:t>
      </w:r>
      <w:r w:rsidR="00200551">
        <w:t>of</w:t>
      </w:r>
      <w:r w:rsidR="00FF0C0D" w:rsidRPr="009513BC">
        <w:t xml:space="preserve"> interpretation. </w:t>
      </w:r>
      <w:r w:rsidR="00E66781">
        <w:t>A</w:t>
      </w:r>
      <w:r w:rsidR="00E66781" w:rsidRPr="009513BC">
        <w:t xml:space="preserve"> </w:t>
      </w:r>
      <w:r w:rsidR="00166E7C" w:rsidRPr="009513BC">
        <w:t>decision maker</w:t>
      </w:r>
      <w:r w:rsidR="00316E79" w:rsidRPr="009513BC">
        <w:t xml:space="preserve"> should</w:t>
      </w:r>
      <w:r w:rsidR="00FF0C0D" w:rsidRPr="009513BC">
        <w:t xml:space="preserve"> </w:t>
      </w:r>
      <w:r w:rsidR="00DB4754" w:rsidRPr="009513BC">
        <w:t xml:space="preserve">also </w:t>
      </w:r>
      <w:r w:rsidR="00635827">
        <w:t>exercise judgement</w:t>
      </w:r>
      <w:r w:rsidR="00635827" w:rsidRPr="009513BC">
        <w:t xml:space="preserve"> </w:t>
      </w:r>
      <w:r w:rsidR="00FF0C0D" w:rsidRPr="009513BC">
        <w:t>about whether to remove variables with missing values at the cost of possibly losing some predictive power.</w:t>
      </w:r>
      <w:r w:rsidR="00166E7C" w:rsidRPr="009513BC">
        <w:t xml:space="preserve"> </w:t>
      </w:r>
      <w:r w:rsidR="00FF0C0D" w:rsidRPr="009513BC">
        <w:t>Th</w:t>
      </w:r>
      <w:r w:rsidR="00DB4754" w:rsidRPr="009513BC">
        <w:t>us, the</w:t>
      </w:r>
      <w:r w:rsidR="00FF0C0D" w:rsidRPr="009513BC">
        <w:t xml:space="preserve"> decision maker’s choice on which variables to remove plays a decisive role on what </w:t>
      </w:r>
      <w:r w:rsidR="00800608">
        <w:t xml:space="preserve">the </w:t>
      </w:r>
      <w:r w:rsidR="00E66781">
        <w:t>subsequent steps</w:t>
      </w:r>
      <w:r w:rsidR="009F3223">
        <w:t xml:space="preserve"> </w:t>
      </w:r>
      <w:r w:rsidR="009F3223" w:rsidRPr="009F1C67">
        <w:t>should be</w:t>
      </w:r>
      <w:r w:rsidR="00FF0C0D" w:rsidRPr="009F1C67">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90"/>
        <w:gridCol w:w="5526"/>
      </w:tblGrid>
      <w:tr w:rsidR="00E069C5" w14:paraId="3C867EC1" w14:textId="77777777" w:rsidTr="00750E37">
        <w:tc>
          <w:tcPr>
            <w:tcW w:w="4508" w:type="dxa"/>
          </w:tcPr>
          <w:p w14:paraId="2BB7BEE6" w14:textId="0193A347" w:rsidR="00B676C9" w:rsidRDefault="004F3933" w:rsidP="00546ADF">
            <w:pPr>
              <w:spacing w:before="120" w:after="120" w:line="360" w:lineRule="auto"/>
              <w:jc w:val="both"/>
            </w:pPr>
            <w:r>
              <w:rPr>
                <w:noProof/>
              </w:rPr>
              <w:drawing>
                <wp:inline distT="0" distB="0" distL="0" distR="0" wp14:anchorId="457ED545" wp14:editId="5494B0E6">
                  <wp:extent cx="2102575" cy="228224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228" cy="2299231"/>
                          </a:xfrm>
                          <a:prstGeom prst="rect">
                            <a:avLst/>
                          </a:prstGeom>
                          <a:noFill/>
                          <a:ln>
                            <a:noFill/>
                          </a:ln>
                        </pic:spPr>
                      </pic:pic>
                    </a:graphicData>
                  </a:graphic>
                </wp:inline>
              </w:drawing>
            </w:r>
          </w:p>
        </w:tc>
        <w:tc>
          <w:tcPr>
            <w:tcW w:w="4508" w:type="dxa"/>
          </w:tcPr>
          <w:p w14:paraId="43234E7A" w14:textId="07CCA55B" w:rsidR="00B676C9" w:rsidRDefault="00E069C5" w:rsidP="00546ADF">
            <w:pPr>
              <w:spacing w:before="120" w:after="120" w:line="360" w:lineRule="auto"/>
              <w:jc w:val="both"/>
            </w:pPr>
            <w:r>
              <w:rPr>
                <w:noProof/>
              </w:rPr>
              <w:drawing>
                <wp:inline distT="0" distB="0" distL="0" distR="0" wp14:anchorId="28016C5C" wp14:editId="7B14C7D3">
                  <wp:extent cx="3409950" cy="2654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7250" cy="2676062"/>
                          </a:xfrm>
                          <a:prstGeom prst="rect">
                            <a:avLst/>
                          </a:prstGeom>
                          <a:noFill/>
                          <a:ln>
                            <a:noFill/>
                          </a:ln>
                        </pic:spPr>
                      </pic:pic>
                    </a:graphicData>
                  </a:graphic>
                </wp:inline>
              </w:drawing>
            </w:r>
          </w:p>
        </w:tc>
      </w:tr>
    </w:tbl>
    <w:p w14:paraId="2A76B2E2" w14:textId="2926D394" w:rsidR="00D27D46" w:rsidRPr="001A2A6D" w:rsidRDefault="00FF0C0D" w:rsidP="001626A2">
      <w:pPr>
        <w:spacing w:before="120" w:after="120" w:line="360" w:lineRule="auto"/>
        <w:jc w:val="both"/>
        <w:rPr>
          <w:sz w:val="20"/>
          <w:szCs w:val="20"/>
        </w:rPr>
      </w:pPr>
      <w:r w:rsidRPr="00D61ACC">
        <w:rPr>
          <w:b/>
          <w:bCs/>
          <w:sz w:val="20"/>
          <w:szCs w:val="20"/>
        </w:rPr>
        <w:t>Fig</w:t>
      </w:r>
      <w:r w:rsidR="007B2A0F">
        <w:rPr>
          <w:b/>
          <w:bCs/>
          <w:sz w:val="20"/>
          <w:szCs w:val="20"/>
        </w:rPr>
        <w:t>.</w:t>
      </w:r>
      <w:r w:rsidRPr="00D61ACC">
        <w:rPr>
          <w:b/>
          <w:bCs/>
          <w:sz w:val="20"/>
          <w:szCs w:val="20"/>
        </w:rPr>
        <w:t xml:space="preserve"> 1</w:t>
      </w:r>
      <w:r w:rsidR="00EE7466" w:rsidRPr="00D61ACC">
        <w:rPr>
          <w:b/>
          <w:bCs/>
          <w:sz w:val="20"/>
          <w:szCs w:val="20"/>
        </w:rPr>
        <w:t>.</w:t>
      </w:r>
      <w:r w:rsidR="00B36358" w:rsidRPr="00D61ACC">
        <w:rPr>
          <w:b/>
          <w:bCs/>
          <w:sz w:val="20"/>
          <w:szCs w:val="20"/>
        </w:rPr>
        <w:t xml:space="preserve"> </w:t>
      </w:r>
      <w:r w:rsidR="00E66781">
        <w:rPr>
          <w:b/>
          <w:bCs/>
          <w:sz w:val="20"/>
          <w:szCs w:val="20"/>
        </w:rPr>
        <w:t>(</w:t>
      </w:r>
      <w:r w:rsidR="00B36358" w:rsidRPr="00D61ACC">
        <w:rPr>
          <w:b/>
          <w:bCs/>
          <w:sz w:val="20"/>
          <w:szCs w:val="20"/>
        </w:rPr>
        <w:t xml:space="preserve">a) </w:t>
      </w:r>
      <w:r w:rsidR="000C1225" w:rsidRPr="00D61ACC">
        <w:rPr>
          <w:sz w:val="20"/>
          <w:szCs w:val="20"/>
        </w:rPr>
        <w:t xml:space="preserve"> </w:t>
      </w:r>
      <w:r w:rsidR="00421CD1">
        <w:rPr>
          <w:sz w:val="20"/>
          <w:szCs w:val="20"/>
        </w:rPr>
        <w:t>A</w:t>
      </w:r>
      <w:r w:rsidR="00BC50CC" w:rsidRPr="00D61ACC">
        <w:rPr>
          <w:sz w:val="20"/>
          <w:szCs w:val="20"/>
        </w:rPr>
        <w:t xml:space="preserve"> selection of time series </w:t>
      </w:r>
      <w:r w:rsidR="00B36358" w:rsidRPr="00D61ACC">
        <w:rPr>
          <w:sz w:val="20"/>
          <w:szCs w:val="20"/>
        </w:rPr>
        <w:t>variables with unknown interdependencies (</w:t>
      </w:r>
      <w:r w:rsidR="00F62D80" w:rsidRPr="00D61ACC">
        <w:rPr>
          <w:sz w:val="20"/>
          <w:szCs w:val="20"/>
        </w:rPr>
        <w:t>denoted by grey links</w:t>
      </w:r>
      <w:r w:rsidR="00B36358" w:rsidRPr="005F17BB">
        <w:rPr>
          <w:sz w:val="20"/>
          <w:szCs w:val="20"/>
        </w:rPr>
        <w:t>)</w:t>
      </w:r>
      <w:r w:rsidR="006D6CD4" w:rsidRPr="005F17BB">
        <w:rPr>
          <w:sz w:val="20"/>
          <w:szCs w:val="20"/>
        </w:rPr>
        <w:t>, with the focus being directed toward</w:t>
      </w:r>
      <w:r w:rsidR="000B1656" w:rsidRPr="005F17BB">
        <w:rPr>
          <w:sz w:val="20"/>
          <w:szCs w:val="20"/>
        </w:rPr>
        <w:t xml:space="preserve"> </w:t>
      </w:r>
      <w:r w:rsidR="00F62D80" w:rsidRPr="005F17BB">
        <w:rPr>
          <w:sz w:val="20"/>
          <w:szCs w:val="20"/>
        </w:rPr>
        <w:t xml:space="preserve">some critical variable(s) </w:t>
      </w:r>
      <m:oMath>
        <m:r>
          <w:rPr>
            <w:rFonts w:ascii="Cambria Math" w:eastAsiaTheme="minorEastAsia" w:hAnsi="Cambria Math"/>
            <w:sz w:val="20"/>
            <w:szCs w:val="20"/>
          </w:rPr>
          <m:t>Y</m:t>
        </m:r>
      </m:oMath>
      <w:r w:rsidR="00F01AFE">
        <w:rPr>
          <w:sz w:val="20"/>
          <w:szCs w:val="20"/>
        </w:rPr>
        <w:t xml:space="preserve">. </w:t>
      </w:r>
      <w:r w:rsidR="00E66781">
        <w:rPr>
          <w:sz w:val="20"/>
          <w:szCs w:val="20"/>
        </w:rPr>
        <w:t>(</w:t>
      </w:r>
      <w:r w:rsidR="00821598" w:rsidRPr="00D61ACC">
        <w:rPr>
          <w:b/>
          <w:bCs/>
          <w:sz w:val="20"/>
          <w:szCs w:val="20"/>
        </w:rPr>
        <w:t>b)</w:t>
      </w:r>
      <w:r w:rsidR="00AD41F7" w:rsidRPr="00D61ACC">
        <w:rPr>
          <w:sz w:val="20"/>
          <w:szCs w:val="20"/>
        </w:rPr>
        <w:t xml:space="preserve"> Various combinations of those selected variables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eastAsiaTheme="minorEastAsia"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r>
          <w:rPr>
            <w:rFonts w:ascii="Cambria Math" w:eastAsiaTheme="minorEastAsia" w:hAnsi="Cambria Math"/>
            <w:sz w:val="20"/>
            <w:szCs w:val="20"/>
          </w:rPr>
          <m:t>, Y)</m:t>
        </m:r>
      </m:oMath>
      <w:r w:rsidR="009564C2" w:rsidRPr="00D61ACC">
        <w:rPr>
          <w:rFonts w:eastAsiaTheme="minorEastAsia"/>
          <w:sz w:val="20"/>
          <w:szCs w:val="20"/>
        </w:rPr>
        <w:t>, are governed</w:t>
      </w:r>
      <w:r w:rsidR="00ED49CF">
        <w:rPr>
          <w:rFonts w:eastAsiaTheme="minorEastAsia"/>
          <w:sz w:val="20"/>
          <w:szCs w:val="20"/>
        </w:rPr>
        <w:t xml:space="preserve"> by the same attractor dynamics; </w:t>
      </w:r>
      <w:r w:rsidR="00031D21" w:rsidRPr="001A2A6D">
        <w:rPr>
          <w:rFonts w:eastAsiaTheme="minorEastAsia"/>
          <w:sz w:val="20"/>
          <w:szCs w:val="20"/>
        </w:rPr>
        <w:t>however</w:t>
      </w:r>
      <w:r w:rsidR="00ED49CF" w:rsidRPr="001A2A6D">
        <w:rPr>
          <w:rFonts w:eastAsiaTheme="minorEastAsia"/>
          <w:sz w:val="20"/>
          <w:szCs w:val="20"/>
        </w:rPr>
        <w:t xml:space="preserve">, </w:t>
      </w:r>
      <w:r w:rsidR="00031D21" w:rsidRPr="001A2A6D">
        <w:rPr>
          <w:rFonts w:eastAsiaTheme="minorEastAsia"/>
          <w:sz w:val="20"/>
          <w:szCs w:val="20"/>
        </w:rPr>
        <w:t>in the right part of this figure</w:t>
      </w:r>
      <w:r w:rsidR="00F35436" w:rsidRPr="001A2A6D">
        <w:rPr>
          <w:rFonts w:eastAsiaTheme="minorEastAsia"/>
          <w:sz w:val="20"/>
          <w:szCs w:val="20"/>
        </w:rPr>
        <w:t>,</w:t>
      </w:r>
      <w:r w:rsidR="00031D21" w:rsidRPr="001A2A6D">
        <w:rPr>
          <w:rFonts w:eastAsiaTheme="minorEastAsia"/>
          <w:sz w:val="20"/>
          <w:szCs w:val="20"/>
        </w:rPr>
        <w:t xml:space="preserve"> </w:t>
      </w:r>
      <w:r w:rsidR="00ED49CF" w:rsidRPr="001A2A6D">
        <w:rPr>
          <w:rFonts w:eastAsiaTheme="minorEastAsia"/>
          <w:sz w:val="20"/>
          <w:szCs w:val="20"/>
        </w:rPr>
        <w:t>we illustrate</w:t>
      </w:r>
      <w:r w:rsidR="00031D21" w:rsidRPr="001A2A6D">
        <w:rPr>
          <w:rFonts w:eastAsiaTheme="minorEastAsia"/>
          <w:sz w:val="20"/>
          <w:szCs w:val="20"/>
        </w:rPr>
        <w:t xml:space="preserve"> only</w:t>
      </w:r>
      <w:r w:rsidR="00ED49CF" w:rsidRPr="001A2A6D">
        <w:rPr>
          <w:rFonts w:eastAsiaTheme="minorEastAsia"/>
          <w:sz w:val="20"/>
          <w:szCs w:val="20"/>
        </w:rPr>
        <w:t xml:space="preserv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eastAsiaTheme="minorEastAsia"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eastAsiaTheme="minorEastAsia" w:hAnsi="Cambria Math"/>
            <w:sz w:val="20"/>
            <w:szCs w:val="20"/>
          </w:rPr>
          <m:t>, Y)</m:t>
        </m:r>
      </m:oMath>
      <w:r w:rsidR="00F35436" w:rsidRPr="001A2A6D">
        <w:rPr>
          <w:rFonts w:eastAsiaTheme="minorEastAsia"/>
          <w:sz w:val="20"/>
          <w:szCs w:val="20"/>
        </w:rPr>
        <w:t xml:space="preserve"> in the attractor </w:t>
      </w:r>
      <m:oMath>
        <m:r>
          <w:rPr>
            <w:rFonts w:ascii="Cambria Math" w:hAnsi="Cambria Math"/>
            <w:sz w:val="20"/>
            <w:szCs w:val="20"/>
          </w:rPr>
          <m:t>M</m:t>
        </m:r>
      </m:oMath>
      <w:r w:rsidR="00ED49CF" w:rsidRPr="001A2A6D">
        <w:rPr>
          <w:rFonts w:eastAsiaTheme="minorEastAsia"/>
          <w:sz w:val="20"/>
          <w:szCs w:val="20"/>
        </w:rPr>
        <w:t xml:space="preserve">.  </w:t>
      </w:r>
    </w:p>
    <w:p w14:paraId="3E10D1E8" w14:textId="77777777" w:rsidR="0026681E" w:rsidRPr="001626A2" w:rsidRDefault="0026681E" w:rsidP="001626A2">
      <w:pPr>
        <w:spacing w:before="120" w:after="120" w:line="360" w:lineRule="auto"/>
        <w:jc w:val="both"/>
        <w:rPr>
          <w:b/>
          <w:bCs/>
        </w:rPr>
      </w:pPr>
    </w:p>
    <w:p w14:paraId="08F1DEC4" w14:textId="64A7915B" w:rsidR="009A469B" w:rsidRPr="009513BC" w:rsidRDefault="00D27D46" w:rsidP="00B13B7C">
      <w:pPr>
        <w:pStyle w:val="ListParagraph"/>
        <w:numPr>
          <w:ilvl w:val="1"/>
          <w:numId w:val="1"/>
        </w:numPr>
        <w:spacing w:before="120" w:after="120" w:line="360" w:lineRule="auto"/>
        <w:jc w:val="both"/>
        <w:rPr>
          <w:rFonts w:ascii="Times New Roman" w:hAnsi="Times New Roman" w:cs="Times New Roman"/>
          <w:sz w:val="24"/>
          <w:szCs w:val="24"/>
        </w:rPr>
      </w:pPr>
      <w:r w:rsidRPr="009513BC">
        <w:rPr>
          <w:rFonts w:ascii="Times New Roman" w:hAnsi="Times New Roman" w:cs="Times New Roman"/>
          <w:sz w:val="24"/>
          <w:szCs w:val="24"/>
        </w:rPr>
        <w:t xml:space="preserve"> </w:t>
      </w:r>
      <w:r w:rsidR="00546ADF" w:rsidRPr="009513BC">
        <w:rPr>
          <w:rFonts w:ascii="Times New Roman" w:hAnsi="Times New Roman" w:cs="Times New Roman"/>
          <w:b/>
          <w:bCs/>
          <w:sz w:val="24"/>
          <w:szCs w:val="24"/>
        </w:rPr>
        <w:t>Construct the</w:t>
      </w:r>
      <w:r w:rsidR="009A469B" w:rsidRPr="009513BC">
        <w:rPr>
          <w:rFonts w:ascii="Times New Roman" w:hAnsi="Times New Roman" w:cs="Times New Roman"/>
          <w:b/>
          <w:bCs/>
          <w:sz w:val="24"/>
          <w:szCs w:val="24"/>
        </w:rPr>
        <w:t xml:space="preserve"> dynamics</w:t>
      </w:r>
    </w:p>
    <w:p w14:paraId="15BBA0DE" w14:textId="5CECBBFE" w:rsidR="00646238" w:rsidRPr="009513BC" w:rsidRDefault="00B2024B" w:rsidP="00646238">
      <w:pPr>
        <w:spacing w:before="120" w:after="120" w:line="360" w:lineRule="auto"/>
        <w:ind w:firstLine="284"/>
        <w:jc w:val="both"/>
      </w:pPr>
      <w:r>
        <w:t>To</w:t>
      </w:r>
      <w:r w:rsidR="00881FFD" w:rsidRPr="009513BC">
        <w:t xml:space="preserve"> </w:t>
      </w:r>
      <w:r w:rsidR="006D66C5">
        <w:t xml:space="preserve">establish </w:t>
      </w:r>
      <w:r w:rsidR="00DE22BA">
        <w:t>decision-enabling</w:t>
      </w:r>
      <w:r w:rsidR="009A469B" w:rsidRPr="009513BC">
        <w:t xml:space="preserve"> causality</w:t>
      </w:r>
      <w:r w:rsidR="00DE22BA">
        <w:t xml:space="preserve"> </w:t>
      </w:r>
      <w:r w:rsidR="002F1C52">
        <w:t>for</w:t>
      </w:r>
      <w:r w:rsidR="002F1C52" w:rsidRPr="009513BC">
        <w:t xml:space="preserve"> </w:t>
      </w:r>
      <w:r w:rsidR="002F1C52">
        <w:t>a</w:t>
      </w:r>
      <w:r w:rsidR="002F1C52" w:rsidRPr="009513BC">
        <w:t xml:space="preserve"> </w:t>
      </w:r>
      <w:r w:rsidR="009A469B" w:rsidRPr="009513BC">
        <w:t>pair of variables</w:t>
      </w:r>
      <w:r w:rsidR="002F1C52">
        <w:t>,</w:t>
      </w:r>
      <w:r w:rsidR="00881FFD" w:rsidRPr="009513BC">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2665BF" w:rsidRPr="009513BC">
        <w:rPr>
          <w:rFonts w:eastAsiaTheme="minorEastAsia"/>
        </w:rPr>
        <w:t xml:space="preserve"> </w:t>
      </w:r>
      <w:r w:rsidR="009A469B" w:rsidRPr="009513BC">
        <w:t xml:space="preserve">causing </w:t>
      </w:r>
      <m:oMath>
        <m:r>
          <w:rPr>
            <w:rFonts w:ascii="Cambria Math" w:eastAsiaTheme="minorEastAsia" w:hAnsi="Cambria Math"/>
          </w:rPr>
          <m:t>Y</m:t>
        </m:r>
      </m:oMath>
      <w:r w:rsidR="006D66C5">
        <w:t>,</w:t>
      </w:r>
      <w:r w:rsidR="0096536C">
        <w:t xml:space="preserve"> first the dynamics of the governing attractor need to be </w:t>
      </w:r>
      <w:r w:rsidR="00886148">
        <w:t>retrieved.</w:t>
      </w:r>
      <w:r w:rsidR="009A469B" w:rsidRPr="009513BC">
        <w:t xml:space="preserve"> In </w:t>
      </w:r>
      <w:r w:rsidR="00AD6124" w:rsidRPr="009F1C67">
        <w:t>rare</w:t>
      </w:r>
      <w:r w:rsidR="00AD6124">
        <w:t xml:space="preserve"> </w:t>
      </w:r>
      <w:r w:rsidR="002F1C52">
        <w:t>cases</w:t>
      </w:r>
      <w:r w:rsidR="002F1C52" w:rsidRPr="009513BC">
        <w:t xml:space="preserve"> </w:t>
      </w:r>
      <w:r w:rsidR="002F1C52">
        <w:t>where</w:t>
      </w:r>
      <w:r w:rsidR="009A469B" w:rsidRPr="009513BC">
        <w:t xml:space="preserve"> the governing equations of the variables </w:t>
      </w:r>
      <w:r w:rsidR="00406E85">
        <w:t>are</w:t>
      </w:r>
      <w:r w:rsidR="00F62209" w:rsidRPr="009513BC">
        <w:t xml:space="preserve"> known</w:t>
      </w:r>
      <w:r w:rsidR="002F1C52">
        <w:t xml:space="preserve"> by physics or other means</w:t>
      </w:r>
      <w:r w:rsidR="00F62209" w:rsidRPr="009513BC">
        <w:t xml:space="preserve">, </w:t>
      </w:r>
      <w:r w:rsidR="002F1C52">
        <w:t>such</w:t>
      </w:r>
      <w:r w:rsidR="009A469B" w:rsidRPr="009513BC">
        <w:t xml:space="preserve"> causal dynamics </w:t>
      </w:r>
      <w:r w:rsidR="002F1C52">
        <w:t xml:space="preserve">should be used, </w:t>
      </w:r>
      <w:r w:rsidR="006D66C5">
        <w:t>e.g.</w:t>
      </w:r>
      <w:r w:rsidR="002F1C52">
        <w:t>,</w:t>
      </w:r>
      <w:r w:rsidR="006D66C5">
        <w:t xml:space="preserve"> </w:t>
      </w:r>
      <w:r w:rsidR="002F1C52">
        <w:t>as represented in</w:t>
      </w:r>
      <w:r w:rsidR="002F1C52" w:rsidRPr="009513BC">
        <w:t xml:space="preserve"> </w:t>
      </w:r>
      <w:r w:rsidR="009A469B" w:rsidRPr="009513BC">
        <w:rPr>
          <w:b/>
          <w:bCs/>
        </w:rPr>
        <w:t>Fig</w:t>
      </w:r>
      <w:r w:rsidR="007B2A0F">
        <w:rPr>
          <w:b/>
          <w:bCs/>
        </w:rPr>
        <w:t>.</w:t>
      </w:r>
      <w:r w:rsidR="009A469B" w:rsidRPr="009513BC">
        <w:rPr>
          <w:b/>
          <w:bCs/>
        </w:rPr>
        <w:t xml:space="preserve"> 1</w:t>
      </w:r>
      <w:r w:rsidR="002F1C52">
        <w:rPr>
          <w:b/>
          <w:bCs/>
        </w:rPr>
        <w:t>b</w:t>
      </w:r>
      <w:r w:rsidR="000A4D8C" w:rsidRPr="009513BC">
        <w:rPr>
          <w:b/>
          <w:bCs/>
        </w:rPr>
        <w:t xml:space="preserve"> </w:t>
      </w:r>
      <w:r w:rsidR="002F1C52">
        <w:t>with the</w:t>
      </w:r>
      <w:r w:rsidR="000A4D8C" w:rsidRPr="009513BC">
        <w:t xml:space="preserve"> Lorenz attractor</w:t>
      </w:r>
      <w:r w:rsidR="00F62209" w:rsidRPr="009513BC">
        <w:t>.</w:t>
      </w:r>
      <w:r w:rsidR="009A469B" w:rsidRPr="009513BC">
        <w:t xml:space="preserve"> </w:t>
      </w:r>
      <w:r w:rsidR="002F1C52">
        <w:t>Frequently</w:t>
      </w:r>
      <w:r w:rsidR="006D66C5">
        <w:t>, however,</w:t>
      </w:r>
      <w:r w:rsidR="009A469B" w:rsidRPr="009513BC">
        <w:t xml:space="preserve"> </w:t>
      </w:r>
      <w:r w:rsidR="002F1C52">
        <w:t xml:space="preserve">the </w:t>
      </w:r>
      <w:r w:rsidR="009A469B" w:rsidRPr="009513BC">
        <w:t xml:space="preserve">causal </w:t>
      </w:r>
      <w:r w:rsidR="009A469B" w:rsidRPr="009513BC">
        <w:lastRenderedPageBreak/>
        <w:t xml:space="preserve">dynamics </w:t>
      </w:r>
      <w:r w:rsidR="002F1C52">
        <w:t xml:space="preserve">can be </w:t>
      </w:r>
      <w:r w:rsidR="00D92F7E" w:rsidRPr="009F1C67">
        <w:t>extracted</w:t>
      </w:r>
      <w:r w:rsidR="00D92F7E">
        <w:t xml:space="preserve"> </w:t>
      </w:r>
      <w:r w:rsidR="002F1C52">
        <w:t>without knowing</w:t>
      </w:r>
      <w:r w:rsidR="00921F3F">
        <w:t xml:space="preserve"> </w:t>
      </w:r>
      <w:r w:rsidR="002F1C52">
        <w:t>the</w:t>
      </w:r>
      <w:r w:rsidR="002F1C52" w:rsidRPr="009513BC">
        <w:t xml:space="preserve"> </w:t>
      </w:r>
      <w:r w:rsidR="009A469B" w:rsidRPr="009513BC">
        <w:t xml:space="preserve">governing </w:t>
      </w:r>
      <w:r w:rsidR="002F1C52" w:rsidRPr="009F1C67">
        <w:t>physics or</w:t>
      </w:r>
      <w:r w:rsidR="002F1C52">
        <w:t xml:space="preserve"> </w:t>
      </w:r>
      <w:r w:rsidR="009A469B" w:rsidRPr="009513BC">
        <w:t>equations</w:t>
      </w:r>
      <w:r w:rsidR="00921F3F">
        <w:t xml:space="preserve"> of </w:t>
      </w:r>
      <w:r w:rsidR="00BC65CF">
        <w:t>real-world</w:t>
      </w:r>
      <w:r w:rsidR="00921F3F">
        <w:t xml:space="preserve"> system</w:t>
      </w:r>
      <w:r w:rsidR="002F1C52">
        <w:t>s</w:t>
      </w:r>
      <w:r w:rsidR="009A469B" w:rsidRPr="009513BC">
        <w:t xml:space="preserve">. The approximation process starts with the phase of </w:t>
      </w:r>
      <w:r w:rsidR="009A469B" w:rsidRPr="009513BC">
        <w:rPr>
          <w:i/>
          <w:iCs/>
        </w:rPr>
        <w:t>shadow attractor reconstruction</w:t>
      </w:r>
      <w:r w:rsidR="006D66C5">
        <w:t>, during which</w:t>
      </w:r>
      <w:r w:rsidR="009A469B" w:rsidRPr="009513BC">
        <w:t xml:space="preserve"> </w:t>
      </w:r>
      <w:r w:rsidR="009A469B" w:rsidRPr="00D76C91">
        <w:t>a</w:t>
      </w:r>
      <w:r w:rsidR="00D028C7" w:rsidRPr="00D76C91">
        <w:t xml:space="preserve"> </w:t>
      </w:r>
      <w:r w:rsidR="009A469B" w:rsidRPr="00D76C91">
        <w:t xml:space="preserve">shadow version of the original attractor </w:t>
      </w:r>
      <w:r w:rsidR="006D6CD4" w:rsidRPr="00D76C91">
        <w:t xml:space="preserve">is reconstructed </w:t>
      </w:r>
      <w:r w:rsidR="006D66C5">
        <w:t>(</w:t>
      </w:r>
      <w:r w:rsidR="009A469B" w:rsidRPr="009513BC">
        <w:rPr>
          <w:b/>
          <w:bCs/>
        </w:rPr>
        <w:t>Fig</w:t>
      </w:r>
      <w:r w:rsidR="007B2A0F">
        <w:rPr>
          <w:b/>
          <w:bCs/>
        </w:rPr>
        <w:t>.</w:t>
      </w:r>
      <w:r w:rsidR="009A469B" w:rsidRPr="009513BC">
        <w:rPr>
          <w:b/>
          <w:bCs/>
        </w:rPr>
        <w:t xml:space="preserve"> 1</w:t>
      </w:r>
      <w:r w:rsidR="00D7431E">
        <w:rPr>
          <w:b/>
          <w:bCs/>
        </w:rPr>
        <w:t>b</w:t>
      </w:r>
      <w:r w:rsidR="006D66C5" w:rsidRPr="00F72196">
        <w:t>)</w:t>
      </w:r>
      <w:r w:rsidR="009A469B" w:rsidRPr="009513BC">
        <w:t xml:space="preserve">. </w:t>
      </w:r>
      <w:r w:rsidR="003207D2">
        <w:rPr>
          <w:lang w:val="el-GR"/>
        </w:rPr>
        <w:t>Α</w:t>
      </w:r>
      <w:r w:rsidR="009A469B" w:rsidRPr="009513BC">
        <w:t xml:space="preserve"> shadow attractor</w:t>
      </w:r>
      <w:r w:rsidR="003207D2" w:rsidRPr="003207D2">
        <w:rPr>
          <w:lang w:val="en-GB"/>
        </w:rPr>
        <w:t xml:space="preserve"> </w:t>
      </w:r>
      <m:oMath>
        <m:sSub>
          <m:sSubPr>
            <m:ctrlPr>
              <w:rPr>
                <w:rFonts w:ascii="Cambria Math" w:hAnsi="Cambria Math"/>
                <w:i/>
                <w:lang w:val="en-GB"/>
              </w:rPr>
            </m:ctrlPr>
          </m:sSubPr>
          <m:e>
            <m:r>
              <w:rPr>
                <w:rFonts w:ascii="Cambria Math" w:hAnsi="Cambria Math"/>
                <w:lang w:val="en-GB"/>
              </w:rPr>
              <m:t>Μ</m:t>
            </m:r>
          </m:e>
          <m:sub>
            <m:r>
              <w:rPr>
                <w:rFonts w:ascii="Cambria Math" w:hAnsi="Cambria Math"/>
                <w:lang w:val="en-GB"/>
              </w:rPr>
              <m:t>Χ</m:t>
            </m:r>
          </m:sub>
        </m:sSub>
      </m:oMath>
      <w:r w:rsidR="009A469B" w:rsidRPr="009513BC">
        <w:t xml:space="preserve"> can be plotted</w:t>
      </w:r>
      <w:r w:rsidR="004D24DD">
        <w:rPr>
          <w:rStyle w:val="FootnoteReference"/>
        </w:rPr>
        <w:footnoteReference w:id="7"/>
      </w:r>
      <w:r w:rsidR="009A469B" w:rsidRPr="009513BC">
        <w:t xml:space="preserve"> by </w:t>
      </w:r>
      <w:r w:rsidR="006D66C5">
        <w:t>assuming</w:t>
      </w:r>
      <w:r w:rsidR="006D66C5" w:rsidRPr="009513BC">
        <w:t xml:space="preserve"> </w:t>
      </w:r>
      <w:r w:rsidR="009A469B" w:rsidRPr="009513BC">
        <w:t xml:space="preserve">the scatterplot of </w:t>
      </w:r>
      <m:oMath>
        <m:r>
          <w:rPr>
            <w:rFonts w:ascii="Cambria Math" w:hAnsi="Cambria Math"/>
          </w:rPr>
          <m:t>X(t)</m:t>
        </m:r>
      </m:oMath>
      <w:r w:rsidR="009A469B" w:rsidRPr="009513BC">
        <w:t xml:space="preserve"> and its lagged versions</w:t>
      </w:r>
      <w:r w:rsidR="00652500">
        <w:t xml:space="preserve"> </w:t>
      </w:r>
      <w:r w:rsidR="009A469B" w:rsidRPr="009513BC">
        <w:t>(</w:t>
      </w:r>
      <w:r w:rsidR="00265209" w:rsidRPr="009513BC">
        <w:t xml:space="preserve">see, </w:t>
      </w:r>
      <w:r w:rsidR="009A469B" w:rsidRPr="009513BC">
        <w:rPr>
          <w:b/>
          <w:bCs/>
        </w:rPr>
        <w:t>Fig</w:t>
      </w:r>
      <w:r w:rsidR="00047341">
        <w:rPr>
          <w:b/>
          <w:bCs/>
        </w:rPr>
        <w:t>.</w:t>
      </w:r>
      <w:r w:rsidR="009A469B" w:rsidRPr="009513BC">
        <w:rPr>
          <w:b/>
          <w:bCs/>
        </w:rPr>
        <w:t xml:space="preserve"> 2</w:t>
      </w:r>
      <w:r w:rsidR="00D7431E">
        <w:rPr>
          <w:b/>
          <w:bCs/>
        </w:rPr>
        <w:t>a</w:t>
      </w:r>
      <w:r w:rsidR="009A469B" w:rsidRPr="009513BC">
        <w:t xml:space="preserve"> from left to right</w:t>
      </w:r>
      <w:r w:rsidR="00881FFD" w:rsidRPr="009513BC">
        <w:t>,</w:t>
      </w:r>
      <w:r w:rsidR="005A2AAD" w:rsidRPr="009513BC">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X</m:t>
                </m:r>
              </m:e>
              <m:sub>
                <m:r>
                  <w:rPr>
                    <w:rFonts w:ascii="Cambria Math" w:hAnsi="Cambria Math"/>
                  </w:rPr>
                  <m:t>1</m:t>
                </m:r>
              </m:sub>
            </m:sSub>
          </m:sub>
        </m:sSub>
      </m:oMath>
      <w:r w:rsidR="009A469B" w:rsidRPr="009513BC">
        <w:t>,</w:t>
      </w:r>
      <w:r w:rsidR="005A2AAD" w:rsidRPr="009513BC">
        <w:t xml:space="preserve"> </w:t>
      </w: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E</m:t>
            </m:r>
          </m:sup>
        </m:sSup>
      </m:oMath>
      <w:r w:rsidR="009A469B" w:rsidRPr="009513BC">
        <w:t>).</w:t>
      </w:r>
      <w:r w:rsidR="00646238" w:rsidRPr="009513BC">
        <w:rPr>
          <w:rStyle w:val="FootnoteReference"/>
        </w:rPr>
        <w:footnoteReference w:id="8"/>
      </w:r>
    </w:p>
    <w:p w14:paraId="2B12CCA2" w14:textId="61F622B2" w:rsidR="002C494C" w:rsidRDefault="009A469B" w:rsidP="002F441B">
      <w:pPr>
        <w:spacing w:before="120" w:after="120" w:line="360" w:lineRule="auto"/>
        <w:ind w:firstLine="284"/>
        <w:jc w:val="both"/>
      </w:pPr>
      <w:r w:rsidRPr="009513BC">
        <w:t>For each pair</w:t>
      </w:r>
      <w:r w:rsidR="008434E0" w:rsidRPr="009513BC">
        <w:t>,</w:t>
      </w:r>
      <w:r w:rsidR="00FD107D" w:rsidRPr="009513BC">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00FD107D" w:rsidRPr="009513BC">
        <w:t>,</w:t>
      </w:r>
      <w:r w:rsidRPr="009513BC">
        <w:t xml:space="preserve"> the optimal combination of embedding dimension (</w:t>
      </w:r>
      <m:oMath>
        <m:r>
          <w:rPr>
            <w:rFonts w:ascii="Cambria Math" w:hAnsi="Cambria Math"/>
          </w:rPr>
          <m:t>E</m:t>
        </m:r>
        <m:r>
          <m:rPr>
            <m:scr m:val="double-struck"/>
          </m:rPr>
          <w:rPr>
            <w:rFonts w:ascii="Cambria Math" w:hAnsi="Cambria Math"/>
          </w:rPr>
          <m:t>∈N</m:t>
        </m:r>
      </m:oMath>
      <w:r w:rsidRPr="009513BC">
        <w:t>) and time lag (</w:t>
      </w:r>
      <m:oMath>
        <m:r>
          <w:rPr>
            <w:rFonts w:ascii="Cambria Math" w:hAnsi="Cambria Math"/>
          </w:rPr>
          <m:t>τ</m:t>
        </m:r>
        <m:r>
          <m:rPr>
            <m:scr m:val="double-struck"/>
          </m:rPr>
          <w:rPr>
            <w:rFonts w:ascii="Cambria Math" w:hAnsi="Cambria Math"/>
          </w:rPr>
          <m:t>∈N</m:t>
        </m:r>
      </m:oMath>
      <w:r w:rsidRPr="009513BC">
        <w:t xml:space="preserve">) </w:t>
      </w:r>
      <w:r w:rsidR="00F6643A">
        <w:t xml:space="preserve">is identified </w:t>
      </w:r>
      <w:r w:rsidRPr="009513BC">
        <w:t xml:space="preserve">in order to reconstruct their shadow attractors and retrieve </w:t>
      </w:r>
      <w:r w:rsidR="0048585B">
        <w:t xml:space="preserve">any </w:t>
      </w:r>
      <w:r w:rsidRPr="009513BC">
        <w:t xml:space="preserve">causal information </w:t>
      </w:r>
      <w:r w:rsidR="00523D17">
        <w:t xml:space="preserve">that </w:t>
      </w:r>
      <w:r w:rsidR="008434E0" w:rsidRPr="009513BC">
        <w:t>exists</w:t>
      </w:r>
      <w:r w:rsidRPr="009513BC">
        <w:t xml:space="preserve"> in the given pair. Th</w:t>
      </w:r>
      <w:r w:rsidR="004E1068">
        <w:t>e</w:t>
      </w:r>
      <w:r w:rsidRPr="009513BC">
        <w:t xml:space="preserve"> optimal combination</w:t>
      </w:r>
      <w:r w:rsidR="00D61E10">
        <w:t xml:space="preserve"> of </w:t>
      </w:r>
      <m:oMath>
        <m:r>
          <w:rPr>
            <w:rFonts w:ascii="Cambria Math" w:hAnsi="Cambria Math"/>
          </w:rPr>
          <m:t>E,</m:t>
        </m:r>
        <m:r>
          <w:rPr>
            <w:rFonts w:ascii="Cambria Math" w:hAnsi="Cambria Math"/>
            <w:lang w:val="el-GR"/>
          </w:rPr>
          <m:t>τ</m:t>
        </m:r>
      </m:oMath>
      <w:r w:rsidRPr="009513BC">
        <w:t xml:space="preserve"> is the one which produces the highest causality accuracy from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9513BC">
        <w:t xml:space="preserve"> to </w:t>
      </w:r>
      <m:oMath>
        <m:r>
          <w:rPr>
            <w:rFonts w:ascii="Cambria Math" w:eastAsiaTheme="minorEastAsia" w:hAnsi="Cambria Math"/>
          </w:rPr>
          <m:t>Y</m:t>
        </m:r>
      </m:oMath>
      <w:r w:rsidRPr="009513BC">
        <w:t xml:space="preserve">. </w:t>
      </w:r>
      <w:r w:rsidR="00265209" w:rsidRPr="009513BC">
        <w:t xml:space="preserve">However, in real-world applications, it is possible </w:t>
      </w:r>
      <w:r w:rsidR="0009349E" w:rsidRPr="009513BC">
        <w:t xml:space="preserve">for </w:t>
      </w:r>
      <w:r w:rsidR="00265209" w:rsidRPr="009513BC">
        <w:t>decision maker</w:t>
      </w:r>
      <w:r w:rsidR="00CA18A7">
        <w:t>s</w:t>
      </w:r>
      <w:r w:rsidR="0009349E" w:rsidRPr="009513BC">
        <w:t xml:space="preserve"> to </w:t>
      </w:r>
      <w:r w:rsidR="00B003DF" w:rsidRPr="009513BC">
        <w:t xml:space="preserve">have to </w:t>
      </w:r>
      <w:r w:rsidR="0009349E" w:rsidRPr="009513BC">
        <w:t>choose</w:t>
      </w:r>
      <w:r w:rsidRPr="009513BC">
        <w:t xml:space="preserve"> </w:t>
      </w:r>
      <w:r w:rsidR="0009349E" w:rsidRPr="009513BC">
        <w:t>among</w:t>
      </w:r>
      <w:r w:rsidRPr="009513BC">
        <w:t xml:space="preserve"> </w:t>
      </w:r>
      <w:r w:rsidR="002954EA" w:rsidRPr="009513BC">
        <w:t xml:space="preserve">different </w:t>
      </w:r>
      <w:r w:rsidRPr="009513BC">
        <w:t xml:space="preserve">combinations of </w:t>
      </w:r>
      <m:oMath>
        <m:r>
          <w:rPr>
            <w:rFonts w:ascii="Cambria Math" w:eastAsiaTheme="minorEastAsia" w:hAnsi="Cambria Math"/>
          </w:rPr>
          <m:t>E</m:t>
        </m:r>
      </m:oMath>
      <w:r w:rsidR="001B658C" w:rsidRPr="009513BC">
        <w:t xml:space="preserve"> </w:t>
      </w:r>
      <w:r w:rsidRPr="009513BC">
        <w:t xml:space="preserve">and </w:t>
      </w:r>
      <m:oMath>
        <m:r>
          <w:rPr>
            <w:rFonts w:ascii="Cambria Math" w:hAnsi="Cambria Math"/>
          </w:rPr>
          <m:t>τ</m:t>
        </m:r>
      </m:oMath>
      <w:r w:rsidRPr="009513BC">
        <w:t xml:space="preserve"> with very </w:t>
      </w:r>
      <w:r w:rsidR="0009349E" w:rsidRPr="009513BC">
        <w:t>comparable levels of</w:t>
      </w:r>
      <w:r w:rsidRPr="009513BC">
        <w:t xml:space="preserve"> </w:t>
      </w:r>
      <w:r w:rsidR="006817A2" w:rsidRPr="009513BC">
        <w:t xml:space="preserve">causality </w:t>
      </w:r>
      <w:r w:rsidRPr="009513BC">
        <w:t xml:space="preserve">accuracy. </w:t>
      </w:r>
      <w:r w:rsidR="002954EA" w:rsidRPr="009513BC">
        <w:t>In this regard</w:t>
      </w:r>
      <w:r w:rsidR="006817A2" w:rsidRPr="009513BC">
        <w:t>, the</w:t>
      </w:r>
      <w:r w:rsidRPr="009513BC">
        <w:t xml:space="preserve"> time scales of</w:t>
      </w:r>
      <w:r w:rsidR="008434E0" w:rsidRPr="009513BC">
        <w:t xml:space="preserve"> </w:t>
      </w:r>
      <w:r w:rsidRPr="009513BC">
        <w:t>the variables (</w:t>
      </w:r>
      <w:r w:rsidR="00E43EA5" w:rsidRPr="009513BC">
        <w:t xml:space="preserve">which might be in </w:t>
      </w:r>
      <w:r w:rsidRPr="009513BC">
        <w:t>minutes, hours, days, years etc</w:t>
      </w:r>
      <w:r w:rsidR="001B658C" w:rsidRPr="009513BC">
        <w:t>.</w:t>
      </w:r>
      <w:r w:rsidRPr="009513BC">
        <w:t>) as well as the decision</w:t>
      </w:r>
      <w:r w:rsidR="008434E0" w:rsidRPr="009513BC">
        <w:t xml:space="preserve"> </w:t>
      </w:r>
      <w:r w:rsidRPr="009513BC">
        <w:t>maker’s knowledge</w:t>
      </w:r>
      <w:r w:rsidR="006817A2" w:rsidRPr="009513BC">
        <w:t xml:space="preserve"> or understanding</w:t>
      </w:r>
      <w:r w:rsidRPr="009513BC">
        <w:t xml:space="preserve"> of the overall system (</w:t>
      </w:r>
      <w:r w:rsidR="006817A2" w:rsidRPr="009513BC">
        <w:t xml:space="preserve">i.e., </w:t>
      </w:r>
      <w:r w:rsidRPr="009513BC">
        <w:t>some systems involve cyclical behavior, others are</w:t>
      </w:r>
      <w:r w:rsidR="008434E0" w:rsidRPr="009513BC">
        <w:t xml:space="preserve"> </w:t>
      </w:r>
      <w:r w:rsidRPr="009513BC">
        <w:t xml:space="preserve">more </w:t>
      </w:r>
      <w:r w:rsidR="0072475D">
        <w:t>stochastic</w:t>
      </w:r>
      <w:r w:rsidRPr="009513BC">
        <w:t xml:space="preserve">) play a pivotal role on which of the optimal combinations of </w:t>
      </w:r>
      <m:oMath>
        <m:r>
          <w:rPr>
            <w:rFonts w:ascii="Cambria Math" w:hAnsi="Cambria Math"/>
          </w:rPr>
          <m:t>E</m:t>
        </m:r>
      </m:oMath>
      <w:r w:rsidRPr="009513BC">
        <w:t xml:space="preserve"> and </w:t>
      </w:r>
      <m:oMath>
        <m:r>
          <w:rPr>
            <w:rFonts w:ascii="Cambria Math" w:hAnsi="Cambria Math"/>
          </w:rPr>
          <m:t>τ</m:t>
        </m:r>
      </m:oMath>
      <w:r w:rsidRPr="009513BC">
        <w:t xml:space="preserve"> to pick. </w:t>
      </w:r>
      <w:proofErr w:type="gramStart"/>
      <w:r w:rsidR="00B003DF" w:rsidRPr="009F1C67">
        <w:t>In particular</w:t>
      </w:r>
      <w:r w:rsidR="006817A2" w:rsidRPr="009F1C67">
        <w:t>, for</w:t>
      </w:r>
      <w:proofErr w:type="gramEnd"/>
      <w:r w:rsidR="006817A2" w:rsidRPr="009F1C67">
        <w:t xml:space="preserve"> </w:t>
      </w:r>
      <w:r w:rsidRPr="009F1C67">
        <w:t xml:space="preserve">short time series the </w:t>
      </w:r>
      <w:r w:rsidR="008434E0" w:rsidRPr="009F1C67">
        <w:t>decision maker</w:t>
      </w:r>
      <w:r w:rsidRPr="009F1C67">
        <w:t xml:space="preserve"> needs to consider the </w:t>
      </w:r>
      <w:r w:rsidRPr="009F1C67">
        <w:rPr>
          <w:i/>
          <w:iCs/>
        </w:rPr>
        <w:t>first causality point</w:t>
      </w:r>
      <w:r w:rsidRPr="009F1C67">
        <w:t xml:space="preserve"> (FCP) which reflects the minimum amount of points in the shadow attractor.</w:t>
      </w:r>
      <w:r w:rsidR="00241FE7">
        <w:rPr>
          <w:rStyle w:val="FootnoteReference"/>
        </w:rPr>
        <w:footnoteReference w:id="9"/>
      </w:r>
      <w:r w:rsidRPr="009F1C67">
        <w:t xml:space="preserve"> </w:t>
      </w:r>
    </w:p>
    <w:p w14:paraId="795A18AA" w14:textId="2884129F" w:rsidR="001E7B5E" w:rsidRPr="009513BC" w:rsidRDefault="009A469B" w:rsidP="001E7B5E">
      <w:pPr>
        <w:spacing w:before="120" w:after="120" w:line="360" w:lineRule="auto"/>
        <w:ind w:firstLine="284"/>
        <w:jc w:val="both"/>
      </w:pPr>
      <w:r w:rsidRPr="009513BC">
        <w:t xml:space="preserve">Once </w:t>
      </w:r>
      <w:r w:rsidR="00253011">
        <w:t>a</w:t>
      </w:r>
      <w:r w:rsidR="00253011" w:rsidRPr="009513BC">
        <w:t xml:space="preserve"> </w:t>
      </w:r>
      <w:r w:rsidR="007C0022" w:rsidRPr="009513BC">
        <w:t>decision maker</w:t>
      </w:r>
      <w:r w:rsidRPr="009513BC">
        <w:t xml:space="preserve"> </w:t>
      </w:r>
      <w:r w:rsidR="00F01D06">
        <w:t>identifies</w:t>
      </w:r>
      <w:r w:rsidR="00F01D06" w:rsidRPr="009513BC">
        <w:t xml:space="preserve"> </w:t>
      </w:r>
      <w:r w:rsidRPr="009513BC">
        <w:t xml:space="preserve">the optimal combination of </w:t>
      </w:r>
      <m:oMath>
        <m:r>
          <w:rPr>
            <w:rFonts w:ascii="Cambria Math" w:hAnsi="Cambria Math"/>
          </w:rPr>
          <m:t>E</m:t>
        </m:r>
      </m:oMath>
      <w:r w:rsidRPr="009513BC">
        <w:t xml:space="preserve"> and </w:t>
      </w:r>
      <m:oMath>
        <m:r>
          <w:rPr>
            <w:rFonts w:ascii="Cambria Math" w:hAnsi="Cambria Math"/>
          </w:rPr>
          <m:t>τ</m:t>
        </m:r>
      </m:oMath>
      <w:r w:rsidRPr="009513BC">
        <w:t xml:space="preserve"> for each pair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00263BC9" w:rsidRPr="009513BC">
        <w:t xml:space="preserve">, then the following two questions </w:t>
      </w:r>
      <w:r w:rsidR="00B64E53" w:rsidRPr="009513BC">
        <w:t>should</w:t>
      </w:r>
      <w:r w:rsidR="00263BC9" w:rsidRPr="009513BC">
        <w:t xml:space="preserve"> be answered:</w:t>
      </w:r>
      <w:r w:rsidRPr="009513BC">
        <w:t xml:space="preserve"> </w:t>
      </w:r>
      <w:r w:rsidR="00263BC9" w:rsidRPr="009513BC">
        <w:t>“</w:t>
      </w:r>
      <w:r w:rsidR="007C0022" w:rsidRPr="009513BC">
        <w:t>Shall</w:t>
      </w:r>
      <w:r w:rsidRPr="009513BC">
        <w:t xml:space="preserve"> the optimal combination of </w:t>
      </w:r>
      <m:oMath>
        <m:r>
          <w:rPr>
            <w:rFonts w:ascii="Cambria Math" w:hAnsi="Cambria Math"/>
          </w:rPr>
          <m:t>E</m:t>
        </m:r>
      </m:oMath>
      <w:r w:rsidR="007C0022" w:rsidRPr="009513BC">
        <w:t xml:space="preserve"> and </w:t>
      </w:r>
      <m:oMath>
        <m:r>
          <w:rPr>
            <w:rFonts w:ascii="Cambria Math" w:hAnsi="Cambria Math"/>
          </w:rPr>
          <m:t>τ</m:t>
        </m:r>
      </m:oMath>
      <w:r w:rsidRPr="009513BC">
        <w:t xml:space="preserve"> for each pair separately </w:t>
      </w:r>
      <w:r w:rsidR="00253011">
        <w:t xml:space="preserve">be used </w:t>
      </w:r>
      <w:r w:rsidRPr="009513BC">
        <w:t>(</w:t>
      </w:r>
      <w:r w:rsidR="00B64E53" w:rsidRPr="009513BC">
        <w:t xml:space="preserve">namely, </w:t>
      </w:r>
      <w:r w:rsidRPr="009513BC">
        <w:t>choice A)?</w:t>
      </w:r>
      <w:r w:rsidR="00263BC9" w:rsidRPr="009513BC">
        <w:t>”</w:t>
      </w:r>
      <w:r w:rsidRPr="009513BC">
        <w:t xml:space="preserve"> Or </w:t>
      </w:r>
      <w:r w:rsidR="00263BC9" w:rsidRPr="009513BC">
        <w:t>“shall</w:t>
      </w:r>
      <w:r w:rsidRPr="009513BC">
        <w:t xml:space="preserve"> the optimal combination over all pairs </w:t>
      </w:r>
      <w:r w:rsidR="00253011">
        <w:t xml:space="preserve">be used </w:t>
      </w:r>
      <w:r w:rsidRPr="009513BC">
        <w:t>(</w:t>
      </w:r>
      <w:r w:rsidR="00B64E53" w:rsidRPr="009513BC">
        <w:t xml:space="preserve">namely, </w:t>
      </w:r>
      <w:r w:rsidRPr="009513BC">
        <w:t>choice B)?</w:t>
      </w:r>
      <w:r w:rsidR="00263BC9" w:rsidRPr="009513BC">
        <w:t>”</w:t>
      </w:r>
      <w:r w:rsidRPr="009513BC">
        <w:t xml:space="preserve"> The latter is calculated by getting the average accuracy over all pairs for each combination of </w:t>
      </w:r>
      <m:oMath>
        <m:r>
          <w:rPr>
            <w:rFonts w:ascii="Cambria Math" w:hAnsi="Cambria Math"/>
          </w:rPr>
          <m:t>E</m:t>
        </m:r>
      </m:oMath>
      <w:r w:rsidR="007C0022" w:rsidRPr="009513BC">
        <w:t xml:space="preserve"> and </w:t>
      </w:r>
      <m:oMath>
        <m:r>
          <w:rPr>
            <w:rFonts w:ascii="Cambria Math" w:hAnsi="Cambria Math"/>
          </w:rPr>
          <m:t>τ</m:t>
        </m:r>
      </m:oMath>
      <w:r w:rsidRPr="009513BC">
        <w:t xml:space="preserve">. </w:t>
      </w:r>
      <w:r w:rsidR="00994FDF" w:rsidRPr="009513BC">
        <w:t>O</w:t>
      </w:r>
      <w:r w:rsidR="00E43EA5" w:rsidRPr="009513BC">
        <w:t>n the one hand, c</w:t>
      </w:r>
      <w:r w:rsidRPr="009513BC">
        <w:t>hoice A may be better</w:t>
      </w:r>
      <w:r w:rsidR="00966623" w:rsidRPr="009513BC">
        <w:t xml:space="preserve"> </w:t>
      </w:r>
      <w:r w:rsidRPr="009513BC">
        <w:t>when dealing with few variables</w:t>
      </w:r>
      <w:r w:rsidR="005934BE" w:rsidRPr="009513BC">
        <w:t>, i.e.,</w:t>
      </w:r>
      <w:r w:rsidR="00E16216" w:rsidRPr="009513BC">
        <w:t xml:space="preserve"> </w:t>
      </w:r>
      <w:r w:rsidR="005934BE" w:rsidRPr="009513BC">
        <w:t xml:space="preserve">for </w:t>
      </w:r>
      <w:r w:rsidRPr="009513BC">
        <w:t xml:space="preserve">small </w:t>
      </w:r>
      <w:r w:rsidR="00FC7D18">
        <w:t>datasets</w:t>
      </w:r>
      <w:r w:rsidRPr="009513BC">
        <w:t>, where getting into an</w:t>
      </w:r>
      <w:r w:rsidR="00452F16" w:rsidRPr="009513BC">
        <w:t xml:space="preserve"> </w:t>
      </w:r>
      <w:r w:rsidRPr="009513BC">
        <w:t xml:space="preserve">analytical narrative of the various combinations of </w:t>
      </w:r>
      <m:oMath>
        <m:r>
          <w:rPr>
            <w:rFonts w:ascii="Cambria Math" w:hAnsi="Cambria Math"/>
          </w:rPr>
          <m:t>E</m:t>
        </m:r>
      </m:oMath>
      <w:r w:rsidR="002F5035" w:rsidRPr="009513BC">
        <w:t xml:space="preserve"> and </w:t>
      </w:r>
      <m:oMath>
        <m:r>
          <w:rPr>
            <w:rFonts w:ascii="Cambria Math" w:hAnsi="Cambria Math"/>
          </w:rPr>
          <m:t>τ</m:t>
        </m:r>
      </m:oMath>
      <w:r w:rsidRPr="009513BC">
        <w:t xml:space="preserve"> should not be a hurdle. </w:t>
      </w:r>
      <w:r w:rsidR="00065E79" w:rsidRPr="009513BC">
        <w:t>However, a</w:t>
      </w:r>
      <w:r w:rsidRPr="009513BC">
        <w:t>nother case for choice A would be when the</w:t>
      </w:r>
      <w:r w:rsidR="00393A57" w:rsidRPr="009513BC">
        <w:t xml:space="preserve"> </w:t>
      </w:r>
      <w:r w:rsidRPr="009513BC">
        <w:t xml:space="preserve">accuracy variances over all pairs under the same </w:t>
      </w:r>
      <m:oMath>
        <m:r>
          <w:rPr>
            <w:rFonts w:ascii="Cambria Math" w:hAnsi="Cambria Math"/>
          </w:rPr>
          <m:t>E</m:t>
        </m:r>
      </m:oMath>
      <w:r w:rsidR="009D6A20" w:rsidRPr="009513BC">
        <w:t xml:space="preserve"> and </w:t>
      </w:r>
      <m:oMath>
        <m:r>
          <w:rPr>
            <w:rFonts w:ascii="Cambria Math" w:hAnsi="Cambria Math"/>
          </w:rPr>
          <m:t>τ</m:t>
        </m:r>
      </m:oMath>
      <w:r w:rsidR="009D6A20" w:rsidRPr="009513BC">
        <w:t xml:space="preserve"> </w:t>
      </w:r>
      <w:r w:rsidRPr="009513BC">
        <w:t xml:space="preserve">combinations are intolerably high, which would suggest the loss of </w:t>
      </w:r>
      <w:r w:rsidR="005934BE" w:rsidRPr="009513BC">
        <w:t xml:space="preserve">valuable </w:t>
      </w:r>
      <w:r w:rsidRPr="009513BC">
        <w:t>causal information and predictive capacity for some pairs.</w:t>
      </w:r>
      <w:r w:rsidR="001E7B5E" w:rsidRPr="009513BC">
        <w:t xml:space="preserve"> </w:t>
      </w:r>
      <w:r w:rsidRPr="009513BC">
        <w:t xml:space="preserve">On the other hand, if </w:t>
      </w:r>
      <w:r w:rsidR="00206451">
        <w:t>a</w:t>
      </w:r>
      <w:r w:rsidR="00206451" w:rsidRPr="009513BC">
        <w:t xml:space="preserve"> </w:t>
      </w:r>
      <w:r w:rsidRPr="009513BC">
        <w:t>dataset comprises of many variables</w:t>
      </w:r>
      <w:r w:rsidR="005934BE" w:rsidRPr="009513BC">
        <w:t xml:space="preserve">, i.e., </w:t>
      </w:r>
      <w:r w:rsidRPr="009513BC">
        <w:t xml:space="preserve">big </w:t>
      </w:r>
      <w:r w:rsidR="003D5D70">
        <w:t>dataset</w:t>
      </w:r>
      <w:r w:rsidR="005934BE" w:rsidRPr="009513BC">
        <w:t>,</w:t>
      </w:r>
      <w:r w:rsidRPr="009513BC">
        <w:t xml:space="preserve"> and the accuracy variance is sufficiently low for the </w:t>
      </w:r>
      <w:r w:rsidR="00E43EA5" w:rsidRPr="009513BC">
        <w:t>decision maker</w:t>
      </w:r>
      <w:r w:rsidRPr="009513BC">
        <w:t xml:space="preserve">’s demands </w:t>
      </w:r>
      <w:r w:rsidRPr="009513BC">
        <w:lastRenderedPageBreak/>
        <w:t>then for simplicity</w:t>
      </w:r>
      <w:r w:rsidR="005934BE" w:rsidRPr="009513BC">
        <w:t>,</w:t>
      </w:r>
      <w:r w:rsidRPr="009513BC">
        <w:t xml:space="preserve"> choice B </w:t>
      </w:r>
      <w:r w:rsidR="00206451">
        <w:t>is preferred</w:t>
      </w:r>
      <w:r w:rsidRPr="009513BC">
        <w:t xml:space="preserve">. </w:t>
      </w:r>
      <w:r w:rsidR="00A22410" w:rsidRPr="009513BC">
        <w:t>Further</w:t>
      </w:r>
      <w:r w:rsidR="00065E79" w:rsidRPr="009513BC">
        <w:t>, u</w:t>
      </w:r>
      <w:r w:rsidRPr="009513BC">
        <w:t>sing</w:t>
      </w:r>
      <w:r w:rsidR="00065E79" w:rsidRPr="009513BC">
        <w:t xml:space="preserve"> </w:t>
      </w:r>
      <w:r w:rsidRPr="009513BC">
        <w:t xml:space="preserve">the same </w:t>
      </w:r>
      <m:oMath>
        <m:r>
          <w:rPr>
            <w:rFonts w:ascii="Cambria Math" w:hAnsi="Cambria Math"/>
          </w:rPr>
          <m:t>E</m:t>
        </m:r>
      </m:oMath>
      <w:r w:rsidR="001E7B5E" w:rsidRPr="009513BC">
        <w:t xml:space="preserve"> and </w:t>
      </w:r>
      <m:oMath>
        <m:r>
          <w:rPr>
            <w:rFonts w:ascii="Cambria Math" w:hAnsi="Cambria Math"/>
          </w:rPr>
          <m:t>τ</m:t>
        </m:r>
      </m:oMath>
      <w:r w:rsidR="001E7B5E" w:rsidRPr="009513BC">
        <w:t xml:space="preserve"> </w:t>
      </w:r>
      <w:r w:rsidRPr="009513BC">
        <w:t>combination for all pairs</w:t>
      </w:r>
      <w:r w:rsidR="00E43EA5" w:rsidRPr="009513BC">
        <w:t xml:space="preserve"> </w:t>
      </w:r>
      <w:r w:rsidRPr="009513BC">
        <w:t>can enable a more viable narrative and interpretation of the results, render</w:t>
      </w:r>
      <w:r w:rsidR="00F01D06">
        <w:t>ing</w:t>
      </w:r>
      <w:r w:rsidRPr="009513BC">
        <w:t xml:space="preserve"> the rest of the decision-making process</w:t>
      </w:r>
      <w:r w:rsidR="00A11658">
        <w:t xml:space="preserve"> </w:t>
      </w:r>
      <w:r w:rsidR="00065E79" w:rsidRPr="009513BC">
        <w:t>more straightforward</w:t>
      </w:r>
      <w:r w:rsidRPr="009513BC">
        <w:t>.</w:t>
      </w:r>
      <w:r w:rsidR="009D22F7">
        <w:rPr>
          <w:rStyle w:val="FootnoteReference"/>
        </w:rPr>
        <w:footnoteReference w:id="10"/>
      </w:r>
    </w:p>
    <w:p w14:paraId="7885CB3A" w14:textId="7C943E20" w:rsidR="002216A2" w:rsidRDefault="000B70A3" w:rsidP="002A3119">
      <w:pPr>
        <w:spacing w:before="120" w:after="120" w:line="360" w:lineRule="auto"/>
        <w:ind w:firstLine="284"/>
        <w:jc w:val="both"/>
      </w:pPr>
      <w:r w:rsidRPr="009513BC">
        <w:t>Furthermore, f</w:t>
      </w:r>
      <w:r w:rsidR="009A469B" w:rsidRPr="009513BC">
        <w:t>or a given pair</w:t>
      </w:r>
      <w:r w:rsidR="0065459B" w:rsidRPr="009513BC">
        <w:t>,</w:t>
      </w:r>
      <w:r w:rsidR="009A469B" w:rsidRPr="009513BC">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00E43EA5" w:rsidRPr="009513BC">
        <w:rPr>
          <w:rFonts w:eastAsiaTheme="minorEastAsia"/>
        </w:rPr>
        <w:t>,</w:t>
      </w:r>
      <w:r w:rsidR="009A469B" w:rsidRPr="009513BC">
        <w:t xml:space="preserve"> test</w:t>
      </w:r>
      <w:r w:rsidR="00206451">
        <w:t>ing</w:t>
      </w:r>
      <w:r w:rsidR="009A469B" w:rsidRPr="009513BC">
        <w:t xml:space="preserve"> for causality at each time step</w:t>
      </w:r>
      <w:r w:rsidRPr="009F1C67">
        <w:t xml:space="preserve">, </w:t>
      </w:r>
      <w:r w:rsidR="009A469B" w:rsidRPr="009F1C67">
        <w:t>from FCP onwards</w:t>
      </w:r>
      <w:r w:rsidR="00206451">
        <w:t xml:space="preserve"> is necessary</w:t>
      </w:r>
      <w:r w:rsidR="009A469B" w:rsidRPr="009513BC">
        <w:t>. Specifically, each time step</w:t>
      </w:r>
      <w:r w:rsidR="00206451">
        <w:t xml:space="preserve"> identifies </w:t>
      </w:r>
      <w:r w:rsidR="009A469B" w:rsidRPr="009513BC">
        <w:t xml:space="preserve">the nearest neighbors of </w:t>
      </w:r>
      <m:oMath>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(t)</m:t>
        </m:r>
      </m:oMath>
      <w:r w:rsidR="009A469B" w:rsidRPr="009513BC">
        <w:t>, take</w:t>
      </w:r>
      <w:r w:rsidR="00CC4364">
        <w:t>s</w:t>
      </w:r>
      <w:r w:rsidR="009A469B" w:rsidRPr="009513BC">
        <w:t xml:space="preserve"> their time indices denoted by</w:t>
      </w:r>
      <w:r w:rsidR="00D90144" w:rsidRPr="009513BC">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9A469B" w:rsidRPr="009513BC">
        <w:t xml:space="preserve"> for each neighbor</w:t>
      </w:r>
      <w:r w:rsidR="00D90144" w:rsidRPr="009513BC">
        <w:rPr>
          <w:rFonts w:eastAsiaTheme="minorEastAsia"/>
        </w:rPr>
        <w:t>,</w:t>
      </w:r>
      <w:r w:rsidR="009A469B" w:rsidRPr="009513BC">
        <w:t xml:space="preserve"> and find</w:t>
      </w:r>
      <w:r w:rsidR="00206451">
        <w:t>s</w:t>
      </w:r>
      <w:r w:rsidR="009A469B" w:rsidRPr="009513BC">
        <w:t xml:space="preserve"> the points on </w:t>
      </w: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(t)</m:t>
        </m:r>
      </m:oMath>
      <w:r w:rsidR="009A469B" w:rsidRPr="009513BC">
        <w:t xml:space="preserve"> using the time indices</w:t>
      </w:r>
      <w:r w:rsidR="008F11FD">
        <w:t xml:space="preserve"> from</w:t>
      </w:r>
      <w:r w:rsidR="008F11FD" w:rsidRPr="009513BC">
        <w:t xml:space="preserve"> </w:t>
      </w:r>
      <m:oMath>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(t)</m:t>
        </m:r>
      </m:oMath>
      <w:r w:rsidR="00407AFA">
        <w:rPr>
          <w:rFonts w:eastAsiaTheme="minorEastAsia"/>
        </w:rPr>
        <w:t xml:space="preserve"> and adding </w:t>
      </w:r>
      <m:oMath>
        <m:r>
          <w:rPr>
            <w:rFonts w:ascii="Cambria Math" w:eastAsiaTheme="minorEastAsia" w:hAnsi="Cambria Math"/>
          </w:rPr>
          <m:t>h</m:t>
        </m:r>
      </m:oMath>
      <w:r w:rsidR="00407AFA">
        <w:rPr>
          <w:rFonts w:eastAsiaTheme="minorEastAsia"/>
        </w:rPr>
        <w:t xml:space="preserve"> steps ahead</w:t>
      </w:r>
      <w:r w:rsidR="003F4630">
        <w:rPr>
          <w:rStyle w:val="FootnoteReference"/>
          <w:rFonts w:eastAsiaTheme="minorEastAsia"/>
        </w:rPr>
        <w:footnoteReference w:id="11"/>
      </w:r>
      <w:r w:rsidR="009A469B" w:rsidRPr="009513BC">
        <w:t xml:space="preserve">. </w:t>
      </w:r>
      <w:r w:rsidR="00206451">
        <w:t>This</w:t>
      </w:r>
      <w:r w:rsidR="009A469B" w:rsidRPr="009513BC">
        <w:t xml:space="preserve"> process</w:t>
      </w:r>
      <w:r w:rsidR="00206451">
        <w:t xml:space="preserve"> is called</w:t>
      </w:r>
      <w:r w:rsidR="009A469B" w:rsidRPr="009513BC">
        <w:t xml:space="preserve"> </w:t>
      </w:r>
      <w:r w:rsidR="009A469B" w:rsidRPr="009513BC">
        <w:rPr>
          <w:i/>
          <w:iCs/>
        </w:rPr>
        <w:t>neighborhood projection</w:t>
      </w:r>
      <w:r w:rsidR="009A469B" w:rsidRPr="009513BC">
        <w:t xml:space="preserve"> and the rationale behind it is that if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00D76E5A">
        <w:rPr>
          <w:rFonts w:eastAsiaTheme="minorEastAsia"/>
        </w:rPr>
        <w:t xml:space="preserve"> (causes)</w:t>
      </w:r>
      <w:r w:rsidRPr="009513BC">
        <w:rPr>
          <w:rFonts w:eastAsiaTheme="minorEastAsia"/>
        </w:rPr>
        <w:t>,</w:t>
      </w:r>
      <w:r w:rsidR="00BB002E" w:rsidRPr="009513BC">
        <w:t xml:space="preserve"> </w:t>
      </w:r>
      <w:r w:rsidR="009A469B" w:rsidRPr="009513BC">
        <w:t xml:space="preserve">then topological information on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9A469B" w:rsidRPr="009513BC">
        <w:t xml:space="preserve"> should accurately </w:t>
      </w:r>
      <w:r w:rsidR="00513688">
        <w:t>predict</w:t>
      </w:r>
      <w:r w:rsidR="009A469B" w:rsidRPr="009513BC">
        <w:t xml:space="preserve"> topological information on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009A469B" w:rsidRPr="009513BC">
        <w:t xml:space="preserve">. </w:t>
      </w:r>
      <w:r w:rsidR="00206451">
        <w:t>At this stage, t</w:t>
      </w:r>
      <w:r w:rsidR="009A469B" w:rsidRPr="009513BC">
        <w:t>wo</w:t>
      </w:r>
      <w:r w:rsidRPr="009513BC">
        <w:t xml:space="preserve"> </w:t>
      </w:r>
      <w:r w:rsidR="000842A3" w:rsidRPr="009513BC">
        <w:t xml:space="preserve">important </w:t>
      </w:r>
      <w:r w:rsidRPr="009513BC">
        <w:t>intermediate</w:t>
      </w:r>
      <w:r w:rsidR="009A469B" w:rsidRPr="009513BC">
        <w:t xml:space="preserve"> </w:t>
      </w:r>
      <w:r w:rsidR="00206451">
        <w:t>considerations require the attention of a decision maker. F</w:t>
      </w:r>
      <w:r w:rsidR="009A469B" w:rsidRPr="009513BC">
        <w:t xml:space="preserve">irstly, </w:t>
      </w:r>
      <w:r w:rsidR="000842A3" w:rsidRPr="009513BC">
        <w:t xml:space="preserve">in order to identify the nearest neighbors, </w:t>
      </w:r>
      <w:r w:rsidR="009A469B" w:rsidRPr="009513BC">
        <w:t>distances of points on the attractor</w:t>
      </w:r>
      <w:r w:rsidR="009F1C67">
        <w:t xml:space="preserve"> need</w:t>
      </w:r>
      <w:r w:rsidR="00206451">
        <w:t xml:space="preserve"> to be calculated</w:t>
      </w:r>
      <w:r w:rsidR="000842A3" w:rsidRPr="009513BC">
        <w:t>.</w:t>
      </w:r>
      <w:r w:rsidR="009A469B" w:rsidRPr="009513BC">
        <w:t xml:space="preserve"> </w:t>
      </w:r>
      <w:r w:rsidR="000842A3" w:rsidRPr="009513BC">
        <w:t>T</w:t>
      </w:r>
      <w:r w:rsidR="0065459B" w:rsidRPr="009513BC">
        <w:t xml:space="preserve">his </w:t>
      </w:r>
      <w:r w:rsidR="009A469B" w:rsidRPr="009513BC">
        <w:t xml:space="preserve">can be </w:t>
      </w:r>
      <w:r w:rsidR="0065459B" w:rsidRPr="009513BC">
        <w:t>achieved</w:t>
      </w:r>
      <w:r w:rsidR="009A469B" w:rsidRPr="009513BC">
        <w:t xml:space="preserve"> </w:t>
      </w:r>
      <w:r w:rsidR="000842A3" w:rsidRPr="009513BC">
        <w:t xml:space="preserve">in many ways </w:t>
      </w:r>
      <w:r w:rsidR="0065459B" w:rsidRPr="009513BC">
        <w:t>by implementing</w:t>
      </w:r>
      <w:r w:rsidR="000842A3" w:rsidRPr="009513BC">
        <w:t xml:space="preserve"> different</w:t>
      </w:r>
      <w:r w:rsidR="009A469B" w:rsidRPr="009513BC">
        <w:t xml:space="preserve"> metric distances. </w:t>
      </w:r>
      <w:r w:rsidR="000842A3" w:rsidRPr="009513BC">
        <w:t>In g</w:t>
      </w:r>
      <w:r w:rsidR="009A469B" w:rsidRPr="009513BC">
        <w:t xml:space="preserve">eneral, </w:t>
      </w:r>
      <w:r w:rsidR="000842A3" w:rsidRPr="009513BC">
        <w:t>someone</w:t>
      </w:r>
      <w:r w:rsidR="009A469B" w:rsidRPr="009513BC">
        <w:t xml:space="preserve"> may</w:t>
      </w:r>
      <w:r w:rsidR="000842A3" w:rsidRPr="009513BC">
        <w:t xml:space="preserve"> consider</w:t>
      </w:r>
      <w:r w:rsidR="009A469B" w:rsidRPr="009513BC">
        <w:t xml:space="preserve"> the </w:t>
      </w:r>
      <w:proofErr w:type="spellStart"/>
      <w:r w:rsidR="009A469B" w:rsidRPr="009513BC">
        <w:t>Minkowski</w:t>
      </w:r>
      <w:proofErr w:type="spellEnd"/>
      <w:r w:rsidR="009A469B" w:rsidRPr="009513BC">
        <w:t xml:space="preserve"> distance for some exponent </w:t>
      </w:r>
      <m:oMath>
        <m:r>
          <w:rPr>
            <w:rFonts w:ascii="Cambria Math" w:hAnsi="Cambria Math"/>
          </w:rPr>
          <m:t>p</m:t>
        </m:r>
      </m:oMath>
      <w:r w:rsidR="009A469B" w:rsidRPr="009513BC">
        <w:t xml:space="preserve"> (for </w:t>
      </w:r>
      <m:oMath>
        <m:r>
          <w:rPr>
            <w:rFonts w:ascii="Cambria Math" w:hAnsi="Cambria Math"/>
          </w:rPr>
          <m:t>p=2</m:t>
        </m:r>
      </m:oMath>
      <w:r w:rsidR="00F017D0" w:rsidRPr="009513BC">
        <w:t>,</w:t>
      </w:r>
      <w:r w:rsidR="0065459B" w:rsidRPr="009513BC">
        <w:t xml:space="preserve"> </w:t>
      </w:r>
      <w:r w:rsidR="009A469B" w:rsidRPr="009513BC">
        <w:t>the Euclidean distance</w:t>
      </w:r>
      <w:r w:rsidR="0065459B" w:rsidRPr="009513BC">
        <w:t xml:space="preserve"> yields</w:t>
      </w:r>
      <w:r w:rsidR="009A469B" w:rsidRPr="009513BC">
        <w:t xml:space="preserve">). The higher the </w:t>
      </w:r>
      <m:oMath>
        <m:r>
          <w:rPr>
            <w:rFonts w:ascii="Cambria Math" w:hAnsi="Cambria Math"/>
          </w:rPr>
          <m:t>p</m:t>
        </m:r>
      </m:oMath>
      <w:r w:rsidR="00206451">
        <w:t xml:space="preserve">, </w:t>
      </w:r>
      <w:proofErr w:type="spellStart"/>
      <w:r w:rsidR="009A469B" w:rsidRPr="009513BC">
        <w:t>the</w:t>
      </w:r>
      <w:proofErr w:type="spellEnd"/>
      <w:r w:rsidR="009A469B" w:rsidRPr="009513BC">
        <w:t xml:space="preserve"> more the distant points are penalized. If the </w:t>
      </w:r>
      <w:r w:rsidR="0065459B" w:rsidRPr="009513BC">
        <w:t>decision maker</w:t>
      </w:r>
      <w:r w:rsidR="009A469B" w:rsidRPr="009513BC">
        <w:t xml:space="preserve"> decides to treat all the points equally</w:t>
      </w:r>
      <w:r w:rsidR="00E12E32">
        <w:t>,</w:t>
      </w:r>
      <w:r w:rsidR="009A469B" w:rsidRPr="009513BC">
        <w:t xml:space="preserve"> then </w:t>
      </w:r>
      <m:oMath>
        <m:r>
          <w:rPr>
            <w:rFonts w:ascii="Cambria Math" w:hAnsi="Cambria Math"/>
          </w:rPr>
          <m:t>p</m:t>
        </m:r>
      </m:oMath>
      <w:r w:rsidR="009A469B" w:rsidRPr="009513BC">
        <w:t xml:space="preserve"> should equal</w:t>
      </w:r>
      <w:r w:rsidR="000842A3" w:rsidRPr="009513BC">
        <w:t xml:space="preserve"> </w:t>
      </w:r>
      <w:r w:rsidR="009A469B" w:rsidRPr="009513BC">
        <w:t xml:space="preserve">1, effectively </w:t>
      </w:r>
      <w:r w:rsidR="00C35D4E">
        <w:t>yielding</w:t>
      </w:r>
      <w:r w:rsidR="009A469B" w:rsidRPr="009513BC">
        <w:t xml:space="preserve"> the Manhattan distance</w:t>
      </w:r>
      <w:r w:rsidR="008D3DD5" w:rsidRPr="009513BC">
        <w:rPr>
          <w:rStyle w:val="FootnoteReference"/>
        </w:rPr>
        <w:footnoteReference w:id="12"/>
      </w:r>
      <w:r w:rsidR="00BD49FE">
        <w:t>.</w:t>
      </w:r>
      <w:r w:rsidR="00E12E32">
        <w:t xml:space="preserve"> </w:t>
      </w:r>
      <w:r w:rsidR="009A469B" w:rsidRPr="009513BC">
        <w:t xml:space="preserve">Secondly, the number of nearest neighbors </w:t>
      </w:r>
      <w:r w:rsidR="00D25A2A" w:rsidRPr="009513BC">
        <w:t>to</w:t>
      </w:r>
      <w:r w:rsidR="000842A3" w:rsidRPr="009513BC">
        <w:t xml:space="preserve"> </w:t>
      </w:r>
      <w:r w:rsidR="009A469B" w:rsidRPr="009513BC">
        <w:t>keep for the next step (</w:t>
      </w:r>
      <w:r w:rsidR="00393A57" w:rsidRPr="009513BC">
        <w:t xml:space="preserve">see </w:t>
      </w:r>
      <w:r w:rsidR="009A469B" w:rsidRPr="009513BC">
        <w:rPr>
          <w:b/>
          <w:bCs/>
        </w:rPr>
        <w:t>Fig</w:t>
      </w:r>
      <w:r w:rsidR="00047341">
        <w:rPr>
          <w:b/>
          <w:bCs/>
        </w:rPr>
        <w:t>.</w:t>
      </w:r>
      <w:r w:rsidR="009A469B" w:rsidRPr="009513BC">
        <w:rPr>
          <w:b/>
          <w:bCs/>
        </w:rPr>
        <w:t xml:space="preserve"> </w:t>
      </w:r>
      <w:r w:rsidR="00CA01AE">
        <w:rPr>
          <w:b/>
          <w:bCs/>
        </w:rPr>
        <w:t>2</w:t>
      </w:r>
      <w:r w:rsidR="00206451">
        <w:rPr>
          <w:b/>
          <w:bCs/>
        </w:rPr>
        <w:t>b</w:t>
      </w:r>
      <w:r w:rsidR="009A469B" w:rsidRPr="009513BC">
        <w:t>)</w:t>
      </w:r>
      <w:r w:rsidR="00206451">
        <w:t xml:space="preserve"> should be set</w:t>
      </w:r>
      <w:r w:rsidR="000842A3" w:rsidRPr="009513BC">
        <w:t>, which</w:t>
      </w:r>
      <w:r w:rsidR="009A469B" w:rsidRPr="009513BC">
        <w:t xml:space="preserve"> </w:t>
      </w:r>
      <w:r w:rsidR="00D25A2A" w:rsidRPr="009513BC">
        <w:t>might</w:t>
      </w:r>
      <w:r w:rsidR="009A469B" w:rsidRPr="009513BC">
        <w:t xml:space="preserve"> vary</w:t>
      </w:r>
      <w:r w:rsidR="00D25A2A" w:rsidRPr="009513BC">
        <w:t xml:space="preserve"> due to the nature of the system studied</w:t>
      </w:r>
      <w:r w:rsidR="009A469B" w:rsidRPr="009513BC">
        <w:t xml:space="preserve">. Theoretically, </w:t>
      </w:r>
      <m:oMath>
        <m:r>
          <w:rPr>
            <w:rFonts w:ascii="Cambria Math" w:hAnsi="Cambria Math"/>
          </w:rPr>
          <m:t>E+1</m:t>
        </m:r>
      </m:oMath>
      <w:r w:rsidR="009A469B" w:rsidRPr="009513BC">
        <w:t xml:space="preserve"> nearest neighbors </w:t>
      </w:r>
      <w:r w:rsidR="00605739" w:rsidRPr="009513BC">
        <w:t>are</w:t>
      </w:r>
      <w:r w:rsidR="009A469B" w:rsidRPr="009513BC">
        <w:t xml:space="preserve"> sufficient</w:t>
      </w:r>
      <w:r w:rsidR="0065459B" w:rsidRPr="009513BC">
        <w:t>ly enough</w:t>
      </w:r>
      <w:r w:rsidR="009A469B" w:rsidRPr="009513BC">
        <w:t xml:space="preserve"> because </w:t>
      </w:r>
      <w:r w:rsidR="00D25A2A" w:rsidRPr="009513BC">
        <w:t>they</w:t>
      </w:r>
      <w:r w:rsidR="009A469B" w:rsidRPr="009513BC">
        <w:t xml:space="preserve"> create a simplex of higher dimension around the current point’s neighborhood</w:t>
      </w:r>
      <w:r w:rsidR="0065459B" w:rsidRPr="009513BC">
        <w:t>,</w:t>
      </w:r>
      <w:r w:rsidR="009A469B" w:rsidRPr="009513BC">
        <w:t xml:space="preserve"> and thus contain all the topological information needed</w:t>
      </w:r>
      <w:r w:rsidR="00005A4B">
        <w:t xml:space="preserve"> </w:t>
      </w:r>
      <w:r w:rsidR="00005A4B">
        <w:fldChar w:fldCharType="begin" w:fldLock="1"/>
      </w:r>
      <w:r w:rsidR="00005A4B">
        <w:instrText>ADDIN CSL_CITATION {"citationItems":[{"id":"ITEM-1","itemData":{"DOI":"10.1017/CBO9780511755798","ISBN":"9780521529020","author":[{"dropping-particle":"","family":"Kantz","given":"Holger","non-dropping-particle":"","parse-names":false,"suffix":""},{"dropping-particle":"","family":"Schreiber","given":"Thomas","non-dropping-particle":"","parse-names":false,"suffix":""}],"id":"ITEM-1","issued":{"date-parts":[["2003","11","27"]]},"publisher":"Cambridge University Press","title":"Nonlinear Time Series Analysis","type":"book"},"uris":["http://www.mendeley.com/documents/?uuid=dcff7b54-c716-4d4b-83e2-3d16f3f7bfbb"]}],"mendeley":{"formattedCitation":"(Kantz &amp; Schreiber, 2003)","plainTextFormattedCitation":"(Kantz &amp; Schreiber, 2003)","previouslyFormattedCitation":"(Kantz &amp; Schreiber, 2003)"},"properties":{"noteIndex":0},"schema":"https://github.com/citation-style-language/schema/raw/master/csl-citation.json"}</w:instrText>
      </w:r>
      <w:r w:rsidR="00005A4B">
        <w:fldChar w:fldCharType="separate"/>
      </w:r>
      <w:r w:rsidR="00005A4B" w:rsidRPr="00005A4B">
        <w:rPr>
          <w:noProof/>
        </w:rPr>
        <w:t>(Kantz &amp; Schreiber, 2003)</w:t>
      </w:r>
      <w:r w:rsidR="00005A4B">
        <w:fldChar w:fldCharType="end"/>
      </w:r>
      <w:r w:rsidR="009A469B" w:rsidRPr="009513BC">
        <w:t xml:space="preserve">. However, the </w:t>
      </w:r>
      <w:r w:rsidR="00D15E12" w:rsidRPr="009513BC">
        <w:t>decision maker</w:t>
      </w:r>
      <w:r w:rsidR="009A469B" w:rsidRPr="009513BC">
        <w:t xml:space="preserve"> may decide to include more nearest neighbors to </w:t>
      </w:r>
      <w:r w:rsidR="00D44677" w:rsidRPr="009513BC">
        <w:t>transfer</w:t>
      </w:r>
      <w:r w:rsidR="009A469B" w:rsidRPr="009513BC">
        <w:t xml:space="preserve"> </w:t>
      </w:r>
      <w:r w:rsidR="00D25A2A" w:rsidRPr="009513BC">
        <w:t xml:space="preserve">a </w:t>
      </w:r>
      <w:r w:rsidR="009A469B" w:rsidRPr="009513BC">
        <w:t>more representative</w:t>
      </w:r>
      <w:r w:rsidR="00D14190">
        <w:t xml:space="preserve"> </w:t>
      </w:r>
      <w:r w:rsidR="009900F5">
        <w:t>assembly</w:t>
      </w:r>
      <w:r w:rsidR="00D14190">
        <w:t xml:space="preserve"> of</w:t>
      </w:r>
      <w:r w:rsidR="009A469B" w:rsidRPr="009513BC">
        <w:t xml:space="preserve"> topological information </w:t>
      </w:r>
      <w:r w:rsidR="00D44677" w:rsidRPr="009513BC">
        <w:t>into</w:t>
      </w:r>
      <w:r w:rsidR="009A469B" w:rsidRPr="009513BC">
        <w:t xml:space="preserve"> the next step.</w:t>
      </w:r>
    </w:p>
    <w:p w14:paraId="3FD2652F" w14:textId="77777777" w:rsidR="002216A2" w:rsidRPr="009513BC" w:rsidRDefault="002216A2" w:rsidP="00AC31E5">
      <w:pPr>
        <w:spacing w:before="120" w:after="120" w:line="360" w:lineRule="auto"/>
        <w:ind w:firstLine="284"/>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27D46" w:rsidRPr="009513BC" w14:paraId="0E86CC0A" w14:textId="77777777" w:rsidTr="000E0367">
        <w:tc>
          <w:tcPr>
            <w:tcW w:w="9026" w:type="dxa"/>
          </w:tcPr>
          <w:p w14:paraId="2809797F" w14:textId="2515648D" w:rsidR="00D27D46" w:rsidRPr="009513BC" w:rsidRDefault="000318D3" w:rsidP="00887E24">
            <w:pPr>
              <w:spacing w:before="120" w:after="120" w:line="360" w:lineRule="auto"/>
              <w:jc w:val="center"/>
              <w:rPr>
                <w:lang w:val="en-US"/>
              </w:rPr>
            </w:pPr>
            <w:r>
              <w:rPr>
                <w:noProof/>
              </w:rPr>
              <w:lastRenderedPageBreak/>
              <w:drawing>
                <wp:inline distT="0" distB="0" distL="0" distR="0" wp14:anchorId="1C2A606E" wp14:editId="0B3BD608">
                  <wp:extent cx="5625389" cy="30383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9605" cy="3045986"/>
                          </a:xfrm>
                          <a:prstGeom prst="rect">
                            <a:avLst/>
                          </a:prstGeom>
                          <a:noFill/>
                          <a:ln>
                            <a:noFill/>
                          </a:ln>
                        </pic:spPr>
                      </pic:pic>
                    </a:graphicData>
                  </a:graphic>
                </wp:inline>
              </w:drawing>
            </w:r>
          </w:p>
        </w:tc>
      </w:tr>
      <w:tr w:rsidR="00D27D46" w:rsidRPr="009513BC" w14:paraId="2CC78521" w14:textId="77777777" w:rsidTr="000E0367">
        <w:tc>
          <w:tcPr>
            <w:tcW w:w="9026" w:type="dxa"/>
          </w:tcPr>
          <w:p w14:paraId="644E595F" w14:textId="3557F2B2" w:rsidR="00D27D46" w:rsidRPr="009513BC" w:rsidRDefault="005A3865" w:rsidP="005A160C">
            <w:pPr>
              <w:spacing w:before="120" w:after="120" w:line="360" w:lineRule="auto"/>
              <w:jc w:val="center"/>
              <w:rPr>
                <w:lang w:val="en-US"/>
              </w:rPr>
            </w:pPr>
            <w:r>
              <w:rPr>
                <w:noProof/>
              </w:rPr>
              <w:drawing>
                <wp:inline distT="0" distB="0" distL="0" distR="0" wp14:anchorId="733BDDF4" wp14:editId="708BC7DC">
                  <wp:extent cx="5651500" cy="27940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0" cy="2794000"/>
                          </a:xfrm>
                          <a:prstGeom prst="rect">
                            <a:avLst/>
                          </a:prstGeom>
                          <a:noFill/>
                          <a:ln>
                            <a:noFill/>
                          </a:ln>
                        </pic:spPr>
                      </pic:pic>
                    </a:graphicData>
                  </a:graphic>
                </wp:inline>
              </w:drawing>
            </w:r>
          </w:p>
        </w:tc>
      </w:tr>
    </w:tbl>
    <w:p w14:paraId="478A771B" w14:textId="65C134C9" w:rsidR="004614C6" w:rsidRDefault="000E0367" w:rsidP="002A3119">
      <w:pPr>
        <w:spacing w:before="120" w:after="120" w:line="360" w:lineRule="auto"/>
        <w:jc w:val="both"/>
        <w:rPr>
          <w:sz w:val="20"/>
          <w:szCs w:val="20"/>
        </w:rPr>
      </w:pPr>
      <w:r w:rsidRPr="00D61ACC">
        <w:rPr>
          <w:b/>
          <w:bCs/>
          <w:sz w:val="20"/>
          <w:szCs w:val="20"/>
        </w:rPr>
        <w:t>Fig</w:t>
      </w:r>
      <w:r w:rsidR="00047341">
        <w:rPr>
          <w:b/>
          <w:bCs/>
          <w:sz w:val="20"/>
          <w:szCs w:val="20"/>
        </w:rPr>
        <w:t>.</w:t>
      </w:r>
      <w:r w:rsidRPr="00D61ACC">
        <w:rPr>
          <w:b/>
          <w:bCs/>
          <w:sz w:val="20"/>
          <w:szCs w:val="20"/>
        </w:rPr>
        <w:t xml:space="preserve"> </w:t>
      </w:r>
      <w:r>
        <w:rPr>
          <w:b/>
          <w:bCs/>
          <w:sz w:val="20"/>
          <w:szCs w:val="20"/>
        </w:rPr>
        <w:t>2</w:t>
      </w:r>
      <w:r w:rsidRPr="00D61ACC">
        <w:rPr>
          <w:b/>
          <w:bCs/>
          <w:sz w:val="20"/>
          <w:szCs w:val="20"/>
        </w:rPr>
        <w:t xml:space="preserve">. </w:t>
      </w:r>
      <w:r w:rsidR="00206451">
        <w:rPr>
          <w:b/>
          <w:bCs/>
          <w:sz w:val="20"/>
          <w:szCs w:val="20"/>
        </w:rPr>
        <w:t>(</w:t>
      </w:r>
      <w:r w:rsidRPr="00D61ACC">
        <w:rPr>
          <w:b/>
          <w:bCs/>
          <w:sz w:val="20"/>
          <w:szCs w:val="20"/>
        </w:rPr>
        <w:t xml:space="preserve">a) </w:t>
      </w:r>
      <w:r w:rsidRPr="00D61ACC">
        <w:rPr>
          <w:sz w:val="20"/>
          <w:szCs w:val="20"/>
        </w:rPr>
        <w:t xml:space="preserve"> </w:t>
      </w:r>
      <w:r>
        <w:rPr>
          <w:sz w:val="20"/>
          <w:szCs w:val="20"/>
        </w:rPr>
        <w:t>Shadow attractor reconstruction technique: using lagged values of the same variable in order to appro</w:t>
      </w:r>
      <w:r w:rsidR="008B1610">
        <w:rPr>
          <w:sz w:val="20"/>
          <w:szCs w:val="20"/>
        </w:rPr>
        <w:t>x</w:t>
      </w:r>
      <w:r>
        <w:rPr>
          <w:sz w:val="20"/>
          <w:szCs w:val="20"/>
        </w:rPr>
        <w:t>imate its or</w:t>
      </w:r>
      <w:r w:rsidR="00B56E5D">
        <w:rPr>
          <w:sz w:val="20"/>
          <w:szCs w:val="20"/>
        </w:rPr>
        <w:t>iginal dynamics. Those original dynamics hold the causal information which is tapped in the next step</w:t>
      </w:r>
      <w:r w:rsidRPr="00D61ACC">
        <w:rPr>
          <w:sz w:val="20"/>
          <w:szCs w:val="20"/>
        </w:rPr>
        <w:t xml:space="preserve">. </w:t>
      </w:r>
      <w:r w:rsidR="00206451">
        <w:rPr>
          <w:sz w:val="20"/>
          <w:szCs w:val="20"/>
        </w:rPr>
        <w:t>(</w:t>
      </w:r>
      <w:r w:rsidRPr="00D61ACC">
        <w:rPr>
          <w:b/>
          <w:bCs/>
          <w:sz w:val="20"/>
          <w:szCs w:val="20"/>
        </w:rPr>
        <w:t>b)</w:t>
      </w:r>
      <w:r w:rsidRPr="00D61ACC">
        <w:rPr>
          <w:sz w:val="20"/>
          <w:szCs w:val="20"/>
        </w:rPr>
        <w:t xml:space="preserve"> </w:t>
      </w:r>
      <w:r w:rsidR="00ED3DB4">
        <w:rPr>
          <w:sz w:val="20"/>
          <w:szCs w:val="20"/>
        </w:rPr>
        <w:t>Scanning for nearest neighbors in</w:t>
      </w:r>
      <w:r w:rsidR="002A3119">
        <w:rPr>
          <w:sz w:val="20"/>
          <w:szCs w:val="20"/>
        </w:rPr>
        <w:t xml:space="preserve">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sub>
        </m:sSub>
      </m:oMath>
      <w:r w:rsidR="00ED3DB4">
        <w:rPr>
          <w:sz w:val="20"/>
          <w:szCs w:val="20"/>
        </w:rPr>
        <w:t xml:space="preserve"> </w:t>
      </w:r>
      <w:r w:rsidR="00FD05D5">
        <w:rPr>
          <w:sz w:val="20"/>
          <w:szCs w:val="20"/>
        </w:rPr>
        <w:t xml:space="preserve">and using </w:t>
      </w:r>
      <w:r w:rsidR="007171CF">
        <w:rPr>
          <w:sz w:val="20"/>
          <w:szCs w:val="20"/>
        </w:rPr>
        <w:t xml:space="preserve">their projected (by </w:t>
      </w:r>
      <m:oMath>
        <m:r>
          <w:rPr>
            <w:rFonts w:ascii="Cambria Math" w:hAnsi="Cambria Math"/>
            <w:sz w:val="20"/>
            <w:szCs w:val="20"/>
          </w:rPr>
          <m:t>h</m:t>
        </m:r>
      </m:oMath>
      <w:r w:rsidR="007171CF">
        <w:rPr>
          <w:sz w:val="20"/>
          <w:szCs w:val="20"/>
        </w:rPr>
        <w:t xml:space="preserve">) time indices on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Y</m:t>
            </m:r>
          </m:sub>
        </m:sSub>
      </m:oMath>
      <w:r w:rsidR="007171CF">
        <w:rPr>
          <w:sz w:val="20"/>
          <w:szCs w:val="20"/>
        </w:rPr>
        <w:t>.</w:t>
      </w:r>
      <w:r w:rsidR="002430E9">
        <w:rPr>
          <w:sz w:val="20"/>
          <w:szCs w:val="20"/>
        </w:rPr>
        <w:t xml:space="preserve"> Those projections are used in the step of “signature extraction” </w:t>
      </w:r>
      <w:r w:rsidR="00900CF3">
        <w:rPr>
          <w:sz w:val="20"/>
          <w:szCs w:val="20"/>
        </w:rPr>
        <w:t>in order to test for causality.</w:t>
      </w:r>
    </w:p>
    <w:p w14:paraId="4B29EFB4" w14:textId="77777777" w:rsidR="001B236A" w:rsidRDefault="001B236A" w:rsidP="002A3119">
      <w:pPr>
        <w:spacing w:before="120" w:after="120" w:line="360" w:lineRule="auto"/>
        <w:jc w:val="both"/>
        <w:rPr>
          <w:sz w:val="20"/>
          <w:szCs w:val="20"/>
        </w:rPr>
      </w:pPr>
    </w:p>
    <w:p w14:paraId="490F6903" w14:textId="77777777" w:rsidR="00F5038D" w:rsidRDefault="00F5038D" w:rsidP="002A3119">
      <w:pPr>
        <w:spacing w:before="120" w:after="120" w:line="360" w:lineRule="auto"/>
        <w:jc w:val="both"/>
        <w:rPr>
          <w:sz w:val="20"/>
          <w:szCs w:val="20"/>
        </w:rPr>
      </w:pPr>
    </w:p>
    <w:p w14:paraId="6EECB466" w14:textId="77777777" w:rsidR="00F5038D" w:rsidRDefault="00F5038D" w:rsidP="002A3119">
      <w:pPr>
        <w:spacing w:before="120" w:after="120" w:line="360" w:lineRule="auto"/>
        <w:jc w:val="both"/>
        <w:rPr>
          <w:sz w:val="20"/>
          <w:szCs w:val="20"/>
        </w:rPr>
      </w:pPr>
    </w:p>
    <w:p w14:paraId="09D19116" w14:textId="77777777" w:rsidR="00F5038D" w:rsidRPr="002A3119" w:rsidRDefault="00F5038D" w:rsidP="002A3119">
      <w:pPr>
        <w:spacing w:before="120" w:after="120" w:line="360" w:lineRule="auto"/>
        <w:jc w:val="both"/>
        <w:rPr>
          <w:sz w:val="20"/>
          <w:szCs w:val="20"/>
        </w:rPr>
      </w:pPr>
    </w:p>
    <w:p w14:paraId="691DEE6A" w14:textId="5442224F" w:rsidR="00F45D2E" w:rsidRPr="009513BC" w:rsidRDefault="00515A3C" w:rsidP="002F3604">
      <w:pPr>
        <w:pStyle w:val="ListParagraph"/>
        <w:keepNext/>
        <w:numPr>
          <w:ilvl w:val="1"/>
          <w:numId w:val="1"/>
        </w:numPr>
        <w:spacing w:before="120" w:after="120" w:line="360" w:lineRule="auto"/>
        <w:jc w:val="both"/>
        <w:rPr>
          <w:rFonts w:ascii="Times New Roman" w:hAnsi="Times New Roman" w:cs="Times New Roman"/>
          <w:b/>
          <w:bCs/>
          <w:sz w:val="24"/>
          <w:szCs w:val="24"/>
        </w:rPr>
      </w:pPr>
      <w:r w:rsidRPr="009513BC">
        <w:rPr>
          <w:rFonts w:ascii="Times New Roman" w:hAnsi="Times New Roman" w:cs="Times New Roman"/>
          <w:b/>
          <w:bCs/>
          <w:sz w:val="24"/>
          <w:szCs w:val="24"/>
        </w:rPr>
        <w:lastRenderedPageBreak/>
        <w:t xml:space="preserve"> </w:t>
      </w:r>
      <w:r w:rsidR="00B87CC4" w:rsidRPr="009513BC">
        <w:rPr>
          <w:rFonts w:ascii="Times New Roman" w:hAnsi="Times New Roman" w:cs="Times New Roman"/>
          <w:b/>
          <w:bCs/>
          <w:sz w:val="24"/>
          <w:szCs w:val="24"/>
        </w:rPr>
        <w:t xml:space="preserve">Identify the </w:t>
      </w:r>
      <w:r w:rsidR="00EF0A49" w:rsidRPr="009513BC">
        <w:rPr>
          <w:rFonts w:ascii="Times New Roman" w:hAnsi="Times New Roman" w:cs="Times New Roman"/>
          <w:b/>
          <w:bCs/>
          <w:sz w:val="24"/>
          <w:szCs w:val="24"/>
        </w:rPr>
        <w:t>causal profile</w:t>
      </w:r>
      <w:r w:rsidR="00F45D2E" w:rsidRPr="009513BC">
        <w:rPr>
          <w:rFonts w:ascii="Times New Roman" w:hAnsi="Times New Roman" w:cs="Times New Roman"/>
          <w:b/>
          <w:bCs/>
          <w:sz w:val="24"/>
          <w:szCs w:val="24"/>
        </w:rPr>
        <w:t xml:space="preserve"> </w:t>
      </w:r>
    </w:p>
    <w:p w14:paraId="4F18C6DA" w14:textId="61EABCCB" w:rsidR="00F45D2E" w:rsidRPr="009513BC" w:rsidRDefault="00CC2B11" w:rsidP="00F45D2E">
      <w:pPr>
        <w:spacing w:before="120" w:after="120" w:line="360" w:lineRule="auto"/>
        <w:ind w:firstLine="284"/>
        <w:jc w:val="both"/>
      </w:pPr>
      <w:r w:rsidRPr="009513BC">
        <w:t>For e</w:t>
      </w:r>
      <w:r w:rsidR="009A469B" w:rsidRPr="009513BC">
        <w:t xml:space="preserve">very projected nearest neighbor </w:t>
      </w: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+h)</m:t>
        </m:r>
      </m:oMath>
      <w:r w:rsidRPr="009513BC">
        <w:rPr>
          <w:rFonts w:eastAsiaTheme="minorEastAsia"/>
        </w:rPr>
        <w:t>,</w:t>
      </w:r>
      <w:r w:rsidR="009A469B" w:rsidRPr="009513BC">
        <w:rPr>
          <w:vertAlign w:val="subscript"/>
        </w:rPr>
        <w:t xml:space="preserve"> </w:t>
      </w:r>
      <w:r w:rsidR="009A469B" w:rsidRPr="009513BC">
        <w:t xml:space="preserve">a weight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9A469B" w:rsidRPr="009513BC">
        <w:t xml:space="preserve"> </w:t>
      </w:r>
      <w:r w:rsidRPr="009513BC">
        <w:t>is assigned</w:t>
      </w:r>
      <w:r w:rsidR="000C61A7">
        <w:t>,</w:t>
      </w:r>
      <w:r w:rsidRPr="009513BC">
        <w:t xml:space="preserve"> </w:t>
      </w:r>
      <w:r w:rsidR="009A469B" w:rsidRPr="009513BC">
        <w:t xml:space="preserve">which is inversely proportional to the distance of its corresponding point on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9A469B" w:rsidRPr="009513BC">
        <w:t xml:space="preserve"> from the current point. Moreover, every point on a shadow attractor can be seen as a pattern which describes rates of change</w:t>
      </w:r>
      <w:r w:rsidR="00005A4B">
        <w:t xml:space="preserve"> </w:t>
      </w:r>
      <w:r w:rsidR="00005A4B">
        <w:fldChar w:fldCharType="begin" w:fldLock="1"/>
      </w:r>
      <w:r w:rsidR="00005A4B">
        <w:instrText>ADDIN CSL_CITATION {"citationItems":[{"id":"ITEM-1","itemData":{"DOI":"10.1073/pnas.1918269117","ISSN":"0027-8424","abstract":"Throughout time, operational laws and concepts from complex systems have been employed to quantitatively model important aspects and interactions in nature and society. Nevertheless, it remains enigmatic and challenging, yet inspiring, to predict the actual interdependencies that comprise the structure of such systems, particularly when the causal interactions observed in real-world phenomena might be persistently hidden. In this article, we propose a robust methodology for detecting the latent and elusive structure of dynamic complex systems. Our treatment utilizes short-term predictions from information embedded in reconstructed state space. In this regard, using a broad class of real-world applications from ecology, neurology, and finance, we explore and are able to demonstrate our method’s power and accuracy to reconstruct the fundamental structure of these complex systems, and simultaneously highlight their most fundamental operations.","author":[{"dropping-particle":"","family":"Stavroglou","given":"Stavros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Sciences","id":"ITEM-1","issue":"14","issued":{"date-parts":[["2020","4","7"]]},"page":"7599-7605","title":"Unveiling causal interactions in complex systems","type":"article-journal","volume":"117"},"uris":["http://www.mendeley.com/documents/?uuid=e99ed506-cf92-4ad6-9c38-f423f3744143"]}],"mendeley":{"formattedCitation":"(Stavroglou et al., 2020)","plainTextFormattedCitation":"(Stavroglou et al., 2020)","previouslyFormattedCitation":"(Stavroglou et al., 2020)"},"properties":{"noteIndex":0},"schema":"https://github.com/citation-style-language/schema/raw/master/csl-citation.json"}</w:instrText>
      </w:r>
      <w:r w:rsidR="00005A4B">
        <w:fldChar w:fldCharType="separate"/>
      </w:r>
      <w:r w:rsidR="00005A4B" w:rsidRPr="00005A4B">
        <w:rPr>
          <w:noProof/>
        </w:rPr>
        <w:t>(Stavroglou et al., 2020)</w:t>
      </w:r>
      <w:r w:rsidR="00005A4B">
        <w:fldChar w:fldCharType="end"/>
      </w:r>
      <w:r w:rsidR="009A469B" w:rsidRPr="00E640D9">
        <w:t>.</w:t>
      </w:r>
      <w:r w:rsidR="009A469B" w:rsidRPr="009513BC">
        <w:t xml:space="preserve"> Patterns’ possible forms and complexity increase as the</w:t>
      </w:r>
      <w:r w:rsidR="003603BE" w:rsidRPr="009513BC">
        <w:t xml:space="preserve"> </w:t>
      </w:r>
      <w:r w:rsidR="009A469B" w:rsidRPr="009513BC">
        <w:t xml:space="preserve">embedding dimension </w:t>
      </w:r>
      <m:oMath>
        <m:r>
          <w:rPr>
            <w:rFonts w:ascii="Cambria Math" w:hAnsi="Cambria Math"/>
          </w:rPr>
          <m:t>E</m:t>
        </m:r>
      </m:oMath>
      <w:r w:rsidR="009A469B" w:rsidRPr="009513BC">
        <w:t xml:space="preserve"> increases. Using the weights of the projected nearest neighbors and their corresponding patterns</w:t>
      </w:r>
      <w:r w:rsidR="00607D25" w:rsidRPr="009513BC">
        <w:t>,</w:t>
      </w:r>
      <w:r w:rsidR="009A469B" w:rsidRPr="009513BC">
        <w:t xml:space="preserve"> their signature (</w:t>
      </w:r>
      <w:r w:rsidR="006719C1" w:rsidRPr="009513BC">
        <w:t xml:space="preserve">see </w:t>
      </w:r>
      <w:r w:rsidR="009A469B" w:rsidRPr="009513BC">
        <w:rPr>
          <w:b/>
          <w:bCs/>
        </w:rPr>
        <w:t>Fig</w:t>
      </w:r>
      <w:r w:rsidR="00047341">
        <w:rPr>
          <w:b/>
          <w:bCs/>
        </w:rPr>
        <w:t>.</w:t>
      </w:r>
      <w:r w:rsidR="009A469B" w:rsidRPr="009513BC">
        <w:rPr>
          <w:b/>
          <w:bCs/>
        </w:rPr>
        <w:t xml:space="preserve"> 3</w:t>
      </w:r>
      <w:r w:rsidR="008947C6">
        <w:rPr>
          <w:b/>
          <w:bCs/>
        </w:rPr>
        <w:t>a</w:t>
      </w:r>
      <w:r w:rsidR="009A469B" w:rsidRPr="009513BC">
        <w:t xml:space="preserve">) </w:t>
      </w:r>
      <w:r w:rsidR="008947C6">
        <w:t xml:space="preserve">is calculated </w:t>
      </w:r>
      <w:r w:rsidR="009A469B" w:rsidRPr="009513BC">
        <w:t xml:space="preserve">which is </w:t>
      </w:r>
      <w:r w:rsidR="00A93A0C" w:rsidRPr="009513BC">
        <w:t>merely</w:t>
      </w:r>
      <w:r w:rsidR="009A469B" w:rsidRPr="009513BC">
        <w:t xml:space="preserve"> their weighted average pattern. If the signature coincides with the actual pattern of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00A93A0C" w:rsidRPr="009513BC">
        <w:rPr>
          <w:rFonts w:eastAsiaTheme="minorEastAsia"/>
        </w:rPr>
        <w:t>,</w:t>
      </w:r>
      <w:r w:rsidR="009A469B" w:rsidRPr="009513BC">
        <w:t xml:space="preserve"> then </w:t>
      </w:r>
      <w:r w:rsidR="008947C6">
        <w:t>it is</w:t>
      </w:r>
      <w:r w:rsidR="008947C6" w:rsidRPr="009513BC">
        <w:t xml:space="preserve"> </w:t>
      </w:r>
      <w:r w:rsidR="009A469B" w:rsidRPr="009513BC">
        <w:t>mark</w:t>
      </w:r>
      <w:r w:rsidR="008947C6">
        <w:t>ed</w:t>
      </w:r>
      <w:r w:rsidR="009A469B" w:rsidRPr="009513BC">
        <w:t xml:space="preserve"> in this time step</w:t>
      </w:r>
      <w:r w:rsidR="008947C6">
        <w:t xml:space="preserve"> as</w:t>
      </w:r>
      <w:r w:rsidR="009A469B" w:rsidRPr="009513BC">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9A469B" w:rsidRPr="009513BC">
        <w:t xml:space="preserve"> caused </w:t>
      </w:r>
      <m:oMath>
        <m:r>
          <w:rPr>
            <w:rFonts w:ascii="Cambria Math" w:hAnsi="Cambria Math"/>
          </w:rPr>
          <m:t>Y</m:t>
        </m:r>
      </m:oMath>
      <w:r w:rsidR="009A469B" w:rsidRPr="009513BC">
        <w:t>. This is called in-sample prediction and is used to assess</w:t>
      </w:r>
      <w:r w:rsidR="008947C6">
        <w:t xml:space="preserve"> causality</w:t>
      </w:r>
      <w:r w:rsidR="009A469B" w:rsidRPr="009513BC">
        <w:t xml:space="preserve">. Similarly, one can do out-of-sample prediction </w:t>
      </w:r>
      <m:oMath>
        <m:r>
          <w:rPr>
            <w:rFonts w:ascii="Cambria Math" w:hAnsi="Cambria Math"/>
          </w:rPr>
          <m:t>h</m:t>
        </m:r>
      </m:oMath>
      <w:r w:rsidR="009A469B" w:rsidRPr="009513BC">
        <w:t xml:space="preserve"> steps ahead of </w:t>
      </w:r>
      <m:oMath>
        <m:r>
          <w:rPr>
            <w:rFonts w:ascii="Cambria Math" w:hAnsi="Cambria Math"/>
          </w:rPr>
          <m:t>t</m:t>
        </m:r>
      </m:oMath>
      <w:r w:rsidR="009A469B" w:rsidRPr="009513BC">
        <w:t>. The only difference is</w:t>
      </w:r>
      <w:r w:rsidR="008947C6">
        <w:t xml:space="preserve">, </w:t>
      </w:r>
      <w:r w:rsidR="009A469B" w:rsidRPr="009513BC">
        <w:t>for the projected nearest neighbors on</w:t>
      </w:r>
      <w:r w:rsidR="00520204" w:rsidRPr="009513BC">
        <w:t xml:space="preserve"> </w:t>
      </w: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(t)</m:t>
        </m:r>
      </m:oMath>
      <w:r w:rsidR="008947C6">
        <w:t xml:space="preserve">, </w:t>
      </w:r>
      <w:r w:rsidR="009A469B" w:rsidRPr="009513BC">
        <w:t>tak</w:t>
      </w:r>
      <w:r w:rsidR="008947C6">
        <w:t>ing</w:t>
      </w:r>
      <w:r w:rsidR="009A469B" w:rsidRPr="009513BC">
        <w:t xml:space="preserve"> the ones with time indices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+h</m:t>
        </m:r>
      </m:oMath>
      <w:r w:rsidR="00520204" w:rsidRPr="009513BC">
        <w:t>,</w:t>
      </w:r>
      <w:r w:rsidR="009A469B" w:rsidRPr="009513BC">
        <w:t xml:space="preserve"> and thus the predicted signature for </w:t>
      </w:r>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(t+h)</m:t>
        </m:r>
      </m:oMath>
      <w:r w:rsidR="004D48A7">
        <w:rPr>
          <w:rFonts w:eastAsiaTheme="minorEastAsia"/>
        </w:rPr>
        <w:t>.</w:t>
      </w:r>
    </w:p>
    <w:p w14:paraId="1AF268BF" w14:textId="0BCE9CE8" w:rsidR="00F45D2E" w:rsidRPr="009513BC" w:rsidRDefault="00D70988" w:rsidP="00F45D2E">
      <w:pPr>
        <w:spacing w:before="120" w:after="120" w:line="360" w:lineRule="auto"/>
        <w:ind w:firstLine="284"/>
        <w:jc w:val="both"/>
      </w:pPr>
      <w:r w:rsidRPr="009F1C67">
        <w:t>Identification of</w:t>
      </w:r>
      <w:r>
        <w:t xml:space="preserve"> </w:t>
      </w:r>
      <w:r w:rsidR="009A469B" w:rsidRPr="009513BC">
        <w:t>the pattern of</w:t>
      </w:r>
      <w:r w:rsidR="00A842EB" w:rsidRPr="009513BC">
        <w:t xml:space="preserve"> </w:t>
      </w:r>
      <m:oMath>
        <m:sSub>
          <m:sSubPr>
            <m:ctrlPr>
              <w:rPr>
                <w:rFonts w:ascii="Cambria Math" w:hAnsi="Cambria Math"/>
                <w:i/>
              </w:rPr>
            </m:ctrlPr>
          </m:sSubPr>
          <m:e>
            <m:r>
              <w:rPr>
                <w:rFonts w:ascii="Cambria Math" w:hAnsi="Cambria Math"/>
              </w:rPr>
              <m:t>M</m:t>
            </m:r>
          </m:e>
          <m:sub>
            <m:r>
              <w:rPr>
                <w:rFonts w:ascii="Cambria Math" w:hAnsi="Cambria Math"/>
              </w:rPr>
              <m:t>Y</m:t>
            </m:r>
          </m:sub>
        </m:sSub>
      </m:oMath>
      <w:r w:rsidR="00F651A1">
        <w:t xml:space="preserve"> provides a basis to</w:t>
      </w:r>
      <w:r w:rsidR="009A469B" w:rsidRPr="009513BC">
        <w:t xml:space="preserve"> assess the nature of causality by finding how it relates to the pattern of the causal variable </w:t>
      </w:r>
      <m:oMath>
        <m:sSub>
          <m:sSubPr>
            <m:ctrlPr>
              <w:rPr>
                <w:rFonts w:ascii="Cambria Math" w:hAnsi="Cambria Math"/>
                <w:i/>
              </w:rPr>
            </m:ctrlPr>
          </m:sSubPr>
          <m:e>
            <m:r>
              <w:rPr>
                <w:rFonts w:ascii="Cambria Math" w:hAnsi="Cambria Math"/>
              </w:rPr>
              <m:t>M</m:t>
            </m:r>
          </m:e>
          <m:sub>
            <m:r>
              <w:rPr>
                <w:rFonts w:ascii="Cambria Math" w:hAnsi="Cambria Math"/>
              </w:rPr>
              <m:t>X</m:t>
            </m:r>
          </m:sub>
        </m:sSub>
      </m:oMath>
      <w:r w:rsidR="009A469B" w:rsidRPr="009513BC">
        <w:t xml:space="preserve">, according to the matrix in </w:t>
      </w:r>
      <w:r w:rsidR="009A469B" w:rsidRPr="009513BC">
        <w:rPr>
          <w:b/>
          <w:bCs/>
        </w:rPr>
        <w:t>Fig</w:t>
      </w:r>
      <w:r w:rsidR="00047341">
        <w:rPr>
          <w:b/>
          <w:bCs/>
        </w:rPr>
        <w:t>.</w:t>
      </w:r>
      <w:r w:rsidR="009A469B" w:rsidRPr="009513BC">
        <w:rPr>
          <w:b/>
          <w:bCs/>
        </w:rPr>
        <w:t xml:space="preserve"> 3</w:t>
      </w:r>
      <w:r w:rsidR="00F651A1">
        <w:rPr>
          <w:b/>
          <w:bCs/>
        </w:rPr>
        <w:t>b</w:t>
      </w:r>
      <w:r w:rsidR="009A469B" w:rsidRPr="009513BC">
        <w:t xml:space="preserve">. </w:t>
      </w:r>
      <w:r w:rsidR="00F651A1">
        <w:t>T</w:t>
      </w:r>
      <w:r w:rsidR="009A469B" w:rsidRPr="009513BC">
        <w:t xml:space="preserve">his </w:t>
      </w:r>
      <w:r w:rsidR="002216A2" w:rsidRPr="009513BC">
        <w:t>matrix</w:t>
      </w:r>
      <w:r w:rsidR="00F651A1">
        <w:t xml:space="preserve"> charts</w:t>
      </w:r>
      <w:r w:rsidR="009A469B" w:rsidRPr="009513BC">
        <w:t xml:space="preserve"> all possible combinations of causal and affected variables at each time step. </w:t>
      </w:r>
      <w:r w:rsidR="00A93A0C" w:rsidRPr="009513BC">
        <w:t xml:space="preserve">In this way, </w:t>
      </w:r>
      <w:r w:rsidR="009A469B" w:rsidRPr="000B0139">
        <w:t>a system of three types of causal interactions</w:t>
      </w:r>
      <w:r w:rsidR="006D6CD4" w:rsidRPr="000B0139">
        <w:t xml:space="preserve"> is established</w:t>
      </w:r>
      <w:r w:rsidR="009A469B" w:rsidRPr="000B0139">
        <w:t>.</w:t>
      </w:r>
      <w:r w:rsidR="009A469B" w:rsidRPr="009513BC">
        <w:t xml:space="preserve"> </w:t>
      </w:r>
      <w:r w:rsidR="009A469B" w:rsidRPr="009513BC">
        <w:rPr>
          <w:i/>
          <w:iCs/>
        </w:rPr>
        <w:t>Positive</w:t>
      </w:r>
      <w:r w:rsidR="009A469B" w:rsidRPr="009513BC">
        <w:t xml:space="preserve"> causality refers to cases when </w:t>
      </w:r>
      <m:oMath>
        <m:r>
          <w:rPr>
            <w:rFonts w:ascii="Cambria Math" w:hAnsi="Cambria Math"/>
          </w:rPr>
          <m:t>X</m:t>
        </m:r>
      </m:oMath>
      <w:r w:rsidR="009A469B" w:rsidRPr="009513BC">
        <w:t xml:space="preserve">’s pattern causes </w:t>
      </w:r>
      <w:r w:rsidR="004C15E1">
        <w:t xml:space="preserve">the </w:t>
      </w:r>
      <w:r w:rsidR="009A469B" w:rsidRPr="009513BC">
        <w:t xml:space="preserve">same patterns on the critical variable. </w:t>
      </w:r>
      <w:r w:rsidR="009A469B" w:rsidRPr="009513BC">
        <w:rPr>
          <w:i/>
          <w:iCs/>
        </w:rPr>
        <w:t>Negative</w:t>
      </w:r>
      <w:r w:rsidR="009A469B" w:rsidRPr="009513BC">
        <w:t xml:space="preserve"> causality refers to cases of opposite pattern changes. Every other </w:t>
      </w:r>
      <w:r w:rsidR="00056696" w:rsidRPr="009513BC">
        <w:t>case</w:t>
      </w:r>
      <w:r w:rsidR="009A469B" w:rsidRPr="009513BC">
        <w:t xml:space="preserve"> of mixed pattern combinations </w:t>
      </w:r>
      <w:r w:rsidR="002216A2" w:rsidRPr="009513BC">
        <w:t>is</w:t>
      </w:r>
      <w:r w:rsidR="009A469B" w:rsidRPr="009513BC">
        <w:t xml:space="preserve"> collectively termed </w:t>
      </w:r>
      <w:r w:rsidR="009A469B" w:rsidRPr="009513BC">
        <w:rPr>
          <w:i/>
          <w:iCs/>
        </w:rPr>
        <w:t xml:space="preserve">dark </w:t>
      </w:r>
      <w:r w:rsidR="009A469B" w:rsidRPr="009513BC">
        <w:t>causality</w:t>
      </w:r>
      <w:r w:rsidR="00005A4B">
        <w:t xml:space="preserve"> </w:t>
      </w:r>
      <w:r w:rsidR="00005A4B">
        <w:fldChar w:fldCharType="begin" w:fldLock="1"/>
      </w:r>
      <w:r w:rsidR="00005A4B">
        <w:instrText>ADDIN CSL_CITATION {"citationItems":[{"id":"ITEM-1","itemData":{"DOI":"10.1073/pnas.1819449116","ISSN":"0027-8424","abstract":"The hidden nature of causality is a puzzling, yet critical notion for effective decision-making. Financial markets are characterized by fluctuating interdependencies which seldom give rise to emergent phenomena such as bubbles or crashes. In this paper, we propose a method based on symbolic dynamics, which probes beneath the surface of abstract causality and unveils the nature of causal interactions. Our method allows distinction between positive and negative interdependencies as well as a hybrid form that we refer to as “dark causality.” We propose an algorithm which is validated by models of a priori defined causal interaction. Then, we test our method on asset pairs and on a network of sovereign credit default swaps (CDS). Our findings suggest that dark causality dominates the sovereign CDS network, indicating interdependencies which require caution from an investor’s perspective.","author":[{"dropping-particle":"","family":"Stavroglou","given":"Stavros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Sciences","id":"ITEM-1","issue":"22","issued":{"date-parts":[["2019","5","28"]]},"page":"10646-10651","title":"Hidden interactions in financial markets","type":"article-journal","volume":"116"},"uris":["http://www.mendeley.com/documents/?uuid=3566b0c4-ea7b-4f9b-97a4-34a9770b8f5d"]}],"mendeley":{"formattedCitation":"(Stavroglou et al., 2019)","plainTextFormattedCitation":"(Stavroglou et al., 2019)","previouslyFormattedCitation":"(Stavroglou et al., 2019)"},"properties":{"noteIndex":0},"schema":"https://github.com/citation-style-language/schema/raw/master/csl-citation.json"}</w:instrText>
      </w:r>
      <w:r w:rsidR="00005A4B">
        <w:fldChar w:fldCharType="separate"/>
      </w:r>
      <w:r w:rsidR="00005A4B" w:rsidRPr="00005A4B">
        <w:rPr>
          <w:noProof/>
        </w:rPr>
        <w:t>(Stavroglou et al., 2019)</w:t>
      </w:r>
      <w:r w:rsidR="00005A4B">
        <w:fldChar w:fldCharType="end"/>
      </w:r>
      <w:r w:rsidR="009A469B" w:rsidRPr="009513BC">
        <w:t>.</w:t>
      </w:r>
      <w:r w:rsidR="00E70FE7">
        <w:t xml:space="preserve"> </w:t>
      </w:r>
      <w:r w:rsidR="009A469B" w:rsidRPr="009513BC">
        <w:t xml:space="preserve">This </w:t>
      </w:r>
      <w:r w:rsidR="00344CE7" w:rsidRPr="009513BC">
        <w:t>partition</w:t>
      </w:r>
      <w:r w:rsidR="009A469B" w:rsidRPr="009513BC">
        <w:t xml:space="preserve"> informs the decision maker about how </w:t>
      </w:r>
      <w:r w:rsidR="009E6BB4">
        <w:t xml:space="preserve">each pair of </w:t>
      </w:r>
      <w:r w:rsidR="009A469B" w:rsidRPr="009513BC">
        <w:t>variables of the specific problem interact</w:t>
      </w:r>
      <w:r w:rsidR="000C61A7">
        <w:t>s</w:t>
      </w:r>
      <w:r w:rsidR="009A469B" w:rsidRPr="009513BC">
        <w:t>. Thus, there are variables which bolster the critical variable</w:t>
      </w:r>
      <w:r w:rsidR="00541356">
        <w:t xml:space="preserve"> </w:t>
      </w:r>
      <m:oMath>
        <m:r>
          <w:rPr>
            <w:rFonts w:ascii="Cambria Math" w:hAnsi="Cambria Math"/>
          </w:rPr>
          <m:t>Y</m:t>
        </m:r>
      </m:oMath>
      <w:r w:rsidR="009A469B" w:rsidRPr="009513BC">
        <w:t xml:space="preserve">, others that act as inhibitors and </w:t>
      </w:r>
      <w:r w:rsidR="000C61A7">
        <w:t>some that</w:t>
      </w:r>
      <w:r w:rsidR="009A469B" w:rsidRPr="009513BC">
        <w:t xml:space="preserve"> </w:t>
      </w:r>
      <w:r w:rsidR="000C61A7" w:rsidRPr="009513BC">
        <w:t>influenc</w:t>
      </w:r>
      <w:r w:rsidR="000C61A7">
        <w:t>e</w:t>
      </w:r>
      <w:r w:rsidR="000C61A7" w:rsidRPr="009513BC">
        <w:t xml:space="preserve"> </w:t>
      </w:r>
      <m:oMath>
        <m:r>
          <w:rPr>
            <w:rFonts w:ascii="Cambria Math" w:hAnsi="Cambria Math"/>
          </w:rPr>
          <m:t>Y</m:t>
        </m:r>
      </m:oMath>
      <w:r w:rsidR="009A469B" w:rsidRPr="009513BC">
        <w:t xml:space="preserve"> in a more complicated way.</w:t>
      </w:r>
    </w:p>
    <w:p w14:paraId="2588357C" w14:textId="273F5829" w:rsidR="001A7C8A" w:rsidRPr="009513BC" w:rsidRDefault="009A469B" w:rsidP="005B2F4A">
      <w:pPr>
        <w:spacing w:before="120" w:after="120" w:line="360" w:lineRule="auto"/>
        <w:ind w:firstLine="284"/>
        <w:jc w:val="both"/>
      </w:pPr>
      <w:r w:rsidRPr="009513BC">
        <w:t xml:space="preserve">Repeating this process for a given pair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Pr="009513BC">
        <w:t xml:space="preserve">, at each time step </w:t>
      </w:r>
      <w:r w:rsidR="006D6CD4">
        <w:t>helps generate</w:t>
      </w:r>
      <w:r w:rsidRPr="009513BC">
        <w:t xml:space="preserve"> a certain pattern combination (depicted in slices for each </w:t>
      </w:r>
      <m:oMath>
        <m:r>
          <w:rPr>
            <w:rFonts w:ascii="Cambria Math" w:eastAsiaTheme="minorEastAsia" w:hAnsi="Cambria Math"/>
          </w:rPr>
          <m:t>t</m:t>
        </m:r>
      </m:oMath>
      <w:r w:rsidRPr="009513BC">
        <w:t xml:space="preserve"> in </w:t>
      </w:r>
      <w:r w:rsidRPr="009513BC">
        <w:rPr>
          <w:b/>
          <w:bCs/>
        </w:rPr>
        <w:t>Fig</w:t>
      </w:r>
      <w:r w:rsidR="00047341">
        <w:rPr>
          <w:b/>
          <w:bCs/>
        </w:rPr>
        <w:t>.</w:t>
      </w:r>
      <w:r w:rsidRPr="009513BC">
        <w:rPr>
          <w:b/>
          <w:bCs/>
        </w:rPr>
        <w:t xml:space="preserve"> 3</w:t>
      </w:r>
      <w:r w:rsidR="00B140CE">
        <w:rPr>
          <w:b/>
          <w:bCs/>
        </w:rPr>
        <w:t>c</w:t>
      </w:r>
      <w:r w:rsidRPr="009513BC">
        <w:t xml:space="preserve">). In order to have an overall view of the causal relationship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Theme="minorEastAsia" w:hAnsi="Cambria Math"/>
          </w:rPr>
          <m:t>→Y</m:t>
        </m:r>
      </m:oMath>
      <w:r w:rsidR="00607D25" w:rsidRPr="009513BC">
        <w:rPr>
          <w:rFonts w:eastAsiaTheme="minorEastAsia"/>
        </w:rPr>
        <w:t>,</w:t>
      </w:r>
      <w:r w:rsidR="00607D25" w:rsidRPr="009513BC">
        <w:t xml:space="preserve"> </w:t>
      </w:r>
      <w:r w:rsidRPr="000B0139">
        <w:t>the frequency distribution of each pattern combination</w:t>
      </w:r>
      <w:r w:rsidR="006D6CD4" w:rsidRPr="000B0139">
        <w:t xml:space="preserve"> is counted</w:t>
      </w:r>
      <w:r w:rsidR="002745E9" w:rsidRPr="000B0139">
        <w:t>,</w:t>
      </w:r>
      <w:r w:rsidRPr="000B0139">
        <w:t xml:space="preserve"> thus </w:t>
      </w:r>
      <w:r w:rsidR="006D6CD4" w:rsidRPr="000B0139">
        <w:t>revealing</w:t>
      </w:r>
      <w:r w:rsidRPr="000B0139">
        <w:t xml:space="preserve"> information </w:t>
      </w:r>
      <w:r w:rsidR="006D6CD4" w:rsidRPr="000B0139">
        <w:t>on</w:t>
      </w:r>
      <w:r w:rsidRPr="000B0139">
        <w:t xml:space="preserve"> </w:t>
      </w:r>
      <w:r w:rsidRPr="009513BC">
        <w:t xml:space="preserve">how much positive, negative </w:t>
      </w:r>
      <w:r w:rsidR="002745E9" w:rsidRPr="009513BC">
        <w:t xml:space="preserve">or dark </w:t>
      </w:r>
      <w:r w:rsidR="000B0139">
        <w:t xml:space="preserve">each causal relationship is. </w:t>
      </w:r>
      <w:r w:rsidR="00804A6D">
        <w:t xml:space="preserve">This information is also summarized in the </w:t>
      </w:r>
      <w:r w:rsidR="00203C23">
        <w:t>aggregate</w:t>
      </w:r>
      <w:r w:rsidR="00804A6D">
        <w:t xml:space="preserve"> causality matrix </w:t>
      </w:r>
      <w:r w:rsidR="00203C23">
        <w:t xml:space="preserve">which collects the </w:t>
      </w:r>
      <w:proofErr w:type="gramStart"/>
      <w:r w:rsidR="00203C23">
        <w:t>aforementioned frequencies</w:t>
      </w:r>
      <w:proofErr w:type="gramEnd"/>
      <w:r w:rsidR="00203C23">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3605"/>
      </w:tblGrid>
      <w:tr w:rsidR="00563486" w:rsidRPr="009513BC" w14:paraId="221344A8" w14:textId="77777777" w:rsidTr="006E130F">
        <w:tc>
          <w:tcPr>
            <w:tcW w:w="0" w:type="auto"/>
          </w:tcPr>
          <w:p w14:paraId="45371053" w14:textId="5C8B6D88" w:rsidR="00F45D2E" w:rsidRPr="009513BC" w:rsidRDefault="00771F30" w:rsidP="00452F16">
            <w:pPr>
              <w:pStyle w:val="ListParagraph"/>
              <w:spacing w:before="120" w:after="120" w:line="360" w:lineRule="auto"/>
              <w:ind w:left="0"/>
              <w:jc w:val="center"/>
              <w:rPr>
                <w:lang w:val="en-US"/>
              </w:rPr>
            </w:pPr>
            <w:r>
              <w:rPr>
                <w:noProof/>
              </w:rPr>
              <w:lastRenderedPageBreak/>
              <w:drawing>
                <wp:inline distT="0" distB="0" distL="0" distR="0" wp14:anchorId="73CEAABF" wp14:editId="3565CDAA">
                  <wp:extent cx="3085898" cy="2395812"/>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1694" cy="2446895"/>
                          </a:xfrm>
                          <a:prstGeom prst="rect">
                            <a:avLst/>
                          </a:prstGeom>
                          <a:noFill/>
                          <a:ln>
                            <a:noFill/>
                          </a:ln>
                        </pic:spPr>
                      </pic:pic>
                    </a:graphicData>
                  </a:graphic>
                </wp:inline>
              </w:drawing>
            </w:r>
          </w:p>
        </w:tc>
        <w:tc>
          <w:tcPr>
            <w:tcW w:w="3605" w:type="dxa"/>
          </w:tcPr>
          <w:p w14:paraId="6C7A120C" w14:textId="57479140" w:rsidR="00F45D2E" w:rsidRPr="009513BC" w:rsidRDefault="00563486" w:rsidP="00B61D6F">
            <w:pPr>
              <w:pStyle w:val="ListParagraph"/>
              <w:spacing w:before="120" w:after="120" w:line="360" w:lineRule="auto"/>
              <w:ind w:left="0"/>
              <w:jc w:val="both"/>
              <w:rPr>
                <w:lang w:val="en-US"/>
              </w:rPr>
            </w:pPr>
            <w:r>
              <w:rPr>
                <w:noProof/>
              </w:rPr>
              <w:drawing>
                <wp:inline distT="0" distB="0" distL="0" distR="0" wp14:anchorId="255B0073" wp14:editId="190268DF">
                  <wp:extent cx="2159465" cy="239334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877" cy="2418182"/>
                          </a:xfrm>
                          <a:prstGeom prst="rect">
                            <a:avLst/>
                          </a:prstGeom>
                          <a:noFill/>
                          <a:ln>
                            <a:noFill/>
                          </a:ln>
                        </pic:spPr>
                      </pic:pic>
                    </a:graphicData>
                  </a:graphic>
                </wp:inline>
              </w:drawing>
            </w:r>
          </w:p>
        </w:tc>
      </w:tr>
      <w:tr w:rsidR="00F45D2E" w:rsidRPr="009513BC" w14:paraId="4F9EF811" w14:textId="77777777" w:rsidTr="006E130F">
        <w:tc>
          <w:tcPr>
            <w:tcW w:w="8666" w:type="dxa"/>
            <w:gridSpan w:val="2"/>
          </w:tcPr>
          <w:p w14:paraId="583DA2E4" w14:textId="2C7A0856" w:rsidR="00F45D2E" w:rsidRPr="009513BC" w:rsidRDefault="00AA03D3" w:rsidP="00452F16">
            <w:pPr>
              <w:pStyle w:val="ListParagraph"/>
              <w:spacing w:before="120" w:after="120" w:line="360" w:lineRule="auto"/>
              <w:ind w:left="0"/>
              <w:jc w:val="center"/>
              <w:rPr>
                <w:lang w:val="en-US"/>
              </w:rPr>
            </w:pPr>
            <w:r>
              <w:rPr>
                <w:noProof/>
              </w:rPr>
              <w:drawing>
                <wp:inline distT="0" distB="0" distL="0" distR="0" wp14:anchorId="591AB3C3" wp14:editId="5CDA4AA9">
                  <wp:extent cx="5353462" cy="27978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334" cy="2859409"/>
                          </a:xfrm>
                          <a:prstGeom prst="rect">
                            <a:avLst/>
                          </a:prstGeom>
                          <a:noFill/>
                          <a:ln>
                            <a:noFill/>
                          </a:ln>
                        </pic:spPr>
                      </pic:pic>
                    </a:graphicData>
                  </a:graphic>
                </wp:inline>
              </w:drawing>
            </w:r>
          </w:p>
        </w:tc>
      </w:tr>
    </w:tbl>
    <w:p w14:paraId="0411D634" w14:textId="5160535B" w:rsidR="006E130F" w:rsidRPr="00090386" w:rsidRDefault="006E130F" w:rsidP="0094017F">
      <w:pPr>
        <w:spacing w:before="120" w:after="120" w:line="360" w:lineRule="auto"/>
        <w:jc w:val="both"/>
        <w:rPr>
          <w:sz w:val="20"/>
          <w:szCs w:val="20"/>
        </w:rPr>
      </w:pPr>
      <w:r w:rsidRPr="00D61ACC">
        <w:rPr>
          <w:b/>
          <w:bCs/>
          <w:sz w:val="20"/>
          <w:szCs w:val="20"/>
        </w:rPr>
        <w:t>Fig</w:t>
      </w:r>
      <w:r w:rsidR="00047341">
        <w:rPr>
          <w:b/>
          <w:bCs/>
          <w:sz w:val="20"/>
          <w:szCs w:val="20"/>
        </w:rPr>
        <w:t>.</w:t>
      </w:r>
      <w:r w:rsidRPr="00D61ACC">
        <w:rPr>
          <w:b/>
          <w:bCs/>
          <w:sz w:val="20"/>
          <w:szCs w:val="20"/>
        </w:rPr>
        <w:t xml:space="preserve"> </w:t>
      </w:r>
      <w:r>
        <w:rPr>
          <w:b/>
          <w:bCs/>
          <w:sz w:val="20"/>
          <w:szCs w:val="20"/>
        </w:rPr>
        <w:t>3</w:t>
      </w:r>
      <w:r w:rsidRPr="00D61ACC">
        <w:rPr>
          <w:b/>
          <w:bCs/>
          <w:sz w:val="20"/>
          <w:szCs w:val="20"/>
        </w:rPr>
        <w:t xml:space="preserve">. </w:t>
      </w:r>
      <w:r w:rsidR="00B140CE">
        <w:rPr>
          <w:b/>
          <w:bCs/>
          <w:sz w:val="20"/>
          <w:szCs w:val="20"/>
        </w:rPr>
        <w:t>(</w:t>
      </w:r>
      <w:r w:rsidRPr="00D61ACC">
        <w:rPr>
          <w:b/>
          <w:bCs/>
          <w:sz w:val="20"/>
          <w:szCs w:val="20"/>
        </w:rPr>
        <w:t xml:space="preserve">a) </w:t>
      </w:r>
      <w:r w:rsidR="00B42EA1">
        <w:rPr>
          <w:sz w:val="20"/>
          <w:szCs w:val="20"/>
        </w:rPr>
        <w:t>Sc</w:t>
      </w:r>
      <w:r w:rsidR="006A6477">
        <w:rPr>
          <w:sz w:val="20"/>
          <w:szCs w:val="20"/>
        </w:rPr>
        <w:t>hematic representation of signature extraction</w:t>
      </w:r>
      <w:r w:rsidR="00A53F10">
        <w:rPr>
          <w:sz w:val="20"/>
          <w:szCs w:val="20"/>
        </w:rPr>
        <w:t xml:space="preserve">; </w:t>
      </w:r>
      <w:r w:rsidR="006A6477">
        <w:rPr>
          <w:sz w:val="20"/>
          <w:szCs w:val="20"/>
        </w:rPr>
        <w:t xml:space="preserve">signature is the weighted average of the projected </w:t>
      </w:r>
      <w:r w:rsidR="00944329">
        <w:rPr>
          <w:sz w:val="20"/>
          <w:szCs w:val="20"/>
        </w:rPr>
        <w:t>points</w:t>
      </w:r>
      <w:r w:rsidR="004964EB">
        <w:rPr>
          <w:sz w:val="20"/>
          <w:szCs w:val="20"/>
        </w:rPr>
        <w:t xml:space="preserve"> from the previous step. The weights used are </w:t>
      </w:r>
      <w:r w:rsidR="00944329">
        <w:rPr>
          <w:sz w:val="20"/>
          <w:szCs w:val="20"/>
        </w:rPr>
        <w:t xml:space="preserve">inversely proportional to the </w:t>
      </w:r>
      <w:r w:rsidR="00345EAB">
        <w:rPr>
          <w:sz w:val="20"/>
          <w:szCs w:val="20"/>
        </w:rPr>
        <w:t>distance of the nearest neighbors</w:t>
      </w:r>
      <w:r w:rsidR="008F2DE8">
        <w:rPr>
          <w:sz w:val="20"/>
          <w:szCs w:val="20"/>
        </w:rPr>
        <w:t>.</w:t>
      </w:r>
      <w:r w:rsidRPr="00D61ACC">
        <w:rPr>
          <w:sz w:val="20"/>
          <w:szCs w:val="20"/>
        </w:rPr>
        <w:t xml:space="preserve"> </w:t>
      </w:r>
      <w:r w:rsidR="00B140CE">
        <w:rPr>
          <w:sz w:val="20"/>
          <w:szCs w:val="20"/>
        </w:rPr>
        <w:t>(</w:t>
      </w:r>
      <w:r w:rsidRPr="00D61ACC">
        <w:rPr>
          <w:b/>
          <w:bCs/>
          <w:sz w:val="20"/>
          <w:szCs w:val="20"/>
        </w:rPr>
        <w:t>b)</w:t>
      </w:r>
      <w:r>
        <w:rPr>
          <w:sz w:val="20"/>
          <w:szCs w:val="20"/>
        </w:rPr>
        <w:t xml:space="preserve"> </w:t>
      </w:r>
      <w:r w:rsidR="0020103A">
        <w:rPr>
          <w:sz w:val="20"/>
          <w:szCs w:val="20"/>
        </w:rPr>
        <w:t xml:space="preserve">From the predicted </w:t>
      </w:r>
      <w:r w:rsidR="002216A2">
        <w:rPr>
          <w:sz w:val="20"/>
          <w:szCs w:val="20"/>
        </w:rPr>
        <w:t>signature,</w:t>
      </w:r>
      <w:r w:rsidR="0020103A">
        <w:rPr>
          <w:sz w:val="20"/>
          <w:szCs w:val="20"/>
        </w:rPr>
        <w:t xml:space="preserve"> </w:t>
      </w:r>
      <w:r w:rsidR="00375F23">
        <w:rPr>
          <w:sz w:val="20"/>
          <w:szCs w:val="20"/>
        </w:rPr>
        <w:t>the corresponding pattern</w:t>
      </w:r>
      <w:r w:rsidR="00E4660F">
        <w:rPr>
          <w:sz w:val="20"/>
          <w:szCs w:val="20"/>
        </w:rPr>
        <w:t xml:space="preserve"> </w:t>
      </w:r>
      <w:r w:rsidR="006D6CD4">
        <w:rPr>
          <w:sz w:val="20"/>
          <w:szCs w:val="20"/>
        </w:rPr>
        <w:t xml:space="preserve">is derived </w:t>
      </w:r>
      <w:r w:rsidR="00E4660F">
        <w:rPr>
          <w:sz w:val="20"/>
          <w:szCs w:val="20"/>
        </w:rPr>
        <w:t>(</w:t>
      </w:r>
      <w:r w:rsidR="0092004E">
        <w:rPr>
          <w:sz w:val="20"/>
          <w:szCs w:val="20"/>
        </w:rPr>
        <w:t>as shown horizontally</w:t>
      </w:r>
      <w:r w:rsidR="00E4660F">
        <w:rPr>
          <w:sz w:val="20"/>
          <w:szCs w:val="20"/>
        </w:rPr>
        <w:t>)</w:t>
      </w:r>
      <w:r w:rsidR="00056EEF">
        <w:rPr>
          <w:sz w:val="20"/>
          <w:szCs w:val="20"/>
        </w:rPr>
        <w:t xml:space="preserve"> and by seeing how it combines with the causal variable’s</w:t>
      </w:r>
      <w:r w:rsidR="00A26088">
        <w:rPr>
          <w:sz w:val="20"/>
          <w:szCs w:val="20"/>
        </w:rPr>
        <w:t xml:space="preserve"> </w:t>
      </w:r>
      <w:r w:rsidR="00377B4B">
        <w:rPr>
          <w:sz w:val="20"/>
          <w:szCs w:val="20"/>
        </w:rPr>
        <w:t xml:space="preserve">pattern </w:t>
      </w:r>
      <w:r w:rsidR="00377B4B" w:rsidRPr="000B0139">
        <w:rPr>
          <w:sz w:val="20"/>
          <w:szCs w:val="20"/>
        </w:rPr>
        <w:t>we</w:t>
      </w:r>
      <w:r w:rsidR="00377B4B">
        <w:rPr>
          <w:sz w:val="20"/>
          <w:szCs w:val="20"/>
        </w:rPr>
        <w:t xml:space="preserve"> can derive what type of causality </w:t>
      </w:r>
      <w:r w:rsidR="006D6CD4">
        <w:rPr>
          <w:sz w:val="20"/>
          <w:szCs w:val="20"/>
        </w:rPr>
        <w:t>holds</w:t>
      </w:r>
      <w:r w:rsidR="00377B4B">
        <w:rPr>
          <w:sz w:val="20"/>
          <w:szCs w:val="20"/>
        </w:rPr>
        <w:t xml:space="preserve"> (provided that the predicted signature’s pattern </w:t>
      </w:r>
      <w:r w:rsidR="001A7F12">
        <w:rPr>
          <w:sz w:val="20"/>
          <w:szCs w:val="20"/>
        </w:rPr>
        <w:t>is accurately predicted</w:t>
      </w:r>
      <w:r w:rsidR="00377B4B">
        <w:rPr>
          <w:sz w:val="20"/>
          <w:szCs w:val="20"/>
        </w:rPr>
        <w:t>)</w:t>
      </w:r>
      <w:r w:rsidR="00090386">
        <w:rPr>
          <w:sz w:val="20"/>
          <w:szCs w:val="20"/>
        </w:rPr>
        <w:t xml:space="preserve">. </w:t>
      </w:r>
      <w:r w:rsidR="00B140CE">
        <w:rPr>
          <w:sz w:val="20"/>
          <w:szCs w:val="20"/>
        </w:rPr>
        <w:t>(</w:t>
      </w:r>
      <w:r w:rsidR="00090386">
        <w:rPr>
          <w:b/>
          <w:bCs/>
          <w:sz w:val="20"/>
          <w:szCs w:val="20"/>
        </w:rPr>
        <w:t>c)</w:t>
      </w:r>
      <w:r w:rsidR="00090386">
        <w:rPr>
          <w:sz w:val="20"/>
          <w:szCs w:val="20"/>
        </w:rPr>
        <w:t xml:space="preserve"> </w:t>
      </w:r>
      <w:r w:rsidR="00957A2B">
        <w:rPr>
          <w:sz w:val="20"/>
          <w:szCs w:val="20"/>
        </w:rPr>
        <w:t>Repeating this process for each time step</w:t>
      </w:r>
      <w:r w:rsidR="00AF2CD9">
        <w:rPr>
          <w:sz w:val="20"/>
          <w:szCs w:val="20"/>
        </w:rPr>
        <w:t xml:space="preserve"> </w:t>
      </w:r>
      <w:r w:rsidR="006D6CD4" w:rsidRPr="000B0139">
        <w:rPr>
          <w:sz w:val="20"/>
          <w:szCs w:val="20"/>
        </w:rPr>
        <w:t>leads to the generation of</w:t>
      </w:r>
      <w:r w:rsidR="00B34470" w:rsidRPr="000B0139">
        <w:rPr>
          <w:sz w:val="20"/>
          <w:szCs w:val="20"/>
        </w:rPr>
        <w:t xml:space="preserve"> </w:t>
      </w:r>
      <w:r w:rsidR="00B34470">
        <w:rPr>
          <w:sz w:val="20"/>
          <w:szCs w:val="20"/>
        </w:rPr>
        <w:t xml:space="preserve">the aggregate causality matrix which summarizes the combinations of patterns </w:t>
      </w:r>
      <w:r w:rsidR="0021383C">
        <w:rPr>
          <w:sz w:val="20"/>
          <w:szCs w:val="20"/>
        </w:rPr>
        <w:t>met.</w:t>
      </w:r>
    </w:p>
    <w:p w14:paraId="35703E3E" w14:textId="2E1091CA" w:rsidR="00B6333F" w:rsidRPr="005D73A1" w:rsidRDefault="00B6333F" w:rsidP="005D73A1">
      <w:pPr>
        <w:spacing w:before="120" w:after="120" w:line="360" w:lineRule="auto"/>
        <w:rPr>
          <w:noProof/>
        </w:rPr>
      </w:pPr>
    </w:p>
    <w:p w14:paraId="70DC4CC1" w14:textId="76447051" w:rsidR="00B6333F" w:rsidRDefault="00B6333F" w:rsidP="00B6333F">
      <w:pPr>
        <w:spacing w:before="120" w:after="120" w:line="360" w:lineRule="auto"/>
        <w:ind w:firstLine="284"/>
        <w:jc w:val="both"/>
      </w:pPr>
      <w:r w:rsidRPr="009513BC">
        <w:t xml:space="preserve">Finally, once the causal profile of all relationships that are of interest </w:t>
      </w:r>
      <w:r w:rsidR="006D6CD4">
        <w:t xml:space="preserve">is obtained </w:t>
      </w:r>
      <w:r w:rsidRPr="009513BC">
        <w:t>(</w:t>
      </w:r>
      <w:r w:rsidR="005A04EE">
        <w:t>as implied in</w:t>
      </w:r>
      <w:r w:rsidRPr="009513BC">
        <w:t xml:space="preserve"> </w:t>
      </w:r>
      <w:r w:rsidRPr="009513BC">
        <w:rPr>
          <w:b/>
          <w:bCs/>
        </w:rPr>
        <w:t>Fig</w:t>
      </w:r>
      <w:r w:rsidR="00047341">
        <w:rPr>
          <w:b/>
          <w:bCs/>
        </w:rPr>
        <w:t>.</w:t>
      </w:r>
      <w:r w:rsidRPr="009513BC">
        <w:rPr>
          <w:b/>
          <w:bCs/>
        </w:rPr>
        <w:t xml:space="preserve"> 1</w:t>
      </w:r>
      <w:r w:rsidR="00B140CE">
        <w:rPr>
          <w:b/>
          <w:bCs/>
        </w:rPr>
        <w:t>a</w:t>
      </w:r>
      <w:r w:rsidRPr="009513BC">
        <w:t>), the initially hidden interactions of the dataset</w:t>
      </w:r>
      <w:r w:rsidR="00AD13A6">
        <w:t xml:space="preserve"> can be unveiled</w:t>
      </w:r>
      <w:r w:rsidRPr="009513BC">
        <w:t xml:space="preserve">. Keeping for each pair their highest causality type only (positive, dark or negative) </w:t>
      </w:r>
      <w:r w:rsidR="006D6CD4" w:rsidRPr="000B0139">
        <w:t>allows for</w:t>
      </w:r>
      <w:r w:rsidRPr="000B0139">
        <w:t xml:space="preserve"> </w:t>
      </w:r>
      <w:r w:rsidRPr="009513BC">
        <w:t xml:space="preserve">a bird’s eye view of the three possible aspects of our causal network (see </w:t>
      </w:r>
      <w:r w:rsidRPr="009513BC">
        <w:rPr>
          <w:b/>
          <w:bCs/>
        </w:rPr>
        <w:t>Fig</w:t>
      </w:r>
      <w:r w:rsidR="00047341">
        <w:rPr>
          <w:b/>
          <w:bCs/>
        </w:rPr>
        <w:t>.</w:t>
      </w:r>
      <w:r w:rsidRPr="009513BC">
        <w:rPr>
          <w:b/>
          <w:bCs/>
        </w:rPr>
        <w:t xml:space="preserve"> 4</w:t>
      </w:r>
      <w:r w:rsidRPr="009513BC">
        <w:t xml:space="preserve">). Therefore, it makes sense to </w:t>
      </w:r>
      <w:r w:rsidRPr="009513BC">
        <w:lastRenderedPageBreak/>
        <w:t>just focus on the single or few critical variables, and the way they are influenced by the rest of the variables.</w:t>
      </w:r>
    </w:p>
    <w:p w14:paraId="7837DAAC" w14:textId="77777777" w:rsidR="0040163E" w:rsidRPr="009513BC" w:rsidRDefault="0040163E" w:rsidP="00B6333F">
      <w:pPr>
        <w:spacing w:before="120" w:after="120" w:line="360" w:lineRule="auto"/>
        <w:ind w:firstLine="284"/>
        <w:jc w:val="both"/>
      </w:pPr>
    </w:p>
    <w:p w14:paraId="4CB5ADE0" w14:textId="77777777" w:rsidR="00B6333F" w:rsidRDefault="00B6333F" w:rsidP="00B4694E">
      <w:pPr>
        <w:pStyle w:val="ListParagraph"/>
        <w:spacing w:before="120" w:after="120" w:line="360" w:lineRule="auto"/>
        <w:ind w:left="360"/>
        <w:jc w:val="center"/>
        <w:rPr>
          <w:rFonts w:ascii="Times New Roman" w:hAnsi="Times New Roman" w:cs="Times New Roman"/>
          <w:noProof/>
          <w:sz w:val="24"/>
          <w:szCs w:val="24"/>
        </w:rPr>
      </w:pPr>
    </w:p>
    <w:p w14:paraId="36E383F5" w14:textId="20D15C46" w:rsidR="00FB34C5" w:rsidRPr="009513BC" w:rsidRDefault="00346FA0" w:rsidP="00B4694E">
      <w:pPr>
        <w:pStyle w:val="ListParagraph"/>
        <w:spacing w:before="120" w:after="12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2F3C6" wp14:editId="68E356B3">
            <wp:extent cx="5643475" cy="599196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6667" cy="5995358"/>
                    </a:xfrm>
                    <a:prstGeom prst="rect">
                      <a:avLst/>
                    </a:prstGeom>
                    <a:noFill/>
                    <a:ln>
                      <a:noFill/>
                    </a:ln>
                  </pic:spPr>
                </pic:pic>
              </a:graphicData>
            </a:graphic>
          </wp:inline>
        </w:drawing>
      </w:r>
    </w:p>
    <w:p w14:paraId="158E6048" w14:textId="60E2A7DB" w:rsidR="0097755A" w:rsidRPr="0097755A" w:rsidRDefault="0097755A" w:rsidP="0097755A">
      <w:pPr>
        <w:spacing w:before="120" w:after="120" w:line="360" w:lineRule="auto"/>
        <w:jc w:val="both"/>
        <w:rPr>
          <w:sz w:val="20"/>
          <w:szCs w:val="20"/>
        </w:rPr>
      </w:pPr>
      <w:r w:rsidRPr="00D61ACC">
        <w:rPr>
          <w:b/>
          <w:bCs/>
          <w:sz w:val="20"/>
          <w:szCs w:val="20"/>
        </w:rPr>
        <w:t>Fig</w:t>
      </w:r>
      <w:r w:rsidR="00047341">
        <w:rPr>
          <w:b/>
          <w:bCs/>
          <w:sz w:val="20"/>
          <w:szCs w:val="20"/>
        </w:rPr>
        <w:t>.</w:t>
      </w:r>
      <w:r w:rsidRPr="00D61ACC">
        <w:rPr>
          <w:b/>
          <w:bCs/>
          <w:sz w:val="20"/>
          <w:szCs w:val="20"/>
        </w:rPr>
        <w:t xml:space="preserve"> </w:t>
      </w:r>
      <w:r>
        <w:rPr>
          <w:b/>
          <w:bCs/>
          <w:sz w:val="20"/>
          <w:szCs w:val="20"/>
        </w:rPr>
        <w:t>4</w:t>
      </w:r>
      <w:r w:rsidRPr="00D61ACC">
        <w:rPr>
          <w:b/>
          <w:bCs/>
          <w:sz w:val="20"/>
          <w:szCs w:val="20"/>
        </w:rPr>
        <w:t xml:space="preserve">. </w:t>
      </w:r>
      <w:r w:rsidR="00D376CA">
        <w:rPr>
          <w:sz w:val="20"/>
          <w:szCs w:val="20"/>
        </w:rPr>
        <w:t>Having repeated the process as described in the previous steps</w:t>
      </w:r>
      <w:r w:rsidR="003A4363">
        <w:rPr>
          <w:sz w:val="20"/>
          <w:szCs w:val="20"/>
        </w:rPr>
        <w:t>, the hidden interactions are unveiled</w:t>
      </w:r>
      <w:r w:rsidR="006D6CD4">
        <w:rPr>
          <w:sz w:val="20"/>
          <w:szCs w:val="20"/>
        </w:rPr>
        <w:t>,</w:t>
      </w:r>
      <w:r w:rsidR="006D6CD4" w:rsidRPr="006D6CD4">
        <w:rPr>
          <w:color w:val="FF0000"/>
          <w:sz w:val="20"/>
          <w:szCs w:val="20"/>
        </w:rPr>
        <w:t xml:space="preserve"> </w:t>
      </w:r>
      <w:r w:rsidR="006D6CD4" w:rsidRPr="00631772">
        <w:rPr>
          <w:sz w:val="20"/>
          <w:szCs w:val="20"/>
        </w:rPr>
        <w:t>thus revealing</w:t>
      </w:r>
      <w:r w:rsidR="009129A6" w:rsidRPr="00631772">
        <w:rPr>
          <w:sz w:val="20"/>
          <w:szCs w:val="20"/>
        </w:rPr>
        <w:t xml:space="preserve"> </w:t>
      </w:r>
      <w:r w:rsidR="009129A6">
        <w:rPr>
          <w:sz w:val="20"/>
          <w:szCs w:val="20"/>
        </w:rPr>
        <w:t>the three different aspects of the causal network</w:t>
      </w:r>
      <w:r w:rsidR="00414135">
        <w:rPr>
          <w:sz w:val="20"/>
          <w:szCs w:val="20"/>
        </w:rPr>
        <w:t>.</w:t>
      </w:r>
    </w:p>
    <w:p w14:paraId="7B8662B5" w14:textId="09F1BBED" w:rsidR="009A469B" w:rsidRDefault="009A469B" w:rsidP="00B13B7C">
      <w:pPr>
        <w:spacing w:before="120" w:after="120" w:line="360" w:lineRule="auto"/>
        <w:jc w:val="both"/>
      </w:pPr>
    </w:p>
    <w:p w14:paraId="19C31E7C" w14:textId="6D75350A" w:rsidR="00A95ED6" w:rsidRDefault="00A95ED6" w:rsidP="00B13B7C">
      <w:pPr>
        <w:spacing w:before="120" w:after="120" w:line="360" w:lineRule="auto"/>
        <w:jc w:val="both"/>
      </w:pPr>
    </w:p>
    <w:p w14:paraId="4533F5BB" w14:textId="77777777" w:rsidR="00A95ED6" w:rsidRPr="009513BC" w:rsidRDefault="00A95ED6" w:rsidP="00B13B7C">
      <w:pPr>
        <w:spacing w:before="120" w:after="120" w:line="360" w:lineRule="auto"/>
        <w:jc w:val="both"/>
      </w:pPr>
    </w:p>
    <w:p w14:paraId="5CF1B648" w14:textId="062ADC59" w:rsidR="00C52A9F" w:rsidRPr="009513BC" w:rsidRDefault="00C52A9F" w:rsidP="00C52A9F">
      <w:pPr>
        <w:pStyle w:val="ListParagraph"/>
        <w:numPr>
          <w:ilvl w:val="1"/>
          <w:numId w:val="1"/>
        </w:numPr>
        <w:spacing w:before="120" w:after="120" w:line="360" w:lineRule="auto"/>
        <w:jc w:val="both"/>
        <w:rPr>
          <w:rFonts w:ascii="Times New Roman" w:hAnsi="Times New Roman" w:cs="Times New Roman"/>
          <w:sz w:val="24"/>
          <w:szCs w:val="24"/>
        </w:rPr>
      </w:pPr>
      <w:r w:rsidRPr="009513BC">
        <w:rPr>
          <w:rFonts w:ascii="Times New Roman" w:hAnsi="Times New Roman" w:cs="Times New Roman"/>
          <w:sz w:val="24"/>
          <w:szCs w:val="24"/>
        </w:rPr>
        <w:lastRenderedPageBreak/>
        <w:t xml:space="preserve"> </w:t>
      </w:r>
      <w:r w:rsidRPr="009513BC">
        <w:rPr>
          <w:rFonts w:ascii="Times New Roman" w:hAnsi="Times New Roman" w:cs="Times New Roman"/>
          <w:b/>
          <w:bCs/>
          <w:sz w:val="24"/>
          <w:szCs w:val="24"/>
        </w:rPr>
        <w:t>C</w:t>
      </w:r>
      <w:r w:rsidR="00010893" w:rsidRPr="009513BC">
        <w:rPr>
          <w:rFonts w:ascii="Times New Roman" w:hAnsi="Times New Roman" w:cs="Times New Roman"/>
          <w:b/>
          <w:bCs/>
          <w:sz w:val="24"/>
          <w:szCs w:val="24"/>
        </w:rPr>
        <w:t>alculate the c</w:t>
      </w:r>
      <w:r w:rsidRPr="009513BC">
        <w:rPr>
          <w:rFonts w:ascii="Times New Roman" w:hAnsi="Times New Roman" w:cs="Times New Roman"/>
          <w:b/>
          <w:bCs/>
          <w:sz w:val="24"/>
          <w:szCs w:val="24"/>
        </w:rPr>
        <w:t>ausal chains frequency distributions</w:t>
      </w:r>
    </w:p>
    <w:p w14:paraId="7FC73BD6" w14:textId="07A04833" w:rsidR="00C52A9F" w:rsidRPr="009513BC" w:rsidRDefault="007C2257" w:rsidP="00C52A9F">
      <w:pPr>
        <w:spacing w:before="120" w:after="120" w:line="360" w:lineRule="auto"/>
        <w:ind w:firstLine="284"/>
        <w:jc w:val="both"/>
      </w:pPr>
      <w:r w:rsidRPr="009513BC">
        <w:rPr>
          <w:b/>
          <w:bCs/>
        </w:rPr>
        <w:t>Fig</w:t>
      </w:r>
      <w:r w:rsidR="006020DF">
        <w:rPr>
          <w:b/>
          <w:bCs/>
        </w:rPr>
        <w:t>.</w:t>
      </w:r>
      <w:r w:rsidRPr="009513BC">
        <w:rPr>
          <w:b/>
          <w:bCs/>
        </w:rPr>
        <w:t xml:space="preserve"> 4 </w:t>
      </w:r>
      <w:r w:rsidRPr="009513BC">
        <w:t>provides</w:t>
      </w:r>
      <w:r w:rsidR="009A469B" w:rsidRPr="009513BC">
        <w:t xml:space="preserve"> </w:t>
      </w:r>
      <w:r w:rsidRPr="009513BC">
        <w:t xml:space="preserve">a </w:t>
      </w:r>
      <w:r w:rsidR="009A469B" w:rsidRPr="009513BC">
        <w:t>bird’s eye view</w:t>
      </w:r>
      <w:r w:rsidRPr="009513BC">
        <w:t xml:space="preserve"> of the three possible aspects of the causal network, and</w:t>
      </w:r>
      <w:r w:rsidR="00C00AAD">
        <w:t xml:space="preserve"> the</w:t>
      </w:r>
      <w:r w:rsidR="0092439F">
        <w:t xml:space="preserve"> previous</w:t>
      </w:r>
      <w:r w:rsidRPr="009513BC">
        <w:t xml:space="preserve"> </w:t>
      </w:r>
      <w:r w:rsidR="0092439F">
        <w:t>s</w:t>
      </w:r>
      <w:r w:rsidRPr="009513BC">
        <w:t>e</w:t>
      </w:r>
      <w:r w:rsidR="0092439F">
        <w:t>ction</w:t>
      </w:r>
      <w:r w:rsidR="009A469B" w:rsidRPr="009513BC">
        <w:t xml:space="preserve"> serves as a reconnaissance step, but </w:t>
      </w:r>
      <w:r w:rsidRPr="009513BC">
        <w:t xml:space="preserve">our </w:t>
      </w:r>
      <w:r w:rsidR="00B97527" w:rsidRPr="009F1C67">
        <w:t>purpose</w:t>
      </w:r>
      <w:r w:rsidR="00B97527">
        <w:t xml:space="preserve"> </w:t>
      </w:r>
      <w:r w:rsidRPr="009513BC">
        <w:t xml:space="preserve">is </w:t>
      </w:r>
      <w:r w:rsidR="009A469B" w:rsidRPr="009513BC">
        <w:t>to exploit the causal relationships</w:t>
      </w:r>
      <w:r w:rsidR="009A469B" w:rsidRPr="0011036C">
        <w:t xml:space="preserve"> </w:t>
      </w:r>
      <w:r w:rsidR="00733522" w:rsidRPr="0011036C">
        <w:t>identified</w:t>
      </w:r>
      <w:r w:rsidR="009A469B" w:rsidRPr="0011036C">
        <w:t xml:space="preserve"> </w:t>
      </w:r>
      <w:r w:rsidR="009A469B" w:rsidRPr="009513BC">
        <w:t xml:space="preserve">to perform risk analysis. </w:t>
      </w:r>
      <w:r w:rsidR="000F13E0" w:rsidRPr="009513BC">
        <w:t>In this regard, o</w:t>
      </w:r>
      <w:r w:rsidR="009A469B" w:rsidRPr="009513BC">
        <w:t>ne very important perspective is the identification of causal chains (for each causal relationship). A causal chain is a successive accurate causality of the same type. Therefore, three types of causal chains</w:t>
      </w:r>
      <w:r w:rsidR="00733522">
        <w:t xml:space="preserve"> </w:t>
      </w:r>
      <w:r w:rsidR="00733522" w:rsidRPr="0002230D">
        <w:t>are possible</w:t>
      </w:r>
      <w:r w:rsidR="009A469B" w:rsidRPr="009513BC">
        <w:t>: positive, dark and negative (</w:t>
      </w:r>
      <w:r w:rsidR="009A469B" w:rsidRPr="009513BC">
        <w:rPr>
          <w:b/>
          <w:bCs/>
        </w:rPr>
        <w:t>Fig</w:t>
      </w:r>
      <w:r w:rsidR="006020DF">
        <w:rPr>
          <w:b/>
          <w:bCs/>
        </w:rPr>
        <w:t>.</w:t>
      </w:r>
      <w:r w:rsidR="009A469B" w:rsidRPr="009513BC">
        <w:rPr>
          <w:b/>
          <w:bCs/>
        </w:rPr>
        <w:t xml:space="preserve"> 5</w:t>
      </w:r>
      <w:r w:rsidR="00B140CE">
        <w:rPr>
          <w:b/>
          <w:bCs/>
        </w:rPr>
        <w:t>a</w:t>
      </w:r>
      <w:r w:rsidR="009A469B" w:rsidRPr="009513BC">
        <w:t xml:space="preserve"> left)</w:t>
      </w:r>
      <w:r w:rsidR="002C0825" w:rsidRPr="009513BC">
        <w:t xml:space="preserve"> in correspondence with the three types of causality identified in the previous step</w:t>
      </w:r>
      <w:r w:rsidR="009A469B" w:rsidRPr="009513BC">
        <w:t>. The repetitive observation of a relatively long chain type (</w:t>
      </w:r>
      <w:r w:rsidR="00890DE3">
        <w:t xml:space="preserve">“long” </w:t>
      </w:r>
      <w:r w:rsidR="009A469B" w:rsidRPr="009513BC">
        <w:t>depends on the problem context) can be used to probabilistically expect the future movements of the critical variable(s).</w:t>
      </w:r>
    </w:p>
    <w:p w14:paraId="6800706E" w14:textId="746272B7" w:rsidR="00C52A9F" w:rsidRPr="009513BC" w:rsidRDefault="009A469B" w:rsidP="00C52A9F">
      <w:pPr>
        <w:spacing w:before="120" w:after="120" w:line="360" w:lineRule="auto"/>
        <w:ind w:firstLine="284"/>
        <w:jc w:val="both"/>
      </w:pPr>
      <w:r w:rsidRPr="009513BC">
        <w:t>From a risk analysis perspective, the critical variable(s) need</w:t>
      </w:r>
      <w:r w:rsidR="007B4C1D" w:rsidRPr="009513BC">
        <w:t>s</w:t>
      </w:r>
      <w:r w:rsidRPr="009513BC">
        <w:t xml:space="preserve"> to be understood in terms of their consequences. The first step is to identify for the critical variable(s) their possible </w:t>
      </w:r>
      <w:r w:rsidR="009860BE">
        <w:t>scenarios</w:t>
      </w:r>
      <w:r w:rsidR="00FF24C9">
        <w:t xml:space="preserve"> </w:t>
      </w:r>
      <w:r w:rsidR="00450994">
        <w:t>which are entwined with them</w:t>
      </w:r>
      <w:r w:rsidR="003C59E3">
        <w:t>;</w:t>
      </w:r>
      <w:r w:rsidR="003C59E3" w:rsidRPr="009513BC">
        <w:t xml:space="preserve"> </w:t>
      </w:r>
      <w:r w:rsidR="003C59E3">
        <w:t>i</w:t>
      </w:r>
      <w:r w:rsidR="003C59E3" w:rsidRPr="009513BC">
        <w:t xml:space="preserve">n </w:t>
      </w:r>
      <w:r w:rsidRPr="009513BC">
        <w:t>other words</w:t>
      </w:r>
      <w:r w:rsidR="001271AF">
        <w:t xml:space="preserve">, for the critical variable(s) </w:t>
      </w:r>
      <m:oMath>
        <m:r>
          <w:rPr>
            <w:rFonts w:ascii="Cambria Math" w:hAnsi="Cambria Math"/>
          </w:rPr>
          <m:t>Y</m:t>
        </m:r>
      </m:oMath>
      <w:r w:rsidR="003C59E3">
        <w:rPr>
          <w:rFonts w:eastAsiaTheme="minorEastAsia"/>
        </w:rPr>
        <w:t xml:space="preserve"> </w:t>
      </w:r>
      <w:r w:rsidR="00733522" w:rsidRPr="0002230D">
        <w:rPr>
          <w:rFonts w:eastAsiaTheme="minorEastAsia"/>
        </w:rPr>
        <w:t>one</w:t>
      </w:r>
      <w:r w:rsidR="003C59E3" w:rsidRPr="0002230D">
        <w:rPr>
          <w:rFonts w:eastAsiaTheme="minorEastAsia"/>
        </w:rPr>
        <w:t xml:space="preserve"> need</w:t>
      </w:r>
      <w:r w:rsidR="00733522" w:rsidRPr="0002230D">
        <w:rPr>
          <w:rFonts w:eastAsiaTheme="minorEastAsia"/>
        </w:rPr>
        <w:t>s</w:t>
      </w:r>
      <w:r w:rsidR="003C59E3" w:rsidRPr="0002230D">
        <w:rPr>
          <w:rFonts w:eastAsiaTheme="minorEastAsia"/>
        </w:rPr>
        <w:t xml:space="preserve"> </w:t>
      </w:r>
      <w:r w:rsidR="003C59E3">
        <w:rPr>
          <w:rFonts w:eastAsiaTheme="minorEastAsia"/>
        </w:rPr>
        <w:t>to identify</w:t>
      </w:r>
      <w:r w:rsidRPr="009513BC">
        <w:t xml:space="preserve"> which values are</w:t>
      </w:r>
      <w:r w:rsidR="000F13E0" w:rsidRPr="009513BC">
        <w:t>:</w:t>
      </w:r>
      <w:r w:rsidRPr="009513BC">
        <w:t xml:space="preserve"> </w:t>
      </w:r>
      <w:r w:rsidR="000F13E0" w:rsidRPr="009513BC">
        <w:t>(</w:t>
      </w:r>
      <w:r w:rsidRPr="009513BC">
        <w:t xml:space="preserve">a) </w:t>
      </w:r>
      <w:r w:rsidRPr="009513BC">
        <w:rPr>
          <w:i/>
          <w:iCs/>
        </w:rPr>
        <w:t>Tolerable</w:t>
      </w:r>
      <w:r w:rsidRPr="009513BC">
        <w:t xml:space="preserve">, </w:t>
      </w:r>
      <w:r w:rsidR="000F13E0" w:rsidRPr="009513BC">
        <w:t>(</w:t>
      </w:r>
      <w:r w:rsidRPr="009513BC">
        <w:t xml:space="preserve">b) </w:t>
      </w:r>
      <w:r w:rsidRPr="009513BC">
        <w:rPr>
          <w:i/>
          <w:iCs/>
        </w:rPr>
        <w:t>Risky</w:t>
      </w:r>
      <w:r w:rsidRPr="009513BC">
        <w:t xml:space="preserve"> and, </w:t>
      </w:r>
      <w:r w:rsidR="000F13E0" w:rsidRPr="009513BC">
        <w:t>(</w:t>
      </w:r>
      <w:r w:rsidRPr="009513BC">
        <w:t xml:space="preserve">c) </w:t>
      </w:r>
      <w:r w:rsidRPr="009513BC">
        <w:rPr>
          <w:i/>
          <w:iCs/>
        </w:rPr>
        <w:t>Catastrophic</w:t>
      </w:r>
      <w:r w:rsidRPr="009513BC">
        <w:t xml:space="preserve"> (</w:t>
      </w:r>
      <w:r w:rsidRPr="009513BC">
        <w:rPr>
          <w:b/>
          <w:bCs/>
        </w:rPr>
        <w:t>Fig</w:t>
      </w:r>
      <w:r w:rsidR="006020DF">
        <w:rPr>
          <w:b/>
          <w:bCs/>
        </w:rPr>
        <w:t>.</w:t>
      </w:r>
      <w:r w:rsidRPr="009513BC">
        <w:rPr>
          <w:b/>
          <w:bCs/>
        </w:rPr>
        <w:t xml:space="preserve"> 5</w:t>
      </w:r>
      <w:r w:rsidR="00B140CE">
        <w:rPr>
          <w:b/>
          <w:bCs/>
        </w:rPr>
        <w:t>a</w:t>
      </w:r>
      <w:r w:rsidRPr="009513BC">
        <w:t xml:space="preserve"> right). To decide the </w:t>
      </w:r>
      <w:r w:rsidR="009860BE">
        <w:t>scenarios</w:t>
      </w:r>
      <w:r w:rsidR="00DA15C8" w:rsidRPr="009513BC">
        <w:t xml:space="preserve">’ </w:t>
      </w:r>
      <w:r w:rsidRPr="009513BC">
        <w:t>thresholds</w:t>
      </w:r>
      <w:r w:rsidR="00DA15C8" w:rsidRPr="009513BC">
        <w:t>,</w:t>
      </w:r>
      <w:r w:rsidRPr="009513BC">
        <w:t xml:space="preserve"> the </w:t>
      </w:r>
      <w:r w:rsidR="00DA15C8" w:rsidRPr="009513BC">
        <w:t>decision maker</w:t>
      </w:r>
      <w:r w:rsidRPr="009513BC">
        <w:t xml:space="preserve"> should </w:t>
      </w:r>
      <w:r w:rsidR="00DA15C8" w:rsidRPr="009513BC">
        <w:t xml:space="preserve">be either </w:t>
      </w:r>
      <w:r w:rsidR="00B62046">
        <w:t>an expert</w:t>
      </w:r>
      <w:r w:rsidR="00DA15C8" w:rsidRPr="009513BC">
        <w:t xml:space="preserve"> or </w:t>
      </w:r>
      <w:r w:rsidRPr="009513BC">
        <w:t>seek expert knowledge</w:t>
      </w:r>
      <w:r w:rsidR="00DA15C8" w:rsidRPr="009513BC">
        <w:t>.</w:t>
      </w:r>
      <w:r w:rsidR="00AC4B3A" w:rsidRPr="009513BC">
        <w:t xml:space="preserve"> Based on these </w:t>
      </w:r>
      <w:r w:rsidR="009860BE">
        <w:t>scenarios</w:t>
      </w:r>
      <w:r w:rsidR="00AC4B3A" w:rsidRPr="009513BC">
        <w:t xml:space="preserve">, the decision maker </w:t>
      </w:r>
      <w:r w:rsidR="00424F2C" w:rsidRPr="009513BC">
        <w:t>is able</w:t>
      </w:r>
      <w:r w:rsidR="00AC4B3A" w:rsidRPr="009513BC">
        <w:t xml:space="preserve"> to anticipate and reduce the </w:t>
      </w:r>
      <w:r w:rsidR="004453F2" w:rsidRPr="009513BC">
        <w:t>overall impact</w:t>
      </w:r>
      <w:r w:rsidR="00AC4B3A" w:rsidRPr="009513BC">
        <w:t xml:space="preserve"> of </w:t>
      </w:r>
      <w:r w:rsidR="00DE5427">
        <w:t>any</w:t>
      </w:r>
      <w:r w:rsidR="004453F2" w:rsidRPr="009513BC">
        <w:t xml:space="preserve"> events</w:t>
      </w:r>
      <w:r w:rsidR="00AC4B3A" w:rsidRPr="009513BC">
        <w:t xml:space="preserve"> </w:t>
      </w:r>
      <w:r w:rsidR="00424F2C" w:rsidRPr="009513BC">
        <w:t xml:space="preserve">that </w:t>
      </w:r>
      <w:r w:rsidR="00AC4B3A" w:rsidRPr="009513BC">
        <w:t xml:space="preserve">might </w:t>
      </w:r>
      <w:r w:rsidR="00DE5427">
        <w:t>ensue</w:t>
      </w:r>
      <w:r w:rsidR="00AC4B3A" w:rsidRPr="009513BC">
        <w:t xml:space="preserve">, to evaluate whether the potential risks can be hedged, to plan for </w:t>
      </w:r>
      <w:r w:rsidR="004453F2" w:rsidRPr="009513BC">
        <w:t xml:space="preserve">adequate </w:t>
      </w:r>
      <w:r w:rsidR="00AC4B3A" w:rsidRPr="009513BC">
        <w:t>actions,</w:t>
      </w:r>
      <w:r w:rsidR="004453F2" w:rsidRPr="009513BC">
        <w:t xml:space="preserve"> to understand the financial implications,</w:t>
      </w:r>
      <w:r w:rsidR="00AC4B3A" w:rsidRPr="009513BC">
        <w:t xml:space="preserve"> and identify the impact of and prepare for changes in the evaluation process.   </w:t>
      </w:r>
    </w:p>
    <w:p w14:paraId="41CA58F5" w14:textId="32A7446A" w:rsidR="009A469B" w:rsidRPr="009513BC" w:rsidRDefault="009A469B" w:rsidP="00C52A9F">
      <w:pPr>
        <w:spacing w:before="120" w:after="120" w:line="360" w:lineRule="auto"/>
        <w:ind w:firstLine="284"/>
        <w:jc w:val="both"/>
      </w:pPr>
      <w:r w:rsidRPr="009513BC">
        <w:t>To aggregate the information included in the causal chains over all the relationships that target a specific critical variable</w:t>
      </w:r>
      <w:r w:rsidR="00DA15C8" w:rsidRPr="009513BC">
        <w:t>,</w:t>
      </w:r>
      <w:r w:rsidRPr="009513BC">
        <w:t xml:space="preserve"> </w:t>
      </w:r>
      <w:r w:rsidR="00424F2C" w:rsidRPr="009513BC">
        <w:t>it is important to</w:t>
      </w:r>
      <w:r w:rsidRPr="009513BC">
        <w:t xml:space="preserve"> calculate their frequency distributions for each causal type (</w:t>
      </w:r>
      <w:r w:rsidR="00DA15C8" w:rsidRPr="009513BC">
        <w:t xml:space="preserve">see </w:t>
      </w:r>
      <w:r w:rsidRPr="009513BC">
        <w:rPr>
          <w:b/>
          <w:bCs/>
        </w:rPr>
        <w:t>Fig</w:t>
      </w:r>
      <w:r w:rsidR="006020DF">
        <w:rPr>
          <w:b/>
          <w:bCs/>
        </w:rPr>
        <w:t>.</w:t>
      </w:r>
      <w:r w:rsidRPr="009513BC">
        <w:rPr>
          <w:b/>
          <w:bCs/>
        </w:rPr>
        <w:t xml:space="preserve"> 5</w:t>
      </w:r>
      <w:r w:rsidR="00B140CE">
        <w:rPr>
          <w:b/>
          <w:bCs/>
        </w:rPr>
        <w:t>a</w:t>
      </w:r>
      <w:r w:rsidRPr="009513BC">
        <w:t xml:space="preserve">). </w:t>
      </w:r>
      <w:r w:rsidR="00424F2C" w:rsidRPr="009513BC">
        <w:t>In</w:t>
      </w:r>
      <w:r w:rsidR="00DA15C8" w:rsidRPr="009513BC">
        <w:t xml:space="preserve"> t</w:t>
      </w:r>
      <w:r w:rsidRPr="009513BC">
        <w:t xml:space="preserve">his </w:t>
      </w:r>
      <w:r w:rsidR="00056696" w:rsidRPr="009513BC">
        <w:t>way,</w:t>
      </w:r>
      <w:r w:rsidRPr="009513BC">
        <w:t xml:space="preserve"> the </w:t>
      </w:r>
      <w:r w:rsidR="00DA15C8" w:rsidRPr="009513BC">
        <w:t>decision maker</w:t>
      </w:r>
      <w:r w:rsidRPr="009513BC">
        <w:t xml:space="preserve"> can create a dashboard regarding the persistence of causal chains on the critical variable under consideration. Such information is very useful for </w:t>
      </w:r>
      <w:r w:rsidR="00C52A9F" w:rsidRPr="009513BC">
        <w:t>a</w:t>
      </w:r>
      <w:r w:rsidRPr="009513BC">
        <w:t xml:space="preserve"> holistic risk analysis on which factors (variables) influence</w:t>
      </w:r>
      <w:r w:rsidR="00DA15C8" w:rsidRPr="009513BC">
        <w:t>,</w:t>
      </w:r>
      <w:r w:rsidRPr="009513BC">
        <w:t xml:space="preserve"> and in what manner (</w:t>
      </w:r>
      <w:r w:rsidR="0037028B">
        <w:t xml:space="preserve">causality </w:t>
      </w:r>
      <w:r w:rsidRPr="009513BC">
        <w:t xml:space="preserve">type and chain lengths) </w:t>
      </w:r>
      <w:r w:rsidR="00696EDE">
        <w:t xml:space="preserve">according to </w:t>
      </w:r>
      <w:r w:rsidRPr="009513BC">
        <w:t xml:space="preserve">the possible </w:t>
      </w:r>
      <w:r w:rsidR="009860BE">
        <w:t>scenarios</w:t>
      </w:r>
      <w:r w:rsidRPr="009513BC">
        <w:t xml:space="preserve"> outlined beforehand. One can also build from here probabili</w:t>
      </w:r>
      <w:r w:rsidR="00DA15C8" w:rsidRPr="009513BC">
        <w:t>stic</w:t>
      </w:r>
      <w:r w:rsidRPr="009513BC">
        <w:t xml:space="preserve"> models </w:t>
      </w:r>
      <w:r w:rsidR="00957CD7">
        <w:t>for</w:t>
      </w:r>
      <w:r w:rsidRPr="009513BC">
        <w:t xml:space="preserve"> </w:t>
      </w:r>
      <w:r w:rsidR="00F610EE">
        <w:t>each</w:t>
      </w:r>
      <w:r w:rsidRPr="009513BC">
        <w:t xml:space="preserve"> expected scenario.</w:t>
      </w:r>
    </w:p>
    <w:p w14:paraId="25092CE9" w14:textId="78AC5C07" w:rsidR="00ED0190" w:rsidRDefault="00ED0190" w:rsidP="00C52A9F">
      <w:pPr>
        <w:spacing w:before="120" w:after="120" w:line="360" w:lineRule="auto"/>
        <w:ind w:firstLine="284"/>
        <w:jc w:val="both"/>
      </w:pPr>
    </w:p>
    <w:p w14:paraId="075379F3" w14:textId="287A0711" w:rsidR="001D52CB" w:rsidRDefault="001D52CB" w:rsidP="00C52A9F">
      <w:pPr>
        <w:spacing w:before="120" w:after="120" w:line="360" w:lineRule="auto"/>
        <w:ind w:firstLine="284"/>
        <w:jc w:val="both"/>
      </w:pPr>
    </w:p>
    <w:p w14:paraId="7DC881CF" w14:textId="77777777" w:rsidR="001D52CB" w:rsidRDefault="001D52CB" w:rsidP="00C52A9F">
      <w:pPr>
        <w:spacing w:before="120" w:after="120" w:line="360" w:lineRule="auto"/>
        <w:ind w:firstLine="284"/>
        <w:jc w:val="both"/>
      </w:pPr>
    </w:p>
    <w:p w14:paraId="5E9E7862" w14:textId="77777777" w:rsidR="00056696" w:rsidRDefault="00056696" w:rsidP="00C52A9F">
      <w:pPr>
        <w:spacing w:before="120" w:after="120" w:line="360" w:lineRule="auto"/>
        <w:ind w:firstLine="284"/>
        <w:jc w:val="both"/>
      </w:pPr>
    </w:p>
    <w:p w14:paraId="0E700604" w14:textId="77777777" w:rsidR="00056696" w:rsidRPr="009513BC" w:rsidRDefault="00056696" w:rsidP="00C52A9F">
      <w:pPr>
        <w:spacing w:before="120" w:after="120" w:line="360" w:lineRule="auto"/>
        <w:ind w:firstLine="284"/>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4"/>
        <w:gridCol w:w="222"/>
      </w:tblGrid>
      <w:tr w:rsidR="00B4694E" w:rsidRPr="009513BC" w14:paraId="683BE4EF" w14:textId="6A3D02CA" w:rsidTr="001D52CB">
        <w:tc>
          <w:tcPr>
            <w:tcW w:w="8444" w:type="dxa"/>
          </w:tcPr>
          <w:p w14:paraId="11E062D3" w14:textId="5B92DCBB" w:rsidR="00B4694E" w:rsidRPr="009513BC" w:rsidRDefault="007C45A5" w:rsidP="00424F2C">
            <w:pPr>
              <w:pStyle w:val="ListParagraph"/>
              <w:spacing w:before="120" w:after="120" w:line="360" w:lineRule="auto"/>
              <w:ind w:left="0"/>
              <w:jc w:val="center"/>
              <w:rPr>
                <w:lang w:val="en-US"/>
              </w:rPr>
            </w:pPr>
            <w:r>
              <w:rPr>
                <w:noProof/>
              </w:rPr>
              <w:lastRenderedPageBreak/>
              <w:drawing>
                <wp:inline distT="0" distB="0" distL="0" distR="0" wp14:anchorId="5BBF9FB0" wp14:editId="1DE5ADDA">
                  <wp:extent cx="5315803" cy="1645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3089" cy="1650676"/>
                          </a:xfrm>
                          <a:prstGeom prst="rect">
                            <a:avLst/>
                          </a:prstGeom>
                          <a:noFill/>
                          <a:ln>
                            <a:noFill/>
                          </a:ln>
                        </pic:spPr>
                      </pic:pic>
                    </a:graphicData>
                  </a:graphic>
                </wp:inline>
              </w:drawing>
            </w:r>
          </w:p>
        </w:tc>
        <w:tc>
          <w:tcPr>
            <w:tcW w:w="222" w:type="dxa"/>
          </w:tcPr>
          <w:p w14:paraId="41A0FB50" w14:textId="77777777" w:rsidR="00B4694E" w:rsidRPr="009513BC" w:rsidRDefault="00B4694E" w:rsidP="00B61D6F">
            <w:pPr>
              <w:pStyle w:val="ListParagraph"/>
              <w:spacing w:before="120" w:after="120" w:line="360" w:lineRule="auto"/>
              <w:ind w:left="0"/>
              <w:jc w:val="both"/>
              <w:rPr>
                <w:lang w:val="en-US"/>
              </w:rPr>
            </w:pPr>
          </w:p>
        </w:tc>
      </w:tr>
      <w:tr w:rsidR="00B4694E" w:rsidRPr="009513BC" w14:paraId="616C9A47" w14:textId="57D61689" w:rsidTr="001D52CB">
        <w:tc>
          <w:tcPr>
            <w:tcW w:w="8444" w:type="dxa"/>
          </w:tcPr>
          <w:p w14:paraId="5CCA8C13" w14:textId="336B6B45" w:rsidR="00B4694E" w:rsidRPr="009513BC" w:rsidRDefault="00410789" w:rsidP="00424F2C">
            <w:pPr>
              <w:pStyle w:val="ListParagraph"/>
              <w:spacing w:before="120" w:after="120" w:line="360" w:lineRule="auto"/>
              <w:ind w:left="0"/>
              <w:jc w:val="center"/>
              <w:rPr>
                <w:lang w:val="en-US"/>
              </w:rPr>
            </w:pPr>
            <w:r>
              <w:rPr>
                <w:noProof/>
              </w:rPr>
              <w:drawing>
                <wp:inline distT="0" distB="0" distL="0" distR="0" wp14:anchorId="33BF9FA9" wp14:editId="7403AC73">
                  <wp:extent cx="5281683" cy="216574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3346" cy="2178731"/>
                          </a:xfrm>
                          <a:prstGeom prst="rect">
                            <a:avLst/>
                          </a:prstGeom>
                          <a:noFill/>
                          <a:ln>
                            <a:noFill/>
                          </a:ln>
                        </pic:spPr>
                      </pic:pic>
                    </a:graphicData>
                  </a:graphic>
                </wp:inline>
              </w:drawing>
            </w:r>
          </w:p>
        </w:tc>
        <w:tc>
          <w:tcPr>
            <w:tcW w:w="222" w:type="dxa"/>
          </w:tcPr>
          <w:p w14:paraId="4B2B63E1" w14:textId="77777777" w:rsidR="00B4694E" w:rsidRPr="009513BC" w:rsidRDefault="00B4694E" w:rsidP="00B61D6F">
            <w:pPr>
              <w:pStyle w:val="ListParagraph"/>
              <w:spacing w:before="120" w:after="120" w:line="360" w:lineRule="auto"/>
              <w:ind w:left="0"/>
              <w:jc w:val="both"/>
              <w:rPr>
                <w:lang w:val="en-US"/>
              </w:rPr>
            </w:pPr>
          </w:p>
        </w:tc>
      </w:tr>
    </w:tbl>
    <w:p w14:paraId="3D8A299A" w14:textId="1AC8942E" w:rsidR="001D52CB" w:rsidRPr="008B5B09" w:rsidRDefault="001D52CB" w:rsidP="001D52CB">
      <w:pPr>
        <w:spacing w:before="120" w:after="120" w:line="360" w:lineRule="auto"/>
        <w:jc w:val="both"/>
        <w:rPr>
          <w:sz w:val="20"/>
          <w:szCs w:val="20"/>
        </w:rPr>
      </w:pPr>
      <w:r w:rsidRPr="00D61ACC">
        <w:rPr>
          <w:b/>
          <w:bCs/>
          <w:sz w:val="20"/>
          <w:szCs w:val="20"/>
        </w:rPr>
        <w:t>Fig</w:t>
      </w:r>
      <w:r w:rsidR="001961FA">
        <w:rPr>
          <w:b/>
          <w:bCs/>
          <w:sz w:val="20"/>
          <w:szCs w:val="20"/>
        </w:rPr>
        <w:t>.</w:t>
      </w:r>
      <w:r w:rsidRPr="00D61ACC">
        <w:rPr>
          <w:b/>
          <w:bCs/>
          <w:sz w:val="20"/>
          <w:szCs w:val="20"/>
        </w:rPr>
        <w:t xml:space="preserve"> </w:t>
      </w:r>
      <w:r>
        <w:rPr>
          <w:b/>
          <w:bCs/>
          <w:sz w:val="20"/>
          <w:szCs w:val="20"/>
        </w:rPr>
        <w:t>5</w:t>
      </w:r>
      <w:r w:rsidRPr="00D61ACC">
        <w:rPr>
          <w:b/>
          <w:bCs/>
          <w:sz w:val="20"/>
          <w:szCs w:val="20"/>
        </w:rPr>
        <w:t xml:space="preserve">. </w:t>
      </w:r>
      <w:r w:rsidR="00B140CE">
        <w:rPr>
          <w:b/>
          <w:bCs/>
          <w:sz w:val="20"/>
          <w:szCs w:val="20"/>
        </w:rPr>
        <w:t>(</w:t>
      </w:r>
      <w:r>
        <w:rPr>
          <w:b/>
          <w:bCs/>
          <w:sz w:val="20"/>
          <w:szCs w:val="20"/>
        </w:rPr>
        <w:t xml:space="preserve">a) </w:t>
      </w:r>
      <w:r>
        <w:rPr>
          <w:sz w:val="20"/>
          <w:szCs w:val="20"/>
        </w:rPr>
        <w:t xml:space="preserve">Considering the type of causality at each time step </w:t>
      </w:r>
      <w:r w:rsidR="00E603B1">
        <w:rPr>
          <w:sz w:val="20"/>
          <w:szCs w:val="20"/>
        </w:rPr>
        <w:t xml:space="preserve">we can collect the causal chains that influence the critical variable(s). The critical variable </w:t>
      </w:r>
      <m:oMath>
        <m:r>
          <w:rPr>
            <w:rFonts w:ascii="Cambria Math" w:eastAsiaTheme="minorEastAsia" w:hAnsi="Cambria Math"/>
            <w:sz w:val="20"/>
            <w:szCs w:val="20"/>
          </w:rPr>
          <m:t>Y</m:t>
        </m:r>
      </m:oMath>
      <w:r w:rsidR="00E603B1">
        <w:rPr>
          <w:sz w:val="20"/>
          <w:szCs w:val="20"/>
        </w:rPr>
        <w:t xml:space="preserve">, partly influenced by the causal variables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eastAsiaTheme="minorEastAsia"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r>
          <w:rPr>
            <w:rFonts w:ascii="Cambria Math" w:eastAsiaTheme="minorEastAsia" w:hAnsi="Cambria Math"/>
            <w:sz w:val="20"/>
            <w:szCs w:val="20"/>
          </w:rPr>
          <m:t>)</m:t>
        </m:r>
      </m:oMath>
      <w:r w:rsidR="005E4530">
        <w:rPr>
          <w:sz w:val="20"/>
          <w:szCs w:val="20"/>
        </w:rPr>
        <w:t>, takes roughly three ranges of values corr</w:t>
      </w:r>
      <w:r w:rsidR="00BB5AA2">
        <w:rPr>
          <w:sz w:val="20"/>
          <w:szCs w:val="20"/>
        </w:rPr>
        <w:t>esponding to tolerable, risky and catastrophic scenarios associated with the critical variable.</w:t>
      </w:r>
      <w:r w:rsidR="004A3DF5">
        <w:rPr>
          <w:sz w:val="20"/>
          <w:szCs w:val="20"/>
        </w:rPr>
        <w:t xml:space="preserve"> </w:t>
      </w:r>
      <w:r w:rsidR="00B140CE">
        <w:rPr>
          <w:sz w:val="20"/>
          <w:szCs w:val="20"/>
        </w:rPr>
        <w:t>(</w:t>
      </w:r>
      <w:r w:rsidR="008B5B09">
        <w:rPr>
          <w:b/>
          <w:bCs/>
          <w:sz w:val="20"/>
          <w:szCs w:val="20"/>
        </w:rPr>
        <w:t xml:space="preserve">b) </w:t>
      </w:r>
      <w:r w:rsidR="0010538C">
        <w:rPr>
          <w:sz w:val="20"/>
          <w:szCs w:val="20"/>
        </w:rPr>
        <w:t xml:space="preserve">The totality of causality on the critical variable can be </w:t>
      </w:r>
      <w:r w:rsidR="001606A5">
        <w:rPr>
          <w:sz w:val="20"/>
          <w:szCs w:val="20"/>
        </w:rPr>
        <w:t>summarized via their respective frequency distributions</w:t>
      </w:r>
      <w:r w:rsidR="00901141">
        <w:rPr>
          <w:sz w:val="20"/>
          <w:szCs w:val="20"/>
        </w:rPr>
        <w:t xml:space="preserve"> in terms of their successive incidents (causal chains).</w:t>
      </w:r>
    </w:p>
    <w:p w14:paraId="12A30955" w14:textId="04237C20" w:rsidR="00C12D56" w:rsidRDefault="00C12D56"/>
    <w:p w14:paraId="605D9849" w14:textId="77777777" w:rsidR="00A95ED6" w:rsidRPr="009513BC" w:rsidRDefault="00A95ED6"/>
    <w:p w14:paraId="2275D796" w14:textId="591646A3" w:rsidR="00C12D56" w:rsidRPr="009513BC" w:rsidRDefault="00C12D56" w:rsidP="00C12D56">
      <w:pPr>
        <w:pStyle w:val="ListParagraph"/>
        <w:numPr>
          <w:ilvl w:val="1"/>
          <w:numId w:val="1"/>
        </w:numPr>
        <w:spacing w:before="120" w:after="120" w:line="360" w:lineRule="auto"/>
        <w:jc w:val="both"/>
        <w:rPr>
          <w:rFonts w:ascii="Times New Roman" w:hAnsi="Times New Roman" w:cs="Times New Roman"/>
          <w:sz w:val="24"/>
          <w:szCs w:val="24"/>
        </w:rPr>
      </w:pPr>
      <w:r w:rsidRPr="009513BC">
        <w:rPr>
          <w:rFonts w:ascii="Times New Roman" w:hAnsi="Times New Roman" w:cs="Times New Roman"/>
          <w:sz w:val="24"/>
          <w:szCs w:val="24"/>
        </w:rPr>
        <w:t xml:space="preserve"> </w:t>
      </w:r>
      <w:r w:rsidR="00BA7B4D" w:rsidRPr="009513BC">
        <w:rPr>
          <w:rFonts w:ascii="Times New Roman" w:hAnsi="Times New Roman" w:cs="Times New Roman"/>
          <w:b/>
          <w:bCs/>
          <w:sz w:val="24"/>
          <w:szCs w:val="24"/>
        </w:rPr>
        <w:t>Produce</w:t>
      </w:r>
      <w:r w:rsidR="00BA7B4D" w:rsidRPr="009513BC">
        <w:rPr>
          <w:rFonts w:ascii="Times New Roman" w:hAnsi="Times New Roman" w:cs="Times New Roman"/>
          <w:sz w:val="24"/>
          <w:szCs w:val="24"/>
        </w:rPr>
        <w:t xml:space="preserve"> </w:t>
      </w:r>
      <w:r w:rsidR="00BA7B4D" w:rsidRPr="009513BC">
        <w:rPr>
          <w:rFonts w:ascii="Times New Roman" w:hAnsi="Times New Roman" w:cs="Times New Roman"/>
          <w:b/>
          <w:bCs/>
          <w:sz w:val="24"/>
          <w:szCs w:val="24"/>
        </w:rPr>
        <w:t>r</w:t>
      </w:r>
      <w:r w:rsidRPr="009513BC">
        <w:rPr>
          <w:rFonts w:ascii="Times New Roman" w:hAnsi="Times New Roman" w:cs="Times New Roman"/>
          <w:b/>
          <w:bCs/>
          <w:sz w:val="24"/>
          <w:szCs w:val="24"/>
        </w:rPr>
        <w:t xml:space="preserve">isk </w:t>
      </w:r>
      <w:r w:rsidR="00B4694E" w:rsidRPr="009513BC">
        <w:rPr>
          <w:rFonts w:ascii="Times New Roman" w:hAnsi="Times New Roman" w:cs="Times New Roman"/>
          <w:b/>
          <w:bCs/>
          <w:sz w:val="24"/>
          <w:szCs w:val="24"/>
        </w:rPr>
        <w:t>q</w:t>
      </w:r>
      <w:r w:rsidRPr="009513BC">
        <w:rPr>
          <w:rFonts w:ascii="Times New Roman" w:hAnsi="Times New Roman" w:cs="Times New Roman"/>
          <w:b/>
          <w:bCs/>
          <w:sz w:val="24"/>
          <w:szCs w:val="24"/>
        </w:rPr>
        <w:t xml:space="preserve">uadruplets and </w:t>
      </w:r>
      <w:r w:rsidR="00B4694E" w:rsidRPr="009513BC">
        <w:rPr>
          <w:rFonts w:ascii="Times New Roman" w:hAnsi="Times New Roman" w:cs="Times New Roman"/>
          <w:b/>
          <w:bCs/>
          <w:sz w:val="24"/>
          <w:szCs w:val="24"/>
        </w:rPr>
        <w:t>c</w:t>
      </w:r>
      <w:r w:rsidRPr="009513BC">
        <w:rPr>
          <w:rFonts w:ascii="Times New Roman" w:hAnsi="Times New Roman" w:cs="Times New Roman"/>
          <w:b/>
          <w:bCs/>
          <w:sz w:val="24"/>
          <w:szCs w:val="24"/>
        </w:rPr>
        <w:t xml:space="preserve">ritical </w:t>
      </w:r>
      <w:r w:rsidR="00B4694E" w:rsidRPr="009513BC">
        <w:rPr>
          <w:rFonts w:ascii="Times New Roman" w:hAnsi="Times New Roman" w:cs="Times New Roman"/>
          <w:b/>
          <w:bCs/>
          <w:sz w:val="24"/>
          <w:szCs w:val="24"/>
        </w:rPr>
        <w:t>v</w:t>
      </w:r>
      <w:r w:rsidRPr="009513BC">
        <w:rPr>
          <w:rFonts w:ascii="Times New Roman" w:hAnsi="Times New Roman" w:cs="Times New Roman"/>
          <w:b/>
          <w:bCs/>
          <w:sz w:val="24"/>
          <w:szCs w:val="24"/>
        </w:rPr>
        <w:t xml:space="preserve">ariable(s) </w:t>
      </w:r>
      <w:r w:rsidR="00B4694E" w:rsidRPr="009513BC">
        <w:rPr>
          <w:rFonts w:ascii="Times New Roman" w:hAnsi="Times New Roman" w:cs="Times New Roman"/>
          <w:b/>
          <w:bCs/>
          <w:sz w:val="24"/>
          <w:szCs w:val="24"/>
        </w:rPr>
        <w:t>p</w:t>
      </w:r>
      <w:r w:rsidRPr="009513BC">
        <w:rPr>
          <w:rFonts w:ascii="Times New Roman" w:hAnsi="Times New Roman" w:cs="Times New Roman"/>
          <w:b/>
          <w:bCs/>
          <w:sz w:val="24"/>
          <w:szCs w:val="24"/>
        </w:rPr>
        <w:t>rediction</w:t>
      </w:r>
    </w:p>
    <w:p w14:paraId="217905D3" w14:textId="24FB4BA1" w:rsidR="00C12D56" w:rsidRPr="009513BC" w:rsidRDefault="00F6345A" w:rsidP="00C12D56">
      <w:pPr>
        <w:spacing w:before="120" w:after="120" w:line="360" w:lineRule="auto"/>
        <w:ind w:firstLine="284"/>
        <w:jc w:val="both"/>
      </w:pPr>
      <w:r w:rsidRPr="009513BC">
        <w:t>As i</w:t>
      </w:r>
      <w:r w:rsidR="009A469B" w:rsidRPr="009513BC">
        <w:t xml:space="preserve">n </w:t>
      </w:r>
      <w:r w:rsidRPr="009513BC">
        <w:t xml:space="preserve">any </w:t>
      </w:r>
      <w:r w:rsidR="009A469B" w:rsidRPr="009513BC">
        <w:t>risk-</w:t>
      </w:r>
      <w:r w:rsidR="00F904BE" w:rsidRPr="009F1C67">
        <w:t>informed</w:t>
      </w:r>
      <w:r w:rsidR="00F904BE" w:rsidRPr="009513BC">
        <w:t xml:space="preserve"> </w:t>
      </w:r>
      <w:r w:rsidR="009A469B" w:rsidRPr="009513BC">
        <w:t>decision</w:t>
      </w:r>
      <w:r w:rsidRPr="009513BC">
        <w:t>-</w:t>
      </w:r>
      <w:r w:rsidR="009A469B" w:rsidRPr="009513BC">
        <w:t>making</w:t>
      </w:r>
      <w:r w:rsidRPr="009513BC">
        <w:t xml:space="preserve"> framework</w:t>
      </w:r>
      <w:r w:rsidR="009A469B" w:rsidRPr="009513BC">
        <w:t xml:space="preserve">, </w:t>
      </w:r>
      <w:proofErr w:type="gramStart"/>
      <w:r w:rsidR="009A469B" w:rsidRPr="009513BC">
        <w:t>all of</w:t>
      </w:r>
      <w:proofErr w:type="gramEnd"/>
      <w:r w:rsidR="009A469B" w:rsidRPr="009513BC">
        <w:t xml:space="preserve"> the identifiable factors that affect a decision must be c</w:t>
      </w:r>
      <w:r w:rsidR="00C12D56" w:rsidRPr="009513BC">
        <w:t>on</w:t>
      </w:r>
      <w:r w:rsidR="009A469B" w:rsidRPr="009513BC">
        <w:t xml:space="preserve">sidered. </w:t>
      </w:r>
      <w:r w:rsidRPr="009513BC">
        <w:t>However, t</w:t>
      </w:r>
      <w:r w:rsidR="009A469B" w:rsidRPr="009513BC">
        <w:t xml:space="preserve">he factors may have different levels of importance in the final decision. Therefore, an orderly decision analysis structure that considers more than just risk is necessary to give decision makers the information needed to make smart choices. In that context </w:t>
      </w:r>
      <w:r w:rsidRPr="009513BC">
        <w:t>our framework,</w:t>
      </w:r>
      <w:r w:rsidR="009A469B" w:rsidRPr="009513BC">
        <w:t xml:space="preserve"> and especially the causal chains it reveals</w:t>
      </w:r>
      <w:r w:rsidR="00DF16C8">
        <w:t>,</w:t>
      </w:r>
      <w:r w:rsidR="009A469B" w:rsidRPr="009513BC">
        <w:t xml:space="preserve"> can enhance the </w:t>
      </w:r>
      <w:r w:rsidR="00D94882">
        <w:rPr>
          <w:i/>
          <w:iCs/>
        </w:rPr>
        <w:t>r</w:t>
      </w:r>
      <w:r w:rsidR="009A469B" w:rsidRPr="009513BC">
        <w:rPr>
          <w:i/>
          <w:iCs/>
        </w:rPr>
        <w:t>i</w:t>
      </w:r>
      <w:r w:rsidR="00D94882">
        <w:rPr>
          <w:i/>
          <w:iCs/>
        </w:rPr>
        <w:t>sk t</w:t>
      </w:r>
      <w:r w:rsidR="009A469B" w:rsidRPr="009513BC">
        <w:rPr>
          <w:i/>
          <w:iCs/>
        </w:rPr>
        <w:t>riplet</w:t>
      </w:r>
      <w:r w:rsidR="009A469B" w:rsidRPr="009513BC">
        <w:t xml:space="preserve"> framework (</w:t>
      </w:r>
      <w:r w:rsidR="00D94882">
        <w:t>s</w:t>
      </w:r>
      <w:r w:rsidR="009860BE">
        <w:t>cenarios</w:t>
      </w:r>
      <w:r w:rsidR="00D94882">
        <w:t>, critical v</w:t>
      </w:r>
      <w:r w:rsidR="0002230D">
        <w:t xml:space="preserve">ariable frequency distribution, </w:t>
      </w:r>
      <w:r w:rsidR="00D94882">
        <w:t>c</w:t>
      </w:r>
      <w:r w:rsidR="009A469B" w:rsidRPr="009513BC">
        <w:t>onsequences</w:t>
      </w:r>
      <w:r w:rsidR="00005A4B">
        <w:t xml:space="preserve"> </w:t>
      </w:r>
      <w:r w:rsidR="00005A4B">
        <w:fldChar w:fldCharType="begin" w:fldLock="1"/>
      </w:r>
      <w:r w:rsidR="00005A4B">
        <w:instrText>ADDIN CSL_CITATION {"citationItems":[{"id":"ITEM-1","itemData":{"DOI":"10.1016/j.ejor.2017.06.059","ISSN":"03772217","author":[{"dropping-particle":"","family":"Borgonovo","given":"E.","non-dropping-particle":"","parse-names":false,"suffix":""},{"dropping-particle":"","family":"Cappelli","given":"V.","non-dropping-particle":"","parse-names":false,"suffix":""},{"dropping-particle":"","family":"Maccheroni","given":"F.","non-dropping-particle":"","parse-names":false,"suffix":""},{"dropping-particle":"","family":"Marinacci","given":"M.","non-dropping-particle":"","parse-names":false,"suffix":""}],"container-title":"European Journal of Operational Research","id":"ITEM-1","issue":"1","issued":{"date-parts":[["2018","1"]]},"page":"280-293","title":"Risk analysis and decision theory: A bridge","type":"article-journal","volume":"264"},"uris":["http://www.mendeley.com/documents/?uuid=3d0c8ab8-b13b-4d9d-a890-9e5a4a7e810d"]}],"mendeley":{"formattedCitation":"(Borgonovo et al., 2018)","plainTextFormattedCitation":"(Borgonovo et al., 2018)","previouslyFormattedCitation":"(Borgonovo et al., 2018)"},"properties":{"noteIndex":0},"schema":"https://github.com/citation-style-language/schema/raw/master/csl-citation.json"}</w:instrText>
      </w:r>
      <w:r w:rsidR="00005A4B">
        <w:fldChar w:fldCharType="separate"/>
      </w:r>
      <w:r w:rsidR="00005A4B" w:rsidRPr="00005A4B">
        <w:rPr>
          <w:noProof/>
        </w:rPr>
        <w:t>(Borgonovo et al., 2018)</w:t>
      </w:r>
      <w:r w:rsidR="00005A4B">
        <w:fldChar w:fldCharType="end"/>
      </w:r>
      <w:r w:rsidR="00005A4B">
        <w:t xml:space="preserve">, </w:t>
      </w:r>
      <w:r w:rsidR="00005A4B">
        <w:fldChar w:fldCharType="begin" w:fldLock="1"/>
      </w:r>
      <w:r w:rsidR="00005A4B">
        <w:instrText>ADDIN CSL_CITATION {"citationItems":[{"id":"ITEM-1","itemData":{"DOI":"10.1080/09638237.2020.1757052","ISSN":"0963-8237","author":[{"dropping-particle":"","family":"Kumar","given":"Anant","non-dropping-particle":"","parse-names":false,"suffix":""},{"dropping-particle":"","family":"Nayar","given":"K. Rajasekharan","non-dropping-particle":"","parse-names":false,"suffix":""}],"container-title":"Journal of Mental Health","id":"ITEM-1","issued":{"date-parts":[["2020","4","27"]]},"page":"1-2","title":"COVID 19 and its mental health consequences","type":"article-journal"},"uris":["http://www.mendeley.com/documents/?uuid=58618725-8df6-41e5-8268-6958886110ea"]}],"mendeley":{"formattedCitation":"(Kumar &amp; Nayar, 2020)","plainTextFormattedCitation":"(Kumar &amp; Nayar, 2020)","previouslyFormattedCitation":"(Kumar &amp; Nayar, 2020)"},"properties":{"noteIndex":0},"schema":"https://github.com/citation-style-language/schema/raw/master/csl-citation.json"}</w:instrText>
      </w:r>
      <w:r w:rsidR="00005A4B">
        <w:fldChar w:fldCharType="separate"/>
      </w:r>
      <w:r w:rsidR="00005A4B" w:rsidRPr="00005A4B">
        <w:rPr>
          <w:noProof/>
        </w:rPr>
        <w:t>(Kumar &amp; Nayar, 2020)</w:t>
      </w:r>
      <w:r w:rsidR="00005A4B">
        <w:fldChar w:fldCharType="end"/>
      </w:r>
      <w:r w:rsidR="00005A4B">
        <w:t xml:space="preserve"> and </w:t>
      </w:r>
      <w:r w:rsidR="00005A4B">
        <w:fldChar w:fldCharType="begin" w:fldLock="1"/>
      </w:r>
      <w:r w:rsidR="00005A4B">
        <w:instrText>ADDIN CSL_CITATION {"citationItems":[{"id":"ITEM-1","itemData":{"DOI":"10.1111/j.1539-6924.1981.tb01350.x","ISSN":"0272-4332","author":[{"dropping-particle":"","family":"Kaplan","given":"Stanley","non-dropping-particle":"","parse-names":false,"suffix":""},{"dropping-particle":"","family":"Garrick","given":"B. John","non-dropping-particle":"","parse-names":false,"suffix":""}],"container-title":"Risk Analysis","id":"ITEM-1","issue":"1","issued":{"date-parts":[["1981","3"]]},"page":"11-27","title":"On The Quantitative Definition of Risk","type":"article-journal","volume":"1"},"uris":["http://www.mendeley.com/documents/?uuid=ea1a62f6-1913-4ebd-a709-c42341b6cf99"]}],"mendeley":{"formattedCitation":"(Stanley Kaplan &amp; Garrick, 1981)","plainTextFormattedCitation":"(Stanley Kaplan &amp; Garrick, 1981)","previouslyFormattedCitation":"(Stanley Kaplan &amp; Garrick, 1981)"},"properties":{"noteIndex":0},"schema":"https://github.com/citation-style-language/schema/raw/master/csl-citation.json"}</w:instrText>
      </w:r>
      <w:r w:rsidR="00005A4B">
        <w:fldChar w:fldCharType="separate"/>
      </w:r>
      <w:r w:rsidR="00005A4B" w:rsidRPr="00005A4B">
        <w:rPr>
          <w:noProof/>
        </w:rPr>
        <w:t>(Kaplan &amp; Garrick, 1981)</w:t>
      </w:r>
      <w:r w:rsidR="00005A4B">
        <w:fldChar w:fldCharType="end"/>
      </w:r>
      <w:r w:rsidR="00787F9F">
        <w:t>,</w:t>
      </w:r>
      <w:r w:rsidR="009A469B" w:rsidRPr="00733522">
        <w:rPr>
          <w:color w:val="FF0000"/>
        </w:rPr>
        <w:t xml:space="preserve"> </w:t>
      </w:r>
      <w:r w:rsidR="009A469B" w:rsidRPr="0002230D">
        <w:t xml:space="preserve">thus </w:t>
      </w:r>
      <w:r w:rsidR="00733522" w:rsidRPr="0002230D">
        <w:t>generating</w:t>
      </w:r>
      <w:r w:rsidRPr="0002230D">
        <w:t xml:space="preserve"> </w:t>
      </w:r>
      <w:r w:rsidR="00D94882">
        <w:rPr>
          <w:i/>
          <w:iCs/>
        </w:rPr>
        <w:t>risk q</w:t>
      </w:r>
      <w:r w:rsidR="009A469B" w:rsidRPr="009513BC">
        <w:rPr>
          <w:i/>
          <w:iCs/>
        </w:rPr>
        <w:t>uadruplets</w:t>
      </w:r>
      <w:r w:rsidR="009A469B" w:rsidRPr="009513BC">
        <w:t xml:space="preserve"> (</w:t>
      </w:r>
      <w:r w:rsidRPr="009513BC">
        <w:t xml:space="preserve">i.e., </w:t>
      </w:r>
      <w:r w:rsidR="00D94882">
        <w:t>risk triplet plus causal f</w:t>
      </w:r>
      <w:r w:rsidR="009A469B" w:rsidRPr="009513BC">
        <w:t xml:space="preserve">actors). </w:t>
      </w:r>
    </w:p>
    <w:p w14:paraId="7FFFA517" w14:textId="4FE12AA0" w:rsidR="00C12D56" w:rsidRPr="009513BC" w:rsidRDefault="009A469B" w:rsidP="00C12D56">
      <w:pPr>
        <w:spacing w:before="120" w:after="120" w:line="360" w:lineRule="auto"/>
        <w:ind w:firstLine="284"/>
        <w:jc w:val="both"/>
      </w:pPr>
      <w:r w:rsidRPr="009513BC">
        <w:t xml:space="preserve">Analytically, for a given system we collect: </w:t>
      </w:r>
      <w:r w:rsidR="0002133A">
        <w:t>(</w:t>
      </w:r>
      <w:r w:rsidRPr="009513BC">
        <w:t xml:space="preserve">1) The possible </w:t>
      </w:r>
      <w:r w:rsidR="009860BE">
        <w:t>scenarios</w:t>
      </w:r>
      <w:r w:rsidRPr="009513BC">
        <w:t xml:space="preserve">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Pr="009513BC">
        <w:t>)</w:t>
      </w:r>
      <w:r w:rsidR="00A23222" w:rsidRPr="009513BC">
        <w:t xml:space="preserve"> </w:t>
      </w:r>
      <w:r w:rsidRPr="009513BC">
        <w:t xml:space="preserve">for our problem settings, </w:t>
      </w:r>
      <w:r w:rsidR="0002133A">
        <w:t>(</w:t>
      </w:r>
      <w:r w:rsidRPr="009513BC">
        <w:t>2) The frequency distribution of the critical variable(s) (</w:t>
      </w: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Pr="009513BC">
        <w:t xml:space="preserve">) which determine </w:t>
      </w:r>
      <w:r w:rsidR="00EE39E2">
        <w:t>which</w:t>
      </w:r>
      <w:r w:rsidR="00EE39E2" w:rsidRPr="009513BC">
        <w:t xml:space="preserve"> </w:t>
      </w:r>
      <w:r w:rsidR="006F4EC9">
        <w:lastRenderedPageBreak/>
        <w:t xml:space="preserve">scenario </w:t>
      </w:r>
      <w:r w:rsidR="00787F9F">
        <w:t>occurs</w:t>
      </w:r>
      <w:r w:rsidRPr="009513BC">
        <w:t xml:space="preserve"> in the first place, </w:t>
      </w:r>
      <w:r w:rsidR="0002133A">
        <w:t>(</w:t>
      </w:r>
      <w:r w:rsidRPr="009513BC">
        <w:t>3) The consequences</w:t>
      </w:r>
      <w:r w:rsidR="0029725D">
        <w:t xml:space="preserve">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Pr="009513BC">
        <w:t xml:space="preserve"> that emerge from each scenario, both beneficial and detrimental, </w:t>
      </w:r>
      <w:r w:rsidR="0002133A">
        <w:t>(</w:t>
      </w:r>
      <w:r w:rsidRPr="009513BC">
        <w:t>4) The causal relationships</w:t>
      </w:r>
      <w:r w:rsidR="0029725D">
        <w:t xml:space="preserv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9513BC">
        <w:t xml:space="preserve"> that affect the critical variable(s) which can be summarized by their chains frequency distributions (as discussed in the previous section, see also </w:t>
      </w:r>
      <w:r w:rsidRPr="009513BC">
        <w:rPr>
          <w:b/>
          <w:bCs/>
        </w:rPr>
        <w:t>Fig</w:t>
      </w:r>
      <w:r w:rsidR="001961FA">
        <w:rPr>
          <w:b/>
          <w:bCs/>
        </w:rPr>
        <w:t>.</w:t>
      </w:r>
      <w:r w:rsidRPr="009513BC">
        <w:rPr>
          <w:b/>
          <w:bCs/>
        </w:rPr>
        <w:t xml:space="preserve"> 5</w:t>
      </w:r>
      <w:r w:rsidR="0002133A">
        <w:rPr>
          <w:b/>
          <w:bCs/>
        </w:rPr>
        <w:t>b</w:t>
      </w:r>
      <w:r w:rsidRPr="009513BC">
        <w:t>). Collectively thos</w:t>
      </w:r>
      <w:r w:rsidR="00257D6B">
        <w:t>e four components comprise the risk q</w:t>
      </w:r>
      <w:r w:rsidRPr="009513BC">
        <w:t>uadruplet</w:t>
      </w:r>
      <w:r w:rsidR="00257D6B">
        <w:t>,</w:t>
      </w:r>
      <w:r w:rsidR="00AC28EA">
        <w:t xml:space="preserve"> </w:t>
      </w:r>
      <m:oMath>
        <m:r>
          <w:rPr>
            <w:rFonts w:ascii="Cambria Math" w:hAnsi="Cambria Math"/>
          </w:rPr>
          <m:t>R</m:t>
        </m:r>
      </m:oMath>
      <w:r w:rsidRPr="009513BC">
        <w:t xml:space="preserve"> (</w:t>
      </w:r>
      <w:r w:rsidR="00F6345A" w:rsidRPr="009513BC">
        <w:t xml:space="preserve">see </w:t>
      </w:r>
      <w:r w:rsidRPr="009513BC">
        <w:rPr>
          <w:b/>
          <w:bCs/>
        </w:rPr>
        <w:t>Fig</w:t>
      </w:r>
      <w:r w:rsidR="001961FA">
        <w:rPr>
          <w:b/>
          <w:bCs/>
        </w:rPr>
        <w:t>.</w:t>
      </w:r>
      <w:r w:rsidRPr="009513BC">
        <w:rPr>
          <w:b/>
          <w:bCs/>
        </w:rPr>
        <w:t xml:space="preserve"> 6</w:t>
      </w:r>
      <w:r w:rsidR="0002133A">
        <w:rPr>
          <w:b/>
          <w:bCs/>
        </w:rPr>
        <w:t>a</w:t>
      </w:r>
      <w:r w:rsidRPr="009513BC">
        <w:t>)</w:t>
      </w:r>
      <w:r w:rsidR="00257D6B">
        <w:t>,</w:t>
      </w:r>
      <w:r w:rsidRPr="009513BC">
        <w:t xml:space="preserve"> which is a risk analytic manifestation of </w:t>
      </w:r>
      <w:r w:rsidR="00F6345A" w:rsidRPr="009513BC">
        <w:t>our causal risk-based decision-making</w:t>
      </w:r>
      <w:r w:rsidRPr="009513BC">
        <w:t xml:space="preserve"> framework.</w:t>
      </w:r>
    </w:p>
    <w:p w14:paraId="3CBBB7B0" w14:textId="642B6F3F" w:rsidR="009A469B" w:rsidRPr="009513BC" w:rsidRDefault="009A469B" w:rsidP="00C12D56">
      <w:pPr>
        <w:spacing w:before="120" w:after="120" w:line="360" w:lineRule="auto"/>
        <w:ind w:firstLine="284"/>
        <w:jc w:val="both"/>
      </w:pPr>
      <w:r w:rsidRPr="009513BC">
        <w:t>Ultimately, the crown result obtain</w:t>
      </w:r>
      <w:r w:rsidR="00F6345A" w:rsidRPr="009513BC">
        <w:t>ed</w:t>
      </w:r>
      <w:r w:rsidRPr="009513BC">
        <w:t xml:space="preserve"> is the assembly prediction of the critical variable(s). To do this we need to recall the out-of-sample prediction process for a single causal variable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9513BC">
        <w:rPr>
          <w:vertAlign w:val="subscript"/>
        </w:rPr>
        <w:t xml:space="preserve"> </w:t>
      </w:r>
      <w:r w:rsidRPr="009513BC">
        <w:t xml:space="preserve">as described in </w:t>
      </w:r>
      <w:r w:rsidR="000D03F1">
        <w:t xml:space="preserve">a previous </w:t>
      </w:r>
      <w:r w:rsidR="00EE39E2">
        <w:t>subsection</w:t>
      </w:r>
      <w:r w:rsidRPr="009513BC">
        <w:t>. The assembly prediction (</w:t>
      </w:r>
      <w:r w:rsidRPr="009513BC">
        <w:rPr>
          <w:b/>
          <w:bCs/>
        </w:rPr>
        <w:t>Fig</w:t>
      </w:r>
      <w:r w:rsidR="001961FA">
        <w:rPr>
          <w:b/>
          <w:bCs/>
        </w:rPr>
        <w:t>.</w:t>
      </w:r>
      <w:r w:rsidRPr="009513BC">
        <w:rPr>
          <w:b/>
          <w:bCs/>
        </w:rPr>
        <w:t xml:space="preserve"> 6</w:t>
      </w:r>
      <w:r w:rsidR="0002133A">
        <w:rPr>
          <w:b/>
          <w:bCs/>
        </w:rPr>
        <w:t>b</w:t>
      </w:r>
      <w:r w:rsidRPr="009513BC">
        <w:t xml:space="preserve">) uses all the causal variables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9513BC">
        <w:rPr>
          <w:vertAlign w:val="subscript"/>
        </w:rPr>
        <w:t xml:space="preserve"> </w:t>
      </w:r>
      <w:r w:rsidRPr="009513BC">
        <w:t xml:space="preserve">and calculates the weighted average of their individual predictions (on the critical variable). The weights used should be proportional to the in-sample prediction accuracy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9513BC">
        <w:t xml:space="preserve"> performed before. The out-of-sample assembly prediction then can be used to estimate what scenario to </w:t>
      </w:r>
      <w:r w:rsidR="00C12D56" w:rsidRPr="009513BC">
        <w:t>expect both</w:t>
      </w:r>
      <w:r w:rsidRPr="009513BC">
        <w:t xml:space="preserve"> in the short-term and in the long-term and thus formulate an educated decision-making.</w:t>
      </w:r>
    </w:p>
    <w:p w14:paraId="7E5AAA07" w14:textId="2AC07E6F" w:rsidR="00B61D6F" w:rsidRPr="009513BC" w:rsidRDefault="00B61D6F" w:rsidP="00B13B7C">
      <w:pPr>
        <w:spacing w:before="120" w:after="120" w:line="36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4125"/>
      </w:tblGrid>
      <w:tr w:rsidR="00324D93" w:rsidRPr="009513BC" w14:paraId="7E648C62" w14:textId="344EE32A" w:rsidTr="00ED13A3">
        <w:trPr>
          <w:jc w:val="center"/>
        </w:trPr>
        <w:tc>
          <w:tcPr>
            <w:tcW w:w="4901" w:type="dxa"/>
          </w:tcPr>
          <w:p w14:paraId="026BD8B0" w14:textId="5FB0DC0F" w:rsidR="00324D93" w:rsidRPr="009513BC" w:rsidRDefault="00495386" w:rsidP="00C12D56">
            <w:pPr>
              <w:spacing w:before="120" w:after="120" w:line="360" w:lineRule="auto"/>
              <w:jc w:val="center"/>
              <w:rPr>
                <w:lang w:val="en-US"/>
              </w:rPr>
            </w:pPr>
            <w:r>
              <w:rPr>
                <w:noProof/>
              </w:rPr>
              <w:drawing>
                <wp:inline distT="0" distB="0" distL="0" distR="0" wp14:anchorId="02FEC335" wp14:editId="7CD94000">
                  <wp:extent cx="3101999" cy="206582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9874" cy="2071067"/>
                          </a:xfrm>
                          <a:prstGeom prst="rect">
                            <a:avLst/>
                          </a:prstGeom>
                          <a:noFill/>
                          <a:ln>
                            <a:noFill/>
                          </a:ln>
                        </pic:spPr>
                      </pic:pic>
                    </a:graphicData>
                  </a:graphic>
                </wp:inline>
              </w:drawing>
            </w:r>
          </w:p>
        </w:tc>
        <w:tc>
          <w:tcPr>
            <w:tcW w:w="4125" w:type="dxa"/>
          </w:tcPr>
          <w:p w14:paraId="516D914E" w14:textId="3CF5DB46" w:rsidR="00324D93" w:rsidRDefault="00324D93" w:rsidP="00C12D56">
            <w:pPr>
              <w:spacing w:before="120" w:after="120" w:line="360" w:lineRule="auto"/>
              <w:jc w:val="center"/>
              <w:rPr>
                <w:noProof/>
              </w:rPr>
            </w:pPr>
            <w:r>
              <w:rPr>
                <w:noProof/>
              </w:rPr>
              <w:drawing>
                <wp:inline distT="0" distB="0" distL="0" distR="0" wp14:anchorId="3EE9DD21" wp14:editId="31A26010">
                  <wp:extent cx="2583469" cy="1650670"/>
                  <wp:effectExtent l="0" t="0" r="762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3302" cy="1708068"/>
                          </a:xfrm>
                          <a:prstGeom prst="rect">
                            <a:avLst/>
                          </a:prstGeom>
                          <a:noFill/>
                          <a:ln>
                            <a:noFill/>
                          </a:ln>
                        </pic:spPr>
                      </pic:pic>
                    </a:graphicData>
                  </a:graphic>
                </wp:inline>
              </w:drawing>
            </w:r>
          </w:p>
        </w:tc>
      </w:tr>
    </w:tbl>
    <w:p w14:paraId="3860516F" w14:textId="11C0DC4B" w:rsidR="00ED13A3" w:rsidRPr="00177B8F" w:rsidRDefault="00ED13A3" w:rsidP="00ED13A3">
      <w:pPr>
        <w:spacing w:before="120" w:after="120" w:line="360" w:lineRule="auto"/>
        <w:jc w:val="both"/>
        <w:rPr>
          <w:sz w:val="20"/>
          <w:szCs w:val="20"/>
        </w:rPr>
      </w:pPr>
      <w:r w:rsidRPr="00D61ACC">
        <w:rPr>
          <w:b/>
          <w:bCs/>
          <w:sz w:val="20"/>
          <w:szCs w:val="20"/>
        </w:rPr>
        <w:t>Fig</w:t>
      </w:r>
      <w:r w:rsidR="001961FA">
        <w:rPr>
          <w:b/>
          <w:bCs/>
          <w:sz w:val="20"/>
          <w:szCs w:val="20"/>
        </w:rPr>
        <w:t>.</w:t>
      </w:r>
      <w:r w:rsidRPr="00D61ACC">
        <w:rPr>
          <w:b/>
          <w:bCs/>
          <w:sz w:val="20"/>
          <w:szCs w:val="20"/>
        </w:rPr>
        <w:t xml:space="preserve"> </w:t>
      </w:r>
      <w:r>
        <w:rPr>
          <w:b/>
          <w:bCs/>
          <w:sz w:val="20"/>
          <w:szCs w:val="20"/>
        </w:rPr>
        <w:t>6</w:t>
      </w:r>
      <w:r w:rsidRPr="00D61ACC">
        <w:rPr>
          <w:b/>
          <w:bCs/>
          <w:sz w:val="20"/>
          <w:szCs w:val="20"/>
        </w:rPr>
        <w:t xml:space="preserve">. </w:t>
      </w:r>
      <w:r w:rsidR="0002133A">
        <w:rPr>
          <w:b/>
          <w:bCs/>
          <w:sz w:val="20"/>
          <w:szCs w:val="20"/>
        </w:rPr>
        <w:t>(</w:t>
      </w:r>
      <w:r>
        <w:rPr>
          <w:b/>
          <w:bCs/>
          <w:sz w:val="20"/>
          <w:szCs w:val="20"/>
        </w:rPr>
        <w:t xml:space="preserve">a) </w:t>
      </w:r>
      <w:r w:rsidR="00372417">
        <w:rPr>
          <w:sz w:val="20"/>
          <w:szCs w:val="20"/>
        </w:rPr>
        <w:t xml:space="preserve">The chief contribution of the current study is </w:t>
      </w:r>
      <w:r w:rsidR="0013592B">
        <w:rPr>
          <w:sz w:val="20"/>
          <w:szCs w:val="20"/>
        </w:rPr>
        <w:t xml:space="preserve">the </w:t>
      </w:r>
      <w:r w:rsidR="00EC5BB4">
        <w:rPr>
          <w:sz w:val="20"/>
          <w:szCs w:val="20"/>
        </w:rPr>
        <w:t xml:space="preserve">extension </w:t>
      </w:r>
      <w:r w:rsidR="0013592B">
        <w:rPr>
          <w:sz w:val="20"/>
          <w:szCs w:val="20"/>
        </w:rPr>
        <w:t xml:space="preserve">of the well-established Risk Triplet framework into what </w:t>
      </w:r>
      <w:r w:rsidR="00AD13A6">
        <w:rPr>
          <w:sz w:val="20"/>
          <w:szCs w:val="20"/>
        </w:rPr>
        <w:t>the</w:t>
      </w:r>
      <w:r w:rsidR="0013592B">
        <w:rPr>
          <w:sz w:val="20"/>
          <w:szCs w:val="20"/>
        </w:rPr>
        <w:t xml:space="preserve"> </w:t>
      </w:r>
      <w:r w:rsidR="00AD13A6">
        <w:rPr>
          <w:sz w:val="20"/>
          <w:szCs w:val="20"/>
        </w:rPr>
        <w:t>“</w:t>
      </w:r>
      <w:r w:rsidR="0013592B">
        <w:rPr>
          <w:sz w:val="20"/>
          <w:szCs w:val="20"/>
        </w:rPr>
        <w:t>Risk Quadruplets</w:t>
      </w:r>
      <w:r w:rsidR="00AD13A6">
        <w:rPr>
          <w:sz w:val="20"/>
          <w:szCs w:val="20"/>
        </w:rPr>
        <w:t>”</w:t>
      </w:r>
      <w:r w:rsidR="008078BD">
        <w:rPr>
          <w:sz w:val="20"/>
          <w:szCs w:val="20"/>
        </w:rPr>
        <w:t xml:space="preserve"> with the fourth component being that of the causal information retrieved.</w:t>
      </w:r>
      <w:r w:rsidR="00177B8F">
        <w:rPr>
          <w:sz w:val="20"/>
          <w:szCs w:val="20"/>
        </w:rPr>
        <w:t xml:space="preserve"> </w:t>
      </w:r>
      <w:r w:rsidR="0002133A">
        <w:rPr>
          <w:sz w:val="20"/>
          <w:szCs w:val="20"/>
        </w:rPr>
        <w:t>(</w:t>
      </w:r>
      <w:r w:rsidR="00177B8F">
        <w:rPr>
          <w:b/>
          <w:bCs/>
          <w:sz w:val="20"/>
          <w:szCs w:val="20"/>
        </w:rPr>
        <w:t>b)</w:t>
      </w:r>
      <w:r w:rsidR="00177B8F">
        <w:rPr>
          <w:sz w:val="20"/>
          <w:szCs w:val="20"/>
        </w:rPr>
        <w:t xml:space="preserve"> </w:t>
      </w:r>
      <w:r w:rsidR="00F6322C">
        <w:rPr>
          <w:sz w:val="20"/>
          <w:szCs w:val="20"/>
        </w:rPr>
        <w:t xml:space="preserve">We can predict the future values of the critical variable(s) by using </w:t>
      </w:r>
      <w:r w:rsidR="004514B4">
        <w:rPr>
          <w:sz w:val="20"/>
          <w:szCs w:val="20"/>
        </w:rPr>
        <w:t>an assembly</w:t>
      </w:r>
      <w:r w:rsidR="002E325E">
        <w:rPr>
          <w:sz w:val="20"/>
          <w:szCs w:val="20"/>
        </w:rPr>
        <w:t xml:space="preserve"> of predictions from all the causal variables considered.</w:t>
      </w:r>
    </w:p>
    <w:p w14:paraId="29C7C30C" w14:textId="77777777" w:rsidR="00A95ED6" w:rsidRDefault="00A95ED6" w:rsidP="00B13B7C">
      <w:pPr>
        <w:spacing w:before="120" w:after="120" w:line="360" w:lineRule="auto"/>
        <w:jc w:val="both"/>
        <w:rPr>
          <w:b/>
          <w:bCs/>
        </w:rPr>
      </w:pPr>
    </w:p>
    <w:p w14:paraId="5B5426C5" w14:textId="77777777" w:rsidR="0026681E" w:rsidRDefault="0026681E" w:rsidP="0026681E">
      <w:pPr>
        <w:pStyle w:val="ListParagraph"/>
        <w:numPr>
          <w:ilvl w:val="0"/>
          <w:numId w:val="1"/>
        </w:num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Making risk-based, causality-enabled decisions on the COVID-19 pandemic </w:t>
      </w:r>
    </w:p>
    <w:p w14:paraId="71A9E6D2" w14:textId="4ECC615B" w:rsidR="005C1078" w:rsidRDefault="008F28CC" w:rsidP="005C1078">
      <w:pPr>
        <w:spacing w:before="120" w:after="120" w:line="360" w:lineRule="auto"/>
        <w:ind w:firstLine="284"/>
        <w:jc w:val="both"/>
      </w:pPr>
      <w:r>
        <w:t xml:space="preserve">In this section, the </w:t>
      </w:r>
      <w:r w:rsidR="00090BEC">
        <w:t xml:space="preserve">novel </w:t>
      </w:r>
      <w:r w:rsidRPr="008F28CC">
        <w:rPr>
          <w:bCs/>
        </w:rPr>
        <w:t>causal risk-based decision-making framework</w:t>
      </w:r>
      <w:r>
        <w:rPr>
          <w:bCs/>
        </w:rPr>
        <w:t xml:space="preserve"> </w:t>
      </w:r>
      <w:r w:rsidR="000D45E8">
        <w:rPr>
          <w:bCs/>
        </w:rPr>
        <w:t xml:space="preserve">developed </w:t>
      </w:r>
      <w:r w:rsidR="0034784E">
        <w:rPr>
          <w:bCs/>
        </w:rPr>
        <w:t xml:space="preserve">in </w:t>
      </w:r>
      <w:r w:rsidR="0002230D">
        <w:rPr>
          <w:bCs/>
        </w:rPr>
        <w:t xml:space="preserve">the previous </w:t>
      </w:r>
      <w:r w:rsidR="0002230D" w:rsidRPr="0002230D">
        <w:rPr>
          <w:bCs/>
        </w:rPr>
        <w:t>s</w:t>
      </w:r>
      <w:r w:rsidR="0034784E" w:rsidRPr="0002230D">
        <w:rPr>
          <w:bCs/>
        </w:rPr>
        <w:t>ection</w:t>
      </w:r>
      <w:r w:rsidR="000D45E8">
        <w:rPr>
          <w:bCs/>
        </w:rPr>
        <w:t xml:space="preserve"> for </w:t>
      </w:r>
      <w:r w:rsidR="0026681E">
        <w:t>the case of the COVID-19 pandemic</w:t>
      </w:r>
      <w:r w:rsidR="00733522">
        <w:t xml:space="preserve"> </w:t>
      </w:r>
      <w:r w:rsidR="00733522" w:rsidRPr="0002230D">
        <w:t>is employed</w:t>
      </w:r>
      <w:r w:rsidR="0026681E">
        <w:t xml:space="preserve">. </w:t>
      </w:r>
      <w:r w:rsidR="00090BEC">
        <w:t>On the one hand, t</w:t>
      </w:r>
      <w:r w:rsidR="0026681E">
        <w:t xml:space="preserve">he </w:t>
      </w:r>
      <w:r w:rsidR="0026681E">
        <w:lastRenderedPageBreak/>
        <w:t>demonstrated application will be a step-by-step</w:t>
      </w:r>
      <w:r w:rsidR="0070580D">
        <w:t xml:space="preserve"> elaboration on how to use the risk q</w:t>
      </w:r>
      <w:r w:rsidR="0026681E">
        <w:t xml:space="preserve">uadruplets, from the very formulation of the problem at hand, to the risk assessment of the causal factors of the system </w:t>
      </w:r>
      <w:r w:rsidR="00733522" w:rsidRPr="0002230D">
        <w:t>at hand</w:t>
      </w:r>
      <w:r w:rsidR="0026681E">
        <w:t xml:space="preserve">. </w:t>
      </w:r>
      <w:r w:rsidR="00090BEC">
        <w:t xml:space="preserve">On the other hand, our endeavor </w:t>
      </w:r>
      <w:r w:rsidR="007815F3">
        <w:t>will be</w:t>
      </w:r>
      <w:r w:rsidR="00090BEC">
        <w:t xml:space="preserve"> to </w:t>
      </w:r>
      <w:r w:rsidR="00F43E36">
        <w:t>provide</w:t>
      </w:r>
      <w:r w:rsidR="00090BEC">
        <w:t xml:space="preserve"> </w:t>
      </w:r>
      <w:r w:rsidR="000D412A">
        <w:t xml:space="preserve">useful implications for </w:t>
      </w:r>
      <w:r w:rsidR="00090BEC">
        <w:t>decision and policy makers</w:t>
      </w:r>
      <w:r w:rsidR="000D412A">
        <w:t>, and thus</w:t>
      </w:r>
      <w:r w:rsidR="00090BEC">
        <w:t xml:space="preserve"> </w:t>
      </w:r>
      <w:r w:rsidR="00F43E36">
        <w:t xml:space="preserve">a powerful </w:t>
      </w:r>
      <w:r w:rsidR="002A3458">
        <w:t>causal</w:t>
      </w:r>
      <w:r w:rsidR="005C1078">
        <w:t>-related</w:t>
      </w:r>
      <w:r w:rsidR="002A3458">
        <w:t xml:space="preserve"> decision </w:t>
      </w:r>
      <w:r w:rsidR="00F43E36">
        <w:t xml:space="preserve">tool </w:t>
      </w:r>
      <w:r w:rsidR="00090BEC">
        <w:t xml:space="preserve">on </w:t>
      </w:r>
      <w:r w:rsidR="00F43E36">
        <w:t>designing</w:t>
      </w:r>
      <w:r w:rsidR="005C1078">
        <w:t xml:space="preserve"> effectively</w:t>
      </w:r>
      <w:r w:rsidR="002A3458">
        <w:t>,</w:t>
      </w:r>
      <w:r w:rsidR="00F43E36">
        <w:t xml:space="preserve"> and</w:t>
      </w:r>
      <w:r w:rsidR="002A3458">
        <w:t xml:space="preserve"> therefore</w:t>
      </w:r>
      <w:r w:rsidR="00F43E36">
        <w:t xml:space="preserve"> </w:t>
      </w:r>
      <w:r w:rsidR="00090BEC">
        <w:t>adjusting</w:t>
      </w:r>
      <w:r w:rsidR="005C1078">
        <w:t xml:space="preserve"> appropriately</w:t>
      </w:r>
      <w:r w:rsidR="00090BEC">
        <w:t xml:space="preserve"> </w:t>
      </w:r>
      <w:r w:rsidR="00F43E36">
        <w:t>the measures to suppress the spread of COVID-19 in the country</w:t>
      </w:r>
      <w:r w:rsidR="005C1078">
        <w:t xml:space="preserve"> or area</w:t>
      </w:r>
      <w:r w:rsidR="007F4C7E">
        <w:t xml:space="preserve"> chosen</w:t>
      </w:r>
      <w:r w:rsidR="00F43E36">
        <w:t xml:space="preserve">, and simultaneously </w:t>
      </w:r>
      <w:r w:rsidR="002323BA">
        <w:t xml:space="preserve">organize the actions needed to minimize the </w:t>
      </w:r>
      <w:r w:rsidR="005318C4">
        <w:t>socioeconomic</w:t>
      </w:r>
      <w:r w:rsidR="002323BA">
        <w:t xml:space="preserve"> damage from the p</w:t>
      </w:r>
      <w:r w:rsidR="0044761E">
        <w:t xml:space="preserve">andemic to several key sectors. </w:t>
      </w:r>
      <w:r w:rsidR="000D412A">
        <w:t>B</w:t>
      </w:r>
      <w:r w:rsidR="0026681E">
        <w:t xml:space="preserve">ased </w:t>
      </w:r>
      <w:r w:rsidR="000D412A">
        <w:t xml:space="preserve">then </w:t>
      </w:r>
      <w:r w:rsidR="0026681E">
        <w:t>on the risk quadruplets</w:t>
      </w:r>
      <w:r w:rsidR="000D412A">
        <w:t>,</w:t>
      </w:r>
      <w:r w:rsidR="0026681E">
        <w:t xml:space="preserve"> </w:t>
      </w:r>
      <w:r w:rsidR="002323BA">
        <w:t>the appropriate</w:t>
      </w:r>
      <w:r w:rsidR="0026681E">
        <w:t xml:space="preserve"> decision-making path</w:t>
      </w:r>
      <w:r w:rsidR="00733522" w:rsidRPr="00733522">
        <w:rPr>
          <w:color w:val="FF0000"/>
        </w:rPr>
        <w:t xml:space="preserve"> </w:t>
      </w:r>
      <w:r w:rsidR="00733522" w:rsidRPr="0002230D">
        <w:t>is selected</w:t>
      </w:r>
      <w:r w:rsidR="0026681E">
        <w:t xml:space="preserve">, </w:t>
      </w:r>
      <w:proofErr w:type="gramStart"/>
      <w:r w:rsidR="0026681E">
        <w:t>taking into account</w:t>
      </w:r>
      <w:proofErr w:type="gramEnd"/>
      <w:r w:rsidR="0026681E">
        <w:t xml:space="preserve"> the decision maker’s tolerance to uncertainty and pursuing (but not limited to) the </w:t>
      </w:r>
      <w:r w:rsidR="0037174F">
        <w:t xml:space="preserve">consideration </w:t>
      </w:r>
      <w:r w:rsidR="0026681E">
        <w:t xml:space="preserve">of the </w:t>
      </w:r>
      <w:r w:rsidR="0037174F">
        <w:t>actions</w:t>
      </w:r>
      <w:r w:rsidR="0026681E">
        <w:t xml:space="preserve"> which will produce the final decision to be made.</w:t>
      </w:r>
    </w:p>
    <w:p w14:paraId="57E1D09A" w14:textId="103E82B3" w:rsidR="00C8097A" w:rsidRPr="00532EF4" w:rsidRDefault="005C1078" w:rsidP="003B5D19">
      <w:pPr>
        <w:spacing w:before="120" w:after="120" w:line="360" w:lineRule="auto"/>
        <w:ind w:firstLine="284"/>
        <w:jc w:val="both"/>
        <w:rPr>
          <w:rFonts w:eastAsia="Times New Roman"/>
        </w:rPr>
      </w:pPr>
      <w:r w:rsidRPr="00532EF4">
        <w:t xml:space="preserve">As it is </w:t>
      </w:r>
      <w:r w:rsidR="00D61B1F" w:rsidRPr="00532EF4">
        <w:t>expected</w:t>
      </w:r>
      <w:r w:rsidR="003B5D19" w:rsidRPr="00532EF4">
        <w:t xml:space="preserve"> for</w:t>
      </w:r>
      <w:r w:rsidRPr="00532EF4">
        <w:t xml:space="preserve"> any real-world </w:t>
      </w:r>
      <w:r w:rsidR="00D61B1F" w:rsidRPr="00532EF4">
        <w:t>application</w:t>
      </w:r>
      <w:r w:rsidRPr="00532EF4">
        <w:t xml:space="preserve">, there are many influencing factors that </w:t>
      </w:r>
      <w:r w:rsidR="00D61B1F" w:rsidRPr="00532EF4">
        <w:t>can be</w:t>
      </w:r>
      <w:r w:rsidRPr="00532EF4">
        <w:t xml:space="preserve"> fundamental sources of future change.</w:t>
      </w:r>
      <w:r w:rsidR="00D61B1F" w:rsidRPr="00532EF4">
        <w:t xml:space="preserve"> </w:t>
      </w:r>
      <w:proofErr w:type="gramStart"/>
      <w:r w:rsidR="00D61B1F" w:rsidRPr="00532EF4">
        <w:t>In particular, examples</w:t>
      </w:r>
      <w:proofErr w:type="gramEnd"/>
      <w:r w:rsidR="00D61B1F" w:rsidRPr="00532EF4">
        <w:t xml:space="preserve"> of COVID-19 specific influencing factors</w:t>
      </w:r>
      <w:r w:rsidR="00B067DA" w:rsidRPr="00532EF4">
        <w:t xml:space="preserve"> include the numbers of COVID-19 cases, deaths, ages, sever</w:t>
      </w:r>
      <w:r w:rsidR="008D0E10" w:rsidRPr="00532EF4">
        <w:t>e</w:t>
      </w:r>
      <w:r w:rsidR="00B067DA" w:rsidRPr="00532EF4">
        <w:t xml:space="preserve"> travel restrictions, product suspensions,</w:t>
      </w:r>
      <w:r w:rsidR="00FB6FA8" w:rsidRPr="00532EF4">
        <w:t xml:space="preserve"> supply chain interruptions, among many others. </w:t>
      </w:r>
      <w:r w:rsidR="00D54C0B" w:rsidRPr="00532EF4">
        <w:rPr>
          <w:rFonts w:eastAsia="Times New Roman"/>
        </w:rPr>
        <w:t>B</w:t>
      </w:r>
      <w:r w:rsidR="008C02C9" w:rsidRPr="00532EF4">
        <w:rPr>
          <w:rFonts w:eastAsia="Times New Roman"/>
        </w:rPr>
        <w:t xml:space="preserve">oth epidemiological and laboratory studies have </w:t>
      </w:r>
      <w:r w:rsidR="009D3166" w:rsidRPr="00532EF4">
        <w:rPr>
          <w:rFonts w:eastAsia="Times New Roman"/>
        </w:rPr>
        <w:t>reported</w:t>
      </w:r>
      <w:r w:rsidR="008C02C9" w:rsidRPr="00532EF4">
        <w:rPr>
          <w:rFonts w:eastAsia="Times New Roman"/>
        </w:rPr>
        <w:t xml:space="preserve"> that </w:t>
      </w:r>
      <w:r w:rsidR="004202FA" w:rsidRPr="00532EF4">
        <w:rPr>
          <w:rFonts w:eastAsia="Times New Roman"/>
        </w:rPr>
        <w:t>weather</w:t>
      </w:r>
      <w:r w:rsidR="009D3166" w:rsidRPr="00532EF4">
        <w:rPr>
          <w:rFonts w:eastAsia="Times New Roman"/>
        </w:rPr>
        <w:t xml:space="preserve"> might be</w:t>
      </w:r>
      <w:r w:rsidR="00D54C0B" w:rsidRPr="00532EF4">
        <w:rPr>
          <w:rFonts w:eastAsia="Times New Roman"/>
        </w:rPr>
        <w:t xml:space="preserve"> an</w:t>
      </w:r>
      <w:r w:rsidR="008C02C9" w:rsidRPr="00532EF4">
        <w:rPr>
          <w:rFonts w:eastAsia="Times New Roman"/>
        </w:rPr>
        <w:t xml:space="preserve"> important factor in the transmission and survival of </w:t>
      </w:r>
      <w:r w:rsidR="00D54C0B" w:rsidRPr="00532EF4">
        <w:rPr>
          <w:rFonts w:eastAsia="Times New Roman"/>
        </w:rPr>
        <w:t>disease agents</w:t>
      </w:r>
      <w:r w:rsidR="00005A4B">
        <w:rPr>
          <w:rFonts w:eastAsia="Times New Roman"/>
        </w:rPr>
        <w:t xml:space="preserve"> </w:t>
      </w:r>
      <w:r w:rsidR="00005A4B">
        <w:rPr>
          <w:rFonts w:eastAsia="Times New Roman"/>
        </w:rPr>
        <w:fldChar w:fldCharType="begin" w:fldLock="1"/>
      </w:r>
      <w:r w:rsidR="00005A4B">
        <w:rPr>
          <w:rFonts w:eastAsia="Times New Roman"/>
        </w:rPr>
        <w:instrText>ADDIN CSL_CITATION {"citationItems":[{"id":"ITEM-1","itemData":{"ISBN":"978-0521782364","author":[{"dropping-particle":"","family":"P. Martens","given":"","non-dropping-particle":"","parse-names":false,"suffix":""},{"dropping-particle":"","family":"A. J. McMichael","given":"","non-dropping-particle":"","parse-names":false,"suffix":""}],"edition":"1st editio","id":"ITEM-1","issued":{"date-parts":[["2002"]]},"number-of-pages":"352","publisher":"Cambridge University Press","title":"Environmental change, climate and health: issues and research methods","type":"book"},"uris":["http://www.mendeley.com/documents/?uuid=31a0b59a-92a6-4be7-9bf8-b529626e6773"]}],"mendeley":{"formattedCitation":"(P. Martens &amp; A. J. McMichael, 2002)","plainTextFormattedCitation":"(P. Martens &amp; A. J. McMichael, 2002)","previouslyFormattedCitation":"(P. Martens &amp; A. J. McMichael, 2002)"},"properties":{"noteIndex":0},"schema":"https://github.com/citation-style-language/schema/raw/master/csl-citation.json"}</w:instrText>
      </w:r>
      <w:r w:rsidR="00005A4B">
        <w:rPr>
          <w:rFonts w:eastAsia="Times New Roman"/>
        </w:rPr>
        <w:fldChar w:fldCharType="separate"/>
      </w:r>
      <w:r w:rsidR="00005A4B" w:rsidRPr="00005A4B">
        <w:rPr>
          <w:rFonts w:eastAsia="Times New Roman"/>
          <w:noProof/>
        </w:rPr>
        <w:t>(Martens &amp; McMichael, 2002)</w:t>
      </w:r>
      <w:r w:rsidR="00005A4B">
        <w:rPr>
          <w:rFonts w:eastAsia="Times New Roman"/>
        </w:rPr>
        <w:fldChar w:fldCharType="end"/>
      </w:r>
      <w:r w:rsidR="00005A4B">
        <w:rPr>
          <w:rFonts w:eastAsia="Times New Roman"/>
        </w:rPr>
        <w:t xml:space="preserve">, </w:t>
      </w:r>
      <w:r w:rsidR="00005A4B">
        <w:rPr>
          <w:rFonts w:eastAsia="Times New Roman"/>
        </w:rPr>
        <w:fldChar w:fldCharType="begin" w:fldLock="1"/>
      </w:r>
      <w:r w:rsidR="0087160F">
        <w:rPr>
          <w:rFonts w:eastAsia="Times New Roman"/>
        </w:rPr>
        <w:instrText>ADDIN CSL_CITATION {"citationItems":[{"id":"ITEM-1","itemData":{"DOI":"10.1128/AEM.02291-09","ISSN":"0099-2240","abstract":"Assessment of the risks posed by severe acute respiratory syndrome (SARS) coronavirus (SARS-CoV) on surfaces requires data on survival of this virus on environmental surfaces and on how survival is affected by environmental variables, such as air temperature (AT) and relative humidity (RH). The use of surrogate viruses has the potential to overcome the challenges of working with SARS-CoV and to increase the available data on coronavirus survival on surfaces. Two potential surrogates were evaluated in this study; transmissible gastroenteritis virus (TGEV) and mouse hepatitis virus (MHV) were used to determine effects of AT and RH on the survival of coronaviruses on stainless steel. At 4°C, infectious virus persisted for as long as 28 days, and the lowest level of inactivation occurred at 20% RH. Inactivation was more rapid at 20°C than at 4°C at all humidity levels; the viruses persisted for 5 to 28 days, and the slowest inactivation occurred at low RH. Both viruses were inactivated more rapidly at 40°C than at 20°C. The relationship between inactivation and RH was not monotonic, and there was greater survival or a greater protective effect at low RH (20%) and high RH (80%) than at moderate RH (50%). There was also evidence of an interaction between AT and RH. The results show that when high numbers of viruses are deposited, TGEV and MHV may survive for days on surfaces at ATs and RHs typical of indoor environments. TGEV and MHV could serve as conservative surrogates for modeling exposure, the risk of transmission, and control measures for pathogenic enveloped viruses, such as SARS-CoV and influenza virus, on health care surfaces.","author":[{"dropping-particle":"","family":"Casanova","given":"Lisa M.","non-dropping-particle":"","parse-names":false,"suffix":""},{"dropping-particle":"","family":"Jeon","given":"Soyoung","non-dropping-particle":"","parse-names":false,"suffix":""},{"dropping-particle":"","family":"Rutala","given":"William A.","non-dropping-particle":"","parse-names":false,"suffix":""},{"dropping-particle":"","family":"Weber","given":"David J.","non-dropping-particle":"","parse-names":false,"suffix":""},{"dropping-particle":"","family":"Sobsey","given":"Mark D.","non-dropping-particle":"","parse-names":false,"suffix":""}],"container-title":"Applied and Environmental Microbiology","id":"ITEM-1","issue":"9","issued":{"date-parts":[["2010","5","1"]]},"page":"2712-2717","title":"Effects of Air Temperature and Relative Humidity on Coronavirus Survival on Surfaces","type":"article-journal","volume":"76"},"uris":["http://www.mendeley.com/documents/?uuid=7a7cc055-5d09-4cba-8c79-827129c0493b"]}],"mendeley":{"formattedCitation":"(Casanova et al., 2010)","plainTextFormattedCitation":"(Casanova et al., 2010)","previouslyFormattedCitation":"(Casanova et al., 2010)"},"properties":{"noteIndex":0},"schema":"https://github.com/citation-style-language/schema/raw/master/csl-citation.json"}</w:instrText>
      </w:r>
      <w:r w:rsidR="00005A4B">
        <w:rPr>
          <w:rFonts w:eastAsia="Times New Roman"/>
        </w:rPr>
        <w:fldChar w:fldCharType="separate"/>
      </w:r>
      <w:r w:rsidR="00005A4B" w:rsidRPr="00005A4B">
        <w:rPr>
          <w:rFonts w:eastAsia="Times New Roman"/>
          <w:noProof/>
        </w:rPr>
        <w:t>(Casanova,</w:t>
      </w:r>
      <w:r w:rsidR="00E15D14">
        <w:rPr>
          <w:rFonts w:eastAsia="Times New Roman"/>
          <w:noProof/>
        </w:rPr>
        <w:t xml:space="preserve"> Jeon, Rutala, Weber </w:t>
      </w:r>
      <w:r w:rsidR="00A74AC8">
        <w:rPr>
          <w:rFonts w:eastAsia="Times New Roman"/>
          <w:noProof/>
        </w:rPr>
        <w:t>&amp;</w:t>
      </w:r>
      <w:r w:rsidR="00E15D14">
        <w:rPr>
          <w:rFonts w:eastAsia="Times New Roman"/>
          <w:noProof/>
        </w:rPr>
        <w:t xml:space="preserve"> Sobsey,</w:t>
      </w:r>
      <w:r w:rsidR="00005A4B" w:rsidRPr="00005A4B">
        <w:rPr>
          <w:rFonts w:eastAsia="Times New Roman"/>
          <w:noProof/>
        </w:rPr>
        <w:t xml:space="preserve"> 2010)</w:t>
      </w:r>
      <w:r w:rsidR="00005A4B">
        <w:rPr>
          <w:rFonts w:eastAsia="Times New Roman"/>
        </w:rPr>
        <w:fldChar w:fldCharType="end"/>
      </w:r>
      <w:r w:rsidR="00005A4B">
        <w:rPr>
          <w:rFonts w:eastAsia="Times New Roman"/>
        </w:rPr>
        <w:t xml:space="preserve"> and </w:t>
      </w:r>
      <w:r w:rsidR="0087160F">
        <w:rPr>
          <w:rFonts w:eastAsia="Times New Roman"/>
        </w:rPr>
        <w:fldChar w:fldCharType="begin" w:fldLock="1"/>
      </w:r>
      <w:r w:rsidR="0087160F">
        <w:rPr>
          <w:rFonts w:eastAsia="Times New Roman"/>
        </w:rPr>
        <w:instrText>ADDIN CSL_CITATION {"citationItems":[{"id":"ITEM-1","itemData":{"DOI":"10.1016/j.scitotenv.2020.138860","ISSN":"00489697","author":[{"dropping-particle":"","family":"Gupta","given":"Sonal","non-dropping-particle":"","parse-names":false,"suffix":""},{"dropping-particle":"","family":"Raghuwanshi","given":"Gourav Singh","non-dropping-particle":"","parse-names":false,"suffix":""},{"dropping-particle":"","family":"Chanda","given":"Arnab","non-dropping-particle":"","parse-names":false,"suffix":""}],"container-title":"Science of The Total Environment","id":"ITEM-1","issued":{"date-parts":[["2020","8"]]},"page":"138860","title":"Effect of weather on COVID-19 spread in the US: A prediction model for India in 2020","type":"article-journal","volume":"728"},"uris":["http://www.mendeley.com/documents/?uuid=8664d5b5-5b3d-40aa-bdeb-6d5ec62c3b14"]}],"mendeley":{"formattedCitation":"(Gupta et al., 2020)","plainTextFormattedCitation":"(Gupta et al., 2020)","previouslyFormattedCitation":"(Gupta et al., 2020)"},"properties":{"noteIndex":0},"schema":"https://github.com/citation-style-language/schema/raw/master/csl-citation.json"}</w:instrText>
      </w:r>
      <w:r w:rsidR="0087160F">
        <w:rPr>
          <w:rFonts w:eastAsia="Times New Roman"/>
        </w:rPr>
        <w:fldChar w:fldCharType="separate"/>
      </w:r>
      <w:r w:rsidR="0087160F" w:rsidRPr="0087160F">
        <w:rPr>
          <w:rFonts w:eastAsia="Times New Roman"/>
          <w:noProof/>
        </w:rPr>
        <w:t>(Gupta,</w:t>
      </w:r>
      <w:r w:rsidR="00E15D14">
        <w:rPr>
          <w:rFonts w:eastAsia="Times New Roman"/>
          <w:noProof/>
        </w:rPr>
        <w:t xml:space="preserve"> Raghuwanshi </w:t>
      </w:r>
      <w:r w:rsidR="00A74AC8">
        <w:rPr>
          <w:rFonts w:eastAsia="Times New Roman"/>
          <w:noProof/>
        </w:rPr>
        <w:t>&amp;</w:t>
      </w:r>
      <w:r w:rsidR="00E15D14">
        <w:rPr>
          <w:rFonts w:eastAsia="Times New Roman"/>
          <w:noProof/>
        </w:rPr>
        <w:t xml:space="preserve"> Chanda,</w:t>
      </w:r>
      <w:r w:rsidR="0087160F" w:rsidRPr="0087160F">
        <w:rPr>
          <w:rFonts w:eastAsia="Times New Roman"/>
          <w:noProof/>
        </w:rPr>
        <w:t xml:space="preserve"> 2020)</w:t>
      </w:r>
      <w:r w:rsidR="0087160F">
        <w:rPr>
          <w:rFonts w:eastAsia="Times New Roman"/>
        </w:rPr>
        <w:fldChar w:fldCharType="end"/>
      </w:r>
      <w:r w:rsidR="00A215A2" w:rsidRPr="00532EF4">
        <w:rPr>
          <w:rFonts w:eastAsia="Times New Roman"/>
        </w:rPr>
        <w:t>.</w:t>
      </w:r>
      <w:r w:rsidR="00C42431" w:rsidRPr="00532EF4">
        <w:rPr>
          <w:rStyle w:val="FootnoteReference"/>
          <w:rFonts w:eastAsia="Times New Roman"/>
        </w:rPr>
        <w:footnoteReference w:id="13"/>
      </w:r>
      <w:bookmarkStart w:id="2" w:name="bbb0015"/>
      <w:bookmarkStart w:id="3" w:name="bbb0020"/>
      <w:bookmarkStart w:id="4" w:name="bbb0140"/>
      <w:r w:rsidR="00C664D9" w:rsidRPr="00532EF4">
        <w:rPr>
          <w:rFonts w:eastAsia="Times New Roman"/>
        </w:rPr>
        <w:t xml:space="preserve"> Recently, the stability of COVID-19 has been reported to be similar to that of SARS CoV-1 on various types of inanimate surfaces in specific weather conditions</w:t>
      </w:r>
      <w:r w:rsidR="0087160F">
        <w:rPr>
          <w:rFonts w:eastAsia="Times New Roman"/>
        </w:rPr>
        <w:t xml:space="preserve"> </w:t>
      </w:r>
      <w:r w:rsidR="0087160F">
        <w:rPr>
          <w:rFonts w:eastAsia="Times New Roman"/>
        </w:rPr>
        <w:fldChar w:fldCharType="begin" w:fldLock="1"/>
      </w:r>
      <w:r w:rsidR="0087160F">
        <w:rPr>
          <w:rFonts w:eastAsia="Times New Roman"/>
        </w:rPr>
        <w:instrText>ADDIN CSL_CITATION {"citationItems":[{"id":"ITEM-1","itemData":{"DOI":"10.1056/NEJMc2004973","ISSN":"0028-4793","author":[{"dropping-particle":"","family":"Doremalen","given":"Neeltje","non-dropping-particle":"van","parse-names":false,"suffix":""},{"dropping-particle":"","family":"Bushmaker","given":"Trenton","non-dropping-particle":"","parse-names":false,"suffix":""},{"dropping-particle":"","family":"Morris","given":"Dylan H.","non-dropping-particle":"","parse-names":false,"suffix":""},{"dropping-particle":"","family":"Holbrook","given":"Myndi G.","non-dropping-particle":"","parse-names":false,"suffix":""},{"dropping-particle":"","family":"Gamble","given":"Amandine","non-dropping-particle":"","parse-names":false,"suffix":""},{"dropping-particle":"","family":"Williamson","given":"Brandi N.","non-dropping-particle":"","parse-names":false,"suffix":""},{"dropping-particle":"","family":"Tamin","given":"Azaibi","non-dropping-particle":"","parse-names":false,"suffix":""},{"dropping-particle":"","family":"Harcourt","given":"Jennifer L.","non-dropping-particle":"","parse-names":false,"suffix":""},{"dropping-particle":"","family":"Thornburg","given":"Natalie J.","non-dropping-particle":"","parse-names":false,"suffix":""},{"dropping-particle":"","family":"Gerber","given":"Susan I.","non-dropping-particle":"","parse-names":false,"suffix":""},{"dropping-particle":"","family":"Lloyd-Smith","given":"James O.","non-dropping-particle":"","parse-names":false,"suffix":""},{"dropping-particle":"","family":"Wit","given":"Emmie","non-dropping-particle":"de","parse-names":false,"suffix":""},{"dropping-particle":"","family":"Munster","given":"Vincent J.","non-dropping-particle":"","parse-names":false,"suffix":""}],"container-title":"New England Journal of Medicine","id":"ITEM-1","issue":"16","issued":{"date-parts":[["2020","4","16"]]},"page":"1564-1567","title":"Aerosol and Surface Stability of SARS-CoV-2 as Compared with SARS-CoV-1","type":"article-journal","volume":"382"},"uris":["http://www.mendeley.com/documents/?uuid=b7827b88-d08e-45a3-a1b5-199087fc0821"]}],"mendeley":{"formattedCitation":"(van Doremalen et al., 2020)","plainTextFormattedCitation":"(van Doremalen et al., 2020)","previouslyFormattedCitation":"(van Doremalen et al., 2020)"},"properties":{"noteIndex":0},"schema":"https://github.com/citation-style-language/schema/raw/master/csl-citation.json"}</w:instrText>
      </w:r>
      <w:r w:rsidR="0087160F">
        <w:rPr>
          <w:rFonts w:eastAsia="Times New Roman"/>
        </w:rPr>
        <w:fldChar w:fldCharType="separate"/>
      </w:r>
      <w:r w:rsidR="0087160F" w:rsidRPr="0087160F">
        <w:rPr>
          <w:rFonts w:eastAsia="Times New Roman"/>
          <w:noProof/>
        </w:rPr>
        <w:t>(van Doremalen et al., 2020)</w:t>
      </w:r>
      <w:r w:rsidR="0087160F">
        <w:rPr>
          <w:rFonts w:eastAsia="Times New Roman"/>
        </w:rPr>
        <w:fldChar w:fldCharType="end"/>
      </w:r>
      <w:r w:rsidR="00C664D9" w:rsidRPr="00532EF4">
        <w:rPr>
          <w:rFonts w:eastAsia="Times New Roman"/>
        </w:rPr>
        <w:t xml:space="preserve">. </w:t>
      </w:r>
      <w:r w:rsidR="009D3166" w:rsidRPr="00532EF4">
        <w:rPr>
          <w:rFonts w:eastAsia="Times New Roman"/>
        </w:rPr>
        <w:t xml:space="preserve"> Thus, in our case</w:t>
      </w:r>
      <w:r w:rsidR="003B5D19" w:rsidRPr="00532EF4">
        <w:rPr>
          <w:rFonts w:eastAsia="Times New Roman"/>
        </w:rPr>
        <w:t xml:space="preserve"> study</w:t>
      </w:r>
      <w:r w:rsidR="008C02C9" w:rsidRPr="00532EF4">
        <w:rPr>
          <w:rFonts w:eastAsia="Times New Roman"/>
        </w:rPr>
        <w:t xml:space="preserve">, </w:t>
      </w:r>
      <w:r w:rsidR="003B5D19" w:rsidRPr="00532EF4">
        <w:rPr>
          <w:rFonts w:eastAsia="Times New Roman"/>
        </w:rPr>
        <w:t xml:space="preserve">data </w:t>
      </w:r>
      <w:r w:rsidR="002F0A03" w:rsidRPr="00532EF4">
        <w:rPr>
          <w:rFonts w:eastAsia="Times New Roman"/>
        </w:rPr>
        <w:t>only</w:t>
      </w:r>
      <w:r w:rsidR="003B5D19" w:rsidRPr="00532EF4">
        <w:rPr>
          <w:rFonts w:eastAsia="Times New Roman"/>
        </w:rPr>
        <w:t xml:space="preserve"> </w:t>
      </w:r>
      <w:r w:rsidR="002F0A03" w:rsidRPr="00532EF4">
        <w:rPr>
          <w:rFonts w:eastAsia="Times New Roman"/>
        </w:rPr>
        <w:t xml:space="preserve">on </w:t>
      </w:r>
      <w:r w:rsidR="009D3166" w:rsidRPr="00532EF4">
        <w:rPr>
          <w:rFonts w:eastAsia="Times New Roman"/>
        </w:rPr>
        <w:t>temperature and precipitation</w:t>
      </w:r>
      <w:r w:rsidR="003B5D19" w:rsidRPr="00532EF4">
        <w:rPr>
          <w:rFonts w:eastAsia="Times New Roman"/>
        </w:rPr>
        <w:t xml:space="preserve"> </w:t>
      </w:r>
      <w:r w:rsidR="00AD13A6" w:rsidRPr="00532EF4">
        <w:rPr>
          <w:rFonts w:eastAsia="Times New Roman"/>
        </w:rPr>
        <w:t xml:space="preserve">are considered </w:t>
      </w:r>
      <w:r w:rsidR="009D3166" w:rsidRPr="00532EF4">
        <w:rPr>
          <w:rFonts w:eastAsia="Times New Roman"/>
        </w:rPr>
        <w:t xml:space="preserve">as </w:t>
      </w:r>
      <w:r w:rsidR="002F0A03" w:rsidRPr="00532EF4">
        <w:rPr>
          <w:rFonts w:eastAsia="Times New Roman"/>
        </w:rPr>
        <w:t>approximate</w:t>
      </w:r>
      <w:r w:rsidR="009D3166" w:rsidRPr="00532EF4">
        <w:rPr>
          <w:rFonts w:eastAsia="Times New Roman"/>
        </w:rPr>
        <w:t xml:space="preserve"> proxies </w:t>
      </w:r>
      <w:r w:rsidR="00AD13A6" w:rsidRPr="00532EF4">
        <w:rPr>
          <w:rFonts w:eastAsia="Times New Roman"/>
        </w:rPr>
        <w:t>for</w:t>
      </w:r>
      <w:r w:rsidR="009D3166" w:rsidRPr="00532EF4">
        <w:rPr>
          <w:rFonts w:eastAsia="Times New Roman"/>
        </w:rPr>
        <w:t xml:space="preserve"> </w:t>
      </w:r>
      <w:r w:rsidR="00CB3F5F" w:rsidRPr="00532EF4">
        <w:rPr>
          <w:rFonts w:eastAsia="Times New Roman"/>
        </w:rPr>
        <w:t>weather</w:t>
      </w:r>
      <w:r w:rsidR="009D3166" w:rsidRPr="00532EF4">
        <w:rPr>
          <w:rFonts w:eastAsia="Times New Roman"/>
        </w:rPr>
        <w:t xml:space="preserve"> conditions</w:t>
      </w:r>
      <w:r w:rsidR="00AD13A6" w:rsidRPr="00532EF4">
        <w:rPr>
          <w:rFonts w:eastAsia="Times New Roman"/>
        </w:rPr>
        <w:t>, in order</w:t>
      </w:r>
      <w:r w:rsidR="003B5D19" w:rsidRPr="00532EF4">
        <w:rPr>
          <w:rFonts w:eastAsia="Times New Roman"/>
        </w:rPr>
        <w:t xml:space="preserve"> to investigate their causal interaction with </w:t>
      </w:r>
      <w:r w:rsidR="003B5D19" w:rsidRPr="00532EF4">
        <w:t>the critical variable (</w:t>
      </w:r>
      <m:oMath>
        <m:r>
          <w:rPr>
            <w:rFonts w:ascii="Cambria Math" w:hAnsi="Cambria Math"/>
          </w:rPr>
          <m:t>Y</m:t>
        </m:r>
      </m:oMath>
      <w:r w:rsidR="003B5D19" w:rsidRPr="00532EF4">
        <w:t>) which measures the daily number of COVID-19 cases for scenarios’ formulation.</w:t>
      </w:r>
      <w:r w:rsidR="00320DAD" w:rsidRPr="00532EF4">
        <w:rPr>
          <w:rStyle w:val="FootnoteReference"/>
        </w:rPr>
        <w:footnoteReference w:id="14"/>
      </w:r>
      <w:r w:rsidR="009D3166" w:rsidRPr="00532EF4">
        <w:rPr>
          <w:rFonts w:eastAsia="Times New Roman"/>
        </w:rPr>
        <w:t xml:space="preserve"> </w:t>
      </w:r>
      <w:bookmarkEnd w:id="2"/>
      <w:bookmarkEnd w:id="3"/>
      <w:bookmarkEnd w:id="4"/>
      <w:r w:rsidR="00733522" w:rsidRPr="00532EF4">
        <w:t>H</w:t>
      </w:r>
      <w:r w:rsidR="005B539F" w:rsidRPr="00532EF4">
        <w:t xml:space="preserve">istorical data for the United States </w:t>
      </w:r>
      <w:r w:rsidR="00FB4909" w:rsidRPr="00532EF4">
        <w:t>on</w:t>
      </w:r>
      <w:r w:rsidR="005B539F" w:rsidRPr="00532EF4">
        <w:t xml:space="preserve"> the state and county level </w:t>
      </w:r>
      <w:r w:rsidR="00733522" w:rsidRPr="00532EF4">
        <w:t xml:space="preserve">is collected </w:t>
      </w:r>
      <w:r w:rsidR="005B539F" w:rsidRPr="00532EF4">
        <w:t xml:space="preserve">from </w:t>
      </w:r>
      <w:r w:rsidR="006F2DDE" w:rsidRPr="00532EF4">
        <w:t>23</w:t>
      </w:r>
      <w:r w:rsidR="006F2DDE" w:rsidRPr="00532EF4">
        <w:rPr>
          <w:vertAlign w:val="superscript"/>
        </w:rPr>
        <w:t>r</w:t>
      </w:r>
      <w:r w:rsidR="005B539F" w:rsidRPr="00532EF4">
        <w:rPr>
          <w:vertAlign w:val="superscript"/>
        </w:rPr>
        <w:t>d</w:t>
      </w:r>
      <w:r w:rsidR="005B539F" w:rsidRPr="00532EF4">
        <w:t xml:space="preserve"> January till </w:t>
      </w:r>
      <w:r w:rsidR="006F2DDE" w:rsidRPr="00532EF4">
        <w:t>3</w:t>
      </w:r>
      <w:r w:rsidR="005B539F" w:rsidRPr="00532EF4">
        <w:t>1</w:t>
      </w:r>
      <w:r w:rsidR="005B539F" w:rsidRPr="00532EF4">
        <w:rPr>
          <w:vertAlign w:val="superscript"/>
        </w:rPr>
        <w:t>st</w:t>
      </w:r>
      <w:r w:rsidR="006F2DDE" w:rsidRPr="00532EF4">
        <w:t xml:space="preserve"> May</w:t>
      </w:r>
      <w:r w:rsidR="005B539F" w:rsidRPr="00532EF4">
        <w:t xml:space="preserve"> 2020</w:t>
      </w:r>
      <w:r w:rsidR="000D412A" w:rsidRPr="00532EF4">
        <w:t>.</w:t>
      </w:r>
      <w:r w:rsidR="0026681E" w:rsidRPr="00532EF4">
        <w:rPr>
          <w:rStyle w:val="FootnoteReference"/>
        </w:rPr>
        <w:footnoteReference w:id="15"/>
      </w:r>
      <w:r w:rsidR="005B539F" w:rsidRPr="00532EF4">
        <w:t xml:space="preserve"> The st</w:t>
      </w:r>
      <w:r w:rsidR="007C0886" w:rsidRPr="00532EF4">
        <w:t>ate and county files contain FIP</w:t>
      </w:r>
      <w:r w:rsidR="005B539F" w:rsidRPr="00532EF4">
        <w:t>S</w:t>
      </w:r>
      <w:r w:rsidR="00FA0C25" w:rsidRPr="00532EF4">
        <w:rPr>
          <w:rStyle w:val="FootnoteReference"/>
        </w:rPr>
        <w:footnoteReference w:id="16"/>
      </w:r>
      <w:r w:rsidR="005B539F" w:rsidRPr="00532EF4">
        <w:t xml:space="preserve"> codes, which is a standard geographic identifier to </w:t>
      </w:r>
      <w:r w:rsidR="00C23D0E" w:rsidRPr="00532EF4">
        <w:t>facilitate</w:t>
      </w:r>
      <w:r w:rsidR="005B539F" w:rsidRPr="00532EF4">
        <w:t xml:space="preserve"> our analysis as it permits the combination of this data with temperature and precipitation data</w:t>
      </w:r>
      <w:r w:rsidR="000D412A" w:rsidRPr="00532EF4">
        <w:t xml:space="preserve"> </w:t>
      </w:r>
      <w:r w:rsidR="00DF16C8" w:rsidRPr="00532EF4">
        <w:t xml:space="preserve">retrieved </w:t>
      </w:r>
      <w:r w:rsidR="000D412A" w:rsidRPr="00532EF4">
        <w:t xml:space="preserve">from </w:t>
      </w:r>
      <w:r w:rsidR="00F92343" w:rsidRPr="00532EF4">
        <w:t xml:space="preserve">the National Oceanic and Atmospheric Administration </w:t>
      </w:r>
      <w:r w:rsidR="00F92343" w:rsidRPr="00532EF4">
        <w:lastRenderedPageBreak/>
        <w:t>(</w:t>
      </w:r>
      <w:r w:rsidR="000D412A" w:rsidRPr="00532EF4">
        <w:t>NOAA</w:t>
      </w:r>
      <w:r w:rsidR="00F92343" w:rsidRPr="00532EF4">
        <w:t>) of the United States</w:t>
      </w:r>
      <w:r w:rsidR="005B539F" w:rsidRPr="00532EF4">
        <w:t>.</w:t>
      </w:r>
      <w:r w:rsidR="00F92343" w:rsidRPr="00532EF4">
        <w:rPr>
          <w:rStyle w:val="FootnoteReference"/>
        </w:rPr>
        <w:footnoteReference w:id="17"/>
      </w:r>
      <w:r w:rsidR="00F92343" w:rsidRPr="00532EF4">
        <w:t xml:space="preserve"> </w:t>
      </w:r>
      <w:r w:rsidR="002F0A03" w:rsidRPr="00532EF4">
        <w:t xml:space="preserve">The treatment proposed herein can be easily extended to </w:t>
      </w:r>
      <w:r w:rsidR="00EE39E2" w:rsidRPr="00532EF4">
        <w:t xml:space="preserve">include </w:t>
      </w:r>
      <w:r w:rsidR="002F0A03" w:rsidRPr="00532EF4">
        <w:t>other factors once data on them become available.</w:t>
      </w:r>
    </w:p>
    <w:p w14:paraId="757820E5" w14:textId="0F10597F" w:rsidR="0026681E" w:rsidRDefault="00C8097A" w:rsidP="00814648">
      <w:pPr>
        <w:spacing w:before="120" w:after="120" w:line="360" w:lineRule="auto"/>
        <w:ind w:firstLine="284"/>
        <w:jc w:val="both"/>
      </w:pPr>
      <w:r w:rsidRPr="00814648">
        <w:t xml:space="preserve">In order to determine what influencing factors are likely to </w:t>
      </w:r>
      <w:r w:rsidR="00181ADF" w:rsidRPr="00814648">
        <w:t>effect</w:t>
      </w:r>
      <w:r w:rsidRPr="00814648">
        <w:t xml:space="preserve">, </w:t>
      </w:r>
      <w:r w:rsidR="0002230D">
        <w:t>various</w:t>
      </w:r>
      <w:r w:rsidR="00FB6FA8" w:rsidRPr="00814648">
        <w:t xml:space="preserve"> scenarios of the pandemic </w:t>
      </w:r>
      <w:r w:rsidR="00733522" w:rsidRPr="00902D29">
        <w:t>are defined</w:t>
      </w:r>
      <w:r w:rsidR="00FB6FA8" w:rsidRPr="009F1C67">
        <w:t xml:space="preserve"> </w:t>
      </w:r>
      <w:r w:rsidR="008B52F3" w:rsidRPr="009F1C67">
        <w:t xml:space="preserve">as </w:t>
      </w:r>
      <w:r w:rsidR="009F1C67" w:rsidRPr="009F1C67">
        <w:t>appropriate</w:t>
      </w:r>
      <w:r w:rsidR="00FC7C15" w:rsidRPr="009F1C67">
        <w:t xml:space="preserve"> and customizable</w:t>
      </w:r>
      <w:r w:rsidR="008B52F3" w:rsidRPr="009F1C67">
        <w:t xml:space="preserve"> as</w:t>
      </w:r>
      <w:r w:rsidR="008B52F3">
        <w:t xml:space="preserve"> </w:t>
      </w:r>
      <w:r w:rsidR="00FB6FA8" w:rsidRPr="00814648">
        <w:t>possible.</w:t>
      </w:r>
      <w:r w:rsidRPr="00814648">
        <w:t xml:space="preserve"> </w:t>
      </w:r>
      <w:r w:rsidR="00814648">
        <w:t xml:space="preserve">This </w:t>
      </w:r>
      <w:r w:rsidR="00814648">
        <w:rPr>
          <w:color w:val="000000"/>
        </w:rPr>
        <w:t>s</w:t>
      </w:r>
      <w:r w:rsidR="00814648" w:rsidRPr="00814648">
        <w:rPr>
          <w:color w:val="000000"/>
        </w:rPr>
        <w:t xml:space="preserve">cenario planning </w:t>
      </w:r>
      <w:r w:rsidR="00814648">
        <w:rPr>
          <w:color w:val="000000"/>
        </w:rPr>
        <w:t>is</w:t>
      </w:r>
      <w:r w:rsidR="00814648" w:rsidRPr="00814648">
        <w:rPr>
          <w:color w:val="000000"/>
        </w:rPr>
        <w:t xml:space="preserve"> used as a</w:t>
      </w:r>
      <w:r w:rsidR="00814648">
        <w:rPr>
          <w:color w:val="000000"/>
        </w:rPr>
        <w:t>n important</w:t>
      </w:r>
      <w:r w:rsidR="00814648" w:rsidRPr="00814648">
        <w:rPr>
          <w:color w:val="000000"/>
        </w:rPr>
        <w:t xml:space="preserve"> basis for </w:t>
      </w:r>
      <w:r w:rsidR="00814648" w:rsidRPr="009F1C67">
        <w:rPr>
          <w:color w:val="000000"/>
        </w:rPr>
        <w:t>robust</w:t>
      </w:r>
      <w:r w:rsidR="00814648">
        <w:rPr>
          <w:color w:val="000000"/>
        </w:rPr>
        <w:t xml:space="preserve"> strategic decision-making, and as such to </w:t>
      </w:r>
      <w:r w:rsidR="00CB66E3">
        <w:rPr>
          <w:color w:val="000000"/>
        </w:rPr>
        <w:t>mitigate</w:t>
      </w:r>
      <w:r w:rsidR="00814648" w:rsidRPr="00814648">
        <w:rPr>
          <w:color w:val="000000"/>
        </w:rPr>
        <w:t xml:space="preserve"> overwhelming uncertainty and create logical, consistent stories of how the </w:t>
      </w:r>
      <w:r w:rsidR="00814648">
        <w:rPr>
          <w:color w:val="000000"/>
        </w:rPr>
        <w:t xml:space="preserve">pandemic </w:t>
      </w:r>
      <w:r w:rsidR="00814648" w:rsidRPr="00814648">
        <w:rPr>
          <w:color w:val="000000"/>
        </w:rPr>
        <w:t xml:space="preserve">situation might unfold. </w:t>
      </w:r>
      <w:r>
        <w:t>Further</w:t>
      </w:r>
      <w:r w:rsidR="0026681E">
        <w:t>,</w:t>
      </w:r>
      <w:r w:rsidR="009D7E2D">
        <w:t xml:space="preserve"> </w:t>
      </w:r>
      <w:r w:rsidR="0026681E">
        <w:t xml:space="preserve">the frequency distribution of </w:t>
      </w:r>
      <w:r w:rsidR="0026681E">
        <w:rPr>
          <w:i/>
          <w:iCs/>
        </w:rPr>
        <w:t>Y</w:t>
      </w:r>
      <w:r w:rsidR="0026681E">
        <w:t xml:space="preserve">, at </w:t>
      </w:r>
      <w:r w:rsidR="00FB08D2">
        <w:t xml:space="preserve">the </w:t>
      </w:r>
      <w:r w:rsidR="0026681E">
        <w:t>federal level</w:t>
      </w:r>
      <w:r w:rsidR="009D7E2D" w:rsidRPr="009D7E2D">
        <w:rPr>
          <w:color w:val="FF0000"/>
        </w:rPr>
        <w:t xml:space="preserve"> </w:t>
      </w:r>
      <w:r w:rsidR="009D7E2D" w:rsidRPr="00902D29">
        <w:t>is computed</w:t>
      </w:r>
      <w:r w:rsidR="0026681E">
        <w:t xml:space="preserve">. As an example, </w:t>
      </w:r>
      <w:r w:rsidR="001061E7">
        <w:t>our</w:t>
      </w:r>
      <w:r w:rsidR="0026681E">
        <w:t xml:space="preserve"> focus </w:t>
      </w:r>
      <w:r w:rsidR="00902D29">
        <w:t xml:space="preserve">will be </w:t>
      </w:r>
      <w:r w:rsidR="0026681E">
        <w:t xml:space="preserve">on the state-specific frequency distributions of </w:t>
      </w:r>
      <w:r w:rsidR="00FB08D2">
        <w:t xml:space="preserve">the </w:t>
      </w:r>
      <w:r w:rsidR="0026681E">
        <w:t xml:space="preserve">three </w:t>
      </w:r>
      <w:r w:rsidR="00FB08D2">
        <w:t xml:space="preserve">most populous </w:t>
      </w:r>
      <w:r w:rsidR="0026681E">
        <w:t>states, namely</w:t>
      </w:r>
      <w:r w:rsidR="00814648">
        <w:t xml:space="preserve"> </w:t>
      </w:r>
      <w:r w:rsidR="0026681E">
        <w:t xml:space="preserve">New York, California, and Illinois. </w:t>
      </w:r>
      <w:r w:rsidR="00814648">
        <w:t>Additionally</w:t>
      </w:r>
      <w:r w:rsidR="0026681E">
        <w:t xml:space="preserve">, some expert sources </w:t>
      </w:r>
      <w:r w:rsidR="009D7E2D" w:rsidRPr="00902D29">
        <w:t xml:space="preserve">are utilized </w:t>
      </w:r>
      <w:r w:rsidR="0026681E">
        <w:t xml:space="preserve">in order to arrange the consequences connected to each scenario. Finally, </w:t>
      </w:r>
      <w:r w:rsidR="00814648">
        <w:t xml:space="preserve">a detailed map of how </w:t>
      </w:r>
      <w:r w:rsidR="00B41BD2">
        <w:t>weather</w:t>
      </w:r>
      <w:r w:rsidR="00814648">
        <w:t xml:space="preserve"> conditions</w:t>
      </w:r>
      <w:r w:rsidR="0026681E">
        <w:t xml:space="preserve"> influence the daily number of cases at the county level</w:t>
      </w:r>
      <w:r w:rsidR="009D7E2D">
        <w:t xml:space="preserve"> </w:t>
      </w:r>
      <w:r w:rsidR="009D7E2D" w:rsidRPr="00902D29">
        <w:t>is presented</w:t>
      </w:r>
      <w:r w:rsidR="0026681E">
        <w:t xml:space="preserve">, again focusing </w:t>
      </w:r>
      <w:r w:rsidR="00FB08D2">
        <w:t xml:space="preserve">on </w:t>
      </w:r>
      <w:r w:rsidR="0026681E">
        <w:t>the</w:t>
      </w:r>
      <w:r w:rsidR="00FB08D2">
        <w:t>se</w:t>
      </w:r>
      <w:r w:rsidR="0026681E">
        <w:t xml:space="preserve"> three states.</w:t>
      </w:r>
    </w:p>
    <w:p w14:paraId="1A80B8B7" w14:textId="77777777" w:rsidR="00720116" w:rsidRPr="00C17558" w:rsidRDefault="00720116" w:rsidP="0026681E">
      <w:pPr>
        <w:spacing w:before="120" w:after="120" w:line="360" w:lineRule="auto"/>
        <w:jc w:val="both"/>
      </w:pPr>
    </w:p>
    <w:p w14:paraId="1C92E8DB" w14:textId="4E7ED5F0" w:rsidR="0026681E" w:rsidRPr="00F75E80" w:rsidRDefault="0026681E" w:rsidP="0026681E">
      <w:pPr>
        <w:pStyle w:val="ListParagraph"/>
        <w:numPr>
          <w:ilvl w:val="1"/>
          <w:numId w:val="5"/>
        </w:num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Scenarios</w:t>
      </w:r>
      <w:r w:rsidR="004135A1">
        <w:rPr>
          <w:rFonts w:ascii="Times New Roman" w:hAnsi="Times New Roman" w:cs="Times New Roman"/>
          <w:b/>
          <w:bCs/>
          <w:sz w:val="24"/>
          <w:szCs w:val="24"/>
        </w:rPr>
        <w:t xml:space="preserve"> (</w:t>
      </w:r>
      <w:proofErr w:type="spellStart"/>
      <w:r w:rsidR="004135A1">
        <w:rPr>
          <w:rFonts w:ascii="Times New Roman" w:hAnsi="Times New Roman" w:cs="Times New Roman"/>
          <w:b/>
          <w:bCs/>
          <w:sz w:val="24"/>
          <w:szCs w:val="24"/>
        </w:rPr>
        <w:t>S</w:t>
      </w:r>
      <w:r w:rsidR="004135A1">
        <w:rPr>
          <w:rFonts w:ascii="Times New Roman" w:hAnsi="Times New Roman" w:cs="Times New Roman"/>
          <w:b/>
          <w:bCs/>
          <w:sz w:val="24"/>
          <w:szCs w:val="24"/>
          <w:vertAlign w:val="subscript"/>
        </w:rPr>
        <w:t>j</w:t>
      </w:r>
      <w:proofErr w:type="spellEnd"/>
      <w:r w:rsidR="004135A1">
        <w:rPr>
          <w:rFonts w:ascii="Times New Roman" w:hAnsi="Times New Roman" w:cs="Times New Roman"/>
          <w:b/>
          <w:bCs/>
          <w:sz w:val="24"/>
          <w:szCs w:val="24"/>
        </w:rPr>
        <w:t>)</w:t>
      </w:r>
    </w:p>
    <w:p w14:paraId="396E5E83" w14:textId="6BED43D3" w:rsidR="0026681E" w:rsidRDefault="0026681E" w:rsidP="000D66C3">
      <w:pPr>
        <w:spacing w:before="120" w:after="120" w:line="360" w:lineRule="auto"/>
        <w:ind w:firstLine="284"/>
        <w:jc w:val="both"/>
      </w:pPr>
      <w:r>
        <w:t>A scenario is a succinct summary which describes what can possibly happen at a specific setup.</w:t>
      </w:r>
      <w:r w:rsidR="001159D0">
        <w:t xml:space="preserve"> </w:t>
      </w:r>
      <w:r>
        <w:t xml:space="preserve">COVID-19 cases </w:t>
      </w:r>
      <w:r w:rsidR="009D7E2D" w:rsidRPr="001061E7">
        <w:t>represent</w:t>
      </w:r>
      <w:r w:rsidRPr="001061E7">
        <w:t xml:space="preserve"> </w:t>
      </w:r>
      <w:r w:rsidR="009D7E2D" w:rsidRPr="001061E7">
        <w:t>our</w:t>
      </w:r>
      <w:r w:rsidRPr="001061E7">
        <w:t xml:space="preserve"> </w:t>
      </w:r>
      <w:r>
        <w:t xml:space="preserve">critical variable which shapes the decision-making </w:t>
      </w:r>
      <w:r w:rsidRPr="00E91F55">
        <w:t xml:space="preserve">scenarios </w:t>
      </w:r>
      <w:r w:rsidR="009D7E2D" w:rsidRPr="00E91F55">
        <w:t>assessed</w:t>
      </w:r>
      <w:r>
        <w:t xml:space="preserve">. </w:t>
      </w:r>
      <w:r w:rsidR="003B0B62">
        <w:t>In the current absence of vaccines and effective drug treatments, the following five scenarios</w:t>
      </w:r>
      <w:r w:rsidR="009D7E2D">
        <w:t xml:space="preserve"> will be considered</w:t>
      </w:r>
      <w:r w:rsidR="003B0B62">
        <w:t>, where the critical variable (</w:t>
      </w:r>
      <m:oMath>
        <m:r>
          <w:rPr>
            <w:rFonts w:ascii="Cambria Math" w:hAnsi="Cambria Math"/>
          </w:rPr>
          <m:t>Y</m:t>
        </m:r>
      </m:oMath>
      <w:r w:rsidR="003B0B62">
        <w:t xml:space="preserve">) is the number of cases, and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ϵ</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r>
          <w:rPr>
            <w:rFonts w:ascii="Cambria Math" w:hAnsi="Cambria Math"/>
          </w:rPr>
          <m:t>,  i=1,2,…,5</m:t>
        </m:r>
      </m:oMath>
      <w:r w:rsidR="003B0B62">
        <w:rPr>
          <w:rFonts w:eastAsiaTheme="minorEastAsia"/>
        </w:rPr>
        <w:t xml:space="preserve"> are predetermined thresholds.  </w:t>
      </w:r>
    </w:p>
    <w:p w14:paraId="5A2C8D59" w14:textId="065776AF" w:rsidR="0026681E" w:rsidRPr="003D7BD2" w:rsidRDefault="0026681E" w:rsidP="0026681E">
      <w:pPr>
        <w:pStyle w:val="ListParagraph"/>
        <w:numPr>
          <w:ilvl w:val="0"/>
          <w:numId w:val="6"/>
        </w:numPr>
        <w:spacing w:before="120" w:after="120" w:line="360" w:lineRule="auto"/>
        <w:jc w:val="both"/>
        <w:rPr>
          <w:rFonts w:ascii="Times New Roman" w:hAnsi="Times New Roman" w:cs="Times New Roman"/>
          <w:sz w:val="24"/>
          <w:szCs w:val="24"/>
        </w:rPr>
      </w:pPr>
      <w:r w:rsidRPr="00EF35EC">
        <w:rPr>
          <w:rFonts w:ascii="Times New Roman" w:hAnsi="Times New Roman" w:cs="Times New Roman"/>
          <w:b/>
          <w:sz w:val="24"/>
          <w:szCs w:val="24"/>
        </w:rPr>
        <w:t>Scenario 1</w:t>
      </w:r>
      <w:r>
        <w:rPr>
          <w:rFonts w:ascii="Times New Roman" w:hAnsi="Times New Roman" w:cs="Times New Roman"/>
          <w:sz w:val="24"/>
          <w:szCs w:val="24"/>
        </w:rPr>
        <w:t xml:space="preserve"> (</w:t>
      </w:r>
      <w:r w:rsidRPr="001B331F">
        <w:rPr>
          <w:rFonts w:ascii="Times New Roman" w:hAnsi="Times New Roman" w:cs="Times New Roman"/>
          <w:b/>
          <w:sz w:val="24"/>
          <w:szCs w:val="24"/>
        </w:rPr>
        <w:t>Tolerable</w:t>
      </w:r>
      <w:r>
        <w:rPr>
          <w:rFonts w:ascii="Times New Roman" w:hAnsi="Times New Roman" w:cs="Times New Roman"/>
          <w:sz w:val="24"/>
          <w:szCs w:val="24"/>
        </w:rPr>
        <w:t xml:space="preserve">): </w:t>
      </w:r>
      <m:oMath>
        <m:r>
          <w:rPr>
            <w:rFonts w:ascii="Cambria Math" w:hAnsi="Cambria Math" w:cs="Times New Roman"/>
            <w:sz w:val="24"/>
            <w:szCs w:val="24"/>
          </w:rPr>
          <m:t>Y&lt;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EF35EC">
        <w:rPr>
          <w:rFonts w:ascii="Times New Roman" w:eastAsiaTheme="minorEastAsia" w:hAnsi="Times New Roman" w:cs="Times New Roman"/>
          <w:sz w:val="24"/>
          <w:szCs w:val="24"/>
        </w:rPr>
        <w:t xml:space="preserve"> : The number of new cases is very manageable for the healthcare system, and the spread of the infection is either steady or slowing down.  </w:t>
      </w:r>
      <w:r w:rsidR="003B0B62">
        <w:rPr>
          <w:rFonts w:ascii="Times New Roman" w:eastAsiaTheme="minorEastAsia" w:hAnsi="Times New Roman" w:cs="Times New Roman"/>
          <w:sz w:val="24"/>
          <w:szCs w:val="24"/>
        </w:rPr>
        <w:t xml:space="preserve"> </w:t>
      </w:r>
    </w:p>
    <w:p w14:paraId="7A376D4A" w14:textId="520031A4" w:rsidR="0026681E" w:rsidRPr="00C364C6" w:rsidRDefault="001159D0" w:rsidP="0026681E">
      <w:pPr>
        <w:pStyle w:val="ListParagraph"/>
        <w:numPr>
          <w:ilvl w:val="0"/>
          <w:numId w:val="6"/>
        </w:numPr>
        <w:spacing w:before="120" w:after="120" w:line="360" w:lineRule="auto"/>
        <w:jc w:val="both"/>
        <w:rPr>
          <w:rFonts w:ascii="Times New Roman" w:hAnsi="Times New Roman" w:cs="Times New Roman"/>
          <w:sz w:val="24"/>
          <w:szCs w:val="24"/>
        </w:rPr>
      </w:pPr>
      <w:r w:rsidRPr="00EF35EC">
        <w:rPr>
          <w:rFonts w:ascii="Times New Roman" w:eastAsiaTheme="minorEastAsia" w:hAnsi="Times New Roman" w:cs="Times New Roman"/>
          <w:b/>
          <w:sz w:val="24"/>
          <w:szCs w:val="24"/>
        </w:rPr>
        <w:t>Scenario 2</w:t>
      </w:r>
      <w:r>
        <w:rPr>
          <w:rFonts w:ascii="Times New Roman" w:eastAsiaTheme="minorEastAsia" w:hAnsi="Times New Roman" w:cs="Times New Roman"/>
          <w:sz w:val="24"/>
          <w:szCs w:val="24"/>
        </w:rPr>
        <w:t xml:space="preserve"> (</w:t>
      </w:r>
      <w:r w:rsidRPr="001B331F">
        <w:rPr>
          <w:rFonts w:ascii="Times New Roman" w:eastAsiaTheme="minorEastAsia" w:hAnsi="Times New Roman" w:cs="Times New Roman"/>
          <w:b/>
          <w:sz w:val="24"/>
          <w:szCs w:val="24"/>
        </w:rPr>
        <w:t>Risky:</w:t>
      </w:r>
      <w:r w:rsidR="0026681E" w:rsidRPr="001B331F">
        <w:rPr>
          <w:rFonts w:ascii="Times New Roman" w:eastAsiaTheme="minorEastAsia" w:hAnsi="Times New Roman" w:cs="Times New Roman"/>
          <w:b/>
          <w:sz w:val="24"/>
          <w:szCs w:val="24"/>
        </w:rPr>
        <w:t xml:space="preserve"> Warning</w:t>
      </w:r>
      <w:r w:rsidR="0026681E">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≤Y&lt;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T</w:t>
      </w:r>
      <w:r w:rsidR="00EF35EC">
        <w:rPr>
          <w:rFonts w:ascii="Times New Roman" w:eastAsiaTheme="minorEastAsia" w:hAnsi="Times New Roman" w:cs="Times New Roman"/>
          <w:sz w:val="24"/>
          <w:szCs w:val="24"/>
        </w:rPr>
        <w:t xml:space="preserve">he number of new cases is manageable for the healthcare </w:t>
      </w:r>
      <w:r w:rsidR="003C3E14">
        <w:rPr>
          <w:rFonts w:ascii="Times New Roman" w:eastAsiaTheme="minorEastAsia" w:hAnsi="Times New Roman" w:cs="Times New Roman"/>
          <w:sz w:val="24"/>
          <w:szCs w:val="24"/>
        </w:rPr>
        <w:t>system;</w:t>
      </w:r>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however,</w:t>
      </w:r>
      <w:r w:rsidR="00EF35EC">
        <w:rPr>
          <w:rFonts w:ascii="Times New Roman" w:eastAsiaTheme="minorEastAsia" w:hAnsi="Times New Roman" w:cs="Times New Roman"/>
          <w:sz w:val="24"/>
          <w:szCs w:val="24"/>
        </w:rPr>
        <w:t xml:space="preserve"> the spread of the infection is slightly increasing. </w:t>
      </w:r>
    </w:p>
    <w:p w14:paraId="3B68A78B" w14:textId="4D9A557B" w:rsidR="0026681E" w:rsidRPr="002D0B79" w:rsidRDefault="001159D0" w:rsidP="0026681E">
      <w:pPr>
        <w:pStyle w:val="ListParagraph"/>
        <w:numPr>
          <w:ilvl w:val="0"/>
          <w:numId w:val="6"/>
        </w:numPr>
        <w:spacing w:before="120" w:after="120" w:line="360" w:lineRule="auto"/>
        <w:jc w:val="both"/>
        <w:rPr>
          <w:rFonts w:ascii="Times New Roman" w:hAnsi="Times New Roman" w:cs="Times New Roman"/>
          <w:sz w:val="24"/>
          <w:szCs w:val="24"/>
        </w:rPr>
      </w:pPr>
      <w:r w:rsidRPr="001B331F">
        <w:rPr>
          <w:rFonts w:ascii="Times New Roman" w:eastAsiaTheme="minorEastAsia" w:hAnsi="Times New Roman" w:cs="Times New Roman"/>
          <w:b/>
          <w:sz w:val="24"/>
          <w:szCs w:val="24"/>
        </w:rPr>
        <w:t>Scenario 3</w:t>
      </w:r>
      <w:r>
        <w:rPr>
          <w:rFonts w:ascii="Times New Roman" w:eastAsiaTheme="minorEastAsia" w:hAnsi="Times New Roman" w:cs="Times New Roman"/>
          <w:sz w:val="24"/>
          <w:szCs w:val="24"/>
        </w:rPr>
        <w:t xml:space="preserve"> (</w:t>
      </w:r>
      <w:r w:rsidRPr="001B331F">
        <w:rPr>
          <w:rFonts w:ascii="Times New Roman" w:eastAsiaTheme="minorEastAsia" w:hAnsi="Times New Roman" w:cs="Times New Roman"/>
          <w:b/>
          <w:sz w:val="24"/>
          <w:szCs w:val="24"/>
        </w:rPr>
        <w:t>Risky:</w:t>
      </w:r>
      <w:r w:rsidR="0026681E" w:rsidRPr="001B331F">
        <w:rPr>
          <w:rFonts w:ascii="Times New Roman" w:eastAsiaTheme="minorEastAsia" w:hAnsi="Times New Roman" w:cs="Times New Roman"/>
          <w:b/>
          <w:sz w:val="24"/>
          <w:szCs w:val="24"/>
        </w:rPr>
        <w:t xml:space="preserve"> Alarming</w:t>
      </w:r>
      <w:r w:rsidR="0026681E">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≤Y&lt;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oMath>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The number of new cases is</w:t>
      </w:r>
      <w:r w:rsidR="00EF35EC">
        <w:rPr>
          <w:rFonts w:ascii="Times New Roman" w:eastAsiaTheme="minorEastAsia" w:hAnsi="Times New Roman" w:cs="Times New Roman"/>
          <w:sz w:val="24"/>
          <w:szCs w:val="24"/>
        </w:rPr>
        <w:t xml:space="preserve"> manageable</w:t>
      </w:r>
      <w:r w:rsidR="003C3E14">
        <w:rPr>
          <w:rFonts w:ascii="Times New Roman" w:eastAsiaTheme="minorEastAsia" w:hAnsi="Times New Roman" w:cs="Times New Roman"/>
          <w:sz w:val="24"/>
          <w:szCs w:val="24"/>
        </w:rPr>
        <w:t xml:space="preserve"> for the healthcare system;</w:t>
      </w:r>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however,</w:t>
      </w:r>
      <w:r w:rsidR="00EF35EC">
        <w:rPr>
          <w:rFonts w:ascii="Times New Roman" w:eastAsiaTheme="minorEastAsia" w:hAnsi="Times New Roman" w:cs="Times New Roman"/>
          <w:sz w:val="24"/>
          <w:szCs w:val="24"/>
        </w:rPr>
        <w:t xml:space="preserve"> the spread of the infection is steadily increasing.  </w:t>
      </w:r>
    </w:p>
    <w:p w14:paraId="38F05C7C" w14:textId="1DBD32E5" w:rsidR="0026681E" w:rsidRPr="002D0B79" w:rsidRDefault="001159D0" w:rsidP="0026681E">
      <w:pPr>
        <w:pStyle w:val="ListParagraph"/>
        <w:numPr>
          <w:ilvl w:val="0"/>
          <w:numId w:val="6"/>
        </w:numPr>
        <w:spacing w:before="120" w:after="120" w:line="360" w:lineRule="auto"/>
        <w:jc w:val="both"/>
        <w:rPr>
          <w:rFonts w:ascii="Times New Roman" w:hAnsi="Times New Roman" w:cs="Times New Roman"/>
          <w:sz w:val="24"/>
          <w:szCs w:val="24"/>
        </w:rPr>
      </w:pPr>
      <w:r w:rsidRPr="001B331F">
        <w:rPr>
          <w:rFonts w:ascii="Times New Roman" w:eastAsiaTheme="minorEastAsia" w:hAnsi="Times New Roman" w:cs="Times New Roman"/>
          <w:b/>
          <w:sz w:val="24"/>
          <w:szCs w:val="24"/>
        </w:rPr>
        <w:t>Scenario 4</w:t>
      </w:r>
      <w:r>
        <w:rPr>
          <w:rFonts w:ascii="Times New Roman" w:eastAsiaTheme="minorEastAsia" w:hAnsi="Times New Roman" w:cs="Times New Roman"/>
          <w:sz w:val="24"/>
          <w:szCs w:val="24"/>
        </w:rPr>
        <w:t xml:space="preserve"> (</w:t>
      </w:r>
      <w:r w:rsidRPr="001B331F">
        <w:rPr>
          <w:rFonts w:ascii="Times New Roman" w:eastAsiaTheme="minorEastAsia" w:hAnsi="Times New Roman" w:cs="Times New Roman"/>
          <w:b/>
          <w:sz w:val="24"/>
          <w:szCs w:val="24"/>
        </w:rPr>
        <w:t>Risky:</w:t>
      </w:r>
      <w:r w:rsidR="0026681E" w:rsidRPr="001B331F">
        <w:rPr>
          <w:rFonts w:ascii="Times New Roman" w:eastAsiaTheme="minorEastAsia" w:hAnsi="Times New Roman" w:cs="Times New Roman"/>
          <w:b/>
          <w:sz w:val="24"/>
          <w:szCs w:val="24"/>
        </w:rPr>
        <w:t xml:space="preserve"> Critical</w:t>
      </w:r>
      <w:r w:rsidR="0026681E">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3</m:t>
            </m:r>
          </m:sub>
        </m:sSub>
        <m:r>
          <w:rPr>
            <w:rFonts w:ascii="Cambria Math" w:hAnsi="Cambria Math" w:cs="Times New Roman"/>
            <w:sz w:val="24"/>
            <w:szCs w:val="24"/>
          </w:rPr>
          <m:t>≤Y&lt;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T</w:t>
      </w:r>
      <w:r w:rsidR="00EF35EC">
        <w:rPr>
          <w:rFonts w:ascii="Times New Roman" w:eastAsiaTheme="minorEastAsia" w:hAnsi="Times New Roman" w:cs="Times New Roman"/>
          <w:sz w:val="24"/>
          <w:szCs w:val="24"/>
        </w:rPr>
        <w:t xml:space="preserve">he number of new cases is still </w:t>
      </w:r>
      <w:r w:rsidR="003C3E14">
        <w:rPr>
          <w:rFonts w:ascii="Times New Roman" w:eastAsiaTheme="minorEastAsia" w:hAnsi="Times New Roman" w:cs="Times New Roman"/>
          <w:sz w:val="24"/>
          <w:szCs w:val="24"/>
        </w:rPr>
        <w:t>manageable;</w:t>
      </w:r>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however,</w:t>
      </w:r>
      <w:r w:rsidR="00EF35EC">
        <w:rPr>
          <w:rFonts w:ascii="Times New Roman" w:eastAsiaTheme="minorEastAsia" w:hAnsi="Times New Roman" w:cs="Times New Roman"/>
          <w:sz w:val="24"/>
          <w:szCs w:val="24"/>
        </w:rPr>
        <w:t xml:space="preserve"> the spread of the infection has increased significantly. </w:t>
      </w:r>
    </w:p>
    <w:p w14:paraId="7818C47B" w14:textId="7E5647FD" w:rsidR="0026681E" w:rsidRPr="005E3D4C" w:rsidRDefault="0026681E" w:rsidP="0026681E">
      <w:pPr>
        <w:pStyle w:val="ListParagraph"/>
        <w:numPr>
          <w:ilvl w:val="0"/>
          <w:numId w:val="6"/>
        </w:numPr>
        <w:spacing w:before="120" w:after="120" w:line="360" w:lineRule="auto"/>
        <w:jc w:val="both"/>
        <w:rPr>
          <w:rFonts w:ascii="Times New Roman" w:hAnsi="Times New Roman" w:cs="Times New Roman"/>
          <w:sz w:val="24"/>
          <w:szCs w:val="24"/>
        </w:rPr>
      </w:pPr>
      <w:r w:rsidRPr="001B331F">
        <w:rPr>
          <w:rFonts w:ascii="Times New Roman" w:eastAsiaTheme="minorEastAsia" w:hAnsi="Times New Roman" w:cs="Times New Roman"/>
          <w:b/>
          <w:sz w:val="24"/>
          <w:szCs w:val="24"/>
        </w:rPr>
        <w:lastRenderedPageBreak/>
        <w:t>Scenario 5</w:t>
      </w:r>
      <w:r>
        <w:rPr>
          <w:rFonts w:ascii="Times New Roman" w:eastAsiaTheme="minorEastAsia" w:hAnsi="Times New Roman" w:cs="Times New Roman"/>
          <w:sz w:val="24"/>
          <w:szCs w:val="24"/>
        </w:rPr>
        <w:t xml:space="preserve"> (</w:t>
      </w:r>
      <w:r w:rsidRPr="001B331F">
        <w:rPr>
          <w:rFonts w:ascii="Times New Roman" w:eastAsiaTheme="minorEastAsia" w:hAnsi="Times New Roman" w:cs="Times New Roman"/>
          <w:b/>
          <w:sz w:val="24"/>
          <w:szCs w:val="24"/>
        </w:rPr>
        <w:t>Catastrophic</w:t>
      </w:r>
      <w:r>
        <w:rPr>
          <w:rFonts w:ascii="Times New Roman" w:eastAsiaTheme="minorEastAsia" w:hAnsi="Times New Roman" w:cs="Times New Roman"/>
          <w:sz w:val="24"/>
          <w:szCs w:val="24"/>
        </w:rPr>
        <w:t xml:space="preserve">):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4</m:t>
            </m:r>
          </m:sub>
        </m:sSub>
      </m:oMath>
      <w:r w:rsidR="00EF35EC">
        <w:rPr>
          <w:rFonts w:ascii="Times New Roman" w:eastAsiaTheme="minorEastAsia" w:hAnsi="Times New Roman" w:cs="Times New Roman"/>
          <w:sz w:val="24"/>
          <w:szCs w:val="24"/>
        </w:rPr>
        <w:t xml:space="preserve">: </w:t>
      </w:r>
      <w:r w:rsidR="003C3E14">
        <w:rPr>
          <w:rFonts w:ascii="Times New Roman" w:eastAsiaTheme="minorEastAsia" w:hAnsi="Times New Roman" w:cs="Times New Roman"/>
          <w:sz w:val="24"/>
          <w:szCs w:val="24"/>
        </w:rPr>
        <w:t>The</w:t>
      </w:r>
      <w:r w:rsidR="00EF35EC">
        <w:rPr>
          <w:rFonts w:ascii="Times New Roman" w:eastAsiaTheme="minorEastAsia" w:hAnsi="Times New Roman" w:cs="Times New Roman"/>
          <w:sz w:val="24"/>
          <w:szCs w:val="24"/>
        </w:rPr>
        <w:t xml:space="preserve"> number of new cases is not manageable, and the spread of the infection is </w:t>
      </w:r>
      <w:r w:rsidR="003C3E14">
        <w:rPr>
          <w:rFonts w:ascii="Times New Roman" w:eastAsiaTheme="minorEastAsia" w:hAnsi="Times New Roman" w:cs="Times New Roman"/>
          <w:sz w:val="24"/>
          <w:szCs w:val="24"/>
        </w:rPr>
        <w:t>out of control</w:t>
      </w:r>
      <w:r w:rsidR="00EF35EC">
        <w:rPr>
          <w:rFonts w:ascii="Times New Roman" w:eastAsiaTheme="minorEastAsia" w:hAnsi="Times New Roman" w:cs="Times New Roman"/>
          <w:sz w:val="24"/>
          <w:szCs w:val="24"/>
        </w:rPr>
        <w:t>.</w:t>
      </w:r>
      <w:r w:rsidR="003C3E14">
        <w:rPr>
          <w:rFonts w:ascii="Times New Roman" w:eastAsiaTheme="minorEastAsia" w:hAnsi="Times New Roman" w:cs="Times New Roman"/>
          <w:sz w:val="24"/>
          <w:szCs w:val="24"/>
        </w:rPr>
        <w:t xml:space="preserve"> </w:t>
      </w:r>
      <w:r w:rsidR="00EF35EC">
        <w:rPr>
          <w:rFonts w:ascii="Times New Roman" w:eastAsiaTheme="minorEastAsia" w:hAnsi="Times New Roman" w:cs="Times New Roman"/>
          <w:sz w:val="24"/>
          <w:szCs w:val="24"/>
        </w:rPr>
        <w:t xml:space="preserve"> </w:t>
      </w:r>
    </w:p>
    <w:p w14:paraId="69368ECE" w14:textId="173A012B" w:rsidR="0026681E" w:rsidRDefault="009D7E2D" w:rsidP="000D66C3">
      <w:pPr>
        <w:spacing w:before="120" w:after="120" w:line="360" w:lineRule="auto"/>
        <w:ind w:firstLine="284"/>
        <w:jc w:val="both"/>
      </w:pPr>
      <w:r w:rsidRPr="00046F22">
        <w:t>It is important to reiterate here</w:t>
      </w:r>
      <w:r w:rsidR="00FB2FA2" w:rsidRPr="00046F22">
        <w:t xml:space="preserve"> </w:t>
      </w:r>
      <w:r w:rsidR="00FB2FA2">
        <w:t xml:space="preserve">that our methodology is </w:t>
      </w:r>
      <w:r w:rsidR="002B2C10">
        <w:t xml:space="preserve">very </w:t>
      </w:r>
      <w:proofErr w:type="gramStart"/>
      <w:r w:rsidR="00FB2FA2">
        <w:t>flexible, and</w:t>
      </w:r>
      <w:proofErr w:type="gramEnd"/>
      <w:r w:rsidR="00FB2FA2">
        <w:t xml:space="preserve"> can accommodate many</w:t>
      </w:r>
      <w:r w:rsidR="002B2C10">
        <w:t xml:space="preserve"> possible</w:t>
      </w:r>
      <w:r w:rsidR="00FB2FA2">
        <w:t xml:space="preserve"> scenarios</w:t>
      </w:r>
      <w:r w:rsidR="002B2C10">
        <w:t xml:space="preserve"> with a variety of predefined</w:t>
      </w:r>
      <w:r w:rsidR="00FB2FA2">
        <w:t xml:space="preserve"> thresholds</w:t>
      </w:r>
      <w:r w:rsidR="002B2C10">
        <w:t xml:space="preserve"> which might be most suitable for the</w:t>
      </w:r>
      <w:r w:rsidR="000E785F">
        <w:t xml:space="preserve"> instance</w:t>
      </w:r>
      <w:r w:rsidR="00FB2FA2">
        <w:t xml:space="preserve">. Also, it does not require those thresholds to be the same across state and county levels. </w:t>
      </w:r>
      <w:r w:rsidR="000E785F">
        <w:t>In this regard</w:t>
      </w:r>
      <w:r w:rsidR="00FB2FA2">
        <w:t xml:space="preserve">, the relevant team of the decision makers </w:t>
      </w:r>
      <w:r w:rsidR="003923F4">
        <w:t>will have the opportunity to</w:t>
      </w:r>
      <w:r w:rsidR="000E785F">
        <w:t xml:space="preserve"> design the scenarios </w:t>
      </w:r>
      <w:r w:rsidR="003923F4">
        <w:t>and map them with</w:t>
      </w:r>
      <w:r w:rsidR="006D395E">
        <w:t xml:space="preserve"> their</w:t>
      </w:r>
      <w:r w:rsidR="003923F4">
        <w:t xml:space="preserve"> possible consequences. The proposed framework can simultaneously be employed </w:t>
      </w:r>
      <w:r w:rsidR="006D395E">
        <w:t xml:space="preserve">at the </w:t>
      </w:r>
      <w:r w:rsidR="003923F4">
        <w:t>county</w:t>
      </w:r>
      <w:r w:rsidR="006D395E">
        <w:t>/</w:t>
      </w:r>
      <w:r w:rsidR="003923F4">
        <w:t>state</w:t>
      </w:r>
      <w:r w:rsidR="006D395E">
        <w:t>/</w:t>
      </w:r>
      <w:r w:rsidR="003923F4">
        <w:t xml:space="preserve">federal level.  </w:t>
      </w:r>
    </w:p>
    <w:p w14:paraId="1D67F8DC" w14:textId="77777777" w:rsidR="00C470D0" w:rsidRPr="005E3D4C" w:rsidRDefault="00C470D0" w:rsidP="0026681E">
      <w:pPr>
        <w:spacing w:before="120" w:after="120" w:line="360" w:lineRule="auto"/>
        <w:jc w:val="both"/>
      </w:pPr>
    </w:p>
    <w:p w14:paraId="6D1152DE" w14:textId="71DB8E06" w:rsidR="0026681E" w:rsidRDefault="0026681E" w:rsidP="0026681E">
      <w:pPr>
        <w:pStyle w:val="ListParagraph"/>
        <w:numPr>
          <w:ilvl w:val="1"/>
          <w:numId w:val="5"/>
        </w:numPr>
        <w:spacing w:before="120" w:after="120" w:line="360" w:lineRule="auto"/>
        <w:jc w:val="both"/>
        <w:rPr>
          <w:rFonts w:ascii="Times New Roman" w:hAnsi="Times New Roman" w:cs="Times New Roman"/>
          <w:b/>
          <w:bCs/>
          <w:sz w:val="24"/>
          <w:szCs w:val="24"/>
        </w:rPr>
      </w:pPr>
      <w:r w:rsidRPr="00F75E80">
        <w:rPr>
          <w:rFonts w:ascii="Times New Roman" w:hAnsi="Times New Roman" w:cs="Times New Roman"/>
          <w:b/>
          <w:bCs/>
          <w:sz w:val="24"/>
          <w:szCs w:val="24"/>
        </w:rPr>
        <w:t>Frequency</w:t>
      </w:r>
      <w:r w:rsidR="004135A1">
        <w:rPr>
          <w:rFonts w:ascii="Times New Roman" w:hAnsi="Times New Roman" w:cs="Times New Roman"/>
          <w:b/>
          <w:bCs/>
          <w:sz w:val="24"/>
          <w:szCs w:val="24"/>
        </w:rPr>
        <w:t xml:space="preserve"> (F</w:t>
      </w:r>
      <w:r w:rsidR="004135A1">
        <w:rPr>
          <w:rFonts w:ascii="Times New Roman" w:hAnsi="Times New Roman" w:cs="Times New Roman"/>
          <w:b/>
          <w:bCs/>
          <w:sz w:val="24"/>
          <w:szCs w:val="24"/>
          <w:vertAlign w:val="subscript"/>
        </w:rPr>
        <w:t>j</w:t>
      </w:r>
      <w:r w:rsidR="004135A1">
        <w:rPr>
          <w:rFonts w:ascii="Times New Roman" w:hAnsi="Times New Roman" w:cs="Times New Roman"/>
          <w:b/>
          <w:bCs/>
          <w:sz w:val="24"/>
          <w:szCs w:val="24"/>
        </w:rPr>
        <w:t>)</w:t>
      </w:r>
      <w:r w:rsidR="00EE3263">
        <w:rPr>
          <w:rFonts w:ascii="Times New Roman" w:hAnsi="Times New Roman" w:cs="Times New Roman"/>
          <w:b/>
          <w:bCs/>
          <w:sz w:val="24"/>
          <w:szCs w:val="24"/>
        </w:rPr>
        <w:t xml:space="preserve"> distributions</w:t>
      </w:r>
      <w:r w:rsidRPr="00F75E80">
        <w:rPr>
          <w:rFonts w:ascii="Times New Roman" w:hAnsi="Times New Roman" w:cs="Times New Roman"/>
          <w:b/>
          <w:bCs/>
          <w:sz w:val="24"/>
          <w:szCs w:val="24"/>
        </w:rPr>
        <w:t>.</w:t>
      </w:r>
    </w:p>
    <w:p w14:paraId="1F1D2246" w14:textId="7539CE36" w:rsidR="00B0172D" w:rsidRDefault="006D395E" w:rsidP="00B0172D">
      <w:pPr>
        <w:spacing w:before="120" w:after="120" w:line="360" w:lineRule="auto"/>
        <w:ind w:firstLine="284"/>
        <w:jc w:val="both"/>
      </w:pPr>
      <w:r>
        <w:t xml:space="preserve">An overview </w:t>
      </w:r>
      <w:r w:rsidR="0026681E">
        <w:t xml:space="preserve">of the current problem </w:t>
      </w:r>
      <w:r>
        <w:t xml:space="preserve">is obtained </w:t>
      </w:r>
      <w:r w:rsidR="0026681E">
        <w:t>by plotting the daily aggregate U.S. time series of COVID-19 cases (</w:t>
      </w:r>
      <w:r w:rsidR="007339D7">
        <w:t xml:space="preserve">see </w:t>
      </w:r>
      <w:r w:rsidR="0026681E" w:rsidRPr="00B0172D">
        <w:rPr>
          <w:b/>
        </w:rPr>
        <w:t>Fig</w:t>
      </w:r>
      <w:r w:rsidR="001961FA">
        <w:rPr>
          <w:b/>
        </w:rPr>
        <w:t>.</w:t>
      </w:r>
      <w:r w:rsidR="0026681E" w:rsidRPr="00B0172D">
        <w:rPr>
          <w:b/>
        </w:rPr>
        <w:t xml:space="preserve"> 7a</w:t>
      </w:r>
      <w:r w:rsidR="0026681E">
        <w:t xml:space="preserve">). As </w:t>
      </w:r>
      <w:r w:rsidR="009D7E2D">
        <w:t xml:space="preserve">the </w:t>
      </w:r>
      <w:r w:rsidR="009D7E2D" w:rsidRPr="00046F22">
        <w:t>figure illustrates</w:t>
      </w:r>
      <w:r>
        <w:t xml:space="preserve">, </w:t>
      </w:r>
      <w:r w:rsidR="0026681E">
        <w:t xml:space="preserve">there </w:t>
      </w:r>
      <w:r>
        <w:t>ex</w:t>
      </w:r>
      <w:r w:rsidR="0026681E">
        <w:t>is</w:t>
      </w:r>
      <w:r>
        <w:t>ts</w:t>
      </w:r>
      <w:r w:rsidR="0026681E">
        <w:t xml:space="preserve"> an exponential growth from March to April</w:t>
      </w:r>
      <w:r>
        <w:t>, followed by</w:t>
      </w:r>
      <w:r w:rsidR="0026681E">
        <w:t xml:space="preserve"> a fluctuating pattern </w:t>
      </w:r>
      <w:r>
        <w:t xml:space="preserve">lasting </w:t>
      </w:r>
      <w:r w:rsidR="0026681E">
        <w:t xml:space="preserve">until the end of May. Nevertheless, the picture </w:t>
      </w:r>
      <w:r w:rsidR="009D7E2D" w:rsidRPr="00046F22">
        <w:t>obtained when plotting</w:t>
      </w:r>
      <w:r w:rsidR="009D7E2D">
        <w:rPr>
          <w:color w:val="FF0000"/>
        </w:rPr>
        <w:t xml:space="preserve"> </w:t>
      </w:r>
      <w:r w:rsidR="0026681E">
        <w:t xml:space="preserve">the aggregate cases over the three states of New York, California and Illinois dissolves the generic fluctuating pattern of </w:t>
      </w:r>
      <w:r w:rsidR="007339D7">
        <w:rPr>
          <w:b/>
        </w:rPr>
        <w:t>Fig</w:t>
      </w:r>
      <w:r w:rsidR="001961FA">
        <w:rPr>
          <w:b/>
        </w:rPr>
        <w:t>.</w:t>
      </w:r>
      <w:r w:rsidR="007339D7">
        <w:rPr>
          <w:b/>
        </w:rPr>
        <w:t xml:space="preserve"> 7</w:t>
      </w:r>
      <w:r w:rsidR="0026681E" w:rsidRPr="00B0172D">
        <w:rPr>
          <w:b/>
        </w:rPr>
        <w:t>a</w:t>
      </w:r>
      <w:r w:rsidR="0026681E">
        <w:t xml:space="preserve"> into distinct patterns for each state (</w:t>
      </w:r>
      <w:r w:rsidR="007339D7">
        <w:t xml:space="preserve">see </w:t>
      </w:r>
      <w:r w:rsidR="007339D7">
        <w:rPr>
          <w:b/>
        </w:rPr>
        <w:t>Fig</w:t>
      </w:r>
      <w:r w:rsidR="001961FA">
        <w:rPr>
          <w:b/>
        </w:rPr>
        <w:t>.</w:t>
      </w:r>
      <w:r w:rsidR="007339D7">
        <w:rPr>
          <w:b/>
        </w:rPr>
        <w:t xml:space="preserve"> 7</w:t>
      </w:r>
      <w:r w:rsidR="0026681E" w:rsidRPr="00B0172D">
        <w:rPr>
          <w:b/>
        </w:rPr>
        <w:t>b</w:t>
      </w:r>
      <w:r w:rsidR="0026681E">
        <w:t>).</w:t>
      </w:r>
    </w:p>
    <w:p w14:paraId="4FFDA6FE" w14:textId="7B3042A2" w:rsidR="00A95ED6" w:rsidRDefault="0026681E" w:rsidP="00A95ED6">
      <w:pPr>
        <w:spacing w:before="120" w:after="120" w:line="360" w:lineRule="auto"/>
        <w:ind w:firstLine="284"/>
        <w:jc w:val="both"/>
      </w:pPr>
      <w:r>
        <w:t>More specifically, New York follows an exponential growth until the beginning of April</w:t>
      </w:r>
      <w:r w:rsidR="006D395E">
        <w:t xml:space="preserve"> and </w:t>
      </w:r>
      <w:r>
        <w:t xml:space="preserve">then </w:t>
      </w:r>
      <w:r w:rsidR="006D395E">
        <w:t xml:space="preserve">oscillates </w:t>
      </w:r>
      <w:r>
        <w:t xml:space="preserve">downwards </w:t>
      </w:r>
      <w:r w:rsidR="006D395E">
        <w:t>(</w:t>
      </w:r>
      <w:proofErr w:type="gramStart"/>
      <w:r>
        <w:t>with the exception of</w:t>
      </w:r>
      <w:proofErr w:type="gramEnd"/>
      <w:r>
        <w:t xml:space="preserve"> the last week of April</w:t>
      </w:r>
      <w:r w:rsidR="006D395E">
        <w:t>,</w:t>
      </w:r>
      <w:r>
        <w:t xml:space="preserve"> which displays a </w:t>
      </w:r>
      <w:r w:rsidR="00CB66E3">
        <w:t>surge</w:t>
      </w:r>
      <w:r>
        <w:t xml:space="preserve"> </w:t>
      </w:r>
      <w:r w:rsidR="00CB66E3">
        <w:t xml:space="preserve">in </w:t>
      </w:r>
      <w:r>
        <w:t>COVID-19 cases similar to the top of the previous exponential rally</w:t>
      </w:r>
      <w:r w:rsidR="006D395E">
        <w:t>)</w:t>
      </w:r>
      <w:r>
        <w:t xml:space="preserve">. A different picture is plotted for California, which displays no exponential growth; rather COVID-19 cases, starting from March, display a steady and oscillating rise. No spikes, or tendencies to drop are observed. Illinois </w:t>
      </w:r>
      <w:r w:rsidR="006D395E">
        <w:t xml:space="preserve">reveals </w:t>
      </w:r>
      <w:r>
        <w:t xml:space="preserve">a picture </w:t>
      </w:r>
      <w:proofErr w:type="gramStart"/>
      <w:r w:rsidR="006D395E">
        <w:t>similar to</w:t>
      </w:r>
      <w:proofErr w:type="gramEnd"/>
      <w:r>
        <w:t xml:space="preserve"> California</w:t>
      </w:r>
      <w:r w:rsidR="006D395E">
        <w:t>’s,</w:t>
      </w:r>
      <w:r>
        <w:t xml:space="preserve"> with the difference being in May </w:t>
      </w:r>
      <w:r w:rsidR="006D395E">
        <w:t>(</w:t>
      </w:r>
      <w:r>
        <w:t>whence COVID-19 cases seem to oscillate around a mean plateau</w:t>
      </w:r>
      <w:r w:rsidR="006D395E">
        <w:t>)</w:t>
      </w:r>
      <w:r>
        <w:t>.</w:t>
      </w:r>
    </w:p>
    <w:p w14:paraId="193889EC" w14:textId="4F03187E" w:rsidR="007A7889" w:rsidRPr="001A2A6D" w:rsidRDefault="00A95ED6" w:rsidP="00A95ED6">
      <w:pPr>
        <w:spacing w:before="120" w:after="120" w:line="360" w:lineRule="auto"/>
        <w:ind w:firstLine="284"/>
        <w:jc w:val="both"/>
      </w:pPr>
      <w:r w:rsidRPr="001A2A6D">
        <w:t xml:space="preserve">The second component of the </w:t>
      </w:r>
      <w:r w:rsidR="00B41BD2" w:rsidRPr="001A2A6D">
        <w:rPr>
          <w:i/>
          <w:iCs/>
        </w:rPr>
        <w:t>risk q</w:t>
      </w:r>
      <w:r w:rsidRPr="001A2A6D">
        <w:rPr>
          <w:i/>
          <w:iCs/>
        </w:rPr>
        <w:t>uadruplet</w:t>
      </w:r>
      <w:r w:rsidRPr="001A2A6D">
        <w:t xml:space="preserve"> methodology corresponds to the frequency distribution </w:t>
      </w:r>
      <w:r w:rsidRPr="001A2A6D">
        <w:rPr>
          <w:i/>
          <w:iCs/>
        </w:rPr>
        <w:t>F</w:t>
      </w:r>
      <w:r w:rsidRPr="001A2A6D">
        <w:t xml:space="preserve"> of the critical variable which in our case is the daily cases of COVID-19. </w:t>
      </w:r>
      <w:bookmarkStart w:id="5" w:name="_Hlk52453220"/>
      <w:r w:rsidR="007A7889" w:rsidRPr="001A2A6D">
        <w:t xml:space="preserve">Calculating the frequency distribution both U.S.-wide and state-wide is a first step towards understanding the current situation and </w:t>
      </w:r>
      <w:proofErr w:type="gramStart"/>
      <w:r w:rsidR="007A7889" w:rsidRPr="001A2A6D">
        <w:t>plan</w:t>
      </w:r>
      <w:r w:rsidR="0010282D" w:rsidRPr="001A2A6D">
        <w:t>ning</w:t>
      </w:r>
      <w:r w:rsidR="007A7889" w:rsidRPr="001A2A6D">
        <w:t xml:space="preserve"> ahead</w:t>
      </w:r>
      <w:proofErr w:type="gramEnd"/>
      <w:r w:rsidR="007A7889" w:rsidRPr="001A2A6D">
        <w:t xml:space="preserve"> based on the other components of the risk quadruplet.</w:t>
      </w:r>
      <w:bookmarkEnd w:id="5"/>
    </w:p>
    <w:p w14:paraId="6E45924E" w14:textId="249F1A33" w:rsidR="00A95ED6" w:rsidRDefault="00A95ED6" w:rsidP="00A95ED6">
      <w:pPr>
        <w:spacing w:before="120" w:after="120" w:line="360" w:lineRule="auto"/>
        <w:ind w:firstLine="284"/>
        <w:jc w:val="both"/>
      </w:pPr>
      <w:r>
        <w:t xml:space="preserve">Regarding the U.S.-wide daily COVID-19 cases (see </w:t>
      </w:r>
      <w:r w:rsidRPr="007339D7">
        <w:rPr>
          <w:b/>
        </w:rPr>
        <w:t>Fig</w:t>
      </w:r>
      <w:r w:rsidR="001961FA">
        <w:rPr>
          <w:b/>
        </w:rPr>
        <w:t>.</w:t>
      </w:r>
      <w:r w:rsidRPr="007339D7">
        <w:rPr>
          <w:b/>
        </w:rPr>
        <w:t xml:space="preserve"> 7c</w:t>
      </w:r>
      <w:r>
        <w:t>)</w:t>
      </w:r>
      <w:r w:rsidR="009D7E2D">
        <w:t>,</w:t>
      </w:r>
      <w:r w:rsidR="009D7E2D" w:rsidRPr="009D7E2D">
        <w:rPr>
          <w:color w:val="FF0000"/>
        </w:rPr>
        <w:t xml:space="preserve"> </w:t>
      </w:r>
      <w:r w:rsidR="009D7E2D" w:rsidRPr="00046F22">
        <w:t>it is apparent that</w:t>
      </w:r>
      <w:r w:rsidRPr="00046F22">
        <w:t xml:space="preserve"> </w:t>
      </w:r>
      <w:r>
        <w:t xml:space="preserve">most cases </w:t>
      </w:r>
      <w:r w:rsidR="0010282D">
        <w:t xml:space="preserve">are </w:t>
      </w:r>
      <w:r>
        <w:t>lying between 0 and 5000 while there is also a significant “fat-tail” from 15000 to 30000 daily cases.</w:t>
      </w:r>
    </w:p>
    <w:p w14:paraId="7E0AB0DE" w14:textId="79293CBC" w:rsidR="00A95ED6" w:rsidRDefault="00A95ED6" w:rsidP="00A95ED6">
      <w:pPr>
        <w:spacing w:before="120" w:after="120" w:line="360" w:lineRule="auto"/>
        <w:ind w:firstLine="284"/>
        <w:jc w:val="both"/>
      </w:pPr>
      <w:r>
        <w:lastRenderedPageBreak/>
        <w:t xml:space="preserve">New York has a significant frequency of up to 1000 daily cases with the rest of the frequencies being significantly lower (see </w:t>
      </w:r>
      <w:r w:rsidRPr="007339D7">
        <w:rPr>
          <w:b/>
        </w:rPr>
        <w:t>Fig</w:t>
      </w:r>
      <w:r w:rsidR="001961FA">
        <w:rPr>
          <w:b/>
        </w:rPr>
        <w:t>.</w:t>
      </w:r>
      <w:r w:rsidRPr="007339D7">
        <w:rPr>
          <w:b/>
        </w:rPr>
        <w:t xml:space="preserve"> 7</w:t>
      </w:r>
      <w:r>
        <w:rPr>
          <w:b/>
        </w:rPr>
        <w:t>d</w:t>
      </w:r>
      <w:r>
        <w:t xml:space="preserve">). California displays a high frequency of up to 1000 daily cases with a significant concentration between 2000 and 5000 daily cases (see </w:t>
      </w:r>
      <w:r w:rsidRPr="007339D7">
        <w:rPr>
          <w:b/>
        </w:rPr>
        <w:t>Figure 7</w:t>
      </w:r>
      <w:r>
        <w:rPr>
          <w:b/>
        </w:rPr>
        <w:t>e</w:t>
      </w:r>
      <w:r>
        <w:t xml:space="preserve">). Illinois has frequencies which decrease geometrically from up to 1000 to up to 3000 daily COVID-19 cases (see </w:t>
      </w:r>
      <w:r w:rsidRPr="007339D7">
        <w:rPr>
          <w:b/>
        </w:rPr>
        <w:t>Fig</w:t>
      </w:r>
      <w:r w:rsidR="001961FA">
        <w:rPr>
          <w:b/>
        </w:rPr>
        <w:t>.</w:t>
      </w:r>
      <w:r w:rsidRPr="007339D7">
        <w:rPr>
          <w:b/>
        </w:rPr>
        <w:t xml:space="preserve"> 7</w:t>
      </w:r>
      <w:r>
        <w:rPr>
          <w:b/>
        </w:rPr>
        <w:t>f</w:t>
      </w:r>
      <w:r>
        <w:t>).</w:t>
      </w:r>
    </w:p>
    <w:p w14:paraId="6482A9BD" w14:textId="77777777" w:rsidR="00A95ED6" w:rsidRPr="005E3D4C" w:rsidRDefault="00A95ED6" w:rsidP="0082464F">
      <w:pPr>
        <w:spacing w:before="120" w:after="120" w:line="360" w:lineRule="auto"/>
        <w:jc w:val="both"/>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332"/>
      </w:tblGrid>
      <w:tr w:rsidR="0026681E" w14:paraId="55F91588" w14:textId="77777777" w:rsidTr="001672B2">
        <w:trPr>
          <w:trHeight w:val="3327"/>
        </w:trPr>
        <w:tc>
          <w:tcPr>
            <w:tcW w:w="0" w:type="auto"/>
            <w:gridSpan w:val="2"/>
          </w:tcPr>
          <w:p w14:paraId="2A493814" w14:textId="77777777" w:rsidR="0026681E" w:rsidRDefault="0026681E" w:rsidP="001672B2">
            <w:pPr>
              <w:spacing w:before="120" w:after="120" w:line="360" w:lineRule="auto"/>
              <w:jc w:val="center"/>
              <w:rPr>
                <w:b/>
                <w:bCs/>
                <w:noProof/>
              </w:rPr>
            </w:pPr>
            <w:r>
              <w:rPr>
                <w:b/>
                <w:bCs/>
                <w:noProof/>
              </w:rPr>
              <w:drawing>
                <wp:inline distT="0" distB="0" distL="0" distR="0" wp14:anchorId="63205F62" wp14:editId="6BF81D86">
                  <wp:extent cx="3673502" cy="1881274"/>
                  <wp:effectExtent l="0" t="0" r="317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0567" cy="1971952"/>
                          </a:xfrm>
                          <a:prstGeom prst="rect">
                            <a:avLst/>
                          </a:prstGeom>
                          <a:noFill/>
                          <a:ln>
                            <a:noFill/>
                          </a:ln>
                        </pic:spPr>
                      </pic:pic>
                    </a:graphicData>
                  </a:graphic>
                </wp:inline>
              </w:drawing>
            </w:r>
          </w:p>
        </w:tc>
      </w:tr>
      <w:tr w:rsidR="0026681E" w14:paraId="74A9D24E" w14:textId="77777777" w:rsidTr="001672B2">
        <w:trPr>
          <w:trHeight w:val="3262"/>
        </w:trPr>
        <w:tc>
          <w:tcPr>
            <w:tcW w:w="0" w:type="auto"/>
            <w:gridSpan w:val="2"/>
          </w:tcPr>
          <w:p w14:paraId="4FBBDA12" w14:textId="77777777" w:rsidR="0026681E" w:rsidRDefault="0026681E" w:rsidP="001672B2">
            <w:pPr>
              <w:spacing w:before="120" w:after="120" w:line="360" w:lineRule="auto"/>
              <w:jc w:val="center"/>
              <w:rPr>
                <w:b/>
                <w:bCs/>
                <w:noProof/>
              </w:rPr>
            </w:pPr>
            <w:r>
              <w:rPr>
                <w:b/>
                <w:bCs/>
                <w:noProof/>
              </w:rPr>
              <w:drawing>
                <wp:inline distT="0" distB="0" distL="0" distR="0" wp14:anchorId="28917F3D" wp14:editId="70CB0DD1">
                  <wp:extent cx="3856382" cy="20476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4846" cy="2110555"/>
                          </a:xfrm>
                          <a:prstGeom prst="rect">
                            <a:avLst/>
                          </a:prstGeom>
                          <a:noFill/>
                          <a:ln>
                            <a:noFill/>
                          </a:ln>
                        </pic:spPr>
                      </pic:pic>
                    </a:graphicData>
                  </a:graphic>
                </wp:inline>
              </w:drawing>
            </w:r>
          </w:p>
        </w:tc>
      </w:tr>
      <w:tr w:rsidR="0026681E" w14:paraId="1D78116F" w14:textId="77777777" w:rsidTr="001672B2">
        <w:trPr>
          <w:trHeight w:val="648"/>
        </w:trPr>
        <w:tc>
          <w:tcPr>
            <w:tcW w:w="0" w:type="auto"/>
          </w:tcPr>
          <w:p w14:paraId="31F5FE83" w14:textId="77777777" w:rsidR="0026681E" w:rsidRDefault="0026681E" w:rsidP="001672B2">
            <w:pPr>
              <w:spacing w:before="120" w:after="120" w:line="360" w:lineRule="auto"/>
              <w:jc w:val="center"/>
              <w:rPr>
                <w:b/>
                <w:bCs/>
                <w:noProof/>
              </w:rPr>
            </w:pPr>
            <w:r>
              <w:rPr>
                <w:b/>
                <w:bCs/>
                <w:noProof/>
              </w:rPr>
              <w:drawing>
                <wp:inline distT="0" distB="0" distL="0" distR="0" wp14:anchorId="38DDEFC8" wp14:editId="35449204">
                  <wp:extent cx="2547257" cy="1614028"/>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3901" cy="1643583"/>
                          </a:xfrm>
                          <a:prstGeom prst="rect">
                            <a:avLst/>
                          </a:prstGeom>
                          <a:noFill/>
                          <a:ln>
                            <a:noFill/>
                          </a:ln>
                        </pic:spPr>
                      </pic:pic>
                    </a:graphicData>
                  </a:graphic>
                </wp:inline>
              </w:drawing>
            </w:r>
          </w:p>
        </w:tc>
        <w:tc>
          <w:tcPr>
            <w:tcW w:w="0" w:type="auto"/>
          </w:tcPr>
          <w:p w14:paraId="4531AAF3" w14:textId="77777777" w:rsidR="0026681E" w:rsidRDefault="0026681E" w:rsidP="001672B2">
            <w:pPr>
              <w:spacing w:before="120" w:after="120" w:line="360" w:lineRule="auto"/>
              <w:jc w:val="center"/>
              <w:rPr>
                <w:b/>
                <w:bCs/>
                <w:noProof/>
              </w:rPr>
            </w:pPr>
            <w:r>
              <w:rPr>
                <w:b/>
                <w:bCs/>
                <w:noProof/>
              </w:rPr>
              <w:drawing>
                <wp:inline distT="0" distB="0" distL="0" distR="0" wp14:anchorId="22A26C6F" wp14:editId="4C26B504">
                  <wp:extent cx="2351314" cy="1535584"/>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662" cy="1585445"/>
                          </a:xfrm>
                          <a:prstGeom prst="rect">
                            <a:avLst/>
                          </a:prstGeom>
                          <a:noFill/>
                          <a:ln>
                            <a:noFill/>
                          </a:ln>
                        </pic:spPr>
                      </pic:pic>
                    </a:graphicData>
                  </a:graphic>
                </wp:inline>
              </w:drawing>
            </w:r>
          </w:p>
        </w:tc>
      </w:tr>
      <w:tr w:rsidR="0026681E" w14:paraId="130A18CF" w14:textId="77777777" w:rsidTr="001672B2">
        <w:trPr>
          <w:trHeight w:val="648"/>
        </w:trPr>
        <w:tc>
          <w:tcPr>
            <w:tcW w:w="0" w:type="auto"/>
          </w:tcPr>
          <w:p w14:paraId="22418B0B" w14:textId="7D9D703E" w:rsidR="0026681E" w:rsidRDefault="001C4495" w:rsidP="001672B2">
            <w:pPr>
              <w:spacing w:before="120" w:after="120" w:line="360" w:lineRule="auto"/>
              <w:jc w:val="center"/>
              <w:rPr>
                <w:b/>
                <w:bCs/>
                <w:noProof/>
              </w:rPr>
            </w:pPr>
            <w:r>
              <w:rPr>
                <w:b/>
                <w:bCs/>
                <w:noProof/>
              </w:rPr>
              <w:lastRenderedPageBreak/>
              <w:drawing>
                <wp:inline distT="0" distB="0" distL="0" distR="0" wp14:anchorId="2F4115E2" wp14:editId="179E95C4">
                  <wp:extent cx="2415396" cy="1518849"/>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0498" cy="1528346"/>
                          </a:xfrm>
                          <a:prstGeom prst="rect">
                            <a:avLst/>
                          </a:prstGeom>
                          <a:noFill/>
                          <a:ln>
                            <a:noFill/>
                          </a:ln>
                        </pic:spPr>
                      </pic:pic>
                    </a:graphicData>
                  </a:graphic>
                </wp:inline>
              </w:drawing>
            </w:r>
          </w:p>
        </w:tc>
        <w:tc>
          <w:tcPr>
            <w:tcW w:w="0" w:type="auto"/>
          </w:tcPr>
          <w:p w14:paraId="477FF5EB" w14:textId="77777777" w:rsidR="0026681E" w:rsidRDefault="0026681E" w:rsidP="001672B2">
            <w:pPr>
              <w:spacing w:before="120" w:after="120" w:line="360" w:lineRule="auto"/>
              <w:jc w:val="center"/>
              <w:rPr>
                <w:b/>
                <w:bCs/>
                <w:noProof/>
              </w:rPr>
            </w:pPr>
            <w:r>
              <w:rPr>
                <w:b/>
                <w:bCs/>
                <w:noProof/>
              </w:rPr>
              <w:drawing>
                <wp:inline distT="0" distB="0" distL="0" distR="0" wp14:anchorId="4AE87BE7" wp14:editId="53E6397D">
                  <wp:extent cx="2307546" cy="150816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2411" cy="1557096"/>
                          </a:xfrm>
                          <a:prstGeom prst="rect">
                            <a:avLst/>
                          </a:prstGeom>
                          <a:noFill/>
                          <a:ln>
                            <a:noFill/>
                          </a:ln>
                        </pic:spPr>
                      </pic:pic>
                    </a:graphicData>
                  </a:graphic>
                </wp:inline>
              </w:drawing>
            </w:r>
          </w:p>
        </w:tc>
      </w:tr>
    </w:tbl>
    <w:p w14:paraId="2FD7ED82" w14:textId="4928BE68" w:rsidR="00887080" w:rsidRDefault="0026681E" w:rsidP="0026681E">
      <w:pPr>
        <w:spacing w:before="120" w:after="120" w:line="360" w:lineRule="auto"/>
        <w:jc w:val="both"/>
        <w:rPr>
          <w:sz w:val="20"/>
          <w:szCs w:val="20"/>
        </w:rPr>
      </w:pPr>
      <w:r w:rsidRPr="00FD4689">
        <w:rPr>
          <w:b/>
          <w:bCs/>
          <w:sz w:val="20"/>
          <w:szCs w:val="20"/>
        </w:rPr>
        <w:t>Fig</w:t>
      </w:r>
      <w:r w:rsidR="001961FA">
        <w:rPr>
          <w:b/>
          <w:bCs/>
          <w:sz w:val="20"/>
          <w:szCs w:val="20"/>
        </w:rPr>
        <w:t>.</w:t>
      </w:r>
      <w:r w:rsidRPr="00FD4689">
        <w:rPr>
          <w:b/>
          <w:bCs/>
          <w:sz w:val="20"/>
          <w:szCs w:val="20"/>
        </w:rPr>
        <w:t xml:space="preserve"> 7</w:t>
      </w:r>
      <w:r w:rsidRPr="00FD4689">
        <w:rPr>
          <w:sz w:val="20"/>
          <w:szCs w:val="20"/>
        </w:rPr>
        <w:t xml:space="preserve"> (</w:t>
      </w:r>
      <w:r w:rsidRPr="00FD4689">
        <w:rPr>
          <w:b/>
          <w:bCs/>
          <w:sz w:val="20"/>
          <w:szCs w:val="20"/>
        </w:rPr>
        <w:t>a</w:t>
      </w:r>
      <w:r w:rsidRPr="00FD4689">
        <w:rPr>
          <w:sz w:val="20"/>
          <w:szCs w:val="20"/>
        </w:rPr>
        <w:t>)</w:t>
      </w:r>
      <w:r w:rsidR="00055262" w:rsidRPr="00FD4689">
        <w:rPr>
          <w:b/>
          <w:bCs/>
          <w:sz w:val="20"/>
          <w:szCs w:val="20"/>
        </w:rPr>
        <w:t xml:space="preserve"> </w:t>
      </w:r>
      <w:r w:rsidR="00055262" w:rsidRPr="00FD4689">
        <w:rPr>
          <w:sz w:val="20"/>
          <w:szCs w:val="20"/>
        </w:rPr>
        <w:t>Time series of daily COVID-19 cases for all U.S. and (</w:t>
      </w:r>
      <w:r w:rsidR="00055262" w:rsidRPr="00FD4689">
        <w:rPr>
          <w:b/>
          <w:bCs/>
          <w:sz w:val="20"/>
          <w:szCs w:val="20"/>
        </w:rPr>
        <w:t>b</w:t>
      </w:r>
      <w:r w:rsidR="00055262" w:rsidRPr="00FD4689">
        <w:rPr>
          <w:sz w:val="20"/>
          <w:szCs w:val="20"/>
        </w:rPr>
        <w:t>)</w:t>
      </w:r>
      <w:r w:rsidR="00055262">
        <w:rPr>
          <w:sz w:val="20"/>
          <w:szCs w:val="20"/>
        </w:rPr>
        <w:t xml:space="preserve"> </w:t>
      </w:r>
      <w:r w:rsidRPr="00FD4689">
        <w:rPr>
          <w:sz w:val="20"/>
          <w:szCs w:val="20"/>
        </w:rPr>
        <w:t>separately for the states of New York, California, and Illinois. Frequency distributions (</w:t>
      </w:r>
      <w:r w:rsidRPr="00FD4689">
        <w:rPr>
          <w:i/>
          <w:iCs/>
          <w:sz w:val="20"/>
          <w:szCs w:val="20"/>
        </w:rPr>
        <w:t>F</w:t>
      </w:r>
      <w:r w:rsidRPr="00FD4689">
        <w:rPr>
          <w:sz w:val="20"/>
          <w:szCs w:val="20"/>
        </w:rPr>
        <w:t xml:space="preserve"> from </w:t>
      </w:r>
      <w:r w:rsidR="008C09D8">
        <w:rPr>
          <w:i/>
          <w:iCs/>
          <w:sz w:val="20"/>
          <w:szCs w:val="20"/>
        </w:rPr>
        <w:t>risk q</w:t>
      </w:r>
      <w:r w:rsidRPr="00FD4689">
        <w:rPr>
          <w:i/>
          <w:iCs/>
          <w:sz w:val="20"/>
          <w:szCs w:val="20"/>
        </w:rPr>
        <w:t>uadruplet</w:t>
      </w:r>
      <w:r w:rsidRPr="00FD4689">
        <w:rPr>
          <w:sz w:val="20"/>
          <w:szCs w:val="20"/>
        </w:rPr>
        <w:t xml:space="preserve">) for daily COVID-19 cases </w:t>
      </w:r>
      <w:r w:rsidR="00055262" w:rsidRPr="00FD4689">
        <w:rPr>
          <w:sz w:val="20"/>
          <w:szCs w:val="20"/>
        </w:rPr>
        <w:t>(</w:t>
      </w:r>
      <w:r w:rsidR="00055262" w:rsidRPr="00FD4689">
        <w:rPr>
          <w:b/>
          <w:bCs/>
          <w:sz w:val="20"/>
          <w:szCs w:val="20"/>
        </w:rPr>
        <w:t>c</w:t>
      </w:r>
      <w:r w:rsidR="00055262" w:rsidRPr="00FD4689">
        <w:rPr>
          <w:sz w:val="20"/>
          <w:szCs w:val="20"/>
        </w:rPr>
        <w:t>)</w:t>
      </w:r>
      <w:r w:rsidR="00055262">
        <w:rPr>
          <w:sz w:val="20"/>
          <w:szCs w:val="20"/>
        </w:rPr>
        <w:t xml:space="preserve"> </w:t>
      </w:r>
      <w:r w:rsidRPr="00FD4689">
        <w:rPr>
          <w:sz w:val="20"/>
          <w:szCs w:val="20"/>
        </w:rPr>
        <w:t xml:space="preserve">for all U.S. and </w:t>
      </w:r>
      <w:r w:rsidR="00055262" w:rsidRPr="00FD4689">
        <w:rPr>
          <w:sz w:val="20"/>
          <w:szCs w:val="20"/>
        </w:rPr>
        <w:t>(</w:t>
      </w:r>
      <w:r w:rsidR="00055262" w:rsidRPr="00FD4689">
        <w:rPr>
          <w:b/>
          <w:bCs/>
          <w:sz w:val="20"/>
          <w:szCs w:val="20"/>
        </w:rPr>
        <w:t>d</w:t>
      </w:r>
      <w:r w:rsidR="00055262" w:rsidRPr="00FD4689">
        <w:rPr>
          <w:sz w:val="20"/>
          <w:szCs w:val="20"/>
        </w:rPr>
        <w:t>)</w:t>
      </w:r>
      <w:r w:rsidR="00055262">
        <w:rPr>
          <w:sz w:val="20"/>
          <w:szCs w:val="20"/>
        </w:rPr>
        <w:t xml:space="preserve"> </w:t>
      </w:r>
      <w:r w:rsidRPr="00FD4689">
        <w:rPr>
          <w:sz w:val="20"/>
          <w:szCs w:val="20"/>
        </w:rPr>
        <w:t xml:space="preserve">for New York, </w:t>
      </w:r>
      <w:r w:rsidR="00055262" w:rsidRPr="00FD4689">
        <w:rPr>
          <w:sz w:val="20"/>
          <w:szCs w:val="20"/>
        </w:rPr>
        <w:t>(</w:t>
      </w:r>
      <w:r w:rsidR="00055262" w:rsidRPr="00FD4689">
        <w:rPr>
          <w:b/>
          <w:bCs/>
          <w:sz w:val="20"/>
          <w:szCs w:val="20"/>
        </w:rPr>
        <w:t>e</w:t>
      </w:r>
      <w:r w:rsidR="00055262" w:rsidRPr="00FD4689">
        <w:rPr>
          <w:sz w:val="20"/>
          <w:szCs w:val="20"/>
        </w:rPr>
        <w:t xml:space="preserve">) </w:t>
      </w:r>
      <w:r w:rsidRPr="00FD4689">
        <w:rPr>
          <w:sz w:val="20"/>
          <w:szCs w:val="20"/>
        </w:rPr>
        <w:t>California and</w:t>
      </w:r>
      <w:r w:rsidR="00055262">
        <w:rPr>
          <w:sz w:val="20"/>
          <w:szCs w:val="20"/>
        </w:rPr>
        <w:t xml:space="preserve"> </w:t>
      </w:r>
      <w:r w:rsidR="00055262" w:rsidRPr="00FD4689">
        <w:rPr>
          <w:sz w:val="20"/>
          <w:szCs w:val="20"/>
        </w:rPr>
        <w:t>(</w:t>
      </w:r>
      <w:r w:rsidR="00055262" w:rsidRPr="00FD4689">
        <w:rPr>
          <w:b/>
          <w:bCs/>
          <w:sz w:val="20"/>
          <w:szCs w:val="20"/>
        </w:rPr>
        <w:t>f</w:t>
      </w:r>
      <w:r w:rsidR="00055262">
        <w:rPr>
          <w:sz w:val="20"/>
          <w:szCs w:val="20"/>
        </w:rPr>
        <w:t>)</w:t>
      </w:r>
      <w:r w:rsidRPr="00FD4689">
        <w:rPr>
          <w:sz w:val="20"/>
          <w:szCs w:val="20"/>
        </w:rPr>
        <w:t xml:space="preserve"> Illinois</w:t>
      </w:r>
      <w:r w:rsidR="00055262">
        <w:rPr>
          <w:sz w:val="20"/>
          <w:szCs w:val="20"/>
        </w:rPr>
        <w:t>,</w:t>
      </w:r>
      <w:r w:rsidRPr="00FD4689">
        <w:rPr>
          <w:sz w:val="20"/>
          <w:szCs w:val="20"/>
        </w:rPr>
        <w:t xml:space="preserve"> separately</w:t>
      </w:r>
      <w:r w:rsidR="00046F22">
        <w:rPr>
          <w:sz w:val="20"/>
          <w:szCs w:val="20"/>
        </w:rPr>
        <w:t xml:space="preserve"> </w:t>
      </w:r>
      <w:r w:rsidR="00046F22" w:rsidRPr="00046F22">
        <w:rPr>
          <w:sz w:val="20"/>
          <w:szCs w:val="20"/>
        </w:rPr>
        <w:t>from 23</w:t>
      </w:r>
      <w:r w:rsidR="00046F22" w:rsidRPr="00046F22">
        <w:rPr>
          <w:sz w:val="20"/>
          <w:szCs w:val="20"/>
          <w:vertAlign w:val="superscript"/>
        </w:rPr>
        <w:t>rd</w:t>
      </w:r>
      <w:r w:rsidR="00046F22" w:rsidRPr="00046F22">
        <w:rPr>
          <w:sz w:val="20"/>
          <w:szCs w:val="20"/>
        </w:rPr>
        <w:t xml:space="preserve"> January till 31</w:t>
      </w:r>
      <w:r w:rsidR="00046F22" w:rsidRPr="00046F22">
        <w:rPr>
          <w:sz w:val="20"/>
          <w:szCs w:val="20"/>
          <w:vertAlign w:val="superscript"/>
        </w:rPr>
        <w:t>st</w:t>
      </w:r>
      <w:r w:rsidR="00046F22" w:rsidRPr="00046F22">
        <w:rPr>
          <w:sz w:val="20"/>
          <w:szCs w:val="20"/>
        </w:rPr>
        <w:t xml:space="preserve"> May 2020</w:t>
      </w:r>
      <w:r w:rsidRPr="00046F22">
        <w:rPr>
          <w:sz w:val="20"/>
          <w:szCs w:val="20"/>
        </w:rPr>
        <w:t>.</w:t>
      </w:r>
    </w:p>
    <w:p w14:paraId="3B1D6A28" w14:textId="77777777" w:rsidR="00A74AC8" w:rsidRPr="00A95ED6" w:rsidRDefault="00A74AC8" w:rsidP="0026681E">
      <w:pPr>
        <w:spacing w:before="120" w:after="120" w:line="360" w:lineRule="auto"/>
        <w:jc w:val="both"/>
        <w:rPr>
          <w:sz w:val="20"/>
          <w:szCs w:val="20"/>
        </w:rPr>
      </w:pPr>
      <w:bookmarkStart w:id="6" w:name="_GoBack"/>
      <w:bookmarkEnd w:id="6"/>
    </w:p>
    <w:p w14:paraId="5CE978C3" w14:textId="6F6F9599" w:rsidR="0026681E" w:rsidRDefault="0026681E" w:rsidP="0026681E">
      <w:pPr>
        <w:pStyle w:val="ListParagraph"/>
        <w:numPr>
          <w:ilvl w:val="1"/>
          <w:numId w:val="5"/>
        </w:numPr>
        <w:spacing w:before="120" w:after="120" w:line="360" w:lineRule="auto"/>
        <w:jc w:val="both"/>
        <w:rPr>
          <w:rFonts w:ascii="Times New Roman" w:hAnsi="Times New Roman" w:cs="Times New Roman"/>
          <w:b/>
          <w:bCs/>
          <w:sz w:val="24"/>
          <w:szCs w:val="24"/>
        </w:rPr>
      </w:pPr>
      <w:r w:rsidRPr="00F75E80">
        <w:rPr>
          <w:rFonts w:ascii="Times New Roman" w:hAnsi="Times New Roman" w:cs="Times New Roman"/>
          <w:b/>
          <w:bCs/>
          <w:sz w:val="24"/>
          <w:szCs w:val="24"/>
        </w:rPr>
        <w:t>Consequences</w:t>
      </w:r>
      <w:r w:rsidR="004135A1">
        <w:rPr>
          <w:rFonts w:ascii="Times New Roman" w:hAnsi="Times New Roman" w:cs="Times New Roman"/>
          <w:b/>
          <w:bCs/>
          <w:sz w:val="24"/>
          <w:szCs w:val="24"/>
        </w:rPr>
        <w:t xml:space="preserve"> (</w:t>
      </w:r>
      <w:proofErr w:type="spellStart"/>
      <w:r w:rsidR="004135A1">
        <w:rPr>
          <w:rFonts w:ascii="Times New Roman" w:hAnsi="Times New Roman" w:cs="Times New Roman"/>
          <w:b/>
          <w:bCs/>
          <w:sz w:val="24"/>
          <w:szCs w:val="24"/>
        </w:rPr>
        <w:t>y</w:t>
      </w:r>
      <w:r w:rsidR="004135A1">
        <w:rPr>
          <w:rFonts w:ascii="Times New Roman" w:hAnsi="Times New Roman" w:cs="Times New Roman"/>
          <w:b/>
          <w:bCs/>
          <w:sz w:val="24"/>
          <w:szCs w:val="24"/>
          <w:vertAlign w:val="subscript"/>
        </w:rPr>
        <w:t>j</w:t>
      </w:r>
      <w:proofErr w:type="spellEnd"/>
      <w:r w:rsidR="004135A1">
        <w:rPr>
          <w:rFonts w:ascii="Times New Roman" w:hAnsi="Times New Roman" w:cs="Times New Roman"/>
          <w:b/>
          <w:bCs/>
          <w:sz w:val="24"/>
          <w:szCs w:val="24"/>
        </w:rPr>
        <w:t>)</w:t>
      </w:r>
    </w:p>
    <w:p w14:paraId="122D00B3" w14:textId="5676861D" w:rsidR="006F6438" w:rsidRDefault="009F1C67" w:rsidP="000D66C3">
      <w:pPr>
        <w:spacing w:before="120" w:after="120" w:line="360" w:lineRule="auto"/>
        <w:ind w:firstLine="284"/>
        <w:jc w:val="both"/>
      </w:pPr>
      <w:r>
        <w:t>The spread of</w:t>
      </w:r>
      <w:r w:rsidR="00217500">
        <w:t xml:space="preserve"> COVID-19 across the United States has </w:t>
      </w:r>
      <w:r w:rsidR="00DB4B02">
        <w:t>motiv</w:t>
      </w:r>
      <w:r w:rsidR="00AE6A55">
        <w:t>at</w:t>
      </w:r>
      <w:r w:rsidR="00DB4B02">
        <w:t>ed</w:t>
      </w:r>
      <w:r w:rsidR="00217500">
        <w:t xml:space="preserve"> </w:t>
      </w:r>
      <w:r w:rsidR="00DB4B02">
        <w:t xml:space="preserve">the introduction of </w:t>
      </w:r>
      <w:r w:rsidR="00217500">
        <w:t xml:space="preserve">unprecedented measures </w:t>
      </w:r>
      <w:r w:rsidR="00DB4B02">
        <w:t xml:space="preserve">aiming at </w:t>
      </w:r>
      <w:r w:rsidR="00217500">
        <w:t>contain</w:t>
      </w:r>
      <w:r w:rsidR="00DB4B02">
        <w:t>ing</w:t>
      </w:r>
      <w:r w:rsidR="00217500">
        <w:t xml:space="preserve"> the epidemic. However, a</w:t>
      </w:r>
      <w:r w:rsidR="0026681E">
        <w:t xml:space="preserve">part from the consequences on </w:t>
      </w:r>
      <w:r w:rsidR="00AE6A55">
        <w:t>citizens</w:t>
      </w:r>
      <w:r w:rsidR="0026681E">
        <w:t xml:space="preserve">’ health, there are also </w:t>
      </w:r>
      <w:r w:rsidR="00DB4B02">
        <w:t xml:space="preserve">other </w:t>
      </w:r>
      <w:r w:rsidR="0026681E">
        <w:t xml:space="preserve">consequences </w:t>
      </w:r>
      <w:r w:rsidR="00DB4B02">
        <w:t>impacting</w:t>
      </w:r>
      <w:r w:rsidR="0026681E">
        <w:t xml:space="preserve"> the</w:t>
      </w:r>
      <w:r w:rsidR="006F6438">
        <w:t xml:space="preserve"> society and</w:t>
      </w:r>
      <w:r w:rsidR="0026681E">
        <w:t xml:space="preserve"> </w:t>
      </w:r>
      <w:r w:rsidR="00DB4B02">
        <w:t xml:space="preserve">the </w:t>
      </w:r>
      <w:r w:rsidR="0026681E">
        <w:t>ec</w:t>
      </w:r>
      <w:r w:rsidR="0000304E">
        <w:t>onomy that need to be identified</w:t>
      </w:r>
      <w:r w:rsidR="00DB4B02">
        <w:t xml:space="preserve"> - </w:t>
      </w:r>
      <w:r w:rsidR="00935ECB">
        <w:t>and</w:t>
      </w:r>
      <w:r w:rsidR="001A0BF2">
        <w:t xml:space="preserve"> </w:t>
      </w:r>
      <w:r w:rsidR="00772E6C">
        <w:t>these need</w:t>
      </w:r>
      <w:r w:rsidR="00DB4B02">
        <w:t xml:space="preserve"> to</w:t>
      </w:r>
      <w:r w:rsidR="0000304E">
        <w:t xml:space="preserve"> </w:t>
      </w:r>
      <w:r w:rsidR="001A0BF2">
        <w:t>be</w:t>
      </w:r>
      <w:r w:rsidR="00935ECB">
        <w:t xml:space="preserve"> </w:t>
      </w:r>
      <w:r w:rsidR="006F114D">
        <w:t xml:space="preserve">measured and </w:t>
      </w:r>
      <w:r w:rsidR="00935ECB">
        <w:t xml:space="preserve">mapped with </w:t>
      </w:r>
      <w:r w:rsidR="001A0BF2">
        <w:t>the</w:t>
      </w:r>
      <w:r w:rsidR="00224F58">
        <w:t xml:space="preserve"> </w:t>
      </w:r>
      <w:r w:rsidR="00E31EF3">
        <w:t xml:space="preserve">relevant </w:t>
      </w:r>
      <w:r w:rsidR="00935ECB">
        <w:t>scenarios</w:t>
      </w:r>
      <w:r w:rsidR="0000304E">
        <w:t xml:space="preserve">. The consideration of the consequences, the measurement of their impact, and their mapping to the scenarios </w:t>
      </w:r>
      <w:r w:rsidR="00920FF9">
        <w:t xml:space="preserve">are </w:t>
      </w:r>
      <w:r w:rsidR="0000304E">
        <w:t>a</w:t>
      </w:r>
      <w:r w:rsidR="00920FF9">
        <w:t>ll</w:t>
      </w:r>
      <w:r w:rsidR="0000304E">
        <w:t xml:space="preserve"> challenging task</w:t>
      </w:r>
      <w:r w:rsidR="00920FF9">
        <w:t>s</w:t>
      </w:r>
      <w:r w:rsidR="0000304E">
        <w:t xml:space="preserve">, highly related to </w:t>
      </w:r>
      <w:r w:rsidR="00920FF9">
        <w:t xml:space="preserve">both </w:t>
      </w:r>
      <w:r w:rsidR="0000304E">
        <w:t>the decision makers and the aspect</w:t>
      </w:r>
      <w:r w:rsidR="00920FF9">
        <w:t>s</w:t>
      </w:r>
      <w:r w:rsidR="0000304E">
        <w:t xml:space="preserve"> of </w:t>
      </w:r>
      <w:r w:rsidR="00920FF9">
        <w:t xml:space="preserve">the </w:t>
      </w:r>
      <w:r w:rsidR="0000304E">
        <w:t xml:space="preserve">COVID-19 pandemic that they need to </w:t>
      </w:r>
      <w:r w:rsidR="003515F9">
        <w:t>prepare to mitigate further</w:t>
      </w:r>
      <w:r w:rsidR="0000304E">
        <w:t>.</w:t>
      </w:r>
      <w:r w:rsidR="003515F9">
        <w:t xml:space="preserve"> In our case, the following </w:t>
      </w:r>
      <w:r w:rsidR="003947CA" w:rsidRPr="009F1C67">
        <w:t>eight</w:t>
      </w:r>
      <w:r w:rsidR="003947CA">
        <w:t xml:space="preserve"> </w:t>
      </w:r>
      <w:r w:rsidR="003515F9">
        <w:t>consequences</w:t>
      </w:r>
      <w:r w:rsidR="009D7E2D">
        <w:t xml:space="preserve"> </w:t>
      </w:r>
      <w:r w:rsidR="009D7E2D" w:rsidRPr="00B93DCA">
        <w:t>are considered</w:t>
      </w:r>
      <w:r w:rsidR="003515F9" w:rsidRPr="00B93DCA">
        <w:t xml:space="preserve">: </w:t>
      </w:r>
      <w:r w:rsidR="0000304E" w:rsidRPr="00B93DCA">
        <w:t xml:space="preserve">   </w:t>
      </w:r>
    </w:p>
    <w:p w14:paraId="13CB86D0" w14:textId="685AE094"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Travel Restriction</w:t>
      </w:r>
      <w:r w:rsidR="00920FF9">
        <w:rPr>
          <w:rFonts w:ascii="Times New Roman" w:hAnsi="Times New Roman" w:cs="Times New Roman"/>
          <w:sz w:val="24"/>
          <w:szCs w:val="24"/>
        </w:rPr>
        <w:t>s</w:t>
      </w:r>
      <w:r>
        <w:rPr>
          <w:rFonts w:ascii="Times New Roman" w:hAnsi="Times New Roman" w:cs="Times New Roman"/>
          <w:sz w:val="24"/>
          <w:szCs w:val="24"/>
        </w:rPr>
        <w:t xml:space="preserve"> </w:t>
      </w:r>
    </w:p>
    <w:p w14:paraId="01668F8C" w14:textId="5FC0FD09" w:rsidR="005039C8" w:rsidRDefault="00456DD0"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Physical</w:t>
      </w:r>
      <w:r w:rsidR="005039C8">
        <w:rPr>
          <w:rFonts w:ascii="Times New Roman" w:hAnsi="Times New Roman" w:cs="Times New Roman"/>
          <w:sz w:val="24"/>
          <w:szCs w:val="24"/>
        </w:rPr>
        <w:t xml:space="preserve"> Distancing</w:t>
      </w:r>
    </w:p>
    <w:p w14:paraId="02162979" w14:textId="2C7D2EC2" w:rsidR="005039C8" w:rsidRDefault="00AD3BCF"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Face Masks Usage</w:t>
      </w:r>
    </w:p>
    <w:p w14:paraId="01FF9A61" w14:textId="77777777"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Lockdown</w:t>
      </w:r>
    </w:p>
    <w:p w14:paraId="45D23349" w14:textId="492C60C4"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Government support </w:t>
      </w:r>
    </w:p>
    <w:p w14:paraId="2C064C44" w14:textId="77777777"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Supply chain interruption</w:t>
      </w:r>
    </w:p>
    <w:p w14:paraId="08A8A7E5" w14:textId="46891AC4"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Consumption </w:t>
      </w:r>
    </w:p>
    <w:p w14:paraId="493DB1D7" w14:textId="77777777" w:rsidR="0026681E" w:rsidRDefault="0026681E" w:rsidP="0026681E">
      <w:pPr>
        <w:pStyle w:val="ListParagraph"/>
        <w:numPr>
          <w:ilvl w:val="0"/>
          <w:numId w:val="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Working Capital Pressure</w:t>
      </w:r>
    </w:p>
    <w:p w14:paraId="6D6A9CB2" w14:textId="69BB346C" w:rsidR="00415636" w:rsidRDefault="008C6B61" w:rsidP="00A95ED6">
      <w:pPr>
        <w:spacing w:before="120" w:after="120" w:line="360" w:lineRule="auto"/>
        <w:ind w:firstLine="284"/>
        <w:jc w:val="both"/>
      </w:pPr>
      <w:r w:rsidRPr="00F5683E">
        <w:rPr>
          <w:b/>
        </w:rPr>
        <w:t xml:space="preserve">Table </w:t>
      </w:r>
      <w:r w:rsidR="001961FA">
        <w:rPr>
          <w:b/>
        </w:rPr>
        <w:t>I</w:t>
      </w:r>
      <w:r w:rsidR="006F6438">
        <w:t xml:space="preserve"> </w:t>
      </w:r>
      <w:r w:rsidR="003515F9">
        <w:t>map</w:t>
      </w:r>
      <w:r w:rsidR="00083270">
        <w:t>s</w:t>
      </w:r>
      <w:r w:rsidR="003515F9">
        <w:t xml:space="preserve"> the consequences with</w:t>
      </w:r>
      <w:r w:rsidR="006F6438">
        <w:t xml:space="preserve"> the five scenarios</w:t>
      </w:r>
      <w:r w:rsidR="003515F9">
        <w:t xml:space="preserve">, and due to lack of relevant data, their impact </w:t>
      </w:r>
      <w:r w:rsidR="00AD13A6">
        <w:t xml:space="preserve">is measured </w:t>
      </w:r>
      <w:r w:rsidR="003515F9">
        <w:t xml:space="preserve">as neutral/low, medium and high with gray, dark yellow and red color, respectively.  </w:t>
      </w:r>
      <w:r w:rsidR="006F6438">
        <w:t xml:space="preserve"> </w:t>
      </w:r>
    </w:p>
    <w:p w14:paraId="7132811C" w14:textId="77777777" w:rsidR="00281D03" w:rsidRDefault="00281D03" w:rsidP="00A95ED6">
      <w:pPr>
        <w:spacing w:before="120" w:after="120" w:line="360" w:lineRule="auto"/>
        <w:ind w:firstLine="284"/>
        <w:jc w:val="both"/>
      </w:pPr>
    </w:p>
    <w:p w14:paraId="35070B21" w14:textId="77777777" w:rsidR="00281D03" w:rsidRDefault="00281D03" w:rsidP="002F0A03">
      <w:pPr>
        <w:pStyle w:val="ListParagraph"/>
        <w:keepNext/>
        <w:numPr>
          <w:ilvl w:val="1"/>
          <w:numId w:val="5"/>
        </w:numPr>
        <w:spacing w:before="120" w:after="120" w:line="360" w:lineRule="auto"/>
        <w:jc w:val="both"/>
        <w:rPr>
          <w:rFonts w:ascii="Times New Roman" w:hAnsi="Times New Roman" w:cs="Times New Roman"/>
          <w:b/>
          <w:bCs/>
          <w:sz w:val="24"/>
          <w:szCs w:val="24"/>
        </w:rPr>
      </w:pPr>
      <w:r w:rsidRPr="00F75E80">
        <w:rPr>
          <w:rFonts w:ascii="Times New Roman" w:hAnsi="Times New Roman" w:cs="Times New Roman"/>
          <w:b/>
          <w:bCs/>
          <w:sz w:val="24"/>
          <w:szCs w:val="24"/>
        </w:rPr>
        <w:lastRenderedPageBreak/>
        <w:t>Causality</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w:t>
      </w:r>
      <w:r>
        <w:rPr>
          <w:rFonts w:ascii="Times New Roman" w:hAnsi="Times New Roman" w:cs="Times New Roman"/>
          <w:b/>
          <w:bCs/>
          <w:sz w:val="24"/>
          <w:szCs w:val="24"/>
          <w:vertAlign w:val="subscript"/>
        </w:rPr>
        <w:t>j</w:t>
      </w:r>
      <w:proofErr w:type="spellEnd"/>
      <w:r>
        <w:rPr>
          <w:rFonts w:ascii="Times New Roman" w:hAnsi="Times New Roman" w:cs="Times New Roman"/>
          <w:b/>
          <w:bCs/>
          <w:sz w:val="24"/>
          <w:szCs w:val="24"/>
        </w:rPr>
        <w:t>)</w:t>
      </w:r>
    </w:p>
    <w:p w14:paraId="6A42B3AC" w14:textId="3DDA9C24" w:rsidR="00281D03" w:rsidRDefault="00281D03" w:rsidP="00281D03">
      <w:pPr>
        <w:tabs>
          <w:tab w:val="left" w:pos="284"/>
        </w:tabs>
        <w:spacing w:before="120" w:after="120" w:line="360" w:lineRule="auto"/>
        <w:ind w:firstLine="284"/>
        <w:jc w:val="both"/>
      </w:pPr>
      <w:r>
        <w:t xml:space="preserve">Each consequence </w:t>
      </w:r>
      <w:proofErr w:type="gramStart"/>
      <w:r>
        <w:t>is connected with</w:t>
      </w:r>
      <w:proofErr w:type="gramEnd"/>
      <w:r>
        <w:t xml:space="preserve"> every scenario, and measured accordingly (see </w:t>
      </w:r>
      <w:r w:rsidRPr="00F5683E">
        <w:rPr>
          <w:b/>
        </w:rPr>
        <w:t xml:space="preserve">Table </w:t>
      </w:r>
      <w:r w:rsidR="001961FA">
        <w:rPr>
          <w:b/>
        </w:rPr>
        <w:t>I</w:t>
      </w:r>
      <w:r>
        <w:t xml:space="preserve">), and each scenario is connected with the critical variables’ frequency (in our case COVID-19 daily cases as in </w:t>
      </w:r>
      <w:r w:rsidRPr="00A95805">
        <w:rPr>
          <w:b/>
        </w:rPr>
        <w:t>Fig</w:t>
      </w:r>
      <w:r w:rsidR="001961FA">
        <w:rPr>
          <w:b/>
        </w:rPr>
        <w:t>.</w:t>
      </w:r>
      <w:r w:rsidRPr="00A95805">
        <w:rPr>
          <w:b/>
        </w:rPr>
        <w:t xml:space="preserve"> 7</w:t>
      </w:r>
      <w:r>
        <w:t>). However, what causes each critical variable (and, therefore what affects scenarios and, as a result, the culminating consequences) is reflected through the pattern causality analysis, from which the causal profile of the variables under study</w:t>
      </w:r>
      <w:r w:rsidR="00957642">
        <w:t xml:space="preserve"> </w:t>
      </w:r>
      <w:r w:rsidR="00957642" w:rsidRPr="00B93DCA">
        <w:t>is obtained</w:t>
      </w:r>
      <w:r>
        <w:t xml:space="preserve">. In effect, knowledge of the causal interdependencies is the differentiating factor between risk triplets and risk quadruplets. Now, decision makers with a causal map, as in </w:t>
      </w:r>
      <w:r w:rsidRPr="00A95805">
        <w:rPr>
          <w:b/>
        </w:rPr>
        <w:t>Figs</w:t>
      </w:r>
      <w:r w:rsidR="001961FA">
        <w:rPr>
          <w:b/>
        </w:rPr>
        <w:t>.</w:t>
      </w:r>
      <w:r w:rsidRPr="00A95805">
        <w:rPr>
          <w:b/>
        </w:rPr>
        <w:t xml:space="preserve"> 8</w:t>
      </w:r>
      <w:r>
        <w:t xml:space="preserve"> and </w:t>
      </w:r>
      <w:r w:rsidRPr="00A95805">
        <w:rPr>
          <w:b/>
        </w:rPr>
        <w:t>9</w:t>
      </w:r>
      <w:r>
        <w:rPr>
          <w:b/>
        </w:rPr>
        <w:t>,</w:t>
      </w:r>
      <w:r>
        <w:t xml:space="preserve"> have a top-level dashboard and can make informed decisions with deep knowledge about the bigger picture of the problem they face.</w:t>
      </w:r>
    </w:p>
    <w:p w14:paraId="6842B7F4" w14:textId="5FCB4CCA" w:rsidR="00827EAB" w:rsidRDefault="00957642" w:rsidP="00281D03">
      <w:pPr>
        <w:tabs>
          <w:tab w:val="left" w:pos="284"/>
        </w:tabs>
        <w:spacing w:before="120" w:after="120" w:line="360" w:lineRule="auto"/>
        <w:ind w:firstLine="284"/>
        <w:jc w:val="both"/>
      </w:pPr>
      <w:r>
        <w:t>P</w:t>
      </w:r>
      <w:r w:rsidR="00281D03">
        <w:t xml:space="preserve">attern causality </w:t>
      </w:r>
      <w:r w:rsidRPr="00B93DCA">
        <w:t xml:space="preserve">allows us to calculate </w:t>
      </w:r>
      <w:r w:rsidR="00281D03">
        <w:t xml:space="preserve">the impact of precipitation and temperature (the main proxies of the </w:t>
      </w:r>
      <w:r w:rsidR="00B93DCA" w:rsidRPr="009F1C67">
        <w:t>weather</w:t>
      </w:r>
      <w:r w:rsidR="00281D03">
        <w:t xml:space="preserve"> conditions) on the number of daily COVID-19 cases (see </w:t>
      </w:r>
      <w:r w:rsidR="00281D03" w:rsidRPr="00B456E9">
        <w:rPr>
          <w:b/>
        </w:rPr>
        <w:t>Fig</w:t>
      </w:r>
      <w:r w:rsidR="001961FA">
        <w:rPr>
          <w:b/>
        </w:rPr>
        <w:t>s.</w:t>
      </w:r>
      <w:r w:rsidR="00281D03" w:rsidRPr="00B456E9">
        <w:rPr>
          <w:b/>
        </w:rPr>
        <w:t xml:space="preserve"> 8</w:t>
      </w:r>
      <w:r w:rsidR="00281D03">
        <w:t xml:space="preserve"> and </w:t>
      </w:r>
      <w:r w:rsidR="00281D03" w:rsidRPr="00B456E9">
        <w:rPr>
          <w:b/>
        </w:rPr>
        <w:t>9</w:t>
      </w:r>
      <w:r w:rsidR="00281D03">
        <w:t xml:space="preserve">, respectively) for every county in the United States. The overall striking result is that </w:t>
      </w:r>
      <w:r w:rsidR="00B93DCA">
        <w:t>weather</w:t>
      </w:r>
      <w:r w:rsidR="00281D03">
        <w:t xml:space="preserve"> conditions do affect the number of daily COVID-19 cases, however in </w:t>
      </w:r>
      <w:r w:rsidR="00F05115" w:rsidRPr="009F1C67">
        <w:t>a variety of</w:t>
      </w:r>
      <w:r w:rsidR="00F05115">
        <w:t xml:space="preserve"> </w:t>
      </w:r>
      <w:r w:rsidR="00281D03">
        <w:t xml:space="preserve">ways. The aggregate </w:t>
      </w:r>
      <w:r w:rsidR="00042DFF" w:rsidRPr="009F1C67">
        <w:t>causal impacts</w:t>
      </w:r>
      <w:r w:rsidR="00042DFF">
        <w:t xml:space="preserve"> </w:t>
      </w:r>
      <w:r w:rsidR="00281D03">
        <w:t xml:space="preserve">of precipitation and temperature on daily cases for each county </w:t>
      </w:r>
      <w:r w:rsidR="00756B58">
        <w:t>are</w:t>
      </w:r>
      <w:r w:rsidR="00281D03">
        <w:t xml:space="preserve"> illustrated in </w:t>
      </w:r>
      <w:r w:rsidR="00281D03" w:rsidRPr="00A70B1D">
        <w:rPr>
          <w:b/>
        </w:rPr>
        <w:t>Fig</w:t>
      </w:r>
      <w:r w:rsidR="001961FA">
        <w:rPr>
          <w:b/>
        </w:rPr>
        <w:t>.</w:t>
      </w:r>
      <w:r w:rsidR="00281D03" w:rsidRPr="00A70B1D">
        <w:rPr>
          <w:b/>
        </w:rPr>
        <w:t xml:space="preserve"> 8</w:t>
      </w:r>
      <w:r w:rsidR="00281D03">
        <w:rPr>
          <w:b/>
        </w:rPr>
        <w:t xml:space="preserve"> </w:t>
      </w:r>
      <w:r w:rsidR="00281D03" w:rsidRPr="00027A93">
        <w:t>and</w:t>
      </w:r>
      <w:r w:rsidR="00281D03">
        <w:rPr>
          <w:b/>
        </w:rPr>
        <w:t xml:space="preserve"> Fig</w:t>
      </w:r>
      <w:r w:rsidR="001961FA">
        <w:rPr>
          <w:b/>
        </w:rPr>
        <w:t>.</w:t>
      </w:r>
      <w:r w:rsidR="00281D03">
        <w:rPr>
          <w:b/>
        </w:rPr>
        <w:t xml:space="preserve"> 9</w:t>
      </w:r>
      <w:r w:rsidR="00281D03" w:rsidRPr="00027A93">
        <w:t>, respectively</w:t>
      </w:r>
      <w:r w:rsidR="00281D03">
        <w:t>, for the states of New York, California and Illinois.</w:t>
      </w:r>
    </w:p>
    <w:p w14:paraId="2E0A422A" w14:textId="65F11EE4" w:rsidR="00415636" w:rsidRPr="00F5683E" w:rsidRDefault="00CC5605" w:rsidP="00772E6C">
      <w:pPr>
        <w:spacing w:before="120" w:after="120" w:line="360" w:lineRule="auto"/>
        <w:jc w:val="center"/>
        <w:outlineLvl w:val="0"/>
        <w:rPr>
          <w:b/>
        </w:rPr>
      </w:pPr>
      <w:r w:rsidRPr="00F5683E">
        <w:rPr>
          <w:b/>
        </w:rPr>
        <w:t>Table</w:t>
      </w:r>
      <w:r w:rsidR="003515F9" w:rsidRPr="00F5683E">
        <w:rPr>
          <w:b/>
        </w:rPr>
        <w:t xml:space="preserve"> </w:t>
      </w:r>
      <w:r w:rsidR="001961FA">
        <w:rPr>
          <w:b/>
        </w:rPr>
        <w:t>I</w:t>
      </w:r>
      <w:r w:rsidR="00083270">
        <w:rPr>
          <w:b/>
        </w:rPr>
        <w:t xml:space="preserve">. </w:t>
      </w:r>
      <w:r w:rsidR="00483222" w:rsidRPr="00483222">
        <w:rPr>
          <w:bCs/>
        </w:rPr>
        <w:t>Consequences per scenario.</w:t>
      </w:r>
    </w:p>
    <w:tbl>
      <w:tblPr>
        <w:tblStyle w:val="TableGrid"/>
        <w:tblW w:w="8784" w:type="dxa"/>
        <w:jc w:val="center"/>
        <w:tblLook w:val="04A0" w:firstRow="1" w:lastRow="0" w:firstColumn="1" w:lastColumn="0" w:noHBand="0" w:noVBand="1"/>
      </w:tblPr>
      <w:tblGrid>
        <w:gridCol w:w="2373"/>
        <w:gridCol w:w="1238"/>
        <w:gridCol w:w="1238"/>
        <w:gridCol w:w="1238"/>
        <w:gridCol w:w="1238"/>
        <w:gridCol w:w="1459"/>
      </w:tblGrid>
      <w:tr w:rsidR="00CC5605" w:rsidRPr="00CC5605" w14:paraId="175CD50D" w14:textId="77777777" w:rsidTr="00535C23">
        <w:trPr>
          <w:jc w:val="center"/>
        </w:trPr>
        <w:tc>
          <w:tcPr>
            <w:tcW w:w="2373" w:type="dxa"/>
          </w:tcPr>
          <w:p w14:paraId="65FD3C2D" w14:textId="088D1AF3" w:rsidR="00415636" w:rsidRPr="00CC5605" w:rsidRDefault="00415636" w:rsidP="00415636">
            <w:pPr>
              <w:spacing w:before="120" w:after="120" w:line="360" w:lineRule="auto"/>
              <w:jc w:val="center"/>
              <w:rPr>
                <w:b/>
                <w:bCs/>
                <w:sz w:val="20"/>
                <w:szCs w:val="20"/>
              </w:rPr>
            </w:pPr>
            <w:r w:rsidRPr="00CC5605">
              <w:rPr>
                <w:b/>
                <w:bCs/>
                <w:sz w:val="20"/>
                <w:szCs w:val="20"/>
              </w:rPr>
              <w:t>Consequences</w:t>
            </w:r>
          </w:p>
        </w:tc>
        <w:tc>
          <w:tcPr>
            <w:tcW w:w="1238" w:type="dxa"/>
          </w:tcPr>
          <w:p w14:paraId="3EFA853B" w14:textId="1B8674AD" w:rsidR="00415636" w:rsidRPr="00CC5605" w:rsidRDefault="00415636" w:rsidP="00415636">
            <w:pPr>
              <w:spacing w:before="120" w:after="120" w:line="360" w:lineRule="auto"/>
              <w:jc w:val="center"/>
              <w:rPr>
                <w:b/>
                <w:bCs/>
                <w:sz w:val="20"/>
                <w:szCs w:val="20"/>
              </w:rPr>
            </w:pPr>
            <w:r w:rsidRPr="00CC5605">
              <w:rPr>
                <w:b/>
                <w:bCs/>
                <w:sz w:val="20"/>
                <w:szCs w:val="20"/>
              </w:rPr>
              <w:t>Scenario 1</w:t>
            </w:r>
            <w:r w:rsidR="00083270">
              <w:rPr>
                <w:b/>
                <w:bCs/>
                <w:sz w:val="20"/>
                <w:szCs w:val="20"/>
              </w:rPr>
              <w:t xml:space="preserve">. </w:t>
            </w:r>
            <w:r w:rsidR="00083270" w:rsidRPr="00083270">
              <w:rPr>
                <w:b/>
                <w:bCs/>
                <w:sz w:val="20"/>
                <w:szCs w:val="20"/>
              </w:rPr>
              <w:t>Tolerable</w:t>
            </w:r>
          </w:p>
        </w:tc>
        <w:tc>
          <w:tcPr>
            <w:tcW w:w="1238" w:type="dxa"/>
          </w:tcPr>
          <w:p w14:paraId="2BD5FE14" w14:textId="1B1321E6" w:rsidR="00415636" w:rsidRPr="00CC5605" w:rsidRDefault="00415636" w:rsidP="00415636">
            <w:pPr>
              <w:spacing w:before="120" w:after="120" w:line="360" w:lineRule="auto"/>
              <w:jc w:val="center"/>
              <w:rPr>
                <w:b/>
                <w:bCs/>
                <w:sz w:val="20"/>
                <w:szCs w:val="20"/>
              </w:rPr>
            </w:pPr>
            <w:r w:rsidRPr="00CC5605">
              <w:rPr>
                <w:b/>
                <w:bCs/>
                <w:sz w:val="20"/>
                <w:szCs w:val="20"/>
              </w:rPr>
              <w:t>Scenario 2</w:t>
            </w:r>
            <w:r w:rsidR="00083270">
              <w:rPr>
                <w:b/>
                <w:bCs/>
                <w:sz w:val="20"/>
                <w:szCs w:val="20"/>
              </w:rPr>
              <w:t xml:space="preserve">. </w:t>
            </w:r>
            <w:r w:rsidR="00535C23">
              <w:rPr>
                <w:b/>
                <w:bCs/>
                <w:sz w:val="20"/>
                <w:szCs w:val="20"/>
              </w:rPr>
              <w:t>Warning</w:t>
            </w:r>
          </w:p>
        </w:tc>
        <w:tc>
          <w:tcPr>
            <w:tcW w:w="1238" w:type="dxa"/>
          </w:tcPr>
          <w:p w14:paraId="4B811058" w14:textId="59EE8985" w:rsidR="00535C23" w:rsidRPr="00CC5605" w:rsidRDefault="00415636" w:rsidP="00535C23">
            <w:pPr>
              <w:spacing w:before="120" w:after="120" w:line="360" w:lineRule="auto"/>
              <w:jc w:val="center"/>
              <w:rPr>
                <w:b/>
                <w:bCs/>
                <w:sz w:val="20"/>
                <w:szCs w:val="20"/>
              </w:rPr>
            </w:pPr>
            <w:r w:rsidRPr="00CC5605">
              <w:rPr>
                <w:b/>
                <w:bCs/>
                <w:sz w:val="20"/>
                <w:szCs w:val="20"/>
              </w:rPr>
              <w:t>Scenario 3</w:t>
            </w:r>
            <w:r w:rsidR="00535C23">
              <w:rPr>
                <w:b/>
                <w:bCs/>
                <w:sz w:val="20"/>
                <w:szCs w:val="20"/>
              </w:rPr>
              <w:t>. Alarming</w:t>
            </w:r>
          </w:p>
        </w:tc>
        <w:tc>
          <w:tcPr>
            <w:tcW w:w="1238" w:type="dxa"/>
          </w:tcPr>
          <w:p w14:paraId="315CD9F5" w14:textId="095EF33C" w:rsidR="00415636" w:rsidRPr="00CC5605" w:rsidRDefault="00415636" w:rsidP="00415636">
            <w:pPr>
              <w:spacing w:before="120" w:after="120" w:line="360" w:lineRule="auto"/>
              <w:jc w:val="center"/>
              <w:rPr>
                <w:b/>
                <w:bCs/>
                <w:sz w:val="20"/>
                <w:szCs w:val="20"/>
              </w:rPr>
            </w:pPr>
            <w:r w:rsidRPr="00CC5605">
              <w:rPr>
                <w:b/>
                <w:bCs/>
                <w:sz w:val="20"/>
                <w:szCs w:val="20"/>
              </w:rPr>
              <w:t>Scenario 4</w:t>
            </w:r>
            <w:r w:rsidR="00535C23">
              <w:rPr>
                <w:b/>
                <w:bCs/>
                <w:sz w:val="20"/>
                <w:szCs w:val="20"/>
              </w:rPr>
              <w:t>. Critical</w:t>
            </w:r>
          </w:p>
        </w:tc>
        <w:tc>
          <w:tcPr>
            <w:tcW w:w="1459" w:type="dxa"/>
          </w:tcPr>
          <w:p w14:paraId="52226B9D" w14:textId="3D550AA9" w:rsidR="00415636" w:rsidRPr="00CC5605" w:rsidRDefault="00415636" w:rsidP="00415636">
            <w:pPr>
              <w:spacing w:before="120" w:after="120" w:line="360" w:lineRule="auto"/>
              <w:jc w:val="center"/>
              <w:rPr>
                <w:b/>
                <w:bCs/>
                <w:sz w:val="20"/>
                <w:szCs w:val="20"/>
              </w:rPr>
            </w:pPr>
            <w:r w:rsidRPr="00CC5605">
              <w:rPr>
                <w:b/>
                <w:bCs/>
                <w:sz w:val="20"/>
                <w:szCs w:val="20"/>
              </w:rPr>
              <w:t>Scenario 5</w:t>
            </w:r>
            <w:r w:rsidR="00535C23">
              <w:rPr>
                <w:b/>
                <w:bCs/>
                <w:sz w:val="20"/>
                <w:szCs w:val="20"/>
              </w:rPr>
              <w:t>. Catastrophic</w:t>
            </w:r>
          </w:p>
        </w:tc>
      </w:tr>
      <w:tr w:rsidR="00CC5605" w:rsidRPr="00CC5605" w14:paraId="6317F7BC" w14:textId="77777777" w:rsidTr="00535C23">
        <w:trPr>
          <w:jc w:val="center"/>
        </w:trPr>
        <w:tc>
          <w:tcPr>
            <w:tcW w:w="2373" w:type="dxa"/>
          </w:tcPr>
          <w:p w14:paraId="03F7A36E" w14:textId="236DB9E9" w:rsidR="00415636" w:rsidRPr="00CC5605" w:rsidRDefault="00415636" w:rsidP="002F0A03">
            <w:pPr>
              <w:jc w:val="both"/>
              <w:rPr>
                <w:b/>
                <w:bCs/>
                <w:sz w:val="20"/>
                <w:szCs w:val="20"/>
              </w:rPr>
            </w:pPr>
            <w:bookmarkStart w:id="7" w:name="_Hlk45989894"/>
            <w:r w:rsidRPr="00CC5605">
              <w:rPr>
                <w:sz w:val="20"/>
                <w:szCs w:val="20"/>
              </w:rPr>
              <w:t>Travel Restriction</w:t>
            </w:r>
          </w:p>
        </w:tc>
        <w:tc>
          <w:tcPr>
            <w:tcW w:w="1238" w:type="dxa"/>
            <w:shd w:val="clear" w:color="auto" w:fill="E7E6E6" w:themeFill="background2"/>
          </w:tcPr>
          <w:p w14:paraId="4E4557FA" w14:textId="21DB2203" w:rsidR="00415636" w:rsidRPr="00CC5605" w:rsidRDefault="00415636" w:rsidP="002F0A03">
            <w:pPr>
              <w:jc w:val="both"/>
              <w:rPr>
                <w:b/>
                <w:bCs/>
                <w:sz w:val="20"/>
                <w:szCs w:val="20"/>
              </w:rPr>
            </w:pPr>
          </w:p>
        </w:tc>
        <w:tc>
          <w:tcPr>
            <w:tcW w:w="1238" w:type="dxa"/>
            <w:shd w:val="clear" w:color="auto" w:fill="E7E6E6" w:themeFill="background2"/>
          </w:tcPr>
          <w:p w14:paraId="554CE151" w14:textId="77777777" w:rsidR="00415636" w:rsidRPr="00CC5605" w:rsidRDefault="00415636" w:rsidP="002F0A03">
            <w:pPr>
              <w:jc w:val="both"/>
              <w:rPr>
                <w:b/>
                <w:bCs/>
                <w:sz w:val="20"/>
                <w:szCs w:val="20"/>
              </w:rPr>
            </w:pPr>
          </w:p>
        </w:tc>
        <w:tc>
          <w:tcPr>
            <w:tcW w:w="1238" w:type="dxa"/>
            <w:shd w:val="clear" w:color="auto" w:fill="FFC000" w:themeFill="accent4"/>
          </w:tcPr>
          <w:p w14:paraId="016CD5EB" w14:textId="77777777" w:rsidR="00415636" w:rsidRPr="00CC5605" w:rsidRDefault="00415636" w:rsidP="002F0A03">
            <w:pPr>
              <w:jc w:val="both"/>
              <w:rPr>
                <w:b/>
                <w:bCs/>
                <w:sz w:val="20"/>
                <w:szCs w:val="20"/>
              </w:rPr>
            </w:pPr>
          </w:p>
        </w:tc>
        <w:tc>
          <w:tcPr>
            <w:tcW w:w="1238" w:type="dxa"/>
            <w:shd w:val="clear" w:color="auto" w:fill="C00000"/>
          </w:tcPr>
          <w:p w14:paraId="475744A7" w14:textId="77777777" w:rsidR="00415636" w:rsidRPr="00CC5605" w:rsidRDefault="00415636" w:rsidP="002F0A03">
            <w:pPr>
              <w:jc w:val="both"/>
              <w:rPr>
                <w:b/>
                <w:bCs/>
                <w:sz w:val="20"/>
                <w:szCs w:val="20"/>
              </w:rPr>
            </w:pPr>
          </w:p>
        </w:tc>
        <w:tc>
          <w:tcPr>
            <w:tcW w:w="1459" w:type="dxa"/>
            <w:shd w:val="clear" w:color="auto" w:fill="C00000"/>
          </w:tcPr>
          <w:p w14:paraId="79F1A1EB" w14:textId="77777777" w:rsidR="00415636" w:rsidRPr="00CC5605" w:rsidRDefault="00415636" w:rsidP="002F0A03">
            <w:pPr>
              <w:jc w:val="both"/>
              <w:rPr>
                <w:b/>
                <w:bCs/>
                <w:sz w:val="20"/>
                <w:szCs w:val="20"/>
              </w:rPr>
            </w:pPr>
          </w:p>
        </w:tc>
      </w:tr>
      <w:tr w:rsidR="00663D86" w:rsidRPr="00CC5605" w14:paraId="6DDD9B9A" w14:textId="77777777" w:rsidTr="00535C23">
        <w:trPr>
          <w:jc w:val="center"/>
        </w:trPr>
        <w:tc>
          <w:tcPr>
            <w:tcW w:w="2373" w:type="dxa"/>
          </w:tcPr>
          <w:p w14:paraId="4EC59C39" w14:textId="76EA520A" w:rsidR="00663D86" w:rsidRPr="00B93DCA" w:rsidRDefault="00456DD0" w:rsidP="002F0A03">
            <w:pPr>
              <w:jc w:val="both"/>
              <w:rPr>
                <w:sz w:val="20"/>
                <w:szCs w:val="20"/>
              </w:rPr>
            </w:pPr>
            <w:r w:rsidRPr="00B93DCA">
              <w:rPr>
                <w:sz w:val="20"/>
                <w:szCs w:val="20"/>
              </w:rPr>
              <w:t xml:space="preserve">Physical </w:t>
            </w:r>
            <w:r w:rsidR="00663D86" w:rsidRPr="00B93DCA">
              <w:rPr>
                <w:sz w:val="20"/>
                <w:szCs w:val="20"/>
              </w:rPr>
              <w:t>Distancing</w:t>
            </w:r>
          </w:p>
        </w:tc>
        <w:tc>
          <w:tcPr>
            <w:tcW w:w="1238" w:type="dxa"/>
            <w:shd w:val="clear" w:color="auto" w:fill="FFC000" w:themeFill="accent4"/>
          </w:tcPr>
          <w:p w14:paraId="0E07242E" w14:textId="77777777" w:rsidR="00663D86" w:rsidRPr="00CC5605" w:rsidRDefault="00663D86" w:rsidP="002F0A03">
            <w:pPr>
              <w:jc w:val="both"/>
              <w:rPr>
                <w:b/>
                <w:bCs/>
                <w:sz w:val="20"/>
                <w:szCs w:val="20"/>
              </w:rPr>
            </w:pPr>
          </w:p>
        </w:tc>
        <w:tc>
          <w:tcPr>
            <w:tcW w:w="1238" w:type="dxa"/>
            <w:shd w:val="clear" w:color="auto" w:fill="FFC000" w:themeFill="accent4"/>
          </w:tcPr>
          <w:p w14:paraId="4303BAA6" w14:textId="77777777" w:rsidR="00663D86" w:rsidRPr="00CC5605" w:rsidRDefault="00663D86" w:rsidP="002F0A03">
            <w:pPr>
              <w:jc w:val="both"/>
              <w:rPr>
                <w:b/>
                <w:bCs/>
                <w:sz w:val="20"/>
                <w:szCs w:val="20"/>
              </w:rPr>
            </w:pPr>
          </w:p>
        </w:tc>
        <w:tc>
          <w:tcPr>
            <w:tcW w:w="1238" w:type="dxa"/>
            <w:shd w:val="clear" w:color="auto" w:fill="C00000"/>
          </w:tcPr>
          <w:p w14:paraId="011C4627" w14:textId="0858A36F" w:rsidR="00663D86" w:rsidRPr="00CC5605" w:rsidRDefault="00663D86" w:rsidP="002F0A03">
            <w:pPr>
              <w:jc w:val="both"/>
              <w:rPr>
                <w:b/>
                <w:bCs/>
                <w:sz w:val="20"/>
                <w:szCs w:val="20"/>
              </w:rPr>
            </w:pPr>
          </w:p>
        </w:tc>
        <w:tc>
          <w:tcPr>
            <w:tcW w:w="1238" w:type="dxa"/>
            <w:shd w:val="clear" w:color="auto" w:fill="C00000"/>
          </w:tcPr>
          <w:p w14:paraId="34BC0376" w14:textId="77777777" w:rsidR="00663D86" w:rsidRPr="00CC5605" w:rsidRDefault="00663D86" w:rsidP="002F0A03">
            <w:pPr>
              <w:jc w:val="both"/>
              <w:rPr>
                <w:b/>
                <w:bCs/>
                <w:sz w:val="20"/>
                <w:szCs w:val="20"/>
              </w:rPr>
            </w:pPr>
          </w:p>
        </w:tc>
        <w:tc>
          <w:tcPr>
            <w:tcW w:w="1459" w:type="dxa"/>
            <w:shd w:val="clear" w:color="auto" w:fill="C00000"/>
          </w:tcPr>
          <w:p w14:paraId="2BDD8FAD" w14:textId="77777777" w:rsidR="00663D86" w:rsidRPr="00CC5605" w:rsidRDefault="00663D86" w:rsidP="002F0A03">
            <w:pPr>
              <w:jc w:val="both"/>
              <w:rPr>
                <w:b/>
                <w:bCs/>
                <w:sz w:val="20"/>
                <w:szCs w:val="20"/>
              </w:rPr>
            </w:pPr>
          </w:p>
        </w:tc>
      </w:tr>
      <w:tr w:rsidR="00BC4A07" w:rsidRPr="00CC5605" w14:paraId="27981A08" w14:textId="77777777" w:rsidTr="00535C23">
        <w:trPr>
          <w:jc w:val="center"/>
        </w:trPr>
        <w:tc>
          <w:tcPr>
            <w:tcW w:w="2373" w:type="dxa"/>
          </w:tcPr>
          <w:p w14:paraId="33487DE1" w14:textId="40FF9D14" w:rsidR="00BC4A07" w:rsidRPr="00B93DCA" w:rsidRDefault="00BC4A07" w:rsidP="002F0A03">
            <w:pPr>
              <w:jc w:val="both"/>
              <w:rPr>
                <w:sz w:val="20"/>
                <w:szCs w:val="20"/>
              </w:rPr>
            </w:pPr>
            <w:r w:rsidRPr="00B93DCA">
              <w:rPr>
                <w:sz w:val="20"/>
                <w:szCs w:val="20"/>
              </w:rPr>
              <w:t>Face Masks Usage</w:t>
            </w:r>
          </w:p>
        </w:tc>
        <w:tc>
          <w:tcPr>
            <w:tcW w:w="1238" w:type="dxa"/>
            <w:shd w:val="clear" w:color="auto" w:fill="E7E6E6" w:themeFill="background2"/>
          </w:tcPr>
          <w:p w14:paraId="7F11FB66" w14:textId="77777777" w:rsidR="00BC4A07" w:rsidRPr="00CC5605" w:rsidRDefault="00BC4A07" w:rsidP="002F0A03">
            <w:pPr>
              <w:jc w:val="both"/>
              <w:rPr>
                <w:b/>
                <w:bCs/>
                <w:sz w:val="20"/>
                <w:szCs w:val="20"/>
              </w:rPr>
            </w:pPr>
          </w:p>
        </w:tc>
        <w:tc>
          <w:tcPr>
            <w:tcW w:w="1238" w:type="dxa"/>
            <w:shd w:val="clear" w:color="auto" w:fill="FFC000" w:themeFill="accent4"/>
          </w:tcPr>
          <w:p w14:paraId="6FE67003" w14:textId="77777777" w:rsidR="00BC4A07" w:rsidRPr="00CC5605" w:rsidRDefault="00BC4A07" w:rsidP="002F0A03">
            <w:pPr>
              <w:jc w:val="both"/>
              <w:rPr>
                <w:b/>
                <w:bCs/>
                <w:sz w:val="20"/>
                <w:szCs w:val="20"/>
              </w:rPr>
            </w:pPr>
          </w:p>
        </w:tc>
        <w:tc>
          <w:tcPr>
            <w:tcW w:w="1238" w:type="dxa"/>
            <w:shd w:val="clear" w:color="auto" w:fill="FFC000" w:themeFill="accent4"/>
          </w:tcPr>
          <w:p w14:paraId="76641BF2" w14:textId="45297D4D" w:rsidR="00BC4A07" w:rsidRPr="00CC5605" w:rsidRDefault="00BC4A07" w:rsidP="002F0A03">
            <w:pPr>
              <w:jc w:val="both"/>
              <w:rPr>
                <w:b/>
                <w:bCs/>
                <w:sz w:val="20"/>
                <w:szCs w:val="20"/>
              </w:rPr>
            </w:pPr>
          </w:p>
        </w:tc>
        <w:tc>
          <w:tcPr>
            <w:tcW w:w="1238" w:type="dxa"/>
            <w:shd w:val="clear" w:color="auto" w:fill="C00000"/>
          </w:tcPr>
          <w:p w14:paraId="799112AA" w14:textId="77777777" w:rsidR="00BC4A07" w:rsidRPr="00CC5605" w:rsidRDefault="00BC4A07" w:rsidP="002F0A03">
            <w:pPr>
              <w:jc w:val="both"/>
              <w:rPr>
                <w:b/>
                <w:bCs/>
                <w:sz w:val="20"/>
                <w:szCs w:val="20"/>
              </w:rPr>
            </w:pPr>
          </w:p>
        </w:tc>
        <w:tc>
          <w:tcPr>
            <w:tcW w:w="1459" w:type="dxa"/>
            <w:shd w:val="clear" w:color="auto" w:fill="C00000"/>
          </w:tcPr>
          <w:p w14:paraId="4D85F86C" w14:textId="77777777" w:rsidR="00BC4A07" w:rsidRPr="00CC5605" w:rsidRDefault="00BC4A07" w:rsidP="002F0A03">
            <w:pPr>
              <w:jc w:val="both"/>
              <w:rPr>
                <w:b/>
                <w:bCs/>
                <w:sz w:val="20"/>
                <w:szCs w:val="20"/>
              </w:rPr>
            </w:pPr>
          </w:p>
        </w:tc>
      </w:tr>
      <w:tr w:rsidR="00CC5605" w:rsidRPr="00CC5605" w14:paraId="5806876D" w14:textId="77777777" w:rsidTr="00535C23">
        <w:trPr>
          <w:jc w:val="center"/>
        </w:trPr>
        <w:tc>
          <w:tcPr>
            <w:tcW w:w="2373" w:type="dxa"/>
          </w:tcPr>
          <w:p w14:paraId="2768CDC6" w14:textId="3FC190BC" w:rsidR="00415636" w:rsidRPr="00CC5605" w:rsidRDefault="00415636" w:rsidP="002F0A03">
            <w:pPr>
              <w:jc w:val="both"/>
              <w:rPr>
                <w:sz w:val="20"/>
                <w:szCs w:val="20"/>
              </w:rPr>
            </w:pPr>
            <w:r w:rsidRPr="00CC5605">
              <w:rPr>
                <w:sz w:val="20"/>
                <w:szCs w:val="20"/>
              </w:rPr>
              <w:t>Lockdown</w:t>
            </w:r>
          </w:p>
        </w:tc>
        <w:tc>
          <w:tcPr>
            <w:tcW w:w="1238" w:type="dxa"/>
            <w:shd w:val="clear" w:color="auto" w:fill="E7E6E6" w:themeFill="background2"/>
          </w:tcPr>
          <w:p w14:paraId="7AAAE717" w14:textId="204A2E9B" w:rsidR="00415636" w:rsidRPr="00CC5605" w:rsidRDefault="00415636" w:rsidP="002F0A03">
            <w:pPr>
              <w:jc w:val="both"/>
              <w:rPr>
                <w:b/>
                <w:bCs/>
                <w:sz w:val="20"/>
                <w:szCs w:val="20"/>
              </w:rPr>
            </w:pPr>
          </w:p>
        </w:tc>
        <w:tc>
          <w:tcPr>
            <w:tcW w:w="1238" w:type="dxa"/>
            <w:shd w:val="clear" w:color="auto" w:fill="E7E6E6" w:themeFill="background2"/>
          </w:tcPr>
          <w:p w14:paraId="0970461C" w14:textId="77777777" w:rsidR="00415636" w:rsidRPr="00CC5605" w:rsidRDefault="00415636" w:rsidP="002F0A03">
            <w:pPr>
              <w:jc w:val="both"/>
              <w:rPr>
                <w:b/>
                <w:bCs/>
                <w:sz w:val="20"/>
                <w:szCs w:val="20"/>
              </w:rPr>
            </w:pPr>
          </w:p>
        </w:tc>
        <w:tc>
          <w:tcPr>
            <w:tcW w:w="1238" w:type="dxa"/>
            <w:shd w:val="clear" w:color="auto" w:fill="FFC000" w:themeFill="accent4"/>
          </w:tcPr>
          <w:p w14:paraId="333E5140" w14:textId="77777777" w:rsidR="00415636" w:rsidRPr="00CC5605" w:rsidRDefault="00415636" w:rsidP="002F0A03">
            <w:pPr>
              <w:jc w:val="both"/>
              <w:rPr>
                <w:b/>
                <w:bCs/>
                <w:sz w:val="20"/>
                <w:szCs w:val="20"/>
              </w:rPr>
            </w:pPr>
          </w:p>
        </w:tc>
        <w:tc>
          <w:tcPr>
            <w:tcW w:w="1238" w:type="dxa"/>
            <w:shd w:val="clear" w:color="auto" w:fill="FFC000" w:themeFill="accent4"/>
          </w:tcPr>
          <w:p w14:paraId="78BFDD1D" w14:textId="77777777" w:rsidR="00415636" w:rsidRPr="00CC5605" w:rsidRDefault="00415636" w:rsidP="002F0A03">
            <w:pPr>
              <w:jc w:val="both"/>
              <w:rPr>
                <w:b/>
                <w:bCs/>
                <w:sz w:val="20"/>
                <w:szCs w:val="20"/>
              </w:rPr>
            </w:pPr>
          </w:p>
        </w:tc>
        <w:tc>
          <w:tcPr>
            <w:tcW w:w="1459" w:type="dxa"/>
            <w:shd w:val="clear" w:color="auto" w:fill="C00000"/>
          </w:tcPr>
          <w:p w14:paraId="73928BB5" w14:textId="77777777" w:rsidR="00415636" w:rsidRPr="00CC5605" w:rsidRDefault="00415636" w:rsidP="002F0A03">
            <w:pPr>
              <w:jc w:val="both"/>
              <w:rPr>
                <w:b/>
                <w:bCs/>
                <w:sz w:val="20"/>
                <w:szCs w:val="20"/>
              </w:rPr>
            </w:pPr>
          </w:p>
        </w:tc>
      </w:tr>
      <w:tr w:rsidR="00CC5605" w:rsidRPr="00CC5605" w14:paraId="4775C5BD" w14:textId="77777777" w:rsidTr="00535C23">
        <w:trPr>
          <w:jc w:val="center"/>
        </w:trPr>
        <w:tc>
          <w:tcPr>
            <w:tcW w:w="2373" w:type="dxa"/>
          </w:tcPr>
          <w:p w14:paraId="1DE67568" w14:textId="2034D5C6" w:rsidR="00415636" w:rsidRPr="00CC5605" w:rsidRDefault="00415636" w:rsidP="002F0A03">
            <w:pPr>
              <w:jc w:val="both"/>
              <w:rPr>
                <w:sz w:val="20"/>
                <w:szCs w:val="20"/>
              </w:rPr>
            </w:pPr>
            <w:r w:rsidRPr="00CC5605">
              <w:rPr>
                <w:sz w:val="20"/>
                <w:szCs w:val="20"/>
              </w:rPr>
              <w:t>Government support</w:t>
            </w:r>
          </w:p>
        </w:tc>
        <w:tc>
          <w:tcPr>
            <w:tcW w:w="1238" w:type="dxa"/>
            <w:shd w:val="clear" w:color="auto" w:fill="E7E6E6" w:themeFill="background2"/>
          </w:tcPr>
          <w:p w14:paraId="2D32D9C5" w14:textId="77777777" w:rsidR="00415636" w:rsidRPr="00CC5605" w:rsidRDefault="00415636" w:rsidP="002F0A03">
            <w:pPr>
              <w:jc w:val="both"/>
              <w:rPr>
                <w:b/>
                <w:bCs/>
                <w:sz w:val="20"/>
                <w:szCs w:val="20"/>
                <w:highlight w:val="lightGray"/>
              </w:rPr>
            </w:pPr>
          </w:p>
        </w:tc>
        <w:tc>
          <w:tcPr>
            <w:tcW w:w="1238" w:type="dxa"/>
            <w:shd w:val="clear" w:color="auto" w:fill="FFC000" w:themeFill="accent4"/>
          </w:tcPr>
          <w:p w14:paraId="12D91CE2" w14:textId="77777777" w:rsidR="00415636" w:rsidRPr="00CC5605" w:rsidRDefault="00415636" w:rsidP="002F0A03">
            <w:pPr>
              <w:jc w:val="both"/>
              <w:rPr>
                <w:b/>
                <w:bCs/>
                <w:sz w:val="20"/>
                <w:szCs w:val="20"/>
              </w:rPr>
            </w:pPr>
          </w:p>
        </w:tc>
        <w:tc>
          <w:tcPr>
            <w:tcW w:w="1238" w:type="dxa"/>
            <w:shd w:val="clear" w:color="auto" w:fill="FFC000" w:themeFill="accent4"/>
          </w:tcPr>
          <w:p w14:paraId="2E35B410" w14:textId="1F4FA417" w:rsidR="00415636" w:rsidRPr="00CC5605" w:rsidRDefault="00415636" w:rsidP="002F0A03">
            <w:pPr>
              <w:jc w:val="both"/>
              <w:rPr>
                <w:b/>
                <w:bCs/>
                <w:sz w:val="20"/>
                <w:szCs w:val="20"/>
              </w:rPr>
            </w:pPr>
          </w:p>
        </w:tc>
        <w:tc>
          <w:tcPr>
            <w:tcW w:w="1238" w:type="dxa"/>
            <w:shd w:val="clear" w:color="auto" w:fill="C00000"/>
          </w:tcPr>
          <w:p w14:paraId="5D4998DC" w14:textId="77777777" w:rsidR="00415636" w:rsidRPr="00CC5605" w:rsidRDefault="00415636" w:rsidP="002F0A03">
            <w:pPr>
              <w:jc w:val="both"/>
              <w:rPr>
                <w:b/>
                <w:bCs/>
                <w:sz w:val="20"/>
                <w:szCs w:val="20"/>
              </w:rPr>
            </w:pPr>
          </w:p>
        </w:tc>
        <w:tc>
          <w:tcPr>
            <w:tcW w:w="1459" w:type="dxa"/>
            <w:shd w:val="clear" w:color="auto" w:fill="C00000"/>
          </w:tcPr>
          <w:p w14:paraId="6B7A21F6" w14:textId="77777777" w:rsidR="00415636" w:rsidRPr="00CC5605" w:rsidRDefault="00415636" w:rsidP="002F0A03">
            <w:pPr>
              <w:jc w:val="both"/>
              <w:rPr>
                <w:b/>
                <w:bCs/>
                <w:sz w:val="20"/>
                <w:szCs w:val="20"/>
              </w:rPr>
            </w:pPr>
          </w:p>
        </w:tc>
      </w:tr>
      <w:tr w:rsidR="00CC5605" w:rsidRPr="00CC5605" w14:paraId="28BB58FB" w14:textId="77777777" w:rsidTr="00535C23">
        <w:trPr>
          <w:jc w:val="center"/>
        </w:trPr>
        <w:tc>
          <w:tcPr>
            <w:tcW w:w="2373" w:type="dxa"/>
          </w:tcPr>
          <w:p w14:paraId="0B2FE7CE" w14:textId="476EEB41" w:rsidR="00415636" w:rsidRPr="00CC5605" w:rsidRDefault="00415636" w:rsidP="002F0A03">
            <w:pPr>
              <w:jc w:val="both"/>
              <w:rPr>
                <w:sz w:val="20"/>
                <w:szCs w:val="20"/>
              </w:rPr>
            </w:pPr>
            <w:r w:rsidRPr="00CC5605">
              <w:rPr>
                <w:sz w:val="20"/>
                <w:szCs w:val="20"/>
              </w:rPr>
              <w:t>Supply chain interruption</w:t>
            </w:r>
          </w:p>
        </w:tc>
        <w:tc>
          <w:tcPr>
            <w:tcW w:w="1238" w:type="dxa"/>
            <w:shd w:val="clear" w:color="auto" w:fill="E7E6E6" w:themeFill="background2"/>
          </w:tcPr>
          <w:p w14:paraId="47DC82DB" w14:textId="5B6FAD7A" w:rsidR="00415636" w:rsidRPr="00CC5605" w:rsidRDefault="00415636" w:rsidP="002F0A03">
            <w:pPr>
              <w:jc w:val="both"/>
              <w:rPr>
                <w:b/>
                <w:bCs/>
                <w:sz w:val="20"/>
                <w:szCs w:val="20"/>
                <w:highlight w:val="lightGray"/>
              </w:rPr>
            </w:pPr>
          </w:p>
        </w:tc>
        <w:tc>
          <w:tcPr>
            <w:tcW w:w="1238" w:type="dxa"/>
            <w:shd w:val="clear" w:color="auto" w:fill="E7E6E6" w:themeFill="background2"/>
          </w:tcPr>
          <w:p w14:paraId="7194EE29" w14:textId="77777777" w:rsidR="00415636" w:rsidRPr="00CC5605" w:rsidRDefault="00415636" w:rsidP="002F0A03">
            <w:pPr>
              <w:jc w:val="both"/>
              <w:rPr>
                <w:b/>
                <w:bCs/>
                <w:sz w:val="20"/>
                <w:szCs w:val="20"/>
              </w:rPr>
            </w:pPr>
          </w:p>
        </w:tc>
        <w:tc>
          <w:tcPr>
            <w:tcW w:w="1238" w:type="dxa"/>
            <w:shd w:val="clear" w:color="auto" w:fill="FFC000" w:themeFill="accent4"/>
          </w:tcPr>
          <w:p w14:paraId="79819C98" w14:textId="7D09FD46" w:rsidR="00415636" w:rsidRPr="00CC5605" w:rsidRDefault="00415636" w:rsidP="002F0A03">
            <w:pPr>
              <w:jc w:val="both"/>
              <w:rPr>
                <w:b/>
                <w:bCs/>
                <w:sz w:val="20"/>
                <w:szCs w:val="20"/>
              </w:rPr>
            </w:pPr>
          </w:p>
        </w:tc>
        <w:tc>
          <w:tcPr>
            <w:tcW w:w="1238" w:type="dxa"/>
            <w:shd w:val="clear" w:color="auto" w:fill="C00000"/>
          </w:tcPr>
          <w:p w14:paraId="7C615D3D" w14:textId="77777777" w:rsidR="00415636" w:rsidRPr="00CC5605" w:rsidRDefault="00415636" w:rsidP="002F0A03">
            <w:pPr>
              <w:jc w:val="both"/>
              <w:rPr>
                <w:b/>
                <w:bCs/>
                <w:sz w:val="20"/>
                <w:szCs w:val="20"/>
              </w:rPr>
            </w:pPr>
          </w:p>
        </w:tc>
        <w:tc>
          <w:tcPr>
            <w:tcW w:w="1459" w:type="dxa"/>
            <w:shd w:val="clear" w:color="auto" w:fill="C00000"/>
          </w:tcPr>
          <w:p w14:paraId="3E42EE43" w14:textId="77777777" w:rsidR="00415636" w:rsidRPr="00CC5605" w:rsidRDefault="00415636" w:rsidP="002F0A03">
            <w:pPr>
              <w:jc w:val="both"/>
              <w:rPr>
                <w:b/>
                <w:bCs/>
                <w:sz w:val="20"/>
                <w:szCs w:val="20"/>
              </w:rPr>
            </w:pPr>
          </w:p>
        </w:tc>
      </w:tr>
      <w:tr w:rsidR="00CC5605" w:rsidRPr="00CC5605" w14:paraId="39D2C9CD" w14:textId="77777777" w:rsidTr="00535C23">
        <w:trPr>
          <w:jc w:val="center"/>
        </w:trPr>
        <w:tc>
          <w:tcPr>
            <w:tcW w:w="2373" w:type="dxa"/>
          </w:tcPr>
          <w:p w14:paraId="0F38EB68" w14:textId="3E314A1F" w:rsidR="00415636" w:rsidRPr="00CC5605" w:rsidRDefault="00415636" w:rsidP="002F0A03">
            <w:pPr>
              <w:jc w:val="both"/>
              <w:rPr>
                <w:sz w:val="20"/>
                <w:szCs w:val="20"/>
              </w:rPr>
            </w:pPr>
            <w:r w:rsidRPr="00CC5605">
              <w:rPr>
                <w:sz w:val="20"/>
                <w:szCs w:val="20"/>
              </w:rPr>
              <w:t>Reduced Consumption</w:t>
            </w:r>
          </w:p>
        </w:tc>
        <w:tc>
          <w:tcPr>
            <w:tcW w:w="1238" w:type="dxa"/>
            <w:shd w:val="clear" w:color="auto" w:fill="E7E6E6" w:themeFill="background2"/>
          </w:tcPr>
          <w:p w14:paraId="15ABBD3D" w14:textId="77777777" w:rsidR="00415636" w:rsidRPr="00CC5605" w:rsidRDefault="00415636" w:rsidP="002F0A03">
            <w:pPr>
              <w:jc w:val="both"/>
              <w:rPr>
                <w:b/>
                <w:bCs/>
                <w:sz w:val="20"/>
                <w:szCs w:val="20"/>
                <w:highlight w:val="lightGray"/>
              </w:rPr>
            </w:pPr>
          </w:p>
        </w:tc>
        <w:tc>
          <w:tcPr>
            <w:tcW w:w="1238" w:type="dxa"/>
            <w:shd w:val="clear" w:color="auto" w:fill="E7E6E6" w:themeFill="background2"/>
          </w:tcPr>
          <w:p w14:paraId="7887996F" w14:textId="77777777" w:rsidR="00415636" w:rsidRPr="00CC5605" w:rsidRDefault="00415636" w:rsidP="002F0A03">
            <w:pPr>
              <w:jc w:val="both"/>
              <w:rPr>
                <w:b/>
                <w:bCs/>
                <w:sz w:val="20"/>
                <w:szCs w:val="20"/>
              </w:rPr>
            </w:pPr>
          </w:p>
        </w:tc>
        <w:tc>
          <w:tcPr>
            <w:tcW w:w="1238" w:type="dxa"/>
            <w:shd w:val="clear" w:color="auto" w:fill="FFC000" w:themeFill="accent4"/>
          </w:tcPr>
          <w:p w14:paraId="05163415" w14:textId="6DBA1D1E" w:rsidR="00415636" w:rsidRPr="00CC5605" w:rsidRDefault="00415636" w:rsidP="002F0A03">
            <w:pPr>
              <w:jc w:val="both"/>
              <w:rPr>
                <w:b/>
                <w:bCs/>
                <w:sz w:val="20"/>
                <w:szCs w:val="20"/>
              </w:rPr>
            </w:pPr>
          </w:p>
        </w:tc>
        <w:tc>
          <w:tcPr>
            <w:tcW w:w="1238" w:type="dxa"/>
            <w:shd w:val="clear" w:color="auto" w:fill="FFC000" w:themeFill="accent4"/>
          </w:tcPr>
          <w:p w14:paraId="3FD8CDBD" w14:textId="77777777" w:rsidR="00415636" w:rsidRPr="00CC5605" w:rsidRDefault="00415636" w:rsidP="002F0A03">
            <w:pPr>
              <w:jc w:val="both"/>
              <w:rPr>
                <w:b/>
                <w:bCs/>
                <w:sz w:val="20"/>
                <w:szCs w:val="20"/>
              </w:rPr>
            </w:pPr>
          </w:p>
        </w:tc>
        <w:tc>
          <w:tcPr>
            <w:tcW w:w="1459" w:type="dxa"/>
            <w:shd w:val="clear" w:color="auto" w:fill="C00000"/>
          </w:tcPr>
          <w:p w14:paraId="7B59A9C4" w14:textId="77777777" w:rsidR="00415636" w:rsidRPr="00CC5605" w:rsidRDefault="00415636" w:rsidP="002F0A03">
            <w:pPr>
              <w:jc w:val="both"/>
              <w:rPr>
                <w:b/>
                <w:bCs/>
                <w:sz w:val="20"/>
                <w:szCs w:val="20"/>
              </w:rPr>
            </w:pPr>
          </w:p>
        </w:tc>
      </w:tr>
      <w:tr w:rsidR="00CC5605" w:rsidRPr="00CC5605" w14:paraId="547ED621" w14:textId="77777777" w:rsidTr="00535C23">
        <w:trPr>
          <w:jc w:val="center"/>
        </w:trPr>
        <w:tc>
          <w:tcPr>
            <w:tcW w:w="2373" w:type="dxa"/>
          </w:tcPr>
          <w:p w14:paraId="5C43310B" w14:textId="20E9A16F" w:rsidR="00415636" w:rsidRPr="00CC5605" w:rsidRDefault="00415636" w:rsidP="002F0A03">
            <w:pPr>
              <w:jc w:val="both"/>
              <w:rPr>
                <w:sz w:val="20"/>
                <w:szCs w:val="20"/>
              </w:rPr>
            </w:pPr>
            <w:r w:rsidRPr="00CC5605">
              <w:rPr>
                <w:sz w:val="20"/>
                <w:szCs w:val="20"/>
              </w:rPr>
              <w:t>Working Capital Pressure</w:t>
            </w:r>
          </w:p>
        </w:tc>
        <w:tc>
          <w:tcPr>
            <w:tcW w:w="1238" w:type="dxa"/>
            <w:shd w:val="clear" w:color="auto" w:fill="E7E6E6" w:themeFill="background2"/>
          </w:tcPr>
          <w:p w14:paraId="18BD4F16" w14:textId="77777777" w:rsidR="00415636" w:rsidRPr="00CC5605" w:rsidRDefault="00415636" w:rsidP="002F0A03">
            <w:pPr>
              <w:jc w:val="both"/>
              <w:rPr>
                <w:b/>
                <w:bCs/>
                <w:sz w:val="20"/>
                <w:szCs w:val="20"/>
                <w:highlight w:val="lightGray"/>
              </w:rPr>
            </w:pPr>
          </w:p>
        </w:tc>
        <w:tc>
          <w:tcPr>
            <w:tcW w:w="1238" w:type="dxa"/>
            <w:shd w:val="clear" w:color="auto" w:fill="E7E6E6" w:themeFill="background2"/>
          </w:tcPr>
          <w:p w14:paraId="318FBB89" w14:textId="77777777" w:rsidR="00415636" w:rsidRPr="00CC5605" w:rsidRDefault="00415636" w:rsidP="002F0A03">
            <w:pPr>
              <w:jc w:val="both"/>
              <w:rPr>
                <w:b/>
                <w:bCs/>
                <w:sz w:val="20"/>
                <w:szCs w:val="20"/>
              </w:rPr>
            </w:pPr>
          </w:p>
        </w:tc>
        <w:tc>
          <w:tcPr>
            <w:tcW w:w="1238" w:type="dxa"/>
            <w:shd w:val="clear" w:color="auto" w:fill="FFC000" w:themeFill="accent4"/>
          </w:tcPr>
          <w:p w14:paraId="721A479D" w14:textId="67AEBBDA" w:rsidR="00415636" w:rsidRPr="00CC5605" w:rsidRDefault="00415636" w:rsidP="002F0A03">
            <w:pPr>
              <w:jc w:val="both"/>
              <w:rPr>
                <w:b/>
                <w:bCs/>
                <w:sz w:val="20"/>
                <w:szCs w:val="20"/>
              </w:rPr>
            </w:pPr>
          </w:p>
        </w:tc>
        <w:tc>
          <w:tcPr>
            <w:tcW w:w="1238" w:type="dxa"/>
            <w:shd w:val="clear" w:color="auto" w:fill="C00000"/>
          </w:tcPr>
          <w:p w14:paraId="753A51DC" w14:textId="77777777" w:rsidR="00415636" w:rsidRPr="00CC5605" w:rsidRDefault="00415636" w:rsidP="002F0A03">
            <w:pPr>
              <w:jc w:val="both"/>
              <w:rPr>
                <w:b/>
                <w:bCs/>
                <w:sz w:val="20"/>
                <w:szCs w:val="20"/>
              </w:rPr>
            </w:pPr>
          </w:p>
        </w:tc>
        <w:tc>
          <w:tcPr>
            <w:tcW w:w="1459" w:type="dxa"/>
            <w:shd w:val="clear" w:color="auto" w:fill="C00000"/>
          </w:tcPr>
          <w:p w14:paraId="596360A1" w14:textId="77777777" w:rsidR="00415636" w:rsidRPr="00CC5605" w:rsidRDefault="00415636" w:rsidP="002F0A03">
            <w:pPr>
              <w:jc w:val="both"/>
              <w:rPr>
                <w:b/>
                <w:bCs/>
                <w:sz w:val="20"/>
                <w:szCs w:val="20"/>
              </w:rPr>
            </w:pPr>
          </w:p>
        </w:tc>
      </w:tr>
    </w:tbl>
    <w:bookmarkEnd w:id="7"/>
    <w:p w14:paraId="34269FAE" w14:textId="258B9894" w:rsidR="00612575" w:rsidRDefault="00E420B8" w:rsidP="0026681E">
      <w:pPr>
        <w:spacing w:before="120" w:after="120" w:line="360" w:lineRule="auto"/>
        <w:jc w:val="both"/>
        <w:rPr>
          <w:b/>
          <w:bCs/>
        </w:rPr>
      </w:pPr>
      <w:r>
        <w:rPr>
          <w:noProof/>
        </w:rPr>
        <mc:AlternateContent>
          <mc:Choice Requires="wps">
            <w:drawing>
              <wp:anchor distT="0" distB="0" distL="114300" distR="114300" simplePos="0" relativeHeight="251660288" behindDoc="0" locked="0" layoutInCell="1" allowOverlap="1" wp14:anchorId="10134F04" wp14:editId="4CCB9D7E">
                <wp:simplePos x="0" y="0"/>
                <wp:positionH relativeFrom="column">
                  <wp:posOffset>89535</wp:posOffset>
                </wp:positionH>
                <wp:positionV relativeFrom="paragraph">
                  <wp:posOffset>180975</wp:posOffset>
                </wp:positionV>
                <wp:extent cx="456565" cy="231140"/>
                <wp:effectExtent l="0" t="0" r="635" b="0"/>
                <wp:wrapThrough wrapText="bothSides">
                  <wp:wrapPolygon edited="0">
                    <wp:start x="0" y="0"/>
                    <wp:lineTo x="0" y="18989"/>
                    <wp:lineTo x="20428" y="18989"/>
                    <wp:lineTo x="20428" y="0"/>
                    <wp:lineTo x="0" y="0"/>
                  </wp:wrapPolygon>
                </wp:wrapThrough>
                <wp:docPr id="5" name="Rectangle 5"/>
                <wp:cNvGraphicFramePr/>
                <a:graphic xmlns:a="http://schemas.openxmlformats.org/drawingml/2006/main">
                  <a:graphicData uri="http://schemas.microsoft.com/office/word/2010/wordprocessingShape">
                    <wps:wsp>
                      <wps:cNvSpPr/>
                      <wps:spPr>
                        <a:xfrm>
                          <a:off x="0" y="0"/>
                          <a:ext cx="456565" cy="2311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rect w14:anchorId="0EDD64FD" id="Rectangle 5" o:spid="_x0000_s1026" style="position:absolute;margin-left:7.05pt;margin-top:14.25pt;width:35.9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" fillcolor="#e7e6e6 [3214]" stroked="f" strokeweight="1pt">
                <w10:wrap type="through"/>
              </v:rect>
            </w:pict>
          </mc:Fallback>
        </mc:AlternateContent>
      </w:r>
      <w:r w:rsidRPr="00F5683E">
        <w:rPr>
          <w:b/>
          <w:noProof/>
        </w:rPr>
        <mc:AlternateContent>
          <mc:Choice Requires="wps">
            <w:drawing>
              <wp:anchor distT="0" distB="0" distL="114300" distR="114300" simplePos="0" relativeHeight="251664384" behindDoc="0" locked="0" layoutInCell="1" allowOverlap="1" wp14:anchorId="0BE47505" wp14:editId="715CD20B">
                <wp:simplePos x="0" y="0"/>
                <wp:positionH relativeFrom="column">
                  <wp:posOffset>3291840</wp:posOffset>
                </wp:positionH>
                <wp:positionV relativeFrom="paragraph">
                  <wp:posOffset>182880</wp:posOffset>
                </wp:positionV>
                <wp:extent cx="456565" cy="231140"/>
                <wp:effectExtent l="0" t="0" r="635" b="0"/>
                <wp:wrapThrough wrapText="bothSides">
                  <wp:wrapPolygon edited="0">
                    <wp:start x="0" y="0"/>
                    <wp:lineTo x="0" y="18989"/>
                    <wp:lineTo x="20428" y="18989"/>
                    <wp:lineTo x="20428" y="0"/>
                    <wp:lineTo x="0" y="0"/>
                  </wp:wrapPolygon>
                </wp:wrapThrough>
                <wp:docPr id="9" name="Rectangle 9"/>
                <wp:cNvGraphicFramePr/>
                <a:graphic xmlns:a="http://schemas.openxmlformats.org/drawingml/2006/main">
                  <a:graphicData uri="http://schemas.microsoft.com/office/word/2010/wordprocessingShape">
                    <wps:wsp>
                      <wps:cNvSpPr/>
                      <wps:spPr>
                        <a:xfrm>
                          <a:off x="0" y="0"/>
                          <a:ext cx="456565" cy="2311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rect w14:anchorId="5C492B7B" id="Rectangle 9" o:spid="_x0000_s1026" style="position:absolute;margin-left:259.2pt;margin-top:14.4pt;width:35.9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" fillcolor="#c00000" stroked="f" strokeweight="1pt">
                <w10:wrap type="through"/>
              </v:rect>
            </w:pict>
          </mc:Fallback>
        </mc:AlternateContent>
      </w:r>
      <w:r w:rsidRPr="00F5683E">
        <w:rPr>
          <w:b/>
          <w:noProof/>
        </w:rPr>
        <mc:AlternateContent>
          <mc:Choice Requires="wps">
            <w:drawing>
              <wp:anchor distT="0" distB="0" distL="114300" distR="114300" simplePos="0" relativeHeight="251662336" behindDoc="0" locked="0" layoutInCell="1" allowOverlap="1" wp14:anchorId="217839D1" wp14:editId="77693CC1">
                <wp:simplePos x="0" y="0"/>
                <wp:positionH relativeFrom="column">
                  <wp:posOffset>1842770</wp:posOffset>
                </wp:positionH>
                <wp:positionV relativeFrom="paragraph">
                  <wp:posOffset>180975</wp:posOffset>
                </wp:positionV>
                <wp:extent cx="456565" cy="231140"/>
                <wp:effectExtent l="0" t="0" r="635" b="0"/>
                <wp:wrapThrough wrapText="bothSides">
                  <wp:wrapPolygon edited="0">
                    <wp:start x="0" y="0"/>
                    <wp:lineTo x="0" y="18989"/>
                    <wp:lineTo x="20428" y="18989"/>
                    <wp:lineTo x="20428"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56565" cy="23114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v="urn:schemas-microsoft-com:mac:vml" xmlns:mo="http://schemas.microsoft.com/office/mac/office/2008/main">
            <w:pict>
              <v:rect w14:anchorId="1BC13E90" id="Rectangle 7" o:spid="_x0000_s1026" style="position:absolute;margin-left:145.1pt;margin-top:14.25pt;width:35.95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" fillcolor="#ffc000 [3207]" stroked="f" strokeweight="1pt">
                <w10:wrap type="through"/>
              </v:rect>
            </w:pict>
          </mc:Fallback>
        </mc:AlternateContent>
      </w:r>
      <w:r w:rsidR="003643A1">
        <w:rPr>
          <w:b/>
          <w:bCs/>
          <w:noProof/>
        </w:rPr>
        <mc:AlternateContent>
          <mc:Choice Requires="wps">
            <w:drawing>
              <wp:anchor distT="0" distB="0" distL="114300" distR="114300" simplePos="0" relativeHeight="251659264" behindDoc="0" locked="0" layoutInCell="1" allowOverlap="1" wp14:anchorId="538D5DCD" wp14:editId="1FA137AF">
                <wp:simplePos x="0" y="0"/>
                <wp:positionH relativeFrom="column">
                  <wp:posOffset>546735</wp:posOffset>
                </wp:positionH>
                <wp:positionV relativeFrom="paragraph">
                  <wp:posOffset>213360</wp:posOffset>
                </wp:positionV>
                <wp:extent cx="1370965" cy="3416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37096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2ABF1D" w14:textId="2EFFF07A" w:rsidR="00EA2E5B" w:rsidRPr="000B6EE5" w:rsidRDefault="00EA2E5B" w:rsidP="000B6EE5">
                            <w:pPr>
                              <w:rPr>
                                <w:sz w:val="20"/>
                                <w:szCs w:val="20"/>
                                <w:lang w:val="en-AU"/>
                              </w:rPr>
                            </w:pPr>
                            <w:r w:rsidRPr="000B6EE5">
                              <w:rPr>
                                <w:sz w:val="20"/>
                                <w:szCs w:val="20"/>
                                <w:lang w:val="en-AU"/>
                              </w:rPr>
                              <w:t>Neutral or low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D5DCD" id="_x0000_t202" coordsize="21600,21600" o:spt="202" path="m,l,21600r21600,l21600,xe">
                <v:stroke joinstyle="miter"/>
                <v:path gradientshapeok="t" o:connecttype="rect"/>
              </v:shapetype>
              <v:shape id="Text Box 4" o:spid="_x0000_s1026" type="#_x0000_t202" style="position:absolute;left:0;text-align:left;margin-left:43.05pt;margin-top:16.8pt;width:107.9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" filled="f" stroked="f">
                <v:textbox>
                  <w:txbxContent>
                    <w:p w14:paraId="3A2ABF1D" w14:textId="2EFFF07A" w:rsidR="00EA2E5B" w:rsidRPr="000B6EE5" w:rsidRDefault="00EA2E5B" w:rsidP="000B6EE5">
                      <w:pPr>
                        <w:rPr>
                          <w:sz w:val="20"/>
                          <w:szCs w:val="20"/>
                          <w:lang w:val="en-AU"/>
                        </w:rPr>
                      </w:pPr>
                      <w:r w:rsidRPr="000B6EE5">
                        <w:rPr>
                          <w:sz w:val="20"/>
                          <w:szCs w:val="20"/>
                          <w:lang w:val="en-AU"/>
                        </w:rPr>
                        <w:t>Neutral or low impact</w:t>
                      </w:r>
                    </w:p>
                  </w:txbxContent>
                </v:textbox>
                <w10:wrap type="square"/>
              </v:shape>
            </w:pict>
          </mc:Fallback>
        </mc:AlternateContent>
      </w:r>
      <w:r w:rsidR="003643A1">
        <w:rPr>
          <w:b/>
          <w:bCs/>
          <w:noProof/>
        </w:rPr>
        <mc:AlternateContent>
          <mc:Choice Requires="wps">
            <w:drawing>
              <wp:anchor distT="0" distB="0" distL="114300" distR="114300" simplePos="0" relativeHeight="251666432" behindDoc="0" locked="0" layoutInCell="1" allowOverlap="1" wp14:anchorId="6BE47326" wp14:editId="313DC0BE">
                <wp:simplePos x="0" y="0"/>
                <wp:positionH relativeFrom="column">
                  <wp:posOffset>2295525</wp:posOffset>
                </wp:positionH>
                <wp:positionV relativeFrom="paragraph">
                  <wp:posOffset>213360</wp:posOffset>
                </wp:positionV>
                <wp:extent cx="1146175" cy="34163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146175"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D9551A" w14:textId="0369FC10" w:rsidR="00EA2E5B" w:rsidRPr="000B6EE5" w:rsidRDefault="00EA2E5B" w:rsidP="000B6EE5">
                            <w:pPr>
                              <w:rPr>
                                <w:sz w:val="20"/>
                                <w:szCs w:val="20"/>
                                <w:lang w:val="en-AU"/>
                              </w:rPr>
                            </w:pPr>
                            <w:r>
                              <w:rPr>
                                <w:sz w:val="20"/>
                                <w:szCs w:val="20"/>
                                <w:lang w:val="en-AU"/>
                              </w:rPr>
                              <w:t>Medium</w:t>
                            </w:r>
                            <w:r w:rsidRPr="000B6EE5">
                              <w:rPr>
                                <w:sz w:val="20"/>
                                <w:szCs w:val="20"/>
                                <w:lang w:val="en-AU"/>
                              </w:rPr>
                              <w:t xml:space="preserv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7326" id="Text Box 14" o:spid="_x0000_s1027" type="#_x0000_t202" style="position:absolute;left:0;text-align:left;margin-left:180.75pt;margin-top:16.8pt;width:90.25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" filled="f" stroked="f">
                <v:textbox>
                  <w:txbxContent>
                    <w:p w14:paraId="15D9551A" w14:textId="0369FC10" w:rsidR="00EA2E5B" w:rsidRPr="000B6EE5" w:rsidRDefault="00EA2E5B" w:rsidP="000B6EE5">
                      <w:pPr>
                        <w:rPr>
                          <w:sz w:val="20"/>
                          <w:szCs w:val="20"/>
                          <w:lang w:val="en-AU"/>
                        </w:rPr>
                      </w:pPr>
                      <w:r>
                        <w:rPr>
                          <w:sz w:val="20"/>
                          <w:szCs w:val="20"/>
                          <w:lang w:val="en-AU"/>
                        </w:rPr>
                        <w:t>Medium</w:t>
                      </w:r>
                      <w:r w:rsidRPr="000B6EE5">
                        <w:rPr>
                          <w:sz w:val="20"/>
                          <w:szCs w:val="20"/>
                          <w:lang w:val="en-AU"/>
                        </w:rPr>
                        <w:t xml:space="preserve"> impact</w:t>
                      </w:r>
                    </w:p>
                  </w:txbxContent>
                </v:textbox>
                <w10:wrap type="square"/>
              </v:shape>
            </w:pict>
          </mc:Fallback>
        </mc:AlternateContent>
      </w:r>
      <w:r w:rsidR="000B6EE5">
        <w:rPr>
          <w:b/>
          <w:bCs/>
          <w:noProof/>
        </w:rPr>
        <mc:AlternateContent>
          <mc:Choice Requires="wps">
            <w:drawing>
              <wp:anchor distT="0" distB="0" distL="114300" distR="114300" simplePos="0" relativeHeight="251668480" behindDoc="0" locked="0" layoutInCell="1" allowOverlap="1" wp14:anchorId="184524FC" wp14:editId="6BFDFC36">
                <wp:simplePos x="0" y="0"/>
                <wp:positionH relativeFrom="column">
                  <wp:posOffset>3743960</wp:posOffset>
                </wp:positionH>
                <wp:positionV relativeFrom="paragraph">
                  <wp:posOffset>213360</wp:posOffset>
                </wp:positionV>
                <wp:extent cx="838200" cy="34163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83820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7B81BF" w14:textId="76FA7EAA" w:rsidR="00EA2E5B" w:rsidRPr="000B6EE5" w:rsidRDefault="00EA2E5B" w:rsidP="000B6EE5">
                            <w:pPr>
                              <w:rPr>
                                <w:sz w:val="20"/>
                                <w:szCs w:val="20"/>
                                <w:lang w:val="en-AU"/>
                              </w:rPr>
                            </w:pPr>
                            <w:r>
                              <w:rPr>
                                <w:sz w:val="20"/>
                                <w:szCs w:val="20"/>
                                <w:lang w:val="en-AU"/>
                              </w:rPr>
                              <w:t>High</w:t>
                            </w:r>
                            <w:r w:rsidRPr="000B6EE5">
                              <w:rPr>
                                <w:sz w:val="20"/>
                                <w:szCs w:val="20"/>
                                <w:lang w:val="en-AU"/>
                              </w:rPr>
                              <w:t xml:space="preserve">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24FC" id="Text Box 15" o:spid="_x0000_s1028" type="#_x0000_t202" style="position:absolute;left:0;text-align:left;margin-left:294.8pt;margin-top:16.8pt;width:66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" filled="f" stroked="f">
                <v:textbox>
                  <w:txbxContent>
                    <w:p w14:paraId="4C7B81BF" w14:textId="76FA7EAA" w:rsidR="00EA2E5B" w:rsidRPr="000B6EE5" w:rsidRDefault="00EA2E5B" w:rsidP="000B6EE5">
                      <w:pPr>
                        <w:rPr>
                          <w:sz w:val="20"/>
                          <w:szCs w:val="20"/>
                          <w:lang w:val="en-AU"/>
                        </w:rPr>
                      </w:pPr>
                      <w:r>
                        <w:rPr>
                          <w:sz w:val="20"/>
                          <w:szCs w:val="20"/>
                          <w:lang w:val="en-AU"/>
                        </w:rPr>
                        <w:t>High</w:t>
                      </w:r>
                      <w:r w:rsidRPr="000B6EE5">
                        <w:rPr>
                          <w:sz w:val="20"/>
                          <w:szCs w:val="20"/>
                          <w:lang w:val="en-AU"/>
                        </w:rPr>
                        <w:t xml:space="preserve"> impact</w:t>
                      </w:r>
                    </w:p>
                  </w:txbxContent>
                </v:textbox>
                <w10:wrap type="square"/>
              </v:shape>
            </w:pict>
          </mc:Fallback>
        </mc:AlternateContent>
      </w:r>
    </w:p>
    <w:p w14:paraId="5908C336" w14:textId="0D966535" w:rsidR="00AB141B" w:rsidRPr="00F75E80" w:rsidRDefault="00AB141B" w:rsidP="0026681E">
      <w:pPr>
        <w:spacing w:before="120" w:after="120" w:line="360" w:lineRule="auto"/>
        <w:jc w:val="both"/>
        <w:rPr>
          <w:b/>
          <w:bCs/>
        </w:rPr>
      </w:pPr>
    </w:p>
    <w:p w14:paraId="33D2465E" w14:textId="77777777" w:rsidR="00532EF4" w:rsidRDefault="00532EF4" w:rsidP="00772E6C">
      <w:pPr>
        <w:spacing w:before="120" w:after="120" w:line="360" w:lineRule="auto"/>
        <w:jc w:val="both"/>
        <w:outlineLvl w:val="0"/>
        <w:rPr>
          <w:b/>
          <w:bCs/>
        </w:rPr>
      </w:pPr>
    </w:p>
    <w:p w14:paraId="3DB26DBD" w14:textId="3D56F0B3" w:rsidR="000055F2" w:rsidRPr="000716C5" w:rsidRDefault="00EE3263" w:rsidP="00772E6C">
      <w:pPr>
        <w:spacing w:before="120" w:after="120" w:line="360" w:lineRule="auto"/>
        <w:jc w:val="both"/>
        <w:outlineLvl w:val="0"/>
        <w:rPr>
          <w:b/>
          <w:bCs/>
        </w:rPr>
      </w:pPr>
      <w:r>
        <w:rPr>
          <w:b/>
          <w:bCs/>
        </w:rPr>
        <w:t>4.4.1</w:t>
      </w:r>
      <w:r w:rsidR="006F40A8">
        <w:rPr>
          <w:b/>
          <w:bCs/>
        </w:rPr>
        <w:t>.</w:t>
      </w:r>
      <w:r>
        <w:rPr>
          <w:b/>
          <w:bCs/>
        </w:rPr>
        <w:t xml:space="preserve"> </w:t>
      </w:r>
      <w:r w:rsidR="009E1110">
        <w:rPr>
          <w:b/>
          <w:bCs/>
        </w:rPr>
        <w:t xml:space="preserve">Impact of </w:t>
      </w:r>
      <w:r w:rsidR="000055F2" w:rsidRPr="000716C5">
        <w:rPr>
          <w:b/>
          <w:bCs/>
        </w:rPr>
        <w:t>Precipitation</w:t>
      </w:r>
      <w:r w:rsidR="000716C5" w:rsidRPr="000716C5">
        <w:rPr>
          <w:b/>
          <w:bCs/>
        </w:rPr>
        <w:t xml:space="preserve"> on COVID-19 cases</w:t>
      </w:r>
    </w:p>
    <w:p w14:paraId="1E91C0B9" w14:textId="75705F5A" w:rsidR="00EE3263" w:rsidRDefault="006B6313" w:rsidP="00EE3263">
      <w:pPr>
        <w:spacing w:before="120" w:after="120" w:line="360" w:lineRule="auto"/>
        <w:ind w:firstLine="284"/>
        <w:jc w:val="both"/>
      </w:pPr>
      <w:r>
        <w:t>The precipitation causal map of California</w:t>
      </w:r>
      <w:r w:rsidR="00B34685">
        <w:t xml:space="preserve"> </w:t>
      </w:r>
      <w:r w:rsidR="001718B9">
        <w:t xml:space="preserve">reveals </w:t>
      </w:r>
      <w:r w:rsidR="00B34685">
        <w:t xml:space="preserve">a clear </w:t>
      </w:r>
      <w:r w:rsidR="00112EEA">
        <w:t>structure: In northern California</w:t>
      </w:r>
      <w:r w:rsidR="009E1110">
        <w:t>n</w:t>
      </w:r>
      <w:r w:rsidR="00112EEA">
        <w:t xml:space="preserve"> counties precipitation </w:t>
      </w:r>
      <w:r w:rsidR="0043501F">
        <w:t>drives COVID-19 cases</w:t>
      </w:r>
      <w:r w:rsidR="00525A8B">
        <w:t xml:space="preserve"> in a mostly negative way</w:t>
      </w:r>
      <w:r w:rsidR="00695EC4">
        <w:t xml:space="preserve"> (</w:t>
      </w:r>
      <w:r w:rsidR="00695EC4" w:rsidRPr="0030525E">
        <w:rPr>
          <w:b/>
          <w:bCs/>
        </w:rPr>
        <w:t>Fig</w:t>
      </w:r>
      <w:r w:rsidR="008606F5">
        <w:rPr>
          <w:b/>
          <w:bCs/>
        </w:rPr>
        <w:t>.</w:t>
      </w:r>
      <w:r w:rsidR="00695EC4" w:rsidRPr="0030525E">
        <w:rPr>
          <w:b/>
          <w:bCs/>
        </w:rPr>
        <w:t xml:space="preserve"> 8.</w:t>
      </w:r>
      <w:r w:rsidR="00530C5A">
        <w:rPr>
          <w:b/>
          <w:bCs/>
        </w:rPr>
        <w:t>j</w:t>
      </w:r>
      <w:r w:rsidR="00695EC4">
        <w:t>)</w:t>
      </w:r>
      <w:r w:rsidR="009E1110">
        <w:t>,</w:t>
      </w:r>
      <w:r w:rsidR="00525A8B">
        <w:t xml:space="preserve"> i.e.</w:t>
      </w:r>
      <w:r w:rsidR="00266C31">
        <w:t>,</w:t>
      </w:r>
      <w:r w:rsidR="00525A8B">
        <w:t xml:space="preserve"> increases</w:t>
      </w:r>
      <w:r w:rsidR="0040559A">
        <w:t xml:space="preserve"> (decreases)</w:t>
      </w:r>
      <w:r w:rsidR="00EC6304">
        <w:t xml:space="preserve"> </w:t>
      </w:r>
      <w:r w:rsidR="00525A8B">
        <w:t xml:space="preserve">in precipitation cause </w:t>
      </w:r>
      <w:r w:rsidR="00EC6304">
        <w:t>decreases</w:t>
      </w:r>
      <w:r w:rsidR="0040559A">
        <w:t xml:space="preserve"> (increases)</w:t>
      </w:r>
      <w:r w:rsidR="00EC6304">
        <w:t xml:space="preserve"> in COVID-19 cases</w:t>
      </w:r>
      <w:r w:rsidR="004210B2">
        <w:t xml:space="preserve">. </w:t>
      </w:r>
      <w:r w:rsidR="00011373">
        <w:t xml:space="preserve">Some </w:t>
      </w:r>
      <w:r w:rsidR="00011373">
        <w:lastRenderedPageBreak/>
        <w:t xml:space="preserve">other counties on the periphery </w:t>
      </w:r>
      <w:r w:rsidR="006A133E">
        <w:t xml:space="preserve">of California </w:t>
      </w:r>
      <w:r w:rsidR="000F2ABA">
        <w:t>display p</w:t>
      </w:r>
      <w:r w:rsidR="00870A54">
        <w:t>ositive causality of precipitation on COVID-19 cases (</w:t>
      </w:r>
      <w:r w:rsidR="00870A54" w:rsidRPr="0030525E">
        <w:rPr>
          <w:b/>
          <w:bCs/>
        </w:rPr>
        <w:t>Fig</w:t>
      </w:r>
      <w:r w:rsidR="008606F5">
        <w:rPr>
          <w:b/>
          <w:bCs/>
        </w:rPr>
        <w:t>.</w:t>
      </w:r>
      <w:r w:rsidR="00870A54" w:rsidRPr="0030525E">
        <w:rPr>
          <w:b/>
          <w:bCs/>
        </w:rPr>
        <w:t xml:space="preserve"> 8.b</w:t>
      </w:r>
      <w:r w:rsidR="00870A54">
        <w:t>)</w:t>
      </w:r>
      <w:r w:rsidR="009E1110">
        <w:t>,</w:t>
      </w:r>
      <w:r w:rsidR="000E4AE9">
        <w:t xml:space="preserve"> i.e.</w:t>
      </w:r>
      <w:r w:rsidR="00266C31">
        <w:t>,</w:t>
      </w:r>
      <w:r w:rsidR="000E4AE9">
        <w:t xml:space="preserve"> increases (decreases) in precipitation cause increases (decreases) in COVID-19 cases.</w:t>
      </w:r>
      <w:r w:rsidR="007D1CA6">
        <w:t xml:space="preserve"> </w:t>
      </w:r>
      <w:r w:rsidR="00CA3D60">
        <w:t xml:space="preserve">Moreover, </w:t>
      </w:r>
      <w:r w:rsidR="002524D7">
        <w:t xml:space="preserve">some </w:t>
      </w:r>
      <w:r w:rsidR="00CA3D60">
        <w:t xml:space="preserve">counties located in central California along with </w:t>
      </w:r>
      <w:r w:rsidR="0079315D">
        <w:t xml:space="preserve">the Los Angeles </w:t>
      </w:r>
      <w:r w:rsidR="002524D7">
        <w:t xml:space="preserve">area </w:t>
      </w:r>
      <w:r w:rsidR="00844B2E">
        <w:t xml:space="preserve">expose </w:t>
      </w:r>
      <w:r w:rsidR="00DE0C3F">
        <w:t>the dark causality of precipitation on COVID-19 cases (</w:t>
      </w:r>
      <w:r w:rsidR="00DE0C3F" w:rsidRPr="0030525E">
        <w:rPr>
          <w:b/>
          <w:bCs/>
        </w:rPr>
        <w:t>Fig</w:t>
      </w:r>
      <w:r w:rsidR="008606F5">
        <w:rPr>
          <w:b/>
          <w:bCs/>
        </w:rPr>
        <w:t>.</w:t>
      </w:r>
      <w:r w:rsidR="002B0612" w:rsidRPr="0030525E">
        <w:rPr>
          <w:b/>
          <w:bCs/>
        </w:rPr>
        <w:t xml:space="preserve"> 8.f</w:t>
      </w:r>
      <w:r w:rsidR="00DE0C3F">
        <w:t>)</w:t>
      </w:r>
      <w:r w:rsidR="00522875">
        <w:t xml:space="preserve">. This finding suggests that </w:t>
      </w:r>
      <w:r w:rsidR="00326318">
        <w:t>changes in precipitation cause mixed changes in daily COVID-19 cases.</w:t>
      </w:r>
    </w:p>
    <w:p w14:paraId="3515200D" w14:textId="7612FD22" w:rsidR="00EE3263" w:rsidRDefault="00B215BF" w:rsidP="00EE3263">
      <w:pPr>
        <w:spacing w:before="120" w:after="120" w:line="360" w:lineRule="auto"/>
        <w:ind w:firstLine="284"/>
        <w:jc w:val="both"/>
      </w:pPr>
      <w:r>
        <w:t>As far as Illinois is concerned</w:t>
      </w:r>
      <w:r w:rsidR="004317B1">
        <w:t xml:space="preserve">, </w:t>
      </w:r>
      <w:r w:rsidR="00E17537">
        <w:t xml:space="preserve">distinct dark causality </w:t>
      </w:r>
      <w:r w:rsidR="00957642" w:rsidRPr="004B3114">
        <w:t xml:space="preserve">is observed </w:t>
      </w:r>
      <w:r w:rsidR="00E17537">
        <w:t>in its northern counties</w:t>
      </w:r>
      <w:r w:rsidR="00FC3AE6">
        <w:t xml:space="preserve"> (</w:t>
      </w:r>
      <w:r w:rsidR="00FC3AE6" w:rsidRPr="00436FB2">
        <w:rPr>
          <w:b/>
          <w:bCs/>
        </w:rPr>
        <w:t>Fig</w:t>
      </w:r>
      <w:r w:rsidR="008606F5">
        <w:rPr>
          <w:b/>
          <w:bCs/>
        </w:rPr>
        <w:t>.</w:t>
      </w:r>
      <w:r w:rsidR="00FC3AE6" w:rsidRPr="00436FB2">
        <w:rPr>
          <w:b/>
          <w:bCs/>
        </w:rPr>
        <w:t xml:space="preserve"> 8.g</w:t>
      </w:r>
      <w:r w:rsidR="00FC3AE6">
        <w:t>)</w:t>
      </w:r>
      <w:r w:rsidR="00794AF6">
        <w:t>, suggesting</w:t>
      </w:r>
      <w:r w:rsidR="0092600F">
        <w:t xml:space="preserve"> oscillations in COVID-19 cases which are intricately influenced</w:t>
      </w:r>
      <w:r w:rsidR="00FC3AE6">
        <w:t xml:space="preserve"> by precipitation.</w:t>
      </w:r>
      <w:r w:rsidR="0039707B">
        <w:t xml:space="preserve"> </w:t>
      </w:r>
      <w:r w:rsidR="003B478B">
        <w:t xml:space="preserve">The county of Chicago </w:t>
      </w:r>
      <w:r w:rsidR="00272551">
        <w:t>displays</w:t>
      </w:r>
      <w:r w:rsidR="00367136">
        <w:t xml:space="preserve"> a dual (positive and dark) causality of precipitation on COVID-19 cases</w:t>
      </w:r>
      <w:r w:rsidR="005D3321">
        <w:t xml:space="preserve">, suggesting a mixed </w:t>
      </w:r>
      <w:r w:rsidR="00FB082E">
        <w:t>influence with a tendency towards same-direction changes.</w:t>
      </w:r>
      <w:r w:rsidR="00F666CC">
        <w:t xml:space="preserve"> </w:t>
      </w:r>
      <w:r w:rsidR="002E4091">
        <w:t xml:space="preserve">Positive causality of precipitation is also </w:t>
      </w:r>
      <w:r w:rsidR="00922FF2">
        <w:t xml:space="preserve">found </w:t>
      </w:r>
      <w:r w:rsidR="002E4091">
        <w:t xml:space="preserve">in </w:t>
      </w:r>
      <w:r w:rsidR="00FA03F8">
        <w:t>central to west Illinois counties</w:t>
      </w:r>
      <w:r w:rsidR="00FD042D">
        <w:t xml:space="preserve"> (</w:t>
      </w:r>
      <w:r w:rsidR="00FD042D" w:rsidRPr="001615AC">
        <w:rPr>
          <w:b/>
          <w:bCs/>
        </w:rPr>
        <w:t>Fig</w:t>
      </w:r>
      <w:r w:rsidR="008606F5">
        <w:rPr>
          <w:b/>
          <w:bCs/>
        </w:rPr>
        <w:t>.</w:t>
      </w:r>
      <w:r w:rsidR="00FD042D" w:rsidRPr="001615AC">
        <w:rPr>
          <w:b/>
          <w:bCs/>
        </w:rPr>
        <w:t xml:space="preserve"> 8</w:t>
      </w:r>
      <w:r w:rsidR="001615AC" w:rsidRPr="001615AC">
        <w:rPr>
          <w:b/>
          <w:bCs/>
        </w:rPr>
        <w:t>.c</w:t>
      </w:r>
      <w:r w:rsidR="00FD042D">
        <w:t>)</w:t>
      </w:r>
      <w:r w:rsidR="00922FF2">
        <w:t>.</w:t>
      </w:r>
      <w:r w:rsidR="00B25FBA">
        <w:t xml:space="preserve"> </w:t>
      </w:r>
      <w:r w:rsidR="00A01C33">
        <w:t>Furthermore</w:t>
      </w:r>
      <w:r w:rsidR="00B25FBA">
        <w:t xml:space="preserve">, very few counties towards center-south Illinois exhibit </w:t>
      </w:r>
      <w:r w:rsidR="006576F9">
        <w:t>some negative causality of precipitation on COVID-19 cases</w:t>
      </w:r>
      <w:r w:rsidR="001615AC">
        <w:t xml:space="preserve"> (</w:t>
      </w:r>
      <w:r w:rsidR="001615AC" w:rsidRPr="001615AC">
        <w:rPr>
          <w:b/>
          <w:bCs/>
        </w:rPr>
        <w:t>Fig</w:t>
      </w:r>
      <w:r w:rsidR="008606F5">
        <w:rPr>
          <w:b/>
          <w:bCs/>
        </w:rPr>
        <w:t>.</w:t>
      </w:r>
      <w:r w:rsidR="001615AC" w:rsidRPr="001615AC">
        <w:rPr>
          <w:b/>
          <w:bCs/>
        </w:rPr>
        <w:t xml:space="preserve"> 8.k</w:t>
      </w:r>
      <w:r w:rsidR="001615AC">
        <w:t>)</w:t>
      </w:r>
      <w:r w:rsidR="006576F9">
        <w:t>.</w:t>
      </w:r>
    </w:p>
    <w:p w14:paraId="54B97CB5" w14:textId="14D76A5B" w:rsidR="00063AE0" w:rsidRDefault="00C2484F" w:rsidP="00EE3263">
      <w:pPr>
        <w:spacing w:before="120" w:after="120" w:line="360" w:lineRule="auto"/>
        <w:ind w:firstLine="284"/>
        <w:jc w:val="both"/>
      </w:pPr>
      <w:r>
        <w:t xml:space="preserve">Lastly, </w:t>
      </w:r>
      <w:r w:rsidR="00E228DB">
        <w:t>in the state of New York, precipitation displays positive causality mostly in some central counties</w:t>
      </w:r>
      <w:r w:rsidR="00FD042D">
        <w:t xml:space="preserve"> (</w:t>
      </w:r>
      <w:r w:rsidR="00FD042D" w:rsidRPr="00EB516F">
        <w:rPr>
          <w:b/>
          <w:bCs/>
        </w:rPr>
        <w:t>Fig</w:t>
      </w:r>
      <w:r w:rsidR="008606F5">
        <w:rPr>
          <w:b/>
          <w:bCs/>
        </w:rPr>
        <w:t>.</w:t>
      </w:r>
      <w:r w:rsidR="00FD042D" w:rsidRPr="00EB516F">
        <w:rPr>
          <w:b/>
          <w:bCs/>
        </w:rPr>
        <w:t xml:space="preserve"> 8.d</w:t>
      </w:r>
      <w:r w:rsidR="00FD042D">
        <w:t>)</w:t>
      </w:r>
      <w:r w:rsidR="00225792">
        <w:t>.</w:t>
      </w:r>
      <w:r w:rsidR="005A053E">
        <w:t xml:space="preserve"> </w:t>
      </w:r>
      <w:r w:rsidR="00267031">
        <w:t xml:space="preserve">Negative causality of precipitation in the state of New York is more eminent compared to the other two states </w:t>
      </w:r>
      <w:r w:rsidR="002946B8">
        <w:t>examined here</w:t>
      </w:r>
      <w:r w:rsidR="00D8519B">
        <w:t xml:space="preserve"> (</w:t>
      </w:r>
      <w:r w:rsidR="00D8519B" w:rsidRPr="00154DA4">
        <w:rPr>
          <w:b/>
          <w:bCs/>
        </w:rPr>
        <w:t>Fig</w:t>
      </w:r>
      <w:r w:rsidR="008606F5">
        <w:rPr>
          <w:b/>
          <w:bCs/>
        </w:rPr>
        <w:t>.</w:t>
      </w:r>
      <w:r w:rsidR="00D8519B" w:rsidRPr="00154DA4">
        <w:rPr>
          <w:b/>
          <w:bCs/>
        </w:rPr>
        <w:t xml:space="preserve"> 8.</w:t>
      </w:r>
      <w:r w:rsidR="00BC5C94">
        <w:rPr>
          <w:b/>
          <w:bCs/>
        </w:rPr>
        <w:t>l</w:t>
      </w:r>
      <w:r w:rsidR="00D8519B">
        <w:t>)</w:t>
      </w:r>
      <w:r w:rsidR="002946B8">
        <w:t>, denoting</w:t>
      </w:r>
      <w:r w:rsidR="000E5947">
        <w:t xml:space="preserve"> that COVID-19 cases have been moving opposite to precipitation.</w:t>
      </w:r>
      <w:r w:rsidR="00C53DC0">
        <w:t xml:space="preserve"> </w:t>
      </w:r>
      <w:r w:rsidR="0084080E">
        <w:t xml:space="preserve">Nevertheless, there is a significant number of counties </w:t>
      </w:r>
      <w:r w:rsidR="00C21BA7">
        <w:t>where precipitation has dark causality as well</w:t>
      </w:r>
      <w:r w:rsidR="007F4E42">
        <w:t xml:space="preserve"> </w:t>
      </w:r>
      <w:r w:rsidR="00BC5C94">
        <w:t>(</w:t>
      </w:r>
      <w:r w:rsidR="00BC5C94" w:rsidRPr="00BC5C94">
        <w:rPr>
          <w:b/>
          <w:bCs/>
        </w:rPr>
        <w:t>Fig</w:t>
      </w:r>
      <w:r w:rsidR="008606F5">
        <w:rPr>
          <w:b/>
          <w:bCs/>
        </w:rPr>
        <w:t>.</w:t>
      </w:r>
      <w:r w:rsidR="00BC5C94" w:rsidRPr="00BC5C94">
        <w:rPr>
          <w:b/>
          <w:bCs/>
        </w:rPr>
        <w:t xml:space="preserve"> 8.h</w:t>
      </w:r>
      <w:r w:rsidR="00BC5C94">
        <w:t>)</w:t>
      </w:r>
      <w:r w:rsidR="00C21BA7">
        <w:t>, most notably the county of Long Island</w:t>
      </w:r>
      <w:r w:rsidR="005C4F9E">
        <w:t>.</w:t>
      </w:r>
    </w:p>
    <w:p w14:paraId="3CD66C91" w14:textId="77777777" w:rsidR="00EE4CF7" w:rsidRDefault="00EE4CF7" w:rsidP="0026681E">
      <w:pPr>
        <w:spacing w:before="120" w:after="120" w:line="360" w:lineRule="auto"/>
        <w:jc w:val="both"/>
      </w:pPr>
    </w:p>
    <w:p w14:paraId="3F71619B" w14:textId="77777777" w:rsidR="00EE4CF7" w:rsidRDefault="00EE4CF7" w:rsidP="0026681E">
      <w:pPr>
        <w:spacing w:before="120" w:after="120" w:line="360" w:lineRule="auto"/>
        <w:jc w:val="both"/>
      </w:pPr>
    </w:p>
    <w:p w14:paraId="37AADAC0" w14:textId="77777777" w:rsidR="00EE4CF7" w:rsidRDefault="00EE4CF7" w:rsidP="0026681E">
      <w:pPr>
        <w:spacing w:before="120" w:after="120" w:line="360" w:lineRule="auto"/>
        <w:jc w:val="both"/>
      </w:pPr>
    </w:p>
    <w:p w14:paraId="229C8F71" w14:textId="77777777" w:rsidR="0026681E" w:rsidRDefault="0026681E" w:rsidP="0026681E">
      <w:pPr>
        <w:spacing w:before="120" w:after="120" w:line="360" w:lineRule="auto"/>
        <w:jc w:val="both"/>
        <w:rPr>
          <w:b/>
          <w:bCs/>
        </w:rPr>
      </w:pPr>
    </w:p>
    <w:p w14:paraId="5127CE6B" w14:textId="77777777" w:rsidR="0026681E" w:rsidRDefault="0026681E" w:rsidP="0026681E">
      <w:pPr>
        <w:spacing w:before="120" w:after="120" w:line="360" w:lineRule="auto"/>
        <w:jc w:val="both"/>
        <w:rPr>
          <w:b/>
          <w:bCs/>
        </w:rPr>
      </w:pPr>
      <w:r>
        <w:rPr>
          <w:noProof/>
        </w:rPr>
        <w:lastRenderedPageBreak/>
        <w:drawing>
          <wp:inline distT="0" distB="0" distL="0" distR="0" wp14:anchorId="423851D1" wp14:editId="05A79DDD">
            <wp:extent cx="5492338" cy="77711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7527" cy="7792668"/>
                    </a:xfrm>
                    <a:prstGeom prst="rect">
                      <a:avLst/>
                    </a:prstGeom>
                    <a:noFill/>
                    <a:ln>
                      <a:noFill/>
                    </a:ln>
                  </pic:spPr>
                </pic:pic>
              </a:graphicData>
            </a:graphic>
          </wp:inline>
        </w:drawing>
      </w:r>
    </w:p>
    <w:p w14:paraId="7F26B868" w14:textId="60BA1918" w:rsidR="0026681E" w:rsidRDefault="0026681E" w:rsidP="0026681E">
      <w:pPr>
        <w:spacing w:before="120" w:after="120"/>
        <w:jc w:val="both"/>
        <w:rPr>
          <w:sz w:val="20"/>
          <w:szCs w:val="20"/>
        </w:rPr>
      </w:pPr>
      <w:r w:rsidRPr="006D68E0">
        <w:rPr>
          <w:b/>
          <w:bCs/>
          <w:sz w:val="20"/>
          <w:szCs w:val="20"/>
        </w:rPr>
        <w:t>Fig</w:t>
      </w:r>
      <w:r w:rsidR="008606F5">
        <w:rPr>
          <w:b/>
          <w:bCs/>
          <w:sz w:val="20"/>
          <w:szCs w:val="20"/>
        </w:rPr>
        <w:t>.</w:t>
      </w:r>
      <w:r w:rsidRPr="006D68E0">
        <w:rPr>
          <w:b/>
          <w:bCs/>
          <w:sz w:val="20"/>
          <w:szCs w:val="20"/>
        </w:rPr>
        <w:t xml:space="preserve"> </w:t>
      </w:r>
      <w:r>
        <w:rPr>
          <w:b/>
          <w:bCs/>
          <w:sz w:val="20"/>
          <w:szCs w:val="20"/>
        </w:rPr>
        <w:t>8</w:t>
      </w:r>
      <w:r w:rsidRPr="006D68E0">
        <w:rPr>
          <w:b/>
          <w:bCs/>
          <w:sz w:val="20"/>
          <w:szCs w:val="20"/>
        </w:rPr>
        <w:t xml:space="preserve">. </w:t>
      </w:r>
      <w:r w:rsidRPr="006D68E0">
        <w:rPr>
          <w:sz w:val="20"/>
          <w:szCs w:val="20"/>
        </w:rPr>
        <w:t>Aggregate impact of daily precipitation on COVID-19 cases per day, over the period from 23 January 2020 to 31 May 2020. The map detail is on the county-level</w:t>
      </w:r>
      <w:r w:rsidR="00957642" w:rsidRPr="00957642">
        <w:rPr>
          <w:color w:val="FF0000"/>
          <w:sz w:val="20"/>
          <w:szCs w:val="20"/>
        </w:rPr>
        <w:t xml:space="preserve"> </w:t>
      </w:r>
      <w:r w:rsidR="00957642" w:rsidRPr="004B3114">
        <w:rPr>
          <w:sz w:val="20"/>
          <w:szCs w:val="20"/>
        </w:rPr>
        <w:t>for</w:t>
      </w:r>
      <w:r w:rsidRPr="006D68E0">
        <w:rPr>
          <w:sz w:val="20"/>
          <w:szCs w:val="20"/>
        </w:rPr>
        <w:t xml:space="preserve"> the states of California, Illinois and New York, </w:t>
      </w:r>
      <w:r w:rsidR="00805D8A">
        <w:rPr>
          <w:sz w:val="20"/>
          <w:szCs w:val="20"/>
        </w:rPr>
        <w:t>the US’ three most populous ones</w:t>
      </w:r>
      <w:r w:rsidRPr="006D68E0">
        <w:rPr>
          <w:sz w:val="20"/>
          <w:szCs w:val="20"/>
        </w:rPr>
        <w:t>. To understand the way precipitation influences COVID-cases, a series of maps for each type of causality</w:t>
      </w:r>
      <w:r w:rsidR="00957642">
        <w:rPr>
          <w:sz w:val="20"/>
          <w:szCs w:val="20"/>
        </w:rPr>
        <w:t xml:space="preserve"> </w:t>
      </w:r>
      <w:r w:rsidR="00957642" w:rsidRPr="004B3114">
        <w:rPr>
          <w:sz w:val="20"/>
          <w:szCs w:val="20"/>
        </w:rPr>
        <w:t>is presented</w:t>
      </w:r>
      <w:r w:rsidRPr="006D68E0">
        <w:rPr>
          <w:sz w:val="20"/>
          <w:szCs w:val="20"/>
        </w:rPr>
        <w:t xml:space="preserve">. Namely, positive causality of precipitation on COVID-19 cases is presented in </w:t>
      </w:r>
      <w:r w:rsidRPr="00A70B1D">
        <w:rPr>
          <w:b/>
          <w:sz w:val="20"/>
          <w:szCs w:val="20"/>
        </w:rPr>
        <w:t>a, b, c, d</w:t>
      </w:r>
      <w:r w:rsidRPr="006D68E0">
        <w:rPr>
          <w:sz w:val="20"/>
          <w:szCs w:val="20"/>
        </w:rPr>
        <w:t xml:space="preserve">; dark causality of precipitation on COVID-19 cases is presented in </w:t>
      </w:r>
      <w:r w:rsidRPr="00A70B1D">
        <w:rPr>
          <w:b/>
          <w:sz w:val="20"/>
          <w:szCs w:val="20"/>
        </w:rPr>
        <w:t>e, f, g, h</w:t>
      </w:r>
      <w:r w:rsidRPr="006D68E0">
        <w:rPr>
          <w:sz w:val="20"/>
          <w:szCs w:val="20"/>
        </w:rPr>
        <w:t xml:space="preserve">; negative causality of precipitation on COVID-19 cases is presented in </w:t>
      </w:r>
      <w:proofErr w:type="spellStart"/>
      <w:r w:rsidRPr="00A70B1D">
        <w:rPr>
          <w:b/>
          <w:sz w:val="20"/>
          <w:szCs w:val="20"/>
        </w:rPr>
        <w:t>i</w:t>
      </w:r>
      <w:proofErr w:type="spellEnd"/>
      <w:r w:rsidRPr="00A70B1D">
        <w:rPr>
          <w:b/>
          <w:sz w:val="20"/>
          <w:szCs w:val="20"/>
        </w:rPr>
        <w:t>, j, k, l</w:t>
      </w:r>
      <w:r w:rsidRPr="006D68E0">
        <w:rPr>
          <w:sz w:val="20"/>
          <w:szCs w:val="20"/>
        </w:rPr>
        <w:t>.</w:t>
      </w:r>
    </w:p>
    <w:p w14:paraId="2FE2873C" w14:textId="0146205A" w:rsidR="00176E8F" w:rsidRPr="000716C5" w:rsidRDefault="00EE3263" w:rsidP="00176E8F">
      <w:pPr>
        <w:spacing w:before="120" w:after="120" w:line="360" w:lineRule="auto"/>
        <w:jc w:val="both"/>
        <w:rPr>
          <w:b/>
          <w:bCs/>
        </w:rPr>
      </w:pPr>
      <w:r>
        <w:rPr>
          <w:b/>
          <w:bCs/>
        </w:rPr>
        <w:lastRenderedPageBreak/>
        <w:t>4.4.2</w:t>
      </w:r>
      <w:r w:rsidR="006F40A8">
        <w:rPr>
          <w:b/>
          <w:bCs/>
        </w:rPr>
        <w:t>.</w:t>
      </w:r>
      <w:r>
        <w:rPr>
          <w:b/>
          <w:bCs/>
        </w:rPr>
        <w:t xml:space="preserve"> </w:t>
      </w:r>
      <w:r w:rsidR="0010282D">
        <w:rPr>
          <w:b/>
          <w:bCs/>
        </w:rPr>
        <w:t xml:space="preserve">Impact </w:t>
      </w:r>
      <w:r w:rsidR="00063587">
        <w:rPr>
          <w:b/>
          <w:bCs/>
        </w:rPr>
        <w:t>of temperature</w:t>
      </w:r>
      <w:r w:rsidR="00176E8F" w:rsidRPr="000716C5">
        <w:rPr>
          <w:b/>
          <w:bCs/>
        </w:rPr>
        <w:t xml:space="preserve"> on COVID-19 cases</w:t>
      </w:r>
    </w:p>
    <w:p w14:paraId="7466B7A0" w14:textId="60349FA7" w:rsidR="00EE3263" w:rsidRDefault="00176E8F" w:rsidP="00EE3263">
      <w:pPr>
        <w:spacing w:before="120" w:after="120" w:line="360" w:lineRule="auto"/>
        <w:ind w:firstLine="284"/>
        <w:jc w:val="both"/>
      </w:pPr>
      <w:r>
        <w:t xml:space="preserve">The </w:t>
      </w:r>
      <w:r w:rsidR="00B32BC3" w:rsidRPr="00E5018D">
        <w:t>temperature</w:t>
      </w:r>
      <w:r w:rsidRPr="00E5018D">
        <w:t xml:space="preserve"> causal map</w:t>
      </w:r>
      <w:r>
        <w:t xml:space="preserve"> of California </w:t>
      </w:r>
      <w:r w:rsidR="00FD3D9A">
        <w:t xml:space="preserve">is more mixed than </w:t>
      </w:r>
      <w:r w:rsidR="00995EC4">
        <w:t>its precipitation counterpart.</w:t>
      </w:r>
      <w:r>
        <w:t xml:space="preserve"> </w:t>
      </w:r>
      <w:r w:rsidR="0015121E">
        <w:t xml:space="preserve">Negative </w:t>
      </w:r>
      <w:r w:rsidR="00EB2936">
        <w:t>causality is observed in very few counties and at very low levels</w:t>
      </w:r>
      <w:r w:rsidR="000736A4">
        <w:t xml:space="preserve"> (</w:t>
      </w:r>
      <w:r w:rsidR="000736A4" w:rsidRPr="00650260">
        <w:rPr>
          <w:b/>
          <w:bCs/>
        </w:rPr>
        <w:t>Fig</w:t>
      </w:r>
      <w:r w:rsidR="008606F5">
        <w:rPr>
          <w:b/>
          <w:bCs/>
        </w:rPr>
        <w:t>.</w:t>
      </w:r>
      <w:r w:rsidR="000736A4" w:rsidRPr="00650260">
        <w:rPr>
          <w:b/>
          <w:bCs/>
        </w:rPr>
        <w:t xml:space="preserve"> 9.j</w:t>
      </w:r>
      <w:r w:rsidR="000736A4">
        <w:t>)</w:t>
      </w:r>
      <w:r w:rsidR="00EB2936">
        <w:t xml:space="preserve">, suggesting </w:t>
      </w:r>
      <w:r w:rsidR="006D3F63">
        <w:t>an insignificant opposite direction</w:t>
      </w:r>
      <w:r w:rsidR="00063587">
        <w:t>al</w:t>
      </w:r>
      <w:r w:rsidR="006D3F63">
        <w:t xml:space="preserve"> movement of cases driven by temperature.</w:t>
      </w:r>
      <w:r w:rsidR="00774344">
        <w:t xml:space="preserve"> </w:t>
      </w:r>
      <w:r w:rsidR="00F85413">
        <w:t xml:space="preserve">Some west-side California counties are characterized by </w:t>
      </w:r>
      <w:r w:rsidR="00084ECB">
        <w:t xml:space="preserve">positive causality of temperature on cases </w:t>
      </w:r>
      <w:r w:rsidR="000F61B2">
        <w:t>(</w:t>
      </w:r>
      <w:r w:rsidR="000F61B2" w:rsidRPr="00B54282">
        <w:rPr>
          <w:b/>
          <w:bCs/>
        </w:rPr>
        <w:t>Fig</w:t>
      </w:r>
      <w:r w:rsidR="008606F5">
        <w:rPr>
          <w:b/>
          <w:bCs/>
        </w:rPr>
        <w:t>.</w:t>
      </w:r>
      <w:r w:rsidR="000F61B2" w:rsidRPr="00B54282">
        <w:rPr>
          <w:b/>
          <w:bCs/>
        </w:rPr>
        <w:t xml:space="preserve"> </w:t>
      </w:r>
      <w:r w:rsidR="00B54282" w:rsidRPr="00B54282">
        <w:rPr>
          <w:b/>
          <w:bCs/>
        </w:rPr>
        <w:t>9.b</w:t>
      </w:r>
      <w:r w:rsidR="000F61B2">
        <w:t>)</w:t>
      </w:r>
      <w:r w:rsidR="002B0F8C">
        <w:t xml:space="preserve">. Most California counties </w:t>
      </w:r>
      <w:r w:rsidR="008E3203">
        <w:t>along with Los Angeles have dark causality of temperature over cases</w:t>
      </w:r>
      <w:r w:rsidR="0081791D">
        <w:t xml:space="preserve"> (</w:t>
      </w:r>
      <w:r w:rsidR="0081791D" w:rsidRPr="005022A7">
        <w:rPr>
          <w:b/>
          <w:bCs/>
        </w:rPr>
        <w:t>Fig</w:t>
      </w:r>
      <w:r w:rsidR="008606F5">
        <w:rPr>
          <w:b/>
          <w:bCs/>
        </w:rPr>
        <w:t>.</w:t>
      </w:r>
      <w:r w:rsidR="0081791D" w:rsidRPr="005022A7">
        <w:rPr>
          <w:b/>
          <w:bCs/>
        </w:rPr>
        <w:t xml:space="preserve"> 9.f</w:t>
      </w:r>
      <w:r w:rsidR="0081791D">
        <w:t>)</w:t>
      </w:r>
      <w:r w:rsidR="008E3203">
        <w:t xml:space="preserve">, implying a </w:t>
      </w:r>
      <w:r w:rsidR="005022A7">
        <w:t>mixed oscillation</w:t>
      </w:r>
      <w:r w:rsidR="00686184">
        <w:t>.</w:t>
      </w:r>
    </w:p>
    <w:p w14:paraId="59F6DAAD" w14:textId="0105BDC1" w:rsidR="00EE3263" w:rsidRDefault="00176E8F" w:rsidP="00EE3263">
      <w:pPr>
        <w:spacing w:before="120" w:after="120" w:line="360" w:lineRule="auto"/>
        <w:ind w:firstLine="284"/>
        <w:jc w:val="both"/>
      </w:pPr>
      <w:r>
        <w:t xml:space="preserve">As far as Illinois is concerned, distinct dark causality </w:t>
      </w:r>
      <w:r w:rsidR="00957642" w:rsidRPr="004B3114">
        <w:t xml:space="preserve">is detected </w:t>
      </w:r>
      <w:r w:rsidR="001408EC">
        <w:t>mostly in central to</w:t>
      </w:r>
      <w:r>
        <w:t xml:space="preserve"> northern counties (</w:t>
      </w:r>
      <w:r w:rsidRPr="00436FB2">
        <w:rPr>
          <w:b/>
          <w:bCs/>
        </w:rPr>
        <w:t>Fig</w:t>
      </w:r>
      <w:r w:rsidR="008606F5">
        <w:rPr>
          <w:b/>
          <w:bCs/>
        </w:rPr>
        <w:t>.</w:t>
      </w:r>
      <w:r w:rsidRPr="00436FB2">
        <w:rPr>
          <w:b/>
          <w:bCs/>
        </w:rPr>
        <w:t xml:space="preserve"> </w:t>
      </w:r>
      <w:r w:rsidR="00752155">
        <w:rPr>
          <w:b/>
          <w:bCs/>
        </w:rPr>
        <w:t>9</w:t>
      </w:r>
      <w:r w:rsidRPr="00436FB2">
        <w:rPr>
          <w:b/>
          <w:bCs/>
        </w:rPr>
        <w:t>.g</w:t>
      </w:r>
      <w:r>
        <w:t xml:space="preserve">), suggesting oscillations in COVID-19 cases which are intricately influenced by </w:t>
      </w:r>
      <w:r w:rsidR="00E379A0">
        <w:t>temperature</w:t>
      </w:r>
      <w:r>
        <w:t>. The county of Chicago displays a dark</w:t>
      </w:r>
      <w:r w:rsidR="00752155">
        <w:t xml:space="preserve"> </w:t>
      </w:r>
      <w:r>
        <w:t xml:space="preserve">causality of </w:t>
      </w:r>
      <w:r w:rsidR="00752155">
        <w:t>temperature</w:t>
      </w:r>
      <w:r>
        <w:t xml:space="preserve"> on COVID-19 cases, suggesting </w:t>
      </w:r>
      <w:r w:rsidR="00CB66E3">
        <w:t>mixed</w:t>
      </w:r>
      <w:r>
        <w:t xml:space="preserve">-direction changes. Positive causality of </w:t>
      </w:r>
      <w:r w:rsidR="00D22E0C">
        <w:t>temperature</w:t>
      </w:r>
      <w:r>
        <w:t xml:space="preserve"> is also found in</w:t>
      </w:r>
      <w:r w:rsidR="00D22E0C">
        <w:t xml:space="preserve"> very few</w:t>
      </w:r>
      <w:r>
        <w:t xml:space="preserve"> </w:t>
      </w:r>
      <w:r w:rsidR="00805D8A">
        <w:t>(</w:t>
      </w:r>
      <w:r w:rsidR="00D22E0C">
        <w:t>mostly</w:t>
      </w:r>
      <w:r w:rsidR="00C76E8F">
        <w:t xml:space="preserve"> </w:t>
      </w:r>
      <w:r>
        <w:t>central</w:t>
      </w:r>
      <w:r w:rsidR="00805D8A">
        <w:t>)</w:t>
      </w:r>
      <w:r>
        <w:t xml:space="preserve"> Illinois counties (</w:t>
      </w:r>
      <w:r w:rsidRPr="001615AC">
        <w:rPr>
          <w:b/>
          <w:bCs/>
        </w:rPr>
        <w:t>Fig</w:t>
      </w:r>
      <w:r w:rsidR="008606F5">
        <w:rPr>
          <w:b/>
          <w:bCs/>
        </w:rPr>
        <w:t>.</w:t>
      </w:r>
      <w:r w:rsidRPr="001615AC">
        <w:rPr>
          <w:b/>
          <w:bCs/>
        </w:rPr>
        <w:t xml:space="preserve"> </w:t>
      </w:r>
      <w:r w:rsidR="00D22E0C">
        <w:rPr>
          <w:b/>
          <w:bCs/>
        </w:rPr>
        <w:t>9</w:t>
      </w:r>
      <w:r w:rsidRPr="001615AC">
        <w:rPr>
          <w:b/>
          <w:bCs/>
        </w:rPr>
        <w:t>.c</w:t>
      </w:r>
      <w:r>
        <w:t xml:space="preserve">). Furthermore, </w:t>
      </w:r>
      <w:r w:rsidR="00B56A74">
        <w:t>even fewer</w:t>
      </w:r>
      <w:r>
        <w:t xml:space="preserve"> counties exhibit negative causality of </w:t>
      </w:r>
      <w:r w:rsidR="00CB66E3">
        <w:t>temperature</w:t>
      </w:r>
      <w:r>
        <w:t xml:space="preserve"> on COVID-19 cases (</w:t>
      </w:r>
      <w:r w:rsidRPr="001615AC">
        <w:rPr>
          <w:b/>
          <w:bCs/>
        </w:rPr>
        <w:t>Fig</w:t>
      </w:r>
      <w:r w:rsidR="008606F5">
        <w:rPr>
          <w:b/>
          <w:bCs/>
        </w:rPr>
        <w:t>.</w:t>
      </w:r>
      <w:r w:rsidRPr="001615AC">
        <w:rPr>
          <w:b/>
          <w:bCs/>
        </w:rPr>
        <w:t xml:space="preserve"> </w:t>
      </w:r>
      <w:r w:rsidR="003860C5">
        <w:rPr>
          <w:b/>
          <w:bCs/>
        </w:rPr>
        <w:t>9.</w:t>
      </w:r>
      <w:r w:rsidRPr="001615AC">
        <w:rPr>
          <w:b/>
          <w:bCs/>
        </w:rPr>
        <w:t>k</w:t>
      </w:r>
      <w:r>
        <w:t>)</w:t>
      </w:r>
      <w:r w:rsidR="00B56A74">
        <w:t xml:space="preserve"> and at very low levels</w:t>
      </w:r>
      <w:r>
        <w:t>.</w:t>
      </w:r>
    </w:p>
    <w:p w14:paraId="0C04FD80" w14:textId="22601168" w:rsidR="00176E8F" w:rsidRDefault="00C3449A" w:rsidP="00EE3263">
      <w:pPr>
        <w:spacing w:before="120" w:after="120" w:line="360" w:lineRule="auto"/>
        <w:ind w:firstLine="284"/>
        <w:jc w:val="both"/>
      </w:pPr>
      <w:r>
        <w:t>Finally</w:t>
      </w:r>
      <w:r w:rsidR="00176E8F">
        <w:t xml:space="preserve">, in the state of New York, </w:t>
      </w:r>
      <w:r w:rsidR="00394163">
        <w:t>temperature</w:t>
      </w:r>
      <w:r w:rsidR="00176E8F">
        <w:t xml:space="preserve"> displays </w:t>
      </w:r>
      <w:r w:rsidR="00C06CDF">
        <w:t xml:space="preserve">a very similar causality profile </w:t>
      </w:r>
      <w:r w:rsidR="003D027E">
        <w:t>to those of California and Illinois.</w:t>
      </w:r>
      <w:r w:rsidR="00080BF2">
        <w:t xml:space="preserve"> P</w:t>
      </w:r>
      <w:r w:rsidR="00176E8F">
        <w:t>ositive causality</w:t>
      </w:r>
      <w:r w:rsidR="00080BF2">
        <w:t xml:space="preserve"> is observed</w:t>
      </w:r>
      <w:r w:rsidR="00176E8F">
        <w:t xml:space="preserve"> mostly in some </w:t>
      </w:r>
      <w:r w:rsidR="00080BF2">
        <w:t xml:space="preserve">south New York </w:t>
      </w:r>
      <w:r w:rsidR="00176E8F">
        <w:t>counties (</w:t>
      </w:r>
      <w:r w:rsidR="00176E8F" w:rsidRPr="00EB516F">
        <w:rPr>
          <w:b/>
          <w:bCs/>
        </w:rPr>
        <w:t>Fig</w:t>
      </w:r>
      <w:r w:rsidR="00412369">
        <w:rPr>
          <w:b/>
          <w:bCs/>
        </w:rPr>
        <w:t>.</w:t>
      </w:r>
      <w:r w:rsidR="00176E8F" w:rsidRPr="00EB516F">
        <w:rPr>
          <w:b/>
          <w:bCs/>
        </w:rPr>
        <w:t xml:space="preserve"> </w:t>
      </w:r>
      <w:r w:rsidR="0028341A">
        <w:rPr>
          <w:b/>
          <w:bCs/>
        </w:rPr>
        <w:t>9</w:t>
      </w:r>
      <w:r w:rsidR="00176E8F" w:rsidRPr="00EB516F">
        <w:rPr>
          <w:b/>
          <w:bCs/>
        </w:rPr>
        <w:t>.d</w:t>
      </w:r>
      <w:r w:rsidR="00176E8F">
        <w:t xml:space="preserve">). There, an increase in </w:t>
      </w:r>
      <w:r w:rsidR="00394163">
        <w:t>temperature</w:t>
      </w:r>
      <w:r w:rsidR="00176E8F">
        <w:t xml:space="preserve"> suggests increases in COVID-19 cases. Negative causality of </w:t>
      </w:r>
      <w:r w:rsidR="00631AB3">
        <w:t>temperature</w:t>
      </w:r>
      <w:r w:rsidR="00176E8F">
        <w:t xml:space="preserve"> in the state of New York is </w:t>
      </w:r>
      <w:r w:rsidR="00C00404">
        <w:t>very sparse and low</w:t>
      </w:r>
      <w:r w:rsidR="00176E8F">
        <w:t xml:space="preserve"> (</w:t>
      </w:r>
      <w:r w:rsidR="00176E8F" w:rsidRPr="00154DA4">
        <w:rPr>
          <w:b/>
          <w:bCs/>
        </w:rPr>
        <w:t>Fig</w:t>
      </w:r>
      <w:r w:rsidR="00412369">
        <w:rPr>
          <w:b/>
          <w:bCs/>
        </w:rPr>
        <w:t>.</w:t>
      </w:r>
      <w:r w:rsidR="00176E8F" w:rsidRPr="00154DA4">
        <w:rPr>
          <w:b/>
          <w:bCs/>
        </w:rPr>
        <w:t xml:space="preserve"> </w:t>
      </w:r>
      <w:r w:rsidR="0028341A">
        <w:rPr>
          <w:b/>
          <w:bCs/>
        </w:rPr>
        <w:t>9</w:t>
      </w:r>
      <w:r w:rsidR="00176E8F" w:rsidRPr="00154DA4">
        <w:rPr>
          <w:b/>
          <w:bCs/>
        </w:rPr>
        <w:t>.</w:t>
      </w:r>
      <w:r w:rsidR="00176E8F">
        <w:rPr>
          <w:b/>
          <w:bCs/>
        </w:rPr>
        <w:t>l</w:t>
      </w:r>
      <w:r w:rsidR="00176E8F">
        <w:t>). Nevertheless, there is a significant number of counties where precipitation has dark causality as well (</w:t>
      </w:r>
      <w:r w:rsidR="00176E8F" w:rsidRPr="00BC5C94">
        <w:rPr>
          <w:b/>
          <w:bCs/>
        </w:rPr>
        <w:t>Fig</w:t>
      </w:r>
      <w:r w:rsidR="00412369">
        <w:rPr>
          <w:b/>
          <w:bCs/>
        </w:rPr>
        <w:t>.</w:t>
      </w:r>
      <w:r w:rsidR="00176E8F" w:rsidRPr="00BC5C94">
        <w:rPr>
          <w:b/>
          <w:bCs/>
        </w:rPr>
        <w:t xml:space="preserve"> </w:t>
      </w:r>
      <w:r w:rsidR="0028341A">
        <w:rPr>
          <w:b/>
          <w:bCs/>
        </w:rPr>
        <w:t>9</w:t>
      </w:r>
      <w:r w:rsidR="00176E8F" w:rsidRPr="00BC5C94">
        <w:rPr>
          <w:b/>
          <w:bCs/>
        </w:rPr>
        <w:t>.h</w:t>
      </w:r>
      <w:r w:rsidR="00176E8F">
        <w:t xml:space="preserve">), </w:t>
      </w:r>
      <w:r w:rsidR="00BE714A">
        <w:t>suggesting that temperature, overall, causes mixed oscillations in COVID-19 cases.</w:t>
      </w:r>
      <w:r w:rsidR="00176E8F">
        <w:t xml:space="preserve"> </w:t>
      </w:r>
    </w:p>
    <w:p w14:paraId="112E62BF" w14:textId="3B8EEF09" w:rsidR="00176E8F" w:rsidRDefault="00176E8F" w:rsidP="0026681E">
      <w:pPr>
        <w:spacing w:before="120" w:after="120"/>
        <w:jc w:val="both"/>
        <w:rPr>
          <w:sz w:val="20"/>
          <w:szCs w:val="20"/>
        </w:rPr>
      </w:pPr>
    </w:p>
    <w:p w14:paraId="75750834" w14:textId="25C8AE39" w:rsidR="00176E8F" w:rsidRDefault="00176E8F" w:rsidP="0026681E">
      <w:pPr>
        <w:spacing w:before="120" w:after="120"/>
        <w:jc w:val="both"/>
        <w:rPr>
          <w:sz w:val="20"/>
          <w:szCs w:val="20"/>
        </w:rPr>
      </w:pPr>
    </w:p>
    <w:p w14:paraId="1ED099F3" w14:textId="43AEBF91" w:rsidR="00176E8F" w:rsidRDefault="00176E8F" w:rsidP="0026681E">
      <w:pPr>
        <w:spacing w:before="120" w:after="120"/>
        <w:jc w:val="both"/>
        <w:rPr>
          <w:sz w:val="20"/>
          <w:szCs w:val="20"/>
        </w:rPr>
      </w:pPr>
    </w:p>
    <w:p w14:paraId="21F7F1AC" w14:textId="3FFF1EB6" w:rsidR="00176E8F" w:rsidRDefault="00176E8F" w:rsidP="0026681E">
      <w:pPr>
        <w:spacing w:before="120" w:after="120"/>
        <w:jc w:val="both"/>
        <w:rPr>
          <w:sz w:val="20"/>
          <w:szCs w:val="20"/>
        </w:rPr>
      </w:pPr>
    </w:p>
    <w:p w14:paraId="394A140B" w14:textId="69EFC15C" w:rsidR="00176E8F" w:rsidRDefault="00176E8F" w:rsidP="0026681E">
      <w:pPr>
        <w:spacing w:before="120" w:after="120"/>
        <w:jc w:val="both"/>
        <w:rPr>
          <w:sz w:val="20"/>
          <w:szCs w:val="20"/>
        </w:rPr>
      </w:pPr>
    </w:p>
    <w:p w14:paraId="2DD9DEAF" w14:textId="1A40A782" w:rsidR="00176E8F" w:rsidRDefault="00176E8F" w:rsidP="0026681E">
      <w:pPr>
        <w:spacing w:before="120" w:after="120"/>
        <w:jc w:val="both"/>
        <w:rPr>
          <w:sz w:val="20"/>
          <w:szCs w:val="20"/>
        </w:rPr>
      </w:pPr>
    </w:p>
    <w:p w14:paraId="3D66E817" w14:textId="77777777" w:rsidR="00176E8F" w:rsidRPr="006D68E0" w:rsidRDefault="00176E8F" w:rsidP="0026681E">
      <w:pPr>
        <w:spacing w:before="120" w:after="120"/>
        <w:jc w:val="both"/>
        <w:rPr>
          <w:b/>
          <w:bCs/>
          <w:sz w:val="20"/>
          <w:szCs w:val="20"/>
        </w:rPr>
      </w:pPr>
    </w:p>
    <w:p w14:paraId="0B7D704F" w14:textId="77777777" w:rsidR="0026681E" w:rsidRDefault="0026681E" w:rsidP="0026681E">
      <w:pPr>
        <w:spacing w:before="120" w:after="120" w:line="360" w:lineRule="auto"/>
        <w:jc w:val="both"/>
        <w:rPr>
          <w:b/>
          <w:bCs/>
        </w:rPr>
      </w:pPr>
      <w:r>
        <w:rPr>
          <w:noProof/>
        </w:rPr>
        <w:lastRenderedPageBreak/>
        <w:drawing>
          <wp:inline distT="0" distB="0" distL="0" distR="0" wp14:anchorId="0A5FE016" wp14:editId="1B245355">
            <wp:extent cx="5405076" cy="764770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2232" cy="7657834"/>
                    </a:xfrm>
                    <a:prstGeom prst="rect">
                      <a:avLst/>
                    </a:prstGeom>
                    <a:noFill/>
                    <a:ln>
                      <a:noFill/>
                    </a:ln>
                  </pic:spPr>
                </pic:pic>
              </a:graphicData>
            </a:graphic>
          </wp:inline>
        </w:drawing>
      </w:r>
    </w:p>
    <w:p w14:paraId="5C8DB598" w14:textId="199C0613" w:rsidR="009D3166" w:rsidRPr="00621D0E" w:rsidRDefault="0026681E" w:rsidP="00621D0E">
      <w:pPr>
        <w:spacing w:before="120" w:after="120"/>
        <w:jc w:val="both"/>
        <w:rPr>
          <w:b/>
          <w:bCs/>
          <w:sz w:val="20"/>
          <w:szCs w:val="20"/>
        </w:rPr>
      </w:pPr>
      <w:r w:rsidRPr="006D68E0">
        <w:rPr>
          <w:b/>
          <w:bCs/>
          <w:sz w:val="20"/>
          <w:szCs w:val="20"/>
        </w:rPr>
        <w:t>Fig</w:t>
      </w:r>
      <w:r w:rsidR="00AB679A">
        <w:rPr>
          <w:b/>
          <w:bCs/>
          <w:sz w:val="20"/>
          <w:szCs w:val="20"/>
        </w:rPr>
        <w:t>.</w:t>
      </w:r>
      <w:r w:rsidRPr="006D68E0">
        <w:rPr>
          <w:b/>
          <w:bCs/>
          <w:sz w:val="20"/>
          <w:szCs w:val="20"/>
        </w:rPr>
        <w:t xml:space="preserve"> </w:t>
      </w:r>
      <w:r>
        <w:rPr>
          <w:b/>
          <w:bCs/>
          <w:sz w:val="20"/>
          <w:szCs w:val="20"/>
        </w:rPr>
        <w:t>9</w:t>
      </w:r>
      <w:r w:rsidRPr="006D68E0">
        <w:rPr>
          <w:b/>
          <w:bCs/>
          <w:sz w:val="20"/>
          <w:szCs w:val="20"/>
        </w:rPr>
        <w:t xml:space="preserve">. </w:t>
      </w:r>
      <w:r w:rsidRPr="006D68E0">
        <w:rPr>
          <w:sz w:val="20"/>
          <w:szCs w:val="20"/>
        </w:rPr>
        <w:t xml:space="preserve">Aggregate impact of daily </w:t>
      </w:r>
      <w:r>
        <w:rPr>
          <w:sz w:val="20"/>
          <w:szCs w:val="20"/>
        </w:rPr>
        <w:t>average temperature</w:t>
      </w:r>
      <w:r w:rsidRPr="006D68E0">
        <w:rPr>
          <w:sz w:val="20"/>
          <w:szCs w:val="20"/>
        </w:rPr>
        <w:t xml:space="preserve"> on COVID-19 cases per day, over the period from 23 January 2020 to 31 May 2020. The map detail is on the county-level</w:t>
      </w:r>
      <w:r w:rsidR="00103D8A" w:rsidRPr="00103D8A">
        <w:rPr>
          <w:color w:val="FF0000"/>
          <w:sz w:val="20"/>
          <w:szCs w:val="20"/>
        </w:rPr>
        <w:t xml:space="preserve"> </w:t>
      </w:r>
      <w:r w:rsidR="00103D8A" w:rsidRPr="004B3114">
        <w:rPr>
          <w:sz w:val="20"/>
          <w:szCs w:val="20"/>
        </w:rPr>
        <w:t>for</w:t>
      </w:r>
      <w:r w:rsidRPr="004B3114">
        <w:rPr>
          <w:sz w:val="20"/>
          <w:szCs w:val="20"/>
        </w:rPr>
        <w:t xml:space="preserve"> the states of California, Illinois and New York, </w:t>
      </w:r>
      <w:r w:rsidR="00BA349B" w:rsidRPr="004B3114">
        <w:rPr>
          <w:sz w:val="20"/>
          <w:szCs w:val="20"/>
        </w:rPr>
        <w:t>the US’s three most populous</w:t>
      </w:r>
      <w:r w:rsidRPr="004B3114">
        <w:rPr>
          <w:sz w:val="20"/>
          <w:szCs w:val="20"/>
        </w:rPr>
        <w:t>. To understand the way temperature influences COVID-cases, a series of maps for each type of causality</w:t>
      </w:r>
      <w:r w:rsidR="00103D8A" w:rsidRPr="004B3114">
        <w:rPr>
          <w:sz w:val="20"/>
          <w:szCs w:val="20"/>
        </w:rPr>
        <w:t xml:space="preserve"> is presented</w:t>
      </w:r>
      <w:r w:rsidRPr="004B3114">
        <w:rPr>
          <w:sz w:val="20"/>
          <w:szCs w:val="20"/>
        </w:rPr>
        <w:t xml:space="preserve">. </w:t>
      </w:r>
      <w:r w:rsidRPr="006D68E0">
        <w:rPr>
          <w:sz w:val="20"/>
          <w:szCs w:val="20"/>
        </w:rPr>
        <w:t xml:space="preserve">Namely, positive causality of </w:t>
      </w:r>
      <w:r>
        <w:rPr>
          <w:sz w:val="20"/>
          <w:szCs w:val="20"/>
        </w:rPr>
        <w:t>temperature</w:t>
      </w:r>
      <w:r w:rsidRPr="006D68E0">
        <w:rPr>
          <w:sz w:val="20"/>
          <w:szCs w:val="20"/>
        </w:rPr>
        <w:t xml:space="preserve"> on COVID-19 cases is presented in </w:t>
      </w:r>
      <w:r w:rsidRPr="00A70B1D">
        <w:rPr>
          <w:b/>
          <w:sz w:val="20"/>
          <w:szCs w:val="20"/>
        </w:rPr>
        <w:t>a, b, c, d</w:t>
      </w:r>
      <w:r w:rsidRPr="006D68E0">
        <w:rPr>
          <w:sz w:val="20"/>
          <w:szCs w:val="20"/>
        </w:rPr>
        <w:t xml:space="preserve">; dark causality of </w:t>
      </w:r>
      <w:r>
        <w:rPr>
          <w:sz w:val="20"/>
          <w:szCs w:val="20"/>
        </w:rPr>
        <w:t>temperature</w:t>
      </w:r>
      <w:r w:rsidRPr="006D68E0">
        <w:rPr>
          <w:sz w:val="20"/>
          <w:szCs w:val="20"/>
        </w:rPr>
        <w:t xml:space="preserve"> on COVID-19 cases is presented in </w:t>
      </w:r>
      <w:r w:rsidRPr="00A70B1D">
        <w:rPr>
          <w:b/>
          <w:sz w:val="20"/>
          <w:szCs w:val="20"/>
        </w:rPr>
        <w:t>e, f, g, h</w:t>
      </w:r>
      <w:r w:rsidRPr="006D68E0">
        <w:rPr>
          <w:sz w:val="20"/>
          <w:szCs w:val="20"/>
        </w:rPr>
        <w:t xml:space="preserve">; negative causality of </w:t>
      </w:r>
      <w:r>
        <w:rPr>
          <w:sz w:val="20"/>
          <w:szCs w:val="20"/>
        </w:rPr>
        <w:t>temperature</w:t>
      </w:r>
      <w:r w:rsidRPr="006D68E0">
        <w:rPr>
          <w:sz w:val="20"/>
          <w:szCs w:val="20"/>
        </w:rPr>
        <w:t xml:space="preserve"> on COVID-19 cases is presented in </w:t>
      </w:r>
      <w:proofErr w:type="spellStart"/>
      <w:r w:rsidRPr="00A70B1D">
        <w:rPr>
          <w:b/>
          <w:sz w:val="20"/>
          <w:szCs w:val="20"/>
        </w:rPr>
        <w:t>i</w:t>
      </w:r>
      <w:proofErr w:type="spellEnd"/>
      <w:r w:rsidRPr="00A70B1D">
        <w:rPr>
          <w:b/>
          <w:sz w:val="20"/>
          <w:szCs w:val="20"/>
        </w:rPr>
        <w:t>, j, k, l</w:t>
      </w:r>
      <w:r w:rsidRPr="006D68E0">
        <w:rPr>
          <w:sz w:val="20"/>
          <w:szCs w:val="20"/>
        </w:rPr>
        <w:t>.</w:t>
      </w:r>
      <w:r w:rsidR="009D3166">
        <w:rPr>
          <w:b/>
          <w:bCs/>
        </w:rPr>
        <w:br w:type="page"/>
      </w:r>
    </w:p>
    <w:p w14:paraId="6B6E9DDF" w14:textId="4B8F36DF" w:rsidR="005262AC" w:rsidRDefault="00CA4E66" w:rsidP="0026681E">
      <w:pPr>
        <w:pStyle w:val="ListParagraph"/>
        <w:numPr>
          <w:ilvl w:val="1"/>
          <w:numId w:val="5"/>
        </w:num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Risk Qu</w:t>
      </w:r>
      <w:r w:rsidR="000A4293">
        <w:rPr>
          <w:rFonts w:ascii="Times New Roman" w:hAnsi="Times New Roman" w:cs="Times New Roman"/>
          <w:b/>
          <w:bCs/>
          <w:sz w:val="24"/>
          <w:szCs w:val="24"/>
        </w:rPr>
        <w:t>a</w:t>
      </w:r>
      <w:r>
        <w:rPr>
          <w:rFonts w:ascii="Times New Roman" w:hAnsi="Times New Roman" w:cs="Times New Roman"/>
          <w:b/>
          <w:bCs/>
          <w:sz w:val="24"/>
          <w:szCs w:val="24"/>
        </w:rPr>
        <w:t>druplets (</w:t>
      </w:r>
      <w:r w:rsidR="000A4293">
        <w:rPr>
          <w:rFonts w:ascii="Times New Roman" w:hAnsi="Times New Roman" w:cs="Times New Roman"/>
          <w:b/>
          <w:bCs/>
          <w:sz w:val="24"/>
          <w:szCs w:val="24"/>
        </w:rPr>
        <w:t>R</w:t>
      </w:r>
      <w:r>
        <w:rPr>
          <w:rFonts w:ascii="Times New Roman" w:hAnsi="Times New Roman" w:cs="Times New Roman"/>
          <w:b/>
          <w:bCs/>
          <w:sz w:val="24"/>
          <w:szCs w:val="24"/>
        </w:rPr>
        <w:t>)</w:t>
      </w:r>
      <w:r w:rsidR="000A4293">
        <w:rPr>
          <w:rFonts w:ascii="Times New Roman" w:hAnsi="Times New Roman" w:cs="Times New Roman"/>
          <w:b/>
          <w:bCs/>
          <w:sz w:val="24"/>
          <w:szCs w:val="24"/>
        </w:rPr>
        <w:t xml:space="preserve"> on the </w:t>
      </w:r>
      <w:r w:rsidR="00B37804">
        <w:rPr>
          <w:rFonts w:ascii="Times New Roman" w:hAnsi="Times New Roman" w:cs="Times New Roman"/>
          <w:b/>
          <w:bCs/>
          <w:sz w:val="24"/>
          <w:szCs w:val="24"/>
        </w:rPr>
        <w:t>Coronavirus pandemic</w:t>
      </w:r>
    </w:p>
    <w:p w14:paraId="6EA904CF" w14:textId="7EDB6F1F" w:rsidR="007B6221" w:rsidRDefault="008023B6" w:rsidP="007B6221">
      <w:pPr>
        <w:spacing w:before="120" w:after="120" w:line="360" w:lineRule="auto"/>
        <w:ind w:firstLine="284"/>
        <w:jc w:val="both"/>
        <w:rPr>
          <w:lang w:val="en-GB"/>
        </w:rPr>
      </w:pPr>
      <w:r w:rsidRPr="00ED5A91">
        <w:t xml:space="preserve">The proposed framework </w:t>
      </w:r>
      <w:r w:rsidR="004D7B2C">
        <w:rPr>
          <w:lang w:val="en-GB"/>
        </w:rPr>
        <w:t>establishes</w:t>
      </w:r>
      <w:r w:rsidR="000C53C7" w:rsidRPr="00ED5A91">
        <w:rPr>
          <w:lang w:val="en-GB"/>
        </w:rPr>
        <w:t xml:space="preserve"> the causal factors of </w:t>
      </w:r>
      <w:r w:rsidR="002109A9" w:rsidRPr="00ED5A91">
        <w:rPr>
          <w:lang w:val="en-GB"/>
        </w:rPr>
        <w:t>the critical variable (whose frequency distribution must be known)</w:t>
      </w:r>
      <w:r w:rsidR="00734897">
        <w:rPr>
          <w:lang w:val="en-GB"/>
        </w:rPr>
        <w:t xml:space="preserve"> in order to understand both the current </w:t>
      </w:r>
      <w:r w:rsidR="00734897" w:rsidRPr="004B3114">
        <w:rPr>
          <w:lang w:val="en-GB"/>
        </w:rPr>
        <w:t xml:space="preserve">scenario </w:t>
      </w:r>
      <w:r w:rsidR="00103D8A" w:rsidRPr="004B3114">
        <w:rPr>
          <w:lang w:val="en-GB"/>
        </w:rPr>
        <w:t>at hand</w:t>
      </w:r>
      <w:r w:rsidR="00734897" w:rsidRPr="004B3114">
        <w:rPr>
          <w:lang w:val="en-GB"/>
        </w:rPr>
        <w:t xml:space="preserve"> </w:t>
      </w:r>
      <w:r w:rsidR="00734897">
        <w:rPr>
          <w:lang w:val="en-GB"/>
        </w:rPr>
        <w:t xml:space="preserve">(and its corresponding consequences) as well </w:t>
      </w:r>
      <w:r w:rsidR="009D4613">
        <w:rPr>
          <w:lang w:val="en-GB"/>
        </w:rPr>
        <w:t xml:space="preserve">as </w:t>
      </w:r>
      <w:r w:rsidR="00396E92">
        <w:rPr>
          <w:lang w:val="en-GB"/>
        </w:rPr>
        <w:t xml:space="preserve">what scenario to expect based on the causalities from the </w:t>
      </w:r>
      <w:r w:rsidR="00F466CB">
        <w:rPr>
          <w:lang w:val="en-GB"/>
        </w:rPr>
        <w:t>influencing factors.</w:t>
      </w:r>
    </w:p>
    <w:p w14:paraId="6A0FC4FC" w14:textId="43580A94" w:rsidR="007B6221" w:rsidRDefault="00845D0E" w:rsidP="007B6221">
      <w:pPr>
        <w:spacing w:before="120" w:after="120" w:line="360" w:lineRule="auto"/>
        <w:ind w:firstLine="284"/>
        <w:jc w:val="both"/>
        <w:rPr>
          <w:lang w:val="en-GB"/>
        </w:rPr>
      </w:pPr>
      <w:r w:rsidRPr="00845D0E">
        <w:rPr>
          <w:b/>
          <w:bCs/>
          <w:lang w:val="en-GB"/>
        </w:rPr>
        <w:t>The case of California</w:t>
      </w:r>
      <w:r>
        <w:rPr>
          <w:lang w:val="en-GB"/>
        </w:rPr>
        <w:t xml:space="preserve">. </w:t>
      </w:r>
      <w:r w:rsidR="002F0A03">
        <w:rPr>
          <w:lang w:val="en-GB"/>
        </w:rPr>
        <w:t>According to</w:t>
      </w:r>
      <w:r w:rsidR="006D7696">
        <w:rPr>
          <w:lang w:val="en-GB"/>
        </w:rPr>
        <w:t xml:space="preserve"> </w:t>
      </w:r>
      <w:r w:rsidR="006D7696" w:rsidRPr="00B51FDF">
        <w:rPr>
          <w:b/>
          <w:lang w:val="en-GB"/>
        </w:rPr>
        <w:t>Fig</w:t>
      </w:r>
      <w:r w:rsidR="00AB679A">
        <w:rPr>
          <w:b/>
          <w:lang w:val="en-GB"/>
        </w:rPr>
        <w:t>.</w:t>
      </w:r>
      <w:r w:rsidR="006D7696" w:rsidRPr="00B51FDF">
        <w:rPr>
          <w:b/>
          <w:lang w:val="en-GB"/>
        </w:rPr>
        <w:t xml:space="preserve"> </w:t>
      </w:r>
      <w:r w:rsidR="006D7696" w:rsidRPr="004B3114">
        <w:rPr>
          <w:b/>
          <w:lang w:val="en-GB"/>
        </w:rPr>
        <w:t>7</w:t>
      </w:r>
      <w:r w:rsidR="006D7696" w:rsidRPr="004B3114">
        <w:rPr>
          <w:lang w:val="en-GB"/>
        </w:rPr>
        <w:t xml:space="preserve">, </w:t>
      </w:r>
      <w:r w:rsidR="006D7696">
        <w:rPr>
          <w:lang w:val="en-GB"/>
        </w:rPr>
        <w:t xml:space="preserve">daily COVID cases </w:t>
      </w:r>
      <w:r w:rsidR="004F65F9">
        <w:rPr>
          <w:lang w:val="en-GB"/>
        </w:rPr>
        <w:t xml:space="preserve">are increasing </w:t>
      </w:r>
      <w:r w:rsidR="008B05D1">
        <w:rPr>
          <w:lang w:val="en-GB"/>
        </w:rPr>
        <w:t xml:space="preserve">at </w:t>
      </w:r>
      <w:r w:rsidR="004F65F9">
        <w:rPr>
          <w:lang w:val="en-GB"/>
        </w:rPr>
        <w:t>an almost steady rate</w:t>
      </w:r>
      <w:r w:rsidR="006D6105">
        <w:rPr>
          <w:lang w:val="en-GB"/>
        </w:rPr>
        <w:t>.</w:t>
      </w:r>
      <w:r w:rsidR="00663D73">
        <w:rPr>
          <w:lang w:val="en-GB"/>
        </w:rPr>
        <w:t xml:space="preserve"> </w:t>
      </w:r>
      <w:r w:rsidR="00103D8A" w:rsidRPr="004B3114">
        <w:rPr>
          <w:lang w:val="en-GB"/>
        </w:rPr>
        <w:t>S</w:t>
      </w:r>
      <w:r w:rsidR="00663D73" w:rsidRPr="004B3114">
        <w:rPr>
          <w:lang w:val="en-GB"/>
        </w:rPr>
        <w:t>et</w:t>
      </w:r>
      <w:r w:rsidR="00103D8A" w:rsidRPr="004B3114">
        <w:rPr>
          <w:lang w:val="en-GB"/>
        </w:rPr>
        <w:t>ting</w:t>
      </w:r>
      <w:r w:rsidR="00663D73" w:rsidRPr="004B3114">
        <w:rPr>
          <w:lang w:val="en-GB"/>
        </w:rP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eastAsiaTheme="minorEastAsia" w:hAnsi="Cambria Math"/>
          </w:rPr>
          <m:t>=2000</m:t>
        </m:r>
      </m:oMath>
      <w:r w:rsidR="00D41E76">
        <w:rPr>
          <w:lang w:val="en-GB"/>
        </w:rPr>
        <w:t xml:space="preserve"> daily COVID-19 cases and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eastAsiaTheme="minorEastAsia" w:hAnsi="Cambria Math"/>
          </w:rPr>
          <m:t>=4000</m:t>
        </m:r>
      </m:oMath>
      <w:r w:rsidR="00B51FDF">
        <w:rPr>
          <w:lang w:val="en-GB"/>
        </w:rPr>
        <w:t xml:space="preserve"> </w:t>
      </w:r>
      <w:r w:rsidR="00D41E76">
        <w:rPr>
          <w:lang w:val="en-GB"/>
        </w:rPr>
        <w:t>daily COVID-19 cases</w:t>
      </w:r>
      <w:r w:rsidR="004B3114">
        <w:rPr>
          <w:lang w:val="en-GB"/>
        </w:rPr>
        <w:t>, a</w:t>
      </w:r>
      <w:r w:rsidR="00FC2904">
        <w:rPr>
          <w:lang w:val="en-GB"/>
        </w:rPr>
        <w:t xml:space="preserve">s a </w:t>
      </w:r>
      <w:r w:rsidR="003606AD">
        <w:rPr>
          <w:lang w:val="en-GB"/>
        </w:rPr>
        <w:t>result,</w:t>
      </w:r>
      <w:r w:rsidR="00FC2904">
        <w:rPr>
          <w:lang w:val="en-GB"/>
        </w:rPr>
        <w:t xml:space="preserve"> California is</w:t>
      </w:r>
      <w:r w:rsidR="00181ADF">
        <w:rPr>
          <w:lang w:val="en-GB"/>
        </w:rPr>
        <w:t xml:space="preserve"> as of</w:t>
      </w:r>
      <w:r w:rsidR="00FC2904">
        <w:rPr>
          <w:lang w:val="en-GB"/>
        </w:rPr>
        <w:t xml:space="preserve"> May 31 under Scenario 3 which is alarming.</w:t>
      </w:r>
      <w:r w:rsidR="00C95E39">
        <w:rPr>
          <w:lang w:val="en-GB"/>
        </w:rPr>
        <w:t xml:space="preserve"> </w:t>
      </w:r>
      <w:r w:rsidR="00104ECC">
        <w:rPr>
          <w:lang w:val="en-GB"/>
        </w:rPr>
        <w:t xml:space="preserve">Looking at the frequency distribution of COVID-19 cases </w:t>
      </w:r>
      <w:r w:rsidR="00C02423">
        <w:rPr>
          <w:lang w:val="en-GB"/>
        </w:rPr>
        <w:t>in California</w:t>
      </w:r>
      <w:r w:rsidR="009D4613">
        <w:rPr>
          <w:lang w:val="en-GB"/>
        </w:rPr>
        <w:t>,</w:t>
      </w:r>
      <w:r w:rsidR="00103D8A">
        <w:rPr>
          <w:lang w:val="en-GB"/>
        </w:rPr>
        <w:t xml:space="preserve"> </w:t>
      </w:r>
      <w:r w:rsidR="00103D8A" w:rsidRPr="004B3114">
        <w:rPr>
          <w:lang w:val="en-GB"/>
        </w:rPr>
        <w:t>reveals</w:t>
      </w:r>
      <w:r w:rsidR="00C02423">
        <w:rPr>
          <w:lang w:val="en-GB"/>
        </w:rPr>
        <w:t xml:space="preserve"> a significant concentration between 1000 and 2500 cases per day</w:t>
      </w:r>
      <w:r w:rsidR="00BA349B">
        <w:rPr>
          <w:lang w:val="en-GB"/>
        </w:rPr>
        <w:t>,</w:t>
      </w:r>
      <w:r w:rsidR="00C02423">
        <w:rPr>
          <w:lang w:val="en-GB"/>
        </w:rPr>
        <w:t xml:space="preserve"> a fact </w:t>
      </w:r>
      <w:r w:rsidR="00A941A4">
        <w:rPr>
          <w:lang w:val="en-GB"/>
        </w:rPr>
        <w:t>which renders the situation risky.</w:t>
      </w:r>
      <w:r w:rsidR="003C71B0">
        <w:rPr>
          <w:lang w:val="en-GB"/>
        </w:rPr>
        <w:t xml:space="preserve"> </w:t>
      </w:r>
      <w:r w:rsidR="00B26268">
        <w:rPr>
          <w:lang w:val="en-GB"/>
        </w:rPr>
        <w:t>Being in scenario 3</w:t>
      </w:r>
      <w:r w:rsidR="00103D8A">
        <w:rPr>
          <w:lang w:val="en-GB"/>
        </w:rPr>
        <w:t xml:space="preserve">, </w:t>
      </w:r>
      <w:r w:rsidR="00103D8A" w:rsidRPr="004B3114">
        <w:rPr>
          <w:lang w:val="en-GB"/>
        </w:rPr>
        <w:t>one would</w:t>
      </w:r>
      <w:r w:rsidR="00B26268" w:rsidRPr="004B3114">
        <w:rPr>
          <w:lang w:val="en-GB"/>
        </w:rPr>
        <w:t xml:space="preserve"> </w:t>
      </w:r>
      <w:r w:rsidR="00B26268">
        <w:rPr>
          <w:lang w:val="en-GB"/>
        </w:rPr>
        <w:t xml:space="preserve">expect, according to </w:t>
      </w:r>
      <w:r w:rsidR="00B26268" w:rsidRPr="00F5683E">
        <w:rPr>
          <w:b/>
          <w:lang w:val="en-GB"/>
        </w:rPr>
        <w:t xml:space="preserve">Table </w:t>
      </w:r>
      <w:r w:rsidR="00AB679A">
        <w:rPr>
          <w:b/>
          <w:lang w:val="en-GB"/>
        </w:rPr>
        <w:t>I</w:t>
      </w:r>
      <w:r w:rsidR="00B26268">
        <w:rPr>
          <w:lang w:val="en-GB"/>
        </w:rPr>
        <w:t>,</w:t>
      </w:r>
      <w:r w:rsidR="00213E0F">
        <w:rPr>
          <w:lang w:val="en-GB"/>
        </w:rPr>
        <w:t xml:space="preserve"> </w:t>
      </w:r>
      <w:r w:rsidR="00103D8A">
        <w:rPr>
          <w:lang w:val="en-GB"/>
        </w:rPr>
        <w:t xml:space="preserve">a </w:t>
      </w:r>
      <w:r w:rsidR="00213E0F" w:rsidRPr="004B3114">
        <w:rPr>
          <w:lang w:val="en-GB"/>
        </w:rPr>
        <w:t xml:space="preserve">high impact </w:t>
      </w:r>
      <w:r w:rsidR="009F73C0" w:rsidRPr="004B3114">
        <w:rPr>
          <w:lang w:val="en-GB"/>
        </w:rPr>
        <w:t>on physical distancing, medium impact on travel restrictions, face masks usage,</w:t>
      </w:r>
      <w:r w:rsidR="009F73C0">
        <w:rPr>
          <w:lang w:val="en-GB"/>
        </w:rPr>
        <w:t xml:space="preserve"> </w:t>
      </w:r>
      <w:r w:rsidR="009F73C0" w:rsidRPr="0004541D">
        <w:rPr>
          <w:lang w:val="en-GB"/>
        </w:rPr>
        <w:t>lockdow</w:t>
      </w:r>
      <w:r w:rsidR="009F73C0">
        <w:rPr>
          <w:lang w:val="en-GB"/>
        </w:rPr>
        <w:t xml:space="preserve">n, </w:t>
      </w:r>
      <w:r w:rsidR="009F73C0" w:rsidRPr="0004541D">
        <w:rPr>
          <w:lang w:val="en-GB"/>
        </w:rPr>
        <w:t>government support</w:t>
      </w:r>
      <w:r w:rsidR="009F73C0">
        <w:rPr>
          <w:lang w:val="en-GB"/>
        </w:rPr>
        <w:t xml:space="preserve">, </w:t>
      </w:r>
      <w:r w:rsidR="009F73C0" w:rsidRPr="0004541D">
        <w:rPr>
          <w:lang w:val="en-GB"/>
        </w:rPr>
        <w:t xml:space="preserve">supply chain </w:t>
      </w:r>
      <w:r w:rsidR="00515134" w:rsidRPr="0004541D">
        <w:rPr>
          <w:lang w:val="en-GB"/>
        </w:rPr>
        <w:t>interruption</w:t>
      </w:r>
      <w:r w:rsidR="00515134">
        <w:rPr>
          <w:lang w:val="en-GB"/>
        </w:rPr>
        <w:t xml:space="preserve">, </w:t>
      </w:r>
      <w:r w:rsidR="00515134" w:rsidRPr="0004541D">
        <w:rPr>
          <w:lang w:val="en-GB"/>
        </w:rPr>
        <w:t>reduced consumption</w:t>
      </w:r>
      <w:r w:rsidR="00515134">
        <w:rPr>
          <w:lang w:val="en-GB"/>
        </w:rPr>
        <w:t xml:space="preserve"> and </w:t>
      </w:r>
      <w:r w:rsidR="00515134" w:rsidRPr="0004541D">
        <w:rPr>
          <w:lang w:val="en-GB"/>
        </w:rPr>
        <w:t>working capital pressure</w:t>
      </w:r>
      <w:r w:rsidR="0066029F">
        <w:rPr>
          <w:lang w:val="en-GB"/>
        </w:rPr>
        <w:t>.</w:t>
      </w:r>
      <w:r w:rsidR="007D13CF">
        <w:rPr>
          <w:lang w:val="en-GB"/>
        </w:rPr>
        <w:t xml:space="preserve"> </w:t>
      </w:r>
      <w:r w:rsidR="001E0229">
        <w:rPr>
          <w:lang w:val="en-GB"/>
        </w:rPr>
        <w:t>Of course,</w:t>
      </w:r>
      <w:r w:rsidR="007D13CF">
        <w:rPr>
          <w:lang w:val="en-GB"/>
        </w:rPr>
        <w:t xml:space="preserve"> all this refers to the situation as of 31 May. </w:t>
      </w:r>
      <w:r w:rsidR="001E0229">
        <w:rPr>
          <w:lang w:val="en-GB"/>
        </w:rPr>
        <w:t>However,</w:t>
      </w:r>
      <w:r w:rsidR="007D13CF">
        <w:rPr>
          <w:lang w:val="en-GB"/>
        </w:rPr>
        <w:t xml:space="preserve"> in order to be able to better plan for the imminent future</w:t>
      </w:r>
      <w:r w:rsidR="00103D8A">
        <w:rPr>
          <w:lang w:val="en-GB"/>
        </w:rPr>
        <w:t>,</w:t>
      </w:r>
      <w:r w:rsidR="007D13CF">
        <w:rPr>
          <w:lang w:val="en-GB"/>
        </w:rPr>
        <w:t xml:space="preserve"> </w:t>
      </w:r>
      <w:r w:rsidR="004B3114">
        <w:rPr>
          <w:lang w:val="en-GB"/>
        </w:rPr>
        <w:t>the decision maker</w:t>
      </w:r>
      <w:r w:rsidR="007D13CF">
        <w:rPr>
          <w:lang w:val="en-GB"/>
        </w:rPr>
        <w:t xml:space="preserve"> need</w:t>
      </w:r>
      <w:r w:rsidR="004B3114">
        <w:rPr>
          <w:lang w:val="en-GB"/>
        </w:rPr>
        <w:t>s</w:t>
      </w:r>
      <w:r w:rsidR="00675DC8">
        <w:rPr>
          <w:lang w:val="en-GB"/>
        </w:rPr>
        <w:t xml:space="preserve"> the fourth component of the risk q</w:t>
      </w:r>
      <w:r w:rsidR="007D13CF">
        <w:rPr>
          <w:lang w:val="en-GB"/>
        </w:rPr>
        <w:t xml:space="preserve">uadruplet which </w:t>
      </w:r>
      <w:r w:rsidR="00E24D6B">
        <w:rPr>
          <w:lang w:val="en-GB"/>
        </w:rPr>
        <w:t>is the causal impact on the critical variable of the daily COVID-19 cases.</w:t>
      </w:r>
      <w:r w:rsidR="006A7740">
        <w:rPr>
          <w:lang w:val="en-GB"/>
        </w:rPr>
        <w:t xml:space="preserve"> In California </w:t>
      </w:r>
      <w:r w:rsidR="00E876CA">
        <w:rPr>
          <w:lang w:val="en-GB"/>
        </w:rPr>
        <w:t>precipitation and temperature</w:t>
      </w:r>
      <w:r w:rsidR="00703262">
        <w:rPr>
          <w:lang w:val="en-GB"/>
        </w:rPr>
        <w:t xml:space="preserve"> are</w:t>
      </w:r>
      <w:r w:rsidR="00E876CA">
        <w:rPr>
          <w:lang w:val="en-GB"/>
        </w:rPr>
        <w:t xml:space="preserve"> influencing COVID-19 cases </w:t>
      </w:r>
      <w:r w:rsidR="00703262">
        <w:rPr>
          <w:lang w:val="en-GB"/>
        </w:rPr>
        <w:t xml:space="preserve">primarily in a dark way and then in a positive way. This means that </w:t>
      </w:r>
      <w:r w:rsidR="00EA303A">
        <w:rPr>
          <w:lang w:val="en-GB"/>
        </w:rPr>
        <w:t xml:space="preserve">depending on the county, local authorities should be aware of the weather forecasts and expect either </w:t>
      </w:r>
      <w:r w:rsidR="008B05D1">
        <w:rPr>
          <w:lang w:val="en-GB"/>
        </w:rPr>
        <w:t>a same-</w:t>
      </w:r>
      <w:r w:rsidR="00EA303A">
        <w:rPr>
          <w:lang w:val="en-GB"/>
        </w:rPr>
        <w:t xml:space="preserve">direction impact </w:t>
      </w:r>
      <w:r w:rsidR="00040615">
        <w:rPr>
          <w:lang w:val="en-GB"/>
        </w:rPr>
        <w:t xml:space="preserve">on the COVID-19 cases (positive causality) or most importantly mixed oscillations </w:t>
      </w:r>
      <w:r w:rsidR="007C1A42">
        <w:rPr>
          <w:lang w:val="en-GB"/>
        </w:rPr>
        <w:t>(dark causality).</w:t>
      </w:r>
    </w:p>
    <w:p w14:paraId="7EEDA675" w14:textId="239AA03E" w:rsidR="007B6221" w:rsidRDefault="00E1268C" w:rsidP="007B6221">
      <w:pPr>
        <w:spacing w:before="120" w:after="120" w:line="360" w:lineRule="auto"/>
        <w:ind w:firstLine="284"/>
        <w:jc w:val="both"/>
        <w:rPr>
          <w:lang w:val="en-GB"/>
        </w:rPr>
      </w:pPr>
      <w:r w:rsidRPr="00845D0E">
        <w:rPr>
          <w:b/>
          <w:bCs/>
          <w:lang w:val="en-GB"/>
        </w:rPr>
        <w:t xml:space="preserve">The case of </w:t>
      </w:r>
      <w:r>
        <w:rPr>
          <w:b/>
          <w:bCs/>
          <w:lang w:val="en-GB"/>
        </w:rPr>
        <w:t>Illinois</w:t>
      </w:r>
      <w:r>
        <w:rPr>
          <w:lang w:val="en-GB"/>
        </w:rPr>
        <w:t xml:space="preserve">. </w:t>
      </w:r>
      <w:r w:rsidR="002F0A03">
        <w:rPr>
          <w:lang w:val="en-GB"/>
        </w:rPr>
        <w:t>According to</w:t>
      </w:r>
      <w:r>
        <w:rPr>
          <w:lang w:val="en-GB"/>
        </w:rPr>
        <w:t xml:space="preserve"> </w:t>
      </w:r>
      <w:r w:rsidRPr="00B51FDF">
        <w:rPr>
          <w:b/>
          <w:lang w:val="en-GB"/>
        </w:rPr>
        <w:t>Fig</w:t>
      </w:r>
      <w:r w:rsidR="000815B3">
        <w:rPr>
          <w:b/>
          <w:lang w:val="en-GB"/>
        </w:rPr>
        <w:t>.</w:t>
      </w:r>
      <w:r w:rsidRPr="00B51FDF">
        <w:rPr>
          <w:b/>
          <w:lang w:val="en-GB"/>
        </w:rPr>
        <w:t xml:space="preserve"> 7</w:t>
      </w:r>
      <w:r w:rsidRPr="004B3114">
        <w:rPr>
          <w:lang w:val="en-GB"/>
        </w:rPr>
        <w:t xml:space="preserve">, </w:t>
      </w:r>
      <w:r>
        <w:rPr>
          <w:lang w:val="en-GB"/>
        </w:rPr>
        <w:t xml:space="preserve">daily COVID cases </w:t>
      </w:r>
      <w:r w:rsidR="0010282D">
        <w:rPr>
          <w:lang w:val="en-GB"/>
        </w:rPr>
        <w:t xml:space="preserve">have </w:t>
      </w:r>
      <w:r w:rsidR="00146B4A">
        <w:rPr>
          <w:lang w:val="en-GB"/>
        </w:rPr>
        <w:t>been</w:t>
      </w:r>
      <w:r>
        <w:rPr>
          <w:lang w:val="en-GB"/>
        </w:rPr>
        <w:t xml:space="preserve"> increasing </w:t>
      </w:r>
      <w:r w:rsidR="008B05D1">
        <w:rPr>
          <w:lang w:val="en-GB"/>
        </w:rPr>
        <w:t xml:space="preserve">at </w:t>
      </w:r>
      <w:r>
        <w:rPr>
          <w:lang w:val="en-GB"/>
        </w:rPr>
        <w:t>an almost steady rate</w:t>
      </w:r>
      <w:r w:rsidR="008B05D1">
        <w:rPr>
          <w:lang w:val="en-GB"/>
        </w:rPr>
        <w:t xml:space="preserve">, </w:t>
      </w:r>
      <w:r w:rsidR="00BA349B">
        <w:rPr>
          <w:lang w:val="en-GB"/>
        </w:rPr>
        <w:t>before exhibiting</w:t>
      </w:r>
      <w:r w:rsidR="008B05D1">
        <w:rPr>
          <w:lang w:val="en-GB"/>
        </w:rPr>
        <w:t xml:space="preserve"> a slowdown</w:t>
      </w:r>
      <w:r>
        <w:rPr>
          <w:lang w:val="en-GB"/>
        </w:rPr>
        <w:t xml:space="preserve">. </w:t>
      </w:r>
      <w:r w:rsidR="00103D8A" w:rsidRPr="004B3114">
        <w:rPr>
          <w:lang w:val="en-GB"/>
        </w:rPr>
        <w:t>Setting</w:t>
      </w:r>
      <w:r w:rsidR="00103D8A">
        <w:rPr>
          <w:lang w:val="en-GB"/>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eastAsiaTheme="minorEastAsia" w:hAnsi="Cambria Math"/>
          </w:rPr>
          <m:t>=1000</m:t>
        </m:r>
      </m:oMath>
      <w:r w:rsidR="00B51FDF">
        <w:rPr>
          <w:lang w:val="en-GB"/>
        </w:rPr>
        <w:t xml:space="preserve"> </w:t>
      </w:r>
      <w:r>
        <w:rPr>
          <w:lang w:val="en-GB"/>
        </w:rPr>
        <w:t>daily COVID-19 cases and</w:t>
      </w:r>
      <w:r w:rsidR="00B51FDF">
        <w:rPr>
          <w:lang w:val="en-GB"/>
        </w:rP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eastAsiaTheme="minorEastAsia" w:hAnsi="Cambria Math"/>
          </w:rPr>
          <m:t>=2000</m:t>
        </m:r>
      </m:oMath>
      <w:r w:rsidR="00B51FDF">
        <w:rPr>
          <w:lang w:val="en-GB"/>
        </w:rPr>
        <w:t xml:space="preserve"> </w:t>
      </w:r>
      <w:r>
        <w:rPr>
          <w:lang w:val="en-GB"/>
        </w:rPr>
        <w:t>daily COVID-19 cases</w:t>
      </w:r>
      <w:r w:rsidR="004B3114">
        <w:rPr>
          <w:lang w:val="en-GB"/>
        </w:rPr>
        <w:t>, a</w:t>
      </w:r>
      <w:r>
        <w:rPr>
          <w:lang w:val="en-GB"/>
        </w:rPr>
        <w:t xml:space="preserve">s a result, </w:t>
      </w:r>
      <w:r w:rsidR="002F420C">
        <w:rPr>
          <w:lang w:val="en-GB"/>
        </w:rPr>
        <w:t>Illinois</w:t>
      </w:r>
      <w:r>
        <w:rPr>
          <w:lang w:val="en-GB"/>
        </w:rPr>
        <w:t xml:space="preserve"> is</w:t>
      </w:r>
      <w:r w:rsidR="00181ADF">
        <w:rPr>
          <w:lang w:val="en-GB"/>
        </w:rPr>
        <w:t xml:space="preserve"> as of</w:t>
      </w:r>
      <w:r>
        <w:rPr>
          <w:lang w:val="en-GB"/>
        </w:rPr>
        <w:t xml:space="preserve"> May 31 under Scenario </w:t>
      </w:r>
      <w:r w:rsidR="002F420C">
        <w:rPr>
          <w:lang w:val="en-GB"/>
        </w:rPr>
        <w:t>2</w:t>
      </w:r>
      <w:r>
        <w:rPr>
          <w:lang w:val="en-GB"/>
        </w:rPr>
        <w:t xml:space="preserve"> </w:t>
      </w:r>
      <w:r w:rsidR="00BA349B">
        <w:rPr>
          <w:lang w:val="en-GB"/>
        </w:rPr>
        <w:t>(“</w:t>
      </w:r>
      <w:r w:rsidR="00186807">
        <w:rPr>
          <w:lang w:val="en-GB"/>
        </w:rPr>
        <w:t>warn</w:t>
      </w:r>
      <w:r>
        <w:rPr>
          <w:lang w:val="en-GB"/>
        </w:rPr>
        <w:t>ing</w:t>
      </w:r>
      <w:r w:rsidR="00BA349B">
        <w:rPr>
          <w:lang w:val="en-GB"/>
        </w:rPr>
        <w:t>”)</w:t>
      </w:r>
      <w:r>
        <w:rPr>
          <w:lang w:val="en-GB"/>
        </w:rPr>
        <w:t xml:space="preserve">. Looking at the frequency distribution of COVID-19 cases in </w:t>
      </w:r>
      <w:r w:rsidR="00910861">
        <w:rPr>
          <w:lang w:val="en-GB"/>
        </w:rPr>
        <w:t>Illinois</w:t>
      </w:r>
      <w:r w:rsidR="009D4613">
        <w:rPr>
          <w:lang w:val="en-GB"/>
        </w:rPr>
        <w:t>,</w:t>
      </w:r>
      <w:r w:rsidR="00103D8A" w:rsidRPr="004B3114">
        <w:rPr>
          <w:lang w:val="en-GB"/>
        </w:rPr>
        <w:t xml:space="preserve"> reveals </w:t>
      </w:r>
      <w:r>
        <w:rPr>
          <w:lang w:val="en-GB"/>
        </w:rPr>
        <w:t xml:space="preserve">a significant concentration </w:t>
      </w:r>
      <w:r w:rsidR="00FF6C7A">
        <w:rPr>
          <w:lang w:val="en-GB"/>
        </w:rPr>
        <w:t>up to</w:t>
      </w:r>
      <w:r>
        <w:rPr>
          <w:lang w:val="en-GB"/>
        </w:rPr>
        <w:t xml:space="preserve"> </w:t>
      </w:r>
      <w:r w:rsidR="00FF6C7A">
        <w:rPr>
          <w:lang w:val="en-GB"/>
        </w:rPr>
        <w:t>3</w:t>
      </w:r>
      <w:r w:rsidR="00B03323">
        <w:rPr>
          <w:lang w:val="en-GB"/>
        </w:rPr>
        <w:t>0</w:t>
      </w:r>
      <w:r>
        <w:rPr>
          <w:lang w:val="en-GB"/>
        </w:rPr>
        <w:t xml:space="preserve">00 cases per day a fact which renders the situation risky. Being in scenario </w:t>
      </w:r>
      <w:r w:rsidR="00415675">
        <w:rPr>
          <w:lang w:val="en-GB"/>
        </w:rPr>
        <w:t>2</w:t>
      </w:r>
      <w:r w:rsidR="00103D8A">
        <w:rPr>
          <w:lang w:val="en-GB"/>
        </w:rPr>
        <w:t>,</w:t>
      </w:r>
      <w:r w:rsidR="00103D8A" w:rsidRPr="00103D8A">
        <w:rPr>
          <w:color w:val="FF0000"/>
          <w:lang w:val="en-GB"/>
        </w:rPr>
        <w:t xml:space="preserve"> </w:t>
      </w:r>
      <w:r w:rsidR="00103D8A" w:rsidRPr="004B3114">
        <w:rPr>
          <w:lang w:val="en-GB"/>
        </w:rPr>
        <w:t>this</w:t>
      </w:r>
      <w:r w:rsidRPr="004B3114">
        <w:rPr>
          <w:lang w:val="en-GB"/>
        </w:rPr>
        <w:t xml:space="preserve"> </w:t>
      </w:r>
      <w:r w:rsidR="00103D8A" w:rsidRPr="004B3114">
        <w:rPr>
          <w:lang w:val="en-GB"/>
        </w:rPr>
        <w:t>suggests</w:t>
      </w:r>
      <w:r w:rsidRPr="004B3114">
        <w:rPr>
          <w:lang w:val="en-GB"/>
        </w:rPr>
        <w:t xml:space="preserve">, according to </w:t>
      </w:r>
      <w:r w:rsidRPr="004B3114">
        <w:rPr>
          <w:b/>
          <w:lang w:val="en-GB"/>
        </w:rPr>
        <w:t xml:space="preserve">Table </w:t>
      </w:r>
      <w:r w:rsidR="007C181A">
        <w:rPr>
          <w:b/>
          <w:lang w:val="en-GB"/>
        </w:rPr>
        <w:t>I</w:t>
      </w:r>
      <w:r w:rsidRPr="004B3114">
        <w:rPr>
          <w:lang w:val="en-GB"/>
        </w:rPr>
        <w:t xml:space="preserve">, </w:t>
      </w:r>
      <w:r w:rsidR="00103D8A" w:rsidRPr="004B3114">
        <w:rPr>
          <w:lang w:val="en-GB"/>
        </w:rPr>
        <w:t xml:space="preserve">a </w:t>
      </w:r>
      <w:r w:rsidRPr="004B3114">
        <w:rPr>
          <w:lang w:val="en-GB"/>
        </w:rPr>
        <w:t>medium impact on</w:t>
      </w:r>
      <w:r w:rsidR="00181C7D" w:rsidRPr="004B3114">
        <w:rPr>
          <w:lang w:val="en-GB"/>
        </w:rPr>
        <w:t xml:space="preserve"> physical distancing, face masks usage, go</w:t>
      </w:r>
      <w:r w:rsidR="00181C7D" w:rsidRPr="0004541D">
        <w:rPr>
          <w:lang w:val="en-GB"/>
        </w:rPr>
        <w:t>vernment support</w:t>
      </w:r>
      <w:r w:rsidR="00181C7D">
        <w:rPr>
          <w:lang w:val="en-GB"/>
        </w:rPr>
        <w:t xml:space="preserve">, and low impact on </w:t>
      </w:r>
      <w:r w:rsidR="00181C7D" w:rsidRPr="0004541D">
        <w:rPr>
          <w:lang w:val="en-GB"/>
        </w:rPr>
        <w:t>travel restriction</w:t>
      </w:r>
      <w:r w:rsidR="00181C7D">
        <w:rPr>
          <w:lang w:val="en-GB"/>
        </w:rPr>
        <w:t xml:space="preserve">s, </w:t>
      </w:r>
      <w:r w:rsidR="00181C7D" w:rsidRPr="0004541D">
        <w:rPr>
          <w:lang w:val="en-GB"/>
        </w:rPr>
        <w:t>lockdow</w:t>
      </w:r>
      <w:r w:rsidR="00181C7D">
        <w:rPr>
          <w:lang w:val="en-GB"/>
        </w:rPr>
        <w:t xml:space="preserve">n, </w:t>
      </w:r>
      <w:r w:rsidR="00181C7D" w:rsidRPr="0004541D">
        <w:rPr>
          <w:lang w:val="en-GB"/>
        </w:rPr>
        <w:t>supply chain interruption</w:t>
      </w:r>
      <w:r w:rsidR="00181C7D">
        <w:rPr>
          <w:lang w:val="en-GB"/>
        </w:rPr>
        <w:t xml:space="preserve">, </w:t>
      </w:r>
      <w:r w:rsidR="00181C7D" w:rsidRPr="0004541D">
        <w:rPr>
          <w:lang w:val="en-GB"/>
        </w:rPr>
        <w:t>reduced consumption</w:t>
      </w:r>
      <w:r w:rsidR="00181C7D">
        <w:rPr>
          <w:lang w:val="en-GB"/>
        </w:rPr>
        <w:t xml:space="preserve"> and </w:t>
      </w:r>
      <w:r w:rsidR="00181C7D" w:rsidRPr="0004541D">
        <w:rPr>
          <w:lang w:val="en-GB"/>
        </w:rPr>
        <w:t>working capital pressure</w:t>
      </w:r>
      <w:r>
        <w:rPr>
          <w:lang w:val="en-GB"/>
        </w:rPr>
        <w:t xml:space="preserve">. Of course, all this refers to the situation as of 31 May. However, </w:t>
      </w:r>
      <w:r w:rsidR="004679F5">
        <w:rPr>
          <w:lang w:val="en-GB"/>
        </w:rPr>
        <w:t>to</w:t>
      </w:r>
      <w:r>
        <w:rPr>
          <w:lang w:val="en-GB"/>
        </w:rPr>
        <w:t xml:space="preserve"> be able to bett</w:t>
      </w:r>
      <w:r w:rsidR="0050587B">
        <w:rPr>
          <w:lang w:val="en-GB"/>
        </w:rPr>
        <w:t xml:space="preserve">er plan for the imminent future, the decision maker </w:t>
      </w:r>
      <w:r>
        <w:rPr>
          <w:lang w:val="en-GB"/>
        </w:rPr>
        <w:t>need</w:t>
      </w:r>
      <w:r w:rsidR="0050587B">
        <w:rPr>
          <w:lang w:val="en-GB"/>
        </w:rPr>
        <w:t>s</w:t>
      </w:r>
      <w:r>
        <w:rPr>
          <w:lang w:val="en-GB"/>
        </w:rPr>
        <w:t xml:space="preserve"> the fourth component of the Risk Quadruplet which is the causal impact on the critical variable of daily COVID-19 cases. In </w:t>
      </w:r>
      <w:r w:rsidR="008C35C2">
        <w:rPr>
          <w:lang w:val="en-GB"/>
        </w:rPr>
        <w:t>Illinois</w:t>
      </w:r>
      <w:r>
        <w:rPr>
          <w:lang w:val="en-GB"/>
        </w:rPr>
        <w:t xml:space="preserve"> precipitation and temperature are influencing COVID-19 cases primarily in a dark way and then in a positive way</w:t>
      </w:r>
      <w:r w:rsidR="003E0441">
        <w:rPr>
          <w:lang w:val="en-GB"/>
        </w:rPr>
        <w:t>, exactly like in California</w:t>
      </w:r>
      <w:r>
        <w:rPr>
          <w:lang w:val="en-GB"/>
        </w:rPr>
        <w:t xml:space="preserve">. This means that depending on the county, local authorities </w:t>
      </w:r>
      <w:r>
        <w:rPr>
          <w:lang w:val="en-GB"/>
        </w:rPr>
        <w:lastRenderedPageBreak/>
        <w:t xml:space="preserve">should be aware of the weather forecasts and expect either </w:t>
      </w:r>
      <w:r w:rsidR="008B05D1">
        <w:rPr>
          <w:lang w:val="en-GB"/>
        </w:rPr>
        <w:t>a same-</w:t>
      </w:r>
      <w:r>
        <w:rPr>
          <w:lang w:val="en-GB"/>
        </w:rPr>
        <w:t>direction impact on the COVID-19 cases (positive causality) or</w:t>
      </w:r>
      <w:r w:rsidR="008B05D1">
        <w:rPr>
          <w:lang w:val="en-GB"/>
        </w:rPr>
        <w:t>, alternatively,</w:t>
      </w:r>
      <w:r>
        <w:rPr>
          <w:lang w:val="en-GB"/>
        </w:rPr>
        <w:t xml:space="preserve"> mixed oscillations (dark causality).</w:t>
      </w:r>
    </w:p>
    <w:p w14:paraId="47A46432" w14:textId="738437C3" w:rsidR="005262AC" w:rsidRDefault="00702064" w:rsidP="00594699">
      <w:pPr>
        <w:spacing w:before="120" w:after="120" w:line="360" w:lineRule="auto"/>
        <w:ind w:firstLine="284"/>
        <w:jc w:val="both"/>
        <w:rPr>
          <w:lang w:val="en-GB"/>
        </w:rPr>
      </w:pPr>
      <w:r w:rsidRPr="00845D0E">
        <w:rPr>
          <w:b/>
          <w:bCs/>
          <w:lang w:val="en-GB"/>
        </w:rPr>
        <w:t xml:space="preserve">The case of </w:t>
      </w:r>
      <w:r w:rsidR="00041C39">
        <w:rPr>
          <w:b/>
          <w:bCs/>
          <w:lang w:val="en-GB"/>
        </w:rPr>
        <w:t>New York</w:t>
      </w:r>
      <w:r>
        <w:rPr>
          <w:lang w:val="en-GB"/>
        </w:rPr>
        <w:t xml:space="preserve">. </w:t>
      </w:r>
      <w:r w:rsidR="002F0A03">
        <w:rPr>
          <w:lang w:val="en-GB"/>
        </w:rPr>
        <w:t xml:space="preserve">According </w:t>
      </w:r>
      <w:r w:rsidRPr="00B51FDF">
        <w:rPr>
          <w:b/>
          <w:lang w:val="en-GB"/>
        </w:rPr>
        <w:t>Fig</w:t>
      </w:r>
      <w:r w:rsidR="00F35931">
        <w:rPr>
          <w:b/>
          <w:lang w:val="en-GB"/>
        </w:rPr>
        <w:t>.</w:t>
      </w:r>
      <w:r w:rsidRPr="00B51FDF">
        <w:rPr>
          <w:b/>
          <w:lang w:val="en-GB"/>
        </w:rPr>
        <w:t xml:space="preserve"> 7</w:t>
      </w:r>
      <w:r w:rsidR="00103D8A" w:rsidRPr="0050587B">
        <w:rPr>
          <w:lang w:val="en-GB"/>
        </w:rPr>
        <w:t>,</w:t>
      </w:r>
      <w:r>
        <w:rPr>
          <w:lang w:val="en-GB"/>
        </w:rPr>
        <w:t xml:space="preserve"> daily COVID cases </w:t>
      </w:r>
      <w:r w:rsidR="00BF3248">
        <w:rPr>
          <w:lang w:val="en-GB"/>
        </w:rPr>
        <w:t>had been</w:t>
      </w:r>
      <w:r>
        <w:rPr>
          <w:lang w:val="en-GB"/>
        </w:rPr>
        <w:t xml:space="preserve"> increasing</w:t>
      </w:r>
      <w:r w:rsidR="00BF3248">
        <w:rPr>
          <w:lang w:val="en-GB"/>
        </w:rPr>
        <w:t xml:space="preserve"> until April</w:t>
      </w:r>
      <w:r w:rsidR="008B05D1">
        <w:rPr>
          <w:lang w:val="en-GB"/>
        </w:rPr>
        <w:t>, dropping</w:t>
      </w:r>
      <w:r w:rsidR="00AA6440">
        <w:rPr>
          <w:lang w:val="en-GB"/>
        </w:rPr>
        <w:t xml:space="preserve"> dramatically during May</w:t>
      </w:r>
      <w:r w:rsidR="00B51FDF">
        <w:rPr>
          <w:lang w:val="en-GB"/>
        </w:rPr>
        <w:t xml:space="preserve">. </w:t>
      </w:r>
      <w:r w:rsidR="00103D8A" w:rsidRPr="0050587B">
        <w:rPr>
          <w:lang w:val="en-GB"/>
        </w:rPr>
        <w:t>Setting</w:t>
      </w:r>
      <w:r w:rsidR="00B51FDF" w:rsidRPr="0050587B">
        <w:rPr>
          <w:lang w:val="en-GB"/>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eastAsiaTheme="minorEastAsia" w:hAnsi="Cambria Math"/>
          </w:rPr>
          <m:t>=1000</m:t>
        </m:r>
      </m:oMath>
      <w:r w:rsidR="00B51FDF">
        <w:rPr>
          <w:lang w:val="en-GB"/>
        </w:rPr>
        <w:t xml:space="preserve"> </w:t>
      </w:r>
      <w:r>
        <w:rPr>
          <w:lang w:val="en-GB"/>
        </w:rPr>
        <w:t xml:space="preserve">daily COVID-19 </w:t>
      </w:r>
      <w:r w:rsidR="00000922">
        <w:rPr>
          <w:lang w:val="en-GB"/>
        </w:rPr>
        <w:t>cases</w:t>
      </w:r>
      <w:r w:rsidR="0050587B">
        <w:rPr>
          <w:lang w:val="en-GB"/>
        </w:rPr>
        <w:t>, a</w:t>
      </w:r>
      <w:r>
        <w:rPr>
          <w:lang w:val="en-GB"/>
        </w:rPr>
        <w:t xml:space="preserve">s a result, </w:t>
      </w:r>
      <w:r w:rsidR="00BF3248">
        <w:rPr>
          <w:lang w:val="en-GB"/>
        </w:rPr>
        <w:t>New York</w:t>
      </w:r>
      <w:r>
        <w:rPr>
          <w:lang w:val="en-GB"/>
        </w:rPr>
        <w:t xml:space="preserve"> is</w:t>
      </w:r>
      <w:r w:rsidR="00BA349B">
        <w:rPr>
          <w:lang w:val="en-GB"/>
        </w:rPr>
        <w:t>, as of</w:t>
      </w:r>
      <w:r>
        <w:rPr>
          <w:lang w:val="en-GB"/>
        </w:rPr>
        <w:t xml:space="preserve"> May 31</w:t>
      </w:r>
      <w:r w:rsidR="00BA349B">
        <w:rPr>
          <w:lang w:val="en-GB"/>
        </w:rPr>
        <w:t>,</w:t>
      </w:r>
      <w:r>
        <w:rPr>
          <w:lang w:val="en-GB"/>
        </w:rPr>
        <w:t xml:space="preserve"> under Scenario </w:t>
      </w:r>
      <w:r w:rsidR="004576E9">
        <w:rPr>
          <w:lang w:val="en-GB"/>
        </w:rPr>
        <w:t>1</w:t>
      </w:r>
      <w:r>
        <w:rPr>
          <w:lang w:val="en-GB"/>
        </w:rPr>
        <w:t xml:space="preserve"> </w:t>
      </w:r>
      <w:r w:rsidR="00BA349B">
        <w:rPr>
          <w:lang w:val="en-GB"/>
        </w:rPr>
        <w:t>(“</w:t>
      </w:r>
      <w:r w:rsidR="00BD6AD5">
        <w:rPr>
          <w:lang w:val="en-GB"/>
        </w:rPr>
        <w:t>tolerable</w:t>
      </w:r>
      <w:r w:rsidR="00BA349B">
        <w:rPr>
          <w:lang w:val="en-GB"/>
        </w:rPr>
        <w:t>”)</w:t>
      </w:r>
      <w:r>
        <w:rPr>
          <w:lang w:val="en-GB"/>
        </w:rPr>
        <w:t xml:space="preserve">. Looking at the frequency distribution of COVID-19 cases in </w:t>
      </w:r>
      <w:r w:rsidR="00E03A93">
        <w:rPr>
          <w:lang w:val="en-GB"/>
        </w:rPr>
        <w:t>New York</w:t>
      </w:r>
      <w:r>
        <w:rPr>
          <w:lang w:val="en-GB"/>
        </w:rPr>
        <w:t xml:space="preserve"> </w:t>
      </w:r>
      <w:r w:rsidR="00103D8A" w:rsidRPr="0050587B">
        <w:rPr>
          <w:lang w:val="en-GB"/>
        </w:rPr>
        <w:t>reveals</w:t>
      </w:r>
      <w:r>
        <w:rPr>
          <w:lang w:val="en-GB"/>
        </w:rPr>
        <w:t xml:space="preserve"> a significant concentration between </w:t>
      </w:r>
      <w:r w:rsidR="000630D9">
        <w:rPr>
          <w:lang w:val="en-GB"/>
        </w:rPr>
        <w:t>up to 1000</w:t>
      </w:r>
      <w:r>
        <w:rPr>
          <w:lang w:val="en-GB"/>
        </w:rPr>
        <w:t xml:space="preserve"> cases per day</w:t>
      </w:r>
      <w:r w:rsidR="008B05D1">
        <w:rPr>
          <w:lang w:val="en-GB"/>
        </w:rPr>
        <w:t>,</w:t>
      </w:r>
      <w:r>
        <w:rPr>
          <w:lang w:val="en-GB"/>
        </w:rPr>
        <w:t xml:space="preserve"> a fact which renders the situation </w:t>
      </w:r>
      <w:r w:rsidR="000630D9">
        <w:rPr>
          <w:lang w:val="en-GB"/>
        </w:rPr>
        <w:t>very manageable</w:t>
      </w:r>
      <w:r>
        <w:rPr>
          <w:lang w:val="en-GB"/>
        </w:rPr>
        <w:t xml:space="preserve">. Being in scenario </w:t>
      </w:r>
      <w:r w:rsidR="003B6AFB">
        <w:rPr>
          <w:lang w:val="en-GB"/>
        </w:rPr>
        <w:t>1</w:t>
      </w:r>
      <w:r w:rsidR="008B05D1">
        <w:rPr>
          <w:lang w:val="en-GB"/>
        </w:rPr>
        <w:t>,</w:t>
      </w:r>
      <w:r>
        <w:rPr>
          <w:lang w:val="en-GB"/>
        </w:rPr>
        <w:t xml:space="preserve"> </w:t>
      </w:r>
      <w:r w:rsidR="00103D8A" w:rsidRPr="0050587B">
        <w:rPr>
          <w:lang w:val="en-GB"/>
        </w:rPr>
        <w:t>this suggests</w:t>
      </w:r>
      <w:r w:rsidRPr="0050587B">
        <w:rPr>
          <w:lang w:val="en-GB"/>
        </w:rPr>
        <w:t xml:space="preserve">, </w:t>
      </w:r>
      <w:r>
        <w:rPr>
          <w:lang w:val="en-GB"/>
        </w:rPr>
        <w:t xml:space="preserve">according to </w:t>
      </w:r>
      <w:r w:rsidRPr="00F5683E">
        <w:rPr>
          <w:b/>
          <w:lang w:val="en-GB"/>
        </w:rPr>
        <w:t xml:space="preserve">Table </w:t>
      </w:r>
      <w:r w:rsidR="00F35931">
        <w:rPr>
          <w:b/>
          <w:lang w:val="en-GB"/>
        </w:rPr>
        <w:t>I</w:t>
      </w:r>
      <w:r>
        <w:rPr>
          <w:lang w:val="en-GB"/>
        </w:rPr>
        <w:t>,</w:t>
      </w:r>
      <w:r w:rsidR="00737664">
        <w:rPr>
          <w:lang w:val="en-GB"/>
        </w:rPr>
        <w:t xml:space="preserve"> </w:t>
      </w:r>
      <w:r w:rsidR="00103D8A">
        <w:rPr>
          <w:lang w:val="en-GB"/>
        </w:rPr>
        <w:t xml:space="preserve">a </w:t>
      </w:r>
      <w:r w:rsidR="001D5F05" w:rsidRPr="0050587B">
        <w:rPr>
          <w:lang w:val="en-GB"/>
        </w:rPr>
        <w:t>medium impact on physical distancing and low impact on travel restrictions, face masks usage,</w:t>
      </w:r>
      <w:r w:rsidR="001D5F05">
        <w:rPr>
          <w:lang w:val="en-GB"/>
        </w:rPr>
        <w:t xml:space="preserve"> </w:t>
      </w:r>
      <w:r w:rsidR="001D5F05" w:rsidRPr="0004541D">
        <w:rPr>
          <w:lang w:val="en-GB"/>
        </w:rPr>
        <w:t>lockdow</w:t>
      </w:r>
      <w:r w:rsidR="001D5F05">
        <w:rPr>
          <w:lang w:val="en-GB"/>
        </w:rPr>
        <w:t xml:space="preserve">n, </w:t>
      </w:r>
      <w:r w:rsidR="001D5F05" w:rsidRPr="0004541D">
        <w:rPr>
          <w:lang w:val="en-GB"/>
        </w:rPr>
        <w:t>government support</w:t>
      </w:r>
      <w:r w:rsidR="001D5F05">
        <w:rPr>
          <w:lang w:val="en-GB"/>
        </w:rPr>
        <w:t xml:space="preserve">, </w:t>
      </w:r>
      <w:r w:rsidR="001D5F05" w:rsidRPr="0004541D">
        <w:rPr>
          <w:lang w:val="en-GB"/>
        </w:rPr>
        <w:t>supply chain interruption</w:t>
      </w:r>
      <w:r w:rsidR="001D5F05">
        <w:rPr>
          <w:lang w:val="en-GB"/>
        </w:rPr>
        <w:t xml:space="preserve">, </w:t>
      </w:r>
      <w:r w:rsidR="001D5F05" w:rsidRPr="0004541D">
        <w:rPr>
          <w:lang w:val="en-GB"/>
        </w:rPr>
        <w:t>reduced consumption</w:t>
      </w:r>
      <w:r w:rsidR="001D5F05">
        <w:rPr>
          <w:lang w:val="en-GB"/>
        </w:rPr>
        <w:t xml:space="preserve"> and </w:t>
      </w:r>
      <w:r w:rsidR="001D5F05" w:rsidRPr="0004541D">
        <w:rPr>
          <w:lang w:val="en-GB"/>
        </w:rPr>
        <w:t>working capital pressure</w:t>
      </w:r>
      <w:r>
        <w:rPr>
          <w:lang w:val="en-GB"/>
        </w:rPr>
        <w:t>. Of course, all this refers to the situation as of 31 May. However, in order to be able to bett</w:t>
      </w:r>
      <w:r w:rsidR="0050587B">
        <w:rPr>
          <w:lang w:val="en-GB"/>
        </w:rPr>
        <w:t>er plan for the imminent future, the decision maker</w:t>
      </w:r>
      <w:r>
        <w:rPr>
          <w:lang w:val="en-GB"/>
        </w:rPr>
        <w:t xml:space="preserve"> need</w:t>
      </w:r>
      <w:r w:rsidR="0050587B">
        <w:rPr>
          <w:lang w:val="en-GB"/>
        </w:rPr>
        <w:t>s</w:t>
      </w:r>
      <w:r>
        <w:rPr>
          <w:lang w:val="en-GB"/>
        </w:rPr>
        <w:t xml:space="preserve"> the fourth component of the Risk Quadruplet which is the causal impact on the critical variable of daily COVID-19 cases. In </w:t>
      </w:r>
      <w:r w:rsidR="008F24F5">
        <w:rPr>
          <w:lang w:val="en-GB"/>
        </w:rPr>
        <w:t>New York</w:t>
      </w:r>
      <w:r>
        <w:rPr>
          <w:lang w:val="en-GB"/>
        </w:rPr>
        <w:t xml:space="preserve"> precipitation </w:t>
      </w:r>
      <w:r w:rsidR="00727432">
        <w:rPr>
          <w:lang w:val="en-GB"/>
        </w:rPr>
        <w:t>is</w:t>
      </w:r>
      <w:r>
        <w:rPr>
          <w:lang w:val="en-GB"/>
        </w:rPr>
        <w:t xml:space="preserve"> influencing COVID-19 cases </w:t>
      </w:r>
      <w:r w:rsidR="00727432">
        <w:rPr>
          <w:lang w:val="en-GB"/>
        </w:rPr>
        <w:t>in all possible ways</w:t>
      </w:r>
      <w:r w:rsidR="008B05D1">
        <w:rPr>
          <w:lang w:val="en-GB"/>
        </w:rPr>
        <w:t>,</w:t>
      </w:r>
      <w:r w:rsidR="00A2055C">
        <w:rPr>
          <w:lang w:val="en-GB"/>
        </w:rPr>
        <w:t xml:space="preserve"> while temperature is </w:t>
      </w:r>
      <w:r w:rsidR="008B05D1">
        <w:rPr>
          <w:lang w:val="en-GB"/>
        </w:rPr>
        <w:t xml:space="preserve">motivating </w:t>
      </w:r>
      <w:r w:rsidR="00A2055C">
        <w:rPr>
          <w:lang w:val="en-GB"/>
        </w:rPr>
        <w:t>almost exclusively dark causality</w:t>
      </w:r>
      <w:r>
        <w:rPr>
          <w:lang w:val="en-GB"/>
        </w:rPr>
        <w:t xml:space="preserve">. This means that depending on the county, local authorities should be </w:t>
      </w:r>
      <w:r w:rsidR="00154A1C">
        <w:rPr>
          <w:lang w:val="en-GB"/>
        </w:rPr>
        <w:t xml:space="preserve">mostly alert on the precipitation due to its </w:t>
      </w:r>
      <w:r w:rsidR="00BD0BA3">
        <w:rPr>
          <w:lang w:val="en-GB"/>
        </w:rPr>
        <w:t>highly uncertain influence on the daily cases of COVID-19.</w:t>
      </w:r>
    </w:p>
    <w:p w14:paraId="530595EB" w14:textId="77777777" w:rsidR="00594699" w:rsidRPr="00594699" w:rsidRDefault="00594699" w:rsidP="00594699">
      <w:pPr>
        <w:spacing w:before="120" w:after="120" w:line="360" w:lineRule="auto"/>
        <w:ind w:firstLine="284"/>
        <w:jc w:val="both"/>
        <w:rPr>
          <w:lang w:val="en-GB"/>
        </w:rPr>
      </w:pPr>
    </w:p>
    <w:p w14:paraId="4253B65D" w14:textId="1844262B" w:rsidR="003B5B99" w:rsidRPr="003B5B99" w:rsidRDefault="007B6221" w:rsidP="003B5B99">
      <w:pPr>
        <w:pStyle w:val="ListParagraph"/>
        <w:numPr>
          <w:ilvl w:val="0"/>
          <w:numId w:val="1"/>
        </w:numPr>
        <w:spacing w:before="120" w:after="120" w:line="360" w:lineRule="auto"/>
        <w:jc w:val="both"/>
        <w:rPr>
          <w:rFonts w:ascii="Times New Roman" w:hAnsi="Times New Roman" w:cs="Times New Roman"/>
          <w:b/>
          <w:bCs/>
          <w:sz w:val="24"/>
          <w:szCs w:val="24"/>
        </w:rPr>
      </w:pPr>
      <w:r w:rsidRPr="007B6221">
        <w:rPr>
          <w:rFonts w:ascii="Times New Roman" w:hAnsi="Times New Roman" w:cs="Times New Roman"/>
          <w:b/>
          <w:bCs/>
          <w:sz w:val="24"/>
          <w:szCs w:val="24"/>
        </w:rPr>
        <w:t>Conclusion</w:t>
      </w:r>
    </w:p>
    <w:p w14:paraId="678E5900" w14:textId="7C2A4EA6" w:rsidR="00C4688B" w:rsidRDefault="00103D8A" w:rsidP="00C4688B">
      <w:pPr>
        <w:spacing w:before="120" w:after="120" w:line="360" w:lineRule="auto"/>
        <w:ind w:firstLine="284"/>
        <w:jc w:val="both"/>
        <w:rPr>
          <w:shd w:val="clear" w:color="auto" w:fill="FFFFFF"/>
        </w:rPr>
      </w:pPr>
      <w:r w:rsidRPr="0050587B">
        <w:rPr>
          <w:bCs/>
        </w:rPr>
        <w:t>This study</w:t>
      </w:r>
      <w:r w:rsidR="003B5B99" w:rsidRPr="0050587B">
        <w:rPr>
          <w:bCs/>
        </w:rPr>
        <w:t xml:space="preserve"> develop</w:t>
      </w:r>
      <w:r w:rsidRPr="0050587B">
        <w:rPr>
          <w:bCs/>
        </w:rPr>
        <w:t>s</w:t>
      </w:r>
      <w:r w:rsidR="003B5B99" w:rsidRPr="0050587B">
        <w:rPr>
          <w:bCs/>
        </w:rPr>
        <w:t xml:space="preserve"> </w:t>
      </w:r>
      <w:r w:rsidR="003B5B99">
        <w:rPr>
          <w:bCs/>
        </w:rPr>
        <w:t>a novel causal risk-based decision-making methodology to assist policy and decision makers to take the causal structure underlying a decisio</w:t>
      </w:r>
      <w:r w:rsidR="0090360A">
        <w:rPr>
          <w:bCs/>
        </w:rPr>
        <w:t>n</w:t>
      </w:r>
      <w:r w:rsidR="003B5B99">
        <w:rPr>
          <w:bCs/>
        </w:rPr>
        <w:t xml:space="preserve"> </w:t>
      </w:r>
      <w:r w:rsidR="00C4688B">
        <w:rPr>
          <w:bCs/>
        </w:rPr>
        <w:t xml:space="preserve">problem into account and infer the causal consequences of choosing the available options. The proposed methodology requires five main steps </w:t>
      </w:r>
      <w:r w:rsidR="0090360A">
        <w:rPr>
          <w:bCs/>
        </w:rPr>
        <w:t xml:space="preserve">to be performed </w:t>
      </w:r>
      <w:r w:rsidR="00B77EB3">
        <w:rPr>
          <w:bCs/>
        </w:rPr>
        <w:t>to</w:t>
      </w:r>
      <w:r w:rsidR="0090360A">
        <w:rPr>
          <w:bCs/>
        </w:rPr>
        <w:t xml:space="preserve"> </w:t>
      </w:r>
      <w:r w:rsidR="008B05D1">
        <w:rPr>
          <w:bCs/>
        </w:rPr>
        <w:t xml:space="preserve">allow </w:t>
      </w:r>
      <w:r w:rsidR="0090360A">
        <w:t>decision and policy makers</w:t>
      </w:r>
      <w:r w:rsidR="0090360A">
        <w:rPr>
          <w:bCs/>
        </w:rPr>
        <w:t xml:space="preserve"> </w:t>
      </w:r>
      <w:r w:rsidR="00C4688B">
        <w:rPr>
          <w:bCs/>
        </w:rPr>
        <w:t xml:space="preserve">to answer four </w:t>
      </w:r>
      <w:r w:rsidR="0090360A">
        <w:rPr>
          <w:bCs/>
        </w:rPr>
        <w:t xml:space="preserve">key </w:t>
      </w:r>
      <w:r w:rsidR="00C4688B">
        <w:rPr>
          <w:bCs/>
        </w:rPr>
        <w:t>questions</w:t>
      </w:r>
      <w:r w:rsidR="008B05D1">
        <w:rPr>
          <w:bCs/>
        </w:rPr>
        <w:t xml:space="preserve"> with the Risk Quadruplets</w:t>
      </w:r>
      <w:r w:rsidR="00C4688B">
        <w:rPr>
          <w:bCs/>
        </w:rPr>
        <w:t xml:space="preserve">: </w:t>
      </w:r>
      <w:r w:rsidR="00C4688B" w:rsidRPr="002F520B">
        <w:rPr>
          <w:shd w:val="clear" w:color="auto" w:fill="FFFFFF"/>
        </w:rPr>
        <w:t xml:space="preserve">(1) </w:t>
      </w:r>
      <w:r w:rsidR="00C4688B" w:rsidRPr="00F751DC">
        <w:rPr>
          <w:i/>
          <w:shd w:val="clear" w:color="auto" w:fill="FFFFFF"/>
        </w:rPr>
        <w:t>What can go wrong?</w:t>
      </w:r>
      <w:r w:rsidR="00C4688B" w:rsidRPr="002F520B">
        <w:rPr>
          <w:shd w:val="clear" w:color="auto" w:fill="FFFFFF"/>
        </w:rPr>
        <w:t xml:space="preserve"> (2) </w:t>
      </w:r>
      <w:r w:rsidR="00C4688B" w:rsidRPr="00F751DC">
        <w:rPr>
          <w:i/>
          <w:shd w:val="clear" w:color="auto" w:fill="FFFFFF"/>
        </w:rPr>
        <w:t>How likely is it?</w:t>
      </w:r>
      <w:r w:rsidR="00C4688B" w:rsidRPr="002F520B">
        <w:rPr>
          <w:shd w:val="clear" w:color="auto" w:fill="FFFFFF"/>
        </w:rPr>
        <w:t xml:space="preserve"> (3) </w:t>
      </w:r>
      <w:r w:rsidR="00C4688B" w:rsidRPr="00F751DC">
        <w:rPr>
          <w:i/>
          <w:shd w:val="clear" w:color="auto" w:fill="FFFFFF"/>
        </w:rPr>
        <w:t>What are the consequences?</w:t>
      </w:r>
      <w:r w:rsidR="00C4688B">
        <w:rPr>
          <w:shd w:val="clear" w:color="auto" w:fill="FFFFFF"/>
        </w:rPr>
        <w:t xml:space="preserve"> and (4) </w:t>
      </w:r>
      <w:r w:rsidR="00C4688B" w:rsidRPr="00D123DF">
        <w:rPr>
          <w:i/>
          <w:shd w:val="clear" w:color="auto" w:fill="FFFFFF"/>
        </w:rPr>
        <w:t xml:space="preserve">What </w:t>
      </w:r>
      <w:r w:rsidR="00C4688B">
        <w:rPr>
          <w:i/>
          <w:shd w:val="clear" w:color="auto" w:fill="FFFFFF"/>
        </w:rPr>
        <w:t>are</w:t>
      </w:r>
      <w:r w:rsidR="00C4688B" w:rsidRPr="00D123DF">
        <w:rPr>
          <w:i/>
          <w:shd w:val="clear" w:color="auto" w:fill="FFFFFF"/>
        </w:rPr>
        <w:t xml:space="preserve"> the </w:t>
      </w:r>
      <w:r w:rsidR="00C4688B" w:rsidRPr="00E5018D">
        <w:rPr>
          <w:i/>
          <w:shd w:val="clear" w:color="auto" w:fill="FFFFFF"/>
        </w:rPr>
        <w:t>causal relations</w:t>
      </w:r>
      <w:r w:rsidR="00C4688B" w:rsidRPr="00D123DF">
        <w:rPr>
          <w:i/>
          <w:shd w:val="clear" w:color="auto" w:fill="FFFFFF"/>
        </w:rPr>
        <w:t>?</w:t>
      </w:r>
      <w:r w:rsidR="0090360A">
        <w:rPr>
          <w:shd w:val="clear" w:color="auto" w:fill="FFFFFF"/>
        </w:rPr>
        <w:t xml:space="preserve"> </w:t>
      </w:r>
      <w:r w:rsidR="00C4688B">
        <w:rPr>
          <w:shd w:val="clear" w:color="auto" w:fill="FFFFFF"/>
        </w:rPr>
        <w:t xml:space="preserve"> </w:t>
      </w:r>
    </w:p>
    <w:p w14:paraId="2EE27945" w14:textId="423BFF19" w:rsidR="00CB3F5F" w:rsidRDefault="0090360A" w:rsidP="00CD65FF">
      <w:pPr>
        <w:spacing w:before="120" w:after="120" w:line="360" w:lineRule="auto"/>
        <w:ind w:firstLine="284"/>
        <w:jc w:val="both"/>
        <w:rPr>
          <w:rFonts w:eastAsia="Times New Roman"/>
          <w:color w:val="2E2E2E"/>
        </w:rPr>
      </w:pPr>
      <w:r>
        <w:t xml:space="preserve">To elaborate </w:t>
      </w:r>
      <w:r w:rsidR="008B05D1">
        <w:t xml:space="preserve">on </w:t>
      </w:r>
      <w:r>
        <w:t xml:space="preserve">the </w:t>
      </w:r>
      <w:r w:rsidR="00625791">
        <w:t xml:space="preserve">direct </w:t>
      </w:r>
      <w:r>
        <w:t>applicability and usefulness of our methodology,</w:t>
      </w:r>
      <w:r w:rsidR="0096404A">
        <w:t xml:space="preserve"> and in order to attempt to demonstrate the role of weather parameters on the </w:t>
      </w:r>
      <w:r w:rsidR="00855DC9">
        <w:t>formulation of the</w:t>
      </w:r>
      <w:r w:rsidR="0096404A">
        <w:t xml:space="preserve"> decision-making process in the US,</w:t>
      </w:r>
      <w:r>
        <w:t xml:space="preserve"> </w:t>
      </w:r>
      <w:r w:rsidRPr="009D3166">
        <w:rPr>
          <w:rFonts w:eastAsia="Times New Roman"/>
          <w:color w:val="2E2E2E"/>
        </w:rPr>
        <w:t>temperature and precipitation</w:t>
      </w:r>
      <w:r>
        <w:rPr>
          <w:rFonts w:eastAsia="Times New Roman"/>
          <w:color w:val="2E2E2E"/>
        </w:rPr>
        <w:t xml:space="preserve"> </w:t>
      </w:r>
      <w:r w:rsidR="007D57DA">
        <w:rPr>
          <w:rFonts w:eastAsia="Times New Roman"/>
          <w:color w:val="2E2E2E"/>
        </w:rPr>
        <w:t xml:space="preserve">data </w:t>
      </w:r>
      <w:r>
        <w:rPr>
          <w:rFonts w:eastAsia="Times New Roman"/>
          <w:color w:val="2E2E2E"/>
        </w:rPr>
        <w:t xml:space="preserve">as </w:t>
      </w:r>
      <w:r w:rsidR="00CA3A22" w:rsidRPr="00E5018D">
        <w:rPr>
          <w:rFonts w:eastAsia="Times New Roman"/>
          <w:color w:val="2E2E2E"/>
        </w:rPr>
        <w:t>representative</w:t>
      </w:r>
      <w:r w:rsidR="00CA3A22">
        <w:rPr>
          <w:rFonts w:eastAsia="Times New Roman"/>
          <w:color w:val="2E2E2E"/>
        </w:rPr>
        <w:t xml:space="preserve"> </w:t>
      </w:r>
      <w:r>
        <w:rPr>
          <w:rFonts w:eastAsia="Times New Roman"/>
          <w:color w:val="2E2E2E"/>
        </w:rPr>
        <w:t xml:space="preserve">proxies of the </w:t>
      </w:r>
      <w:r w:rsidR="007D57DA">
        <w:rPr>
          <w:rFonts w:eastAsia="Times New Roman"/>
          <w:color w:val="2E2E2E"/>
        </w:rPr>
        <w:t>weather</w:t>
      </w:r>
      <w:r>
        <w:rPr>
          <w:rFonts w:eastAsia="Times New Roman"/>
          <w:color w:val="2E2E2E"/>
        </w:rPr>
        <w:t xml:space="preserve"> conditions </w:t>
      </w:r>
      <w:r w:rsidR="007D57DA">
        <w:rPr>
          <w:rFonts w:eastAsia="Times New Roman"/>
          <w:color w:val="2E2E2E"/>
        </w:rPr>
        <w:t>were used to</w:t>
      </w:r>
      <w:r>
        <w:rPr>
          <w:rFonts w:eastAsia="Times New Roman"/>
          <w:color w:val="2E2E2E"/>
        </w:rPr>
        <w:t xml:space="preserve"> </w:t>
      </w:r>
      <w:r w:rsidR="00675DC8">
        <w:rPr>
          <w:rFonts w:eastAsia="Times New Roman"/>
          <w:color w:val="2E2E2E"/>
        </w:rPr>
        <w:t>apply</w:t>
      </w:r>
      <w:r>
        <w:rPr>
          <w:rFonts w:eastAsia="Times New Roman"/>
          <w:color w:val="2E2E2E"/>
        </w:rPr>
        <w:t xml:space="preserve"> </w:t>
      </w:r>
      <w:r w:rsidR="007D57DA">
        <w:rPr>
          <w:rFonts w:eastAsia="Times New Roman"/>
          <w:color w:val="2E2E2E"/>
        </w:rPr>
        <w:t>the proposed</w:t>
      </w:r>
      <w:r>
        <w:rPr>
          <w:rFonts w:eastAsia="Times New Roman"/>
          <w:color w:val="2E2E2E"/>
        </w:rPr>
        <w:t xml:space="preserve"> methodology and identify the causal interaction with </w:t>
      </w:r>
      <w:r>
        <w:t>the daily number of COVID-19 cases for the scenarios’ formulation</w:t>
      </w:r>
      <w:r w:rsidR="00CB3F5F" w:rsidRPr="00CB3F5F">
        <w:rPr>
          <w:rFonts w:eastAsia="Times New Roman"/>
          <w:color w:val="2E2E2E"/>
        </w:rPr>
        <w:t>; thereby not considering other factors where data are unavailable. The treatment proposed herein can be easily extended to including other factors once data on them become available.</w:t>
      </w:r>
    </w:p>
    <w:p w14:paraId="2B7AE2A1" w14:textId="77777777" w:rsidR="00CB3F5F" w:rsidRDefault="00CB3F5F" w:rsidP="00CD65FF">
      <w:pPr>
        <w:spacing w:before="120" w:after="120" w:line="360" w:lineRule="auto"/>
        <w:ind w:firstLine="284"/>
        <w:jc w:val="both"/>
        <w:rPr>
          <w:rFonts w:eastAsia="Times New Roman"/>
          <w:color w:val="2E2E2E"/>
        </w:rPr>
      </w:pPr>
    </w:p>
    <w:p w14:paraId="047748EC" w14:textId="415315DF" w:rsidR="00CD65FF" w:rsidRPr="00CD65FF" w:rsidRDefault="0090360A" w:rsidP="00CD65FF">
      <w:pPr>
        <w:spacing w:before="120" w:after="120" w:line="360" w:lineRule="auto"/>
        <w:ind w:firstLine="284"/>
        <w:jc w:val="both"/>
        <w:rPr>
          <w:iCs/>
        </w:rPr>
      </w:pPr>
      <w:r>
        <w:lastRenderedPageBreak/>
        <w:t>Th</w:t>
      </w:r>
      <w:r w:rsidR="006D3F7D">
        <w:t xml:space="preserve">is </w:t>
      </w:r>
      <w:r w:rsidR="007D57DA">
        <w:t xml:space="preserve">approach illustrates </w:t>
      </w:r>
      <w:r w:rsidR="006D3F7D">
        <w:t>enabl</w:t>
      </w:r>
      <w:r w:rsidR="007D57DA">
        <w:t>ing the</w:t>
      </w:r>
      <w:r w:rsidR="006D3F7D">
        <w:t xml:space="preserve"> </w:t>
      </w:r>
      <w:r w:rsidR="007D57DA">
        <w:t xml:space="preserve">appropriate </w:t>
      </w:r>
      <w:r>
        <w:t>adjust</w:t>
      </w:r>
      <w:r w:rsidR="007D57DA">
        <w:t>ment</w:t>
      </w:r>
      <w:r w:rsidR="00C4688B">
        <w:t xml:space="preserve"> </w:t>
      </w:r>
      <w:r w:rsidR="007D57DA">
        <w:t>of</w:t>
      </w:r>
      <w:r w:rsidR="00C4688B">
        <w:t xml:space="preserve"> measures to suppress the spread of COVID-19 </w:t>
      </w:r>
      <w:r w:rsidR="006D3F7D">
        <w:t xml:space="preserve">at </w:t>
      </w:r>
      <w:r w:rsidR="00C4688B">
        <w:t xml:space="preserve">the </w:t>
      </w:r>
      <w:r>
        <w:t xml:space="preserve">county, state and </w:t>
      </w:r>
      <w:r w:rsidR="00C4688B">
        <w:t xml:space="preserve">country </w:t>
      </w:r>
      <w:r>
        <w:t>level</w:t>
      </w:r>
      <w:r w:rsidR="006D3F7D">
        <w:t>s</w:t>
      </w:r>
      <w:r w:rsidR="00C4688B">
        <w:t xml:space="preserve">, and simultaneously </w:t>
      </w:r>
      <w:r w:rsidR="006D3F7D">
        <w:t xml:space="preserve">identify </w:t>
      </w:r>
      <w:r w:rsidR="00C4688B">
        <w:t>the actions needed to minimize the socioeconomic damage from the pandemic to several key sectors.</w:t>
      </w:r>
      <w:r w:rsidR="00625791">
        <w:t xml:space="preserve"> </w:t>
      </w:r>
      <w:r w:rsidR="00723E56">
        <w:t xml:space="preserve">Finally, the populous states of New York, California and Illinois have been considered in some detail to formulate the </w:t>
      </w:r>
      <w:r w:rsidR="00723E56" w:rsidRPr="00723E56">
        <w:rPr>
          <w:iCs/>
        </w:rPr>
        <w:t>risk quadruplet</w:t>
      </w:r>
      <w:r w:rsidR="00136106">
        <w:rPr>
          <w:iCs/>
        </w:rPr>
        <w:t xml:space="preserve">, and thus, arrange the consequences connected to each scenario proposed. </w:t>
      </w:r>
      <w:r w:rsidR="00CD65FF" w:rsidRPr="00CD65FF">
        <w:rPr>
          <w:rFonts w:eastAsia="Times New Roman"/>
          <w:color w:val="222222"/>
          <w:shd w:val="clear" w:color="auto" w:fill="FFFFFF"/>
        </w:rPr>
        <w:t xml:space="preserve">The results of the work are </w:t>
      </w:r>
      <w:proofErr w:type="gramStart"/>
      <w:r w:rsidR="00CD65FF" w:rsidRPr="00CD65FF">
        <w:rPr>
          <w:rFonts w:eastAsia="Times New Roman"/>
          <w:color w:val="222222"/>
          <w:shd w:val="clear" w:color="auto" w:fill="FFFFFF"/>
        </w:rPr>
        <w:t>actionable</w:t>
      </w:r>
      <w:r w:rsidR="00B873C8">
        <w:rPr>
          <w:rFonts w:eastAsia="Times New Roman"/>
          <w:color w:val="222222"/>
          <w:shd w:val="clear" w:color="auto" w:fill="FFFFFF"/>
        </w:rPr>
        <w:t>, and</w:t>
      </w:r>
      <w:proofErr w:type="gramEnd"/>
      <w:r w:rsidR="00B873C8">
        <w:rPr>
          <w:rFonts w:eastAsia="Times New Roman"/>
          <w:color w:val="222222"/>
          <w:shd w:val="clear" w:color="auto" w:fill="FFFFFF"/>
        </w:rPr>
        <w:t xml:space="preserve"> provide a basis</w:t>
      </w:r>
      <w:r w:rsidR="00B13572">
        <w:rPr>
          <w:rFonts w:eastAsia="Times New Roman"/>
          <w:color w:val="222222"/>
          <w:shd w:val="clear" w:color="auto" w:fill="FFFFFF"/>
        </w:rPr>
        <w:t xml:space="preserve"> for further research. </w:t>
      </w:r>
    </w:p>
    <w:p w14:paraId="138E4155" w14:textId="5B79563D" w:rsidR="00322A12" w:rsidRDefault="00322A12" w:rsidP="007D57DA">
      <w:pPr>
        <w:spacing w:before="120" w:after="120" w:line="360" w:lineRule="auto"/>
        <w:jc w:val="both"/>
      </w:pPr>
    </w:p>
    <w:p w14:paraId="58EE5134" w14:textId="10887AAF" w:rsidR="00705452" w:rsidRPr="000B3E6A" w:rsidRDefault="00362A21" w:rsidP="007D57DA">
      <w:pPr>
        <w:spacing w:before="120" w:after="120" w:line="360" w:lineRule="auto"/>
        <w:jc w:val="both"/>
      </w:pPr>
      <w:r>
        <w:rPr>
          <w:b/>
          <w:bCs/>
        </w:rPr>
        <w:t>References</w:t>
      </w:r>
    </w:p>
    <w:p w14:paraId="3AD23E82" w14:textId="4DF8D580" w:rsidR="00E70FE7" w:rsidRPr="00E70FE7" w:rsidRDefault="00705452" w:rsidP="00E70FE7">
      <w:pPr>
        <w:widowControl w:val="0"/>
        <w:autoSpaceDE w:val="0"/>
        <w:autoSpaceDN w:val="0"/>
        <w:adjustRightInd w:val="0"/>
        <w:spacing w:before="120" w:after="120" w:line="360" w:lineRule="auto"/>
        <w:ind w:left="480" w:hanging="480"/>
        <w:rPr>
          <w:noProof/>
        </w:rPr>
      </w:pPr>
      <w:r>
        <w:fldChar w:fldCharType="begin" w:fldLock="1"/>
      </w:r>
      <w:r>
        <w:instrText xml:space="preserve">ADDIN Mendeley Bibliography CSL_BIBLIOGRAPHY </w:instrText>
      </w:r>
      <w:r>
        <w:fldChar w:fldCharType="separate"/>
      </w:r>
      <w:r w:rsidR="00E70FE7" w:rsidRPr="00E70FE7">
        <w:rPr>
          <w:noProof/>
        </w:rPr>
        <w:t xml:space="preserve">Aven, T. (2012). Foundational Issues in Risk Assessment and Risk Management. </w:t>
      </w:r>
      <w:r w:rsidR="00E70FE7" w:rsidRPr="00E70FE7">
        <w:rPr>
          <w:i/>
          <w:iCs/>
          <w:noProof/>
        </w:rPr>
        <w:t>Risk Analysis</w:t>
      </w:r>
      <w:r w:rsidR="00E70FE7" w:rsidRPr="00E70FE7">
        <w:rPr>
          <w:noProof/>
        </w:rPr>
        <w:t xml:space="preserve">, </w:t>
      </w:r>
      <w:r w:rsidR="00E70FE7" w:rsidRPr="00E70FE7">
        <w:rPr>
          <w:i/>
          <w:iCs/>
          <w:noProof/>
        </w:rPr>
        <w:t>32</w:t>
      </w:r>
      <w:r w:rsidR="00E70FE7" w:rsidRPr="00E70FE7">
        <w:rPr>
          <w:noProof/>
        </w:rPr>
        <w:t>(10), 1647–1656. https://doi.org/10.1111/j.1539-6924.2012.01798.x</w:t>
      </w:r>
    </w:p>
    <w:p w14:paraId="2EB4DD3D"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Aven, T., &amp; Zio, E. (2014). Foundational Issues in Risk Assessment and Risk Management. </w:t>
      </w:r>
      <w:r w:rsidRPr="00E70FE7">
        <w:rPr>
          <w:i/>
          <w:iCs/>
          <w:noProof/>
        </w:rPr>
        <w:t>Risk Analysis</w:t>
      </w:r>
      <w:r w:rsidRPr="00E70FE7">
        <w:rPr>
          <w:noProof/>
        </w:rPr>
        <w:t xml:space="preserve">, </w:t>
      </w:r>
      <w:r w:rsidRPr="00E70FE7">
        <w:rPr>
          <w:i/>
          <w:iCs/>
          <w:noProof/>
        </w:rPr>
        <w:t>34</w:t>
      </w:r>
      <w:r w:rsidRPr="00E70FE7">
        <w:rPr>
          <w:noProof/>
        </w:rPr>
        <w:t>(7), 1164–1172. https://doi.org/10.1111/risa.12132</w:t>
      </w:r>
    </w:p>
    <w:p w14:paraId="6B984918" w14:textId="4F3638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Borasio, G. D., Gamondi, C., Obrist, M., Jox, R.</w:t>
      </w:r>
      <w:r w:rsidR="00D47350">
        <w:rPr>
          <w:noProof/>
        </w:rPr>
        <w:t xml:space="preserve"> (2020).</w:t>
      </w:r>
      <w:r w:rsidRPr="00E70FE7">
        <w:rPr>
          <w:noProof/>
        </w:rPr>
        <w:t xml:space="preserve"> COVID-19</w:t>
      </w:r>
      <w:r w:rsidR="00D47350">
        <w:rPr>
          <w:noProof/>
        </w:rPr>
        <w:t xml:space="preserve">: decision making and </w:t>
      </w:r>
      <w:r w:rsidRPr="00E70FE7">
        <w:rPr>
          <w:noProof/>
        </w:rPr>
        <w:t xml:space="preserve">palliative care. </w:t>
      </w:r>
      <w:r w:rsidRPr="00E70FE7">
        <w:rPr>
          <w:i/>
          <w:iCs/>
          <w:noProof/>
        </w:rPr>
        <w:t>Swiss Medical Weekly</w:t>
      </w:r>
      <w:r w:rsidRPr="00E70FE7">
        <w:rPr>
          <w:noProof/>
        </w:rPr>
        <w:t>. https://doi.org/10.4414/smw.2020.20233</w:t>
      </w:r>
    </w:p>
    <w:p w14:paraId="4C39190D"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Borgonovo, E., Cappelli, V., Maccheroni, F., &amp; Marinacci, M. (2018). Risk analysis and decision theory: A bridge. </w:t>
      </w:r>
      <w:r w:rsidRPr="00E70FE7">
        <w:rPr>
          <w:i/>
          <w:iCs/>
          <w:noProof/>
        </w:rPr>
        <w:t>European Journal of Operational Research</w:t>
      </w:r>
      <w:r w:rsidRPr="00E70FE7">
        <w:rPr>
          <w:noProof/>
        </w:rPr>
        <w:t xml:space="preserve">, </w:t>
      </w:r>
      <w:r w:rsidRPr="00E70FE7">
        <w:rPr>
          <w:i/>
          <w:iCs/>
          <w:noProof/>
        </w:rPr>
        <w:t>264</w:t>
      </w:r>
      <w:r w:rsidRPr="00E70FE7">
        <w:rPr>
          <w:noProof/>
        </w:rPr>
        <w:t>(1), 280–293. https://doi.org/10.1016/j.ejor.2017.06.059</w:t>
      </w:r>
    </w:p>
    <w:p w14:paraId="4582E0F6"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Casanova, L. M., Jeon, S., Rutala, W. A., Weber, D. J., &amp; Sobsey, M. D. (2010). Effects of Air Temperature and Relative Humidity on Coronavirus Survival on Surfaces. </w:t>
      </w:r>
      <w:r w:rsidRPr="00E70FE7">
        <w:rPr>
          <w:i/>
          <w:iCs/>
          <w:noProof/>
        </w:rPr>
        <w:t>Applied and Environmental Microbiology</w:t>
      </w:r>
      <w:r w:rsidRPr="00E70FE7">
        <w:rPr>
          <w:noProof/>
        </w:rPr>
        <w:t xml:space="preserve">, </w:t>
      </w:r>
      <w:r w:rsidRPr="00E70FE7">
        <w:rPr>
          <w:i/>
          <w:iCs/>
          <w:noProof/>
        </w:rPr>
        <w:t>76</w:t>
      </w:r>
      <w:r w:rsidRPr="00E70FE7">
        <w:rPr>
          <w:noProof/>
        </w:rPr>
        <w:t>(9), 2712–2717. https://doi.org/10.1128/AEM.02291-09</w:t>
      </w:r>
    </w:p>
    <w:p w14:paraId="48FD2405" w14:textId="58FEB24F"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Cohen, S. M</w:t>
      </w:r>
      <w:r w:rsidR="00897EBC">
        <w:rPr>
          <w:noProof/>
        </w:rPr>
        <w:t>.</w:t>
      </w:r>
      <w:r w:rsidRPr="00E70FE7">
        <w:rPr>
          <w:noProof/>
        </w:rPr>
        <w:t xml:space="preserve"> </w:t>
      </w:r>
      <w:r w:rsidR="00897EBC">
        <w:rPr>
          <w:noProof/>
        </w:rPr>
        <w:t>&amp;</w:t>
      </w:r>
      <w:r w:rsidRPr="00E70FE7">
        <w:rPr>
          <w:noProof/>
        </w:rPr>
        <w:t xml:space="preserve"> Reeve, C. D. C. (2020). </w:t>
      </w:r>
      <w:r w:rsidRPr="00E70FE7">
        <w:rPr>
          <w:i/>
          <w:iCs/>
          <w:noProof/>
        </w:rPr>
        <w:t>Aristotle’s Metaphysics</w:t>
      </w:r>
      <w:r w:rsidRPr="00E70FE7">
        <w:rPr>
          <w:noProof/>
        </w:rPr>
        <w:t xml:space="preserve"> (Edward N. Zalta (ed.); Winter 202). Metaphysics Research Lab, Stanford University.</w:t>
      </w:r>
    </w:p>
    <w:p w14:paraId="325BA7D0"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Cornblatt, C. (2020). Guiguzi, China’s First Treatise on Rhetoric: A Critical Translation and Commentary. </w:t>
      </w:r>
      <w:r w:rsidRPr="00E70FE7">
        <w:rPr>
          <w:i/>
          <w:iCs/>
          <w:noProof/>
        </w:rPr>
        <w:t>Technical Communication Quarterly</w:t>
      </w:r>
      <w:r w:rsidRPr="00E70FE7">
        <w:rPr>
          <w:noProof/>
        </w:rPr>
        <w:t xml:space="preserve">, </w:t>
      </w:r>
      <w:r w:rsidRPr="00E70FE7">
        <w:rPr>
          <w:i/>
          <w:iCs/>
          <w:noProof/>
        </w:rPr>
        <w:t>29</w:t>
      </w:r>
      <w:r w:rsidRPr="00E70FE7">
        <w:rPr>
          <w:noProof/>
        </w:rPr>
        <w:t>(1), 110–113. https://doi.org/10.1080/10572252.2019.1669967</w:t>
      </w:r>
    </w:p>
    <w:p w14:paraId="0141A1CB"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Crawford, G., &amp; Sen, B. (1996). </w:t>
      </w:r>
      <w:r w:rsidRPr="00E70FE7">
        <w:rPr>
          <w:i/>
          <w:iCs/>
          <w:noProof/>
        </w:rPr>
        <w:t>Derivatives for decision makers : strategic management issues</w:t>
      </w:r>
      <w:r w:rsidRPr="00E70FE7">
        <w:rPr>
          <w:noProof/>
        </w:rPr>
        <w:t>. John Wiley &amp; Sons.</w:t>
      </w:r>
    </w:p>
    <w:p w14:paraId="4DE8AA4F"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Gerber, M., Hunger, H., &amp; Pingree, D. (2001). Astral Sciences in Mesopotamia. </w:t>
      </w:r>
      <w:r w:rsidRPr="00E70FE7">
        <w:rPr>
          <w:i/>
          <w:iCs/>
          <w:noProof/>
        </w:rPr>
        <w:t xml:space="preserve">Journal of </w:t>
      </w:r>
      <w:r w:rsidRPr="00E70FE7">
        <w:rPr>
          <w:i/>
          <w:iCs/>
          <w:noProof/>
        </w:rPr>
        <w:lastRenderedPageBreak/>
        <w:t>the American Oriental Society</w:t>
      </w:r>
      <w:r w:rsidRPr="00E70FE7">
        <w:rPr>
          <w:noProof/>
        </w:rPr>
        <w:t xml:space="preserve">, </w:t>
      </w:r>
      <w:r w:rsidRPr="00E70FE7">
        <w:rPr>
          <w:i/>
          <w:iCs/>
          <w:noProof/>
        </w:rPr>
        <w:t>121</w:t>
      </w:r>
      <w:r w:rsidRPr="00E70FE7">
        <w:rPr>
          <w:noProof/>
        </w:rPr>
        <w:t>(2), 317. https://doi.org/10.2307/606596</w:t>
      </w:r>
    </w:p>
    <w:p w14:paraId="71DA7010"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Gupta, S., Raghuwanshi, G. S., &amp; Chanda, A. (2020). Effect of weather on COVID-19 spread in the US: A prediction model for India in 2020. </w:t>
      </w:r>
      <w:r w:rsidRPr="00E70FE7">
        <w:rPr>
          <w:i/>
          <w:iCs/>
          <w:noProof/>
        </w:rPr>
        <w:t>Science of The Total Environment</w:t>
      </w:r>
      <w:r w:rsidRPr="00E70FE7">
        <w:rPr>
          <w:noProof/>
        </w:rPr>
        <w:t xml:space="preserve">, </w:t>
      </w:r>
      <w:r w:rsidRPr="00E70FE7">
        <w:rPr>
          <w:i/>
          <w:iCs/>
          <w:noProof/>
        </w:rPr>
        <w:t>728</w:t>
      </w:r>
      <w:r w:rsidRPr="00E70FE7">
        <w:rPr>
          <w:noProof/>
        </w:rPr>
        <w:t>, 138860. https://doi.org/10.1016/j.scitotenv.2020.138860</w:t>
      </w:r>
    </w:p>
    <w:p w14:paraId="640A1989"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Hagmayer, Y., &amp; Fernbach, P. (2017). Causality in Decision-Making. In M. R. Waldmann (Ed.), </w:t>
      </w:r>
      <w:r w:rsidRPr="00E70FE7">
        <w:rPr>
          <w:i/>
          <w:iCs/>
          <w:noProof/>
        </w:rPr>
        <w:t>Oxford Handbook of Causal Reasoning</w:t>
      </w:r>
      <w:r w:rsidRPr="00E70FE7">
        <w:rPr>
          <w:noProof/>
        </w:rPr>
        <w:t xml:space="preserve"> (Vol. 1, Issue March 2018, pp. 1–32). Oxford University Press. http://oxfordhandbooks.com/view/10.1093/oxfordhb/9780199399550.001.0001/oxfordhb-9780199399550-e-27</w:t>
      </w:r>
    </w:p>
    <w:p w14:paraId="72828332" w14:textId="55E379F4" w:rsid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Hanna, T. P., Evans, G. A., </w:t>
      </w:r>
      <w:r w:rsidR="00897EBC">
        <w:rPr>
          <w:noProof/>
        </w:rPr>
        <w:t>and</w:t>
      </w:r>
      <w:r w:rsidRPr="00E70FE7">
        <w:rPr>
          <w:noProof/>
        </w:rPr>
        <w:t xml:space="preserve"> Booth, C. M. (2020). Cancer, COVID-19 and the precautionary principle: prioritizing treatment during a global pandemic. </w:t>
      </w:r>
      <w:r w:rsidRPr="00E70FE7">
        <w:rPr>
          <w:i/>
          <w:iCs/>
          <w:noProof/>
        </w:rPr>
        <w:t>Nature Reviews Clinical Oncology</w:t>
      </w:r>
      <w:r w:rsidRPr="00E70FE7">
        <w:rPr>
          <w:noProof/>
        </w:rPr>
        <w:t xml:space="preserve">, </w:t>
      </w:r>
      <w:r w:rsidRPr="00E70FE7">
        <w:rPr>
          <w:i/>
          <w:iCs/>
          <w:noProof/>
        </w:rPr>
        <w:t>17</w:t>
      </w:r>
      <w:r w:rsidRPr="00E70FE7">
        <w:rPr>
          <w:noProof/>
        </w:rPr>
        <w:t>(5), 268–270. https://doi.org/10.1038/s41571-020-0362-6</w:t>
      </w:r>
    </w:p>
    <w:p w14:paraId="0451A6AA" w14:textId="752F20CF" w:rsidR="00E80C13" w:rsidRPr="00E70FE7" w:rsidRDefault="00E80C13" w:rsidP="00E70FE7">
      <w:pPr>
        <w:widowControl w:val="0"/>
        <w:autoSpaceDE w:val="0"/>
        <w:autoSpaceDN w:val="0"/>
        <w:adjustRightInd w:val="0"/>
        <w:spacing w:before="120" w:after="120" w:line="360" w:lineRule="auto"/>
        <w:ind w:left="480" w:hanging="480"/>
        <w:rPr>
          <w:noProof/>
        </w:rPr>
      </w:pPr>
      <w:r w:rsidRPr="00773333">
        <w:rPr>
          <w:rFonts w:eastAsia="Times New Roman"/>
          <w:color w:val="222222"/>
          <w:shd w:val="clear" w:color="auto" w:fill="FFFFFF"/>
        </w:rPr>
        <w:t>Howard</w:t>
      </w:r>
      <w:r>
        <w:rPr>
          <w:rFonts w:eastAsia="Times New Roman"/>
          <w:color w:val="222222"/>
          <w:shd w:val="clear" w:color="auto" w:fill="FFFFFF"/>
        </w:rPr>
        <w:t>,</w:t>
      </w:r>
      <w:r w:rsidRPr="00773333">
        <w:rPr>
          <w:rFonts w:eastAsia="Times New Roman"/>
          <w:color w:val="222222"/>
          <w:shd w:val="clear" w:color="auto" w:fill="FFFFFF"/>
        </w:rPr>
        <w:t xml:space="preserve"> R</w:t>
      </w:r>
      <w:r>
        <w:rPr>
          <w:rFonts w:eastAsia="Times New Roman"/>
          <w:color w:val="222222"/>
          <w:shd w:val="clear" w:color="auto" w:fill="FFFFFF"/>
        </w:rPr>
        <w:t>.</w:t>
      </w:r>
      <w:r w:rsidRPr="00773333">
        <w:rPr>
          <w:rFonts w:eastAsia="Times New Roman"/>
          <w:color w:val="222222"/>
          <w:shd w:val="clear" w:color="auto" w:fill="FFFFFF"/>
        </w:rPr>
        <w:t>A.</w:t>
      </w:r>
      <w:r>
        <w:rPr>
          <w:rFonts w:eastAsia="Times New Roman"/>
          <w:color w:val="222222"/>
          <w:shd w:val="clear" w:color="auto" w:fill="FFFFFF"/>
        </w:rPr>
        <w:t xml:space="preserve"> (1988).</w:t>
      </w:r>
      <w:r w:rsidRPr="00773333">
        <w:rPr>
          <w:rFonts w:eastAsia="Times New Roman"/>
          <w:color w:val="222222"/>
          <w:shd w:val="clear" w:color="auto" w:fill="FFFFFF"/>
        </w:rPr>
        <w:t xml:space="preserve"> Decision analysis: practice and promise. Management Science, </w:t>
      </w:r>
      <w:r w:rsidRPr="00E80C13">
        <w:rPr>
          <w:rFonts w:eastAsia="Times New Roman"/>
          <w:i/>
          <w:iCs/>
          <w:color w:val="222222"/>
          <w:shd w:val="clear" w:color="auto" w:fill="FFFFFF"/>
        </w:rPr>
        <w:t>34</w:t>
      </w:r>
      <w:r w:rsidRPr="00773333">
        <w:rPr>
          <w:rFonts w:eastAsia="Times New Roman"/>
          <w:color w:val="222222"/>
          <w:shd w:val="clear" w:color="auto" w:fill="FFFFFF"/>
        </w:rPr>
        <w:t>(6): 679-</w:t>
      </w:r>
      <w:r>
        <w:rPr>
          <w:rFonts w:eastAsia="Times New Roman"/>
          <w:color w:val="222222"/>
          <w:shd w:val="clear" w:color="auto" w:fill="FFFFFF"/>
        </w:rPr>
        <w:t>6</w:t>
      </w:r>
      <w:r w:rsidRPr="00773333">
        <w:rPr>
          <w:rFonts w:eastAsia="Times New Roman"/>
          <w:color w:val="222222"/>
          <w:shd w:val="clear" w:color="auto" w:fill="FFFFFF"/>
        </w:rPr>
        <w:t>95.</w:t>
      </w:r>
      <w:r>
        <w:rPr>
          <w:rFonts w:eastAsia="Times New Roman"/>
          <w:color w:val="222222"/>
          <w:shd w:val="clear" w:color="auto" w:fill="FFFFFF"/>
        </w:rPr>
        <w:t xml:space="preserve"> </w:t>
      </w:r>
      <w:hyperlink r:id="rId33" w:history="1">
        <w:r w:rsidR="00C54E69" w:rsidRPr="00C54E69">
          <w:rPr>
            <w:rStyle w:val="Hyperlink"/>
            <w:color w:val="003896"/>
            <w:shd w:val="clear" w:color="auto" w:fill="FAFAFA"/>
          </w:rPr>
          <w:t>https://doi.org/10.1287/mnsc.34.6.679</w:t>
        </w:r>
      </w:hyperlink>
    </w:p>
    <w:p w14:paraId="13EFFA9F"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Kantz, H., &amp; Schreiber, T. (2003). </w:t>
      </w:r>
      <w:r w:rsidRPr="00E70FE7">
        <w:rPr>
          <w:i/>
          <w:iCs/>
          <w:noProof/>
        </w:rPr>
        <w:t>Nonlinear Time Series Analysis</w:t>
      </w:r>
      <w:r w:rsidRPr="00E70FE7">
        <w:rPr>
          <w:noProof/>
        </w:rPr>
        <w:t>. Cambridge University Press. https://doi.org/10.1017/CBO9780511755798</w:t>
      </w:r>
    </w:p>
    <w:p w14:paraId="786E5723" w14:textId="5610BAEC"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Kaplan, S</w:t>
      </w:r>
      <w:r w:rsidR="00897EBC">
        <w:rPr>
          <w:noProof/>
        </w:rPr>
        <w:t>.</w:t>
      </w:r>
      <w:r w:rsidRPr="00E70FE7">
        <w:rPr>
          <w:noProof/>
        </w:rPr>
        <w:t xml:space="preserve"> (1997). The Words of Risk Analysis. </w:t>
      </w:r>
      <w:r w:rsidRPr="00E70FE7">
        <w:rPr>
          <w:i/>
          <w:iCs/>
          <w:noProof/>
        </w:rPr>
        <w:t>Risk Analysis</w:t>
      </w:r>
      <w:r w:rsidRPr="00E70FE7">
        <w:rPr>
          <w:noProof/>
        </w:rPr>
        <w:t xml:space="preserve">, </w:t>
      </w:r>
      <w:r w:rsidRPr="00E70FE7">
        <w:rPr>
          <w:i/>
          <w:iCs/>
          <w:noProof/>
        </w:rPr>
        <w:t>17</w:t>
      </w:r>
      <w:r w:rsidRPr="00E70FE7">
        <w:rPr>
          <w:noProof/>
        </w:rPr>
        <w:t>(4), 407–417. https://doi.org/10.1111/j.1539-6924.1997.tb00881.x</w:t>
      </w:r>
    </w:p>
    <w:p w14:paraId="552ADDE6" w14:textId="3D0B2FC8" w:rsidR="00FF02E8" w:rsidRDefault="00E70FE7" w:rsidP="00FF02E8">
      <w:pPr>
        <w:widowControl w:val="0"/>
        <w:autoSpaceDE w:val="0"/>
        <w:autoSpaceDN w:val="0"/>
        <w:adjustRightInd w:val="0"/>
        <w:spacing w:before="120" w:after="120" w:line="360" w:lineRule="auto"/>
        <w:ind w:left="480" w:hanging="480"/>
        <w:rPr>
          <w:noProof/>
        </w:rPr>
      </w:pPr>
      <w:r w:rsidRPr="00E70FE7">
        <w:rPr>
          <w:noProof/>
        </w:rPr>
        <w:t>Kaplan, S</w:t>
      </w:r>
      <w:r w:rsidR="00897EBC">
        <w:rPr>
          <w:noProof/>
        </w:rPr>
        <w:t>.</w:t>
      </w:r>
      <w:r w:rsidRPr="00E70FE7">
        <w:rPr>
          <w:noProof/>
        </w:rPr>
        <w:t xml:space="preserve">, &amp; Garrick, B. J. (1981). On The Quantitative Definition of Risk. </w:t>
      </w:r>
      <w:r w:rsidRPr="00E70FE7">
        <w:rPr>
          <w:i/>
          <w:iCs/>
          <w:noProof/>
        </w:rPr>
        <w:t>Risk Analysis</w:t>
      </w:r>
      <w:r w:rsidRPr="00E70FE7">
        <w:rPr>
          <w:noProof/>
        </w:rPr>
        <w:t xml:space="preserve">, </w:t>
      </w:r>
      <w:r w:rsidRPr="00E70FE7">
        <w:rPr>
          <w:i/>
          <w:iCs/>
          <w:noProof/>
        </w:rPr>
        <w:t>1</w:t>
      </w:r>
      <w:r w:rsidRPr="00E70FE7">
        <w:rPr>
          <w:noProof/>
        </w:rPr>
        <w:t>(1), 11–27. https://doi.org/10.1111/j.1539-6924.1981.tb01350.x</w:t>
      </w:r>
    </w:p>
    <w:p w14:paraId="11C3F567" w14:textId="4597FD6D" w:rsidR="00B74A0A" w:rsidRPr="00B74A0A" w:rsidRDefault="00FF02E8" w:rsidP="00B74A0A">
      <w:pPr>
        <w:widowControl w:val="0"/>
        <w:autoSpaceDE w:val="0"/>
        <w:autoSpaceDN w:val="0"/>
        <w:adjustRightInd w:val="0"/>
        <w:spacing w:before="120" w:after="120" w:line="360" w:lineRule="auto"/>
        <w:ind w:left="480" w:hanging="480"/>
        <w:rPr>
          <w:rFonts w:eastAsia="Times New Roman"/>
          <w:shd w:val="clear" w:color="auto" w:fill="FFFFFF"/>
        </w:rPr>
      </w:pPr>
      <w:r w:rsidRPr="00B74A0A">
        <w:rPr>
          <w:rFonts w:eastAsia="Times New Roman"/>
          <w:shd w:val="clear" w:color="auto" w:fill="FFFFFF"/>
        </w:rPr>
        <w:t xml:space="preserve">Kontosakos V, Hwang S, Kallinterakis V, Pantelous AA. </w:t>
      </w:r>
      <w:r w:rsidR="00B74A0A" w:rsidRPr="00B74A0A">
        <w:rPr>
          <w:rFonts w:eastAsia="Times New Roman"/>
          <w:shd w:val="clear" w:color="auto" w:fill="FFFFFF"/>
        </w:rPr>
        <w:t xml:space="preserve">(2020) </w:t>
      </w:r>
      <w:r w:rsidRPr="00B74A0A">
        <w:rPr>
          <w:rFonts w:eastAsia="Times New Roman"/>
          <w:shd w:val="clear" w:color="auto" w:fill="FFFFFF"/>
        </w:rPr>
        <w:t>Disappointment Aversion and Long-Term Dynamic Asset Allocation. Available at SSRN 3270686, 2020: 1-75.</w:t>
      </w:r>
      <w:r w:rsidR="00B74A0A">
        <w:rPr>
          <w:rFonts w:eastAsia="Times New Roman"/>
          <w:shd w:val="clear" w:color="auto" w:fill="FFFFFF"/>
        </w:rPr>
        <w:t xml:space="preserve"> </w:t>
      </w:r>
      <w:r w:rsidR="00B74A0A" w:rsidRPr="00B74A0A">
        <w:rPr>
          <w:rFonts w:ascii="NexusSansWebPro" w:hAnsi="NexusSansWebPro"/>
          <w:shd w:val="clear" w:color="auto" w:fill="FFFFFF"/>
        </w:rPr>
        <w:t>http://dx.doi.org/10.2139/ssrn.3270686</w:t>
      </w:r>
    </w:p>
    <w:p w14:paraId="122A11FC"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Kumar, A., &amp; Nayar, K. R. (2020). COVID 19 and its mental health consequences. </w:t>
      </w:r>
      <w:r w:rsidRPr="00E70FE7">
        <w:rPr>
          <w:i/>
          <w:iCs/>
          <w:noProof/>
        </w:rPr>
        <w:t>Journal of Mental Health</w:t>
      </w:r>
      <w:r w:rsidRPr="00E70FE7">
        <w:rPr>
          <w:noProof/>
        </w:rPr>
        <w:t>, 1–2. https://doi.org/10.1080/09638237.2020.1757052</w:t>
      </w:r>
    </w:p>
    <w:p w14:paraId="73009BDA"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Lorenz, E. N. (2004). Deterministic Nonperiodic Flow. In </w:t>
      </w:r>
      <w:r w:rsidRPr="00E70FE7">
        <w:rPr>
          <w:i/>
          <w:iCs/>
          <w:noProof/>
        </w:rPr>
        <w:t>The Theory of Chaotic Attractors</w:t>
      </w:r>
      <w:r w:rsidRPr="00E70FE7">
        <w:rPr>
          <w:noProof/>
        </w:rPr>
        <w:t xml:space="preserve"> (pp. 25–36). Springer New York. https://doi.org/10.1007/978-0-387-21830-4_2</w:t>
      </w:r>
    </w:p>
    <w:p w14:paraId="13F7F9DF" w14:textId="77777777" w:rsidR="00021E2B" w:rsidRDefault="00E70FE7" w:rsidP="00021E2B">
      <w:pPr>
        <w:widowControl w:val="0"/>
        <w:autoSpaceDE w:val="0"/>
        <w:autoSpaceDN w:val="0"/>
        <w:adjustRightInd w:val="0"/>
        <w:spacing w:before="120" w:after="120" w:line="360" w:lineRule="auto"/>
        <w:ind w:left="480" w:hanging="480"/>
        <w:rPr>
          <w:noProof/>
        </w:rPr>
      </w:pPr>
      <w:r w:rsidRPr="00E70FE7">
        <w:rPr>
          <w:noProof/>
        </w:rPr>
        <w:t>Martens,</w:t>
      </w:r>
      <w:r w:rsidR="00621AD2">
        <w:rPr>
          <w:noProof/>
        </w:rPr>
        <w:t xml:space="preserve"> P.</w:t>
      </w:r>
      <w:r w:rsidRPr="00E70FE7">
        <w:rPr>
          <w:noProof/>
        </w:rPr>
        <w:t xml:space="preserve"> &amp; McMichael</w:t>
      </w:r>
      <w:r w:rsidR="00621AD2">
        <w:rPr>
          <w:noProof/>
        </w:rPr>
        <w:t xml:space="preserve">, </w:t>
      </w:r>
      <w:r w:rsidR="00621AD2" w:rsidRPr="00E70FE7">
        <w:rPr>
          <w:noProof/>
        </w:rPr>
        <w:t>A. J.</w:t>
      </w:r>
      <w:r w:rsidRPr="00E70FE7">
        <w:rPr>
          <w:noProof/>
        </w:rPr>
        <w:t xml:space="preserve">. (2002). </w:t>
      </w:r>
      <w:r w:rsidRPr="00E70FE7">
        <w:rPr>
          <w:i/>
          <w:iCs/>
          <w:noProof/>
        </w:rPr>
        <w:t>Environmental change, climate and health: issues and research methods</w:t>
      </w:r>
      <w:r w:rsidRPr="00E70FE7">
        <w:rPr>
          <w:noProof/>
        </w:rPr>
        <w:t xml:space="preserve"> (1st editio</w:t>
      </w:r>
      <w:r w:rsidR="00621AD2">
        <w:rPr>
          <w:noProof/>
        </w:rPr>
        <w:t>n</w:t>
      </w:r>
      <w:r w:rsidRPr="00E70FE7">
        <w:rPr>
          <w:noProof/>
        </w:rPr>
        <w:t>). Cambridge University Press.</w:t>
      </w:r>
    </w:p>
    <w:p w14:paraId="5FE832FE" w14:textId="5D59F12F" w:rsidR="00021E2B" w:rsidRDefault="005E7BFD" w:rsidP="00021E2B">
      <w:pPr>
        <w:widowControl w:val="0"/>
        <w:autoSpaceDE w:val="0"/>
        <w:autoSpaceDN w:val="0"/>
        <w:adjustRightInd w:val="0"/>
        <w:spacing w:before="120" w:after="120" w:line="360" w:lineRule="auto"/>
        <w:ind w:left="480" w:hanging="480"/>
      </w:pPr>
      <w:r w:rsidRPr="005E7BFD">
        <w:rPr>
          <w:rFonts w:eastAsia="Times New Roman"/>
          <w:color w:val="222222"/>
          <w:shd w:val="clear" w:color="auto" w:fill="FFFFFF"/>
        </w:rPr>
        <w:t xml:space="preserve">McGill WL, Ayyub BM, </w:t>
      </w:r>
      <w:proofErr w:type="spellStart"/>
      <w:r w:rsidRPr="005E7BFD">
        <w:rPr>
          <w:rFonts w:eastAsia="Times New Roman"/>
          <w:color w:val="222222"/>
          <w:shd w:val="clear" w:color="auto" w:fill="FFFFFF"/>
        </w:rPr>
        <w:t>Kaminskiy</w:t>
      </w:r>
      <w:proofErr w:type="spellEnd"/>
      <w:r w:rsidRPr="005E7BFD">
        <w:rPr>
          <w:rFonts w:eastAsia="Times New Roman"/>
          <w:color w:val="222222"/>
          <w:shd w:val="clear" w:color="auto" w:fill="FFFFFF"/>
        </w:rPr>
        <w:t xml:space="preserve"> M.</w:t>
      </w:r>
      <w:r>
        <w:rPr>
          <w:rFonts w:eastAsia="Times New Roman"/>
          <w:color w:val="222222"/>
          <w:shd w:val="clear" w:color="auto" w:fill="FFFFFF"/>
        </w:rPr>
        <w:t xml:space="preserve"> (2007)</w:t>
      </w:r>
      <w:r w:rsidRPr="005E7BFD">
        <w:rPr>
          <w:rFonts w:eastAsia="Times New Roman"/>
          <w:color w:val="222222"/>
          <w:shd w:val="clear" w:color="auto" w:fill="FFFFFF"/>
        </w:rPr>
        <w:t xml:space="preserve"> Risk analysis for critical asset protection. </w:t>
      </w:r>
      <w:r w:rsidRPr="005E7BFD">
        <w:rPr>
          <w:rFonts w:eastAsia="Times New Roman"/>
          <w:i/>
          <w:iCs/>
          <w:color w:val="222222"/>
          <w:shd w:val="clear" w:color="auto" w:fill="FFFFFF"/>
        </w:rPr>
        <w:lastRenderedPageBreak/>
        <w:t>Risk Analysis</w:t>
      </w:r>
      <w:r w:rsidRPr="005E7BFD">
        <w:rPr>
          <w:rFonts w:eastAsia="Times New Roman"/>
          <w:color w:val="222222"/>
          <w:shd w:val="clear" w:color="auto" w:fill="FFFFFF"/>
        </w:rPr>
        <w:t xml:space="preserve">, </w:t>
      </w:r>
      <w:r w:rsidRPr="005E7BFD">
        <w:rPr>
          <w:rFonts w:eastAsia="Times New Roman"/>
          <w:i/>
          <w:iCs/>
          <w:color w:val="222222"/>
          <w:shd w:val="clear" w:color="auto" w:fill="FFFFFF"/>
        </w:rPr>
        <w:t>27</w:t>
      </w:r>
      <w:r w:rsidRPr="005E7BFD">
        <w:rPr>
          <w:rFonts w:eastAsia="Times New Roman"/>
          <w:color w:val="222222"/>
          <w:shd w:val="clear" w:color="auto" w:fill="FFFFFF"/>
        </w:rPr>
        <w:t>(5)</w:t>
      </w:r>
      <w:r>
        <w:rPr>
          <w:rFonts w:eastAsia="Times New Roman"/>
          <w:color w:val="222222"/>
          <w:shd w:val="clear" w:color="auto" w:fill="FFFFFF"/>
        </w:rPr>
        <w:t xml:space="preserve">, </w:t>
      </w:r>
      <w:r w:rsidRPr="005E7BFD">
        <w:rPr>
          <w:rFonts w:eastAsia="Times New Roman"/>
          <w:color w:val="222222"/>
          <w:shd w:val="clear" w:color="auto" w:fill="FFFFFF"/>
        </w:rPr>
        <w:t>1265-1281.</w:t>
      </w:r>
      <w:r>
        <w:rPr>
          <w:rFonts w:eastAsia="Times New Roman"/>
          <w:color w:val="222222"/>
          <w:shd w:val="clear" w:color="auto" w:fill="FFFFFF"/>
        </w:rPr>
        <w:t xml:space="preserve"> </w:t>
      </w:r>
      <w:r w:rsidR="00021E2B" w:rsidRPr="00021E2B">
        <w:t>https://doi.org/10.1111/j.1539-6924.2007.00955.x</w:t>
      </w:r>
    </w:p>
    <w:p w14:paraId="1FCD79DE" w14:textId="4C4D70D8" w:rsidR="005E7BFD" w:rsidRPr="00E70FE7" w:rsidRDefault="00237E0A" w:rsidP="00A24782">
      <w:pPr>
        <w:widowControl w:val="0"/>
        <w:autoSpaceDE w:val="0"/>
        <w:autoSpaceDN w:val="0"/>
        <w:adjustRightInd w:val="0"/>
        <w:spacing w:before="120" w:after="120" w:line="360" w:lineRule="auto"/>
        <w:ind w:left="480" w:hanging="480"/>
        <w:rPr>
          <w:noProof/>
        </w:rPr>
      </w:pPr>
      <w:proofErr w:type="spellStart"/>
      <w:r w:rsidRPr="00773333">
        <w:rPr>
          <w:rFonts w:eastAsia="Times New Roman"/>
          <w:color w:val="222222"/>
          <w:shd w:val="clear" w:color="auto" w:fill="FFFFFF"/>
        </w:rPr>
        <w:t>Paté</w:t>
      </w:r>
      <w:proofErr w:type="spellEnd"/>
      <w:r w:rsidRPr="00773333">
        <w:rPr>
          <w:rFonts w:ascii="Calibri" w:eastAsia="Calibri" w:hAnsi="Calibri" w:cs="Calibri"/>
          <w:color w:val="222222"/>
          <w:shd w:val="clear" w:color="auto" w:fill="FFFFFF"/>
        </w:rPr>
        <w:t>‐</w:t>
      </w:r>
      <w:r w:rsidRPr="00773333">
        <w:rPr>
          <w:rFonts w:eastAsia="Times New Roman"/>
          <w:color w:val="222222"/>
          <w:shd w:val="clear" w:color="auto" w:fill="FFFFFF"/>
        </w:rPr>
        <w:t xml:space="preserve">Cornell E. </w:t>
      </w:r>
      <w:r>
        <w:rPr>
          <w:rFonts w:eastAsia="Times New Roman"/>
          <w:color w:val="222222"/>
          <w:shd w:val="clear" w:color="auto" w:fill="FFFFFF"/>
        </w:rPr>
        <w:t xml:space="preserve">(2012) </w:t>
      </w:r>
      <w:r w:rsidRPr="00773333">
        <w:rPr>
          <w:rFonts w:eastAsia="Times New Roman"/>
          <w:color w:val="222222"/>
          <w:shd w:val="clear" w:color="auto" w:fill="FFFFFF"/>
        </w:rPr>
        <w:t xml:space="preserve">On “Black Swans” and “Perfect Storms”: risk analysis and management when statistics are not enough. </w:t>
      </w:r>
      <w:r w:rsidRPr="00237E0A">
        <w:rPr>
          <w:rFonts w:eastAsia="Times New Roman"/>
          <w:i/>
          <w:iCs/>
          <w:color w:val="222222"/>
          <w:shd w:val="clear" w:color="auto" w:fill="FFFFFF"/>
        </w:rPr>
        <w:t>Risk Analysis</w:t>
      </w:r>
      <w:r>
        <w:rPr>
          <w:rFonts w:eastAsia="Times New Roman"/>
          <w:color w:val="222222"/>
          <w:shd w:val="clear" w:color="auto" w:fill="FFFFFF"/>
        </w:rPr>
        <w:t>,</w:t>
      </w:r>
      <w:r w:rsidRPr="00773333">
        <w:rPr>
          <w:rFonts w:eastAsia="Times New Roman"/>
          <w:color w:val="222222"/>
          <w:shd w:val="clear" w:color="auto" w:fill="FFFFFF"/>
        </w:rPr>
        <w:t xml:space="preserve"> </w:t>
      </w:r>
      <w:r w:rsidRPr="00237E0A">
        <w:rPr>
          <w:rFonts w:eastAsia="Times New Roman"/>
          <w:i/>
          <w:iCs/>
          <w:color w:val="222222"/>
          <w:shd w:val="clear" w:color="auto" w:fill="FFFFFF"/>
        </w:rPr>
        <w:t>32</w:t>
      </w:r>
      <w:r w:rsidRPr="00773333">
        <w:rPr>
          <w:rFonts w:eastAsia="Times New Roman"/>
          <w:color w:val="222222"/>
          <w:shd w:val="clear" w:color="auto" w:fill="FFFFFF"/>
        </w:rPr>
        <w:t>(11): 1823-1833.</w:t>
      </w:r>
      <w:r w:rsidR="00A24782">
        <w:rPr>
          <w:noProof/>
        </w:rPr>
        <w:t xml:space="preserve"> </w:t>
      </w:r>
      <w:r w:rsidR="00A24782" w:rsidRPr="00A24782">
        <w:rPr>
          <w:shd w:val="clear" w:color="auto" w:fill="FFFFFF"/>
        </w:rPr>
        <w:t>https://doi.org/10.1111/j.1539-6924.2011.01787.x</w:t>
      </w:r>
    </w:p>
    <w:p w14:paraId="24ECAD94" w14:textId="7777777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Peysakhovich, A., &amp; Karmarkar, U. R. (2016). Asymmetric Effects of Favorable and Unfavorable Information on Decision Making Under Ambiguity. </w:t>
      </w:r>
      <w:r w:rsidRPr="00E70FE7">
        <w:rPr>
          <w:i/>
          <w:iCs/>
          <w:noProof/>
        </w:rPr>
        <w:t>Management Science</w:t>
      </w:r>
      <w:r w:rsidRPr="00E70FE7">
        <w:rPr>
          <w:noProof/>
        </w:rPr>
        <w:t xml:space="preserve">, </w:t>
      </w:r>
      <w:r w:rsidRPr="00E70FE7">
        <w:rPr>
          <w:i/>
          <w:iCs/>
          <w:noProof/>
        </w:rPr>
        <w:t>62</w:t>
      </w:r>
      <w:r w:rsidRPr="00E70FE7">
        <w:rPr>
          <w:noProof/>
        </w:rPr>
        <w:t>(8), 2163–2178. https://doi.org/10.1287/mnsc.2015.2233</w:t>
      </w:r>
    </w:p>
    <w:p w14:paraId="26CBD990" w14:textId="46D14A2D"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Stavroglou, S. K., Pantelous, A. A., Stanley, H. E., </w:t>
      </w:r>
      <w:r w:rsidR="00897EBC">
        <w:rPr>
          <w:noProof/>
        </w:rPr>
        <w:t>and</w:t>
      </w:r>
      <w:r w:rsidRPr="00E70FE7">
        <w:rPr>
          <w:noProof/>
        </w:rPr>
        <w:t xml:space="preserve"> Zuev, K. M. (2019). Hidden interactions in financial markets. </w:t>
      </w:r>
      <w:r w:rsidRPr="00E70FE7">
        <w:rPr>
          <w:i/>
          <w:iCs/>
          <w:noProof/>
        </w:rPr>
        <w:t>Proceedings of the National Academy of Sciences</w:t>
      </w:r>
      <w:r w:rsidRPr="00E70FE7">
        <w:rPr>
          <w:noProof/>
        </w:rPr>
        <w:t xml:space="preserve">, </w:t>
      </w:r>
      <w:r w:rsidRPr="00E70FE7">
        <w:rPr>
          <w:i/>
          <w:iCs/>
          <w:noProof/>
        </w:rPr>
        <w:t>116</w:t>
      </w:r>
      <w:r w:rsidRPr="00E70FE7">
        <w:rPr>
          <w:noProof/>
        </w:rPr>
        <w:t>(22), 10646–10651. https://doi.org/10.1073/pnas.1819449116</w:t>
      </w:r>
    </w:p>
    <w:p w14:paraId="75663822" w14:textId="4FCF4A1E"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Stavroglou, S. K., Pantelous, A. A., Stanley, H. E., </w:t>
      </w:r>
      <w:r w:rsidR="00897EBC">
        <w:rPr>
          <w:noProof/>
        </w:rPr>
        <w:t>and</w:t>
      </w:r>
      <w:r w:rsidRPr="00E70FE7">
        <w:rPr>
          <w:noProof/>
        </w:rPr>
        <w:t xml:space="preserve"> Zuev, K. M. (2020). Unveiling causal interactions in complex systems. </w:t>
      </w:r>
      <w:r w:rsidRPr="00E70FE7">
        <w:rPr>
          <w:i/>
          <w:iCs/>
          <w:noProof/>
        </w:rPr>
        <w:t>Proceedings of the National Academy of Sciences</w:t>
      </w:r>
      <w:r w:rsidRPr="00E70FE7">
        <w:rPr>
          <w:noProof/>
        </w:rPr>
        <w:t xml:space="preserve">, </w:t>
      </w:r>
      <w:r w:rsidRPr="00E70FE7">
        <w:rPr>
          <w:i/>
          <w:iCs/>
          <w:noProof/>
        </w:rPr>
        <w:t>117</w:t>
      </w:r>
      <w:r w:rsidRPr="00E70FE7">
        <w:rPr>
          <w:noProof/>
        </w:rPr>
        <w:t>(14), 7599–7605. https://doi.org/10.1073/pnas.1918269117</w:t>
      </w:r>
    </w:p>
    <w:p w14:paraId="6D8473D9" w14:textId="535CD967" w:rsidR="00E70FE7" w:rsidRPr="00E70FE7" w:rsidRDefault="00E70FE7" w:rsidP="00E70FE7">
      <w:pPr>
        <w:widowControl w:val="0"/>
        <w:autoSpaceDE w:val="0"/>
        <w:autoSpaceDN w:val="0"/>
        <w:adjustRightInd w:val="0"/>
        <w:spacing w:before="120" w:after="120" w:line="360" w:lineRule="auto"/>
        <w:ind w:left="480" w:hanging="480"/>
        <w:rPr>
          <w:noProof/>
        </w:rPr>
      </w:pPr>
      <w:r w:rsidRPr="00E70FE7">
        <w:rPr>
          <w:noProof/>
        </w:rPr>
        <w:t xml:space="preserve">van Doremalen, N., Bushmaker, T., Morris, D. H., Holbrook, M. G., Gamble, A., Williamson, B. N., Tamin, A., Harcourt, J. L., Thornburg, N. J., Gerber, S. I., Lloyd-Smith, J. O., de Wit, E., </w:t>
      </w:r>
      <w:r w:rsidR="00897EBC">
        <w:rPr>
          <w:noProof/>
        </w:rPr>
        <w:t>and</w:t>
      </w:r>
      <w:r w:rsidRPr="00E70FE7">
        <w:rPr>
          <w:noProof/>
        </w:rPr>
        <w:t xml:space="preserve"> Munster, V. J. (2020). Aerosol and Surface Stability of SARS-CoV-2 as Compared with SARS-CoV-1. </w:t>
      </w:r>
      <w:r w:rsidRPr="00E70FE7">
        <w:rPr>
          <w:i/>
          <w:iCs/>
          <w:noProof/>
        </w:rPr>
        <w:t>New England Journal of Medicine</w:t>
      </w:r>
      <w:r w:rsidRPr="00E70FE7">
        <w:rPr>
          <w:noProof/>
        </w:rPr>
        <w:t xml:space="preserve">, </w:t>
      </w:r>
      <w:r w:rsidRPr="00E70FE7">
        <w:rPr>
          <w:i/>
          <w:iCs/>
          <w:noProof/>
        </w:rPr>
        <w:t>382</w:t>
      </w:r>
      <w:r w:rsidRPr="00E70FE7">
        <w:rPr>
          <w:noProof/>
        </w:rPr>
        <w:t>(16), 1564–1567. https://doi.org/10.1056/NEJMc2004973</w:t>
      </w:r>
    </w:p>
    <w:p w14:paraId="3704B7EF" w14:textId="608CCEFA" w:rsidR="00705452" w:rsidRPr="00B13572" w:rsidRDefault="00705452" w:rsidP="007D57DA">
      <w:pPr>
        <w:spacing w:before="120" w:after="120" w:line="360" w:lineRule="auto"/>
        <w:jc w:val="both"/>
      </w:pPr>
      <w:r>
        <w:fldChar w:fldCharType="end"/>
      </w:r>
    </w:p>
    <w:sectPr w:rsidR="00705452" w:rsidRPr="00B13572" w:rsidSect="0026681E">
      <w:footerReference w:type="default" r:id="rId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443DE" w14:textId="77777777" w:rsidR="00F80FC2" w:rsidRDefault="00F80FC2" w:rsidP="00B13B7C">
      <w:r>
        <w:separator/>
      </w:r>
    </w:p>
  </w:endnote>
  <w:endnote w:type="continuationSeparator" w:id="0">
    <w:p w14:paraId="06B7F745" w14:textId="77777777" w:rsidR="00F80FC2" w:rsidRDefault="00F80FC2" w:rsidP="00B13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xusSansWeb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523041"/>
      <w:docPartObj>
        <w:docPartGallery w:val="Page Numbers (Bottom of Page)"/>
        <w:docPartUnique/>
      </w:docPartObj>
    </w:sdtPr>
    <w:sdtEndPr>
      <w:rPr>
        <w:noProof/>
      </w:rPr>
    </w:sdtEndPr>
    <w:sdtContent>
      <w:p w14:paraId="03348D16" w14:textId="517AB868" w:rsidR="00EA2E5B" w:rsidRDefault="00EA2E5B">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36C7DC78" w14:textId="77777777" w:rsidR="00EA2E5B" w:rsidRDefault="00EA2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B454F" w14:textId="77777777" w:rsidR="00F80FC2" w:rsidRDefault="00F80FC2" w:rsidP="00B13B7C">
      <w:r>
        <w:separator/>
      </w:r>
    </w:p>
  </w:footnote>
  <w:footnote w:type="continuationSeparator" w:id="0">
    <w:p w14:paraId="161610DA" w14:textId="77777777" w:rsidR="00F80FC2" w:rsidRDefault="00F80FC2" w:rsidP="00B13B7C">
      <w:r>
        <w:continuationSeparator/>
      </w:r>
    </w:p>
  </w:footnote>
  <w:footnote w:id="1">
    <w:p w14:paraId="42601474" w14:textId="31A0C07C" w:rsidR="00EA2E5B" w:rsidRPr="00B07FB3" w:rsidRDefault="00EA2E5B" w:rsidP="00943D8A">
      <w:pPr>
        <w:pStyle w:val="FootnoteText"/>
        <w:jc w:val="both"/>
        <w:rPr>
          <w:rFonts w:ascii="Times New Roman" w:hAnsi="Times New Roman" w:cs="Times New Roman"/>
          <w:color w:val="0070C0"/>
          <w:lang w:val="en-GB"/>
        </w:rPr>
      </w:pPr>
      <w:r w:rsidRPr="001A2A6D">
        <w:rPr>
          <w:rStyle w:val="FootnoteReference"/>
          <w:rFonts w:ascii="Times New Roman" w:hAnsi="Times New Roman" w:cs="Times New Roman"/>
        </w:rPr>
        <w:footnoteRef/>
      </w:r>
      <w:r w:rsidRPr="001A2A6D">
        <w:rPr>
          <w:rFonts w:ascii="Times New Roman" w:hAnsi="Times New Roman" w:cs="Times New Roman"/>
        </w:rPr>
        <w:t xml:space="preserve"> </w:t>
      </w:r>
      <w:r w:rsidRPr="001A2A6D">
        <w:rPr>
          <w:rFonts w:ascii="Times New Roman" w:hAnsi="Times New Roman" w:cs="Times New Roman"/>
          <w:lang w:val="en-GB"/>
        </w:rPr>
        <w:t>We specifically focus on a new measure of causality instead of the standard correlation measure as the causal relationships hold explanatory power</w:t>
      </w:r>
      <w:r>
        <w:rPr>
          <w:rFonts w:ascii="Times New Roman" w:hAnsi="Times New Roman" w:cs="Times New Roman"/>
          <w:lang w:val="en-GB"/>
        </w:rPr>
        <w:t xml:space="preserve">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{"citationItems":[{"id":"ITEM-1","itemData":{"DOI":"10.1073/pnas.1819449116","ISSN":"0027-8424","abstract":"The hidden nature of causality is a puzzling, yet critical notion for effective decision-making. Financial markets are characterized by fluctuating interdependencies which seldom give rise to emergent phenomena such as bubbles or crashes. In this paper, we propose a method based on symbolic dynamics, which probes beneath the surface of abstract causality and unveils the nature of causal interactions. Our method allows distinction between positive and negative interdependencies as well as a hybrid form that we refer to as “dark causality.” We propose an algorithm which is validated by models of a priori defined causal interaction. Then, we test our method on asset pairs and on a network of sovereign credit default swaps (CDS). Our findings suggest that dark causality dominates the sovereign CDS network, indicating interdependencies which require caution from an investor’s perspective.","author":[{"dropping-particle":"","family":"Stavroglou","given":"Stavros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Sciences","id":"ITEM-1","issue":"22","issued":{"date-parts":[["2019","5","28"]]},"page":"10646-10651","title":"Hidden interactions in financial markets","type":"article-journal","volume":"116"},"uris":["http://www.mendeley.com/documents/?uuid=3566b0c4-ea7b-4f9b-97a4-34a9770b8f5d"]}],"mendeley":{"formattedCitation":"(Stavroglou et al., 2019)","plainTextFormattedCitation":"(Stavroglou et al., 2019)","previouslyFormattedCitation":"(Stavroglou et al., 2019)"},"properties":{"noteIndex":0},"schema":"https://github.com/citation-style-language/schema/raw/master/csl-citation.json"}</w:instrText>
      </w:r>
      <w:r>
        <w:rPr>
          <w:rFonts w:ascii="Times New Roman" w:hAnsi="Times New Roman" w:cs="Times New Roman"/>
          <w:lang w:val="en-GB"/>
        </w:rPr>
        <w:fldChar w:fldCharType="separate"/>
      </w:r>
      <w:r w:rsidRPr="0087160F">
        <w:rPr>
          <w:rFonts w:ascii="Times New Roman" w:hAnsi="Times New Roman" w:cs="Times New Roman"/>
          <w:noProof/>
          <w:lang w:val="en-GB"/>
        </w:rPr>
        <w:t>(Stavroglou et al., 2019)</w:t>
      </w:r>
      <w:r>
        <w:rPr>
          <w:rFonts w:ascii="Times New Roman" w:hAnsi="Times New Roman" w:cs="Times New Roman"/>
          <w:lang w:val="en-GB"/>
        </w:rPr>
        <w:fldChar w:fldCharType="end"/>
      </w:r>
      <w:r>
        <w:rPr>
          <w:rFonts w:ascii="Times New Roman" w:hAnsi="Times New Roman" w:cs="Times New Roman"/>
          <w:lang w:val="en-GB"/>
        </w:rPr>
        <w:t xml:space="preserve"> and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{"citationItems":[{"id":"ITEM-1","itemData":{"DOI":"10.1073/pnas.1918269117","ISSN":"0027-8424","abstract":"Throughout time, operational laws and concepts from complex systems have been employed to quantitatively model important aspects and interactions in nature and society. Nevertheless, it remains enigmatic and challenging, yet inspiring, to predict the actual interdependencies that comprise the structure of such systems, particularly when the causal interactions observed in real-world phenomena might be persistently hidden. In this article, we propose a robust methodology for detecting the latent and elusive structure of dynamic complex systems. Our treatment utilizes short-term predictions from information embedded in reconstructed state space. In this regard, using a broad class of real-world applications from ecology, neurology, and finance, we explore and are able to demonstrate our method’s power and accuracy to reconstruct the fundamental structure of these complex systems, and simultaneously highlight their most fundamental operations.","author":[{"dropping-particle":"","family":"Stavroglou","given":"Stavros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Sciences","id":"ITEM-1","issue":"14","issued":{"date-parts":[["2020","4","7"]]},"page":"7599-7605","title":"Unveiling causal interactions in complex systems","type":"article-journal","volume":"117"},"uris":["http://www.mendeley.com/documents/?uuid=e99ed506-cf92-4ad6-9c38-f423f3744143"]}],"mendeley":{"formattedCitation":"(Stavroglou et al., 2020)","plainTextFormattedCitation":"(Stavroglou et al., 2020)","previouslyFormattedCitation":"(Stavroglou et al., 2020)"},"properties":{"noteIndex":0},"schema":"https://github.com/citation-style-language/schema/raw/master/csl-citation.json"}</w:instrText>
      </w:r>
      <w:r>
        <w:rPr>
          <w:rFonts w:ascii="Times New Roman" w:hAnsi="Times New Roman" w:cs="Times New Roman"/>
          <w:lang w:val="en-GB"/>
        </w:rPr>
        <w:fldChar w:fldCharType="separate"/>
      </w:r>
      <w:r w:rsidRPr="0087160F">
        <w:rPr>
          <w:rFonts w:ascii="Times New Roman" w:hAnsi="Times New Roman" w:cs="Times New Roman"/>
          <w:noProof/>
          <w:lang w:val="en-GB"/>
        </w:rPr>
        <w:t>(Stavroglou et al., 2020)</w:t>
      </w:r>
      <w:r>
        <w:rPr>
          <w:rFonts w:ascii="Times New Roman" w:hAnsi="Times New Roman" w:cs="Times New Roman"/>
          <w:lang w:val="en-GB"/>
        </w:rPr>
        <w:fldChar w:fldCharType="end"/>
      </w:r>
      <w:r>
        <w:rPr>
          <w:rFonts w:ascii="Times New Roman" w:hAnsi="Times New Roman" w:cs="Times New Roman"/>
          <w:lang w:val="en-GB"/>
        </w:rPr>
        <w:t xml:space="preserve"> </w:t>
      </w:r>
      <w:r w:rsidRPr="001A2A6D">
        <w:rPr>
          <w:rFonts w:ascii="Times New Roman" w:hAnsi="Times New Roman" w:cs="Times New Roman"/>
          <w:lang w:val="en-GB"/>
        </w:rPr>
        <w:t xml:space="preserve">.On the one hand, correlation looks for statistical linear coupling between two variables, and </w:t>
      </w:r>
      <m:oMath>
        <m:r>
          <w:rPr>
            <w:rFonts w:ascii="Cambria Math" w:hAnsi="Cambria Math" w:cs="Times New Roman"/>
            <w:lang w:val="en-GB"/>
          </w:rPr>
          <m:t>ρ</m:t>
        </m:r>
        <m:d>
          <m:dPr>
            <m:ctrlPr>
              <w:rPr>
                <w:rFonts w:ascii="Cambria Math" w:hAnsi="Cambria Math" w:cs="Times New Roman"/>
                <w:i/>
                <w:lang w:val="en-GB"/>
              </w:rPr>
            </m:ctrlPr>
          </m:dPr>
          <m:e>
            <m:r>
              <w:rPr>
                <w:rFonts w:ascii="Cambria Math" w:hAnsi="Cambria Math" w:cs="Times New Roman"/>
                <w:lang w:val="en-GB"/>
              </w:rPr>
              <m:t>Χ,Υ</m:t>
            </m:r>
          </m:e>
        </m:d>
        <m:r>
          <w:rPr>
            <w:rFonts w:ascii="Cambria Math" w:hAnsi="Cambria Math" w:cs="Times New Roman"/>
            <w:lang w:val="en-GB"/>
          </w:rPr>
          <m:t>=ρ(Υ,Χ)</m:t>
        </m:r>
      </m:oMath>
      <w:r w:rsidRPr="001A2A6D">
        <w:rPr>
          <w:rFonts w:ascii="Times New Roman" w:eastAsiaTheme="minorEastAsia" w:hAnsi="Times New Roman" w:cs="Times New Roman"/>
          <w:lang w:val="en-GB"/>
        </w:rPr>
        <w:t>. Thus, correlation ignores whether X drives Y or the other way around. On the other hand, causality primes in the identification of whether X drives Y or Y drives X. This is very crucial for understanding the system’s dynamics, for better formulating prediction tasks, and for better hedging against risk. The interested reader may consider</w:t>
      </w:r>
      <w:r>
        <w:rPr>
          <w:rFonts w:ascii="Times New Roman" w:eastAsiaTheme="minorEastAsia" w:hAnsi="Times New Roman" w:cs="Times New Roman"/>
          <w:lang w:val="en-GB"/>
        </w:rPr>
        <w:t xml:space="preserve"> </w:t>
      </w:r>
      <w:r>
        <w:rPr>
          <w:rFonts w:ascii="Times New Roman" w:eastAsiaTheme="minorEastAsia" w:hAnsi="Times New Roman" w:cs="Times New Roman"/>
          <w:lang w:val="en-GB"/>
        </w:rPr>
        <w:fldChar w:fldCharType="begin" w:fldLock="1"/>
      </w:r>
      <w:r>
        <w:rPr>
          <w:rFonts w:ascii="Times New Roman" w:eastAsiaTheme="minorEastAsia" w:hAnsi="Times New Roman" w:cs="Times New Roman"/>
          <w:lang w:val="en-GB"/>
        </w:rPr>
        <w:instrText>ADDIN CSL_CITATION {"citationItems":[{"id":"ITEM-1","itemData":{"DOI":"10.1073/pnas.1819449116","ISSN":"0027-8424","abstract":"The hidden nature of causality is a puzzling, yet critical notion for effective decision-making. Financial markets are characterized by fluctuating interdependencies which seldom give rise to emergent phenomena such as bubbles or crashes. In this paper, we propose a method based on symbolic dynamics, which probes beneath the surface of abstract causality and unveils the nature of causal interactions. Our method allows distinction between positive and negative interdependencies as well as a hybrid form that we refer to as “dark causality.” We propose an algorithm which is validated by models of a priori defined causal interaction. Then, we test our method on asset pairs and on a network of sovereign credit default swaps (CDS). Our findings suggest that dark causality dominates the sovereign CDS network, indicating interdependencies which require caution from an investor’s perspective.","author":[{"dropping-particle":"","family":"Stavroglou","given":"Stavros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Sciences","id":"ITEM-1","issue":"22","issued":{"date-parts":[["2019","5","28"]]},"page":"10646-10651","title":"Hidden interactions in financial markets","type":"article-journal","volume":"116"},"uris":["http://www.mendeley.com/documents/?uuid=3566b0c4-ea7b-4f9b-97a4-34a9770b8f5d"]}],"mendeley":{"formattedCitation":"(Stavroglou et al., 2019)","plainTextFormattedCitation":"(Stavroglou et al., 2019)","previouslyFormattedCitation":"(Stavroglou et al., 2019)"},"properties":{"noteIndex":0},"schema":"https://github.com/citation-style-language/schema/raw/master/csl-citation.json"}</w:instrText>
      </w:r>
      <w:r>
        <w:rPr>
          <w:rFonts w:ascii="Times New Roman" w:eastAsiaTheme="minorEastAsia" w:hAnsi="Times New Roman" w:cs="Times New Roman"/>
          <w:lang w:val="en-GB"/>
        </w:rPr>
        <w:fldChar w:fldCharType="separate"/>
      </w:r>
      <w:r w:rsidRPr="00E70FE7">
        <w:rPr>
          <w:rFonts w:ascii="Times New Roman" w:eastAsiaTheme="minorEastAsia" w:hAnsi="Times New Roman" w:cs="Times New Roman"/>
          <w:noProof/>
          <w:lang w:val="en-GB"/>
        </w:rPr>
        <w:t>(Stavroglou et al., 2019)</w:t>
      </w:r>
      <w:r>
        <w:rPr>
          <w:rFonts w:ascii="Times New Roman" w:eastAsiaTheme="minorEastAsia" w:hAnsi="Times New Roman" w:cs="Times New Roman"/>
          <w:lang w:val="en-GB"/>
        </w:rPr>
        <w:fldChar w:fldCharType="end"/>
      </w:r>
      <w:r>
        <w:rPr>
          <w:rFonts w:ascii="Times New Roman" w:eastAsiaTheme="minorEastAsia" w:hAnsi="Times New Roman" w:cs="Times New Roman"/>
          <w:lang w:val="en-GB"/>
        </w:rPr>
        <w:t xml:space="preserve"> and </w:t>
      </w:r>
      <w:r>
        <w:rPr>
          <w:rFonts w:ascii="Times New Roman" w:eastAsiaTheme="minorEastAsia" w:hAnsi="Times New Roman" w:cs="Times New Roman"/>
          <w:lang w:val="en-GB"/>
        </w:rPr>
        <w:fldChar w:fldCharType="begin" w:fldLock="1"/>
      </w:r>
      <w:r>
        <w:rPr>
          <w:rFonts w:ascii="Times New Roman" w:eastAsiaTheme="minorEastAsia" w:hAnsi="Times New Roman" w:cs="Times New Roman"/>
          <w:lang w:val="en-GB"/>
        </w:rPr>
        <w:instrText>ADDIN CSL_CITATION {"citationItems":[{"id":"ITEM-1","itemData":{"DOI":"10.1073/pnas.1918269117","ISSN":"0027-8424","abstract":"Throughout time, operational laws and concepts from complex systems have been employed to quantitatively model important aspects and interactions in nature and society. Nevertheless, it remains enigmatic and challenging, yet inspiring, to predict the actual interdependencies that comprise the structure of such systems, particularly when the causal interactions observed in real-world phenomena might be persistently hidden. In this article, we propose a robust methodology for detecting the latent and elusive structure of dynamic complex systems. Our treatment utilizes short-term predictions from information embedded in reconstructed state space. In this regard, using a broad class of real-world applications from ecology, neurology, and finance, we explore and are able to demonstrate our method’s power and accuracy to reconstruct the fundamental structure of these complex systems, and simultaneously highlight their most fundamental operations.","author":[{"dropping-particle":"","family":"Stavroglou","given":"Stavros K.","non-dropping-particle":"","parse-names":false,"suffix":""},{"dropping-particle":"","family":"Pantelous","given":"Athanasios A.","non-dropping-particle":"","parse-names":false,"suffix":""},{"dropping-particle":"","family":"Stanley","given":"H. Eugene","non-dropping-particle":"","parse-names":false,"suffix":""},{"dropping-particle":"","family":"Zuev","given":"Konstantin M.","non-dropping-particle":"","parse-names":false,"suffix":""}],"container-title":"Proceedings of the National Academy of Sciences","id":"ITEM-1","issue":"14","issued":{"date-parts":[["2020","4","7"]]},"page":"7599-7605","title":"Unveiling causal interactions in complex systems","type":"article-journal","volume":"117"},"uris":["http://www.mendeley.com/documents/?uuid=e99ed506-cf92-4ad6-9c38-f423f3744143"]}],"mendeley":{"formattedCitation":"(Stavroglou et al., 2020)","plainTextFormattedCitation":"(Stavroglou et al., 2020)"},"properties":{"noteIndex":0},"schema":"https://github.com/citation-style-language/schema/raw/master/csl-citation.json"}</w:instrText>
      </w:r>
      <w:r>
        <w:rPr>
          <w:rFonts w:ascii="Times New Roman" w:eastAsiaTheme="minorEastAsia" w:hAnsi="Times New Roman" w:cs="Times New Roman"/>
          <w:lang w:val="en-GB"/>
        </w:rPr>
        <w:fldChar w:fldCharType="separate"/>
      </w:r>
      <w:r w:rsidRPr="00E70FE7">
        <w:rPr>
          <w:rFonts w:ascii="Times New Roman" w:eastAsiaTheme="minorEastAsia" w:hAnsi="Times New Roman" w:cs="Times New Roman"/>
          <w:noProof/>
          <w:lang w:val="en-GB"/>
        </w:rPr>
        <w:t>(Stavroglou et al., 2020)</w:t>
      </w:r>
      <w:r>
        <w:rPr>
          <w:rFonts w:ascii="Times New Roman" w:eastAsiaTheme="minorEastAsia" w:hAnsi="Times New Roman" w:cs="Times New Roman"/>
          <w:lang w:val="en-GB"/>
        </w:rPr>
        <w:fldChar w:fldCharType="end"/>
      </w:r>
      <w:r w:rsidRPr="001A2A6D">
        <w:rPr>
          <w:rFonts w:ascii="Times New Roman" w:eastAsiaTheme="minorEastAsia" w:hAnsi="Times New Roman" w:cs="Times New Roman"/>
          <w:lang w:val="en-GB"/>
        </w:rPr>
        <w:t>.</w:t>
      </w:r>
    </w:p>
  </w:footnote>
  <w:footnote w:id="2">
    <w:p w14:paraId="5826B8E0" w14:textId="7DEB496F" w:rsidR="00EA2E5B" w:rsidRPr="001A2A6D" w:rsidRDefault="00EA2E5B" w:rsidP="006F1B1A">
      <w:pPr>
        <w:pStyle w:val="FootnoteText"/>
        <w:jc w:val="both"/>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w:t>
      </w:r>
      <w:r w:rsidRPr="001A2A6D">
        <w:rPr>
          <w:rFonts w:ascii="Times New Roman" w:hAnsi="Times New Roman" w:cs="Times New Roman"/>
          <w:lang w:val="en-AU"/>
        </w:rPr>
        <w:t xml:space="preserve">The </w:t>
      </w:r>
      <w:r w:rsidRPr="001A2A6D">
        <w:rPr>
          <w:rFonts w:ascii="Times New Roman" w:hAnsi="Times New Roman" w:cs="Times New Roman"/>
          <w:i/>
          <w:lang w:val="en-AU"/>
        </w:rPr>
        <w:t>time horizon</w:t>
      </w:r>
      <w:r w:rsidRPr="001A2A6D">
        <w:rPr>
          <w:rFonts w:ascii="Times New Roman" w:hAnsi="Times New Roman" w:cs="Times New Roman"/>
          <w:lang w:val="en-AU"/>
        </w:rPr>
        <w:t xml:space="preserve"> is finite and depends on the length of the available time series data. In addition, it can be measured in lower (e.g., daily, monthly, quarterly or annually) or higher (e.g., 1-minute, 5-minute or 1-hour) frequencies. The frequency preferred should be consistent for all the time series variables.  </w:t>
      </w:r>
    </w:p>
  </w:footnote>
  <w:footnote w:id="3">
    <w:p w14:paraId="35BC6B48" w14:textId="7788852F" w:rsidR="00EA2E5B" w:rsidRPr="001A2A6D" w:rsidRDefault="00EA2E5B" w:rsidP="00E85B48">
      <w:pPr>
        <w:pStyle w:val="FootnoteText"/>
        <w:jc w:val="both"/>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w:t>
      </w:r>
      <w:r w:rsidRPr="001A2A6D">
        <w:rPr>
          <w:rFonts w:ascii="Times New Roman" w:hAnsi="Times New Roman" w:cs="Times New Roman"/>
          <w:szCs w:val="24"/>
        </w:rPr>
        <w:t xml:space="preserve">State (time series) variables of the dynamical system </w:t>
      </w:r>
      <m:oMath>
        <m:r>
          <w:rPr>
            <w:rFonts w:ascii="Cambria Math" w:hAnsi="Cambria Math" w:cs="Times New Roman"/>
            <w:szCs w:val="24"/>
          </w:rPr>
          <m:t>Ω</m:t>
        </m:r>
      </m:oMath>
      <w:r w:rsidRPr="001A2A6D">
        <w:rPr>
          <w:rFonts w:ascii="Times New Roman" w:hAnsi="Times New Roman" w:cs="Times New Roman"/>
          <w:szCs w:val="24"/>
        </w:rPr>
        <w:t xml:space="preserve">, which operate as a function which maps points from </w:t>
      </w:r>
      <m:oMath>
        <m:r>
          <w:rPr>
            <w:rFonts w:ascii="Cambria Math" w:hAnsi="Cambria Math" w:cs="Times New Roman"/>
            <w:szCs w:val="24"/>
          </w:rPr>
          <m:t>Ω</m:t>
        </m:r>
      </m:oMath>
      <w:r w:rsidRPr="001A2A6D">
        <w:rPr>
          <w:rFonts w:ascii="Times New Roman" w:hAnsi="Times New Roman" w:cs="Times New Roman"/>
          <w:szCs w:val="24"/>
        </w:rPr>
        <w:t xml:space="preserve">’s attractor, </w:t>
      </w:r>
      <m:oMath>
        <m:r>
          <w:rPr>
            <w:rFonts w:ascii="Cambria Math" w:hAnsi="Cambria Math" w:cs="Times New Roman"/>
            <w:szCs w:val="24"/>
          </w:rPr>
          <m:t>M</m:t>
        </m:r>
        <m:r>
          <w:rPr>
            <w:rFonts w:ascii="Cambria Math" w:eastAsiaTheme="minorEastAsia" w:hAnsi="Cambria Math" w:cs="Times New Roman"/>
            <w:szCs w:val="24"/>
          </w:rPr>
          <m:t>,</m:t>
        </m:r>
      </m:oMath>
      <w:r w:rsidRPr="001A2A6D">
        <w:rPr>
          <w:rFonts w:ascii="Times New Roman" w:hAnsi="Times New Roman" w:cs="Times New Roman"/>
          <w:i/>
          <w:iCs/>
          <w:szCs w:val="24"/>
        </w:rPr>
        <w:t xml:space="preserve"> </w:t>
      </w:r>
      <w:r w:rsidRPr="001A2A6D">
        <w:rPr>
          <w:rFonts w:ascii="Times New Roman" w:hAnsi="Times New Roman" w:cs="Times New Roman"/>
          <w:szCs w:val="24"/>
        </w:rPr>
        <w:t xml:space="preserve">to a real-valued scalar (see </w:t>
      </w:r>
      <w:r w:rsidRPr="001A2A6D">
        <w:rPr>
          <w:rFonts w:ascii="Times New Roman" w:hAnsi="Times New Roman" w:cs="Times New Roman"/>
          <w:b/>
          <w:szCs w:val="24"/>
        </w:rPr>
        <w:t>Fig</w:t>
      </w:r>
      <w:r>
        <w:rPr>
          <w:rFonts w:ascii="Times New Roman" w:hAnsi="Times New Roman" w:cs="Times New Roman"/>
          <w:b/>
          <w:szCs w:val="24"/>
        </w:rPr>
        <w:t>.</w:t>
      </w:r>
      <w:r w:rsidRPr="001A2A6D">
        <w:rPr>
          <w:rFonts w:ascii="Times New Roman" w:hAnsi="Times New Roman" w:cs="Times New Roman"/>
          <w:b/>
          <w:szCs w:val="24"/>
        </w:rPr>
        <w:t xml:space="preserve"> 1b</w:t>
      </w:r>
      <w:r w:rsidRPr="001A2A6D">
        <w:rPr>
          <w:rFonts w:ascii="Times New Roman" w:hAnsi="Times New Roman" w:cs="Times New Roman"/>
          <w:szCs w:val="24"/>
        </w:rPr>
        <w:t>).</w:t>
      </w:r>
      <m:oMath>
        <m:r>
          <w:rPr>
            <w:rFonts w:ascii="Cambria Math" w:hAnsi="Cambria Math" w:cs="Times New Roman"/>
            <w:szCs w:val="24"/>
          </w:rPr>
          <m:t xml:space="preserve"> X</m:t>
        </m:r>
      </m:oMath>
      <w:r w:rsidRPr="001A2A6D">
        <w:rPr>
          <w:rFonts w:ascii="Times New Roman" w:hAnsi="Times New Roman" w:cs="Times New Roman"/>
          <w:szCs w:val="24"/>
        </w:rPr>
        <w:t xml:space="preserve"> may correspond to Cartesian coordinates of the actual </w:t>
      </w:r>
      <m:oMath>
        <m:r>
          <w:rPr>
            <w:rFonts w:ascii="Cambria Math" w:hAnsi="Cambria Math" w:cs="Times New Roman"/>
            <w:szCs w:val="24"/>
          </w:rPr>
          <m:t>E</m:t>
        </m:r>
      </m:oMath>
      <w:r w:rsidRPr="001A2A6D">
        <w:rPr>
          <w:rFonts w:ascii="Times New Roman" w:hAnsi="Times New Roman" w:cs="Times New Roman"/>
          <w:szCs w:val="24"/>
        </w:rPr>
        <w:t xml:space="preserve">-dimensional state space containing </w:t>
      </w:r>
      <m:oMath>
        <m:r>
          <w:rPr>
            <w:rFonts w:ascii="Cambria Math" w:hAnsi="Cambria Math" w:cs="Times New Roman"/>
            <w:szCs w:val="24"/>
          </w:rPr>
          <m:t>M</m:t>
        </m:r>
      </m:oMath>
      <w:r w:rsidRPr="001A2A6D">
        <w:rPr>
          <w:rFonts w:ascii="Times New Roman" w:eastAsiaTheme="minorEastAsia" w:hAnsi="Times New Roman" w:cs="Times New Roman"/>
          <w:szCs w:val="24"/>
        </w:rPr>
        <w:t xml:space="preserve"> </w:t>
      </w:r>
      <w:r w:rsidRPr="001A2A6D">
        <w:rPr>
          <w:rFonts w:ascii="Times New Roman" w:hAnsi="Times New Roman" w:cs="Times New Roman"/>
          <w:szCs w:val="24"/>
        </w:rPr>
        <w:t xml:space="preserve">(see illustrative example in </w:t>
      </w:r>
      <w:r w:rsidRPr="001A2A6D">
        <w:rPr>
          <w:rFonts w:ascii="Times New Roman" w:hAnsi="Times New Roman" w:cs="Times New Roman"/>
          <w:b/>
          <w:szCs w:val="24"/>
        </w:rPr>
        <w:t>Fig</w:t>
      </w:r>
      <w:r>
        <w:rPr>
          <w:rFonts w:ascii="Times New Roman" w:hAnsi="Times New Roman" w:cs="Times New Roman"/>
          <w:b/>
          <w:szCs w:val="24"/>
        </w:rPr>
        <w:t>.</w:t>
      </w:r>
      <w:r w:rsidRPr="001A2A6D">
        <w:rPr>
          <w:rFonts w:ascii="Times New Roman" w:hAnsi="Times New Roman" w:cs="Times New Roman"/>
          <w:b/>
          <w:szCs w:val="24"/>
        </w:rPr>
        <w:t xml:space="preserve"> 1b</w:t>
      </w:r>
      <w:r w:rsidRPr="001A2A6D">
        <w:rPr>
          <w:rFonts w:ascii="Times New Roman" w:hAnsi="Times New Roman" w:cs="Times New Roman"/>
          <w:szCs w:val="24"/>
        </w:rPr>
        <w:t>).</w:t>
      </w:r>
    </w:p>
  </w:footnote>
  <w:footnote w:id="4">
    <w:p w14:paraId="2FF1C33D" w14:textId="60F81D20" w:rsidR="00EA2E5B" w:rsidRPr="001A2A6D" w:rsidRDefault="00EA2E5B">
      <w:pPr>
        <w:pStyle w:val="FootnoteText"/>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w:t>
      </w:r>
      <w:r w:rsidRPr="001A2A6D">
        <w:rPr>
          <w:rFonts w:ascii="Times New Roman" w:eastAsiaTheme="minorEastAsia" w:hAnsi="Times New Roman" w:cs="Times New Roman"/>
        </w:rPr>
        <w:t xml:space="preserve">Among all the variable,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r>
          <w:rPr>
            <w:rFonts w:ascii="Cambria Math" w:hAnsi="Cambria Math" w:cs="Times New Roman"/>
          </w:rPr>
          <m:t>, Y</m:t>
        </m:r>
        <m:r>
          <m:rPr>
            <m:scr m:val="double-struck"/>
          </m:rPr>
          <w:rPr>
            <w:rFonts w:ascii="Cambria Math" w:hAnsi="Cambria Math" w:cs="Times New Roman"/>
          </w:rPr>
          <m:t>∈R,</m:t>
        </m:r>
      </m:oMath>
      <w:r w:rsidRPr="001A2A6D">
        <w:rPr>
          <w:rFonts w:ascii="Times New Roman" w:eastAsiaTheme="minorEastAsia" w:hAnsi="Times New Roman" w:cs="Times New Roman"/>
        </w:rPr>
        <w:t xml:space="preserve"> in </w:t>
      </w:r>
      <w:r w:rsidRPr="001A2A6D">
        <w:rPr>
          <w:rFonts w:ascii="Times New Roman" w:eastAsiaTheme="minorEastAsia" w:hAnsi="Times New Roman" w:cs="Times New Roman"/>
          <w:b/>
        </w:rPr>
        <w:t>Fig</w:t>
      </w:r>
      <w:r>
        <w:rPr>
          <w:rFonts w:ascii="Times New Roman" w:eastAsiaTheme="minorEastAsia" w:hAnsi="Times New Roman" w:cs="Times New Roman"/>
          <w:b/>
        </w:rPr>
        <w:t>.</w:t>
      </w:r>
      <w:r w:rsidRPr="001A2A6D">
        <w:rPr>
          <w:rFonts w:ascii="Times New Roman" w:eastAsiaTheme="minorEastAsia" w:hAnsi="Times New Roman" w:cs="Times New Roman"/>
          <w:b/>
        </w:rPr>
        <w:t xml:space="preserve"> 1b</w:t>
      </w:r>
      <w:r w:rsidRPr="001A2A6D">
        <w:rPr>
          <w:rFonts w:ascii="Times New Roman" w:eastAsiaTheme="minorEastAsia" w:hAnsi="Times New Roman" w:cs="Times New Roman"/>
        </w:rPr>
        <w:t xml:space="preserve">, we illustrate only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Y</m:t>
        </m:r>
        <m:r>
          <m:rPr>
            <m:scr m:val="double-struck"/>
          </m:rPr>
          <w:rPr>
            <w:rFonts w:ascii="Cambria Math" w:hAnsi="Cambria Math" w:cs="Times New Roman"/>
          </w:rPr>
          <m:t>∈R</m:t>
        </m:r>
      </m:oMath>
      <w:r w:rsidRPr="001A2A6D">
        <w:rPr>
          <w:rFonts w:ascii="Times New Roman" w:eastAsiaTheme="minorEastAsia" w:hAnsi="Times New Roman" w:cs="Times New Roman"/>
        </w:rPr>
        <w:t>.</w:t>
      </w:r>
    </w:p>
  </w:footnote>
  <w:footnote w:id="5">
    <w:p w14:paraId="44854644" w14:textId="3D3B3377" w:rsidR="00EA2E5B" w:rsidRPr="001A2A6D" w:rsidRDefault="00EA2E5B">
      <w:pPr>
        <w:pStyle w:val="FootnoteText"/>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For instance, the </w:t>
      </w:r>
      <w:r w:rsidRPr="001A2A6D">
        <w:rPr>
          <w:rFonts w:ascii="Times New Roman" w:hAnsi="Times New Roman" w:cs="Times New Roman"/>
          <w:i/>
          <w:iCs/>
        </w:rPr>
        <w:t>black</w:t>
      </w:r>
      <w:r w:rsidRPr="001A2A6D">
        <w:rPr>
          <w:rFonts w:ascii="Times New Roman" w:hAnsi="Times New Roman" w:cs="Times New Roman"/>
        </w:rPr>
        <w:t xml:space="preserve"> links in </w:t>
      </w:r>
      <w:r w:rsidRPr="001A2A6D">
        <w:rPr>
          <w:rFonts w:ascii="Times New Roman" w:hAnsi="Times New Roman" w:cs="Times New Roman"/>
          <w:b/>
          <w:bCs/>
        </w:rPr>
        <w:t>Fig</w:t>
      </w:r>
      <w:r>
        <w:rPr>
          <w:rFonts w:ascii="Times New Roman" w:hAnsi="Times New Roman" w:cs="Times New Roman"/>
          <w:b/>
          <w:bCs/>
        </w:rPr>
        <w:t>.</w:t>
      </w:r>
      <w:r w:rsidRPr="001A2A6D">
        <w:rPr>
          <w:rFonts w:ascii="Times New Roman" w:hAnsi="Times New Roman" w:cs="Times New Roman"/>
          <w:b/>
          <w:bCs/>
        </w:rPr>
        <w:t xml:space="preserve"> 1a</w:t>
      </w:r>
      <w:r w:rsidRPr="001A2A6D">
        <w:rPr>
          <w:rFonts w:ascii="Times New Roman" w:hAnsi="Times New Roman" w:cs="Times New Roman"/>
        </w:rPr>
        <w:t xml:space="preserve"> are used only symbolically here to suggest the yet unknown causal relations between the nodes.</w:t>
      </w:r>
    </w:p>
  </w:footnote>
  <w:footnote w:id="6">
    <w:p w14:paraId="4FCA618F" w14:textId="2D562B88" w:rsidR="00EA2E5B" w:rsidRPr="00881E24" w:rsidRDefault="00EA2E5B">
      <w:pPr>
        <w:pStyle w:val="FootnoteText"/>
        <w:rPr>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w:t>
      </w:r>
      <m:oMath>
        <m:r>
          <w:rPr>
            <w:rFonts w:ascii="Cambria Math" w:hAnsi="Cambria Math" w:cs="Times New Roman"/>
          </w:rPr>
          <m:t>E</m:t>
        </m:r>
        <m:r>
          <m:rPr>
            <m:scr m:val="double-struck"/>
          </m:rPr>
          <w:rPr>
            <w:rFonts w:ascii="Cambria Math" w:hAnsi="Cambria Math" w:cs="Times New Roman"/>
          </w:rPr>
          <m:t>∈N</m:t>
        </m:r>
      </m:oMath>
      <w:r w:rsidRPr="001A2A6D">
        <w:rPr>
          <w:rFonts w:ascii="Times New Roman" w:eastAsiaTheme="minorEastAsia" w:hAnsi="Times New Roman" w:cs="Times New Roman"/>
        </w:rPr>
        <w:t xml:space="preserve"> is </w:t>
      </w:r>
      <w:r w:rsidRPr="001A2A6D">
        <w:rPr>
          <w:rFonts w:ascii="Times New Roman" w:hAnsi="Times New Roman" w:cs="Times New Roman"/>
        </w:rPr>
        <w:t xml:space="preserve">the embedding dimension of the attractor, </w:t>
      </w:r>
      <m:oMath>
        <m:r>
          <w:rPr>
            <w:rFonts w:ascii="Cambria Math" w:hAnsi="Cambria Math" w:cs="Times New Roman"/>
            <w:szCs w:val="24"/>
          </w:rPr>
          <m:t>M</m:t>
        </m:r>
      </m:oMath>
      <w:r w:rsidRPr="001A2A6D">
        <w:rPr>
          <w:rFonts w:ascii="Times New Roman" w:hAnsi="Times New Roman" w:cs="Times New Roman"/>
        </w:rPr>
        <w:t>.</w:t>
      </w:r>
    </w:p>
  </w:footnote>
  <w:footnote w:id="7">
    <w:p w14:paraId="53200028" w14:textId="36C216D1" w:rsidR="00EA2E5B" w:rsidRPr="001A2A6D" w:rsidRDefault="00EA2E5B">
      <w:pPr>
        <w:pStyle w:val="FootnoteText"/>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Limited for plotting to up to three dimensions.</w:t>
      </w:r>
    </w:p>
  </w:footnote>
  <w:footnote w:id="8">
    <w:p w14:paraId="280676E3" w14:textId="6F1941C2" w:rsidR="00EA2E5B" w:rsidRPr="001A2A6D" w:rsidRDefault="00EA2E5B" w:rsidP="00796CEA">
      <w:pPr>
        <w:spacing w:before="120" w:after="120" w:line="360" w:lineRule="auto"/>
        <w:jc w:val="both"/>
      </w:pPr>
      <w:r w:rsidRPr="001A2A6D">
        <w:rPr>
          <w:rStyle w:val="FootnoteReference"/>
          <w:sz w:val="20"/>
          <w:szCs w:val="20"/>
        </w:rPr>
        <w:footnoteRef/>
      </w:r>
      <w:r w:rsidRPr="001A2A6D">
        <w:rPr>
          <w:sz w:val="20"/>
          <w:szCs w:val="20"/>
        </w:rPr>
        <w:t xml:space="preserve"> </w:t>
      </w:r>
      <w:r w:rsidRPr="001A2A6D">
        <w:rPr>
          <w:rFonts w:eastAsiaTheme="minorEastAsia"/>
          <w:sz w:val="20"/>
          <w:szCs w:val="20"/>
        </w:rPr>
        <w:t xml:space="preserve">Note that </w:t>
      </w:r>
      <w:r w:rsidRPr="001A2A6D">
        <w:rPr>
          <w:sz w:val="20"/>
          <w:szCs w:val="20"/>
        </w:rPr>
        <w:t xml:space="preserve">the shadow attractor reconstructed using time lags of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oMath>
      <w:r w:rsidRPr="001A2A6D">
        <w:rPr>
          <w:rFonts w:eastAsiaTheme="minorEastAsia"/>
          <w:sz w:val="20"/>
          <w:szCs w:val="20"/>
        </w:rPr>
        <w:t>and</w:t>
      </w:r>
      <m:oMath>
        <m:r>
          <w:rPr>
            <w:rFonts w:ascii="Cambria Math" w:hAnsi="Cambria Math"/>
            <w:sz w:val="20"/>
            <w:szCs w:val="20"/>
          </w:rPr>
          <m:t xml:space="preserve"> Y(t)</m:t>
        </m:r>
      </m:oMath>
      <w:r w:rsidRPr="001A2A6D">
        <w:rPr>
          <w:rFonts w:eastAsiaTheme="minorEastAsia"/>
          <w:sz w:val="20"/>
          <w:szCs w:val="20"/>
        </w:rPr>
        <w:t xml:space="preserve"> is denoted by </w:t>
      </w:r>
      <m:oMath>
        <m:sSub>
          <m:sSubPr>
            <m:ctrlPr>
              <w:rPr>
                <w:rFonts w:ascii="Cambria Math" w:hAnsi="Cambria Math"/>
                <w:i/>
                <w:sz w:val="20"/>
                <w:szCs w:val="20"/>
              </w:rPr>
            </m:ctrlPr>
          </m:sSubPr>
          <m:e>
            <m:r>
              <w:rPr>
                <w:rFonts w:ascii="Cambria Math" w:hAnsi="Cambria Math"/>
                <w:sz w:val="20"/>
                <w:szCs w:val="20"/>
              </w:rPr>
              <m:t>M</m:t>
            </m:r>
          </m:e>
          <m:sub>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sub>
        </m:sSub>
        <m:r>
          <w:rPr>
            <w:rFonts w:ascii="Cambria Math" w:hAnsi="Cambria Math"/>
            <w:sz w:val="20"/>
            <w:szCs w:val="20"/>
          </w:rPr>
          <m:t>(t)</m:t>
        </m:r>
      </m:oMath>
      <w:r w:rsidRPr="001A2A6D">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Y</m:t>
            </m:r>
          </m:sub>
        </m:sSub>
        <m:r>
          <w:rPr>
            <w:rFonts w:ascii="Cambria Math" w:eastAsiaTheme="minorEastAsia" w:hAnsi="Cambria Math"/>
            <w:sz w:val="20"/>
            <w:szCs w:val="20"/>
          </w:rPr>
          <m:t>(t)</m:t>
        </m:r>
        <m:r>
          <w:rPr>
            <w:rFonts w:ascii="Cambria Math" w:hAnsi="Cambria Math"/>
            <w:sz w:val="20"/>
            <w:szCs w:val="20"/>
          </w:rPr>
          <m:t>∈</m:t>
        </m:r>
        <m:sSup>
          <m:sSupPr>
            <m:ctrlPr>
              <w:rPr>
                <w:rFonts w:ascii="Cambria Math" w:hAnsi="Cambria Math"/>
                <w:i/>
                <w:sz w:val="20"/>
                <w:szCs w:val="20"/>
              </w:rPr>
            </m:ctrlPr>
          </m:sSupPr>
          <m:e>
            <m:r>
              <m:rPr>
                <m:scr m:val="double-struck"/>
              </m:rPr>
              <w:rPr>
                <w:rFonts w:ascii="Cambria Math" w:hAnsi="Cambria Math"/>
                <w:sz w:val="20"/>
                <w:szCs w:val="20"/>
              </w:rPr>
              <m:t>R</m:t>
            </m:r>
          </m:e>
          <m:sup>
            <m:r>
              <w:rPr>
                <w:rFonts w:ascii="Cambria Math" w:hAnsi="Cambria Math"/>
                <w:sz w:val="20"/>
                <w:szCs w:val="20"/>
              </w:rPr>
              <m:t>E</m:t>
            </m:r>
          </m:sup>
        </m:sSup>
      </m:oMath>
      <w:r w:rsidRPr="001A2A6D">
        <w:rPr>
          <w:rFonts w:eastAsiaTheme="minorEastAsia"/>
          <w:sz w:val="20"/>
          <w:szCs w:val="20"/>
        </w:rPr>
        <w:t>, accordingly</w:t>
      </w:r>
      <w:r w:rsidRPr="001A2A6D">
        <w:rPr>
          <w:sz w:val="20"/>
          <w:szCs w:val="20"/>
        </w:rPr>
        <w:t xml:space="preserve">, in order to simplify the notation of the shadow attractor (time </w:t>
      </w:r>
      <m:oMath>
        <m:r>
          <w:rPr>
            <w:rFonts w:ascii="Cambria Math" w:hAnsi="Cambria Math"/>
            <w:sz w:val="20"/>
            <w:szCs w:val="20"/>
          </w:rPr>
          <m:t>t</m:t>
        </m:r>
      </m:oMath>
      <w:r w:rsidRPr="001A2A6D">
        <w:rPr>
          <w:sz w:val="20"/>
          <w:szCs w:val="20"/>
        </w:rPr>
        <w:t xml:space="preserve"> is eliminated), except where indicated. </w:t>
      </w:r>
    </w:p>
  </w:footnote>
  <w:footnote w:id="9">
    <w:p w14:paraId="20F2D15D" w14:textId="5FA4EEF7" w:rsidR="00EA2E5B" w:rsidRPr="00241FE7" w:rsidRDefault="00EA2E5B">
      <w:pPr>
        <w:pStyle w:val="FootnoteText"/>
        <w:rPr>
          <w:rFonts w:ascii="Times New Roman" w:hAnsi="Times New Roman" w:cs="Times New Roman"/>
          <w:lang w:val="en-AU"/>
        </w:rPr>
      </w:pPr>
      <w:r w:rsidRPr="001A2A6D">
        <w:rPr>
          <w:rStyle w:val="FootnoteReference"/>
          <w:rFonts w:ascii="Times New Roman" w:hAnsi="Times New Roman" w:cs="Times New Roman"/>
        </w:rPr>
        <w:footnoteRef/>
      </w:r>
      <w:r w:rsidRPr="001A2A6D">
        <w:rPr>
          <w:rFonts w:ascii="Times New Roman" w:hAnsi="Times New Roman" w:cs="Times New Roman"/>
        </w:rPr>
        <w:t xml:space="preserve"> The higher </w:t>
      </w:r>
      <m:oMath>
        <m:r>
          <w:rPr>
            <w:rFonts w:ascii="Cambria Math" w:hAnsi="Cambria Math" w:cs="Times New Roman"/>
          </w:rPr>
          <m:t>E</m:t>
        </m:r>
      </m:oMath>
      <w:r w:rsidRPr="001A2A6D">
        <w:rPr>
          <w:rFonts w:ascii="Times New Roman" w:hAnsi="Times New Roman" w:cs="Times New Roman"/>
        </w:rPr>
        <w:t xml:space="preserve"> and </w:t>
      </w:r>
      <m:oMath>
        <m:r>
          <w:rPr>
            <w:rFonts w:ascii="Cambria Math" w:hAnsi="Cambria Math" w:cs="Times New Roman"/>
          </w:rPr>
          <m:t>τ</m:t>
        </m:r>
      </m:oMath>
      <w:r w:rsidRPr="001A2A6D">
        <w:rPr>
          <w:rFonts w:ascii="Times New Roman" w:hAnsi="Times New Roman" w:cs="Times New Roman"/>
        </w:rPr>
        <w:t xml:space="preserve"> the longer time series are needed.</w:t>
      </w:r>
    </w:p>
  </w:footnote>
  <w:footnote w:id="10">
    <w:p w14:paraId="6DCB131C" w14:textId="06589079" w:rsidR="00EA2E5B" w:rsidRPr="009D22F7" w:rsidRDefault="00EA2E5B" w:rsidP="009D22F7">
      <w:pPr>
        <w:pStyle w:val="FootnoteText"/>
        <w:spacing w:line="360" w:lineRule="auto"/>
        <w:jc w:val="both"/>
        <w:rPr>
          <w:lang w:val="en-AU"/>
        </w:rPr>
      </w:pPr>
      <w:r>
        <w:rPr>
          <w:rStyle w:val="FootnoteReference"/>
        </w:rPr>
        <w:footnoteRef/>
      </w:r>
      <w:r>
        <w:t xml:space="preserve"> </w:t>
      </w:r>
      <w:r w:rsidRPr="009D22F7">
        <w:rPr>
          <w:rFonts w:ascii="Times New Roman" w:hAnsi="Times New Roman" w:cs="Times New Roman"/>
        </w:rPr>
        <w:t>Something particularly useful when the results need to be communicated to a broader audience, non-expert stakeholders, and policy makers.</w:t>
      </w:r>
    </w:p>
  </w:footnote>
  <w:footnote w:id="11">
    <w:p w14:paraId="19A7B51C" w14:textId="0DBC1C75" w:rsidR="00EA2E5B" w:rsidRPr="00AE7814" w:rsidRDefault="00EA2E5B" w:rsidP="00EC016A">
      <w:pPr>
        <w:pStyle w:val="FootnoteText"/>
        <w:spacing w:line="360" w:lineRule="auto"/>
        <w:jc w:val="both"/>
        <w:rPr>
          <w:rFonts w:ascii="Times New Roman" w:hAnsi="Times New Roman" w:cs="Times New Roman"/>
        </w:rPr>
      </w:pPr>
      <w:r>
        <w:rPr>
          <w:rStyle w:val="FootnoteReference"/>
        </w:rPr>
        <w:footnoteRef/>
      </w:r>
      <w:r>
        <w:t xml:space="preserve"> </w:t>
      </w:r>
      <m:oMath>
        <m:r>
          <w:rPr>
            <w:rFonts w:ascii="Cambria Math" w:hAnsi="Cambria Math" w:cs="Times New Roman"/>
          </w:rPr>
          <m:t xml:space="preserve">h=0 </m:t>
        </m:r>
      </m:oMath>
      <w:r>
        <w:rPr>
          <w:rFonts w:ascii="Times New Roman" w:eastAsiaTheme="minorEastAsia" w:hAnsi="Times New Roman" w:cs="Times New Roman"/>
        </w:rPr>
        <w:t xml:space="preserve">when looking for contemporaneous causality (i.e. synchronous) or </w:t>
      </w:r>
      <m:oMath>
        <m:r>
          <w:rPr>
            <w:rFonts w:ascii="Cambria Math" w:hAnsi="Cambria Math" w:cs="Times New Roman"/>
          </w:rPr>
          <m:t>h&gt;0</m:t>
        </m:r>
      </m:oMath>
      <w:r>
        <w:rPr>
          <w:rFonts w:ascii="Times New Roman" w:eastAsiaTheme="minorEastAsia" w:hAnsi="Times New Roman" w:cs="Times New Roman"/>
        </w:rPr>
        <w:t xml:space="preserve"> when looking for causality which is expressed with a time delay (i.e. the causal variable’s impact on the affected variable is manifested at some point in the future).</w:t>
      </w:r>
    </w:p>
  </w:footnote>
  <w:footnote w:id="12">
    <w:p w14:paraId="583C5D37" w14:textId="31E30236" w:rsidR="00EA2E5B" w:rsidRPr="00796CEA" w:rsidRDefault="00EA2E5B" w:rsidP="00796CEA">
      <w:pPr>
        <w:pStyle w:val="FootnoteText"/>
        <w:spacing w:before="120" w:after="120" w:line="360" w:lineRule="auto"/>
        <w:jc w:val="both"/>
        <w:rPr>
          <w:rFonts w:ascii="Times New Roman" w:hAnsi="Times New Roman" w:cs="Times New Roman"/>
          <w:lang w:val="en-GB"/>
        </w:rPr>
      </w:pPr>
      <w:r w:rsidRPr="00796CEA">
        <w:rPr>
          <w:rStyle w:val="FootnoteReference"/>
          <w:rFonts w:ascii="Times New Roman" w:hAnsi="Times New Roman" w:cs="Times New Roman"/>
        </w:rPr>
        <w:footnoteRef/>
      </w:r>
      <w:r w:rsidRPr="00796CEA">
        <w:rPr>
          <w:rFonts w:ascii="Times New Roman" w:hAnsi="Times New Roman" w:cs="Times New Roman"/>
        </w:rPr>
        <w:t xml:space="preserve"> </w:t>
      </w:r>
      <w:r>
        <w:rPr>
          <w:rFonts w:ascii="Times New Roman" w:hAnsi="Times New Roman" w:cs="Times New Roman"/>
          <w:lang w:val="en-GB"/>
        </w:rPr>
        <w:t>D</w:t>
      </w:r>
      <w:r w:rsidRPr="00796CEA">
        <w:rPr>
          <w:rFonts w:ascii="Times New Roman" w:hAnsi="Times New Roman" w:cs="Times New Roman"/>
          <w:lang w:val="en-GB"/>
        </w:rPr>
        <w:t xml:space="preserve">ifferent types of distances can also be considered and implemented. </w:t>
      </w:r>
      <w:r>
        <w:rPr>
          <w:rFonts w:ascii="Times New Roman" w:hAnsi="Times New Roman" w:cs="Times New Roman"/>
          <w:lang w:val="en-GB"/>
        </w:rPr>
        <w:t>The proposed</w:t>
      </w:r>
      <w:r w:rsidRPr="00796CEA">
        <w:rPr>
          <w:rFonts w:ascii="Times New Roman" w:hAnsi="Times New Roman" w:cs="Times New Roman"/>
          <w:lang w:val="en-GB"/>
        </w:rPr>
        <w:t xml:space="preserve"> methodology is</w:t>
      </w:r>
      <w:r>
        <w:rPr>
          <w:rFonts w:ascii="Times New Roman" w:hAnsi="Times New Roman" w:cs="Times New Roman"/>
          <w:lang w:val="en-GB"/>
        </w:rPr>
        <w:t xml:space="preserve"> </w:t>
      </w:r>
      <w:r w:rsidRPr="00796CEA">
        <w:rPr>
          <w:rFonts w:ascii="Times New Roman" w:hAnsi="Times New Roman" w:cs="Times New Roman"/>
          <w:lang w:val="en-GB"/>
        </w:rPr>
        <w:t>versatile</w:t>
      </w:r>
      <w:r>
        <w:rPr>
          <w:rFonts w:ascii="Times New Roman" w:hAnsi="Times New Roman" w:cs="Times New Roman"/>
          <w:lang w:val="en-GB"/>
        </w:rPr>
        <w:t xml:space="preserve"> by design</w:t>
      </w:r>
      <w:r w:rsidRPr="00796CEA">
        <w:rPr>
          <w:rFonts w:ascii="Times New Roman" w:hAnsi="Times New Roman" w:cs="Times New Roman"/>
          <w:lang w:val="en-GB"/>
        </w:rPr>
        <w:t xml:space="preserve">, and it can be adjusted accordingly. However, further </w:t>
      </w:r>
      <w:r>
        <w:rPr>
          <w:rFonts w:ascii="Times New Roman" w:hAnsi="Times New Roman" w:cs="Times New Roman"/>
          <w:lang w:val="en-GB"/>
        </w:rPr>
        <w:t>elaboration</w:t>
      </w:r>
      <w:r w:rsidRPr="00796CEA">
        <w:rPr>
          <w:rFonts w:ascii="Times New Roman" w:hAnsi="Times New Roman" w:cs="Times New Roman"/>
          <w:lang w:val="en-GB"/>
        </w:rPr>
        <w:t xml:space="preserve"> on this issue is beyond the scope of </w:t>
      </w:r>
      <w:r>
        <w:rPr>
          <w:rFonts w:ascii="Times New Roman" w:hAnsi="Times New Roman" w:cs="Times New Roman"/>
          <w:lang w:val="en-GB"/>
        </w:rPr>
        <w:t>the paper</w:t>
      </w:r>
      <w:r w:rsidRPr="00796CEA">
        <w:rPr>
          <w:rFonts w:ascii="Times New Roman" w:hAnsi="Times New Roman" w:cs="Times New Roman"/>
          <w:lang w:val="en-GB"/>
        </w:rPr>
        <w:t xml:space="preserve">. </w:t>
      </w:r>
    </w:p>
  </w:footnote>
  <w:footnote w:id="13">
    <w:p w14:paraId="58BC19B8" w14:textId="09BDAFD3" w:rsidR="00EA2E5B" w:rsidRPr="001A2A6D" w:rsidRDefault="00EA2E5B">
      <w:pPr>
        <w:pStyle w:val="FootnoteText"/>
        <w:rPr>
          <w:rFonts w:ascii="Times New Roman" w:hAnsi="Times New Roman" w:cs="Times New Roman"/>
          <w:lang w:val="en-AU"/>
        </w:rPr>
      </w:pPr>
      <w:r w:rsidRPr="001A2A6D">
        <w:rPr>
          <w:rStyle w:val="FootnoteReference"/>
        </w:rPr>
        <w:footnoteRef/>
      </w:r>
      <w:r w:rsidRPr="001A2A6D">
        <w:t xml:space="preserve"> </w:t>
      </w:r>
      <w:hyperlink r:id="rId1" w:history="1">
        <w:r w:rsidRPr="001A2A6D">
          <w:rPr>
            <w:rStyle w:val="Hyperlink"/>
            <w:rFonts w:ascii="Times New Roman" w:hAnsi="Times New Roman" w:cs="Times New Roman"/>
            <w:color w:val="auto"/>
          </w:rPr>
          <w:t>https://www.who.int/globalchange/summary/en/index5.html</w:t>
        </w:r>
      </w:hyperlink>
      <w:r w:rsidRPr="001A2A6D">
        <w:rPr>
          <w:rFonts w:ascii="Times New Roman" w:hAnsi="Times New Roman" w:cs="Times New Roman"/>
        </w:rPr>
        <w:t xml:space="preserve"> (Retrieved at 1st May 2020)</w:t>
      </w:r>
    </w:p>
  </w:footnote>
  <w:footnote w:id="14">
    <w:p w14:paraId="4EF3A021" w14:textId="373B5572" w:rsidR="00EA2E5B" w:rsidRPr="00320DAD" w:rsidRDefault="00EA2E5B" w:rsidP="00532EF4">
      <w:pPr>
        <w:pStyle w:val="FootnoteText"/>
        <w:jc w:val="both"/>
        <w:rPr>
          <w:lang w:val="en-AU"/>
        </w:rPr>
      </w:pPr>
      <w:r w:rsidRPr="001A2A6D">
        <w:rPr>
          <w:rStyle w:val="FootnoteReference"/>
        </w:rPr>
        <w:footnoteRef/>
      </w:r>
      <w:r w:rsidRPr="001A2A6D">
        <w:t xml:space="preserve"> </w:t>
      </w:r>
      <w:r w:rsidRPr="001A2A6D">
        <w:rPr>
          <w:rFonts w:ascii="Times New Roman" w:hAnsi="Times New Roman" w:cs="Times New Roman"/>
        </w:rPr>
        <w:t xml:space="preserve">We are not able to consider other important factors as the required data are not available (i.e., deficient or missing data) to us. We should reiterate here that the proposed causal decision-making methodology with real time-series variables is robust enough to produce results in case of missing values in the data; see Section 3.1 for details. </w:t>
      </w:r>
    </w:p>
  </w:footnote>
  <w:footnote w:id="15">
    <w:p w14:paraId="0216181A" w14:textId="7DEC49C2" w:rsidR="00EA2E5B" w:rsidRPr="00BD45D3" w:rsidRDefault="00EA2E5B" w:rsidP="0026681E">
      <w:pPr>
        <w:pStyle w:val="FootnoteText"/>
        <w:rPr>
          <w:rFonts w:ascii="Times New Roman" w:hAnsi="Times New Roman" w:cs="Times New Roman"/>
          <w:lang w:val="en-GB"/>
        </w:rPr>
      </w:pPr>
      <w:r w:rsidRPr="00BD45D3">
        <w:rPr>
          <w:rStyle w:val="FootnoteReference"/>
          <w:rFonts w:ascii="Times New Roman" w:hAnsi="Times New Roman" w:cs="Times New Roman"/>
        </w:rPr>
        <w:footnoteRef/>
      </w:r>
      <w:r w:rsidRPr="00BD45D3">
        <w:rPr>
          <w:rFonts w:ascii="Times New Roman" w:hAnsi="Times New Roman" w:cs="Times New Roman"/>
        </w:rPr>
        <w:t xml:space="preserve"> </w:t>
      </w:r>
      <w:r>
        <w:rPr>
          <w:rFonts w:ascii="Times New Roman" w:hAnsi="Times New Roman" w:cs="Times New Roman"/>
          <w:lang w:val="en-GB"/>
        </w:rPr>
        <w:t>D</w:t>
      </w:r>
      <w:r w:rsidRPr="00BD45D3">
        <w:rPr>
          <w:rFonts w:ascii="Times New Roman" w:hAnsi="Times New Roman" w:cs="Times New Roman"/>
          <w:lang w:val="en-GB"/>
        </w:rPr>
        <w:t xml:space="preserve">ata </w:t>
      </w:r>
      <w:r>
        <w:rPr>
          <w:rFonts w:ascii="Times New Roman" w:hAnsi="Times New Roman" w:cs="Times New Roman"/>
          <w:lang w:val="en-GB"/>
        </w:rPr>
        <w:t xml:space="preserve">was obtained </w:t>
      </w:r>
      <w:r w:rsidRPr="00BD45D3">
        <w:rPr>
          <w:rFonts w:ascii="Times New Roman" w:hAnsi="Times New Roman" w:cs="Times New Roman"/>
          <w:lang w:val="en-GB"/>
        </w:rPr>
        <w:t xml:space="preserve">from the New York Times Github repository: </w:t>
      </w:r>
      <w:hyperlink r:id="rId2" w:history="1">
        <w:r w:rsidRPr="00BD45D3">
          <w:rPr>
            <w:rStyle w:val="Hyperlink"/>
            <w:rFonts w:ascii="Times New Roman" w:hAnsi="Times New Roman" w:cs="Times New Roman"/>
            <w:lang w:val="en-GB"/>
          </w:rPr>
          <w:t>https://github.com/nytimes/covid-19-data</w:t>
        </w:r>
      </w:hyperlink>
    </w:p>
  </w:footnote>
  <w:footnote w:id="16">
    <w:p w14:paraId="01ECE8FF" w14:textId="039A31C3" w:rsidR="00EA2E5B" w:rsidRPr="00BD45D3" w:rsidRDefault="00EA2E5B">
      <w:pPr>
        <w:pStyle w:val="FootnoteText"/>
        <w:rPr>
          <w:rFonts w:ascii="Times New Roman" w:hAnsi="Times New Roman" w:cs="Times New Roman"/>
          <w:lang w:val="en-AU"/>
        </w:rPr>
      </w:pPr>
      <w:r w:rsidRPr="00BD45D3">
        <w:rPr>
          <w:rStyle w:val="FootnoteReference"/>
          <w:rFonts w:ascii="Times New Roman" w:hAnsi="Times New Roman" w:cs="Times New Roman"/>
        </w:rPr>
        <w:footnoteRef/>
      </w:r>
      <w:r w:rsidRPr="00BD45D3">
        <w:rPr>
          <w:rFonts w:ascii="Times New Roman" w:hAnsi="Times New Roman" w:cs="Times New Roman"/>
        </w:rPr>
        <w:t xml:space="preserve"> FIPS: Federal Information Processing Standards</w:t>
      </w:r>
    </w:p>
  </w:footnote>
  <w:footnote w:id="17">
    <w:p w14:paraId="51006DD5" w14:textId="7E200FC3" w:rsidR="00EA2E5B" w:rsidRPr="00D247D4" w:rsidRDefault="00EA2E5B">
      <w:pPr>
        <w:pStyle w:val="FootnoteText"/>
        <w:rPr>
          <w:rFonts w:ascii="Times New Roman" w:hAnsi="Times New Roman" w:cs="Times New Roman"/>
          <w:color w:val="0563C1" w:themeColor="hyperlink"/>
          <w:u w:val="single"/>
          <w:lang w:val="en-GB"/>
        </w:rPr>
      </w:pPr>
      <w:r w:rsidRPr="00BD45D3">
        <w:rPr>
          <w:rStyle w:val="FootnoteReference"/>
          <w:rFonts w:ascii="Times New Roman" w:hAnsi="Times New Roman" w:cs="Times New Roman"/>
        </w:rPr>
        <w:footnoteRef/>
      </w:r>
      <w:r w:rsidRPr="00BD45D3">
        <w:rPr>
          <w:rFonts w:ascii="Times New Roman" w:hAnsi="Times New Roman" w:cs="Times New Roman"/>
        </w:rPr>
        <w:t xml:space="preserve"> </w:t>
      </w:r>
      <w:r w:rsidRPr="00BD45D3">
        <w:rPr>
          <w:rFonts w:ascii="Times New Roman" w:hAnsi="Times New Roman" w:cs="Times New Roman"/>
          <w:lang w:val="en-GB"/>
        </w:rPr>
        <w:t xml:space="preserve">Weather data (daily precipitation and temperature per U.S. county) were retrieved from NOAA’s National Climatic Data Center: </w:t>
      </w:r>
      <w:hyperlink r:id="rId3" w:history="1">
        <w:r w:rsidRPr="00A93BB4">
          <w:rPr>
            <w:rStyle w:val="Hyperlink"/>
            <w:rFonts w:ascii="Times New Roman" w:hAnsi="Times New Roman" w:cs="Times New Roman"/>
            <w:lang w:val="en-GB"/>
          </w:rPr>
          <w:t>http://www.ncdc.noaa.gov</w:t>
        </w:r>
      </w:hyperlink>
      <w:r>
        <w:rPr>
          <w:rFonts w:ascii="Times New Roman" w:hAnsi="Times New Roman" w:cs="Times New Roman"/>
          <w:lang w:val="en-GB"/>
        </w:rPr>
        <w:t>. I</w:t>
      </w:r>
      <w:r w:rsidRPr="00D247D4">
        <w:rPr>
          <w:rFonts w:ascii="Times New Roman" w:hAnsi="Times New Roman" w:cs="Times New Roman"/>
          <w:lang w:val="en-GB"/>
        </w:rPr>
        <w:t xml:space="preserve">n order to conduct our analysis, we had to </w:t>
      </w:r>
      <w:r>
        <w:rPr>
          <w:rFonts w:ascii="Times New Roman" w:hAnsi="Times New Roman" w:cs="Times New Roman"/>
          <w:lang w:val="en-GB"/>
        </w:rPr>
        <w:t>match</w:t>
      </w:r>
      <w:r w:rsidRPr="00D247D4">
        <w:rPr>
          <w:rFonts w:ascii="Times New Roman" w:hAnsi="Times New Roman" w:cs="Times New Roman"/>
          <w:lang w:val="en-GB"/>
        </w:rPr>
        <w:t xml:space="preserve"> the daily COVID-19 cases </w:t>
      </w:r>
      <w:r>
        <w:rPr>
          <w:rFonts w:ascii="Times New Roman" w:hAnsi="Times New Roman" w:cs="Times New Roman"/>
          <w:lang w:val="en-GB"/>
        </w:rPr>
        <w:t>to</w:t>
      </w:r>
      <w:r w:rsidRPr="00D247D4">
        <w:rPr>
          <w:rFonts w:ascii="Times New Roman" w:hAnsi="Times New Roman" w:cs="Times New Roman"/>
          <w:lang w:val="en-GB"/>
        </w:rPr>
        <w:t xml:space="preserve"> the daily temperature and precipitation for each county separately. The common reference point was the FIPS code which was readily available for the COVID-19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21F"/>
    <w:multiLevelType w:val="hybridMultilevel"/>
    <w:tmpl w:val="72CA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E067F"/>
    <w:multiLevelType w:val="multilevel"/>
    <w:tmpl w:val="BC569F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E67B6F"/>
    <w:multiLevelType w:val="hybridMultilevel"/>
    <w:tmpl w:val="67327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89A515F"/>
    <w:multiLevelType w:val="hybridMultilevel"/>
    <w:tmpl w:val="E4C4C010"/>
    <w:lvl w:ilvl="0" w:tplc="1AAE0040">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648E5"/>
    <w:multiLevelType w:val="hybridMultilevel"/>
    <w:tmpl w:val="763C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184712"/>
    <w:multiLevelType w:val="multilevel"/>
    <w:tmpl w:val="5D2CF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81E77F5"/>
    <w:multiLevelType w:val="hybridMultilevel"/>
    <w:tmpl w:val="8CF4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1E030B"/>
    <w:multiLevelType w:val="hybridMultilevel"/>
    <w:tmpl w:val="0926523C"/>
    <w:lvl w:ilvl="0" w:tplc="8A5EA100">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A00B5A"/>
    <w:multiLevelType w:val="multilevel"/>
    <w:tmpl w:val="352C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A067FC"/>
    <w:multiLevelType w:val="hybridMultilevel"/>
    <w:tmpl w:val="0D2A8420"/>
    <w:lvl w:ilvl="0" w:tplc="5044D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817E46"/>
    <w:multiLevelType w:val="hybridMultilevel"/>
    <w:tmpl w:val="F78A2408"/>
    <w:lvl w:ilvl="0" w:tplc="1AAE0040">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103138"/>
    <w:multiLevelType w:val="hybridMultilevel"/>
    <w:tmpl w:val="AEDE01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0"/>
  </w:num>
  <w:num w:numId="5">
    <w:abstractNumId w:val="5"/>
  </w:num>
  <w:num w:numId="6">
    <w:abstractNumId w:val="6"/>
  </w:num>
  <w:num w:numId="7">
    <w:abstractNumId w:val="4"/>
  </w:num>
  <w:num w:numId="8">
    <w:abstractNumId w:val="8"/>
  </w:num>
  <w:num w:numId="9">
    <w:abstractNumId w:val="2"/>
  </w:num>
  <w:num w:numId="10">
    <w:abstractNumId w:val="9"/>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69B"/>
    <w:rsid w:val="00000922"/>
    <w:rsid w:val="00000B35"/>
    <w:rsid w:val="00000EFB"/>
    <w:rsid w:val="00001433"/>
    <w:rsid w:val="0000189E"/>
    <w:rsid w:val="000029B8"/>
    <w:rsid w:val="0000304E"/>
    <w:rsid w:val="000031CD"/>
    <w:rsid w:val="000044D8"/>
    <w:rsid w:val="000051D6"/>
    <w:rsid w:val="000055F2"/>
    <w:rsid w:val="00005A4B"/>
    <w:rsid w:val="0000674A"/>
    <w:rsid w:val="000078C2"/>
    <w:rsid w:val="00010893"/>
    <w:rsid w:val="00011373"/>
    <w:rsid w:val="00013344"/>
    <w:rsid w:val="00015752"/>
    <w:rsid w:val="000177D5"/>
    <w:rsid w:val="00020C06"/>
    <w:rsid w:val="0002133A"/>
    <w:rsid w:val="00021E2B"/>
    <w:rsid w:val="0002230D"/>
    <w:rsid w:val="00023DDE"/>
    <w:rsid w:val="00024376"/>
    <w:rsid w:val="00024424"/>
    <w:rsid w:val="00024F3F"/>
    <w:rsid w:val="0002511C"/>
    <w:rsid w:val="00027793"/>
    <w:rsid w:val="00027A93"/>
    <w:rsid w:val="000318D3"/>
    <w:rsid w:val="00031D21"/>
    <w:rsid w:val="000329C1"/>
    <w:rsid w:val="00033FD9"/>
    <w:rsid w:val="00034CA3"/>
    <w:rsid w:val="00036320"/>
    <w:rsid w:val="00040615"/>
    <w:rsid w:val="0004062F"/>
    <w:rsid w:val="00041C39"/>
    <w:rsid w:val="00042219"/>
    <w:rsid w:val="00042742"/>
    <w:rsid w:val="00042DFF"/>
    <w:rsid w:val="00042E2D"/>
    <w:rsid w:val="000440BD"/>
    <w:rsid w:val="0004541D"/>
    <w:rsid w:val="00045FA5"/>
    <w:rsid w:val="00046F22"/>
    <w:rsid w:val="00047341"/>
    <w:rsid w:val="000479DC"/>
    <w:rsid w:val="000517A8"/>
    <w:rsid w:val="00051F27"/>
    <w:rsid w:val="000542F2"/>
    <w:rsid w:val="00055262"/>
    <w:rsid w:val="00056696"/>
    <w:rsid w:val="00056EEF"/>
    <w:rsid w:val="000630D9"/>
    <w:rsid w:val="000633B2"/>
    <w:rsid w:val="00063587"/>
    <w:rsid w:val="00063AE0"/>
    <w:rsid w:val="00065E79"/>
    <w:rsid w:val="00067BA6"/>
    <w:rsid w:val="00067CB2"/>
    <w:rsid w:val="00067F67"/>
    <w:rsid w:val="000703A2"/>
    <w:rsid w:val="00070D57"/>
    <w:rsid w:val="000716C5"/>
    <w:rsid w:val="000723AF"/>
    <w:rsid w:val="000736A4"/>
    <w:rsid w:val="00073955"/>
    <w:rsid w:val="00073B45"/>
    <w:rsid w:val="00073ECE"/>
    <w:rsid w:val="000776BE"/>
    <w:rsid w:val="00080BF2"/>
    <w:rsid w:val="000815B3"/>
    <w:rsid w:val="00083270"/>
    <w:rsid w:val="000842A3"/>
    <w:rsid w:val="000843A3"/>
    <w:rsid w:val="00084ECB"/>
    <w:rsid w:val="0008563D"/>
    <w:rsid w:val="00086259"/>
    <w:rsid w:val="00090386"/>
    <w:rsid w:val="00090BEC"/>
    <w:rsid w:val="0009349E"/>
    <w:rsid w:val="00093ECA"/>
    <w:rsid w:val="000949A6"/>
    <w:rsid w:val="000970A1"/>
    <w:rsid w:val="000A1B43"/>
    <w:rsid w:val="000A2726"/>
    <w:rsid w:val="000A3354"/>
    <w:rsid w:val="000A395D"/>
    <w:rsid w:val="000A4293"/>
    <w:rsid w:val="000A4D8C"/>
    <w:rsid w:val="000A57BF"/>
    <w:rsid w:val="000A5F76"/>
    <w:rsid w:val="000A6D21"/>
    <w:rsid w:val="000B0139"/>
    <w:rsid w:val="000B1463"/>
    <w:rsid w:val="000B1656"/>
    <w:rsid w:val="000B24AA"/>
    <w:rsid w:val="000B39ED"/>
    <w:rsid w:val="000B3E6A"/>
    <w:rsid w:val="000B5023"/>
    <w:rsid w:val="000B6EE5"/>
    <w:rsid w:val="000B70A3"/>
    <w:rsid w:val="000B7AF5"/>
    <w:rsid w:val="000C11A7"/>
    <w:rsid w:val="000C1225"/>
    <w:rsid w:val="000C313F"/>
    <w:rsid w:val="000C53C7"/>
    <w:rsid w:val="000C5815"/>
    <w:rsid w:val="000C5F4B"/>
    <w:rsid w:val="000C61A7"/>
    <w:rsid w:val="000C75E8"/>
    <w:rsid w:val="000C7D6B"/>
    <w:rsid w:val="000D03F1"/>
    <w:rsid w:val="000D0D44"/>
    <w:rsid w:val="000D109A"/>
    <w:rsid w:val="000D19B8"/>
    <w:rsid w:val="000D412A"/>
    <w:rsid w:val="000D416F"/>
    <w:rsid w:val="000D45E8"/>
    <w:rsid w:val="000D5A7F"/>
    <w:rsid w:val="000D66C3"/>
    <w:rsid w:val="000D7B32"/>
    <w:rsid w:val="000E0367"/>
    <w:rsid w:val="000E140B"/>
    <w:rsid w:val="000E3F73"/>
    <w:rsid w:val="000E3FB4"/>
    <w:rsid w:val="000E4AE9"/>
    <w:rsid w:val="000E5506"/>
    <w:rsid w:val="000E56F9"/>
    <w:rsid w:val="000E5947"/>
    <w:rsid w:val="000E785F"/>
    <w:rsid w:val="000F13E0"/>
    <w:rsid w:val="000F2ABA"/>
    <w:rsid w:val="000F376D"/>
    <w:rsid w:val="000F3916"/>
    <w:rsid w:val="000F61B2"/>
    <w:rsid w:val="000F6991"/>
    <w:rsid w:val="000F7040"/>
    <w:rsid w:val="000F7A89"/>
    <w:rsid w:val="0010282D"/>
    <w:rsid w:val="001030F8"/>
    <w:rsid w:val="0010337F"/>
    <w:rsid w:val="00103481"/>
    <w:rsid w:val="00103D8A"/>
    <w:rsid w:val="00104ECC"/>
    <w:rsid w:val="0010538C"/>
    <w:rsid w:val="001061E7"/>
    <w:rsid w:val="00107AE6"/>
    <w:rsid w:val="0011036C"/>
    <w:rsid w:val="00110AD9"/>
    <w:rsid w:val="0011264E"/>
    <w:rsid w:val="001128D4"/>
    <w:rsid w:val="00112EEA"/>
    <w:rsid w:val="00113EAF"/>
    <w:rsid w:val="001159D0"/>
    <w:rsid w:val="0011664B"/>
    <w:rsid w:val="00116A22"/>
    <w:rsid w:val="0012047A"/>
    <w:rsid w:val="00120946"/>
    <w:rsid w:val="00122BAB"/>
    <w:rsid w:val="00123437"/>
    <w:rsid w:val="00124914"/>
    <w:rsid w:val="001256CF"/>
    <w:rsid w:val="00126F8E"/>
    <w:rsid w:val="001271AF"/>
    <w:rsid w:val="001350FB"/>
    <w:rsid w:val="0013592B"/>
    <w:rsid w:val="00135950"/>
    <w:rsid w:val="00135EEB"/>
    <w:rsid w:val="00136106"/>
    <w:rsid w:val="001408EC"/>
    <w:rsid w:val="00143D68"/>
    <w:rsid w:val="001444A2"/>
    <w:rsid w:val="001444BA"/>
    <w:rsid w:val="0014662A"/>
    <w:rsid w:val="00146AE0"/>
    <w:rsid w:val="00146B4A"/>
    <w:rsid w:val="00146C39"/>
    <w:rsid w:val="00146FCB"/>
    <w:rsid w:val="00150A5E"/>
    <w:rsid w:val="00150A68"/>
    <w:rsid w:val="0015121E"/>
    <w:rsid w:val="00152199"/>
    <w:rsid w:val="00153FD6"/>
    <w:rsid w:val="001540E1"/>
    <w:rsid w:val="00154A1C"/>
    <w:rsid w:val="00154DA4"/>
    <w:rsid w:val="0015736D"/>
    <w:rsid w:val="001578BC"/>
    <w:rsid w:val="001606A5"/>
    <w:rsid w:val="001615AC"/>
    <w:rsid w:val="001626A2"/>
    <w:rsid w:val="00163F2F"/>
    <w:rsid w:val="00164CD3"/>
    <w:rsid w:val="00165C0D"/>
    <w:rsid w:val="00166D19"/>
    <w:rsid w:val="00166E7C"/>
    <w:rsid w:val="00166E90"/>
    <w:rsid w:val="001672B2"/>
    <w:rsid w:val="00167E2C"/>
    <w:rsid w:val="001718B9"/>
    <w:rsid w:val="00176E8F"/>
    <w:rsid w:val="00177B8F"/>
    <w:rsid w:val="00180B73"/>
    <w:rsid w:val="00180DE1"/>
    <w:rsid w:val="0018144E"/>
    <w:rsid w:val="00181A90"/>
    <w:rsid w:val="00181ADF"/>
    <w:rsid w:val="00181C7D"/>
    <w:rsid w:val="00181DA8"/>
    <w:rsid w:val="00183D54"/>
    <w:rsid w:val="001860BE"/>
    <w:rsid w:val="00186807"/>
    <w:rsid w:val="00186F1F"/>
    <w:rsid w:val="00187FE4"/>
    <w:rsid w:val="001961FA"/>
    <w:rsid w:val="00196644"/>
    <w:rsid w:val="0019671B"/>
    <w:rsid w:val="001969B2"/>
    <w:rsid w:val="001A0780"/>
    <w:rsid w:val="001A0BF2"/>
    <w:rsid w:val="001A25FB"/>
    <w:rsid w:val="001A2A6D"/>
    <w:rsid w:val="001A48F7"/>
    <w:rsid w:val="001A6187"/>
    <w:rsid w:val="001A65E0"/>
    <w:rsid w:val="001A72F7"/>
    <w:rsid w:val="001A7C8A"/>
    <w:rsid w:val="001A7F12"/>
    <w:rsid w:val="001B05DD"/>
    <w:rsid w:val="001B2092"/>
    <w:rsid w:val="001B236A"/>
    <w:rsid w:val="001B2805"/>
    <w:rsid w:val="001B331F"/>
    <w:rsid w:val="001B3AF7"/>
    <w:rsid w:val="001B658C"/>
    <w:rsid w:val="001B66D9"/>
    <w:rsid w:val="001B6716"/>
    <w:rsid w:val="001B7054"/>
    <w:rsid w:val="001C19A5"/>
    <w:rsid w:val="001C4495"/>
    <w:rsid w:val="001C6F6C"/>
    <w:rsid w:val="001D0455"/>
    <w:rsid w:val="001D1486"/>
    <w:rsid w:val="001D15AD"/>
    <w:rsid w:val="001D45E2"/>
    <w:rsid w:val="001D52CB"/>
    <w:rsid w:val="001D5968"/>
    <w:rsid w:val="001D5F05"/>
    <w:rsid w:val="001D6D80"/>
    <w:rsid w:val="001E0229"/>
    <w:rsid w:val="001E0CE3"/>
    <w:rsid w:val="001E24D5"/>
    <w:rsid w:val="001E4231"/>
    <w:rsid w:val="001E5287"/>
    <w:rsid w:val="001E7561"/>
    <w:rsid w:val="001E764D"/>
    <w:rsid w:val="001E7B5E"/>
    <w:rsid w:val="001F078E"/>
    <w:rsid w:val="001F09E3"/>
    <w:rsid w:val="001F13C3"/>
    <w:rsid w:val="001F335D"/>
    <w:rsid w:val="001F74FC"/>
    <w:rsid w:val="00200551"/>
    <w:rsid w:val="00200AA9"/>
    <w:rsid w:val="0020103A"/>
    <w:rsid w:val="0020133B"/>
    <w:rsid w:val="002014D1"/>
    <w:rsid w:val="00203C23"/>
    <w:rsid w:val="00203F74"/>
    <w:rsid w:val="00205C03"/>
    <w:rsid w:val="00206451"/>
    <w:rsid w:val="0021015F"/>
    <w:rsid w:val="00210276"/>
    <w:rsid w:val="002102CD"/>
    <w:rsid w:val="002109A9"/>
    <w:rsid w:val="002123E7"/>
    <w:rsid w:val="00212BEC"/>
    <w:rsid w:val="0021383C"/>
    <w:rsid w:val="00213E0F"/>
    <w:rsid w:val="00217500"/>
    <w:rsid w:val="00217BFC"/>
    <w:rsid w:val="002216A2"/>
    <w:rsid w:val="0022396D"/>
    <w:rsid w:val="00224F58"/>
    <w:rsid w:val="00225792"/>
    <w:rsid w:val="0022582F"/>
    <w:rsid w:val="00226F92"/>
    <w:rsid w:val="00227F79"/>
    <w:rsid w:val="00230C84"/>
    <w:rsid w:val="00230F92"/>
    <w:rsid w:val="002323BA"/>
    <w:rsid w:val="00232FD6"/>
    <w:rsid w:val="0023352E"/>
    <w:rsid w:val="00237E0A"/>
    <w:rsid w:val="00240BDE"/>
    <w:rsid w:val="00240C46"/>
    <w:rsid w:val="00241FE7"/>
    <w:rsid w:val="002430E9"/>
    <w:rsid w:val="0024479F"/>
    <w:rsid w:val="00247C56"/>
    <w:rsid w:val="0025054A"/>
    <w:rsid w:val="002524D7"/>
    <w:rsid w:val="00253011"/>
    <w:rsid w:val="00257D6B"/>
    <w:rsid w:val="00257D8E"/>
    <w:rsid w:val="002624D3"/>
    <w:rsid w:val="002634A5"/>
    <w:rsid w:val="00263960"/>
    <w:rsid w:val="00263BC9"/>
    <w:rsid w:val="00265209"/>
    <w:rsid w:val="00265A36"/>
    <w:rsid w:val="002665BF"/>
    <w:rsid w:val="0026681E"/>
    <w:rsid w:val="00266C31"/>
    <w:rsid w:val="00267031"/>
    <w:rsid w:val="00267323"/>
    <w:rsid w:val="0026748B"/>
    <w:rsid w:val="002678C5"/>
    <w:rsid w:val="002719FD"/>
    <w:rsid w:val="00272551"/>
    <w:rsid w:val="002745E9"/>
    <w:rsid w:val="0027561A"/>
    <w:rsid w:val="00280668"/>
    <w:rsid w:val="00281510"/>
    <w:rsid w:val="00281D03"/>
    <w:rsid w:val="00282D86"/>
    <w:rsid w:val="0028341A"/>
    <w:rsid w:val="00285115"/>
    <w:rsid w:val="002868E1"/>
    <w:rsid w:val="00286AC2"/>
    <w:rsid w:val="00287C81"/>
    <w:rsid w:val="00287F8C"/>
    <w:rsid w:val="002902A6"/>
    <w:rsid w:val="0029116A"/>
    <w:rsid w:val="002946B8"/>
    <w:rsid w:val="00294F0B"/>
    <w:rsid w:val="002954EA"/>
    <w:rsid w:val="00295DA6"/>
    <w:rsid w:val="002968EE"/>
    <w:rsid w:val="00296A33"/>
    <w:rsid w:val="0029725D"/>
    <w:rsid w:val="002978E3"/>
    <w:rsid w:val="002979EC"/>
    <w:rsid w:val="002A156F"/>
    <w:rsid w:val="002A1F74"/>
    <w:rsid w:val="002A3119"/>
    <w:rsid w:val="002A3458"/>
    <w:rsid w:val="002A741F"/>
    <w:rsid w:val="002A7478"/>
    <w:rsid w:val="002B02E2"/>
    <w:rsid w:val="002B0612"/>
    <w:rsid w:val="002B0F8C"/>
    <w:rsid w:val="002B105B"/>
    <w:rsid w:val="002B2927"/>
    <w:rsid w:val="002B2C10"/>
    <w:rsid w:val="002B2CC9"/>
    <w:rsid w:val="002B3093"/>
    <w:rsid w:val="002B6C54"/>
    <w:rsid w:val="002B7B6B"/>
    <w:rsid w:val="002C023F"/>
    <w:rsid w:val="002C0825"/>
    <w:rsid w:val="002C3292"/>
    <w:rsid w:val="002C41EB"/>
    <w:rsid w:val="002C45DB"/>
    <w:rsid w:val="002C494C"/>
    <w:rsid w:val="002C77AD"/>
    <w:rsid w:val="002D012D"/>
    <w:rsid w:val="002D0516"/>
    <w:rsid w:val="002D06B7"/>
    <w:rsid w:val="002D0B79"/>
    <w:rsid w:val="002D7F9A"/>
    <w:rsid w:val="002E0250"/>
    <w:rsid w:val="002E1097"/>
    <w:rsid w:val="002E325E"/>
    <w:rsid w:val="002E4091"/>
    <w:rsid w:val="002E469F"/>
    <w:rsid w:val="002E55EA"/>
    <w:rsid w:val="002E698C"/>
    <w:rsid w:val="002F0387"/>
    <w:rsid w:val="002F0A03"/>
    <w:rsid w:val="002F1C52"/>
    <w:rsid w:val="002F25A3"/>
    <w:rsid w:val="002F276E"/>
    <w:rsid w:val="002F3604"/>
    <w:rsid w:val="002F3619"/>
    <w:rsid w:val="002F420C"/>
    <w:rsid w:val="002F441B"/>
    <w:rsid w:val="002F5035"/>
    <w:rsid w:val="002F520B"/>
    <w:rsid w:val="002F5ACD"/>
    <w:rsid w:val="00300F94"/>
    <w:rsid w:val="00302971"/>
    <w:rsid w:val="00303AB7"/>
    <w:rsid w:val="0030433F"/>
    <w:rsid w:val="003044E8"/>
    <w:rsid w:val="00304CA3"/>
    <w:rsid w:val="0030525E"/>
    <w:rsid w:val="00305CF9"/>
    <w:rsid w:val="00305FAF"/>
    <w:rsid w:val="00306866"/>
    <w:rsid w:val="003106E6"/>
    <w:rsid w:val="00314602"/>
    <w:rsid w:val="00316E79"/>
    <w:rsid w:val="0031757E"/>
    <w:rsid w:val="00317FC1"/>
    <w:rsid w:val="003207D2"/>
    <w:rsid w:val="00320DAD"/>
    <w:rsid w:val="003214B8"/>
    <w:rsid w:val="00322A12"/>
    <w:rsid w:val="00323860"/>
    <w:rsid w:val="00324D93"/>
    <w:rsid w:val="003259A4"/>
    <w:rsid w:val="00326318"/>
    <w:rsid w:val="00331720"/>
    <w:rsid w:val="00331BAF"/>
    <w:rsid w:val="00331BE0"/>
    <w:rsid w:val="003328B5"/>
    <w:rsid w:val="003333AB"/>
    <w:rsid w:val="00333A26"/>
    <w:rsid w:val="00335216"/>
    <w:rsid w:val="003365CB"/>
    <w:rsid w:val="003365D5"/>
    <w:rsid w:val="003367E4"/>
    <w:rsid w:val="00337588"/>
    <w:rsid w:val="00342CD6"/>
    <w:rsid w:val="003433FC"/>
    <w:rsid w:val="0034367F"/>
    <w:rsid w:val="00344CE7"/>
    <w:rsid w:val="00344D4B"/>
    <w:rsid w:val="00345E14"/>
    <w:rsid w:val="00345EAB"/>
    <w:rsid w:val="00346C17"/>
    <w:rsid w:val="00346FA0"/>
    <w:rsid w:val="0034784E"/>
    <w:rsid w:val="003503D7"/>
    <w:rsid w:val="003515F9"/>
    <w:rsid w:val="003516A2"/>
    <w:rsid w:val="00353637"/>
    <w:rsid w:val="003553DC"/>
    <w:rsid w:val="00356B5B"/>
    <w:rsid w:val="0036027F"/>
    <w:rsid w:val="003603BE"/>
    <w:rsid w:val="003606AD"/>
    <w:rsid w:val="00362556"/>
    <w:rsid w:val="00362A21"/>
    <w:rsid w:val="00363461"/>
    <w:rsid w:val="003643A1"/>
    <w:rsid w:val="003649B2"/>
    <w:rsid w:val="00364FE1"/>
    <w:rsid w:val="00365CCF"/>
    <w:rsid w:val="00367136"/>
    <w:rsid w:val="00367916"/>
    <w:rsid w:val="0037028B"/>
    <w:rsid w:val="00370516"/>
    <w:rsid w:val="0037174F"/>
    <w:rsid w:val="00371914"/>
    <w:rsid w:val="00372417"/>
    <w:rsid w:val="00375F23"/>
    <w:rsid w:val="00376422"/>
    <w:rsid w:val="00377B4B"/>
    <w:rsid w:val="003834A8"/>
    <w:rsid w:val="00383F12"/>
    <w:rsid w:val="003844DE"/>
    <w:rsid w:val="003856BD"/>
    <w:rsid w:val="003860C5"/>
    <w:rsid w:val="00386488"/>
    <w:rsid w:val="00386B8F"/>
    <w:rsid w:val="00390300"/>
    <w:rsid w:val="003920C9"/>
    <w:rsid w:val="003923F4"/>
    <w:rsid w:val="003924CA"/>
    <w:rsid w:val="003934F7"/>
    <w:rsid w:val="00393A57"/>
    <w:rsid w:val="00394163"/>
    <w:rsid w:val="003947CA"/>
    <w:rsid w:val="00396E92"/>
    <w:rsid w:val="0039707B"/>
    <w:rsid w:val="003A01BB"/>
    <w:rsid w:val="003A15AC"/>
    <w:rsid w:val="003A2814"/>
    <w:rsid w:val="003A2955"/>
    <w:rsid w:val="003A3D9C"/>
    <w:rsid w:val="003A4363"/>
    <w:rsid w:val="003A570C"/>
    <w:rsid w:val="003A7ACB"/>
    <w:rsid w:val="003A7DD0"/>
    <w:rsid w:val="003B0B62"/>
    <w:rsid w:val="003B17C8"/>
    <w:rsid w:val="003B2B20"/>
    <w:rsid w:val="003B41C2"/>
    <w:rsid w:val="003B478B"/>
    <w:rsid w:val="003B5B99"/>
    <w:rsid w:val="003B5D19"/>
    <w:rsid w:val="003B6AFB"/>
    <w:rsid w:val="003C3E14"/>
    <w:rsid w:val="003C48BA"/>
    <w:rsid w:val="003C58D2"/>
    <w:rsid w:val="003C59E3"/>
    <w:rsid w:val="003C63E0"/>
    <w:rsid w:val="003C64B9"/>
    <w:rsid w:val="003C71B0"/>
    <w:rsid w:val="003D027E"/>
    <w:rsid w:val="003D0DAB"/>
    <w:rsid w:val="003D2D74"/>
    <w:rsid w:val="003D45E6"/>
    <w:rsid w:val="003D5D70"/>
    <w:rsid w:val="003D7BD2"/>
    <w:rsid w:val="003E0441"/>
    <w:rsid w:val="003E425B"/>
    <w:rsid w:val="003E5AD8"/>
    <w:rsid w:val="003E63B4"/>
    <w:rsid w:val="003E79B5"/>
    <w:rsid w:val="003F00B0"/>
    <w:rsid w:val="003F0325"/>
    <w:rsid w:val="003F1789"/>
    <w:rsid w:val="003F4630"/>
    <w:rsid w:val="003F54FC"/>
    <w:rsid w:val="003F5642"/>
    <w:rsid w:val="003F7A90"/>
    <w:rsid w:val="00400346"/>
    <w:rsid w:val="00401484"/>
    <w:rsid w:val="0040163E"/>
    <w:rsid w:val="004016B3"/>
    <w:rsid w:val="004021CB"/>
    <w:rsid w:val="00402531"/>
    <w:rsid w:val="00404D42"/>
    <w:rsid w:val="0040559A"/>
    <w:rsid w:val="00405768"/>
    <w:rsid w:val="00406E85"/>
    <w:rsid w:val="00407AFA"/>
    <w:rsid w:val="00410789"/>
    <w:rsid w:val="00411C81"/>
    <w:rsid w:val="00411F22"/>
    <w:rsid w:val="00412369"/>
    <w:rsid w:val="004135A1"/>
    <w:rsid w:val="00413E50"/>
    <w:rsid w:val="00414135"/>
    <w:rsid w:val="00415636"/>
    <w:rsid w:val="00415675"/>
    <w:rsid w:val="004202FA"/>
    <w:rsid w:val="004210B2"/>
    <w:rsid w:val="00421382"/>
    <w:rsid w:val="00421CD1"/>
    <w:rsid w:val="004247C6"/>
    <w:rsid w:val="00424F2C"/>
    <w:rsid w:val="00425022"/>
    <w:rsid w:val="0043058F"/>
    <w:rsid w:val="004317B1"/>
    <w:rsid w:val="00431834"/>
    <w:rsid w:val="004319F8"/>
    <w:rsid w:val="00431C51"/>
    <w:rsid w:val="0043501F"/>
    <w:rsid w:val="00435F02"/>
    <w:rsid w:val="00436FB2"/>
    <w:rsid w:val="0044071C"/>
    <w:rsid w:val="00444EAB"/>
    <w:rsid w:val="0044505E"/>
    <w:rsid w:val="004453F2"/>
    <w:rsid w:val="004466A0"/>
    <w:rsid w:val="0044761E"/>
    <w:rsid w:val="00450994"/>
    <w:rsid w:val="004514B4"/>
    <w:rsid w:val="00451693"/>
    <w:rsid w:val="00452F16"/>
    <w:rsid w:val="00453A2E"/>
    <w:rsid w:val="004543DE"/>
    <w:rsid w:val="00454B3E"/>
    <w:rsid w:val="0045528C"/>
    <w:rsid w:val="00456DD0"/>
    <w:rsid w:val="004576E9"/>
    <w:rsid w:val="00457E72"/>
    <w:rsid w:val="00461131"/>
    <w:rsid w:val="004612C6"/>
    <w:rsid w:val="004614C6"/>
    <w:rsid w:val="0046151E"/>
    <w:rsid w:val="00463873"/>
    <w:rsid w:val="00463B48"/>
    <w:rsid w:val="00463DF6"/>
    <w:rsid w:val="004679F5"/>
    <w:rsid w:val="0047321C"/>
    <w:rsid w:val="00476460"/>
    <w:rsid w:val="00483222"/>
    <w:rsid w:val="0048585B"/>
    <w:rsid w:val="00486013"/>
    <w:rsid w:val="0048606C"/>
    <w:rsid w:val="0049093C"/>
    <w:rsid w:val="00495386"/>
    <w:rsid w:val="004964EB"/>
    <w:rsid w:val="004978B3"/>
    <w:rsid w:val="004A0D84"/>
    <w:rsid w:val="004A110F"/>
    <w:rsid w:val="004A36EA"/>
    <w:rsid w:val="004A3DF5"/>
    <w:rsid w:val="004A5788"/>
    <w:rsid w:val="004B293F"/>
    <w:rsid w:val="004B3114"/>
    <w:rsid w:val="004B320F"/>
    <w:rsid w:val="004B4E34"/>
    <w:rsid w:val="004C0A61"/>
    <w:rsid w:val="004C15E1"/>
    <w:rsid w:val="004C63BA"/>
    <w:rsid w:val="004C7B88"/>
    <w:rsid w:val="004D0AD6"/>
    <w:rsid w:val="004D14DD"/>
    <w:rsid w:val="004D24DD"/>
    <w:rsid w:val="004D48A7"/>
    <w:rsid w:val="004D5E91"/>
    <w:rsid w:val="004D7B2C"/>
    <w:rsid w:val="004E0C9B"/>
    <w:rsid w:val="004E1068"/>
    <w:rsid w:val="004E2FDB"/>
    <w:rsid w:val="004F18E3"/>
    <w:rsid w:val="004F2508"/>
    <w:rsid w:val="004F3196"/>
    <w:rsid w:val="004F3933"/>
    <w:rsid w:val="004F65F9"/>
    <w:rsid w:val="005000D8"/>
    <w:rsid w:val="005022A7"/>
    <w:rsid w:val="00502BA9"/>
    <w:rsid w:val="005039C8"/>
    <w:rsid w:val="0050587B"/>
    <w:rsid w:val="00510882"/>
    <w:rsid w:val="00510E52"/>
    <w:rsid w:val="00511B76"/>
    <w:rsid w:val="005128E5"/>
    <w:rsid w:val="00512B16"/>
    <w:rsid w:val="00513688"/>
    <w:rsid w:val="00514F2D"/>
    <w:rsid w:val="00515134"/>
    <w:rsid w:val="00515A3C"/>
    <w:rsid w:val="00515E93"/>
    <w:rsid w:val="0051613D"/>
    <w:rsid w:val="00517C32"/>
    <w:rsid w:val="00520065"/>
    <w:rsid w:val="00520204"/>
    <w:rsid w:val="00520817"/>
    <w:rsid w:val="00520A95"/>
    <w:rsid w:val="00520C82"/>
    <w:rsid w:val="00520D33"/>
    <w:rsid w:val="00522875"/>
    <w:rsid w:val="00523D17"/>
    <w:rsid w:val="00524667"/>
    <w:rsid w:val="00524ED3"/>
    <w:rsid w:val="00525A8B"/>
    <w:rsid w:val="005262AC"/>
    <w:rsid w:val="00530073"/>
    <w:rsid w:val="00530C5A"/>
    <w:rsid w:val="005318C4"/>
    <w:rsid w:val="00532EF4"/>
    <w:rsid w:val="005345EF"/>
    <w:rsid w:val="00534F56"/>
    <w:rsid w:val="005353E8"/>
    <w:rsid w:val="00535C23"/>
    <w:rsid w:val="0053627F"/>
    <w:rsid w:val="00537926"/>
    <w:rsid w:val="00541356"/>
    <w:rsid w:val="00541E99"/>
    <w:rsid w:val="005421B4"/>
    <w:rsid w:val="005429E3"/>
    <w:rsid w:val="00543A0B"/>
    <w:rsid w:val="005452A0"/>
    <w:rsid w:val="005455AA"/>
    <w:rsid w:val="0054561A"/>
    <w:rsid w:val="00546ADF"/>
    <w:rsid w:val="00546B13"/>
    <w:rsid w:val="00547B82"/>
    <w:rsid w:val="00552542"/>
    <w:rsid w:val="00557C67"/>
    <w:rsid w:val="005611FC"/>
    <w:rsid w:val="00561759"/>
    <w:rsid w:val="00562B7C"/>
    <w:rsid w:val="00563486"/>
    <w:rsid w:val="00565C27"/>
    <w:rsid w:val="005746AD"/>
    <w:rsid w:val="00574C83"/>
    <w:rsid w:val="005754DF"/>
    <w:rsid w:val="0057579C"/>
    <w:rsid w:val="00581D4A"/>
    <w:rsid w:val="0058491B"/>
    <w:rsid w:val="005866F3"/>
    <w:rsid w:val="00586CF5"/>
    <w:rsid w:val="005876C9"/>
    <w:rsid w:val="00591B6C"/>
    <w:rsid w:val="005934BE"/>
    <w:rsid w:val="00594699"/>
    <w:rsid w:val="00595E0A"/>
    <w:rsid w:val="00596EA2"/>
    <w:rsid w:val="005973E7"/>
    <w:rsid w:val="005A04EE"/>
    <w:rsid w:val="005A053E"/>
    <w:rsid w:val="005A1175"/>
    <w:rsid w:val="005A160C"/>
    <w:rsid w:val="005A2AAD"/>
    <w:rsid w:val="005A3865"/>
    <w:rsid w:val="005A5A62"/>
    <w:rsid w:val="005A6EAB"/>
    <w:rsid w:val="005B0C2A"/>
    <w:rsid w:val="005B1F4F"/>
    <w:rsid w:val="005B2F4A"/>
    <w:rsid w:val="005B539F"/>
    <w:rsid w:val="005C1048"/>
    <w:rsid w:val="005C1078"/>
    <w:rsid w:val="005C1DCF"/>
    <w:rsid w:val="005C24A0"/>
    <w:rsid w:val="005C2C03"/>
    <w:rsid w:val="005C46C0"/>
    <w:rsid w:val="005C4F9E"/>
    <w:rsid w:val="005C62B5"/>
    <w:rsid w:val="005C6CEB"/>
    <w:rsid w:val="005C73C5"/>
    <w:rsid w:val="005D040B"/>
    <w:rsid w:val="005D0519"/>
    <w:rsid w:val="005D3321"/>
    <w:rsid w:val="005D4148"/>
    <w:rsid w:val="005D7114"/>
    <w:rsid w:val="005D73A1"/>
    <w:rsid w:val="005E2501"/>
    <w:rsid w:val="005E3D4C"/>
    <w:rsid w:val="005E42B3"/>
    <w:rsid w:val="005E42C6"/>
    <w:rsid w:val="005E4530"/>
    <w:rsid w:val="005E555B"/>
    <w:rsid w:val="005E57BC"/>
    <w:rsid w:val="005E727B"/>
    <w:rsid w:val="005E7BFD"/>
    <w:rsid w:val="005F1629"/>
    <w:rsid w:val="005F17BB"/>
    <w:rsid w:val="005F1D0C"/>
    <w:rsid w:val="005F1DA6"/>
    <w:rsid w:val="005F389E"/>
    <w:rsid w:val="005F438A"/>
    <w:rsid w:val="005F60F9"/>
    <w:rsid w:val="006020DF"/>
    <w:rsid w:val="00605739"/>
    <w:rsid w:val="00607D25"/>
    <w:rsid w:val="0061233C"/>
    <w:rsid w:val="00612575"/>
    <w:rsid w:val="0061294A"/>
    <w:rsid w:val="00614111"/>
    <w:rsid w:val="00614A92"/>
    <w:rsid w:val="006153B9"/>
    <w:rsid w:val="00615C2B"/>
    <w:rsid w:val="006174E6"/>
    <w:rsid w:val="00620CEF"/>
    <w:rsid w:val="006216A4"/>
    <w:rsid w:val="00621AD2"/>
    <w:rsid w:val="00621D0E"/>
    <w:rsid w:val="00623E2E"/>
    <w:rsid w:val="00624A9B"/>
    <w:rsid w:val="00624EBB"/>
    <w:rsid w:val="00625327"/>
    <w:rsid w:val="00625791"/>
    <w:rsid w:val="00626700"/>
    <w:rsid w:val="00631772"/>
    <w:rsid w:val="00631AB3"/>
    <w:rsid w:val="00632076"/>
    <w:rsid w:val="0063290B"/>
    <w:rsid w:val="00632B7C"/>
    <w:rsid w:val="00635827"/>
    <w:rsid w:val="00635F9A"/>
    <w:rsid w:val="00636664"/>
    <w:rsid w:val="006413B1"/>
    <w:rsid w:val="00644433"/>
    <w:rsid w:val="00646238"/>
    <w:rsid w:val="00646C60"/>
    <w:rsid w:val="006476C6"/>
    <w:rsid w:val="00647BED"/>
    <w:rsid w:val="0065019B"/>
    <w:rsid w:val="00650260"/>
    <w:rsid w:val="00650978"/>
    <w:rsid w:val="0065109E"/>
    <w:rsid w:val="00651D35"/>
    <w:rsid w:val="00652500"/>
    <w:rsid w:val="00652C73"/>
    <w:rsid w:val="0065459B"/>
    <w:rsid w:val="006567C7"/>
    <w:rsid w:val="006573DA"/>
    <w:rsid w:val="006576F9"/>
    <w:rsid w:val="00657C91"/>
    <w:rsid w:val="0066013D"/>
    <w:rsid w:val="0066029F"/>
    <w:rsid w:val="00663D73"/>
    <w:rsid w:val="00663D86"/>
    <w:rsid w:val="0066413D"/>
    <w:rsid w:val="006652D5"/>
    <w:rsid w:val="006656C6"/>
    <w:rsid w:val="006702F8"/>
    <w:rsid w:val="006719C1"/>
    <w:rsid w:val="00675DC8"/>
    <w:rsid w:val="0067641E"/>
    <w:rsid w:val="00680B91"/>
    <w:rsid w:val="00680D60"/>
    <w:rsid w:val="006817A2"/>
    <w:rsid w:val="00681B22"/>
    <w:rsid w:val="006847F9"/>
    <w:rsid w:val="00686184"/>
    <w:rsid w:val="00687669"/>
    <w:rsid w:val="00687866"/>
    <w:rsid w:val="00692535"/>
    <w:rsid w:val="00695EC4"/>
    <w:rsid w:val="00696981"/>
    <w:rsid w:val="00696EDE"/>
    <w:rsid w:val="006A015A"/>
    <w:rsid w:val="006A133E"/>
    <w:rsid w:val="006A14A6"/>
    <w:rsid w:val="006A1A4E"/>
    <w:rsid w:val="006A204A"/>
    <w:rsid w:val="006A5806"/>
    <w:rsid w:val="006A6477"/>
    <w:rsid w:val="006A7740"/>
    <w:rsid w:val="006B0F2D"/>
    <w:rsid w:val="006B2162"/>
    <w:rsid w:val="006B2397"/>
    <w:rsid w:val="006B3263"/>
    <w:rsid w:val="006B373B"/>
    <w:rsid w:val="006B40F9"/>
    <w:rsid w:val="006B536A"/>
    <w:rsid w:val="006B62A0"/>
    <w:rsid w:val="006B6313"/>
    <w:rsid w:val="006C3A49"/>
    <w:rsid w:val="006C4912"/>
    <w:rsid w:val="006C52B5"/>
    <w:rsid w:val="006C5C09"/>
    <w:rsid w:val="006D36CF"/>
    <w:rsid w:val="006D395E"/>
    <w:rsid w:val="006D3F63"/>
    <w:rsid w:val="006D3F7D"/>
    <w:rsid w:val="006D5425"/>
    <w:rsid w:val="006D5A78"/>
    <w:rsid w:val="006D6105"/>
    <w:rsid w:val="006D66C5"/>
    <w:rsid w:val="006D68E0"/>
    <w:rsid w:val="006D6CD4"/>
    <w:rsid w:val="006D7696"/>
    <w:rsid w:val="006D77CE"/>
    <w:rsid w:val="006E130F"/>
    <w:rsid w:val="006E22C5"/>
    <w:rsid w:val="006E4A52"/>
    <w:rsid w:val="006E629A"/>
    <w:rsid w:val="006F114D"/>
    <w:rsid w:val="006F13EE"/>
    <w:rsid w:val="006F186C"/>
    <w:rsid w:val="006F1956"/>
    <w:rsid w:val="006F1B1A"/>
    <w:rsid w:val="006F2DDE"/>
    <w:rsid w:val="006F34CE"/>
    <w:rsid w:val="006F3A10"/>
    <w:rsid w:val="006F40A8"/>
    <w:rsid w:val="006F4CE3"/>
    <w:rsid w:val="006F4EC9"/>
    <w:rsid w:val="006F6438"/>
    <w:rsid w:val="006F7F51"/>
    <w:rsid w:val="00702064"/>
    <w:rsid w:val="007022B6"/>
    <w:rsid w:val="00702313"/>
    <w:rsid w:val="007024B3"/>
    <w:rsid w:val="00703262"/>
    <w:rsid w:val="00705452"/>
    <w:rsid w:val="0070580D"/>
    <w:rsid w:val="007065BD"/>
    <w:rsid w:val="00706D01"/>
    <w:rsid w:val="00706E38"/>
    <w:rsid w:val="00707B1B"/>
    <w:rsid w:val="007102A1"/>
    <w:rsid w:val="00710E0A"/>
    <w:rsid w:val="0071194F"/>
    <w:rsid w:val="00712626"/>
    <w:rsid w:val="00712C96"/>
    <w:rsid w:val="007143BC"/>
    <w:rsid w:val="007158C4"/>
    <w:rsid w:val="00716226"/>
    <w:rsid w:val="0071680C"/>
    <w:rsid w:val="007171CF"/>
    <w:rsid w:val="007173F0"/>
    <w:rsid w:val="00720116"/>
    <w:rsid w:val="00721DEF"/>
    <w:rsid w:val="00722192"/>
    <w:rsid w:val="00723E56"/>
    <w:rsid w:val="0072457B"/>
    <w:rsid w:val="0072475D"/>
    <w:rsid w:val="00726A83"/>
    <w:rsid w:val="00727432"/>
    <w:rsid w:val="0072761C"/>
    <w:rsid w:val="00733522"/>
    <w:rsid w:val="007337F2"/>
    <w:rsid w:val="007339D7"/>
    <w:rsid w:val="007341B8"/>
    <w:rsid w:val="00734897"/>
    <w:rsid w:val="00735379"/>
    <w:rsid w:val="00735B9E"/>
    <w:rsid w:val="00735DAB"/>
    <w:rsid w:val="00737664"/>
    <w:rsid w:val="00740F36"/>
    <w:rsid w:val="00747D4F"/>
    <w:rsid w:val="00750E37"/>
    <w:rsid w:val="00752155"/>
    <w:rsid w:val="00755032"/>
    <w:rsid w:val="007564BD"/>
    <w:rsid w:val="0075663F"/>
    <w:rsid w:val="00756B58"/>
    <w:rsid w:val="007605A0"/>
    <w:rsid w:val="00760F35"/>
    <w:rsid w:val="007637BC"/>
    <w:rsid w:val="00767967"/>
    <w:rsid w:val="0077071B"/>
    <w:rsid w:val="00770C2F"/>
    <w:rsid w:val="007719CB"/>
    <w:rsid w:val="00771F30"/>
    <w:rsid w:val="00772235"/>
    <w:rsid w:val="00772E6C"/>
    <w:rsid w:val="00773333"/>
    <w:rsid w:val="00773A98"/>
    <w:rsid w:val="00774344"/>
    <w:rsid w:val="007749DC"/>
    <w:rsid w:val="00775BE0"/>
    <w:rsid w:val="0077698D"/>
    <w:rsid w:val="00777945"/>
    <w:rsid w:val="007779DB"/>
    <w:rsid w:val="007815F3"/>
    <w:rsid w:val="007851ED"/>
    <w:rsid w:val="007851FF"/>
    <w:rsid w:val="00787F9F"/>
    <w:rsid w:val="00790886"/>
    <w:rsid w:val="00790B15"/>
    <w:rsid w:val="0079315D"/>
    <w:rsid w:val="00794AF6"/>
    <w:rsid w:val="00796583"/>
    <w:rsid w:val="00796A6C"/>
    <w:rsid w:val="00796CEA"/>
    <w:rsid w:val="007A1A0E"/>
    <w:rsid w:val="007A22D6"/>
    <w:rsid w:val="007A33B9"/>
    <w:rsid w:val="007A4FB8"/>
    <w:rsid w:val="007A52ED"/>
    <w:rsid w:val="007A6936"/>
    <w:rsid w:val="007A6E33"/>
    <w:rsid w:val="007A7889"/>
    <w:rsid w:val="007B05D7"/>
    <w:rsid w:val="007B2A0F"/>
    <w:rsid w:val="007B2F35"/>
    <w:rsid w:val="007B4C1D"/>
    <w:rsid w:val="007B6221"/>
    <w:rsid w:val="007B7045"/>
    <w:rsid w:val="007C0022"/>
    <w:rsid w:val="007C0886"/>
    <w:rsid w:val="007C0D5C"/>
    <w:rsid w:val="007C181A"/>
    <w:rsid w:val="007C1A42"/>
    <w:rsid w:val="007C21D2"/>
    <w:rsid w:val="007C2257"/>
    <w:rsid w:val="007C233B"/>
    <w:rsid w:val="007C4321"/>
    <w:rsid w:val="007C45A5"/>
    <w:rsid w:val="007C6A23"/>
    <w:rsid w:val="007D13CF"/>
    <w:rsid w:val="007D1CA6"/>
    <w:rsid w:val="007D3A4B"/>
    <w:rsid w:val="007D42AE"/>
    <w:rsid w:val="007D433C"/>
    <w:rsid w:val="007D4374"/>
    <w:rsid w:val="007D57DA"/>
    <w:rsid w:val="007D66EE"/>
    <w:rsid w:val="007E099B"/>
    <w:rsid w:val="007E4E42"/>
    <w:rsid w:val="007E54D7"/>
    <w:rsid w:val="007E6784"/>
    <w:rsid w:val="007F1B69"/>
    <w:rsid w:val="007F4AB2"/>
    <w:rsid w:val="007F4C7E"/>
    <w:rsid w:val="007F4E42"/>
    <w:rsid w:val="007F62B6"/>
    <w:rsid w:val="007F685B"/>
    <w:rsid w:val="007F721B"/>
    <w:rsid w:val="007F7691"/>
    <w:rsid w:val="00800608"/>
    <w:rsid w:val="00800BB3"/>
    <w:rsid w:val="008023B6"/>
    <w:rsid w:val="0080315E"/>
    <w:rsid w:val="00803185"/>
    <w:rsid w:val="00803D79"/>
    <w:rsid w:val="00803F24"/>
    <w:rsid w:val="008048CD"/>
    <w:rsid w:val="008048E3"/>
    <w:rsid w:val="00804A6D"/>
    <w:rsid w:val="0080544E"/>
    <w:rsid w:val="00805625"/>
    <w:rsid w:val="00805BA3"/>
    <w:rsid w:val="00805D8A"/>
    <w:rsid w:val="008069E4"/>
    <w:rsid w:val="00806D26"/>
    <w:rsid w:val="008078BD"/>
    <w:rsid w:val="008102D2"/>
    <w:rsid w:val="00810BDB"/>
    <w:rsid w:val="0081121E"/>
    <w:rsid w:val="00813194"/>
    <w:rsid w:val="00813D64"/>
    <w:rsid w:val="00814648"/>
    <w:rsid w:val="0081543A"/>
    <w:rsid w:val="00816F38"/>
    <w:rsid w:val="0081740B"/>
    <w:rsid w:val="0081791D"/>
    <w:rsid w:val="00820AEB"/>
    <w:rsid w:val="00821598"/>
    <w:rsid w:val="00822352"/>
    <w:rsid w:val="0082326B"/>
    <w:rsid w:val="00823763"/>
    <w:rsid w:val="0082452A"/>
    <w:rsid w:val="0082464F"/>
    <w:rsid w:val="00827AB2"/>
    <w:rsid w:val="00827EAB"/>
    <w:rsid w:val="00832EAA"/>
    <w:rsid w:val="0083528E"/>
    <w:rsid w:val="00835360"/>
    <w:rsid w:val="00837124"/>
    <w:rsid w:val="00837E04"/>
    <w:rsid w:val="0084080E"/>
    <w:rsid w:val="00840B92"/>
    <w:rsid w:val="00840BB6"/>
    <w:rsid w:val="0084253B"/>
    <w:rsid w:val="008434AA"/>
    <w:rsid w:val="008434E0"/>
    <w:rsid w:val="00844B2E"/>
    <w:rsid w:val="008452DF"/>
    <w:rsid w:val="00845D0E"/>
    <w:rsid w:val="0084782F"/>
    <w:rsid w:val="00853AF9"/>
    <w:rsid w:val="00854D46"/>
    <w:rsid w:val="00855DC9"/>
    <w:rsid w:val="008575EE"/>
    <w:rsid w:val="008606F5"/>
    <w:rsid w:val="00864B46"/>
    <w:rsid w:val="008708A6"/>
    <w:rsid w:val="008708BE"/>
    <w:rsid w:val="00870A54"/>
    <w:rsid w:val="00870DD2"/>
    <w:rsid w:val="00870E7A"/>
    <w:rsid w:val="0087160F"/>
    <w:rsid w:val="00871DF1"/>
    <w:rsid w:val="00872093"/>
    <w:rsid w:val="00873DBD"/>
    <w:rsid w:val="00876483"/>
    <w:rsid w:val="00877964"/>
    <w:rsid w:val="008804B6"/>
    <w:rsid w:val="00881E24"/>
    <w:rsid w:val="00881FFD"/>
    <w:rsid w:val="00883BDA"/>
    <w:rsid w:val="008847A3"/>
    <w:rsid w:val="008857A1"/>
    <w:rsid w:val="00885EA2"/>
    <w:rsid w:val="00886148"/>
    <w:rsid w:val="00886DB6"/>
    <w:rsid w:val="00887080"/>
    <w:rsid w:val="00887390"/>
    <w:rsid w:val="00887678"/>
    <w:rsid w:val="00887E24"/>
    <w:rsid w:val="00890DE3"/>
    <w:rsid w:val="00890E4D"/>
    <w:rsid w:val="00894289"/>
    <w:rsid w:val="008947C6"/>
    <w:rsid w:val="00895120"/>
    <w:rsid w:val="00895F3E"/>
    <w:rsid w:val="0089743F"/>
    <w:rsid w:val="00897AC6"/>
    <w:rsid w:val="00897EBC"/>
    <w:rsid w:val="008A0AC3"/>
    <w:rsid w:val="008A0DB6"/>
    <w:rsid w:val="008A24B6"/>
    <w:rsid w:val="008A2B78"/>
    <w:rsid w:val="008A32D3"/>
    <w:rsid w:val="008A4031"/>
    <w:rsid w:val="008A4D76"/>
    <w:rsid w:val="008A4DBD"/>
    <w:rsid w:val="008B05D1"/>
    <w:rsid w:val="008B0DB8"/>
    <w:rsid w:val="008B15CB"/>
    <w:rsid w:val="008B1610"/>
    <w:rsid w:val="008B1BFC"/>
    <w:rsid w:val="008B2A47"/>
    <w:rsid w:val="008B52F3"/>
    <w:rsid w:val="008B5B09"/>
    <w:rsid w:val="008B5CDE"/>
    <w:rsid w:val="008C02C9"/>
    <w:rsid w:val="008C081F"/>
    <w:rsid w:val="008C09D8"/>
    <w:rsid w:val="008C0F31"/>
    <w:rsid w:val="008C15AA"/>
    <w:rsid w:val="008C1903"/>
    <w:rsid w:val="008C2993"/>
    <w:rsid w:val="008C331C"/>
    <w:rsid w:val="008C35C2"/>
    <w:rsid w:val="008C6B61"/>
    <w:rsid w:val="008C6BA5"/>
    <w:rsid w:val="008C7A07"/>
    <w:rsid w:val="008D0E10"/>
    <w:rsid w:val="008D29BC"/>
    <w:rsid w:val="008D3DD5"/>
    <w:rsid w:val="008D4F73"/>
    <w:rsid w:val="008E3203"/>
    <w:rsid w:val="008E4256"/>
    <w:rsid w:val="008E508E"/>
    <w:rsid w:val="008E5C08"/>
    <w:rsid w:val="008E5EF0"/>
    <w:rsid w:val="008F1028"/>
    <w:rsid w:val="008F11FD"/>
    <w:rsid w:val="008F24F5"/>
    <w:rsid w:val="008F28CC"/>
    <w:rsid w:val="008F2DE8"/>
    <w:rsid w:val="008F777C"/>
    <w:rsid w:val="009006D7"/>
    <w:rsid w:val="00900CF3"/>
    <w:rsid w:val="00901141"/>
    <w:rsid w:val="00902856"/>
    <w:rsid w:val="00902D29"/>
    <w:rsid w:val="0090360A"/>
    <w:rsid w:val="00904981"/>
    <w:rsid w:val="00906B3D"/>
    <w:rsid w:val="0090733C"/>
    <w:rsid w:val="00910107"/>
    <w:rsid w:val="00910861"/>
    <w:rsid w:val="009129A6"/>
    <w:rsid w:val="00912D55"/>
    <w:rsid w:val="00915822"/>
    <w:rsid w:val="00917390"/>
    <w:rsid w:val="0092004E"/>
    <w:rsid w:val="00920FF9"/>
    <w:rsid w:val="00921F3F"/>
    <w:rsid w:val="00922FF2"/>
    <w:rsid w:val="00923587"/>
    <w:rsid w:val="0092439F"/>
    <w:rsid w:val="0092600F"/>
    <w:rsid w:val="00927102"/>
    <w:rsid w:val="009320C6"/>
    <w:rsid w:val="00932331"/>
    <w:rsid w:val="00933439"/>
    <w:rsid w:val="00935669"/>
    <w:rsid w:val="00935C95"/>
    <w:rsid w:val="00935ECB"/>
    <w:rsid w:val="0093612A"/>
    <w:rsid w:val="0094017F"/>
    <w:rsid w:val="00940FEB"/>
    <w:rsid w:val="00942ED3"/>
    <w:rsid w:val="00943D8A"/>
    <w:rsid w:val="00944329"/>
    <w:rsid w:val="00944383"/>
    <w:rsid w:val="00947A3B"/>
    <w:rsid w:val="0095050C"/>
    <w:rsid w:val="009513BC"/>
    <w:rsid w:val="009527A1"/>
    <w:rsid w:val="00954225"/>
    <w:rsid w:val="0095444B"/>
    <w:rsid w:val="00956298"/>
    <w:rsid w:val="009564C2"/>
    <w:rsid w:val="00957642"/>
    <w:rsid w:val="00957A2B"/>
    <w:rsid w:val="00957CD7"/>
    <w:rsid w:val="0096284A"/>
    <w:rsid w:val="00963517"/>
    <w:rsid w:val="0096404A"/>
    <w:rsid w:val="0096536C"/>
    <w:rsid w:val="00965946"/>
    <w:rsid w:val="00966623"/>
    <w:rsid w:val="00967DCA"/>
    <w:rsid w:val="00970FA1"/>
    <w:rsid w:val="00972D07"/>
    <w:rsid w:val="0097755A"/>
    <w:rsid w:val="0097767A"/>
    <w:rsid w:val="0098052E"/>
    <w:rsid w:val="00981153"/>
    <w:rsid w:val="00981358"/>
    <w:rsid w:val="009837E7"/>
    <w:rsid w:val="00985887"/>
    <w:rsid w:val="00985E52"/>
    <w:rsid w:val="009860BE"/>
    <w:rsid w:val="0098696E"/>
    <w:rsid w:val="00986E62"/>
    <w:rsid w:val="00987716"/>
    <w:rsid w:val="00987D7F"/>
    <w:rsid w:val="009900F5"/>
    <w:rsid w:val="0099046F"/>
    <w:rsid w:val="009935A6"/>
    <w:rsid w:val="00994493"/>
    <w:rsid w:val="00994C3F"/>
    <w:rsid w:val="00994FDF"/>
    <w:rsid w:val="00995EC4"/>
    <w:rsid w:val="00997A4C"/>
    <w:rsid w:val="00997CBE"/>
    <w:rsid w:val="009A103E"/>
    <w:rsid w:val="009A469B"/>
    <w:rsid w:val="009A4774"/>
    <w:rsid w:val="009A59B8"/>
    <w:rsid w:val="009A5CC0"/>
    <w:rsid w:val="009A5D9E"/>
    <w:rsid w:val="009A6D32"/>
    <w:rsid w:val="009A7CD8"/>
    <w:rsid w:val="009B12CF"/>
    <w:rsid w:val="009B1D40"/>
    <w:rsid w:val="009B5174"/>
    <w:rsid w:val="009B5659"/>
    <w:rsid w:val="009C08A1"/>
    <w:rsid w:val="009C2D30"/>
    <w:rsid w:val="009C4336"/>
    <w:rsid w:val="009C5656"/>
    <w:rsid w:val="009C5BE0"/>
    <w:rsid w:val="009D0268"/>
    <w:rsid w:val="009D120C"/>
    <w:rsid w:val="009D22F7"/>
    <w:rsid w:val="009D3166"/>
    <w:rsid w:val="009D35EF"/>
    <w:rsid w:val="009D3E63"/>
    <w:rsid w:val="009D4613"/>
    <w:rsid w:val="009D51DD"/>
    <w:rsid w:val="009D6A20"/>
    <w:rsid w:val="009D7E2D"/>
    <w:rsid w:val="009D7EFA"/>
    <w:rsid w:val="009E0FEF"/>
    <w:rsid w:val="009E1110"/>
    <w:rsid w:val="009E1E5F"/>
    <w:rsid w:val="009E260F"/>
    <w:rsid w:val="009E4B42"/>
    <w:rsid w:val="009E582B"/>
    <w:rsid w:val="009E6BB4"/>
    <w:rsid w:val="009E6FF5"/>
    <w:rsid w:val="009E7F37"/>
    <w:rsid w:val="009F0A89"/>
    <w:rsid w:val="009F1C67"/>
    <w:rsid w:val="009F2558"/>
    <w:rsid w:val="009F3223"/>
    <w:rsid w:val="009F4495"/>
    <w:rsid w:val="009F6C65"/>
    <w:rsid w:val="009F73C0"/>
    <w:rsid w:val="009F7F0E"/>
    <w:rsid w:val="00A01251"/>
    <w:rsid w:val="00A01B3D"/>
    <w:rsid w:val="00A01C33"/>
    <w:rsid w:val="00A033EB"/>
    <w:rsid w:val="00A04159"/>
    <w:rsid w:val="00A060AF"/>
    <w:rsid w:val="00A06CF2"/>
    <w:rsid w:val="00A101B3"/>
    <w:rsid w:val="00A106AE"/>
    <w:rsid w:val="00A11658"/>
    <w:rsid w:val="00A12118"/>
    <w:rsid w:val="00A14BDA"/>
    <w:rsid w:val="00A15E7E"/>
    <w:rsid w:val="00A2051C"/>
    <w:rsid w:val="00A2055C"/>
    <w:rsid w:val="00A215A2"/>
    <w:rsid w:val="00A22410"/>
    <w:rsid w:val="00A23222"/>
    <w:rsid w:val="00A24782"/>
    <w:rsid w:val="00A26088"/>
    <w:rsid w:val="00A26FC7"/>
    <w:rsid w:val="00A277B3"/>
    <w:rsid w:val="00A27F73"/>
    <w:rsid w:val="00A3157B"/>
    <w:rsid w:val="00A320CD"/>
    <w:rsid w:val="00A32147"/>
    <w:rsid w:val="00A34A8C"/>
    <w:rsid w:val="00A35CC1"/>
    <w:rsid w:val="00A400EA"/>
    <w:rsid w:val="00A4178E"/>
    <w:rsid w:val="00A431A2"/>
    <w:rsid w:val="00A43567"/>
    <w:rsid w:val="00A448A3"/>
    <w:rsid w:val="00A44F5D"/>
    <w:rsid w:val="00A45196"/>
    <w:rsid w:val="00A53F10"/>
    <w:rsid w:val="00A60845"/>
    <w:rsid w:val="00A63D0B"/>
    <w:rsid w:val="00A642B7"/>
    <w:rsid w:val="00A64323"/>
    <w:rsid w:val="00A707D1"/>
    <w:rsid w:val="00A70B1D"/>
    <w:rsid w:val="00A72D72"/>
    <w:rsid w:val="00A731F2"/>
    <w:rsid w:val="00A73790"/>
    <w:rsid w:val="00A74AC8"/>
    <w:rsid w:val="00A777B3"/>
    <w:rsid w:val="00A82997"/>
    <w:rsid w:val="00A837FD"/>
    <w:rsid w:val="00A842EB"/>
    <w:rsid w:val="00A90353"/>
    <w:rsid w:val="00A91BCE"/>
    <w:rsid w:val="00A93529"/>
    <w:rsid w:val="00A93A0C"/>
    <w:rsid w:val="00A941A4"/>
    <w:rsid w:val="00A95301"/>
    <w:rsid w:val="00A95805"/>
    <w:rsid w:val="00A95ED6"/>
    <w:rsid w:val="00A9700A"/>
    <w:rsid w:val="00A97EEC"/>
    <w:rsid w:val="00AA018E"/>
    <w:rsid w:val="00AA03D3"/>
    <w:rsid w:val="00AA1E2B"/>
    <w:rsid w:val="00AA4BA6"/>
    <w:rsid w:val="00AA5C80"/>
    <w:rsid w:val="00AA6440"/>
    <w:rsid w:val="00AA6D28"/>
    <w:rsid w:val="00AB141B"/>
    <w:rsid w:val="00AB17A9"/>
    <w:rsid w:val="00AB3FE9"/>
    <w:rsid w:val="00AB5256"/>
    <w:rsid w:val="00AB679A"/>
    <w:rsid w:val="00AB6D0A"/>
    <w:rsid w:val="00AB6D86"/>
    <w:rsid w:val="00AB7289"/>
    <w:rsid w:val="00AB7364"/>
    <w:rsid w:val="00AB79A2"/>
    <w:rsid w:val="00AC08F5"/>
    <w:rsid w:val="00AC1901"/>
    <w:rsid w:val="00AC26AC"/>
    <w:rsid w:val="00AC28EA"/>
    <w:rsid w:val="00AC2E53"/>
    <w:rsid w:val="00AC31E5"/>
    <w:rsid w:val="00AC31EE"/>
    <w:rsid w:val="00AC4B3A"/>
    <w:rsid w:val="00AD0FD1"/>
    <w:rsid w:val="00AD114D"/>
    <w:rsid w:val="00AD13A6"/>
    <w:rsid w:val="00AD172E"/>
    <w:rsid w:val="00AD1C12"/>
    <w:rsid w:val="00AD3280"/>
    <w:rsid w:val="00AD3BCF"/>
    <w:rsid w:val="00AD41F7"/>
    <w:rsid w:val="00AD6124"/>
    <w:rsid w:val="00AE14E0"/>
    <w:rsid w:val="00AE2323"/>
    <w:rsid w:val="00AE3807"/>
    <w:rsid w:val="00AE6147"/>
    <w:rsid w:val="00AE6593"/>
    <w:rsid w:val="00AE6A55"/>
    <w:rsid w:val="00AE7814"/>
    <w:rsid w:val="00AF0620"/>
    <w:rsid w:val="00AF07D3"/>
    <w:rsid w:val="00AF0EDA"/>
    <w:rsid w:val="00AF1C8D"/>
    <w:rsid w:val="00AF2CD9"/>
    <w:rsid w:val="00AF51D8"/>
    <w:rsid w:val="00AF6423"/>
    <w:rsid w:val="00B003DF"/>
    <w:rsid w:val="00B0172D"/>
    <w:rsid w:val="00B0312D"/>
    <w:rsid w:val="00B03323"/>
    <w:rsid w:val="00B0517C"/>
    <w:rsid w:val="00B05F41"/>
    <w:rsid w:val="00B067DA"/>
    <w:rsid w:val="00B07FB3"/>
    <w:rsid w:val="00B12E9C"/>
    <w:rsid w:val="00B13572"/>
    <w:rsid w:val="00B13B7C"/>
    <w:rsid w:val="00B140CE"/>
    <w:rsid w:val="00B149D5"/>
    <w:rsid w:val="00B2024B"/>
    <w:rsid w:val="00B211A0"/>
    <w:rsid w:val="00B215BF"/>
    <w:rsid w:val="00B21640"/>
    <w:rsid w:val="00B25FBA"/>
    <w:rsid w:val="00B26268"/>
    <w:rsid w:val="00B3199A"/>
    <w:rsid w:val="00B32BC3"/>
    <w:rsid w:val="00B34470"/>
    <w:rsid w:val="00B34685"/>
    <w:rsid w:val="00B36358"/>
    <w:rsid w:val="00B37804"/>
    <w:rsid w:val="00B41BD2"/>
    <w:rsid w:val="00B41D67"/>
    <w:rsid w:val="00B4211C"/>
    <w:rsid w:val="00B42EA1"/>
    <w:rsid w:val="00B44BEC"/>
    <w:rsid w:val="00B456E9"/>
    <w:rsid w:val="00B4694E"/>
    <w:rsid w:val="00B477B3"/>
    <w:rsid w:val="00B517CA"/>
    <w:rsid w:val="00B517CB"/>
    <w:rsid w:val="00B51D0C"/>
    <w:rsid w:val="00B51FDF"/>
    <w:rsid w:val="00B520E3"/>
    <w:rsid w:val="00B52CC6"/>
    <w:rsid w:val="00B53A61"/>
    <w:rsid w:val="00B54282"/>
    <w:rsid w:val="00B5624C"/>
    <w:rsid w:val="00B56A74"/>
    <w:rsid w:val="00B56E5D"/>
    <w:rsid w:val="00B6011D"/>
    <w:rsid w:val="00B601C2"/>
    <w:rsid w:val="00B60F0D"/>
    <w:rsid w:val="00B61D6F"/>
    <w:rsid w:val="00B61DDD"/>
    <w:rsid w:val="00B62046"/>
    <w:rsid w:val="00B6333F"/>
    <w:rsid w:val="00B64E53"/>
    <w:rsid w:val="00B676C9"/>
    <w:rsid w:val="00B72FC7"/>
    <w:rsid w:val="00B74A0A"/>
    <w:rsid w:val="00B768FF"/>
    <w:rsid w:val="00B77EB3"/>
    <w:rsid w:val="00B80A93"/>
    <w:rsid w:val="00B8604A"/>
    <w:rsid w:val="00B873C8"/>
    <w:rsid w:val="00B87811"/>
    <w:rsid w:val="00B87CC4"/>
    <w:rsid w:val="00B90C0E"/>
    <w:rsid w:val="00B93DCA"/>
    <w:rsid w:val="00B93DE8"/>
    <w:rsid w:val="00B93F0C"/>
    <w:rsid w:val="00B94790"/>
    <w:rsid w:val="00B97527"/>
    <w:rsid w:val="00BA349B"/>
    <w:rsid w:val="00BA52E5"/>
    <w:rsid w:val="00BA5943"/>
    <w:rsid w:val="00BA5FA7"/>
    <w:rsid w:val="00BA668B"/>
    <w:rsid w:val="00BA7B4D"/>
    <w:rsid w:val="00BA7D3B"/>
    <w:rsid w:val="00BB002E"/>
    <w:rsid w:val="00BB02B9"/>
    <w:rsid w:val="00BB1839"/>
    <w:rsid w:val="00BB2151"/>
    <w:rsid w:val="00BB4053"/>
    <w:rsid w:val="00BB585C"/>
    <w:rsid w:val="00BB5AA2"/>
    <w:rsid w:val="00BB773B"/>
    <w:rsid w:val="00BC1499"/>
    <w:rsid w:val="00BC1D78"/>
    <w:rsid w:val="00BC3003"/>
    <w:rsid w:val="00BC4A07"/>
    <w:rsid w:val="00BC50CC"/>
    <w:rsid w:val="00BC5C94"/>
    <w:rsid w:val="00BC65CF"/>
    <w:rsid w:val="00BD0BA3"/>
    <w:rsid w:val="00BD2032"/>
    <w:rsid w:val="00BD45D3"/>
    <w:rsid w:val="00BD49FE"/>
    <w:rsid w:val="00BD6AD5"/>
    <w:rsid w:val="00BE0EE3"/>
    <w:rsid w:val="00BE2D56"/>
    <w:rsid w:val="00BE3D17"/>
    <w:rsid w:val="00BE4329"/>
    <w:rsid w:val="00BE64C9"/>
    <w:rsid w:val="00BE714A"/>
    <w:rsid w:val="00BE795F"/>
    <w:rsid w:val="00BF21D1"/>
    <w:rsid w:val="00BF30F5"/>
    <w:rsid w:val="00BF3248"/>
    <w:rsid w:val="00BF60CB"/>
    <w:rsid w:val="00BF6709"/>
    <w:rsid w:val="00BF7AF3"/>
    <w:rsid w:val="00C00404"/>
    <w:rsid w:val="00C00747"/>
    <w:rsid w:val="00C00AAD"/>
    <w:rsid w:val="00C02423"/>
    <w:rsid w:val="00C05C5F"/>
    <w:rsid w:val="00C06CDF"/>
    <w:rsid w:val="00C10718"/>
    <w:rsid w:val="00C12D56"/>
    <w:rsid w:val="00C13225"/>
    <w:rsid w:val="00C1392F"/>
    <w:rsid w:val="00C14590"/>
    <w:rsid w:val="00C17558"/>
    <w:rsid w:val="00C21BA7"/>
    <w:rsid w:val="00C21D57"/>
    <w:rsid w:val="00C225B6"/>
    <w:rsid w:val="00C23D0E"/>
    <w:rsid w:val="00C2484F"/>
    <w:rsid w:val="00C27EB2"/>
    <w:rsid w:val="00C33BAC"/>
    <w:rsid w:val="00C33D02"/>
    <w:rsid w:val="00C3449A"/>
    <w:rsid w:val="00C34BF4"/>
    <w:rsid w:val="00C35D4E"/>
    <w:rsid w:val="00C3632F"/>
    <w:rsid w:val="00C364C6"/>
    <w:rsid w:val="00C401AB"/>
    <w:rsid w:val="00C40C15"/>
    <w:rsid w:val="00C41354"/>
    <w:rsid w:val="00C42431"/>
    <w:rsid w:val="00C42E5C"/>
    <w:rsid w:val="00C43374"/>
    <w:rsid w:val="00C45478"/>
    <w:rsid w:val="00C459EE"/>
    <w:rsid w:val="00C4688B"/>
    <w:rsid w:val="00C470D0"/>
    <w:rsid w:val="00C50BE7"/>
    <w:rsid w:val="00C51F71"/>
    <w:rsid w:val="00C52A9F"/>
    <w:rsid w:val="00C53DC0"/>
    <w:rsid w:val="00C54B4C"/>
    <w:rsid w:val="00C54E69"/>
    <w:rsid w:val="00C56BE4"/>
    <w:rsid w:val="00C60608"/>
    <w:rsid w:val="00C65E4D"/>
    <w:rsid w:val="00C66379"/>
    <w:rsid w:val="00C664D9"/>
    <w:rsid w:val="00C67245"/>
    <w:rsid w:val="00C70E46"/>
    <w:rsid w:val="00C7121C"/>
    <w:rsid w:val="00C76E8F"/>
    <w:rsid w:val="00C770B5"/>
    <w:rsid w:val="00C8097A"/>
    <w:rsid w:val="00C81F7A"/>
    <w:rsid w:val="00C83B9C"/>
    <w:rsid w:val="00C84415"/>
    <w:rsid w:val="00C84B36"/>
    <w:rsid w:val="00C8562D"/>
    <w:rsid w:val="00C931EB"/>
    <w:rsid w:val="00C952E2"/>
    <w:rsid w:val="00C95E39"/>
    <w:rsid w:val="00C95EC6"/>
    <w:rsid w:val="00C96F49"/>
    <w:rsid w:val="00CA0054"/>
    <w:rsid w:val="00CA01AE"/>
    <w:rsid w:val="00CA18A7"/>
    <w:rsid w:val="00CA1E8F"/>
    <w:rsid w:val="00CA33BC"/>
    <w:rsid w:val="00CA3A22"/>
    <w:rsid w:val="00CA3D60"/>
    <w:rsid w:val="00CA4049"/>
    <w:rsid w:val="00CA4206"/>
    <w:rsid w:val="00CA4E66"/>
    <w:rsid w:val="00CA5A25"/>
    <w:rsid w:val="00CA76F9"/>
    <w:rsid w:val="00CB3F5F"/>
    <w:rsid w:val="00CB66E3"/>
    <w:rsid w:val="00CB7F91"/>
    <w:rsid w:val="00CC206C"/>
    <w:rsid w:val="00CC2B11"/>
    <w:rsid w:val="00CC3DE8"/>
    <w:rsid w:val="00CC4364"/>
    <w:rsid w:val="00CC5605"/>
    <w:rsid w:val="00CC6554"/>
    <w:rsid w:val="00CC6E5F"/>
    <w:rsid w:val="00CC7B7C"/>
    <w:rsid w:val="00CD04E8"/>
    <w:rsid w:val="00CD08D3"/>
    <w:rsid w:val="00CD4114"/>
    <w:rsid w:val="00CD411E"/>
    <w:rsid w:val="00CD6001"/>
    <w:rsid w:val="00CD65FF"/>
    <w:rsid w:val="00CD77FC"/>
    <w:rsid w:val="00CD7A3B"/>
    <w:rsid w:val="00CE3D21"/>
    <w:rsid w:val="00CE629E"/>
    <w:rsid w:val="00CE6E7C"/>
    <w:rsid w:val="00CF024D"/>
    <w:rsid w:val="00CF0F4B"/>
    <w:rsid w:val="00CF108F"/>
    <w:rsid w:val="00CF36F2"/>
    <w:rsid w:val="00CF4A20"/>
    <w:rsid w:val="00CF66A7"/>
    <w:rsid w:val="00CF7F32"/>
    <w:rsid w:val="00D023FC"/>
    <w:rsid w:val="00D028C7"/>
    <w:rsid w:val="00D06B7B"/>
    <w:rsid w:val="00D1051D"/>
    <w:rsid w:val="00D11D3D"/>
    <w:rsid w:val="00D123DF"/>
    <w:rsid w:val="00D12C28"/>
    <w:rsid w:val="00D14190"/>
    <w:rsid w:val="00D143B2"/>
    <w:rsid w:val="00D1475E"/>
    <w:rsid w:val="00D153B2"/>
    <w:rsid w:val="00D15E12"/>
    <w:rsid w:val="00D2011A"/>
    <w:rsid w:val="00D22E0C"/>
    <w:rsid w:val="00D247D4"/>
    <w:rsid w:val="00D256F5"/>
    <w:rsid w:val="00D25A2A"/>
    <w:rsid w:val="00D26624"/>
    <w:rsid w:val="00D26D4C"/>
    <w:rsid w:val="00D27D46"/>
    <w:rsid w:val="00D302FB"/>
    <w:rsid w:val="00D310CC"/>
    <w:rsid w:val="00D31EAA"/>
    <w:rsid w:val="00D365DE"/>
    <w:rsid w:val="00D366F5"/>
    <w:rsid w:val="00D376CA"/>
    <w:rsid w:val="00D403E4"/>
    <w:rsid w:val="00D41974"/>
    <w:rsid w:val="00D41E76"/>
    <w:rsid w:val="00D42B88"/>
    <w:rsid w:val="00D43276"/>
    <w:rsid w:val="00D44677"/>
    <w:rsid w:val="00D459F3"/>
    <w:rsid w:val="00D47350"/>
    <w:rsid w:val="00D50271"/>
    <w:rsid w:val="00D54C0B"/>
    <w:rsid w:val="00D56857"/>
    <w:rsid w:val="00D569E8"/>
    <w:rsid w:val="00D6116F"/>
    <w:rsid w:val="00D61ACC"/>
    <w:rsid w:val="00D61B1F"/>
    <w:rsid w:val="00D61E10"/>
    <w:rsid w:val="00D64BC0"/>
    <w:rsid w:val="00D665F4"/>
    <w:rsid w:val="00D70044"/>
    <w:rsid w:val="00D707C5"/>
    <w:rsid w:val="00D70988"/>
    <w:rsid w:val="00D71761"/>
    <w:rsid w:val="00D730CB"/>
    <w:rsid w:val="00D73AD4"/>
    <w:rsid w:val="00D73C20"/>
    <w:rsid w:val="00D7431E"/>
    <w:rsid w:val="00D744C5"/>
    <w:rsid w:val="00D76AF9"/>
    <w:rsid w:val="00D76C91"/>
    <w:rsid w:val="00D76E5A"/>
    <w:rsid w:val="00D776C3"/>
    <w:rsid w:val="00D81190"/>
    <w:rsid w:val="00D81CAF"/>
    <w:rsid w:val="00D844BA"/>
    <w:rsid w:val="00D85111"/>
    <w:rsid w:val="00D8519B"/>
    <w:rsid w:val="00D86B6E"/>
    <w:rsid w:val="00D874A2"/>
    <w:rsid w:val="00D87BB1"/>
    <w:rsid w:val="00D90144"/>
    <w:rsid w:val="00D903E2"/>
    <w:rsid w:val="00D92F7E"/>
    <w:rsid w:val="00D93C34"/>
    <w:rsid w:val="00D947A2"/>
    <w:rsid w:val="00D94882"/>
    <w:rsid w:val="00D96947"/>
    <w:rsid w:val="00D96DD1"/>
    <w:rsid w:val="00DA15C8"/>
    <w:rsid w:val="00DA27ED"/>
    <w:rsid w:val="00DA3941"/>
    <w:rsid w:val="00DA3AF8"/>
    <w:rsid w:val="00DA5CA8"/>
    <w:rsid w:val="00DA6305"/>
    <w:rsid w:val="00DA6696"/>
    <w:rsid w:val="00DA7307"/>
    <w:rsid w:val="00DA7908"/>
    <w:rsid w:val="00DB06E8"/>
    <w:rsid w:val="00DB351C"/>
    <w:rsid w:val="00DB4372"/>
    <w:rsid w:val="00DB456A"/>
    <w:rsid w:val="00DB4754"/>
    <w:rsid w:val="00DB4B02"/>
    <w:rsid w:val="00DB50AD"/>
    <w:rsid w:val="00DC09BD"/>
    <w:rsid w:val="00DC2128"/>
    <w:rsid w:val="00DC4555"/>
    <w:rsid w:val="00DC6CB3"/>
    <w:rsid w:val="00DC71A8"/>
    <w:rsid w:val="00DD1696"/>
    <w:rsid w:val="00DD28DA"/>
    <w:rsid w:val="00DD303C"/>
    <w:rsid w:val="00DE0B2D"/>
    <w:rsid w:val="00DE0C3F"/>
    <w:rsid w:val="00DE22BA"/>
    <w:rsid w:val="00DE4B30"/>
    <w:rsid w:val="00DE5427"/>
    <w:rsid w:val="00DE58DA"/>
    <w:rsid w:val="00DF16C8"/>
    <w:rsid w:val="00DF5AA4"/>
    <w:rsid w:val="00DF71F2"/>
    <w:rsid w:val="00E00293"/>
    <w:rsid w:val="00E00F33"/>
    <w:rsid w:val="00E0194C"/>
    <w:rsid w:val="00E0220B"/>
    <w:rsid w:val="00E02598"/>
    <w:rsid w:val="00E03A93"/>
    <w:rsid w:val="00E04C94"/>
    <w:rsid w:val="00E05843"/>
    <w:rsid w:val="00E069BA"/>
    <w:rsid w:val="00E069C5"/>
    <w:rsid w:val="00E11B52"/>
    <w:rsid w:val="00E1268C"/>
    <w:rsid w:val="00E12E32"/>
    <w:rsid w:val="00E131EC"/>
    <w:rsid w:val="00E153AF"/>
    <w:rsid w:val="00E15D14"/>
    <w:rsid w:val="00E16216"/>
    <w:rsid w:val="00E1635C"/>
    <w:rsid w:val="00E17537"/>
    <w:rsid w:val="00E17C2B"/>
    <w:rsid w:val="00E204B1"/>
    <w:rsid w:val="00E214D8"/>
    <w:rsid w:val="00E21D65"/>
    <w:rsid w:val="00E228DB"/>
    <w:rsid w:val="00E23458"/>
    <w:rsid w:val="00E23EC2"/>
    <w:rsid w:val="00E24D6B"/>
    <w:rsid w:val="00E25085"/>
    <w:rsid w:val="00E26551"/>
    <w:rsid w:val="00E26DB6"/>
    <w:rsid w:val="00E30501"/>
    <w:rsid w:val="00E30D7F"/>
    <w:rsid w:val="00E3109B"/>
    <w:rsid w:val="00E3133B"/>
    <w:rsid w:val="00E31EF3"/>
    <w:rsid w:val="00E330F0"/>
    <w:rsid w:val="00E36E41"/>
    <w:rsid w:val="00E379A0"/>
    <w:rsid w:val="00E410AB"/>
    <w:rsid w:val="00E420B8"/>
    <w:rsid w:val="00E43EA5"/>
    <w:rsid w:val="00E44CDA"/>
    <w:rsid w:val="00E45557"/>
    <w:rsid w:val="00E4660F"/>
    <w:rsid w:val="00E5018D"/>
    <w:rsid w:val="00E52813"/>
    <w:rsid w:val="00E56A53"/>
    <w:rsid w:val="00E576B0"/>
    <w:rsid w:val="00E603B1"/>
    <w:rsid w:val="00E61F0B"/>
    <w:rsid w:val="00E62260"/>
    <w:rsid w:val="00E640D9"/>
    <w:rsid w:val="00E64DBC"/>
    <w:rsid w:val="00E64E09"/>
    <w:rsid w:val="00E66781"/>
    <w:rsid w:val="00E7058A"/>
    <w:rsid w:val="00E70FE7"/>
    <w:rsid w:val="00E7214C"/>
    <w:rsid w:val="00E730E5"/>
    <w:rsid w:val="00E749F4"/>
    <w:rsid w:val="00E75438"/>
    <w:rsid w:val="00E80B86"/>
    <w:rsid w:val="00E80C13"/>
    <w:rsid w:val="00E80CD5"/>
    <w:rsid w:val="00E8302B"/>
    <w:rsid w:val="00E85B48"/>
    <w:rsid w:val="00E876CA"/>
    <w:rsid w:val="00E91F55"/>
    <w:rsid w:val="00E9222E"/>
    <w:rsid w:val="00E94660"/>
    <w:rsid w:val="00E95152"/>
    <w:rsid w:val="00E95815"/>
    <w:rsid w:val="00E958C9"/>
    <w:rsid w:val="00E95CB5"/>
    <w:rsid w:val="00E96E72"/>
    <w:rsid w:val="00E970A4"/>
    <w:rsid w:val="00E970CE"/>
    <w:rsid w:val="00E974A9"/>
    <w:rsid w:val="00EA0994"/>
    <w:rsid w:val="00EA2E5B"/>
    <w:rsid w:val="00EA303A"/>
    <w:rsid w:val="00EA425E"/>
    <w:rsid w:val="00EA6B85"/>
    <w:rsid w:val="00EB0B6D"/>
    <w:rsid w:val="00EB149C"/>
    <w:rsid w:val="00EB2936"/>
    <w:rsid w:val="00EB3AD7"/>
    <w:rsid w:val="00EB516F"/>
    <w:rsid w:val="00EC016A"/>
    <w:rsid w:val="00EC3961"/>
    <w:rsid w:val="00EC4D83"/>
    <w:rsid w:val="00EC568B"/>
    <w:rsid w:val="00EC5BB4"/>
    <w:rsid w:val="00EC6304"/>
    <w:rsid w:val="00ED0190"/>
    <w:rsid w:val="00ED028B"/>
    <w:rsid w:val="00ED0AF5"/>
    <w:rsid w:val="00ED0D9A"/>
    <w:rsid w:val="00ED13A3"/>
    <w:rsid w:val="00ED1867"/>
    <w:rsid w:val="00ED1CAC"/>
    <w:rsid w:val="00ED2113"/>
    <w:rsid w:val="00ED2DA7"/>
    <w:rsid w:val="00ED2E41"/>
    <w:rsid w:val="00ED33A2"/>
    <w:rsid w:val="00ED3CCA"/>
    <w:rsid w:val="00ED3DB4"/>
    <w:rsid w:val="00ED49CF"/>
    <w:rsid w:val="00ED57C7"/>
    <w:rsid w:val="00ED5A91"/>
    <w:rsid w:val="00EE3263"/>
    <w:rsid w:val="00EE39E2"/>
    <w:rsid w:val="00EE3B84"/>
    <w:rsid w:val="00EE3C61"/>
    <w:rsid w:val="00EE48FC"/>
    <w:rsid w:val="00EE4CBF"/>
    <w:rsid w:val="00EE4CF7"/>
    <w:rsid w:val="00EE7466"/>
    <w:rsid w:val="00EF005A"/>
    <w:rsid w:val="00EF0A49"/>
    <w:rsid w:val="00EF14CD"/>
    <w:rsid w:val="00EF23DB"/>
    <w:rsid w:val="00EF35EC"/>
    <w:rsid w:val="00EF36C5"/>
    <w:rsid w:val="00F009CB"/>
    <w:rsid w:val="00F017D0"/>
    <w:rsid w:val="00F01AFE"/>
    <w:rsid w:val="00F01D06"/>
    <w:rsid w:val="00F020DD"/>
    <w:rsid w:val="00F05115"/>
    <w:rsid w:val="00F1331F"/>
    <w:rsid w:val="00F160EE"/>
    <w:rsid w:val="00F1686E"/>
    <w:rsid w:val="00F2174B"/>
    <w:rsid w:val="00F21FBD"/>
    <w:rsid w:val="00F22559"/>
    <w:rsid w:val="00F2433D"/>
    <w:rsid w:val="00F252EB"/>
    <w:rsid w:val="00F30E46"/>
    <w:rsid w:val="00F31272"/>
    <w:rsid w:val="00F340D0"/>
    <w:rsid w:val="00F35436"/>
    <w:rsid w:val="00F35931"/>
    <w:rsid w:val="00F40E43"/>
    <w:rsid w:val="00F4249C"/>
    <w:rsid w:val="00F42F8C"/>
    <w:rsid w:val="00F439CF"/>
    <w:rsid w:val="00F43E36"/>
    <w:rsid w:val="00F45158"/>
    <w:rsid w:val="00F45D2E"/>
    <w:rsid w:val="00F466CB"/>
    <w:rsid w:val="00F5038D"/>
    <w:rsid w:val="00F511D2"/>
    <w:rsid w:val="00F52B0C"/>
    <w:rsid w:val="00F5683E"/>
    <w:rsid w:val="00F56D37"/>
    <w:rsid w:val="00F56E69"/>
    <w:rsid w:val="00F6060E"/>
    <w:rsid w:val="00F610EE"/>
    <w:rsid w:val="00F61FA0"/>
    <w:rsid w:val="00F62209"/>
    <w:rsid w:val="00F62B7E"/>
    <w:rsid w:val="00F62D80"/>
    <w:rsid w:val="00F6322C"/>
    <w:rsid w:val="00F6345A"/>
    <w:rsid w:val="00F651A1"/>
    <w:rsid w:val="00F65F7E"/>
    <w:rsid w:val="00F6643A"/>
    <w:rsid w:val="00F66536"/>
    <w:rsid w:val="00F666CC"/>
    <w:rsid w:val="00F6735B"/>
    <w:rsid w:val="00F702FB"/>
    <w:rsid w:val="00F70F74"/>
    <w:rsid w:val="00F719FF"/>
    <w:rsid w:val="00F72196"/>
    <w:rsid w:val="00F7464B"/>
    <w:rsid w:val="00F749EA"/>
    <w:rsid w:val="00F751DC"/>
    <w:rsid w:val="00F75E80"/>
    <w:rsid w:val="00F76656"/>
    <w:rsid w:val="00F80462"/>
    <w:rsid w:val="00F809E9"/>
    <w:rsid w:val="00F80FC2"/>
    <w:rsid w:val="00F82B7F"/>
    <w:rsid w:val="00F85413"/>
    <w:rsid w:val="00F8597A"/>
    <w:rsid w:val="00F86D8F"/>
    <w:rsid w:val="00F904BE"/>
    <w:rsid w:val="00F92343"/>
    <w:rsid w:val="00F9335D"/>
    <w:rsid w:val="00F93455"/>
    <w:rsid w:val="00F9458E"/>
    <w:rsid w:val="00F9567D"/>
    <w:rsid w:val="00F967FB"/>
    <w:rsid w:val="00FA03EC"/>
    <w:rsid w:val="00FA03F8"/>
    <w:rsid w:val="00FA0C25"/>
    <w:rsid w:val="00FA0CE7"/>
    <w:rsid w:val="00FA0F23"/>
    <w:rsid w:val="00FA178E"/>
    <w:rsid w:val="00FA4E0B"/>
    <w:rsid w:val="00FA6385"/>
    <w:rsid w:val="00FA75EC"/>
    <w:rsid w:val="00FB0645"/>
    <w:rsid w:val="00FB082E"/>
    <w:rsid w:val="00FB08D2"/>
    <w:rsid w:val="00FB2FA2"/>
    <w:rsid w:val="00FB34C5"/>
    <w:rsid w:val="00FB433E"/>
    <w:rsid w:val="00FB4909"/>
    <w:rsid w:val="00FB651A"/>
    <w:rsid w:val="00FB6FA8"/>
    <w:rsid w:val="00FB747D"/>
    <w:rsid w:val="00FB76D9"/>
    <w:rsid w:val="00FC11C4"/>
    <w:rsid w:val="00FC2904"/>
    <w:rsid w:val="00FC3378"/>
    <w:rsid w:val="00FC3AE6"/>
    <w:rsid w:val="00FC4152"/>
    <w:rsid w:val="00FC4507"/>
    <w:rsid w:val="00FC653A"/>
    <w:rsid w:val="00FC68AC"/>
    <w:rsid w:val="00FC6E00"/>
    <w:rsid w:val="00FC6E58"/>
    <w:rsid w:val="00FC7C15"/>
    <w:rsid w:val="00FC7D18"/>
    <w:rsid w:val="00FD042D"/>
    <w:rsid w:val="00FD05D5"/>
    <w:rsid w:val="00FD107D"/>
    <w:rsid w:val="00FD208C"/>
    <w:rsid w:val="00FD20AB"/>
    <w:rsid w:val="00FD3D9A"/>
    <w:rsid w:val="00FD5A2E"/>
    <w:rsid w:val="00FD6077"/>
    <w:rsid w:val="00FE1FC6"/>
    <w:rsid w:val="00FE2BEE"/>
    <w:rsid w:val="00FE376A"/>
    <w:rsid w:val="00FE77E8"/>
    <w:rsid w:val="00FE7C7D"/>
    <w:rsid w:val="00FF02E8"/>
    <w:rsid w:val="00FF0C0D"/>
    <w:rsid w:val="00FF22F1"/>
    <w:rsid w:val="00FF24C8"/>
    <w:rsid w:val="00FF24C9"/>
    <w:rsid w:val="00FF3142"/>
    <w:rsid w:val="00FF3FAA"/>
    <w:rsid w:val="00FF59B9"/>
    <w:rsid w:val="00FF6C7A"/>
    <w:rsid w:val="00FF78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2AFDC"/>
  <w15:chartTrackingRefBased/>
  <w15:docId w15:val="{070F6CBC-26BD-43B6-80A6-59FD10BF6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65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69B"/>
    <w:pPr>
      <w:spacing w:after="160" w:line="259" w:lineRule="auto"/>
      <w:ind w:left="720"/>
      <w:contextualSpacing/>
    </w:pPr>
    <w:rPr>
      <w:rFonts w:asciiTheme="minorHAnsi" w:hAnsiTheme="minorHAnsi" w:cstheme="minorBidi"/>
      <w:sz w:val="22"/>
      <w:szCs w:val="22"/>
    </w:rPr>
  </w:style>
  <w:style w:type="table" w:styleId="TableGrid">
    <w:name w:val="Table Grid"/>
    <w:basedOn w:val="TableNormal"/>
    <w:uiPriority w:val="39"/>
    <w:rsid w:val="009A4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3B7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B13B7C"/>
  </w:style>
  <w:style w:type="paragraph" w:styleId="Footer">
    <w:name w:val="footer"/>
    <w:basedOn w:val="Normal"/>
    <w:link w:val="FooterChar"/>
    <w:uiPriority w:val="99"/>
    <w:unhideWhenUsed/>
    <w:rsid w:val="00B13B7C"/>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B13B7C"/>
  </w:style>
  <w:style w:type="character" w:styleId="PlaceholderText">
    <w:name w:val="Placeholder Text"/>
    <w:basedOn w:val="DefaultParagraphFont"/>
    <w:uiPriority w:val="99"/>
    <w:semiHidden/>
    <w:rsid w:val="00520204"/>
    <w:rPr>
      <w:color w:val="808080"/>
    </w:rPr>
  </w:style>
  <w:style w:type="paragraph" w:styleId="BalloonText">
    <w:name w:val="Balloon Text"/>
    <w:basedOn w:val="Normal"/>
    <w:link w:val="BalloonTextChar"/>
    <w:uiPriority w:val="99"/>
    <w:semiHidden/>
    <w:unhideWhenUsed/>
    <w:rsid w:val="00065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E79"/>
    <w:rPr>
      <w:rFonts w:ascii="Segoe UI" w:hAnsi="Segoe UI" w:cs="Segoe UI"/>
      <w:sz w:val="18"/>
      <w:szCs w:val="18"/>
    </w:rPr>
  </w:style>
  <w:style w:type="paragraph" w:customStyle="1" w:styleId="SMSubheading">
    <w:name w:val="SM Subheading"/>
    <w:basedOn w:val="Normal"/>
    <w:qFormat/>
    <w:rsid w:val="00CC2B11"/>
    <w:rPr>
      <w:rFonts w:eastAsia="Times New Roman"/>
      <w:szCs w:val="20"/>
      <w:u w:val="words"/>
    </w:rPr>
  </w:style>
  <w:style w:type="paragraph" w:styleId="FootnoteText">
    <w:name w:val="footnote text"/>
    <w:basedOn w:val="Normal"/>
    <w:link w:val="FootnoteTextChar"/>
    <w:uiPriority w:val="99"/>
    <w:unhideWhenUsed/>
    <w:rsid w:val="00646238"/>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646238"/>
    <w:rPr>
      <w:sz w:val="20"/>
      <w:szCs w:val="20"/>
    </w:rPr>
  </w:style>
  <w:style w:type="character" w:styleId="FootnoteReference">
    <w:name w:val="footnote reference"/>
    <w:basedOn w:val="DefaultParagraphFont"/>
    <w:uiPriority w:val="99"/>
    <w:unhideWhenUsed/>
    <w:rsid w:val="00646238"/>
    <w:rPr>
      <w:vertAlign w:val="superscript"/>
    </w:rPr>
  </w:style>
  <w:style w:type="character" w:styleId="Hyperlink">
    <w:name w:val="Hyperlink"/>
    <w:basedOn w:val="DefaultParagraphFont"/>
    <w:uiPriority w:val="99"/>
    <w:unhideWhenUsed/>
    <w:rsid w:val="00D81CAF"/>
    <w:rPr>
      <w:color w:val="0563C1" w:themeColor="hyperlink"/>
      <w:u w:val="single"/>
    </w:rPr>
  </w:style>
  <w:style w:type="character" w:customStyle="1" w:styleId="UnresolvedMention1">
    <w:name w:val="Unresolved Mention1"/>
    <w:basedOn w:val="DefaultParagraphFont"/>
    <w:uiPriority w:val="99"/>
    <w:semiHidden/>
    <w:unhideWhenUsed/>
    <w:rsid w:val="00D81CAF"/>
    <w:rPr>
      <w:color w:val="605E5C"/>
      <w:shd w:val="clear" w:color="auto" w:fill="E1DFDD"/>
    </w:rPr>
  </w:style>
  <w:style w:type="character" w:customStyle="1" w:styleId="apple-converted-space">
    <w:name w:val="apple-converted-space"/>
    <w:basedOn w:val="DefaultParagraphFont"/>
    <w:rsid w:val="00E0220B"/>
  </w:style>
  <w:style w:type="character" w:styleId="CommentReference">
    <w:name w:val="annotation reference"/>
    <w:basedOn w:val="DefaultParagraphFont"/>
    <w:uiPriority w:val="99"/>
    <w:semiHidden/>
    <w:unhideWhenUsed/>
    <w:rsid w:val="002E1097"/>
    <w:rPr>
      <w:sz w:val="16"/>
      <w:szCs w:val="16"/>
    </w:rPr>
  </w:style>
  <w:style w:type="paragraph" w:styleId="CommentText">
    <w:name w:val="annotation text"/>
    <w:basedOn w:val="Normal"/>
    <w:link w:val="CommentTextChar"/>
    <w:uiPriority w:val="99"/>
    <w:semiHidden/>
    <w:unhideWhenUsed/>
    <w:rsid w:val="002E1097"/>
    <w:rPr>
      <w:sz w:val="20"/>
      <w:szCs w:val="20"/>
    </w:rPr>
  </w:style>
  <w:style w:type="character" w:customStyle="1" w:styleId="CommentTextChar">
    <w:name w:val="Comment Text Char"/>
    <w:basedOn w:val="DefaultParagraphFont"/>
    <w:link w:val="CommentText"/>
    <w:uiPriority w:val="99"/>
    <w:semiHidden/>
    <w:rsid w:val="002E109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E1097"/>
    <w:rPr>
      <w:b/>
      <w:bCs/>
    </w:rPr>
  </w:style>
  <w:style w:type="character" w:customStyle="1" w:styleId="CommentSubjectChar">
    <w:name w:val="Comment Subject Char"/>
    <w:basedOn w:val="CommentTextChar"/>
    <w:link w:val="CommentSubject"/>
    <w:uiPriority w:val="99"/>
    <w:semiHidden/>
    <w:rsid w:val="002E1097"/>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E3133B"/>
    <w:rPr>
      <w:color w:val="954F72" w:themeColor="followedHyperlink"/>
      <w:u w:val="single"/>
    </w:rPr>
  </w:style>
  <w:style w:type="paragraph" w:styleId="Title">
    <w:name w:val="Title"/>
    <w:basedOn w:val="Normal"/>
    <w:next w:val="Normal"/>
    <w:link w:val="TitleChar"/>
    <w:uiPriority w:val="10"/>
    <w:qFormat/>
    <w:rsid w:val="00FB76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76D9"/>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rsid w:val="002B2CC9"/>
    <w:rPr>
      <w:color w:val="605E5C"/>
      <w:shd w:val="clear" w:color="auto" w:fill="E1DFDD"/>
    </w:rPr>
  </w:style>
  <w:style w:type="paragraph" w:styleId="Caption">
    <w:name w:val="caption"/>
    <w:basedOn w:val="Normal"/>
    <w:next w:val="Normal"/>
    <w:uiPriority w:val="35"/>
    <w:unhideWhenUsed/>
    <w:qFormat/>
    <w:rsid w:val="00AE6147"/>
    <w:pPr>
      <w:spacing w:after="200"/>
    </w:pPr>
    <w:rPr>
      <w:i/>
      <w:iCs/>
      <w:color w:val="44546A" w:themeColor="text2"/>
      <w:sz w:val="18"/>
      <w:szCs w:val="18"/>
    </w:rPr>
  </w:style>
  <w:style w:type="paragraph" w:styleId="Revision">
    <w:name w:val="Revision"/>
    <w:hidden/>
    <w:uiPriority w:val="99"/>
    <w:semiHidden/>
    <w:rsid w:val="00772E6C"/>
    <w:pPr>
      <w:spacing w:after="0" w:line="240" w:lineRule="auto"/>
    </w:pPr>
    <w:rPr>
      <w:rFonts w:ascii="Times New Roman" w:hAnsi="Times New Roman" w:cs="Times New Roman"/>
      <w:sz w:val="24"/>
      <w:szCs w:val="24"/>
    </w:rPr>
  </w:style>
  <w:style w:type="character" w:customStyle="1" w:styleId="UnresolvedMention3">
    <w:name w:val="Unresolved Mention3"/>
    <w:basedOn w:val="DefaultParagraphFont"/>
    <w:uiPriority w:val="99"/>
    <w:rsid w:val="00295DA6"/>
    <w:rPr>
      <w:color w:val="605E5C"/>
      <w:shd w:val="clear" w:color="auto" w:fill="E1DFDD"/>
    </w:rPr>
  </w:style>
  <w:style w:type="character" w:styleId="UnresolvedMention">
    <w:name w:val="Unresolved Mention"/>
    <w:basedOn w:val="DefaultParagraphFont"/>
    <w:uiPriority w:val="99"/>
    <w:rsid w:val="006E2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63973">
      <w:bodyDiv w:val="1"/>
      <w:marLeft w:val="0"/>
      <w:marRight w:val="0"/>
      <w:marTop w:val="0"/>
      <w:marBottom w:val="0"/>
      <w:divBdr>
        <w:top w:val="none" w:sz="0" w:space="0" w:color="auto"/>
        <w:left w:val="none" w:sz="0" w:space="0" w:color="auto"/>
        <w:bottom w:val="none" w:sz="0" w:space="0" w:color="auto"/>
        <w:right w:val="none" w:sz="0" w:space="0" w:color="auto"/>
      </w:divBdr>
      <w:divsChild>
        <w:div w:id="1708215879">
          <w:marLeft w:val="0"/>
          <w:marRight w:val="0"/>
          <w:marTop w:val="0"/>
          <w:marBottom w:val="0"/>
          <w:divBdr>
            <w:top w:val="none" w:sz="0" w:space="0" w:color="auto"/>
            <w:left w:val="none" w:sz="0" w:space="0" w:color="auto"/>
            <w:bottom w:val="none" w:sz="0" w:space="0" w:color="auto"/>
            <w:right w:val="none" w:sz="0" w:space="0" w:color="auto"/>
          </w:divBdr>
        </w:div>
      </w:divsChild>
    </w:div>
    <w:div w:id="165754930">
      <w:bodyDiv w:val="1"/>
      <w:marLeft w:val="0"/>
      <w:marRight w:val="0"/>
      <w:marTop w:val="0"/>
      <w:marBottom w:val="0"/>
      <w:divBdr>
        <w:top w:val="none" w:sz="0" w:space="0" w:color="auto"/>
        <w:left w:val="none" w:sz="0" w:space="0" w:color="auto"/>
        <w:bottom w:val="none" w:sz="0" w:space="0" w:color="auto"/>
        <w:right w:val="none" w:sz="0" w:space="0" w:color="auto"/>
      </w:divBdr>
    </w:div>
    <w:div w:id="221602715">
      <w:bodyDiv w:val="1"/>
      <w:marLeft w:val="0"/>
      <w:marRight w:val="0"/>
      <w:marTop w:val="0"/>
      <w:marBottom w:val="0"/>
      <w:divBdr>
        <w:top w:val="none" w:sz="0" w:space="0" w:color="auto"/>
        <w:left w:val="none" w:sz="0" w:space="0" w:color="auto"/>
        <w:bottom w:val="none" w:sz="0" w:space="0" w:color="auto"/>
        <w:right w:val="none" w:sz="0" w:space="0" w:color="auto"/>
      </w:divBdr>
    </w:div>
    <w:div w:id="311301818">
      <w:bodyDiv w:val="1"/>
      <w:marLeft w:val="0"/>
      <w:marRight w:val="0"/>
      <w:marTop w:val="0"/>
      <w:marBottom w:val="0"/>
      <w:divBdr>
        <w:top w:val="none" w:sz="0" w:space="0" w:color="auto"/>
        <w:left w:val="none" w:sz="0" w:space="0" w:color="auto"/>
        <w:bottom w:val="none" w:sz="0" w:space="0" w:color="auto"/>
        <w:right w:val="none" w:sz="0" w:space="0" w:color="auto"/>
      </w:divBdr>
    </w:div>
    <w:div w:id="408964529">
      <w:bodyDiv w:val="1"/>
      <w:marLeft w:val="0"/>
      <w:marRight w:val="0"/>
      <w:marTop w:val="0"/>
      <w:marBottom w:val="0"/>
      <w:divBdr>
        <w:top w:val="none" w:sz="0" w:space="0" w:color="auto"/>
        <w:left w:val="none" w:sz="0" w:space="0" w:color="auto"/>
        <w:bottom w:val="none" w:sz="0" w:space="0" w:color="auto"/>
        <w:right w:val="none" w:sz="0" w:space="0" w:color="auto"/>
      </w:divBdr>
    </w:div>
    <w:div w:id="457840511">
      <w:bodyDiv w:val="1"/>
      <w:marLeft w:val="0"/>
      <w:marRight w:val="0"/>
      <w:marTop w:val="0"/>
      <w:marBottom w:val="0"/>
      <w:divBdr>
        <w:top w:val="none" w:sz="0" w:space="0" w:color="auto"/>
        <w:left w:val="none" w:sz="0" w:space="0" w:color="auto"/>
        <w:bottom w:val="none" w:sz="0" w:space="0" w:color="auto"/>
        <w:right w:val="none" w:sz="0" w:space="0" w:color="auto"/>
      </w:divBdr>
    </w:div>
    <w:div w:id="541476893">
      <w:bodyDiv w:val="1"/>
      <w:marLeft w:val="0"/>
      <w:marRight w:val="0"/>
      <w:marTop w:val="0"/>
      <w:marBottom w:val="0"/>
      <w:divBdr>
        <w:top w:val="none" w:sz="0" w:space="0" w:color="auto"/>
        <w:left w:val="none" w:sz="0" w:space="0" w:color="auto"/>
        <w:bottom w:val="none" w:sz="0" w:space="0" w:color="auto"/>
        <w:right w:val="none" w:sz="0" w:space="0" w:color="auto"/>
      </w:divBdr>
    </w:div>
    <w:div w:id="544030598">
      <w:bodyDiv w:val="1"/>
      <w:marLeft w:val="0"/>
      <w:marRight w:val="0"/>
      <w:marTop w:val="0"/>
      <w:marBottom w:val="0"/>
      <w:divBdr>
        <w:top w:val="none" w:sz="0" w:space="0" w:color="auto"/>
        <w:left w:val="none" w:sz="0" w:space="0" w:color="auto"/>
        <w:bottom w:val="none" w:sz="0" w:space="0" w:color="auto"/>
        <w:right w:val="none" w:sz="0" w:space="0" w:color="auto"/>
      </w:divBdr>
    </w:div>
    <w:div w:id="608320233">
      <w:bodyDiv w:val="1"/>
      <w:marLeft w:val="0"/>
      <w:marRight w:val="0"/>
      <w:marTop w:val="0"/>
      <w:marBottom w:val="0"/>
      <w:divBdr>
        <w:top w:val="none" w:sz="0" w:space="0" w:color="auto"/>
        <w:left w:val="none" w:sz="0" w:space="0" w:color="auto"/>
        <w:bottom w:val="none" w:sz="0" w:space="0" w:color="auto"/>
        <w:right w:val="none" w:sz="0" w:space="0" w:color="auto"/>
      </w:divBdr>
    </w:div>
    <w:div w:id="699816190">
      <w:bodyDiv w:val="1"/>
      <w:marLeft w:val="0"/>
      <w:marRight w:val="0"/>
      <w:marTop w:val="0"/>
      <w:marBottom w:val="0"/>
      <w:divBdr>
        <w:top w:val="none" w:sz="0" w:space="0" w:color="auto"/>
        <w:left w:val="none" w:sz="0" w:space="0" w:color="auto"/>
        <w:bottom w:val="none" w:sz="0" w:space="0" w:color="auto"/>
        <w:right w:val="none" w:sz="0" w:space="0" w:color="auto"/>
      </w:divBdr>
    </w:div>
    <w:div w:id="900871271">
      <w:bodyDiv w:val="1"/>
      <w:marLeft w:val="0"/>
      <w:marRight w:val="0"/>
      <w:marTop w:val="0"/>
      <w:marBottom w:val="0"/>
      <w:divBdr>
        <w:top w:val="none" w:sz="0" w:space="0" w:color="auto"/>
        <w:left w:val="none" w:sz="0" w:space="0" w:color="auto"/>
        <w:bottom w:val="none" w:sz="0" w:space="0" w:color="auto"/>
        <w:right w:val="none" w:sz="0" w:space="0" w:color="auto"/>
      </w:divBdr>
    </w:div>
    <w:div w:id="964625213">
      <w:bodyDiv w:val="1"/>
      <w:marLeft w:val="0"/>
      <w:marRight w:val="0"/>
      <w:marTop w:val="0"/>
      <w:marBottom w:val="0"/>
      <w:divBdr>
        <w:top w:val="none" w:sz="0" w:space="0" w:color="auto"/>
        <w:left w:val="none" w:sz="0" w:space="0" w:color="auto"/>
        <w:bottom w:val="none" w:sz="0" w:space="0" w:color="auto"/>
        <w:right w:val="none" w:sz="0" w:space="0" w:color="auto"/>
      </w:divBdr>
    </w:div>
    <w:div w:id="1021249393">
      <w:bodyDiv w:val="1"/>
      <w:marLeft w:val="0"/>
      <w:marRight w:val="0"/>
      <w:marTop w:val="0"/>
      <w:marBottom w:val="0"/>
      <w:divBdr>
        <w:top w:val="none" w:sz="0" w:space="0" w:color="auto"/>
        <w:left w:val="none" w:sz="0" w:space="0" w:color="auto"/>
        <w:bottom w:val="none" w:sz="0" w:space="0" w:color="auto"/>
        <w:right w:val="none" w:sz="0" w:space="0" w:color="auto"/>
      </w:divBdr>
    </w:div>
    <w:div w:id="1069695448">
      <w:bodyDiv w:val="1"/>
      <w:marLeft w:val="0"/>
      <w:marRight w:val="0"/>
      <w:marTop w:val="0"/>
      <w:marBottom w:val="0"/>
      <w:divBdr>
        <w:top w:val="none" w:sz="0" w:space="0" w:color="auto"/>
        <w:left w:val="none" w:sz="0" w:space="0" w:color="auto"/>
        <w:bottom w:val="none" w:sz="0" w:space="0" w:color="auto"/>
        <w:right w:val="none" w:sz="0" w:space="0" w:color="auto"/>
      </w:divBdr>
    </w:div>
    <w:div w:id="1109853583">
      <w:bodyDiv w:val="1"/>
      <w:marLeft w:val="0"/>
      <w:marRight w:val="0"/>
      <w:marTop w:val="0"/>
      <w:marBottom w:val="0"/>
      <w:divBdr>
        <w:top w:val="none" w:sz="0" w:space="0" w:color="auto"/>
        <w:left w:val="none" w:sz="0" w:space="0" w:color="auto"/>
        <w:bottom w:val="none" w:sz="0" w:space="0" w:color="auto"/>
        <w:right w:val="none" w:sz="0" w:space="0" w:color="auto"/>
      </w:divBdr>
    </w:div>
    <w:div w:id="1163348855">
      <w:bodyDiv w:val="1"/>
      <w:marLeft w:val="0"/>
      <w:marRight w:val="0"/>
      <w:marTop w:val="0"/>
      <w:marBottom w:val="0"/>
      <w:divBdr>
        <w:top w:val="none" w:sz="0" w:space="0" w:color="auto"/>
        <w:left w:val="none" w:sz="0" w:space="0" w:color="auto"/>
        <w:bottom w:val="none" w:sz="0" w:space="0" w:color="auto"/>
        <w:right w:val="none" w:sz="0" w:space="0" w:color="auto"/>
      </w:divBdr>
    </w:div>
    <w:div w:id="1193300619">
      <w:bodyDiv w:val="1"/>
      <w:marLeft w:val="0"/>
      <w:marRight w:val="0"/>
      <w:marTop w:val="0"/>
      <w:marBottom w:val="0"/>
      <w:divBdr>
        <w:top w:val="none" w:sz="0" w:space="0" w:color="auto"/>
        <w:left w:val="none" w:sz="0" w:space="0" w:color="auto"/>
        <w:bottom w:val="none" w:sz="0" w:space="0" w:color="auto"/>
        <w:right w:val="none" w:sz="0" w:space="0" w:color="auto"/>
      </w:divBdr>
    </w:div>
    <w:div w:id="1266115473">
      <w:bodyDiv w:val="1"/>
      <w:marLeft w:val="0"/>
      <w:marRight w:val="0"/>
      <w:marTop w:val="0"/>
      <w:marBottom w:val="0"/>
      <w:divBdr>
        <w:top w:val="none" w:sz="0" w:space="0" w:color="auto"/>
        <w:left w:val="none" w:sz="0" w:space="0" w:color="auto"/>
        <w:bottom w:val="none" w:sz="0" w:space="0" w:color="auto"/>
        <w:right w:val="none" w:sz="0" w:space="0" w:color="auto"/>
      </w:divBdr>
    </w:div>
    <w:div w:id="1308045547">
      <w:bodyDiv w:val="1"/>
      <w:marLeft w:val="0"/>
      <w:marRight w:val="0"/>
      <w:marTop w:val="0"/>
      <w:marBottom w:val="0"/>
      <w:divBdr>
        <w:top w:val="none" w:sz="0" w:space="0" w:color="auto"/>
        <w:left w:val="none" w:sz="0" w:space="0" w:color="auto"/>
        <w:bottom w:val="none" w:sz="0" w:space="0" w:color="auto"/>
        <w:right w:val="none" w:sz="0" w:space="0" w:color="auto"/>
      </w:divBdr>
    </w:div>
    <w:div w:id="1443186186">
      <w:bodyDiv w:val="1"/>
      <w:marLeft w:val="0"/>
      <w:marRight w:val="0"/>
      <w:marTop w:val="0"/>
      <w:marBottom w:val="0"/>
      <w:divBdr>
        <w:top w:val="none" w:sz="0" w:space="0" w:color="auto"/>
        <w:left w:val="none" w:sz="0" w:space="0" w:color="auto"/>
        <w:bottom w:val="none" w:sz="0" w:space="0" w:color="auto"/>
        <w:right w:val="none" w:sz="0" w:space="0" w:color="auto"/>
      </w:divBdr>
    </w:div>
    <w:div w:id="1473713482">
      <w:bodyDiv w:val="1"/>
      <w:marLeft w:val="0"/>
      <w:marRight w:val="0"/>
      <w:marTop w:val="0"/>
      <w:marBottom w:val="0"/>
      <w:divBdr>
        <w:top w:val="none" w:sz="0" w:space="0" w:color="auto"/>
        <w:left w:val="none" w:sz="0" w:space="0" w:color="auto"/>
        <w:bottom w:val="none" w:sz="0" w:space="0" w:color="auto"/>
        <w:right w:val="none" w:sz="0" w:space="0" w:color="auto"/>
      </w:divBdr>
    </w:div>
    <w:div w:id="1564487674">
      <w:bodyDiv w:val="1"/>
      <w:marLeft w:val="0"/>
      <w:marRight w:val="0"/>
      <w:marTop w:val="0"/>
      <w:marBottom w:val="0"/>
      <w:divBdr>
        <w:top w:val="none" w:sz="0" w:space="0" w:color="auto"/>
        <w:left w:val="none" w:sz="0" w:space="0" w:color="auto"/>
        <w:bottom w:val="none" w:sz="0" w:space="0" w:color="auto"/>
        <w:right w:val="none" w:sz="0" w:space="0" w:color="auto"/>
      </w:divBdr>
    </w:div>
    <w:div w:id="1615014464">
      <w:bodyDiv w:val="1"/>
      <w:marLeft w:val="0"/>
      <w:marRight w:val="0"/>
      <w:marTop w:val="0"/>
      <w:marBottom w:val="0"/>
      <w:divBdr>
        <w:top w:val="none" w:sz="0" w:space="0" w:color="auto"/>
        <w:left w:val="none" w:sz="0" w:space="0" w:color="auto"/>
        <w:bottom w:val="none" w:sz="0" w:space="0" w:color="auto"/>
        <w:right w:val="none" w:sz="0" w:space="0" w:color="auto"/>
      </w:divBdr>
    </w:div>
    <w:div w:id="1700622880">
      <w:bodyDiv w:val="1"/>
      <w:marLeft w:val="0"/>
      <w:marRight w:val="0"/>
      <w:marTop w:val="0"/>
      <w:marBottom w:val="0"/>
      <w:divBdr>
        <w:top w:val="none" w:sz="0" w:space="0" w:color="auto"/>
        <w:left w:val="none" w:sz="0" w:space="0" w:color="auto"/>
        <w:bottom w:val="none" w:sz="0" w:space="0" w:color="auto"/>
        <w:right w:val="none" w:sz="0" w:space="0" w:color="auto"/>
      </w:divBdr>
    </w:div>
    <w:div w:id="1884899153">
      <w:bodyDiv w:val="1"/>
      <w:marLeft w:val="0"/>
      <w:marRight w:val="0"/>
      <w:marTop w:val="0"/>
      <w:marBottom w:val="0"/>
      <w:divBdr>
        <w:top w:val="none" w:sz="0" w:space="0" w:color="auto"/>
        <w:left w:val="none" w:sz="0" w:space="0" w:color="auto"/>
        <w:bottom w:val="none" w:sz="0" w:space="0" w:color="auto"/>
        <w:right w:val="none" w:sz="0" w:space="0" w:color="auto"/>
      </w:divBdr>
    </w:div>
    <w:div w:id="19686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es@bu.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287/mnsc.34.6.679"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allinterakis@liverpool.ac.uk"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ba@umd.ed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thanasios.Pantelous@monash.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yperlink" Target="mailto:stavros.stavroglou@monash.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cdc.noaa.gov" TargetMode="External"/><Relationship Id="rId2" Type="http://schemas.openxmlformats.org/officeDocument/2006/relationships/hyperlink" Target="https://github.com/nytimes/covid-19-data" TargetMode="External"/><Relationship Id="rId1" Type="http://schemas.openxmlformats.org/officeDocument/2006/relationships/hyperlink" Target="https://www.who.int/globalchange/summary/en/index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01C56-F40C-442F-B403-4A15BFA3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30</Pages>
  <Words>13255</Words>
  <Characters>75559</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Pantelous, Athanasios</dc:creator>
  <cp:keywords/>
  <dc:description/>
  <cp:lastModifiedBy>Thanasi Pantelous</cp:lastModifiedBy>
  <cp:revision>48</cp:revision>
  <cp:lastPrinted>2020-07-26T00:30:00Z</cp:lastPrinted>
  <dcterms:created xsi:type="dcterms:W3CDTF">2020-10-10T23:23:00Z</dcterms:created>
  <dcterms:modified xsi:type="dcterms:W3CDTF">2021-01-04T17:25:00Z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1ade7aab-4fd9-33fb-adbb-27a4603be11c</vt:lpwstr>
  </property>
  <property fmtid="{D5CDD505-2E9C-101B-9397-08002B2CF9AE}" pid="24" name="Mendeley Citation Style_1">
    <vt:lpwstr>http://www.zotero.org/styles/apa</vt:lpwstr>
  </property>
</Properties>
</file>