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956B" w14:textId="335454DE" w:rsidR="0092047F" w:rsidRDefault="00496EAE" w:rsidP="0092047F">
      <w:pPr>
        <w:jc w:val="center"/>
        <w:rPr>
          <w:b/>
        </w:rPr>
      </w:pPr>
      <w:r>
        <w:rPr>
          <w:b/>
        </w:rPr>
        <w:t>C</w:t>
      </w:r>
      <w:r w:rsidR="0092047F">
        <w:rPr>
          <w:b/>
        </w:rPr>
        <w:t xml:space="preserve">ompliance </w:t>
      </w:r>
      <w:r>
        <w:rPr>
          <w:b/>
        </w:rPr>
        <w:t>or non-compliance during crisis: does it matter?</w:t>
      </w:r>
    </w:p>
    <w:p w14:paraId="2FE30BCE" w14:textId="77777777" w:rsidR="0092047F" w:rsidRPr="00B70FCD" w:rsidRDefault="0092047F" w:rsidP="0092047F">
      <w:pPr>
        <w:jc w:val="center"/>
        <w:rPr>
          <w:rFonts w:eastAsia="Times New Roman" w:cs="Times New Roman"/>
          <w:b/>
          <w:szCs w:val="24"/>
          <w:lang w:eastAsia="en-GB"/>
        </w:rPr>
      </w:pPr>
      <w:r w:rsidRPr="00B70FCD">
        <w:rPr>
          <w:rFonts w:eastAsia="Times New Roman" w:cs="Times New Roman"/>
          <w:b/>
          <w:szCs w:val="24"/>
          <w:lang w:eastAsia="en-GB"/>
        </w:rPr>
        <w:t>Abstract</w:t>
      </w:r>
    </w:p>
    <w:p w14:paraId="3448A0E6" w14:textId="25DE12A9" w:rsidR="0092047F" w:rsidRDefault="0092047F" w:rsidP="0092047F">
      <w:pPr>
        <w:ind w:firstLine="0"/>
        <w:rPr>
          <w:rFonts w:eastAsia="Calibri" w:cs="Times New Roman"/>
          <w:lang w:eastAsia="en-GB"/>
        </w:rPr>
      </w:pPr>
      <w:r w:rsidRPr="003E7404">
        <w:rPr>
          <w:rFonts w:eastAsia="Calibri" w:cs="Times New Roman"/>
          <w:lang w:eastAsia="en-GB"/>
        </w:rPr>
        <w:t xml:space="preserve">This paper investigates whether shareholder value is </w:t>
      </w:r>
      <w:r w:rsidR="0021039F">
        <w:rPr>
          <w:rFonts w:eastAsia="Calibri" w:cs="Times New Roman"/>
          <w:lang w:eastAsia="en-GB"/>
        </w:rPr>
        <w:t>affected</w:t>
      </w:r>
      <w:r w:rsidRPr="003E7404">
        <w:rPr>
          <w:rFonts w:eastAsia="Calibri" w:cs="Times New Roman"/>
          <w:lang w:eastAsia="en-GB"/>
        </w:rPr>
        <w:t xml:space="preserve"> by non-compliance </w:t>
      </w:r>
      <w:r w:rsidR="004C1E64">
        <w:rPr>
          <w:rFonts w:eastAsia="Calibri" w:cs="Times New Roman"/>
          <w:lang w:eastAsia="en-GB"/>
        </w:rPr>
        <w:t>with the prescriptions of a principle-based ‘comply or explain’ syst</w:t>
      </w:r>
      <w:r w:rsidR="002C05F9">
        <w:rPr>
          <w:rFonts w:eastAsia="Calibri" w:cs="Times New Roman"/>
          <w:lang w:eastAsia="en-GB"/>
        </w:rPr>
        <w:t>em of corporate governance</w:t>
      </w:r>
      <w:r w:rsidR="004C1E64">
        <w:rPr>
          <w:rFonts w:eastAsia="Calibri" w:cs="Times New Roman"/>
          <w:lang w:eastAsia="en-GB"/>
        </w:rPr>
        <w:t xml:space="preserve"> </w:t>
      </w:r>
      <w:r w:rsidR="003E7404" w:rsidRPr="003E7404">
        <w:rPr>
          <w:rFonts w:eastAsia="Calibri" w:cs="Times New Roman"/>
          <w:lang w:eastAsia="en-GB"/>
        </w:rPr>
        <w:t>in the context of the global financial crisis of 2007-2009</w:t>
      </w:r>
      <w:r w:rsidRPr="003E7404">
        <w:rPr>
          <w:rFonts w:eastAsia="Calibri" w:cs="Times New Roman"/>
          <w:lang w:eastAsia="en-GB"/>
        </w:rPr>
        <w:t>.</w:t>
      </w:r>
      <w:r>
        <w:rPr>
          <w:rFonts w:eastAsia="Calibri" w:cs="Times New Roman"/>
          <w:lang w:eastAsia="en-GB"/>
        </w:rPr>
        <w:t xml:space="preserve"> </w:t>
      </w:r>
      <w:r w:rsidR="004C1E64">
        <w:rPr>
          <w:rFonts w:eastAsia="Calibri" w:cs="Times New Roman"/>
          <w:lang w:eastAsia="en-GB"/>
        </w:rPr>
        <w:t>U</w:t>
      </w:r>
      <w:r w:rsidRPr="00D87B2C">
        <w:rPr>
          <w:rFonts w:eastAsia="Calibri" w:cs="Times New Roman"/>
          <w:lang w:eastAsia="en-GB"/>
        </w:rPr>
        <w:t xml:space="preserve">sing </w:t>
      </w:r>
      <w:r w:rsidR="004C1E64">
        <w:rPr>
          <w:rFonts w:eastAsia="Calibri" w:cs="Times New Roman"/>
          <w:lang w:eastAsia="en-GB"/>
        </w:rPr>
        <w:t>S</w:t>
      </w:r>
      <w:r w:rsidR="002D6C89">
        <w:rPr>
          <w:rFonts w:eastAsia="Calibri" w:cs="Times New Roman"/>
          <w:lang w:eastAsia="en-GB"/>
        </w:rPr>
        <w:t>ystem</w:t>
      </w:r>
      <w:r w:rsidR="004C1E64">
        <w:rPr>
          <w:rFonts w:eastAsia="Calibri" w:cs="Times New Roman"/>
          <w:lang w:eastAsia="en-GB"/>
        </w:rPr>
        <w:t xml:space="preserve"> </w:t>
      </w:r>
      <w:r w:rsidRPr="00D87B2C">
        <w:rPr>
          <w:rFonts w:eastAsia="Calibri" w:cs="Times New Roman"/>
          <w:lang w:eastAsia="en-GB"/>
        </w:rPr>
        <w:t>Generalized Method of Moments es</w:t>
      </w:r>
      <w:r w:rsidR="004C1E64">
        <w:rPr>
          <w:rFonts w:eastAsia="Calibri" w:cs="Times New Roman"/>
          <w:lang w:eastAsia="en-GB"/>
        </w:rPr>
        <w:t>timate</w:t>
      </w:r>
      <w:r w:rsidR="002C05F9">
        <w:rPr>
          <w:rFonts w:eastAsia="Calibri" w:cs="Times New Roman"/>
          <w:lang w:eastAsia="en-GB"/>
        </w:rPr>
        <w:t>s</w:t>
      </w:r>
      <w:r w:rsidR="004C1E64">
        <w:rPr>
          <w:rFonts w:eastAsia="Calibri" w:cs="Times New Roman"/>
          <w:lang w:eastAsia="en-GB"/>
        </w:rPr>
        <w:t xml:space="preserve"> to control for different types of endogeneity, t</w:t>
      </w:r>
      <w:r>
        <w:rPr>
          <w:rFonts w:eastAsia="Calibri" w:cs="Times New Roman"/>
          <w:lang w:eastAsia="en-GB"/>
        </w:rPr>
        <w:t xml:space="preserve">he main findings </w:t>
      </w:r>
      <w:r w:rsidR="008C62A1">
        <w:rPr>
          <w:rFonts w:eastAsia="Calibri" w:cs="Times New Roman"/>
          <w:lang w:eastAsia="en-GB"/>
        </w:rPr>
        <w:t xml:space="preserve">of this paper suggest </w:t>
      </w:r>
      <w:r w:rsidRPr="003E7404">
        <w:rPr>
          <w:rFonts w:eastAsia="Calibri" w:cs="Times New Roman"/>
          <w:lang w:eastAsia="en-GB"/>
        </w:rPr>
        <w:t>that</w:t>
      </w:r>
      <w:r>
        <w:rPr>
          <w:rFonts w:eastAsia="Calibri" w:cs="Times New Roman"/>
          <w:lang w:eastAsia="en-GB"/>
        </w:rPr>
        <w:t xml:space="preserve"> non-compliance with the UK Corporate Governance Code adversely affects shareholder value. Furthermore, ex-post estimates reveal </w:t>
      </w:r>
      <w:r w:rsidRPr="00FB0D05">
        <w:rPr>
          <w:rFonts w:eastAsia="Calibri" w:cs="Times New Roman"/>
          <w:lang w:eastAsia="en-GB"/>
        </w:rPr>
        <w:t>that compliance with</w:t>
      </w:r>
      <w:r w:rsidR="008E31E4" w:rsidRPr="008E31E4">
        <w:t xml:space="preserve"> </w:t>
      </w:r>
      <w:r w:rsidR="008E31E4" w:rsidRPr="008E31E4">
        <w:rPr>
          <w:rFonts w:eastAsia="Calibri" w:cs="Times New Roman"/>
          <w:lang w:eastAsia="en-GB"/>
        </w:rPr>
        <w:t xml:space="preserve">certain corporate governance mechanisms are more </w:t>
      </w:r>
      <w:r w:rsidR="008B7C78">
        <w:rPr>
          <w:rFonts w:eastAsia="Calibri" w:cs="Times New Roman"/>
          <w:lang w:eastAsia="en-GB"/>
        </w:rPr>
        <w:t>beneficial than others</w:t>
      </w:r>
      <w:r w:rsidR="008B7C78" w:rsidRPr="003E7404">
        <w:rPr>
          <w:rFonts w:eastAsia="Calibri" w:cs="Times New Roman"/>
          <w:lang w:eastAsia="en-GB"/>
        </w:rPr>
        <w:t xml:space="preserve">. </w:t>
      </w:r>
      <w:r w:rsidR="005F340B" w:rsidRPr="003E7404">
        <w:rPr>
          <w:rFonts w:eastAsia="Calibri" w:cs="Times New Roman"/>
          <w:lang w:eastAsia="en-GB"/>
        </w:rPr>
        <w:t>With regard to this</w:t>
      </w:r>
      <w:r w:rsidR="00750452" w:rsidRPr="003E7404">
        <w:rPr>
          <w:rFonts w:eastAsia="Calibri" w:cs="Times New Roman"/>
          <w:lang w:eastAsia="en-GB"/>
        </w:rPr>
        <w:t>,</w:t>
      </w:r>
      <w:r w:rsidR="008765D6">
        <w:rPr>
          <w:rFonts w:eastAsia="Calibri" w:cs="Times New Roman"/>
          <w:lang w:eastAsia="en-GB"/>
        </w:rPr>
        <w:t xml:space="preserve"> compliance with</w:t>
      </w:r>
      <w:r w:rsidRPr="002C7C6F">
        <w:rPr>
          <w:rFonts w:eastAsia="Calibri" w:cs="Times New Roman"/>
          <w:lang w:eastAsia="en-GB"/>
        </w:rPr>
        <w:t xml:space="preserve"> provisions related to board independence is more important than complying with performance related pay requirements of the code</w:t>
      </w:r>
      <w:r w:rsidRPr="00FB0D05">
        <w:rPr>
          <w:rFonts w:eastAsia="Calibri" w:cs="Times New Roman"/>
          <w:lang w:eastAsia="en-GB"/>
        </w:rPr>
        <w:t>.</w:t>
      </w:r>
      <w:r>
        <w:rPr>
          <w:rFonts w:eastAsia="Calibri" w:cs="Times New Roman"/>
          <w:lang w:eastAsia="en-GB"/>
        </w:rPr>
        <w:t xml:space="preserve"> These findings have implications for policy makers and financial institutions regarding the usefulness of compliance with a prescribed code of corporate governance, specifically during periods of financial distress.</w:t>
      </w:r>
    </w:p>
    <w:p w14:paraId="615160D5" w14:textId="1F39B5F8" w:rsidR="0092047F" w:rsidRDefault="0092047F" w:rsidP="0092047F">
      <w:pPr>
        <w:ind w:firstLine="0"/>
        <w:rPr>
          <w:rFonts w:eastAsia="Times New Roman" w:cs="Times New Roman"/>
          <w:szCs w:val="24"/>
          <w:lang w:eastAsia="en-GB"/>
        </w:rPr>
      </w:pPr>
      <w:r w:rsidRPr="00BD018C">
        <w:rPr>
          <w:rFonts w:eastAsia="Times New Roman" w:cs="Times New Roman"/>
          <w:b/>
          <w:szCs w:val="24"/>
          <w:lang w:eastAsia="en-GB"/>
        </w:rPr>
        <w:t>Key words:</w:t>
      </w:r>
      <w:r w:rsidRPr="00BD018C">
        <w:rPr>
          <w:rFonts w:eastAsia="Times New Roman" w:cs="Times New Roman"/>
          <w:szCs w:val="24"/>
          <w:lang w:eastAsia="en-GB"/>
        </w:rPr>
        <w:t xml:space="preserve"> </w:t>
      </w:r>
      <w:r>
        <w:rPr>
          <w:rFonts w:eastAsia="Times New Roman" w:cs="Times New Roman"/>
          <w:szCs w:val="24"/>
          <w:lang w:eastAsia="en-GB"/>
        </w:rPr>
        <w:t>Financial firms; n</w:t>
      </w:r>
      <w:r w:rsidRPr="00BD018C">
        <w:rPr>
          <w:rFonts w:eastAsia="Times New Roman" w:cs="Times New Roman"/>
          <w:szCs w:val="24"/>
          <w:lang w:eastAsia="en-GB"/>
        </w:rPr>
        <w:t xml:space="preserve">on-compliance; internal controls; </w:t>
      </w:r>
      <w:r>
        <w:rPr>
          <w:rFonts w:eastAsia="Times New Roman" w:cs="Times New Roman"/>
          <w:szCs w:val="24"/>
          <w:lang w:eastAsia="en-GB"/>
        </w:rPr>
        <w:t>governance mechanism</w:t>
      </w:r>
      <w:r w:rsidRPr="00BD018C">
        <w:rPr>
          <w:rFonts w:eastAsia="Times New Roman" w:cs="Times New Roman"/>
          <w:szCs w:val="24"/>
          <w:lang w:eastAsia="en-GB"/>
        </w:rPr>
        <w:t xml:space="preserve">; </w:t>
      </w:r>
      <w:r>
        <w:rPr>
          <w:rFonts w:eastAsia="Times New Roman" w:cs="Times New Roman"/>
          <w:szCs w:val="24"/>
          <w:lang w:eastAsia="en-GB"/>
        </w:rPr>
        <w:t>crisis</w:t>
      </w:r>
    </w:p>
    <w:p w14:paraId="290A5CB9" w14:textId="77777777" w:rsidR="009742CD" w:rsidRPr="00436FA9" w:rsidRDefault="009742CD" w:rsidP="009742CD">
      <w:pPr>
        <w:spacing w:line="259" w:lineRule="auto"/>
        <w:ind w:firstLine="0"/>
        <w:rPr>
          <w:b/>
        </w:rPr>
      </w:pPr>
      <w:r w:rsidRPr="00436FA9">
        <w:rPr>
          <w:b/>
        </w:rPr>
        <w:t>Data availability statement:</w:t>
      </w:r>
    </w:p>
    <w:p w14:paraId="0406B1AE" w14:textId="0D93DE75" w:rsidR="009742CD" w:rsidRDefault="009742CD" w:rsidP="009742CD">
      <w:pPr>
        <w:ind w:firstLine="0"/>
        <w:rPr>
          <w:rFonts w:eastAsia="Times New Roman" w:cs="Times New Roman"/>
          <w:szCs w:val="24"/>
          <w:lang w:eastAsia="en-GB"/>
        </w:rPr>
      </w:pPr>
      <w:r w:rsidRPr="00436FA9">
        <w:t>The data that support the findings of this study are available from the corresponding author upon reasonable request.</w:t>
      </w:r>
    </w:p>
    <w:p w14:paraId="09FCBDF3" w14:textId="77777777" w:rsidR="0092047F" w:rsidRDefault="0092047F" w:rsidP="0092047F">
      <w:pPr>
        <w:ind w:firstLine="0"/>
        <w:rPr>
          <w:rFonts w:eastAsia="Times New Roman" w:cs="Times New Roman"/>
          <w:szCs w:val="24"/>
          <w:lang w:eastAsia="en-GB"/>
        </w:rPr>
      </w:pPr>
    </w:p>
    <w:p w14:paraId="400FBC57" w14:textId="77777777" w:rsidR="0092047F" w:rsidRDefault="0092047F" w:rsidP="0092047F">
      <w:pPr>
        <w:spacing w:after="160" w:line="259" w:lineRule="auto"/>
        <w:ind w:firstLine="0"/>
        <w:jc w:val="left"/>
        <w:rPr>
          <w:rFonts w:eastAsia="Times New Roman" w:cs="Times New Roman"/>
          <w:szCs w:val="24"/>
          <w:lang w:eastAsia="en-GB"/>
        </w:rPr>
      </w:pPr>
      <w:r>
        <w:rPr>
          <w:rFonts w:eastAsia="Times New Roman" w:cs="Times New Roman"/>
          <w:szCs w:val="24"/>
          <w:lang w:eastAsia="en-GB"/>
        </w:rPr>
        <w:br w:type="page"/>
      </w:r>
    </w:p>
    <w:p w14:paraId="36B91DC3" w14:textId="77777777" w:rsidR="0092047F" w:rsidRPr="00552487" w:rsidRDefault="0092047F" w:rsidP="0092047F">
      <w:pPr>
        <w:pStyle w:val="Heading1"/>
        <w:rPr>
          <w:rFonts w:eastAsia="Times New Roman"/>
          <w:lang w:eastAsia="en-GB"/>
        </w:rPr>
      </w:pPr>
      <w:r w:rsidRPr="00552487">
        <w:rPr>
          <w:rFonts w:eastAsia="Times New Roman"/>
          <w:lang w:eastAsia="en-GB"/>
        </w:rPr>
        <w:lastRenderedPageBreak/>
        <w:t>Introduction</w:t>
      </w:r>
    </w:p>
    <w:p w14:paraId="7C66592F" w14:textId="6B083C76" w:rsidR="00DB46CB" w:rsidRDefault="0092047F" w:rsidP="0092047F">
      <w:pPr>
        <w:rPr>
          <w:lang w:eastAsia="en-GB"/>
        </w:rPr>
      </w:pPr>
      <w:r w:rsidRPr="003D5EE2">
        <w:rPr>
          <w:lang w:eastAsia="en-GB"/>
        </w:rPr>
        <w:t xml:space="preserve">Financial crises have </w:t>
      </w:r>
      <w:r w:rsidRPr="003E7404">
        <w:rPr>
          <w:lang w:eastAsia="en-GB"/>
        </w:rPr>
        <w:t>existed</w:t>
      </w:r>
      <w:r w:rsidRPr="003D5EE2">
        <w:rPr>
          <w:lang w:eastAsia="en-GB"/>
        </w:rPr>
        <w:t xml:space="preserve"> throughout the history</w:t>
      </w:r>
      <w:r>
        <w:rPr>
          <w:lang w:eastAsia="en-GB"/>
        </w:rPr>
        <w:t>, f</w:t>
      </w:r>
      <w:r w:rsidRPr="003D5EE2">
        <w:rPr>
          <w:lang w:eastAsia="en-GB"/>
        </w:rPr>
        <w:t>rom the Tulip Mania in the 1600</w:t>
      </w:r>
      <w:r w:rsidR="006B0F5B" w:rsidRPr="003D5EE2">
        <w:rPr>
          <w:lang w:eastAsia="en-GB"/>
        </w:rPr>
        <w:t>s</w:t>
      </w:r>
      <w:r w:rsidR="006B0F5B">
        <w:rPr>
          <w:lang w:eastAsia="en-GB"/>
        </w:rPr>
        <w:t xml:space="preserve"> to</w:t>
      </w:r>
      <w:r w:rsidRPr="003D5EE2">
        <w:rPr>
          <w:lang w:eastAsia="en-GB"/>
        </w:rPr>
        <w:t xml:space="preserve"> the recent European debt crisis. </w:t>
      </w:r>
      <w:r>
        <w:rPr>
          <w:lang w:eastAsia="en-GB"/>
        </w:rPr>
        <w:t xml:space="preserve">Exogenous shocks in the form of </w:t>
      </w:r>
      <w:r w:rsidR="004B4BCB">
        <w:rPr>
          <w:lang w:eastAsia="en-GB"/>
        </w:rPr>
        <w:t xml:space="preserve">a </w:t>
      </w:r>
      <w:r>
        <w:rPr>
          <w:lang w:eastAsia="en-GB"/>
        </w:rPr>
        <w:t>financial crisis can expose the underlying inefficacies of internal corporate governance mechanisms as drivers of shareholder value. Following the global financial crisis of 2007</w:t>
      </w:r>
      <w:r w:rsidR="004E1ABC">
        <w:rPr>
          <w:lang w:eastAsia="en-GB"/>
        </w:rPr>
        <w:t>–</w:t>
      </w:r>
      <w:r>
        <w:rPr>
          <w:lang w:eastAsia="en-GB"/>
        </w:rPr>
        <w:t>2009</w:t>
      </w:r>
      <w:r w:rsidR="002750E5">
        <w:rPr>
          <w:lang w:eastAsia="en-GB"/>
        </w:rPr>
        <w:t>,</w:t>
      </w:r>
      <w:r w:rsidR="00393A72">
        <w:rPr>
          <w:lang w:eastAsia="en-GB"/>
        </w:rPr>
        <w:t xml:space="preserve"> </w:t>
      </w:r>
      <w:r>
        <w:rPr>
          <w:lang w:eastAsia="en-GB"/>
        </w:rPr>
        <w:t xml:space="preserve">scholars were quick to link the </w:t>
      </w:r>
      <w:r w:rsidRPr="00BF07D7">
        <w:rPr>
          <w:lang w:eastAsia="en-GB"/>
        </w:rPr>
        <w:t xml:space="preserve">inadequacies in corporate governance mechanisms </w:t>
      </w:r>
      <w:r>
        <w:rPr>
          <w:lang w:eastAsia="en-GB"/>
        </w:rPr>
        <w:t>as</w:t>
      </w:r>
      <w:r w:rsidRPr="00BF07D7">
        <w:rPr>
          <w:lang w:eastAsia="en-GB"/>
        </w:rPr>
        <w:t xml:space="preserve"> </w:t>
      </w:r>
      <w:r w:rsidR="004D17CD">
        <w:rPr>
          <w:lang w:eastAsia="en-GB"/>
        </w:rPr>
        <w:t>one of the major</w:t>
      </w:r>
      <w:r w:rsidRPr="00BF07D7">
        <w:rPr>
          <w:lang w:eastAsia="en-GB"/>
        </w:rPr>
        <w:t xml:space="preserve"> causes of the crisis</w:t>
      </w:r>
      <w:r>
        <w:rPr>
          <w:lang w:eastAsia="en-GB"/>
        </w:rPr>
        <w:t xml:space="preserve"> </w:t>
      </w:r>
      <w:r w:rsidR="001A04AA">
        <w:rPr>
          <w:lang w:eastAsia="en-GB"/>
        </w:rPr>
        <w:fldChar w:fldCharType="begin">
          <w:fldData xml:space="preserve">PEVuZE5vdGU+PENpdGU+PEF1dGhvcj5HcmVnb3Jpb3U8L0F1dGhvcj48WWVhcj4yMDA5PC9ZZWFy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</w:fldData>
        </w:fldChar>
      </w:r>
      <w:r w:rsidR="00327CEC">
        <w:rPr>
          <w:lang w:eastAsia="en-GB"/>
        </w:rPr>
        <w:instrText xml:space="preserve"> ADDIN EN.CITE </w:instrText>
      </w:r>
      <w:r w:rsidR="00327CEC">
        <w:rPr>
          <w:lang w:eastAsia="en-GB"/>
        </w:rPr>
        <w:fldChar w:fldCharType="begin">
          <w:fldData xml:space="preserve">PEVuZE5vdGU+PENpdGU+PEF1dGhvcj5HcmVnb3Jpb3U8L0F1dGhvcj48WWVhcj4yMDA5PC9ZZWFy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</w:fldData>
        </w:fldChar>
      </w:r>
      <w:r w:rsidR="00327CEC">
        <w:rPr>
          <w:lang w:eastAsia="en-GB"/>
        </w:rPr>
        <w:instrText xml:space="preserve"> ADDIN EN.CITE.DATA </w:instrText>
      </w:r>
      <w:r w:rsidR="00327CEC">
        <w:rPr>
          <w:lang w:eastAsia="en-GB"/>
        </w:rPr>
      </w:r>
      <w:r w:rsidR="00327CEC">
        <w:rPr>
          <w:lang w:eastAsia="en-GB"/>
        </w:rPr>
        <w:fldChar w:fldCharType="end"/>
      </w:r>
      <w:r w:rsidR="001A04AA">
        <w:rPr>
          <w:lang w:eastAsia="en-GB"/>
        </w:rPr>
      </w:r>
      <w:r w:rsidR="001A04AA">
        <w:rPr>
          <w:lang w:eastAsia="en-GB"/>
        </w:rPr>
        <w:fldChar w:fldCharType="separate"/>
      </w:r>
      <w:r w:rsidR="001A04AA">
        <w:rPr>
          <w:noProof/>
          <w:lang w:eastAsia="en-GB"/>
        </w:rPr>
        <w:t>(Conyon, Judge, &amp; Useem, 2011; Gregoriou, 2009; Kirkpatrick, 2009)</w:t>
      </w:r>
      <w:r w:rsidR="001A04AA">
        <w:rPr>
          <w:lang w:eastAsia="en-GB"/>
        </w:rPr>
        <w:fldChar w:fldCharType="end"/>
      </w:r>
      <w:r w:rsidR="00DB46CB">
        <w:rPr>
          <w:rStyle w:val="EndnoteReference"/>
          <w:lang w:eastAsia="en-GB"/>
        </w:rPr>
        <w:endnoteReference w:id="1"/>
      </w:r>
      <w:r w:rsidR="00DB46CB">
        <w:rPr>
          <w:lang w:eastAsia="en-GB"/>
        </w:rPr>
        <w:t>.</w:t>
      </w:r>
      <w:r w:rsidR="00DB46CB" w:rsidRPr="00A15578">
        <w:rPr>
          <w:lang w:eastAsia="en-GB"/>
        </w:rPr>
        <w:t xml:space="preserve"> </w:t>
      </w:r>
      <w:r w:rsidR="00DB46CB">
        <w:rPr>
          <w:lang w:eastAsia="en-GB"/>
        </w:rPr>
        <w:t xml:space="preserve">A broad </w:t>
      </w:r>
      <w:proofErr w:type="spellStart"/>
      <w:r w:rsidR="00DB46CB">
        <w:rPr>
          <w:lang w:eastAsia="en-GB"/>
        </w:rPr>
        <w:t>spillover</w:t>
      </w:r>
      <w:proofErr w:type="spellEnd"/>
      <w:r w:rsidR="00DB46CB">
        <w:rPr>
          <w:lang w:eastAsia="en-GB"/>
        </w:rPr>
        <w:t xml:space="preserve"> effect was witnessed by </w:t>
      </w:r>
      <w:r w:rsidR="00F705F6">
        <w:rPr>
          <w:lang w:eastAsia="en-GB"/>
        </w:rPr>
        <w:t>most</w:t>
      </w:r>
      <w:r w:rsidR="00DB46CB">
        <w:rPr>
          <w:lang w:eastAsia="en-GB"/>
        </w:rPr>
        <w:t xml:space="preserve"> firms, and indeed the entire world economy, as a result of the collapse of </w:t>
      </w:r>
      <w:r w:rsidR="00F705F6">
        <w:rPr>
          <w:lang w:eastAsia="en-GB"/>
        </w:rPr>
        <w:t xml:space="preserve">several </w:t>
      </w:r>
      <w:r w:rsidR="00DB46CB">
        <w:rPr>
          <w:lang w:eastAsia="en-GB"/>
        </w:rPr>
        <w:t xml:space="preserve">large financial institutions. </w:t>
      </w:r>
      <w:r w:rsidR="00DB46CB" w:rsidRPr="00336CC1">
        <w:rPr>
          <w:lang w:eastAsia="en-GB"/>
        </w:rPr>
        <w:t xml:space="preserve">Given the importance of financial firms, this study examines the relationship between firm-level corporate governance mechanisms and shareholder value during </w:t>
      </w:r>
      <w:r w:rsidR="00F705F6">
        <w:rPr>
          <w:lang w:eastAsia="en-GB"/>
        </w:rPr>
        <w:t xml:space="preserve">the </w:t>
      </w:r>
      <w:r w:rsidR="00DB46CB" w:rsidRPr="00336CC1">
        <w:rPr>
          <w:lang w:eastAsia="en-GB"/>
        </w:rPr>
        <w:t xml:space="preserve">crisis. </w:t>
      </w:r>
      <w:r w:rsidR="00DB46CB">
        <w:rPr>
          <w:lang w:eastAsia="en-GB"/>
        </w:rPr>
        <w:t>More specifically, t</w:t>
      </w:r>
      <w:r w:rsidR="00DB46CB" w:rsidRPr="00336CC1">
        <w:rPr>
          <w:lang w:eastAsia="en-GB"/>
        </w:rPr>
        <w:t>his study contributes to the understanding of the importance of contextual factors o</w:t>
      </w:r>
      <w:r w:rsidR="00DB46CB">
        <w:rPr>
          <w:lang w:eastAsia="en-GB"/>
        </w:rPr>
        <w:t>n</w:t>
      </w:r>
      <w:r w:rsidR="00DB46CB" w:rsidRPr="00336CC1">
        <w:rPr>
          <w:lang w:eastAsia="en-GB"/>
        </w:rPr>
        <w:t xml:space="preserve"> the impact of </w:t>
      </w:r>
      <w:r w:rsidR="00DB46CB">
        <w:rPr>
          <w:lang w:eastAsia="en-GB"/>
        </w:rPr>
        <w:t>non-</w:t>
      </w:r>
      <w:r w:rsidR="00DB46CB" w:rsidRPr="00336CC1">
        <w:rPr>
          <w:lang w:eastAsia="en-GB"/>
        </w:rPr>
        <w:t xml:space="preserve">compliance with a prescribed code of corporate governance </w:t>
      </w:r>
      <w:r w:rsidR="00DB46CB">
        <w:rPr>
          <w:lang w:eastAsia="en-GB"/>
        </w:rPr>
        <w:t xml:space="preserve">and </w:t>
      </w:r>
      <w:r w:rsidR="00DB46CB" w:rsidRPr="00336CC1">
        <w:rPr>
          <w:lang w:eastAsia="en-GB"/>
        </w:rPr>
        <w:t xml:space="preserve">shareholder value before, and during </w:t>
      </w:r>
      <w:r w:rsidR="002B7947">
        <w:rPr>
          <w:lang w:eastAsia="en-GB"/>
        </w:rPr>
        <w:t>the</w:t>
      </w:r>
      <w:r w:rsidR="00DB46CB" w:rsidRPr="00336CC1">
        <w:rPr>
          <w:lang w:eastAsia="en-GB"/>
        </w:rPr>
        <w:t xml:space="preserve"> financial crisis period</w:t>
      </w:r>
      <w:r w:rsidR="00DB46CB">
        <w:rPr>
          <w:rStyle w:val="EndnoteReference"/>
          <w:lang w:eastAsia="en-GB"/>
        </w:rPr>
        <w:endnoteReference w:id="2"/>
      </w:r>
      <w:r w:rsidR="00DB46CB" w:rsidRPr="00336CC1">
        <w:rPr>
          <w:lang w:eastAsia="en-GB"/>
        </w:rPr>
        <w:t>.</w:t>
      </w:r>
    </w:p>
    <w:p w14:paraId="7D78490C" w14:textId="1B7A59F0" w:rsidR="00DB46CB" w:rsidRDefault="00DB46CB" w:rsidP="0092047F">
      <w:pPr>
        <w:rPr>
          <w:lang w:eastAsia="en-GB"/>
        </w:rPr>
      </w:pPr>
      <w:r w:rsidRPr="00477DDE">
        <w:rPr>
          <w:lang w:eastAsia="en-GB"/>
        </w:rPr>
        <w:t>Financial institutions are fundamentally different from their non-financial counterparts not only with regard to their business model and stringent regu</w:t>
      </w:r>
      <w:r>
        <w:rPr>
          <w:lang w:eastAsia="en-GB"/>
        </w:rPr>
        <w:t>lations but also in terms of the</w:t>
      </w:r>
      <w:r w:rsidRPr="00477DDE">
        <w:rPr>
          <w:lang w:eastAsia="en-GB"/>
        </w:rPr>
        <w:t xml:space="preserve"> scope of </w:t>
      </w:r>
      <w:r>
        <w:rPr>
          <w:lang w:eastAsia="en-GB"/>
        </w:rPr>
        <w:t xml:space="preserve">their </w:t>
      </w:r>
      <w:r w:rsidRPr="00477DDE">
        <w:rPr>
          <w:lang w:eastAsia="en-GB"/>
        </w:rPr>
        <w:t>corporate governance</w:t>
      </w:r>
      <w:r w:rsidR="00534304">
        <w:rPr>
          <w:lang w:eastAsia="en-GB"/>
        </w:rPr>
        <w:t xml:space="preserve"> mechanisms</w:t>
      </w:r>
      <w:r w:rsidRPr="00477DDE">
        <w:rPr>
          <w:lang w:eastAsia="en-GB"/>
        </w:rPr>
        <w:t xml:space="preserve"> </w:t>
      </w:r>
      <w:r>
        <w:rPr>
          <w:lang w:eastAsia="en-GB"/>
        </w:rPr>
        <w:fldChar w:fldCharType="begin"/>
      </w:r>
      <w:r w:rsidR="00327CEC">
        <w:rPr>
          <w:lang w:eastAsia="en-GB"/>
        </w:rPr>
        <w:instrText xml:space="preserve"> ADDIN EN.CITE &lt;EndNote&gt;&lt;Cite&gt;&lt;Author&gt;Hopt&lt;/Author&gt;&lt;Year&gt;2011&lt;/Year&gt;&lt;RecNum&gt;475&lt;/RecNum&gt;&lt;DisplayText&gt;(Hopt, 2011)&lt;/DisplayText&gt;&lt;record&gt;&lt;rec-number&gt;475&lt;/rec-number&gt;&lt;foreign-keys&gt;&lt;key app="EN" db-id="s00xzp50xdvx90ea0ravv2dxzr2pdvrrzaff" timestamp="1452198489" guid="249fe77d-2e20-4206-be54-28f0ca1b08d9"&gt;475&lt;/key&gt;&lt;/foreign-keys&gt;&lt;ref-type name="Journal Article"&gt;17&lt;/ref-type&gt;&lt;contributors&gt;&lt;authors&gt;&lt;author&gt;Hopt, K.J.&lt;/author&gt;&lt;/authors&gt;&lt;/contributors&gt;&lt;titles&gt;&lt;title&gt;Comparative corporate governance: The state of the art and international regulation&lt;/title&gt;&lt;secondary-title&gt;American Journal of Comparative Law&lt;/secondary-title&gt;&lt;/titles&gt;&lt;periodical&gt;&lt;full-title&gt;American Journal of Comparative Law&lt;/full-title&gt;&lt;/periodical&gt;&lt;pages&gt;1-73&lt;/pages&gt;&lt;volume&gt;59&lt;/volume&gt;&lt;number&gt;1&lt;/number&gt;&lt;dates&gt;&lt;year&gt;2011&lt;/year&gt;&lt;/dates&gt;&lt;isbn&gt;0002-919X&lt;/isbn&gt;&lt;urls&gt;&lt;/urls&gt;&lt;/record&gt;&lt;/Cite&gt;&lt;/EndNote&gt;</w:instrText>
      </w:r>
      <w:r>
        <w:rPr>
          <w:lang w:eastAsia="en-GB"/>
        </w:rPr>
        <w:fldChar w:fldCharType="separate"/>
      </w:r>
      <w:r>
        <w:rPr>
          <w:noProof/>
          <w:lang w:eastAsia="en-GB"/>
        </w:rPr>
        <w:t>(Hopt, 2011)</w:t>
      </w:r>
      <w:r>
        <w:rPr>
          <w:lang w:eastAsia="en-GB"/>
        </w:rPr>
        <w:fldChar w:fldCharType="end"/>
      </w:r>
      <w:r w:rsidRPr="00477DDE">
        <w:rPr>
          <w:lang w:eastAsia="en-GB"/>
        </w:rPr>
        <w:t>.</w:t>
      </w:r>
      <w:r w:rsidRPr="00484AF2">
        <w:t xml:space="preserve"> </w:t>
      </w:r>
      <w:r w:rsidRPr="00484AF2">
        <w:rPr>
          <w:lang w:eastAsia="en-GB"/>
        </w:rPr>
        <w:t>Since the</w:t>
      </w:r>
      <w:r>
        <w:rPr>
          <w:lang w:eastAsia="en-GB"/>
        </w:rPr>
        <w:t xml:space="preserve"> financial</w:t>
      </w:r>
      <w:r w:rsidRPr="00484AF2">
        <w:rPr>
          <w:lang w:eastAsia="en-GB"/>
        </w:rPr>
        <w:t xml:space="preserve"> crisis, the issue of financial institutions</w:t>
      </w:r>
      <w:r>
        <w:rPr>
          <w:lang w:eastAsia="en-GB"/>
        </w:rPr>
        <w:t>’</w:t>
      </w:r>
      <w:r w:rsidRPr="00484AF2">
        <w:rPr>
          <w:lang w:eastAsia="en-GB"/>
        </w:rPr>
        <w:t xml:space="preserve"> corporate governance mechanisms came into limeli</w:t>
      </w:r>
      <w:r>
        <w:rPr>
          <w:lang w:eastAsia="en-GB"/>
        </w:rPr>
        <w:t>ght and started gaining attention from investors,</w:t>
      </w:r>
      <w:r w:rsidRPr="00484AF2">
        <w:rPr>
          <w:lang w:eastAsia="en-GB"/>
        </w:rPr>
        <w:t xml:space="preserve"> academi</w:t>
      </w:r>
      <w:r>
        <w:rPr>
          <w:lang w:eastAsia="en-GB"/>
        </w:rPr>
        <w:t>cs, regulators,</w:t>
      </w:r>
      <w:r w:rsidRPr="00484AF2">
        <w:rPr>
          <w:lang w:eastAsia="en-GB"/>
        </w:rPr>
        <w:t xml:space="preserve"> and financial press. In fact, new regulatory measures and initiatives originated following the crisis period to promote financial stability and </w:t>
      </w:r>
      <w:r>
        <w:rPr>
          <w:lang w:eastAsia="en-GB"/>
        </w:rPr>
        <w:t>good corporate governance</w:t>
      </w:r>
      <w:r w:rsidR="00534304">
        <w:rPr>
          <w:lang w:eastAsia="en-GB"/>
        </w:rPr>
        <w:t xml:space="preserve"> mechanisms</w:t>
      </w:r>
      <w:r w:rsidR="0056396C">
        <w:rPr>
          <w:lang w:eastAsia="en-GB"/>
        </w:rPr>
        <w:t>,</w:t>
      </w:r>
      <w:r>
        <w:rPr>
          <w:lang w:eastAsia="en-GB"/>
        </w:rPr>
        <w:t xml:space="preserve"> </w:t>
      </w:r>
      <w:r w:rsidR="0056396C">
        <w:rPr>
          <w:lang w:eastAsia="en-GB"/>
        </w:rPr>
        <w:t xml:space="preserve">and </w:t>
      </w:r>
      <w:r>
        <w:rPr>
          <w:lang w:eastAsia="en-GB"/>
        </w:rPr>
        <w:t>to</w:t>
      </w:r>
      <w:r w:rsidRPr="00484AF2">
        <w:rPr>
          <w:lang w:eastAsia="en-GB"/>
        </w:rPr>
        <w:t xml:space="preserve"> avert </w:t>
      </w:r>
      <w:r w:rsidR="00534304">
        <w:rPr>
          <w:lang w:eastAsia="en-GB"/>
        </w:rPr>
        <w:t xml:space="preserve">the </w:t>
      </w:r>
      <w:r w:rsidRPr="00484AF2">
        <w:rPr>
          <w:lang w:eastAsia="en-GB"/>
        </w:rPr>
        <w:t>possibilities of a</w:t>
      </w:r>
      <w:r w:rsidR="00534304">
        <w:rPr>
          <w:lang w:eastAsia="en-GB"/>
        </w:rPr>
        <w:t>nother</w:t>
      </w:r>
      <w:r w:rsidRPr="00484AF2">
        <w:rPr>
          <w:lang w:eastAsia="en-GB"/>
        </w:rPr>
        <w:t xml:space="preserve"> </w:t>
      </w:r>
      <w:r w:rsidRPr="000B4831">
        <w:rPr>
          <w:lang w:eastAsia="en-GB"/>
        </w:rPr>
        <w:t>financial crash</w:t>
      </w:r>
      <w:r w:rsidR="00534304">
        <w:rPr>
          <w:lang w:eastAsia="en-GB"/>
        </w:rPr>
        <w:t xml:space="preserve"> in future</w:t>
      </w:r>
      <w:r w:rsidRPr="000B4831">
        <w:rPr>
          <w:vertAlign w:val="superscript"/>
          <w:lang w:eastAsia="en-GB"/>
        </w:rPr>
        <w:endnoteReference w:id="3"/>
      </w:r>
      <w:r w:rsidRPr="000B4831">
        <w:rPr>
          <w:lang w:eastAsia="en-GB"/>
        </w:rPr>
        <w:t xml:space="preserve">. </w:t>
      </w:r>
      <w:r>
        <w:rPr>
          <w:lang w:eastAsia="en-GB"/>
        </w:rPr>
        <w:t>Many count</w:t>
      </w:r>
      <w:r w:rsidR="008C795A">
        <w:rPr>
          <w:lang w:eastAsia="en-GB"/>
        </w:rPr>
        <w:t>r</w:t>
      </w:r>
      <w:r>
        <w:rPr>
          <w:lang w:eastAsia="en-GB"/>
        </w:rPr>
        <w:t xml:space="preserve">ies </w:t>
      </w:r>
      <w:r w:rsidRPr="003E7849">
        <w:rPr>
          <w:lang w:eastAsia="en-GB"/>
        </w:rPr>
        <w:t>review</w:t>
      </w:r>
      <w:r>
        <w:rPr>
          <w:lang w:eastAsia="en-GB"/>
        </w:rPr>
        <w:t>ed</w:t>
      </w:r>
      <w:r w:rsidRPr="003E7849">
        <w:rPr>
          <w:lang w:eastAsia="en-GB"/>
        </w:rPr>
        <w:t xml:space="preserve"> and revis</w:t>
      </w:r>
      <w:r>
        <w:rPr>
          <w:lang w:eastAsia="en-GB"/>
        </w:rPr>
        <w:t>ed</w:t>
      </w:r>
      <w:r w:rsidRPr="003E7849">
        <w:rPr>
          <w:lang w:eastAsia="en-GB"/>
        </w:rPr>
        <w:t xml:space="preserve"> </w:t>
      </w:r>
      <w:r>
        <w:rPr>
          <w:lang w:eastAsia="en-GB"/>
        </w:rPr>
        <w:t>their</w:t>
      </w:r>
      <w:r w:rsidRPr="003E7849">
        <w:rPr>
          <w:lang w:eastAsia="en-GB"/>
        </w:rPr>
        <w:t xml:space="preserve"> corporate governance regulation</w:t>
      </w:r>
      <w:r w:rsidR="007E04FD">
        <w:rPr>
          <w:lang w:eastAsia="en-GB"/>
        </w:rPr>
        <w:t>s</w:t>
      </w:r>
      <w:r w:rsidRPr="003E7849">
        <w:rPr>
          <w:lang w:eastAsia="en-GB"/>
        </w:rPr>
        <w:t xml:space="preserve"> </w:t>
      </w:r>
      <w:r>
        <w:rPr>
          <w:lang w:eastAsia="en-GB"/>
        </w:rPr>
        <w:t xml:space="preserve">following the </w:t>
      </w:r>
      <w:r w:rsidR="00534304">
        <w:rPr>
          <w:lang w:eastAsia="en-GB"/>
        </w:rPr>
        <w:t xml:space="preserve">2007-2009 </w:t>
      </w:r>
      <w:r>
        <w:rPr>
          <w:lang w:eastAsia="en-GB"/>
        </w:rPr>
        <w:t>financial crisis. For instance, t</w:t>
      </w:r>
      <w:r w:rsidRPr="00AB7DCF">
        <w:rPr>
          <w:lang w:eastAsia="en-GB"/>
        </w:rPr>
        <w:t>he</w:t>
      </w:r>
      <w:r>
        <w:rPr>
          <w:lang w:eastAsia="en-GB"/>
        </w:rPr>
        <w:t xml:space="preserve"> </w:t>
      </w:r>
      <w:r>
        <w:rPr>
          <w:lang w:eastAsia="en-GB"/>
        </w:rPr>
        <w:fldChar w:fldCharType="begin"/>
      </w:r>
      <w:r w:rsidR="00327CEC">
        <w:rPr>
          <w:lang w:eastAsia="en-GB"/>
        </w:rPr>
        <w:instrText xml:space="preserve"> ADDIN EN.CITE &lt;EndNote&gt;&lt;Cite AuthorYear="1"&gt;&lt;Author&gt;Walker&lt;/Author&gt;&lt;Year&gt;2009&lt;/Year&gt;&lt;RecNum&gt;473&lt;/RecNum&gt;&lt;DisplayText&gt;Walker (2009)&lt;/DisplayText&gt;&lt;record&gt;&lt;rec-number&gt;473&lt;/rec-number&gt;&lt;foreign-keys&gt;&lt;key app="EN" db-id="s00xzp50xdvx90ea0ravv2dxzr2pdvrrzaff" timestamp="1452198488" guid="78ac840e-ab1d-4026-ad89-4132fd416415"&gt;473&lt;/key&gt;&lt;/foreign-keys&gt;&lt;ref-type name="Report"&gt;27&lt;/ref-type&gt;&lt;contributors&gt;&lt;authors&gt;&lt;author&gt;Walker, D.&lt;/author&gt;&lt;/authors&gt;&lt;/contributors&gt;&lt;titles&gt;&lt;title&gt;&amp;quot;A review of corporate governance in UK banks and other financial industry entities&amp;quot;&lt;/title&gt;&lt;/titles&gt;&lt;volume&gt;2012&lt;/volume&gt;&lt;number&gt;24 August 2012&lt;/number&gt;&lt;dates&gt;&lt;year&gt;2009&lt;/year&gt;&lt;/dates&gt;&lt;urls&gt;&lt;related-urls&gt;&lt;url&gt;Available at http://webarchive.nationalarchives.gov.uk/+/http:/www.hm-treasury.gov.uk/d/walker_review_261109.pdf&lt;/url&gt;&lt;/related-urls&gt;&lt;/urls&gt;&lt;/record&gt;&lt;/Cite&gt;&lt;/EndNote&gt;</w:instrText>
      </w:r>
      <w:r>
        <w:rPr>
          <w:lang w:eastAsia="en-GB"/>
        </w:rPr>
        <w:fldChar w:fldCharType="separate"/>
      </w:r>
      <w:r>
        <w:rPr>
          <w:noProof/>
          <w:lang w:eastAsia="en-GB"/>
        </w:rPr>
        <w:t>Walker (2009)</w:t>
      </w:r>
      <w:r>
        <w:rPr>
          <w:lang w:eastAsia="en-GB"/>
        </w:rPr>
        <w:fldChar w:fldCharType="end"/>
      </w:r>
      <w:r>
        <w:rPr>
          <w:lang w:eastAsia="en-GB"/>
        </w:rPr>
        <w:t xml:space="preserve"> </w:t>
      </w:r>
      <w:r w:rsidRPr="00AB7DCF">
        <w:rPr>
          <w:lang w:eastAsia="en-GB"/>
        </w:rPr>
        <w:t xml:space="preserve">review of corporate governance mechanisms in UK </w:t>
      </w:r>
      <w:r w:rsidR="00E33BC2" w:rsidRPr="008805A8">
        <w:t xml:space="preserve">and </w:t>
      </w:r>
      <w:r w:rsidR="00E33BC2">
        <w:t>t</w:t>
      </w:r>
      <w:r w:rsidR="00E33BC2" w:rsidRPr="008805A8">
        <w:t xml:space="preserve">he </w:t>
      </w:r>
      <w:r w:rsidR="00E33BC2" w:rsidRPr="00E33BC2">
        <w:rPr>
          <w:i/>
        </w:rPr>
        <w:t xml:space="preserve">Dodd-Frank Wall Street Reform and </w:t>
      </w:r>
      <w:r w:rsidR="00E33BC2" w:rsidRPr="00E33BC2">
        <w:rPr>
          <w:i/>
        </w:rPr>
        <w:lastRenderedPageBreak/>
        <w:t>Consumer Protection Act (2010)</w:t>
      </w:r>
      <w:r w:rsidR="00E33BC2" w:rsidRPr="008805A8">
        <w:t xml:space="preserve"> in the US recommended substantial changes to </w:t>
      </w:r>
      <w:r w:rsidRPr="00AB7DCF">
        <w:rPr>
          <w:lang w:eastAsia="en-GB"/>
        </w:rPr>
        <w:t xml:space="preserve">the composition of corporate boards of banks and </w:t>
      </w:r>
      <w:r w:rsidR="007E04FD">
        <w:rPr>
          <w:lang w:eastAsia="en-GB"/>
        </w:rPr>
        <w:t>large</w:t>
      </w:r>
      <w:r w:rsidRPr="00AB7DCF">
        <w:rPr>
          <w:lang w:eastAsia="en-GB"/>
        </w:rPr>
        <w:t xml:space="preserve"> financial institutions. </w:t>
      </w:r>
    </w:p>
    <w:p w14:paraId="5988B8E7" w14:textId="315B0710" w:rsidR="000B0F9E" w:rsidRDefault="00DB46CB" w:rsidP="0092047F">
      <w:pPr>
        <w:rPr>
          <w:lang w:eastAsia="en-GB"/>
        </w:rPr>
      </w:pPr>
      <w:r>
        <w:rPr>
          <w:lang w:eastAsia="en-GB"/>
        </w:rPr>
        <w:t xml:space="preserve">Similarly, </w:t>
      </w:r>
      <w:r w:rsidR="00940F0D">
        <w:rPr>
          <w:lang w:eastAsia="en-GB"/>
        </w:rPr>
        <w:t xml:space="preserve">in the wake </w:t>
      </w:r>
      <w:r w:rsidR="0044344C">
        <w:rPr>
          <w:lang w:eastAsia="en-GB"/>
        </w:rPr>
        <w:t>of the crisis</w:t>
      </w:r>
      <w:r w:rsidR="00940F0D">
        <w:rPr>
          <w:lang w:eastAsia="en-GB"/>
        </w:rPr>
        <w:t xml:space="preserve"> </w:t>
      </w:r>
      <w:r w:rsidR="00940F0D" w:rsidRPr="00940F0D">
        <w:rPr>
          <w:lang w:eastAsia="en-GB"/>
        </w:rPr>
        <w:t xml:space="preserve">in the </w:t>
      </w:r>
      <w:r w:rsidR="00F51569" w:rsidRPr="00940F0D">
        <w:rPr>
          <w:lang w:eastAsia="en-GB"/>
        </w:rPr>
        <w:t>UK</w:t>
      </w:r>
      <w:r w:rsidR="00F51569">
        <w:rPr>
          <w:lang w:eastAsia="en-GB"/>
        </w:rPr>
        <w:t>, the</w:t>
      </w:r>
      <w:r w:rsidRPr="00AB7DCF">
        <w:rPr>
          <w:lang w:eastAsia="en-GB"/>
        </w:rPr>
        <w:t xml:space="preserve"> Financial Reporting Council (FRC)</w:t>
      </w:r>
      <w:r>
        <w:rPr>
          <w:rStyle w:val="EndnoteReference"/>
          <w:lang w:eastAsia="en-GB"/>
        </w:rPr>
        <w:endnoteReference w:id="4"/>
      </w:r>
      <w:r w:rsidRPr="00AB7DCF">
        <w:rPr>
          <w:lang w:eastAsia="en-GB"/>
        </w:rPr>
        <w:t xml:space="preserve"> revised the corporate governance code in 2010 and </w:t>
      </w:r>
      <w:r w:rsidR="0044344C">
        <w:rPr>
          <w:lang w:eastAsia="en-GB"/>
        </w:rPr>
        <w:t xml:space="preserve">also </w:t>
      </w:r>
      <w:r w:rsidRPr="00AB7DCF">
        <w:rPr>
          <w:lang w:eastAsia="en-GB"/>
        </w:rPr>
        <w:t xml:space="preserve">issued </w:t>
      </w:r>
      <w:r w:rsidR="0044344C" w:rsidRPr="0044344C">
        <w:rPr>
          <w:lang w:eastAsia="en-GB"/>
        </w:rPr>
        <w:t xml:space="preserve">The UK Stewardship Code </w:t>
      </w:r>
      <w:r w:rsidRPr="00AB7DCF">
        <w:rPr>
          <w:lang w:eastAsia="en-GB"/>
        </w:rPr>
        <w:t xml:space="preserve">for institutional investors. The purpose of all these </w:t>
      </w:r>
      <w:r>
        <w:rPr>
          <w:lang w:eastAsia="en-GB"/>
        </w:rPr>
        <w:t>initiatives was</w:t>
      </w:r>
      <w:r w:rsidRPr="00AB7DCF">
        <w:rPr>
          <w:lang w:eastAsia="en-GB"/>
        </w:rPr>
        <w:t xml:space="preserve"> to </w:t>
      </w:r>
      <w:r w:rsidR="0023415D">
        <w:rPr>
          <w:lang w:eastAsia="en-GB"/>
        </w:rPr>
        <w:t>enhance</w:t>
      </w:r>
      <w:r w:rsidRPr="00AB7DCF">
        <w:rPr>
          <w:lang w:eastAsia="en-GB"/>
        </w:rPr>
        <w:t xml:space="preserve"> fairness</w:t>
      </w:r>
      <w:r>
        <w:rPr>
          <w:lang w:eastAsia="en-GB"/>
        </w:rPr>
        <w:t>,</w:t>
      </w:r>
      <w:r w:rsidRPr="00AB7DCF">
        <w:rPr>
          <w:lang w:eastAsia="en-GB"/>
        </w:rPr>
        <w:t xml:space="preserve"> transparency</w:t>
      </w:r>
      <w:r>
        <w:rPr>
          <w:lang w:eastAsia="en-GB"/>
        </w:rPr>
        <w:t xml:space="preserve"> and </w:t>
      </w:r>
      <w:r w:rsidRPr="00FE02E9">
        <w:rPr>
          <w:lang w:eastAsia="en-GB"/>
        </w:rPr>
        <w:t>accountability</w:t>
      </w:r>
      <w:r w:rsidRPr="00AB7DCF">
        <w:rPr>
          <w:lang w:eastAsia="en-GB"/>
        </w:rPr>
        <w:t xml:space="preserve"> </w:t>
      </w:r>
      <w:r w:rsidR="0023415D">
        <w:rPr>
          <w:lang w:eastAsia="en-GB"/>
        </w:rPr>
        <w:t xml:space="preserve">in </w:t>
      </w:r>
      <w:r w:rsidRPr="00AB7DCF">
        <w:rPr>
          <w:lang w:eastAsia="en-GB"/>
        </w:rPr>
        <w:t xml:space="preserve">the </w:t>
      </w:r>
      <w:r>
        <w:rPr>
          <w:lang w:eastAsia="en-GB"/>
        </w:rPr>
        <w:t>corporate governance</w:t>
      </w:r>
      <w:r w:rsidRPr="00AB7DCF">
        <w:rPr>
          <w:lang w:eastAsia="en-GB"/>
        </w:rPr>
        <w:t xml:space="preserve"> system</w:t>
      </w:r>
      <w:r>
        <w:rPr>
          <w:lang w:eastAsia="en-GB"/>
        </w:rPr>
        <w:t>s</w:t>
      </w:r>
      <w:r w:rsidRPr="00AB7DCF">
        <w:rPr>
          <w:lang w:eastAsia="en-GB"/>
        </w:rPr>
        <w:t xml:space="preserve"> and </w:t>
      </w:r>
      <w:r w:rsidR="0056396C">
        <w:rPr>
          <w:lang w:eastAsia="en-GB"/>
        </w:rPr>
        <w:t xml:space="preserve">to </w:t>
      </w:r>
      <w:r w:rsidRPr="00AB7DCF">
        <w:rPr>
          <w:lang w:eastAsia="en-GB"/>
        </w:rPr>
        <w:t>provide protection to stakeholders of financial institutions</w:t>
      </w:r>
      <w:r>
        <w:rPr>
          <w:rStyle w:val="EndnoteReference"/>
          <w:lang w:eastAsia="en-GB"/>
        </w:rPr>
        <w:endnoteReference w:id="5"/>
      </w:r>
      <w:r w:rsidRPr="00C95491">
        <w:rPr>
          <w:rFonts w:eastAsia="Calibri" w:cs="Times New Roman"/>
          <w:lang w:eastAsia="en-GB"/>
        </w:rPr>
        <w:t xml:space="preserve">. </w:t>
      </w:r>
      <w:r>
        <w:t>Thus, u</w:t>
      </w:r>
      <w:r w:rsidRPr="00B511F3">
        <w:rPr>
          <w:lang w:eastAsia="en-GB"/>
        </w:rPr>
        <w:t xml:space="preserve">nderstanding the real nature of factors </w:t>
      </w:r>
      <w:r>
        <w:rPr>
          <w:lang w:eastAsia="en-GB"/>
        </w:rPr>
        <w:t>that</w:t>
      </w:r>
      <w:r w:rsidRPr="00B511F3">
        <w:rPr>
          <w:lang w:eastAsia="en-GB"/>
        </w:rPr>
        <w:t xml:space="preserve"> can influence shareholder value and long-term success of financial firms is </w:t>
      </w:r>
      <w:r>
        <w:rPr>
          <w:lang w:eastAsia="en-GB"/>
        </w:rPr>
        <w:t>an</w:t>
      </w:r>
      <w:r w:rsidRPr="00B511F3">
        <w:rPr>
          <w:lang w:eastAsia="en-GB"/>
        </w:rPr>
        <w:t xml:space="preserve"> important research phenomenon</w:t>
      </w:r>
      <w:r>
        <w:rPr>
          <w:lang w:eastAsia="en-GB"/>
        </w:rPr>
        <w:t xml:space="preserve"> within the context of </w:t>
      </w:r>
      <w:r w:rsidR="005C2F41">
        <w:rPr>
          <w:lang w:eastAsia="en-GB"/>
        </w:rPr>
        <w:t xml:space="preserve">the </w:t>
      </w:r>
      <w:r>
        <w:rPr>
          <w:lang w:eastAsia="en-GB"/>
        </w:rPr>
        <w:t>financial crisis</w:t>
      </w:r>
      <w:r w:rsidRPr="00B511F3">
        <w:rPr>
          <w:lang w:eastAsia="en-GB"/>
        </w:rPr>
        <w:t>.</w:t>
      </w:r>
      <w:r>
        <w:rPr>
          <w:lang w:eastAsia="en-GB"/>
        </w:rPr>
        <w:t xml:space="preserve"> This seems appropriate given that financial institutions were at the forefront of the events leading to the financial crisis and prior studies largely </w:t>
      </w:r>
      <w:r w:rsidR="002750E5">
        <w:rPr>
          <w:lang w:eastAsia="en-GB"/>
        </w:rPr>
        <w:t>exclude</w:t>
      </w:r>
      <w:r>
        <w:rPr>
          <w:lang w:eastAsia="en-GB"/>
        </w:rPr>
        <w:t xml:space="preserve"> financial firms</w:t>
      </w:r>
      <w:r w:rsidR="005C2F41">
        <w:rPr>
          <w:lang w:eastAsia="en-GB"/>
        </w:rPr>
        <w:t xml:space="preserve"> in their investigations</w:t>
      </w:r>
      <w:r>
        <w:rPr>
          <w:lang w:eastAsia="en-GB"/>
        </w:rPr>
        <w:t xml:space="preserve"> </w:t>
      </w:r>
      <w:r>
        <w:rPr>
          <w:lang w:eastAsia="en-GB"/>
        </w:rPr>
        <w:fldChar w:fldCharType="begin"/>
      </w:r>
      <w:r w:rsidR="00327CEC">
        <w:rPr>
          <w:lang w:eastAsia="en-GB"/>
        </w:rPr>
        <w:instrText xml:space="preserve"> ADDIN EN.CITE &lt;EndNote&gt;&lt;Cite&gt;&lt;Author&gt;Elamer&lt;/Author&gt;&lt;Year&gt;2019&lt;/Year&gt;&lt;RecNum&gt;1204&lt;/RecNum&gt;&lt;DisplayText&gt;(Elamer, Ntim, Abdou, Zalata, &amp;amp; Elmagrhi, 2019)&lt;/DisplayText&gt;&lt;record&gt;&lt;rec-number&gt;1204&lt;/rec-number&gt;&lt;foreign-keys&gt;&lt;key app="EN" db-id="s00xzp50xdvx90ea0ravv2dxzr2pdvrrzaff" timestamp="1587996431" guid="0492ce0e-c5c2-44bb-acd9-39c842c3ec0b"&gt;1204&lt;/key&gt;&lt;/foreign-keys&gt;&lt;ref-type name="Journal Article"&gt;17&lt;/ref-type&gt;&lt;contributors&gt;&lt;authors&gt;&lt;author&gt;Elamer, Ahmed A.&lt;/author&gt;&lt;author&gt;Ntim, Collins G.&lt;/author&gt;&lt;author&gt;Abdou, Hussein A.&lt;/author&gt;&lt;author&gt;Zalata, Alaa Mansour&lt;/author&gt;&lt;author&gt;Elmagrhi, Mohamed&lt;/author&gt;&lt;/authors&gt;&lt;/contributors&gt;&lt;titles&gt;&lt;title&gt;The impact of multi-layer governance on bank risk disclosure in emerging markets: the case of Middle East and North Africa&lt;/title&gt;&lt;secondary-title&gt;Accounting Forum&lt;/secondary-title&gt;&lt;/titles&gt;&lt;periodical&gt;&lt;full-title&gt;Accounting Forum&lt;/full-title&gt;&lt;/periodical&gt;&lt;pages&gt;246-281&lt;/pages&gt;&lt;volume&gt;43&lt;/volume&gt;&lt;number&gt;2&lt;/number&gt;&lt;dates&gt;&lt;year&gt;2019&lt;/year&gt;&lt;pub-dates&gt;&lt;date&gt;2019/04/03&lt;/date&gt;&lt;/pub-dates&gt;&lt;/dates&gt;&lt;publisher&gt;Routledge&lt;/publisher&gt;&lt;isbn&gt;0155-9982&lt;/isbn&gt;&lt;urls&gt;&lt;related-urls&gt;&lt;url&gt;https://doi.org/10.1080/01559982.2019.1576577&lt;/url&gt;&lt;/related-urls&gt;&lt;/urls&gt;&lt;electronic-resource-num&gt;10.1080/01559982.2019.1576577&lt;/electronic-resource-num&gt;&lt;/record&gt;&lt;/Cite&gt;&lt;/EndNote&gt;</w:instrText>
      </w:r>
      <w:r>
        <w:rPr>
          <w:lang w:eastAsia="en-GB"/>
        </w:rPr>
        <w:fldChar w:fldCharType="separate"/>
      </w:r>
      <w:r>
        <w:rPr>
          <w:noProof/>
          <w:lang w:eastAsia="en-GB"/>
        </w:rPr>
        <w:t>(Elamer, Ntim, Abdou, Zalata, &amp; Elmagrhi, 2019)</w:t>
      </w:r>
      <w:r>
        <w:rPr>
          <w:lang w:eastAsia="en-GB"/>
        </w:rPr>
        <w:fldChar w:fldCharType="end"/>
      </w:r>
      <w:r>
        <w:rPr>
          <w:lang w:eastAsia="en-GB"/>
        </w:rPr>
        <w:t>.</w:t>
      </w:r>
      <w:r w:rsidR="00CE571A" w:rsidRPr="00CE571A">
        <w:rPr>
          <w:lang w:eastAsia="en-GB"/>
        </w:rPr>
        <w:t xml:space="preserve"> </w:t>
      </w:r>
    </w:p>
    <w:p w14:paraId="0A973DA2" w14:textId="06123ED2" w:rsidR="00DB46CB" w:rsidRDefault="00637E14" w:rsidP="005C4524">
      <w:pPr>
        <w:rPr>
          <w:lang w:eastAsia="en-GB"/>
        </w:rPr>
      </w:pPr>
      <w:r w:rsidRPr="00637E14">
        <w:rPr>
          <w:lang w:eastAsia="en-GB"/>
        </w:rPr>
        <w:t>Furthermore, firms in the financial sector are required to report their compliance with the UK</w:t>
      </w:r>
      <w:r w:rsidR="00B7144A">
        <w:rPr>
          <w:lang w:eastAsia="en-GB"/>
        </w:rPr>
        <w:t xml:space="preserve"> </w:t>
      </w:r>
      <w:r w:rsidR="005C2F41">
        <w:rPr>
          <w:lang w:eastAsia="en-GB"/>
        </w:rPr>
        <w:t>C</w:t>
      </w:r>
      <w:r w:rsidR="005C2F41" w:rsidRPr="005C2F41">
        <w:rPr>
          <w:lang w:eastAsia="en-GB"/>
        </w:rPr>
        <w:t xml:space="preserve">orporate </w:t>
      </w:r>
      <w:r w:rsidR="005C2F41">
        <w:rPr>
          <w:lang w:eastAsia="en-GB"/>
        </w:rPr>
        <w:t>G</w:t>
      </w:r>
      <w:r w:rsidR="005C2F41" w:rsidRPr="005C2F41">
        <w:rPr>
          <w:lang w:eastAsia="en-GB"/>
        </w:rPr>
        <w:t xml:space="preserve">overnance </w:t>
      </w:r>
      <w:r w:rsidR="005C2F41">
        <w:rPr>
          <w:lang w:eastAsia="en-GB"/>
        </w:rPr>
        <w:t>C</w:t>
      </w:r>
      <w:r w:rsidR="005C2F41" w:rsidRPr="005C2F41">
        <w:rPr>
          <w:lang w:eastAsia="en-GB"/>
        </w:rPr>
        <w:t xml:space="preserve">ode </w:t>
      </w:r>
      <w:r w:rsidR="00FE0070">
        <w:rPr>
          <w:lang w:eastAsia="en-GB"/>
        </w:rPr>
        <w:t xml:space="preserve">(hereafter, </w:t>
      </w:r>
      <w:r w:rsidR="005C2F41">
        <w:rPr>
          <w:lang w:eastAsia="en-GB"/>
        </w:rPr>
        <w:t>UK</w:t>
      </w:r>
      <w:r w:rsidR="00B7144A">
        <w:rPr>
          <w:lang w:eastAsia="en-GB"/>
        </w:rPr>
        <w:t xml:space="preserve"> CGC</w:t>
      </w:r>
      <w:r w:rsidR="00FE0070">
        <w:rPr>
          <w:lang w:eastAsia="en-GB"/>
        </w:rPr>
        <w:t>)</w:t>
      </w:r>
      <w:r w:rsidR="005C2F41">
        <w:rPr>
          <w:lang w:eastAsia="en-GB"/>
        </w:rPr>
        <w:t xml:space="preserve"> </w:t>
      </w:r>
      <w:r w:rsidRPr="00637E14">
        <w:rPr>
          <w:lang w:eastAsia="en-GB"/>
        </w:rPr>
        <w:t xml:space="preserve"> on the basis of ‘comply or explain’ in the same way as their non-financial counterparts. </w:t>
      </w:r>
      <w:r w:rsidR="0056396C">
        <w:rPr>
          <w:lang w:eastAsia="en-GB"/>
        </w:rPr>
        <w:t>C</w:t>
      </w:r>
      <w:r w:rsidR="00A5325C">
        <w:rPr>
          <w:lang w:eastAsia="en-GB"/>
        </w:rPr>
        <w:t>ompliance</w:t>
      </w:r>
      <w:r w:rsidRPr="00637E14">
        <w:rPr>
          <w:lang w:eastAsia="en-GB"/>
        </w:rPr>
        <w:t xml:space="preserve"> with </w:t>
      </w:r>
      <w:r w:rsidR="00A5325C">
        <w:rPr>
          <w:lang w:eastAsia="en-GB"/>
        </w:rPr>
        <w:t>corporate</w:t>
      </w:r>
      <w:r w:rsidRPr="00637E14">
        <w:rPr>
          <w:lang w:eastAsia="en-GB"/>
        </w:rPr>
        <w:t xml:space="preserve"> governance</w:t>
      </w:r>
      <w:r w:rsidR="00A5325C">
        <w:rPr>
          <w:lang w:eastAsia="en-GB"/>
        </w:rPr>
        <w:t xml:space="preserve"> codes</w:t>
      </w:r>
      <w:r w:rsidRPr="00637E14">
        <w:rPr>
          <w:lang w:eastAsia="en-GB"/>
        </w:rPr>
        <w:t xml:space="preserve"> is imperative </w:t>
      </w:r>
      <w:r w:rsidR="00B87AA5" w:rsidRPr="00637E14">
        <w:rPr>
          <w:lang w:eastAsia="en-GB"/>
        </w:rPr>
        <w:t xml:space="preserve">for financial firms </w:t>
      </w:r>
      <w:r w:rsidRPr="00637E14">
        <w:rPr>
          <w:lang w:eastAsia="en-GB"/>
        </w:rPr>
        <w:t xml:space="preserve">to mitigate risk and to trigger a positive market reaction. </w:t>
      </w:r>
      <w:r w:rsidR="00A5325C">
        <w:rPr>
          <w:lang w:eastAsia="en-GB"/>
        </w:rPr>
        <w:t>This is because higher market valuation and better operating performance have</w:t>
      </w:r>
      <w:r w:rsidRPr="00637E14">
        <w:rPr>
          <w:lang w:eastAsia="en-GB"/>
        </w:rPr>
        <w:t xml:space="preserve"> been documented in</w:t>
      </w:r>
      <w:r w:rsidR="00E754E8">
        <w:rPr>
          <w:lang w:eastAsia="en-GB"/>
        </w:rPr>
        <w:t xml:space="preserve"> the</w:t>
      </w:r>
      <w:r w:rsidRPr="00637E14">
        <w:rPr>
          <w:lang w:eastAsia="en-GB"/>
        </w:rPr>
        <w:t xml:space="preserve"> </w:t>
      </w:r>
      <w:r w:rsidR="003D2C76">
        <w:rPr>
          <w:lang w:eastAsia="en-GB"/>
        </w:rPr>
        <w:t xml:space="preserve">existing </w:t>
      </w:r>
      <w:r w:rsidRPr="00637E14">
        <w:rPr>
          <w:lang w:eastAsia="en-GB"/>
        </w:rPr>
        <w:t>literature for firms that comply with corporate governance code</w:t>
      </w:r>
      <w:r w:rsidR="00E754E8">
        <w:rPr>
          <w:lang w:eastAsia="en-GB"/>
        </w:rPr>
        <w:t>s</w:t>
      </w:r>
      <w:r w:rsidRPr="00637E14">
        <w:rPr>
          <w:lang w:eastAsia="en-GB"/>
        </w:rPr>
        <w:t xml:space="preserve"> </w:t>
      </w:r>
      <w:r w:rsidR="00E754E8">
        <w:rPr>
          <w:lang w:eastAsia="en-GB"/>
        </w:rPr>
        <w:fldChar w:fldCharType="begin">
          <w:fldData xml:space="preserve">PEVuZE5vdGU+PENpdGU+PEF1dGhvcj5Ib29naGllbXN0cmE8L0F1dGhvcj48WWVhcj4yMDExPC9Z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</w:fldData>
        </w:fldChar>
      </w:r>
      <w:r w:rsidR="00A5325C">
        <w:rPr>
          <w:lang w:eastAsia="en-GB"/>
        </w:rPr>
        <w:instrText xml:space="preserve"> ADDIN EN.CITE </w:instrText>
      </w:r>
      <w:r w:rsidR="00A5325C">
        <w:rPr>
          <w:lang w:eastAsia="en-GB"/>
        </w:rPr>
        <w:fldChar w:fldCharType="begin">
          <w:fldData xml:space="preserve">PEVuZE5vdGU+PENpdGU+PEF1dGhvcj5Ib29naGllbXN0cmE8L0F1dGhvcj48WWVhcj4yMDExPC9Z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</w:fldData>
        </w:fldChar>
      </w:r>
      <w:r w:rsidR="00A5325C">
        <w:rPr>
          <w:lang w:eastAsia="en-GB"/>
        </w:rPr>
        <w:instrText xml:space="preserve"> ADDIN EN.CITE.DATA </w:instrText>
      </w:r>
      <w:r w:rsidR="00A5325C">
        <w:rPr>
          <w:lang w:eastAsia="en-GB"/>
        </w:rPr>
      </w:r>
      <w:r w:rsidR="00A5325C">
        <w:rPr>
          <w:lang w:eastAsia="en-GB"/>
        </w:rPr>
        <w:fldChar w:fldCharType="end"/>
      </w:r>
      <w:r w:rsidR="00E754E8">
        <w:rPr>
          <w:lang w:eastAsia="en-GB"/>
        </w:rPr>
      </w:r>
      <w:r w:rsidR="00E754E8">
        <w:rPr>
          <w:lang w:eastAsia="en-GB"/>
        </w:rPr>
        <w:fldChar w:fldCharType="separate"/>
      </w:r>
      <w:r w:rsidR="00A5325C">
        <w:rPr>
          <w:noProof/>
          <w:lang w:eastAsia="en-GB"/>
        </w:rPr>
        <w:t>(Gompers, Ishii, &amp; Metrick, 2003; Hooghiemstra &amp; van Ees, 2011; Ullah, Ahmad, Akbar, Kodwani, &amp; Frecknall‐Hughes, 2020)</w:t>
      </w:r>
      <w:r w:rsidR="00E754E8">
        <w:rPr>
          <w:lang w:eastAsia="en-GB"/>
        </w:rPr>
        <w:fldChar w:fldCharType="end"/>
      </w:r>
      <w:r w:rsidR="00E754E8">
        <w:rPr>
          <w:lang w:eastAsia="en-GB"/>
        </w:rPr>
        <w:t>.</w:t>
      </w:r>
      <w:r w:rsidR="002524F3">
        <w:rPr>
          <w:lang w:eastAsia="en-GB"/>
        </w:rPr>
        <w:t xml:space="preserve"> </w:t>
      </w:r>
      <w:r w:rsidR="00A5325C">
        <w:rPr>
          <w:lang w:eastAsia="en-GB"/>
        </w:rPr>
        <w:t>Additionally, complia</w:t>
      </w:r>
      <w:r w:rsidR="009422E9">
        <w:rPr>
          <w:lang w:eastAsia="en-GB"/>
        </w:rPr>
        <w:t>nce</w:t>
      </w:r>
      <w:r w:rsidR="009422E9">
        <w:t xml:space="preserve"> reduces information asymmetry through greater disclosure and independent monitoring, ultimately leading to a lower cost of capital </w:t>
      </w:r>
      <w:r w:rsidR="009422E9">
        <w:fldChar w:fldCharType="begin">
          <w:fldData xml:space="preserve">PEVuZE5vdGU+PENpdGU+PEF1dGhvcj5IZWFseTwvQXV0aG9yPjxZZWFyPjIwMDE8L1llYXI+PFJl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</w:fldData>
        </w:fldChar>
      </w:r>
      <w:r w:rsidR="009422E9">
        <w:instrText xml:space="preserve"> ADDIN EN.CITE </w:instrText>
      </w:r>
      <w:r w:rsidR="009422E9">
        <w:fldChar w:fldCharType="begin">
          <w:fldData xml:space="preserve">PEVuZE5vdGU+PENpdGU+PEF1dGhvcj5IZWFseTwvQXV0aG9yPjxZZWFyPjIwMDE8L1llYXI+PFJl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</w:fldData>
        </w:fldChar>
      </w:r>
      <w:r w:rsidR="009422E9">
        <w:instrText xml:space="preserve"> ADDIN EN.CITE.DATA </w:instrText>
      </w:r>
      <w:r w:rsidR="009422E9">
        <w:fldChar w:fldCharType="end"/>
      </w:r>
      <w:r w:rsidR="009422E9">
        <w:fldChar w:fldCharType="separate"/>
      </w:r>
      <w:r w:rsidR="009422E9">
        <w:rPr>
          <w:noProof/>
        </w:rPr>
        <w:t>(Healy &amp; Palepu, 2001; Koirala, Marshall, Neupane, &amp; Thapa, 2020)</w:t>
      </w:r>
      <w:r w:rsidR="009422E9">
        <w:fldChar w:fldCharType="end"/>
      </w:r>
      <w:r w:rsidR="009422E9">
        <w:t>.</w:t>
      </w:r>
    </w:p>
    <w:p w14:paraId="67006972" w14:textId="0500B9DC" w:rsidR="00521AC0" w:rsidRDefault="00DB46CB" w:rsidP="0092047F">
      <w:pPr>
        <w:rPr>
          <w:lang w:eastAsia="en-GB"/>
        </w:rPr>
      </w:pPr>
      <w:r w:rsidRPr="00D81A8E">
        <w:rPr>
          <w:lang w:eastAsia="en-GB"/>
        </w:rPr>
        <w:t xml:space="preserve">On the governance compliance and shareholder value relationship, </w:t>
      </w:r>
      <w:r>
        <w:rPr>
          <w:lang w:eastAsia="en-GB"/>
        </w:rPr>
        <w:fldChar w:fldCharType="begin"/>
      </w:r>
      <w:r w:rsidR="00E754E8">
        <w:rPr>
          <w:lang w:eastAsia="en-GB"/>
        </w:rPr>
        <w:instrText xml:space="preserve"> ADDIN EN.CITE &lt;EndNote&gt;&lt;Cite AuthorYear="1"&gt;&lt;Author&gt;Gompers&lt;/Author&gt;&lt;Year&gt;2003&lt;/Year&gt;&lt;RecNum&gt;85&lt;/RecNum&gt;&lt;DisplayText&gt;Gompers et al. (2003)&lt;/DisplayText&gt;&lt;record&gt;&lt;rec-number&gt;85&lt;/rec-number&gt;&lt;foreign-keys&gt;&lt;key app="EN" db-id="s00xzp50xdvx90ea0ravv2dxzr2pdvrrzaff" timestamp="1452196801" guid="43b03002-de5a-4712-9c59-b1d18c2f153a"&gt;85&lt;/key&gt;&lt;/foreign-keys&gt;&lt;ref-type name="Journal Article"&gt;17&lt;/ref-type&gt;&lt;contributors&gt;&lt;authors&gt;&lt;author&gt;Gompers, Paul&lt;/author&gt;&lt;author&gt;Ishii, Joy&lt;/author&gt;&lt;author&gt;Metrick, Andrew&lt;/author&gt;&lt;/authors&gt;&lt;/contributors&gt;&lt;titles&gt;&lt;title&gt;Corporate governance and equity prices&lt;/title&gt;&lt;secondary-title&gt;Quarterly Journal of Economics&lt;/secondary-title&gt;&lt;/titles&gt;&lt;periodical&gt;&lt;full-title&gt;Quarterly Journal of Economics&lt;/full-title&gt;&lt;/periodical&gt;&lt;pages&gt;107-155&lt;/pages&gt;&lt;volume&gt;118&lt;/volume&gt;&lt;number&gt;1&lt;/number&gt;&lt;keywords&gt;&lt;keyword&gt;STOCKHOLDERS&lt;/keyword&gt;&lt;keyword&gt;BUSINESS enterprises&lt;/keyword&gt;&lt;keyword&gt;STOCKHOLDERS&amp;apos; pre-emptive rights&lt;/keyword&gt;&lt;keyword&gt;CAPITAL investments&lt;/keyword&gt;&lt;keyword&gt;CONSOLIDATION &amp;amp; merger of corporations&lt;/keyword&gt;&lt;keyword&gt;STRATEGIC planning&lt;/keyword&gt;&lt;/keywords&gt;&lt;dates&gt;&lt;year&gt;2003&lt;/year&gt;&lt;pub-dates&gt;&lt;date&gt;02&lt;/date&gt;&lt;/pub-dates&gt;&lt;/dates&gt;&lt;publisher&gt;MIT Press&lt;/publisher&gt;&lt;urls&gt;&lt;related-urls&gt;&lt;url&gt;http://libezproxy.open.ac.uk/login?url=http://search.ebscohost.com/login.aspx?direct=true&amp;amp;db=bth&amp;amp;AN=9171048&amp;amp;site=ehost-live&amp;amp;scope=site &lt;/url&gt;&lt;/related-urls&gt;&lt;/urls&gt;&lt;/record&gt;&lt;/Cite&gt;&lt;/EndNote&gt;</w:instrText>
      </w:r>
      <w:r>
        <w:rPr>
          <w:lang w:eastAsia="en-GB"/>
        </w:rPr>
        <w:fldChar w:fldCharType="separate"/>
      </w:r>
      <w:r w:rsidR="00E754E8">
        <w:rPr>
          <w:noProof/>
          <w:lang w:eastAsia="en-GB"/>
        </w:rPr>
        <w:t>Gompers et al. (2003)</w:t>
      </w:r>
      <w:r>
        <w:rPr>
          <w:lang w:eastAsia="en-GB"/>
        </w:rPr>
        <w:fldChar w:fldCharType="end"/>
      </w:r>
      <w:r>
        <w:rPr>
          <w:lang w:eastAsia="en-GB"/>
        </w:rPr>
        <w:t xml:space="preserve"> </w:t>
      </w:r>
      <w:r w:rsidRPr="00D81A8E">
        <w:rPr>
          <w:lang w:eastAsia="en-GB"/>
        </w:rPr>
        <w:t xml:space="preserve">argue that compliance with a prescribed code of corporate governance positively affects </w:t>
      </w:r>
      <w:r w:rsidRPr="00D81A8E">
        <w:rPr>
          <w:lang w:eastAsia="en-GB"/>
        </w:rPr>
        <w:lastRenderedPageBreak/>
        <w:t>shareholder value for non-financial firms. Similarly, strong corporate governance mechanisms are positively associated with voluntary disclosures and the adoption of International Financial Reporting Standards</w:t>
      </w:r>
      <w:r>
        <w:rPr>
          <w:lang w:eastAsia="en-GB"/>
        </w:rPr>
        <w:t xml:space="preserve"> </w:t>
      </w:r>
      <w:r>
        <w:rPr>
          <w:lang w:eastAsia="en-GB"/>
        </w:rPr>
        <w:fldChar w:fldCharType="begin"/>
      </w:r>
      <w:r w:rsidR="00327CEC">
        <w:rPr>
          <w:lang w:eastAsia="en-GB"/>
        </w:rPr>
        <w:instrText xml:space="preserve"> ADDIN EN.CITE &lt;EndNote&gt;&lt;Cite&gt;&lt;Author&gt;Verriest&lt;/Author&gt;&lt;Year&gt;2013&lt;/Year&gt;&lt;RecNum&gt;1029&lt;/RecNum&gt;&lt;DisplayText&gt;(Verriest, Gaeremynck, &amp;amp; Thornton, 2013)&lt;/DisplayText&gt;&lt;record&gt;&lt;rec-number&gt;1029&lt;/rec-number&gt;&lt;foreign-keys&gt;&lt;key app="EN" db-id="s00xzp50xdvx90ea0ravv2dxzr2pdvrrzaff" timestamp="1532346543" guid="598c8a48-b996-469f-92aa-f0dca047a5e6"&gt;1029&lt;/key&gt;&lt;/foreign-keys&gt;&lt;ref-type name="Journal Article"&gt;17&lt;/ref-type&gt;&lt;contributors&gt;&lt;authors&gt;&lt;author&gt;Verriest, Arnt&lt;/author&gt;&lt;author&gt;Gaeremynck, Ann&lt;/author&gt;&lt;author&gt;Thornton, Daniel B.&lt;/author&gt;&lt;/authors&gt;&lt;/contributors&gt;&lt;titles&gt;&lt;title&gt;The Impact of Corporate Governance on IFRS Adoption Choices&lt;/title&gt;&lt;secondary-title&gt;European Accounting Review&lt;/secondary-title&gt;&lt;/titles&gt;&lt;periodical&gt;&lt;full-title&gt;European Accounting Review&lt;/full-title&gt;&lt;/periodical&gt;&lt;pages&gt;39-77&lt;/pages&gt;&lt;volume&gt;22&lt;/volume&gt;&lt;number&gt;1&lt;/number&gt;&lt;keywords&gt;&lt;keyword&gt;RESEARCH&lt;/keyword&gt;&lt;keyword&gt;Business forecasting&lt;/keyword&gt;&lt;keyword&gt;International financial reporting standards&lt;/keyword&gt;&lt;keyword&gt;Disclosure in accounting&lt;/keyword&gt;&lt;keyword&gt;Corporate governance&lt;/keyword&gt;&lt;keyword&gt;European Union&lt;/keyword&gt;&lt;/keywords&gt;&lt;dates&gt;&lt;year&gt;2013&lt;/year&gt;&lt;/dates&gt;&lt;publisher&gt;Routledge&lt;/publisher&gt;&lt;isbn&gt;09638180&lt;/isbn&gt;&lt;accession-num&gt;86994320&lt;/accession-num&gt;&lt;work-type&gt;Article&lt;/work-type&gt;&lt;urls&gt;&lt;related-urls&gt;&lt;url&gt;https://liverpool.idm.oclc.org/login?url=https://search.ebscohost.com/login.aspx?direct=true&amp;amp;db=bth&amp;amp;AN=86994320&amp;amp;site=eds-live&amp;amp;scope=site&lt;/url&gt;&lt;/related-urls&gt;&lt;/urls&gt;&lt;electronic-resource-num&gt;10.1080/09638180.2011.644699&lt;/electronic-resource-num&gt;&lt;remote-database-name&gt;bth&lt;/remote-database-name&gt;&lt;remote-database-provider&gt;EBSCOhost&lt;/remote-database-provider&gt;&lt;/record&gt;&lt;/Cite&gt;&lt;/EndNote&gt;</w:instrText>
      </w:r>
      <w:r>
        <w:rPr>
          <w:lang w:eastAsia="en-GB"/>
        </w:rPr>
        <w:fldChar w:fldCharType="separate"/>
      </w:r>
      <w:r>
        <w:rPr>
          <w:noProof/>
          <w:lang w:eastAsia="en-GB"/>
        </w:rPr>
        <w:t>(Verriest, Gaeremynck, &amp; Thornton, 2013)</w:t>
      </w:r>
      <w:r>
        <w:rPr>
          <w:lang w:eastAsia="en-GB"/>
        </w:rPr>
        <w:fldChar w:fldCharType="end"/>
      </w:r>
      <w:r w:rsidRPr="00D81A8E">
        <w:rPr>
          <w:lang w:eastAsia="en-GB"/>
        </w:rPr>
        <w:t xml:space="preserve"> as well as better corporate social responsibility performance </w:t>
      </w:r>
      <w:r>
        <w:rPr>
          <w:lang w:eastAsia="en-GB"/>
        </w:rPr>
        <w:fldChar w:fldCharType="begin"/>
      </w:r>
      <w:r w:rsidR="00327CEC">
        <w:rPr>
          <w:lang w:eastAsia="en-GB"/>
        </w:rPr>
        <w:instrText xml:space="preserve"> ADDIN EN.CITE &lt;EndNote&gt;&lt;Cite&gt;&lt;Author&gt;Chen&lt;/Author&gt;&lt;Year&gt;2006&lt;/Year&gt;&lt;RecNum&gt;678&lt;/RecNum&gt;&lt;DisplayText&gt;(Chen, Firth, Gao, &amp;amp; Rui, 2006)&lt;/DisplayText&gt;&lt;record&gt;&lt;rec-number&gt;678&lt;/rec-number&gt;&lt;foreign-keys&gt;&lt;key app="EN" db-id="s00xzp50xdvx90ea0ravv2dxzr2pdvrrzaff" timestamp="1456764381" guid="ccda31bc-a212-4203-bd0e-fd91c6d90176"&gt;678&lt;/key&gt;&lt;/foreign-keys&gt;&lt;ref-type name="Journal Article"&gt;17&lt;/ref-type&gt;&lt;contributors&gt;&lt;authors&gt;&lt;author&gt;Chen, Gongmeng&lt;/author&gt;&lt;author&gt;Firth, Michael&lt;/author&gt;&lt;author&gt;Gao, Daniel N.&lt;/author&gt;&lt;author&gt;Rui, Oliver M.&lt;/author&gt;&lt;/authors&gt;&lt;/contributors&gt;&lt;titles&gt;&lt;title&gt;Ownership structure, corporate governance, and fraud: Evidence from China&lt;/title&gt;&lt;secondary-title&gt;Journal of Corporate Finance&lt;/secondary-title&gt;&lt;/titles&gt;&lt;periodical&gt;&lt;full-title&gt;Journal of Corporate Finance&lt;/full-title&gt;&lt;/periodical&gt;&lt;pages&gt;424-448&lt;/pages&gt;&lt;volume&gt;12&lt;/volume&gt;&lt;number&gt;3&lt;/number&gt;&lt;keywords&gt;&lt;keyword&gt;CORPORATE governance&lt;/keyword&gt;&lt;keyword&gt;INDUSTRIAL management&lt;/keyword&gt;&lt;keyword&gt;PROXY statements&lt;/keyword&gt;&lt;keyword&gt;CHINA&lt;/keyword&gt;&lt;keyword&gt;China&amp;apos;s enforcement actions&lt;/keyword&gt;&lt;keyword&gt;Fraud&lt;/keyword&gt;&lt;keyword&gt;Ownership&lt;/keyword&gt;&lt;/keywords&gt;&lt;dates&gt;&lt;year&gt;2006&lt;/year&gt;&lt;/dates&gt;&lt;isbn&gt;09291199&lt;/isbn&gt;&lt;accession-num&gt;20622540&lt;/accession-num&gt;&lt;work-type&gt;Article&lt;/work-type&gt;&lt;urls&gt;&lt;related-urls&gt;&lt;url&gt;http://libezproxy.open.ac.uk/login?url=http://search.ebscohost.com/login.aspx?direct=true&amp;amp;db=bth&amp;amp;AN=20622540&amp;amp;site=ehost-live&amp;amp;scope=site&lt;/url&gt;&lt;/related-urls&gt;&lt;/urls&gt;&lt;electronic-resource-num&gt;10.1016/j.jcorpfin.2005.09.002&lt;/electronic-resource-num&gt;&lt;remote-database-name&gt;bth&lt;/remote-database-name&gt;&lt;remote-database-provider&gt;EBSCOhost&lt;/remote-database-provider&gt;&lt;/record&gt;&lt;/Cite&gt;&lt;/EndNote&gt;</w:instrText>
      </w:r>
      <w:r>
        <w:rPr>
          <w:lang w:eastAsia="en-GB"/>
        </w:rPr>
        <w:fldChar w:fldCharType="separate"/>
      </w:r>
      <w:r>
        <w:rPr>
          <w:noProof/>
          <w:lang w:eastAsia="en-GB"/>
        </w:rPr>
        <w:t>(Chen, Firth, Gao, &amp; Rui, 2006)</w:t>
      </w:r>
      <w:r>
        <w:rPr>
          <w:lang w:eastAsia="en-GB"/>
        </w:rPr>
        <w:fldChar w:fldCharType="end"/>
      </w:r>
      <w:r>
        <w:rPr>
          <w:lang w:eastAsia="en-GB"/>
        </w:rPr>
        <w:t xml:space="preserve">. </w:t>
      </w:r>
      <w:r w:rsidRPr="00D81A8E">
        <w:rPr>
          <w:lang w:eastAsia="en-GB"/>
        </w:rPr>
        <w:t>However,</w:t>
      </w:r>
      <w:r>
        <w:rPr>
          <w:lang w:eastAsia="en-GB"/>
        </w:rPr>
        <w:t xml:space="preserve"> questioning the effectiveness of universal corporate governance standards,</w:t>
      </w:r>
      <w:r w:rsidRPr="00D81A8E">
        <w:rPr>
          <w:lang w:eastAsia="en-GB"/>
        </w:rPr>
        <w:t xml:space="preserve"> </w:t>
      </w:r>
      <w:r>
        <w:rPr>
          <w:lang w:eastAsia="en-GB"/>
        </w:rPr>
        <w:fldChar w:fldCharType="begin"/>
      </w:r>
      <w:r w:rsidR="00327CEC">
        <w:rPr>
          <w:lang w:eastAsia="en-GB"/>
        </w:rPr>
        <w:instrText xml:space="preserve"> ADDIN EN.CITE &lt;EndNote&gt;&lt;Cite AuthorYear="1"&gt;&lt;Author&gt;Van Essen&lt;/Author&gt;&lt;Year&gt;2013&lt;/Year&gt;&lt;RecNum&gt;534&lt;/RecNum&gt;&lt;DisplayText&gt;Van Essen, Engelen, and Carney (2013)&lt;/DisplayText&gt;&lt;record&gt;&lt;rec-number&gt;534&lt;/rec-number&gt;&lt;foreign-keys&gt;&lt;key app="EN" db-id="s00xzp50xdvx90ea0ravv2dxzr2pdvrrzaff" timestamp="1452596056" guid="bf3405d3-09e6-4d33-9e77-c757322feeeb"&gt;534&lt;/key&gt;&lt;/foreign-keys&gt;&lt;ref-type name="Journal Article"&gt;17&lt;/ref-type&gt;&lt;contributors&gt;&lt;authors&gt;&lt;author&gt;Van Essen, Marc&lt;/author&gt;&lt;author&gt;Engelen, Peter‐Jan&lt;/author&gt;&lt;author&gt;Carney, Michael&lt;/author&gt;&lt;/authors&gt;&lt;/contributors&gt;&lt;titles&gt;&lt;title&gt;Does “Good” corporate governance help in a crisis? The impact of country‐and firm‐level governance mechanisms in the European financial crisis&lt;/title&gt;&lt;secondary-title&gt;Corporate Governance: An International Review&lt;/secondary-title&gt;&lt;/titles&gt;&lt;periodical&gt;&lt;full-title&gt;Corporate Governance: An International Review&lt;/full-title&gt;&lt;/periodical&gt;&lt;pages&gt;201-224&lt;/pages&gt;&lt;volume&gt;21&lt;/volume&gt;&lt;number&gt;3&lt;/number&gt;&lt;dates&gt;&lt;year&gt;2013&lt;/year&gt;&lt;/dates&gt;&lt;isbn&gt;1467-8683&lt;/isbn&gt;&lt;urls&gt;&lt;/urls&gt;&lt;/record&gt;&lt;/Cite&gt;&lt;/EndNote&gt;</w:instrText>
      </w:r>
      <w:r>
        <w:rPr>
          <w:lang w:eastAsia="en-GB"/>
        </w:rPr>
        <w:fldChar w:fldCharType="separate"/>
      </w:r>
      <w:r>
        <w:rPr>
          <w:noProof/>
          <w:lang w:eastAsia="en-GB"/>
        </w:rPr>
        <w:t>Van Essen, Engelen, and Carney (2013)</w:t>
      </w:r>
      <w:r>
        <w:rPr>
          <w:lang w:eastAsia="en-GB"/>
        </w:rPr>
        <w:fldChar w:fldCharType="end"/>
      </w:r>
      <w:r>
        <w:rPr>
          <w:lang w:eastAsia="en-GB"/>
        </w:rPr>
        <w:t xml:space="preserve"> </w:t>
      </w:r>
      <w:r w:rsidRPr="00D81A8E">
        <w:rPr>
          <w:lang w:eastAsia="en-GB"/>
        </w:rPr>
        <w:t xml:space="preserve">argue that the positive relationship and impact does not hold during </w:t>
      </w:r>
      <w:r w:rsidR="00B7144A">
        <w:rPr>
          <w:lang w:eastAsia="en-GB"/>
        </w:rPr>
        <w:t>the</w:t>
      </w:r>
      <w:r w:rsidRPr="00D81A8E">
        <w:rPr>
          <w:lang w:eastAsia="en-GB"/>
        </w:rPr>
        <w:t xml:space="preserve"> crisis period. </w:t>
      </w:r>
    </w:p>
    <w:p w14:paraId="67243575" w14:textId="1132507C" w:rsidR="00DB46CB" w:rsidRDefault="00521AC0" w:rsidP="0092047F">
      <w:pPr>
        <w:rPr>
          <w:lang w:eastAsia="en-GB"/>
        </w:rPr>
      </w:pPr>
      <w:r>
        <w:rPr>
          <w:lang w:eastAsia="en-GB"/>
        </w:rPr>
        <w:t>I</w:t>
      </w:r>
      <w:r w:rsidR="00DB46CB">
        <w:rPr>
          <w:lang w:eastAsia="en-GB"/>
        </w:rPr>
        <w:t xml:space="preserve">n the context of financial firms, </w:t>
      </w:r>
      <w:r w:rsidR="00DB46CB">
        <w:rPr>
          <w:lang w:eastAsia="en-GB"/>
        </w:rPr>
        <w:fldChar w:fldCharType="begin"/>
      </w:r>
      <w:r w:rsidR="00327CEC">
        <w:rPr>
          <w:lang w:eastAsia="en-GB"/>
        </w:rPr>
        <w:instrText xml:space="preserve"> ADDIN EN.CITE &lt;EndNote&gt;&lt;Cite AuthorYear="1"&gt;&lt;Author&gt;Erkens&lt;/Author&gt;&lt;Year&gt;2012&lt;/Year&gt;&lt;RecNum&gt;256&lt;/RecNum&gt;&lt;DisplayText&gt;Erkens, Hung, and Matos (2012)&lt;/DisplayText&gt;&lt;record&gt;&lt;rec-number&gt;256&lt;/rec-number&gt;&lt;foreign-keys&gt;&lt;key app="EN" db-id="s00xzp50xdvx90ea0ravv2dxzr2pdvrrzaff" timestamp="1452197984" guid="aa5e0240-0513-4b56-b1fd-64896094a7a0"&gt;256&lt;/key&gt;&lt;/foreign-keys&gt;&lt;ref-type name="Journal Article"&gt;17&lt;/ref-type&gt;&lt;contributors&gt;&lt;authors&gt;&lt;author&gt;Erkens, D&lt;/author&gt;&lt;author&gt;Hung, M&lt;/author&gt;&lt;author&gt;Matos, PP&lt;/author&gt;&lt;/authors&gt;&lt;/contributors&gt;&lt;titles&gt;&lt;title&gt;Corporate governance in the 2007-2008 financial crisis: Evidence from financial institutions worldwide&lt;/title&gt;&lt;secondary-title&gt;Journal of Corporate Finance&lt;/secondary-title&gt;&lt;/titles&gt;&lt;periodical&gt;&lt;full-title&gt;Journal of Corporate Finance&lt;/full-title&gt;&lt;/periodical&gt;&lt;pages&gt;389-411&lt;/pages&gt;&lt;volume&gt;18&lt;/volume&gt;&lt;number&gt;2&lt;/number&gt;&lt;dates&gt;&lt;year&gt;2012&lt;/year&gt;&lt;/dates&gt;&lt;urls&gt;&lt;/urls&gt;&lt;/record&gt;&lt;/Cite&gt;&lt;/EndNote&gt;</w:instrText>
      </w:r>
      <w:r w:rsidR="00DB46CB">
        <w:rPr>
          <w:lang w:eastAsia="en-GB"/>
        </w:rPr>
        <w:fldChar w:fldCharType="separate"/>
      </w:r>
      <w:r w:rsidR="00DB46CB">
        <w:rPr>
          <w:noProof/>
          <w:lang w:eastAsia="en-GB"/>
        </w:rPr>
        <w:t>Erkens, Hung, and Matos (2012)</w:t>
      </w:r>
      <w:r w:rsidR="00DB46CB">
        <w:rPr>
          <w:lang w:eastAsia="en-GB"/>
        </w:rPr>
        <w:fldChar w:fldCharType="end"/>
      </w:r>
      <w:r w:rsidR="00DB46CB">
        <w:rPr>
          <w:lang w:eastAsia="en-GB"/>
        </w:rPr>
        <w:t xml:space="preserve"> examine the relationship between corporate governance and firm performance during the financial crisis and report that firms with more independent boards and higher institutional ownership exhibited lower share returns. </w:t>
      </w:r>
      <w:r>
        <w:rPr>
          <w:lang w:eastAsia="en-GB"/>
        </w:rPr>
        <w:t>Similarly</w:t>
      </w:r>
      <w:r w:rsidR="00DB46CB">
        <w:rPr>
          <w:lang w:eastAsia="en-GB"/>
        </w:rPr>
        <w:t xml:space="preserve">, </w:t>
      </w:r>
      <w:r w:rsidR="00DB46CB">
        <w:rPr>
          <w:lang w:eastAsia="en-GB"/>
        </w:rPr>
        <w:fldChar w:fldCharType="begin"/>
      </w:r>
      <w:r w:rsidR="00327CEC">
        <w:rPr>
          <w:lang w:eastAsia="en-GB"/>
        </w:rPr>
        <w:instrText xml:space="preserve"> ADDIN EN.CITE &lt;EndNote&gt;&lt;Cite AuthorYear="1"&gt;&lt;Author&gt;Beltratti&lt;/Author&gt;&lt;Year&gt;2012&lt;/Year&gt;&lt;RecNum&gt;373&lt;/RecNum&gt;&lt;DisplayText&gt;Beltratti and Stulz (2012)&lt;/DisplayText&gt;&lt;record&gt;&lt;rec-number&gt;373&lt;/rec-number&gt;&lt;foreign-keys&gt;&lt;key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sidR="00DB46CB">
        <w:rPr>
          <w:lang w:eastAsia="en-GB"/>
        </w:rPr>
        <w:fldChar w:fldCharType="separate"/>
      </w:r>
      <w:r w:rsidR="00DB46CB">
        <w:rPr>
          <w:noProof/>
          <w:lang w:eastAsia="en-GB"/>
        </w:rPr>
        <w:t>Beltratti and Stulz (2012)</w:t>
      </w:r>
      <w:r w:rsidR="00DB46CB">
        <w:rPr>
          <w:lang w:eastAsia="en-GB"/>
        </w:rPr>
        <w:fldChar w:fldCharType="end"/>
      </w:r>
      <w:r w:rsidR="00DB46CB">
        <w:rPr>
          <w:lang w:eastAsia="en-GB"/>
        </w:rPr>
        <w:t xml:space="preserve"> report a negative relationship between board independence and stock returns for a sample of 164 banks in 32 countries.  </w:t>
      </w:r>
      <w:r w:rsidRPr="00521AC0">
        <w:rPr>
          <w:lang w:eastAsia="en-GB"/>
        </w:rPr>
        <w:t>Th</w:t>
      </w:r>
      <w:r>
        <w:rPr>
          <w:lang w:eastAsia="en-GB"/>
        </w:rPr>
        <w:t xml:space="preserve">ey </w:t>
      </w:r>
      <w:r w:rsidRPr="00521AC0">
        <w:rPr>
          <w:lang w:eastAsia="en-GB"/>
        </w:rPr>
        <w:t>measured the governance attributes of their sample banks for the year 2006</w:t>
      </w:r>
      <w:r>
        <w:rPr>
          <w:lang w:eastAsia="en-GB"/>
        </w:rPr>
        <w:t xml:space="preserve"> only.  </w:t>
      </w:r>
      <w:r w:rsidR="00DB46CB">
        <w:rPr>
          <w:lang w:eastAsia="en-GB"/>
        </w:rPr>
        <w:t xml:space="preserve">It is however, well documented in the existing corporate governance literature, that using cross sectional data for analysing governance–performance relationship suffers from endogeneity issues and can produce erroneous results </w:t>
      </w:r>
      <w:r w:rsidR="00DB46CB">
        <w:rPr>
          <w:lang w:eastAsia="en-GB"/>
        </w:rPr>
        <w:fldChar w:fldCharType="begin"/>
      </w:r>
      <w:r w:rsidR="003D2C76">
        <w:rPr>
          <w:lang w:eastAsia="en-GB"/>
        </w:rPr>
        <w:instrText xml:space="preserve"> ADDIN EN.CITE &lt;EndNote&gt;&lt;Cite&gt;&lt;Author&gt;Wintoki&lt;/Author&gt;&lt;Year&gt;2012&lt;/Year&gt;&lt;RecNum&gt;486&lt;/RecNum&gt;&lt;DisplayText&gt;(Abdallah, Goergen, &amp;amp; O&amp;apos;Sullivan, 2015; Wintoki, Linck, &amp;amp; Netter, 2012)&lt;/DisplayText&gt;&lt;record&gt;&lt;rec-number&gt;486&lt;/rec-number&gt;&lt;foreign-keys&gt;&lt;key app="EN" db-id="s00xzp50xdvx90ea0ravv2dxzr2pdvrrzaff" timestamp="1452198497" guid="d48fa821-2a1a-407d-9383-a66f3fd77213"&gt;486&lt;/key&gt;&lt;/foreign-keys&gt;&lt;ref-type name="Journal Article"&gt;17&lt;/ref-type&gt;&lt;contributors&gt;&lt;authors&gt;&lt;author&gt;Wintoki, M Babajide&lt;/author&gt;&lt;author&gt;Linck, James S&lt;/author&gt;&lt;author&gt;Netter, Jeffry M&lt;/author&gt;&lt;/authors&gt;&lt;/contributors&gt;&lt;titles&gt;&lt;title&gt;Endogeneity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pages&gt;581-606&lt;/pages&gt;&lt;volume&gt;105&lt;/volume&gt;&lt;number&gt;3&lt;/number&gt;&lt;dates&gt;&lt;year&gt;2012&lt;/year&gt;&lt;/dates&gt;&lt;isbn&gt;0304-405X&lt;/isbn&gt;&lt;urls&gt;&lt;/urls&gt;&lt;/record&gt;&lt;/Cite&gt;&lt;Cite&gt;&lt;Author&gt;Abdallah&lt;/Author&gt;&lt;Year&gt;2015&lt;/Year&gt;&lt;RecNum&gt;744&lt;/RecNum&gt;&lt;record&gt;&lt;rec-number&gt;744&lt;/rec-number&gt;&lt;foreign-keys&gt;&lt;key app="EN" db-id="s00xzp50xdvx90ea0ravv2dxzr2pdvrrzaff" timestamp="1457699237" guid="a616b6ac-be4b-47d1-adb8-d5bc0fbfa5b3"&gt;744&lt;/key&gt;&lt;/foreign-keys&gt;&lt;ref-type name="Journal Article"&gt;17&lt;/ref-type&gt;&lt;contributors&gt;&lt;authors&gt;&lt;author&gt;Abdallah, Wissam&lt;/author&gt;&lt;author&gt;Goergen, Marc&lt;/author&gt;&lt;author&gt;O&amp;apos;Sullivan, Noel&lt;/author&gt;&lt;/authors&gt;&lt;/contributors&gt;&lt;titles&gt;&lt;title&gt;Endogeneity: How failure to correct for it can cause wrong inferences and some remedies&lt;/title&gt;&lt;secondary-title&gt;British Journal of Management&lt;/secondary-title&gt;&lt;/titles&gt;&lt;periodical&gt;&lt;full-title&gt;British Journal of Management&lt;/full-title&gt;&lt;/periodical&gt;&lt;pages&gt;791-804&lt;/pages&gt;&lt;volume&gt;26&lt;/volume&gt;&lt;number&gt;4&lt;/number&gt;&lt;dates&gt;&lt;year&gt;2015&lt;/year&gt;&lt;/dates&gt;&lt;isbn&gt;1467-8551&lt;/isbn&gt;&lt;urls&gt;&lt;related-urls&gt;&lt;url&gt;http://dx.doi.org/10.1111/1467-8551.12113&lt;/url&gt;&lt;/related-urls&gt;&lt;/urls&gt;&lt;electronic-resource-num&gt;10.1111/1467-8551.12113&lt;/electronic-resource-num&gt;&lt;/record&gt;&lt;/Cite&gt;&lt;/EndNote&gt;</w:instrText>
      </w:r>
      <w:r w:rsidR="00DB46CB">
        <w:rPr>
          <w:lang w:eastAsia="en-GB"/>
        </w:rPr>
        <w:fldChar w:fldCharType="separate"/>
      </w:r>
      <w:r w:rsidR="003D2C76">
        <w:rPr>
          <w:noProof/>
          <w:lang w:eastAsia="en-GB"/>
        </w:rPr>
        <w:t>(Abdallah, Goergen, &amp; O'Sullivan, 2015; Wintoki, Linck, &amp; Netter, 2012)</w:t>
      </w:r>
      <w:r w:rsidR="00DB46CB">
        <w:rPr>
          <w:lang w:eastAsia="en-GB"/>
        </w:rPr>
        <w:fldChar w:fldCharType="end"/>
      </w:r>
      <w:r w:rsidR="00DB46CB">
        <w:rPr>
          <w:lang w:eastAsia="en-GB"/>
        </w:rPr>
        <w:t>.</w:t>
      </w:r>
    </w:p>
    <w:p w14:paraId="7323BFE3" w14:textId="1C7AF09F" w:rsidR="00DB46CB" w:rsidRDefault="00DB46CB" w:rsidP="0092047F">
      <w:pPr>
        <w:rPr>
          <w:lang w:eastAsia="en-GB"/>
        </w:rPr>
      </w:pPr>
      <w:r>
        <w:rPr>
          <w:lang w:eastAsia="en-GB"/>
        </w:rPr>
        <w:t>In line with the above discussions, this study c</w:t>
      </w:r>
      <w:r w:rsidRPr="00552487">
        <w:rPr>
          <w:lang w:eastAsia="en-GB"/>
        </w:rPr>
        <w:t xml:space="preserve">ontributes to the existing literature </w:t>
      </w:r>
      <w:r>
        <w:rPr>
          <w:lang w:eastAsia="en-GB"/>
        </w:rPr>
        <w:t xml:space="preserve">by providing a unique focus on the governance mechanisms and shareholder value in </w:t>
      </w:r>
      <w:r w:rsidR="00521AC0">
        <w:rPr>
          <w:lang w:eastAsia="en-GB"/>
        </w:rPr>
        <w:t xml:space="preserve">the </w:t>
      </w:r>
      <w:r>
        <w:rPr>
          <w:lang w:eastAsia="en-GB"/>
        </w:rPr>
        <w:t xml:space="preserve">pre-crisis and crisis periods for UK financial firms. Motivated by the studies of </w:t>
      </w:r>
      <w:r>
        <w:rPr>
          <w:lang w:eastAsia="en-GB"/>
        </w:rPr>
        <w:fldChar w:fldCharType="begin"/>
      </w:r>
      <w:r w:rsidR="00327CEC">
        <w:rPr>
          <w:lang w:eastAsia="en-GB"/>
        </w:rPr>
        <w:instrText xml:space="preserve"> ADDIN EN.CITE &lt;EndNote&gt;&lt;Cite AuthorYear="1"&gt;&lt;Author&gt;Erkens&lt;/Author&gt;&lt;Year&gt;2012&lt;/Year&gt;&lt;RecNum&gt;256&lt;/RecNum&gt;&lt;DisplayText&gt;Erkens et al. (2012)&lt;/DisplayText&gt;&lt;record&gt;&lt;rec-number&gt;256&lt;/rec-number&gt;&lt;foreign-keys&gt;&lt;key app="EN" db-id="s00xzp50xdvx90ea0ravv2dxzr2pdvrrzaff" timestamp="1452197984" guid="aa5e0240-0513-4b56-b1fd-64896094a7a0"&gt;256&lt;/key&gt;&lt;/foreign-keys&gt;&lt;ref-type name="Journal Article"&gt;17&lt;/ref-type&gt;&lt;contributors&gt;&lt;authors&gt;&lt;author&gt;Erkens, D&lt;/author&gt;&lt;author&gt;Hung, M&lt;/author&gt;&lt;author&gt;Matos, PP&lt;/author&gt;&lt;/authors&gt;&lt;/contributors&gt;&lt;titles&gt;&lt;title&gt;Corporate governance in the 2007-2008 financial crisis: Evidence from financial institutions worldwide&lt;/title&gt;&lt;secondary-title&gt;Journal of Corporate Finance&lt;/secondary-title&gt;&lt;/titles&gt;&lt;periodical&gt;&lt;full-title&gt;Journal of Corporate Finance&lt;/full-title&gt;&lt;/periodical&gt;&lt;pages&gt;389-411&lt;/pages&gt;&lt;volume&gt;18&lt;/volume&gt;&lt;number&gt;2&lt;/number&gt;&lt;dates&gt;&lt;year&gt;2012&lt;/year&gt;&lt;/dates&gt;&lt;urls&gt;&lt;/urls&gt;&lt;/record&gt;&lt;/Cite&gt;&lt;/EndNote&gt;</w:instrText>
      </w:r>
      <w:r>
        <w:rPr>
          <w:lang w:eastAsia="en-GB"/>
        </w:rPr>
        <w:fldChar w:fldCharType="separate"/>
      </w:r>
      <w:r w:rsidR="000A7F09">
        <w:rPr>
          <w:noProof/>
          <w:lang w:eastAsia="en-GB"/>
        </w:rPr>
        <w:t>Erkens et al. (2012)</w:t>
      </w:r>
      <w:r>
        <w:rPr>
          <w:lang w:eastAsia="en-GB"/>
        </w:rPr>
        <w:fldChar w:fldCharType="end"/>
      </w:r>
      <w:r>
        <w:rPr>
          <w:lang w:eastAsia="en-GB"/>
        </w:rPr>
        <w:t xml:space="preserve"> and </w:t>
      </w:r>
      <w:r>
        <w:rPr>
          <w:lang w:eastAsia="en-GB"/>
        </w:rPr>
        <w:fldChar w:fldCharType="begin"/>
      </w:r>
      <w:r w:rsidR="00327CEC">
        <w:rPr>
          <w:lang w:eastAsia="en-GB"/>
        </w:rPr>
        <w:instrText xml:space="preserve"> ADDIN EN.CITE &lt;EndNote&gt;&lt;Cite AuthorYear="1"&gt;&lt;Author&gt;Beltratti&lt;/Author&gt;&lt;Year&gt;2012&lt;/Year&gt;&lt;RecNum&gt;373&lt;/RecNum&gt;&lt;DisplayText&gt;Beltratti and Stulz (2012)&lt;/DisplayText&gt;&lt;record&gt;&lt;rec-number&gt;373&lt;/rec-number&gt;&lt;foreign-keys&gt;&lt;key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Pr>
          <w:lang w:eastAsia="en-GB"/>
        </w:rPr>
        <w:fldChar w:fldCharType="separate"/>
      </w:r>
      <w:r>
        <w:rPr>
          <w:noProof/>
          <w:lang w:eastAsia="en-GB"/>
        </w:rPr>
        <w:t>Beltratti and Stulz (2012)</w:t>
      </w:r>
      <w:r>
        <w:rPr>
          <w:lang w:eastAsia="en-GB"/>
        </w:rPr>
        <w:fldChar w:fldCharType="end"/>
      </w:r>
      <w:r>
        <w:rPr>
          <w:lang w:eastAsia="en-GB"/>
        </w:rPr>
        <w:t xml:space="preserve">, </w:t>
      </w:r>
      <w:r w:rsidRPr="00FE02E9">
        <w:rPr>
          <w:lang w:eastAsia="en-GB"/>
        </w:rPr>
        <w:t>this</w:t>
      </w:r>
      <w:r>
        <w:rPr>
          <w:lang w:eastAsia="en-GB"/>
        </w:rPr>
        <w:t xml:space="preserve"> </w:t>
      </w:r>
      <w:r w:rsidR="00521AC0">
        <w:rPr>
          <w:lang w:eastAsia="en-GB"/>
        </w:rPr>
        <w:t>paper</w:t>
      </w:r>
      <w:r>
        <w:rPr>
          <w:lang w:eastAsia="en-GB"/>
        </w:rPr>
        <w:t xml:space="preserve"> investigates </w:t>
      </w:r>
      <w:r w:rsidRPr="00255F72">
        <w:rPr>
          <w:lang w:eastAsia="en-GB"/>
        </w:rPr>
        <w:t xml:space="preserve">whether shareholder value is </w:t>
      </w:r>
      <w:r>
        <w:rPr>
          <w:lang w:eastAsia="en-GB"/>
        </w:rPr>
        <w:t xml:space="preserve">influenced by non-compliance </w:t>
      </w:r>
      <w:r w:rsidRPr="00C076B0">
        <w:rPr>
          <w:lang w:eastAsia="en-GB"/>
        </w:rPr>
        <w:t xml:space="preserve">with the </w:t>
      </w:r>
      <w:r>
        <w:rPr>
          <w:lang w:eastAsia="en-GB"/>
        </w:rPr>
        <w:t xml:space="preserve">UK CGC </w:t>
      </w:r>
      <w:r w:rsidRPr="00C076B0">
        <w:rPr>
          <w:lang w:eastAsia="en-GB"/>
        </w:rPr>
        <w:t>for fina</w:t>
      </w:r>
      <w:r>
        <w:rPr>
          <w:lang w:eastAsia="en-GB"/>
        </w:rPr>
        <w:t>ncial institutions, before</w:t>
      </w:r>
      <w:r w:rsidRPr="00C076B0">
        <w:rPr>
          <w:lang w:eastAsia="en-GB"/>
        </w:rPr>
        <w:t xml:space="preserve"> and during </w:t>
      </w:r>
      <w:r w:rsidR="00F20422">
        <w:rPr>
          <w:lang w:eastAsia="en-GB"/>
        </w:rPr>
        <w:t xml:space="preserve">the </w:t>
      </w:r>
      <w:r w:rsidRPr="00C076B0">
        <w:rPr>
          <w:lang w:eastAsia="en-GB"/>
        </w:rPr>
        <w:t>financial crisis.</w:t>
      </w:r>
      <w:r>
        <w:rPr>
          <w:lang w:eastAsia="en-GB"/>
        </w:rPr>
        <w:t xml:space="preserve"> Whilst the aforementioned studies focused on f</w:t>
      </w:r>
      <w:r w:rsidRPr="008436D9">
        <w:rPr>
          <w:lang w:eastAsia="en-GB"/>
        </w:rPr>
        <w:t>irm-specific governance mechanisms</w:t>
      </w:r>
      <w:r>
        <w:rPr>
          <w:lang w:eastAsia="en-GB"/>
        </w:rPr>
        <w:t xml:space="preserve"> (</w:t>
      </w:r>
      <w:r w:rsidRPr="004B1995">
        <w:rPr>
          <w:lang w:eastAsia="en-GB"/>
        </w:rPr>
        <w:t>corporate boards and ownership structures</w:t>
      </w:r>
      <w:r>
        <w:rPr>
          <w:lang w:eastAsia="en-GB"/>
        </w:rPr>
        <w:t xml:space="preserve">), the current study develops a unique non-compliance index (NCI) as a proxy for firm-level corporate governance. </w:t>
      </w:r>
      <w:r w:rsidRPr="00324F54">
        <w:rPr>
          <w:lang w:eastAsia="en-GB"/>
        </w:rPr>
        <w:t xml:space="preserve">To address the </w:t>
      </w:r>
      <w:r w:rsidRPr="00324F54">
        <w:rPr>
          <w:lang w:eastAsia="en-GB"/>
        </w:rPr>
        <w:lastRenderedPageBreak/>
        <w:t>concerns that not all of the provisions in our equally weighted governance index</w:t>
      </w:r>
      <w:r>
        <w:rPr>
          <w:lang w:eastAsia="en-GB"/>
        </w:rPr>
        <w:t xml:space="preserve"> </w:t>
      </w:r>
      <w:r w:rsidRPr="00324F54">
        <w:rPr>
          <w:lang w:eastAsia="en-GB"/>
        </w:rPr>
        <w:t>would affect shareholder value equally, we also investigate the effectiveness of compliance with individual provisions of the UK CGC</w:t>
      </w:r>
      <w:r>
        <w:rPr>
          <w:lang w:eastAsia="en-GB"/>
        </w:rPr>
        <w:t xml:space="preserve">. Additionally, this research explores the effectiveness of two key corporate governance mechanisms on shareholder value i.e. </w:t>
      </w:r>
      <w:r w:rsidRPr="005312FF">
        <w:rPr>
          <w:lang w:eastAsia="en-GB"/>
        </w:rPr>
        <w:t xml:space="preserve">monitoring mechanisms and directors’ </w:t>
      </w:r>
      <w:r>
        <w:rPr>
          <w:lang w:eastAsia="en-GB"/>
        </w:rPr>
        <w:t>incentives</w:t>
      </w:r>
      <w:r w:rsidRPr="001A15DF">
        <w:rPr>
          <w:lang w:eastAsia="en-GB"/>
        </w:rPr>
        <w:t xml:space="preserve">. In doing so, the current study adds to the stream of research that </w:t>
      </w:r>
      <w:r>
        <w:rPr>
          <w:lang w:eastAsia="en-GB"/>
        </w:rPr>
        <w:t>investigates</w:t>
      </w:r>
      <w:r w:rsidRPr="001A15DF">
        <w:rPr>
          <w:lang w:eastAsia="en-GB"/>
        </w:rPr>
        <w:t xml:space="preserve"> various governance related factors and its impact on </w:t>
      </w:r>
      <w:r w:rsidR="0095436C" w:rsidRPr="001A15DF">
        <w:rPr>
          <w:lang w:eastAsia="en-GB"/>
        </w:rPr>
        <w:t xml:space="preserve">shareholder </w:t>
      </w:r>
      <w:r w:rsidRPr="001A15DF">
        <w:rPr>
          <w:lang w:eastAsia="en-GB"/>
        </w:rPr>
        <w:t>value, for financial firms in</w:t>
      </w:r>
      <w:r w:rsidR="00984F1E">
        <w:rPr>
          <w:lang w:eastAsia="en-GB"/>
        </w:rPr>
        <w:t xml:space="preserve"> a</w:t>
      </w:r>
      <w:r w:rsidRPr="001A15DF">
        <w:rPr>
          <w:lang w:eastAsia="en-GB"/>
        </w:rPr>
        <w:t xml:space="preserve"> period of financial distress.</w:t>
      </w:r>
      <w:r>
        <w:rPr>
          <w:lang w:eastAsia="en-GB"/>
        </w:rPr>
        <w:t xml:space="preserve"> </w:t>
      </w:r>
    </w:p>
    <w:p w14:paraId="3D85675E" w14:textId="772A6D9C" w:rsidR="00DB46CB" w:rsidRDefault="00DB46CB" w:rsidP="0092047F">
      <w:pPr>
        <w:rPr>
          <w:lang w:eastAsia="en-GB"/>
        </w:rPr>
      </w:pPr>
      <w:r>
        <w:rPr>
          <w:lang w:eastAsia="en-GB"/>
        </w:rPr>
        <w:t xml:space="preserve">There is strong evidence in the existing literature that </w:t>
      </w:r>
      <w:r w:rsidRPr="00F676A7">
        <w:rPr>
          <w:lang w:eastAsia="en-GB"/>
        </w:rPr>
        <w:t>good governance mechanisms help firms in the monitoring of directors and a</w:t>
      </w:r>
      <w:r>
        <w:rPr>
          <w:lang w:eastAsia="en-GB"/>
        </w:rPr>
        <w:t xml:space="preserve">ligning their interests with </w:t>
      </w:r>
      <w:r w:rsidRPr="00F676A7">
        <w:rPr>
          <w:lang w:eastAsia="en-GB"/>
        </w:rPr>
        <w:t>shareholders</w:t>
      </w:r>
      <w:r>
        <w:rPr>
          <w:lang w:eastAsia="en-GB"/>
        </w:rPr>
        <w:t>. Agency</w:t>
      </w:r>
      <w:r w:rsidRPr="0075759B">
        <w:rPr>
          <w:lang w:eastAsia="en-GB"/>
        </w:rPr>
        <w:t xml:space="preserve"> theory suggests </w:t>
      </w:r>
      <w:r>
        <w:rPr>
          <w:lang w:eastAsia="en-GB"/>
        </w:rPr>
        <w:t xml:space="preserve">that </w:t>
      </w:r>
      <w:r w:rsidRPr="0075759B">
        <w:rPr>
          <w:lang w:eastAsia="en-GB"/>
        </w:rPr>
        <w:t xml:space="preserve">improving governance </w:t>
      </w:r>
      <w:r w:rsidR="00B67A3F">
        <w:rPr>
          <w:lang w:eastAsia="en-GB"/>
        </w:rPr>
        <w:t xml:space="preserve">practices </w:t>
      </w:r>
      <w:r>
        <w:rPr>
          <w:lang w:eastAsia="en-GB"/>
        </w:rPr>
        <w:t>helps</w:t>
      </w:r>
      <w:r w:rsidRPr="0075759B">
        <w:rPr>
          <w:lang w:eastAsia="en-GB"/>
        </w:rPr>
        <w:t xml:space="preserve"> </w:t>
      </w:r>
      <w:r w:rsidR="00B67A3F">
        <w:rPr>
          <w:lang w:eastAsia="en-GB"/>
        </w:rPr>
        <w:t xml:space="preserve">in </w:t>
      </w:r>
      <w:r w:rsidRPr="0075759B">
        <w:rPr>
          <w:lang w:eastAsia="en-GB"/>
        </w:rPr>
        <w:t>reduc</w:t>
      </w:r>
      <w:r w:rsidR="00B67A3F">
        <w:rPr>
          <w:lang w:eastAsia="en-GB"/>
        </w:rPr>
        <w:t>ing</w:t>
      </w:r>
      <w:r w:rsidRPr="0075759B">
        <w:rPr>
          <w:lang w:eastAsia="en-GB"/>
        </w:rPr>
        <w:t xml:space="preserve"> the wedge between the interests of management and shareholder</w:t>
      </w:r>
      <w:r>
        <w:rPr>
          <w:lang w:eastAsia="en-GB"/>
        </w:rPr>
        <w:t xml:space="preserve">s </w:t>
      </w:r>
      <w:r w:rsidR="00B67A3F">
        <w:rPr>
          <w:lang w:eastAsia="en-GB"/>
        </w:rPr>
        <w:t>which</w:t>
      </w:r>
      <w:r>
        <w:rPr>
          <w:lang w:eastAsia="en-GB"/>
        </w:rPr>
        <w:t xml:space="preserve"> leads to enhanced</w:t>
      </w:r>
      <w:r w:rsidRPr="00F676A7">
        <w:rPr>
          <w:lang w:eastAsia="en-GB"/>
        </w:rPr>
        <w:t xml:space="preserve"> </w:t>
      </w:r>
      <w:r w:rsidR="00B67A3F">
        <w:rPr>
          <w:lang w:eastAsia="en-GB"/>
        </w:rPr>
        <w:t xml:space="preserve">firm </w:t>
      </w:r>
      <w:r w:rsidRPr="00F676A7">
        <w:rPr>
          <w:lang w:eastAsia="en-GB"/>
        </w:rPr>
        <w:t>value</w:t>
      </w:r>
      <w:r>
        <w:rPr>
          <w:lang w:eastAsia="en-GB"/>
        </w:rPr>
        <w:t xml:space="preserve"> </w:t>
      </w:r>
      <w:r>
        <w:rPr>
          <w:lang w:eastAsia="en-GB"/>
        </w:rPr>
        <w:fldChar w:fldCharType="begin">
          <w:fldData xml:space="preserve">PEVuZE5vdGU+PENpdGU+PEF1dGhvcj5TaGxlaWZlcjwvQXV0aG9yPjxZZWFyPjE5OTc8L1llYXI+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</w:fldData>
        </w:fldChar>
      </w:r>
      <w:r w:rsidR="00327CEC">
        <w:rPr>
          <w:lang w:eastAsia="en-GB"/>
        </w:rPr>
        <w:instrText xml:space="preserve"> ADDIN EN.CITE </w:instrText>
      </w:r>
      <w:r w:rsidR="00327CEC">
        <w:rPr>
          <w:lang w:eastAsia="en-GB"/>
        </w:rPr>
        <w:fldChar w:fldCharType="begin">
          <w:fldData xml:space="preserve">PEVuZE5vdGU+PENpdGU+PEF1dGhvcj5TaGxlaWZlcjwvQXV0aG9yPjxZZWFyPjE5OTc8L1llYXI+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</w:fldData>
        </w:fldChar>
      </w:r>
      <w:r w:rsidR="00327CEC">
        <w:rPr>
          <w:lang w:eastAsia="en-GB"/>
        </w:rPr>
        <w:instrText xml:space="preserve"> ADDIN EN.CITE.DATA </w:instrText>
      </w:r>
      <w:r w:rsidR="00327CEC">
        <w:rPr>
          <w:lang w:eastAsia="en-GB"/>
        </w:rPr>
      </w:r>
      <w:r w:rsidR="00327CEC">
        <w:rPr>
          <w:lang w:eastAsia="en-GB"/>
        </w:rPr>
        <w:fldChar w:fldCharType="end"/>
      </w:r>
      <w:r>
        <w:rPr>
          <w:lang w:eastAsia="en-GB"/>
        </w:rPr>
      </w:r>
      <w:r>
        <w:rPr>
          <w:lang w:eastAsia="en-GB"/>
        </w:rPr>
        <w:fldChar w:fldCharType="separate"/>
      </w:r>
      <w:r>
        <w:rPr>
          <w:noProof/>
          <w:lang w:eastAsia="en-GB"/>
        </w:rPr>
        <w:t>(Jensen &amp; Meckling, 1976; Shleifer &amp; Vishny, 1997)</w:t>
      </w:r>
      <w:r>
        <w:rPr>
          <w:lang w:eastAsia="en-GB"/>
        </w:rPr>
        <w:fldChar w:fldCharType="end"/>
      </w:r>
      <w:r>
        <w:rPr>
          <w:lang w:eastAsia="en-GB"/>
        </w:rPr>
        <w:t xml:space="preserve">. However, the validity of such claims has seldom been tested in </w:t>
      </w:r>
      <w:r w:rsidRPr="006158B7">
        <w:rPr>
          <w:lang w:eastAsia="en-GB"/>
        </w:rPr>
        <w:t>extraordinary economic conditions in general and</w:t>
      </w:r>
      <w:r>
        <w:rPr>
          <w:lang w:eastAsia="en-GB"/>
        </w:rPr>
        <w:t xml:space="preserve"> during</w:t>
      </w:r>
      <w:r w:rsidRPr="006158B7">
        <w:rPr>
          <w:lang w:eastAsia="en-GB"/>
        </w:rPr>
        <w:t xml:space="preserve"> </w:t>
      </w:r>
      <w:r w:rsidR="00943047">
        <w:rPr>
          <w:lang w:eastAsia="en-GB"/>
        </w:rPr>
        <w:t xml:space="preserve">a </w:t>
      </w:r>
      <w:r w:rsidRPr="006158B7">
        <w:rPr>
          <w:lang w:eastAsia="en-GB"/>
        </w:rPr>
        <w:t xml:space="preserve">financial crisis </w:t>
      </w:r>
      <w:r w:rsidR="008944F3">
        <w:rPr>
          <w:lang w:eastAsia="en-GB"/>
        </w:rPr>
        <w:t xml:space="preserve">period </w:t>
      </w:r>
      <w:r w:rsidRPr="006158B7">
        <w:rPr>
          <w:lang w:eastAsia="en-GB"/>
        </w:rPr>
        <w:t>in particular</w:t>
      </w:r>
      <w:r>
        <w:rPr>
          <w:lang w:eastAsia="en-GB"/>
        </w:rPr>
        <w:t xml:space="preserve"> </w:t>
      </w:r>
      <w:r>
        <w:rPr>
          <w:lang w:eastAsia="en-GB"/>
        </w:rPr>
        <w:fldChar w:fldCharType="begin"/>
      </w:r>
      <w:r w:rsidR="00327CEC">
        <w:rPr>
          <w:lang w:eastAsia="en-GB"/>
        </w:rPr>
        <w:instrText xml:space="preserve"> ADDIN EN.CITE &lt;EndNote&gt;&lt;Cite&gt;&lt;Author&gt;Van Essen&lt;/Author&gt;&lt;Year&gt;2013&lt;/Year&gt;&lt;RecNum&gt;534&lt;/RecNum&gt;&lt;DisplayText&gt;(Van Essen et al., 2013)&lt;/DisplayText&gt;&lt;record&gt;&lt;rec-number&gt;534&lt;/rec-number&gt;&lt;foreign-keys&gt;&lt;key app="EN" db-id="s00xzp50xdvx90ea0ravv2dxzr2pdvrrzaff" timestamp="1452596056" guid="bf3405d3-09e6-4d33-9e77-c757322feeeb"&gt;534&lt;/key&gt;&lt;/foreign-keys&gt;&lt;ref-type name="Journal Article"&gt;17&lt;/ref-type&gt;&lt;contributors&gt;&lt;authors&gt;&lt;author&gt;Van Essen, Marc&lt;/author&gt;&lt;author&gt;Engelen, Peter‐Jan&lt;/author&gt;&lt;author&gt;Carney, Michael&lt;/author&gt;&lt;/authors&gt;&lt;/contributors&gt;&lt;titles&gt;&lt;title&gt;Does “Good” corporate governance help in a crisis? The impact of country‐and firm‐level governance mechanisms in the European financial crisis&lt;/title&gt;&lt;secondary-title&gt;Corporate Governance: An International Review&lt;/secondary-title&gt;&lt;/titles&gt;&lt;periodical&gt;&lt;full-title&gt;Corporate Governance: An International Review&lt;/full-title&gt;&lt;/periodical&gt;&lt;pages&gt;201-224&lt;/pages&gt;&lt;volume&gt;21&lt;/volume&gt;&lt;number&gt;3&lt;/number&gt;&lt;dates&gt;&lt;year&gt;2013&lt;/year&gt;&lt;/dates&gt;&lt;isbn&gt;1467-8683&lt;/isbn&gt;&lt;urls&gt;&lt;/urls&gt;&lt;/record&gt;&lt;/Cite&gt;&lt;/EndNote&gt;</w:instrText>
      </w:r>
      <w:r>
        <w:rPr>
          <w:lang w:eastAsia="en-GB"/>
        </w:rPr>
        <w:fldChar w:fldCharType="separate"/>
      </w:r>
      <w:r w:rsidR="000A7F09">
        <w:rPr>
          <w:noProof/>
          <w:lang w:eastAsia="en-GB"/>
        </w:rPr>
        <w:t>(Van Essen et al., 2013)</w:t>
      </w:r>
      <w:r>
        <w:rPr>
          <w:lang w:eastAsia="en-GB"/>
        </w:rPr>
        <w:fldChar w:fldCharType="end"/>
      </w:r>
      <w:r w:rsidRPr="006158B7">
        <w:rPr>
          <w:lang w:eastAsia="en-GB"/>
        </w:rPr>
        <w:t>.</w:t>
      </w:r>
      <w:r>
        <w:rPr>
          <w:lang w:eastAsia="en-GB"/>
        </w:rPr>
        <w:t xml:space="preserve"> </w:t>
      </w:r>
      <w:r w:rsidR="00F94ADE">
        <w:rPr>
          <w:lang w:eastAsia="en-GB"/>
        </w:rPr>
        <w:t xml:space="preserve">It is however evident </w:t>
      </w:r>
      <w:r w:rsidRPr="00FE02E9">
        <w:rPr>
          <w:lang w:eastAsia="en-GB"/>
        </w:rPr>
        <w:t>that</w:t>
      </w:r>
      <w:r>
        <w:rPr>
          <w:lang w:eastAsia="en-GB"/>
        </w:rPr>
        <w:t xml:space="preserve"> </w:t>
      </w:r>
      <w:r w:rsidRPr="00151B07">
        <w:rPr>
          <w:lang w:eastAsia="en-GB"/>
        </w:rPr>
        <w:t xml:space="preserve">agency conflicts are more likely to be exposed during </w:t>
      </w:r>
      <w:r w:rsidR="00F94ADE">
        <w:rPr>
          <w:lang w:eastAsia="en-GB"/>
        </w:rPr>
        <w:t xml:space="preserve">a </w:t>
      </w:r>
      <w:r w:rsidRPr="00151B07">
        <w:rPr>
          <w:lang w:eastAsia="en-GB"/>
        </w:rPr>
        <w:t>period</w:t>
      </w:r>
      <w:r w:rsidR="00F94ADE">
        <w:rPr>
          <w:lang w:eastAsia="en-GB"/>
        </w:rPr>
        <w:t xml:space="preserve"> of financial distress and crisis</w:t>
      </w:r>
      <w:r w:rsidRPr="00151B07">
        <w:rPr>
          <w:lang w:eastAsia="en-GB"/>
        </w:rPr>
        <w:t>.</w:t>
      </w:r>
      <w:r>
        <w:rPr>
          <w:lang w:eastAsia="en-GB"/>
        </w:rPr>
        <w:t xml:space="preserve"> In light of these</w:t>
      </w:r>
      <w:r w:rsidRPr="00AB1B2E">
        <w:rPr>
          <w:lang w:eastAsia="en-GB"/>
        </w:rPr>
        <w:t xml:space="preserve"> empirical and theoretical insights</w:t>
      </w:r>
      <w:r>
        <w:rPr>
          <w:lang w:eastAsia="en-GB"/>
        </w:rPr>
        <w:t xml:space="preserve">, </w:t>
      </w:r>
      <w:r w:rsidRPr="00FE02E9">
        <w:rPr>
          <w:lang w:eastAsia="en-GB"/>
        </w:rPr>
        <w:t>this</w:t>
      </w:r>
      <w:r>
        <w:rPr>
          <w:lang w:eastAsia="en-GB"/>
        </w:rPr>
        <w:t xml:space="preserve"> study contributes to this debate and </w:t>
      </w:r>
      <w:r w:rsidRPr="00200792">
        <w:rPr>
          <w:lang w:eastAsia="en-GB"/>
        </w:rPr>
        <w:t>analyse</w:t>
      </w:r>
      <w:r>
        <w:rPr>
          <w:lang w:eastAsia="en-GB"/>
        </w:rPr>
        <w:t>,</w:t>
      </w:r>
      <w:r w:rsidRPr="00200792">
        <w:rPr>
          <w:lang w:eastAsia="en-GB"/>
        </w:rPr>
        <w:t xml:space="preserve"> how </w:t>
      </w:r>
      <w:r>
        <w:rPr>
          <w:lang w:eastAsia="en-GB"/>
        </w:rPr>
        <w:t xml:space="preserve">non-compliance with a prescribed code of corporate governance is associated with shareholder value </w:t>
      </w:r>
      <w:r w:rsidR="006A7AA2">
        <w:rPr>
          <w:lang w:eastAsia="en-GB"/>
        </w:rPr>
        <w:t>of</w:t>
      </w:r>
      <w:r>
        <w:rPr>
          <w:lang w:eastAsia="en-GB"/>
        </w:rPr>
        <w:t xml:space="preserve"> financial firms during a crisis period.</w:t>
      </w:r>
    </w:p>
    <w:p w14:paraId="718E638A" w14:textId="120C5E33" w:rsidR="00EE01EA" w:rsidRDefault="00DB46CB" w:rsidP="00EE01EA">
      <w:pPr>
        <w:rPr>
          <w:rFonts w:eastAsia="Calibri" w:cs="Times New Roman"/>
          <w:lang w:eastAsia="en-GB"/>
        </w:rPr>
      </w:pPr>
      <w:r>
        <w:rPr>
          <w:lang w:eastAsia="en-GB"/>
        </w:rPr>
        <w:t>Using a sample of 86 UK financial firms</w:t>
      </w:r>
      <w:r w:rsidR="006A6BBA">
        <w:rPr>
          <w:lang w:eastAsia="en-GB"/>
        </w:rPr>
        <w:t>,</w:t>
      </w:r>
      <w:r>
        <w:rPr>
          <w:lang w:eastAsia="en-GB"/>
        </w:rPr>
        <w:t xml:space="preserve"> th</w:t>
      </w:r>
      <w:r w:rsidR="006A7AA2">
        <w:rPr>
          <w:lang w:eastAsia="en-GB"/>
        </w:rPr>
        <w:t>is</w:t>
      </w:r>
      <w:r>
        <w:rPr>
          <w:lang w:eastAsia="en-GB"/>
        </w:rPr>
        <w:t xml:space="preserve"> study finds</w:t>
      </w:r>
      <w:r w:rsidRPr="00981C9F">
        <w:t xml:space="preserve"> </w:t>
      </w:r>
      <w:r w:rsidRPr="00981C9F">
        <w:rPr>
          <w:lang w:eastAsia="en-GB"/>
        </w:rPr>
        <w:t>that shareholder value is negatively associated with the level of non-compliance with the UK CGC.</w:t>
      </w:r>
      <w:r w:rsidRPr="0003735A">
        <w:rPr>
          <w:lang w:eastAsia="en-GB"/>
        </w:rPr>
        <w:t xml:space="preserve"> </w:t>
      </w:r>
      <w:r w:rsidRPr="007012C5">
        <w:rPr>
          <w:lang w:eastAsia="en-GB"/>
        </w:rPr>
        <w:t xml:space="preserve">The </w:t>
      </w:r>
      <w:r w:rsidR="006A7AA2">
        <w:rPr>
          <w:lang w:eastAsia="en-GB"/>
        </w:rPr>
        <w:t>results indicate</w:t>
      </w:r>
      <w:r w:rsidRPr="007012C5">
        <w:rPr>
          <w:lang w:eastAsia="en-GB"/>
        </w:rPr>
        <w:t xml:space="preserve"> that those financial firms which are </w:t>
      </w:r>
      <w:r>
        <w:rPr>
          <w:lang w:eastAsia="en-GB"/>
        </w:rPr>
        <w:t>non-compliant with the</w:t>
      </w:r>
      <w:r w:rsidRPr="007012C5">
        <w:rPr>
          <w:lang w:eastAsia="en-GB"/>
        </w:rPr>
        <w:t xml:space="preserve"> prescribed code of corporate governance,</w:t>
      </w:r>
      <w:r>
        <w:rPr>
          <w:lang w:eastAsia="en-GB"/>
        </w:rPr>
        <w:t xml:space="preserve"> perform worse</w:t>
      </w:r>
      <w:r w:rsidRPr="007012C5">
        <w:rPr>
          <w:lang w:eastAsia="en-GB"/>
        </w:rPr>
        <w:t xml:space="preserve"> than </w:t>
      </w:r>
      <w:r>
        <w:rPr>
          <w:lang w:eastAsia="en-GB"/>
        </w:rPr>
        <w:t>their compliant counterparts</w:t>
      </w:r>
      <w:r w:rsidR="003C572A">
        <w:rPr>
          <w:lang w:eastAsia="en-GB"/>
        </w:rPr>
        <w:t xml:space="preserve">. </w:t>
      </w:r>
      <w:r w:rsidR="006A7AA2">
        <w:rPr>
          <w:lang w:eastAsia="en-GB"/>
        </w:rPr>
        <w:t>Moreover</w:t>
      </w:r>
      <w:r w:rsidR="003C572A">
        <w:rPr>
          <w:lang w:eastAsia="en-GB"/>
        </w:rPr>
        <w:t>, the negative impact of non-compliance is</w:t>
      </w:r>
      <w:r>
        <w:rPr>
          <w:lang w:eastAsia="en-GB"/>
        </w:rPr>
        <w:t xml:space="preserve"> more pronounced during the crisis period. The findings further </w:t>
      </w:r>
      <w:r w:rsidR="00943047">
        <w:rPr>
          <w:lang w:eastAsia="en-GB"/>
        </w:rPr>
        <w:t>show</w:t>
      </w:r>
      <w:r>
        <w:rPr>
          <w:lang w:eastAsia="en-GB"/>
        </w:rPr>
        <w:t xml:space="preserve"> that certain </w:t>
      </w:r>
      <w:r w:rsidRPr="00A06B6D">
        <w:rPr>
          <w:lang w:eastAsia="en-GB"/>
        </w:rPr>
        <w:t xml:space="preserve">corporate governance mechanisms </w:t>
      </w:r>
      <w:r>
        <w:rPr>
          <w:lang w:eastAsia="en-GB"/>
        </w:rPr>
        <w:t xml:space="preserve">are more favourable to shareholder value than </w:t>
      </w:r>
      <w:r>
        <w:rPr>
          <w:lang w:eastAsia="en-GB"/>
        </w:rPr>
        <w:lastRenderedPageBreak/>
        <w:t>others</w:t>
      </w:r>
      <w:r w:rsidR="00EE01EA">
        <w:rPr>
          <w:lang w:eastAsia="en-GB"/>
        </w:rPr>
        <w:t xml:space="preserve">, such as, </w:t>
      </w:r>
      <w:r w:rsidRPr="00063A29">
        <w:rPr>
          <w:rFonts w:eastAsia="Calibri" w:cs="Times New Roman"/>
          <w:lang w:eastAsia="en-GB"/>
        </w:rPr>
        <w:t xml:space="preserve">compliance with </w:t>
      </w:r>
      <w:r w:rsidR="00EE01EA">
        <w:rPr>
          <w:rFonts w:eastAsia="Calibri" w:cs="Times New Roman"/>
          <w:lang w:eastAsia="en-GB"/>
        </w:rPr>
        <w:t xml:space="preserve">the </w:t>
      </w:r>
      <w:r w:rsidRPr="00063A29">
        <w:rPr>
          <w:rFonts w:eastAsia="Calibri" w:cs="Times New Roman"/>
          <w:lang w:eastAsia="en-GB"/>
        </w:rPr>
        <w:t xml:space="preserve">provisions related to </w:t>
      </w:r>
      <w:r w:rsidR="00EE01EA">
        <w:rPr>
          <w:rFonts w:eastAsia="Calibri" w:cs="Times New Roman"/>
          <w:lang w:eastAsia="en-GB"/>
        </w:rPr>
        <w:t xml:space="preserve">the </w:t>
      </w:r>
      <w:r w:rsidRPr="00063A29">
        <w:rPr>
          <w:rFonts w:eastAsia="Calibri" w:cs="Times New Roman"/>
          <w:lang w:eastAsia="en-GB"/>
        </w:rPr>
        <w:t xml:space="preserve">independence </w:t>
      </w:r>
      <w:r w:rsidRPr="00063A29">
        <w:t>of non-executive directors</w:t>
      </w:r>
      <w:r w:rsidRPr="00063A29">
        <w:rPr>
          <w:rFonts w:eastAsia="Calibri" w:cs="Times New Roman"/>
          <w:lang w:eastAsia="en-GB"/>
        </w:rPr>
        <w:t xml:space="preserve"> is more important than complying with performance-based </w:t>
      </w:r>
      <w:r>
        <w:rPr>
          <w:rFonts w:eastAsia="Calibri" w:cs="Times New Roman"/>
          <w:lang w:eastAsia="en-GB"/>
        </w:rPr>
        <w:t>pay requirements</w:t>
      </w:r>
      <w:r w:rsidRPr="00063A29">
        <w:rPr>
          <w:rFonts w:eastAsia="Calibri" w:cs="Times New Roman"/>
          <w:lang w:eastAsia="en-GB"/>
        </w:rPr>
        <w:t>.</w:t>
      </w:r>
    </w:p>
    <w:p w14:paraId="179A6972" w14:textId="150261E4" w:rsidR="00DB46CB" w:rsidRPr="00EE01EA" w:rsidRDefault="003C572A" w:rsidP="00EE01EA">
      <w:pPr>
        <w:rPr>
          <w:lang w:eastAsia="en-GB"/>
        </w:rPr>
      </w:pPr>
      <w:r>
        <w:rPr>
          <w:rFonts w:eastAsia="Calibri" w:cs="Times New Roman"/>
          <w:lang w:eastAsia="en-GB"/>
        </w:rPr>
        <w:t>Moreover</w:t>
      </w:r>
      <w:r w:rsidR="00DB46CB">
        <w:rPr>
          <w:rFonts w:eastAsia="Calibri" w:cs="Times New Roman"/>
          <w:lang w:eastAsia="en-GB"/>
        </w:rPr>
        <w:t>, o</w:t>
      </w:r>
      <w:r w:rsidR="00DB46CB">
        <w:rPr>
          <w:lang w:eastAsia="en-GB"/>
        </w:rPr>
        <w:t xml:space="preserve">ut of the two incentive mechanisms employed in this study, directors’ share ownership shows a positive association with shareholder value whereas, directors’ remuneration is negatively associated with shareholder value. This indicates that for </w:t>
      </w:r>
      <w:r w:rsidR="00DB46CB" w:rsidRPr="0009742C">
        <w:rPr>
          <w:lang w:eastAsia="en-GB"/>
        </w:rPr>
        <w:t>aligning direct</w:t>
      </w:r>
      <w:r w:rsidR="00DB46CB">
        <w:rPr>
          <w:lang w:eastAsia="en-GB"/>
        </w:rPr>
        <w:t xml:space="preserve">ors’ interest with those of </w:t>
      </w:r>
      <w:r w:rsidR="00DB46CB" w:rsidRPr="0009742C">
        <w:rPr>
          <w:lang w:eastAsia="en-GB"/>
        </w:rPr>
        <w:t>shareholders</w:t>
      </w:r>
      <w:r w:rsidR="00DB46CB">
        <w:rPr>
          <w:lang w:eastAsia="en-GB"/>
        </w:rPr>
        <w:t xml:space="preserve">, </w:t>
      </w:r>
      <w:r w:rsidR="00EE01EA">
        <w:rPr>
          <w:lang w:eastAsia="en-GB"/>
        </w:rPr>
        <w:t xml:space="preserve">directors’ </w:t>
      </w:r>
      <w:r w:rsidR="00DB46CB">
        <w:rPr>
          <w:lang w:eastAsia="en-GB"/>
        </w:rPr>
        <w:t xml:space="preserve">share ownership is a more effective governance mechanism </w:t>
      </w:r>
      <w:r w:rsidR="00DB46CB" w:rsidRPr="00BC7D32">
        <w:rPr>
          <w:lang w:eastAsia="en-GB"/>
        </w:rPr>
        <w:t>than</w:t>
      </w:r>
      <w:r w:rsidR="00EE01EA" w:rsidRPr="00BC7D32">
        <w:rPr>
          <w:lang w:eastAsia="en-GB"/>
        </w:rPr>
        <w:t xml:space="preserve"> other </w:t>
      </w:r>
      <w:r w:rsidR="00E54FB0" w:rsidRPr="00BC7D32">
        <w:rPr>
          <w:lang w:eastAsia="en-GB"/>
        </w:rPr>
        <w:t>form</w:t>
      </w:r>
      <w:r w:rsidR="00EE01EA" w:rsidRPr="00BC7D32">
        <w:rPr>
          <w:lang w:eastAsia="en-GB"/>
        </w:rPr>
        <w:t xml:space="preserve"> of </w:t>
      </w:r>
      <w:r w:rsidR="00DB46CB" w:rsidRPr="00BC7D32">
        <w:rPr>
          <w:lang w:eastAsia="en-GB"/>
        </w:rPr>
        <w:t>remuneration</w:t>
      </w:r>
      <w:r w:rsidR="00EE01EA" w:rsidRPr="00BC7D32">
        <w:rPr>
          <w:lang w:eastAsia="en-GB"/>
        </w:rPr>
        <w:t>s</w:t>
      </w:r>
      <w:r w:rsidR="00DB46CB" w:rsidRPr="00BC7D32">
        <w:rPr>
          <w:lang w:eastAsia="en-GB"/>
        </w:rPr>
        <w:t>.</w:t>
      </w:r>
      <w:r w:rsidR="00DB46CB">
        <w:rPr>
          <w:lang w:eastAsia="en-GB"/>
        </w:rPr>
        <w:t xml:space="preserve"> </w:t>
      </w:r>
      <w:r w:rsidR="00DB46CB" w:rsidRPr="00907092">
        <w:rPr>
          <w:rFonts w:eastAsia="Calibri" w:cs="Times New Roman"/>
          <w:lang w:eastAsia="en-GB"/>
        </w:rPr>
        <w:t>Th</w:t>
      </w:r>
      <w:r w:rsidR="00DB46CB">
        <w:rPr>
          <w:rFonts w:eastAsia="Calibri" w:cs="Times New Roman"/>
          <w:lang w:eastAsia="en-GB"/>
        </w:rPr>
        <w:t>e</w:t>
      </w:r>
      <w:r w:rsidR="00DB46CB" w:rsidRPr="00907092">
        <w:rPr>
          <w:rFonts w:eastAsia="Calibri" w:cs="Times New Roman"/>
          <w:lang w:eastAsia="en-GB"/>
        </w:rPr>
        <w:t>s</w:t>
      </w:r>
      <w:r w:rsidR="00DB46CB">
        <w:rPr>
          <w:rFonts w:eastAsia="Calibri" w:cs="Times New Roman"/>
          <w:lang w:eastAsia="en-GB"/>
        </w:rPr>
        <w:t>e</w:t>
      </w:r>
      <w:r w:rsidR="00DB46CB" w:rsidRPr="00907092">
        <w:rPr>
          <w:rFonts w:eastAsia="Calibri" w:cs="Times New Roman"/>
          <w:lang w:eastAsia="en-GB"/>
        </w:rPr>
        <w:t xml:space="preserve"> finding</w:t>
      </w:r>
      <w:r w:rsidR="00DB46CB">
        <w:rPr>
          <w:rFonts w:eastAsia="Calibri" w:cs="Times New Roman"/>
          <w:lang w:eastAsia="en-GB"/>
        </w:rPr>
        <w:t>s</w:t>
      </w:r>
      <w:r w:rsidR="00DB46CB" w:rsidRPr="00907092">
        <w:rPr>
          <w:rFonts w:eastAsia="Calibri" w:cs="Times New Roman"/>
          <w:lang w:eastAsia="en-GB"/>
        </w:rPr>
        <w:t xml:space="preserve"> </w:t>
      </w:r>
      <w:r w:rsidR="00DB46CB">
        <w:rPr>
          <w:rFonts w:eastAsia="Calibri" w:cs="Times New Roman"/>
          <w:lang w:eastAsia="en-GB"/>
        </w:rPr>
        <w:t>signify</w:t>
      </w:r>
      <w:r w:rsidR="00DB46CB" w:rsidRPr="00907092">
        <w:rPr>
          <w:rFonts w:eastAsia="Calibri" w:cs="Times New Roman"/>
          <w:lang w:eastAsia="en-GB"/>
        </w:rPr>
        <w:t xml:space="preserve"> the need for using different governance mechanisms in different economic conditions and contributes to the growing body of literature that questions the universality of corporate governance prescriptions in different </w:t>
      </w:r>
      <w:r w:rsidR="00E54FB0">
        <w:rPr>
          <w:rFonts w:eastAsia="Calibri" w:cs="Times New Roman"/>
          <w:lang w:eastAsia="en-GB"/>
        </w:rPr>
        <w:t>jurisdictions</w:t>
      </w:r>
      <w:r w:rsidR="00DB46CB">
        <w:rPr>
          <w:rFonts w:eastAsia="Calibri" w:cs="Times New Roman"/>
          <w:lang w:eastAsia="en-GB"/>
        </w:rPr>
        <w:t xml:space="preserve"> </w:t>
      </w:r>
      <w:r w:rsidR="00DB46CB">
        <w:rPr>
          <w:rFonts w:eastAsia="Calibri" w:cs="Times New Roman"/>
          <w:lang w:eastAsia="en-GB"/>
        </w:rPr>
        <w:fldChar w:fldCharType="begin">
          <w:fldData xml:space="preserve">PEVuZE5vdGU+PENpdGU+PEF1dGhvcj5WYW4gRXNzZW48L0F1dGhvcj48WWVhcj4yMDEzPC9ZZWFy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</w:fldData>
        </w:fldChar>
      </w:r>
      <w:r w:rsidR="00327CEC">
        <w:rPr>
          <w:rFonts w:eastAsia="Calibri" w:cs="Times New Roman"/>
          <w:lang w:eastAsia="en-GB"/>
        </w:rPr>
        <w:instrText xml:space="preserve"> ADDIN EN.CITE </w:instrText>
      </w:r>
      <w:r w:rsidR="00327CEC">
        <w:rPr>
          <w:rFonts w:eastAsia="Calibri" w:cs="Times New Roman"/>
          <w:lang w:eastAsia="en-GB"/>
        </w:rPr>
        <w:fldChar w:fldCharType="begin">
          <w:fldData xml:space="preserve">PEVuZE5vdGU+PENpdGU+PEF1dGhvcj5WYW4gRXNzZW48L0F1dGhvcj48WWVhcj4yMDEzPC9ZZWFy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</w:fldData>
        </w:fldChar>
      </w:r>
      <w:r w:rsidR="00327CEC">
        <w:rPr>
          <w:rFonts w:eastAsia="Calibri" w:cs="Times New Roman"/>
          <w:lang w:eastAsia="en-GB"/>
        </w:rPr>
        <w:instrText xml:space="preserve"> ADDIN EN.CITE.DATA </w:instrText>
      </w:r>
      <w:r w:rsidR="00327CEC">
        <w:rPr>
          <w:rFonts w:eastAsia="Calibri" w:cs="Times New Roman"/>
          <w:lang w:eastAsia="en-GB"/>
        </w:rPr>
      </w:r>
      <w:r w:rsidR="00327CEC">
        <w:rPr>
          <w:rFonts w:eastAsia="Calibri" w:cs="Times New Roman"/>
          <w:lang w:eastAsia="en-GB"/>
        </w:rPr>
        <w:fldChar w:fldCharType="end"/>
      </w:r>
      <w:r w:rsidR="00DB46CB">
        <w:rPr>
          <w:rFonts w:eastAsia="Calibri" w:cs="Times New Roman"/>
          <w:lang w:eastAsia="en-GB"/>
        </w:rPr>
      </w:r>
      <w:r w:rsidR="00DB46CB">
        <w:rPr>
          <w:rFonts w:eastAsia="Calibri" w:cs="Times New Roman"/>
          <w:lang w:eastAsia="en-GB"/>
        </w:rPr>
        <w:fldChar w:fldCharType="separate"/>
      </w:r>
      <w:r w:rsidR="000A7F09">
        <w:rPr>
          <w:rFonts w:eastAsia="Calibri" w:cs="Times New Roman"/>
          <w:noProof/>
          <w:lang w:eastAsia="en-GB"/>
        </w:rPr>
        <w:t>(Judge, 2012; Van Essen et al., 2013)</w:t>
      </w:r>
      <w:r w:rsidR="00DB46CB">
        <w:rPr>
          <w:rFonts w:eastAsia="Calibri" w:cs="Times New Roman"/>
          <w:lang w:eastAsia="en-GB"/>
        </w:rPr>
        <w:fldChar w:fldCharType="end"/>
      </w:r>
      <w:r w:rsidR="00DB46CB" w:rsidRPr="00907092">
        <w:rPr>
          <w:rFonts w:eastAsia="Calibri" w:cs="Times New Roman"/>
          <w:lang w:eastAsia="en-GB"/>
        </w:rPr>
        <w:t>.</w:t>
      </w:r>
    </w:p>
    <w:p w14:paraId="19CC0306" w14:textId="2A9D8A63" w:rsidR="00DB46CB" w:rsidRDefault="00DB46CB" w:rsidP="0092047F">
      <w:pPr>
        <w:rPr>
          <w:lang w:eastAsia="en-GB"/>
        </w:rPr>
      </w:pPr>
      <w:r w:rsidRPr="00E27296">
        <w:rPr>
          <w:lang w:eastAsia="en-GB"/>
        </w:rPr>
        <w:t>The rest of this paper is organised as follows. The next section outlines an overview of the existing literature in the area and presents research hypotheses. Section 3 provides a description of the research methodology and data sample.  Section 4 discusses the results and main findings of the study</w:t>
      </w:r>
      <w:r w:rsidR="009118F4">
        <w:rPr>
          <w:lang w:eastAsia="en-GB"/>
        </w:rPr>
        <w:t>.</w:t>
      </w:r>
      <w:r>
        <w:rPr>
          <w:lang w:eastAsia="en-GB"/>
        </w:rPr>
        <w:t xml:space="preserve"> </w:t>
      </w:r>
      <w:r w:rsidR="009118F4">
        <w:rPr>
          <w:lang w:eastAsia="en-GB"/>
        </w:rPr>
        <w:t xml:space="preserve">Section 5 briefly presents a discussion on the </w:t>
      </w:r>
      <w:r>
        <w:rPr>
          <w:lang w:eastAsia="en-GB"/>
        </w:rPr>
        <w:t>robustness analyses</w:t>
      </w:r>
      <w:r w:rsidRPr="00E27296">
        <w:rPr>
          <w:lang w:eastAsia="en-GB"/>
        </w:rPr>
        <w:t>.</w:t>
      </w:r>
      <w:r w:rsidR="009118F4">
        <w:rPr>
          <w:lang w:eastAsia="en-GB"/>
        </w:rPr>
        <w:t xml:space="preserve"> </w:t>
      </w:r>
      <w:r w:rsidRPr="00E27296">
        <w:rPr>
          <w:lang w:eastAsia="en-GB"/>
        </w:rPr>
        <w:t xml:space="preserve">Finally, </w:t>
      </w:r>
      <w:r w:rsidR="006B70D8">
        <w:rPr>
          <w:lang w:eastAsia="en-GB"/>
        </w:rPr>
        <w:t>S</w:t>
      </w:r>
      <w:r w:rsidRPr="00E27296">
        <w:rPr>
          <w:lang w:eastAsia="en-GB"/>
        </w:rPr>
        <w:t xml:space="preserve">ection </w:t>
      </w:r>
      <w:r>
        <w:rPr>
          <w:lang w:eastAsia="en-GB"/>
        </w:rPr>
        <w:t>6</w:t>
      </w:r>
      <w:r w:rsidRPr="00E27296">
        <w:rPr>
          <w:lang w:eastAsia="en-GB"/>
        </w:rPr>
        <w:t xml:space="preserve"> concludes this paper</w:t>
      </w:r>
      <w:r w:rsidR="009118F4">
        <w:rPr>
          <w:lang w:eastAsia="en-GB"/>
        </w:rPr>
        <w:t xml:space="preserve"> by summarising the</w:t>
      </w:r>
      <w:r w:rsidR="009609C0">
        <w:rPr>
          <w:lang w:eastAsia="en-GB"/>
        </w:rPr>
        <w:t xml:space="preserve"> contributions</w:t>
      </w:r>
      <w:r w:rsidR="00A05CE0">
        <w:rPr>
          <w:lang w:eastAsia="en-GB"/>
        </w:rPr>
        <w:t>, provides an overview of the implications,</w:t>
      </w:r>
      <w:r w:rsidR="009118F4">
        <w:rPr>
          <w:lang w:eastAsia="en-GB"/>
        </w:rPr>
        <w:t xml:space="preserve"> and pinpoints the limitations and scope for future research. </w:t>
      </w:r>
    </w:p>
    <w:p w14:paraId="429CB108" w14:textId="77777777" w:rsidR="00DB46CB" w:rsidRDefault="00DB46CB" w:rsidP="0092047F">
      <w:pPr>
        <w:pStyle w:val="Heading1"/>
        <w:rPr>
          <w:rFonts w:eastAsia="Times New Roman"/>
          <w:lang w:eastAsia="en-GB"/>
        </w:rPr>
      </w:pPr>
      <w:r w:rsidRPr="00616A7B">
        <w:rPr>
          <w:rFonts w:eastAsia="Times New Roman"/>
          <w:lang w:eastAsia="en-GB"/>
        </w:rPr>
        <w:t>Literature review and hypotheses development</w:t>
      </w:r>
    </w:p>
    <w:p w14:paraId="0DFF5A3D" w14:textId="1F1FBE3A" w:rsidR="00DB46CB" w:rsidRDefault="00DB46CB" w:rsidP="0092047F">
      <w:pPr>
        <w:rPr>
          <w:rFonts w:eastAsia="Times New Roman" w:cs="Times New Roman"/>
          <w:szCs w:val="24"/>
          <w:lang w:eastAsia="en-GB"/>
        </w:rPr>
      </w:pPr>
      <w:r w:rsidRPr="002345FD">
        <w:rPr>
          <w:rFonts w:eastAsia="Times New Roman" w:cs="Times New Roman"/>
          <w:szCs w:val="24"/>
          <w:lang w:eastAsia="en-GB"/>
        </w:rPr>
        <w:t xml:space="preserve">In circumstances where ownership is distributed and managers own insignificant portion of </w:t>
      </w:r>
      <w:r>
        <w:rPr>
          <w:rFonts w:eastAsia="Times New Roman" w:cs="Times New Roman"/>
          <w:szCs w:val="24"/>
          <w:lang w:eastAsia="en-GB"/>
        </w:rPr>
        <w:t>companies, t</w:t>
      </w:r>
      <w:r w:rsidRPr="000A3AFF">
        <w:rPr>
          <w:rFonts w:eastAsia="Times New Roman" w:cs="Times New Roman"/>
          <w:szCs w:val="24"/>
          <w:lang w:eastAsia="en-GB"/>
        </w:rPr>
        <w:t>he increased mo</w:t>
      </w:r>
      <w:r>
        <w:rPr>
          <w:rFonts w:eastAsia="Times New Roman" w:cs="Times New Roman"/>
          <w:szCs w:val="24"/>
          <w:lang w:eastAsia="en-GB"/>
        </w:rPr>
        <w:t>nitoring and accountability through effective corporate governance systems is expected to</w:t>
      </w:r>
      <w:r w:rsidRPr="000A3AFF">
        <w:rPr>
          <w:rFonts w:eastAsia="Times New Roman" w:cs="Times New Roman"/>
          <w:szCs w:val="24"/>
          <w:lang w:eastAsia="en-GB"/>
        </w:rPr>
        <w:t xml:space="preserve"> </w:t>
      </w:r>
      <w:r>
        <w:rPr>
          <w:rFonts w:eastAsia="Times New Roman" w:cs="Times New Roman"/>
          <w:szCs w:val="24"/>
          <w:lang w:eastAsia="en-GB"/>
        </w:rPr>
        <w:t>lead to an effective use of organis</w:t>
      </w:r>
      <w:r w:rsidRPr="000A3AFF">
        <w:rPr>
          <w:rFonts w:eastAsia="Times New Roman" w:cs="Times New Roman"/>
          <w:szCs w:val="24"/>
          <w:lang w:eastAsia="en-GB"/>
        </w:rPr>
        <w:t>ational resources</w:t>
      </w:r>
      <w:r>
        <w:rPr>
          <w:rFonts w:eastAsia="Times New Roman" w:cs="Times New Roman"/>
          <w:szCs w:val="24"/>
          <w:lang w:eastAsia="en-GB"/>
        </w:rPr>
        <w:t xml:space="preserve"> and </w:t>
      </w:r>
      <w:r w:rsidRPr="000A3AFF">
        <w:rPr>
          <w:rFonts w:eastAsia="Times New Roman" w:cs="Times New Roman"/>
          <w:szCs w:val="24"/>
          <w:lang w:eastAsia="en-GB"/>
        </w:rPr>
        <w:t>improved profitability</w:t>
      </w:r>
      <w:r>
        <w:rPr>
          <w:rFonts w:eastAsia="Times New Roman" w:cs="Times New Roman"/>
          <w:szCs w:val="24"/>
          <w:lang w:eastAsia="en-GB"/>
        </w:rPr>
        <w:t xml:space="preserve"> </w:t>
      </w:r>
      <w:r>
        <w:rPr>
          <w:rFonts w:eastAsia="Times New Roman" w:cs="Times New Roman"/>
          <w:szCs w:val="24"/>
          <w:lang w:eastAsia="en-GB"/>
        </w:rPr>
        <w:fldChar w:fldCharType="begin"/>
      </w:r>
      <w:r w:rsidR="00327CEC">
        <w:rPr>
          <w:rFonts w:eastAsia="Times New Roman" w:cs="Times New Roman"/>
          <w:szCs w:val="24"/>
          <w:lang w:eastAsia="en-GB"/>
        </w:rPr>
        <w:instrText xml:space="preserve"> ADDIN EN.CITE &lt;EndNote&gt;&lt;Cite&gt;&lt;Author&gt;Jensen&lt;/Author&gt;&lt;Year&gt;1986&lt;/Year&gt;&lt;RecNum&gt;321&lt;/RecNum&gt;&lt;DisplayText&gt;(Jensen, 1986)&lt;/DisplayText&gt;&lt;record&gt;&lt;rec-number&gt;321&lt;/rec-number&gt;&lt;foreign-keys&gt;&lt;key app="EN" db-id="s00xzp50xdvx90ea0ravv2dxzr2pdvrrzaff" timestamp="1452198189" guid="08727adf-0e44-4a41-830e-eb9644b17010"&gt;321&lt;/key&gt;&lt;/foreign-keys&gt;&lt;ref-type name="Journal Article"&gt;17&lt;/ref-type&gt;&lt;contributors&gt;&lt;authors&gt;&lt;author&gt;Jensen, Michael C.&lt;/author&gt;&lt;/authors&gt;&lt;/contributors&gt;&lt;titles&gt;&lt;title&gt;Agency costs of free cash flow, corporate finance, and takeovers&lt;/title&gt;&lt;secondary-title&gt;American Economic Review&lt;/secondary-title&gt;&lt;/titles&gt;&lt;periodical&gt;&lt;full-title&gt;American Economic Review&lt;/full-title&gt;&lt;/periodical&gt;&lt;pages&gt;323-339&lt;/pages&gt;&lt;volume&gt;76&lt;/volume&gt;&lt;number&gt;2&lt;/number&gt;&lt;keywords&gt;&lt;keyword&gt;CASH flow&lt;/keyword&gt;&lt;keyword&gt;CASH management&lt;/keyword&gt;&lt;keyword&gt;CORPORATIONS -- Finance&lt;/keyword&gt;&lt;keyword&gt;CONSOLIDATION &amp;amp; merger of corporations&lt;/keyword&gt;&lt;keyword&gt;SALES forecasting&lt;/keyword&gt;&lt;keyword&gt;CAPITAL market&lt;/keyword&gt;&lt;keyword&gt;ORGANIZATIONAL behavior&lt;/keyword&gt;&lt;keyword&gt;MIDDLE managers&lt;/keyword&gt;&lt;keyword&gt;ECONOMICS literature&lt;/keyword&gt;&lt;/keywords&gt;&lt;dates&gt;&lt;year&gt;1986&lt;/year&gt;&lt;/dates&gt;&lt;publisher&gt;American Economic Association&lt;/publisher&gt;&lt;isbn&gt;00028282&lt;/isbn&gt;&lt;urls&gt;&lt;related-urls&gt;&lt;url&gt;http://libezproxy.open.ac.uk/login?url=http://search.ebscohost.com/login.aspx?direct=true&amp;amp;db=bth&amp;amp;AN=4496829&amp;amp;site=ehost-live&amp;amp;scope=site&lt;/url&gt;&lt;/related-urls&gt;&lt;/urls&gt;&lt;/record&gt;&lt;/Cite&gt;&lt;/EndNote&gt;</w:instrText>
      </w:r>
      <w:r>
        <w:rPr>
          <w:rFonts w:eastAsia="Times New Roman" w:cs="Times New Roman"/>
          <w:szCs w:val="24"/>
          <w:lang w:eastAsia="en-GB"/>
        </w:rPr>
        <w:fldChar w:fldCharType="separate"/>
      </w:r>
      <w:r>
        <w:rPr>
          <w:rFonts w:eastAsia="Times New Roman" w:cs="Times New Roman"/>
          <w:noProof/>
          <w:szCs w:val="24"/>
          <w:lang w:eastAsia="en-GB"/>
        </w:rPr>
        <w:t>(Jensen, 1986)</w:t>
      </w:r>
      <w:r>
        <w:rPr>
          <w:rFonts w:eastAsia="Times New Roman" w:cs="Times New Roman"/>
          <w:szCs w:val="24"/>
          <w:lang w:eastAsia="en-GB"/>
        </w:rPr>
        <w:fldChar w:fldCharType="end"/>
      </w:r>
      <w:r w:rsidRPr="000A3AFF">
        <w:rPr>
          <w:rFonts w:eastAsia="Times New Roman" w:cs="Times New Roman"/>
          <w:szCs w:val="24"/>
          <w:lang w:eastAsia="en-GB"/>
        </w:rPr>
        <w:t xml:space="preserve">. </w:t>
      </w:r>
      <w:r>
        <w:rPr>
          <w:rFonts w:eastAsia="Times New Roman" w:cs="Times New Roman"/>
          <w:szCs w:val="24"/>
          <w:lang w:eastAsia="en-GB"/>
        </w:rPr>
        <w:t xml:space="preserve">Existence of an effective corporate governance system ensures that directors are </w:t>
      </w:r>
      <w:r w:rsidRPr="000A3AFF">
        <w:rPr>
          <w:rFonts w:eastAsia="Times New Roman" w:cs="Times New Roman"/>
          <w:szCs w:val="24"/>
          <w:lang w:eastAsia="en-GB"/>
        </w:rPr>
        <w:t>not self-se</w:t>
      </w:r>
      <w:r>
        <w:rPr>
          <w:rFonts w:eastAsia="Times New Roman" w:cs="Times New Roman"/>
          <w:szCs w:val="24"/>
          <w:lang w:eastAsia="en-GB"/>
        </w:rPr>
        <w:t xml:space="preserve">rving and it makes them accountable so that the </w:t>
      </w:r>
      <w:r w:rsidRPr="000A3AFF">
        <w:rPr>
          <w:rFonts w:eastAsia="Times New Roman" w:cs="Times New Roman"/>
          <w:szCs w:val="24"/>
          <w:lang w:eastAsia="en-GB"/>
        </w:rPr>
        <w:t>free cash flows are returned to shareholders</w:t>
      </w:r>
      <w:r>
        <w:rPr>
          <w:rFonts w:eastAsia="Times New Roman" w:cs="Times New Roman"/>
          <w:szCs w:val="24"/>
          <w:lang w:eastAsia="en-GB"/>
        </w:rPr>
        <w:t xml:space="preserve"> </w:t>
      </w:r>
      <w:r>
        <w:rPr>
          <w:rFonts w:eastAsia="Times New Roman" w:cs="Times New Roman"/>
          <w:szCs w:val="24"/>
          <w:lang w:eastAsia="en-GB"/>
        </w:rPr>
        <w:fldChar w:fldCharType="begin"/>
      </w:r>
      <w:r w:rsidR="00327CEC">
        <w:rPr>
          <w:rFonts w:eastAsia="Times New Roman" w:cs="Times New Roman"/>
          <w:szCs w:val="24"/>
          <w:lang w:eastAsia="en-GB"/>
        </w:rPr>
        <w:instrText xml:space="preserve"> ADDIN EN.CITE &lt;EndNote&gt;&lt;Cite&gt;&lt;Author&gt;Shleifer&lt;/Author&gt;&lt;Year&gt;1997&lt;/Year&gt;&lt;RecNum&gt;117&lt;/RecNum&gt;&lt;DisplayText&gt;(Shleifer &amp;amp; Vishny, 1997)&lt;/DisplayText&gt;&lt;record&gt;&lt;rec-number&gt;117&lt;/rec-number&gt;&lt;foreign-keys&gt;&lt;key app="EN" db-id="s00xzp50xdvx90ea0ravv2dxzr2pdvrrzaff" timestamp="1452197094" guid="9e9b8b52-b3e1-4913-ae1a-442b1c0eb8ac"&gt;117&lt;/key&gt;&lt;/foreign-keys&gt;&lt;ref-type name="Journal Article"&gt;17&lt;/ref-type&gt;&lt;contributors&gt;&lt;authors&gt;&lt;author&gt;Shleifer, Andrei&lt;/author&gt;&lt;author&gt;Vishny, Robert W.&lt;/author&gt;&lt;/authors&gt;&lt;/contributors&gt;&lt;titles&gt;&lt;title&gt;A survey of corporate governance&lt;/title&gt;&lt;secondary-title&gt;Journal of Finance&lt;/secondary-title&gt;&lt;/titles&gt;&lt;periodical&gt;&lt;full-title&gt;Journal of Finance&lt;/full-title&gt;&lt;/periodical&gt;&lt;pages&gt;737-783&lt;/pages&gt;&lt;volume&gt;52&lt;/volume&gt;&lt;number&gt;2&lt;/number&gt;&lt;keywords&gt;&lt;keyword&gt;CORPORATE governance&lt;/keyword&gt;&lt;keyword&gt;STOCKHOLDERS&lt;/keyword&gt;&lt;keyword&gt;CORPORATIONS -- Finance&lt;/keyword&gt;&lt;keyword&gt;INDIVIDUAL investors&lt;/keyword&gt;&lt;keyword&gt;LEGAL status, laws, etc.&lt;/keyword&gt;&lt;keyword&gt;UNITED States&lt;/keyword&gt;&lt;keyword&gt;INSTITUTIONAL investors&lt;/keyword&gt;&lt;keyword&gt;UNITED States&lt;/keyword&gt;&lt;/keywords&gt;&lt;dates&gt;&lt;year&gt;1997&lt;/year&gt;&lt;pub-dates&gt;&lt;date&gt;06&lt;/date&gt;&lt;/pub-dates&gt;&lt;/dates&gt;&lt;publisher&gt;Blackwell Publishing Limited&lt;/publisher&gt;&lt;urls&gt;&lt;related-urls&gt;&lt;url&gt;http://libezproxy.open.ac.uk/login?url=http://search.ebscohost.com/login.aspx?direct=true&amp;amp;db=bth&amp;amp;AN=9708245076&amp;amp;site=ehost-live&amp;amp;scope=site &lt;/url&gt;&lt;/related-urls&gt;&lt;/urls&gt;&lt;/record&gt;&lt;/Cite&gt;&lt;/EndNote&gt;</w:instrText>
      </w:r>
      <w:r>
        <w:rPr>
          <w:rFonts w:eastAsia="Times New Roman" w:cs="Times New Roman"/>
          <w:szCs w:val="24"/>
          <w:lang w:eastAsia="en-GB"/>
        </w:rPr>
        <w:fldChar w:fldCharType="separate"/>
      </w:r>
      <w:r>
        <w:rPr>
          <w:rFonts w:eastAsia="Times New Roman" w:cs="Times New Roman"/>
          <w:noProof/>
          <w:szCs w:val="24"/>
          <w:lang w:eastAsia="en-GB"/>
        </w:rPr>
        <w:t>(Shleifer &amp; Vishny, 1997)</w:t>
      </w:r>
      <w:r>
        <w:rPr>
          <w:rFonts w:eastAsia="Times New Roman" w:cs="Times New Roman"/>
          <w:szCs w:val="24"/>
          <w:lang w:eastAsia="en-GB"/>
        </w:rPr>
        <w:fldChar w:fldCharType="end"/>
      </w:r>
      <w:r w:rsidRPr="000A3AFF">
        <w:rPr>
          <w:rFonts w:eastAsia="Times New Roman" w:cs="Times New Roman"/>
          <w:szCs w:val="24"/>
          <w:lang w:eastAsia="en-GB"/>
        </w:rPr>
        <w:t xml:space="preserve">. </w:t>
      </w:r>
      <w:r w:rsidR="00EF38D2">
        <w:rPr>
          <w:rFonts w:eastAsia="Times New Roman" w:cs="Times New Roman"/>
          <w:szCs w:val="24"/>
          <w:lang w:eastAsia="en-GB"/>
        </w:rPr>
        <w:t>In line with this,</w:t>
      </w:r>
      <w:r>
        <w:rPr>
          <w:rFonts w:eastAsia="Times New Roman" w:cs="Times New Roman"/>
          <w:szCs w:val="24"/>
          <w:lang w:eastAsia="en-GB"/>
        </w:rPr>
        <w:t xml:space="preserve"> </w:t>
      </w:r>
      <w:r>
        <w:rPr>
          <w:rFonts w:eastAsia="Times New Roman" w:cs="Times New Roman"/>
          <w:szCs w:val="24"/>
          <w:lang w:eastAsia="en-GB"/>
        </w:rPr>
        <w:fldChar w:fldCharType="begin"/>
      </w:r>
      <w:r w:rsidR="00327CEC">
        <w:rPr>
          <w:rFonts w:eastAsia="Times New Roman" w:cs="Times New Roman"/>
          <w:szCs w:val="24"/>
          <w:lang w:eastAsia="en-GB"/>
        </w:rPr>
        <w:instrText xml:space="preserve"> ADDIN EN.CITE &lt;EndNote&gt;&lt;Cite AuthorYear="1"&gt;&lt;Author&gt;Elamer&lt;/Author&gt;&lt;Year&gt;2019&lt;/Year&gt;&lt;RecNum&gt;1204&lt;/RecNum&gt;&lt;DisplayText&gt;Elamer et al. (2019)&lt;/DisplayText&gt;&lt;record&gt;&lt;rec-number&gt;1204&lt;/rec-number&gt;&lt;foreign-keys&gt;&lt;key app="EN" db-id="s00xzp50xdvx90ea0ravv2dxzr2pdvrrzaff" timestamp="1587996431" guid="0492ce0e-c5c2-44bb-acd9-39c842c3ec0b"&gt;1204&lt;/key&gt;&lt;/foreign-keys&gt;&lt;ref-type name="Journal Article"&gt;17&lt;/ref-type&gt;&lt;contributors&gt;&lt;authors&gt;&lt;author&gt;Elamer, Ahmed A.&lt;/author&gt;&lt;author&gt;Ntim, Collins G.&lt;/author&gt;&lt;author&gt;Abdou, Hussein A.&lt;/author&gt;&lt;author&gt;Zalata, Alaa Mansour&lt;/author&gt;&lt;author&gt;Elmagrhi, Mohamed&lt;/author&gt;&lt;/authors&gt;&lt;/contributors&gt;&lt;titles&gt;&lt;title&gt;The impact of multi-layer governance on bank risk disclosure in emerging markets: the case of Middle East and North Africa&lt;/title&gt;&lt;secondary-title&gt;Accounting Forum&lt;/secondary-title&gt;&lt;/titles&gt;&lt;periodical&gt;&lt;full-title&gt;Accounting Forum&lt;/full-title&gt;&lt;/periodical&gt;&lt;pages&gt;246-281&lt;/pages&gt;&lt;volume&gt;43&lt;/volume&gt;&lt;number&gt;2&lt;/number&gt;&lt;dates&gt;&lt;year&gt;2019&lt;/year&gt;&lt;pub-dates&gt;&lt;date&gt;2019/04/03&lt;/date&gt;&lt;/pub-dates&gt;&lt;/dates&gt;&lt;publisher&gt;Routledge&lt;/publisher&gt;&lt;isbn&gt;0155-9982&lt;/isbn&gt;&lt;urls&gt;&lt;related-urls&gt;&lt;url&gt;https://doi.org/10.1080/01559982.2019.1576577&lt;/url&gt;&lt;/related-urls&gt;&lt;/urls&gt;&lt;electronic-resource-num&gt;10.1080/01559982.2019.1576577&lt;/electronic-resource-num&gt;&lt;/record&gt;&lt;/Cite&gt;&lt;/EndNote&gt;</w:instrText>
      </w:r>
      <w:r>
        <w:rPr>
          <w:rFonts w:eastAsia="Times New Roman" w:cs="Times New Roman"/>
          <w:szCs w:val="24"/>
          <w:lang w:eastAsia="en-GB"/>
        </w:rPr>
        <w:fldChar w:fldCharType="separate"/>
      </w:r>
      <w:r w:rsidR="000A7F09">
        <w:rPr>
          <w:rFonts w:eastAsia="Times New Roman" w:cs="Times New Roman"/>
          <w:noProof/>
          <w:szCs w:val="24"/>
          <w:lang w:eastAsia="en-GB"/>
        </w:rPr>
        <w:t>Elamer et al. (2019)</w:t>
      </w:r>
      <w:r>
        <w:rPr>
          <w:rFonts w:eastAsia="Times New Roman" w:cs="Times New Roman"/>
          <w:szCs w:val="24"/>
          <w:lang w:eastAsia="en-GB"/>
        </w:rPr>
        <w:fldChar w:fldCharType="end"/>
      </w:r>
      <w:r>
        <w:rPr>
          <w:rFonts w:eastAsia="Times New Roman" w:cs="Times New Roman"/>
          <w:szCs w:val="24"/>
          <w:lang w:eastAsia="en-GB"/>
        </w:rPr>
        <w:t xml:space="preserve"> suggest that ownership structures have a positive effect on the level of risk disclosure</w:t>
      </w:r>
      <w:r w:rsidR="00C12128">
        <w:rPr>
          <w:rFonts w:eastAsia="Times New Roman" w:cs="Times New Roman"/>
          <w:szCs w:val="24"/>
          <w:lang w:eastAsia="en-GB"/>
        </w:rPr>
        <w:t xml:space="preserve"> </w:t>
      </w:r>
      <w:r w:rsidR="00C12128" w:rsidRPr="00EF38D2">
        <w:rPr>
          <w:rFonts w:eastAsia="Times New Roman" w:cs="Times New Roman"/>
          <w:szCs w:val="24"/>
          <w:lang w:eastAsia="en-GB"/>
        </w:rPr>
        <w:lastRenderedPageBreak/>
        <w:t xml:space="preserve">whilst studies </w:t>
      </w:r>
      <w:r w:rsidR="00327CEC">
        <w:rPr>
          <w:rFonts w:eastAsia="Times New Roman" w:cs="Times New Roman"/>
          <w:szCs w:val="24"/>
          <w:lang w:eastAsia="en-GB"/>
        </w:rPr>
        <w:fldChar w:fldCharType="begin"/>
      </w:r>
      <w:r w:rsidR="00327CEC">
        <w:rPr>
          <w:rFonts w:eastAsia="Times New Roman" w:cs="Times New Roman"/>
          <w:szCs w:val="24"/>
          <w:lang w:eastAsia="en-GB"/>
        </w:rPr>
        <w:instrText xml:space="preserve"> ADDIN EN.CITE &lt;EndNote&gt;&lt;Cite AuthorYear="1"&gt;&lt;Author&gt;Liu&lt;/Author&gt;&lt;Year&gt;2017&lt;/Year&gt;&lt;RecNum&gt;1219&lt;/RecNum&gt;&lt;DisplayText&gt;Liu, Padgett, and Varotto (2017)&lt;/DisplayText&gt;&lt;record&gt;&lt;rec-number&gt;1219&lt;/rec-number&gt;&lt;foreign-keys&gt;&lt;key app="EN" db-id="s00xzp50xdvx90ea0ravv2dxzr2pdvrrzaff" timestamp="1592833774" guid="092974e3-4b2c-44cd-beb2-485c6d999dcb"&gt;1219&lt;/key&gt;&lt;/foreign-keys&gt;&lt;ref-type name="Journal Article"&gt;17&lt;/ref-type&gt;&lt;contributors&gt;&lt;authors&gt;&lt;author&gt;Liu, Yan&lt;/author&gt;&lt;author&gt;Padgett, Carol&lt;/author&gt;&lt;author&gt;Varotto, Simone&lt;/author&gt;&lt;/authors&gt;&lt;/contributors&gt;&lt;titles&gt;&lt;title&gt;Corporate governance, bank mergers and executive compensation&lt;/title&gt;&lt;secondary-title&gt;International Journal of Finance &amp;amp; Economics&lt;/secondary-title&gt;&lt;/titles&gt;&lt;periodical&gt;&lt;full-title&gt;International Journal of Finance &amp;amp; Economics&lt;/full-title&gt;&lt;/periodical&gt;&lt;pages&gt;12-29&lt;/pages&gt;&lt;volume&gt;22&lt;/volume&gt;&lt;number&gt;1&lt;/number&gt;&lt;dates&gt;&lt;year&gt;2017&lt;/year&gt;&lt;/dates&gt;&lt;isbn&gt;1076-9307&lt;/isbn&gt;&lt;urls&gt;&lt;/urls&gt;&lt;/record&gt;&lt;/Cite&gt;&lt;/EndNote&gt;</w:instrText>
      </w:r>
      <w:r w:rsidR="00327CEC">
        <w:rPr>
          <w:rFonts w:eastAsia="Times New Roman" w:cs="Times New Roman"/>
          <w:szCs w:val="24"/>
          <w:lang w:eastAsia="en-GB"/>
        </w:rPr>
        <w:fldChar w:fldCharType="separate"/>
      </w:r>
      <w:r w:rsidR="00327CEC">
        <w:rPr>
          <w:rFonts w:eastAsia="Times New Roman" w:cs="Times New Roman"/>
          <w:noProof/>
          <w:szCs w:val="24"/>
          <w:lang w:eastAsia="en-GB"/>
        </w:rPr>
        <w:t>Liu, Padgett, and Varotto (2017)</w:t>
      </w:r>
      <w:r w:rsidR="00327CEC">
        <w:rPr>
          <w:rFonts w:eastAsia="Times New Roman" w:cs="Times New Roman"/>
          <w:szCs w:val="24"/>
          <w:lang w:eastAsia="en-GB"/>
        </w:rPr>
        <w:fldChar w:fldCharType="end"/>
      </w:r>
      <w:r w:rsidR="00327CEC">
        <w:rPr>
          <w:rFonts w:eastAsia="Times New Roman" w:cs="Times New Roman"/>
          <w:szCs w:val="24"/>
          <w:lang w:eastAsia="en-GB"/>
        </w:rPr>
        <w:t xml:space="preserve"> </w:t>
      </w:r>
      <w:r w:rsidR="00427B84" w:rsidRPr="00EF38D2">
        <w:rPr>
          <w:rFonts w:eastAsia="Times New Roman" w:cs="Times New Roman"/>
          <w:szCs w:val="24"/>
          <w:lang w:eastAsia="en-GB"/>
        </w:rPr>
        <w:t>report that managerial ownership is an important solution to the agency conflict</w:t>
      </w:r>
      <w:r w:rsidRPr="00EF38D2">
        <w:rPr>
          <w:rFonts w:eastAsia="Times New Roman" w:cs="Times New Roman"/>
          <w:szCs w:val="24"/>
          <w:lang w:eastAsia="en-GB"/>
        </w:rPr>
        <w:t>.</w:t>
      </w:r>
      <w:r>
        <w:rPr>
          <w:rFonts w:eastAsia="Times New Roman" w:cs="Times New Roman"/>
          <w:szCs w:val="24"/>
          <w:lang w:eastAsia="en-GB"/>
        </w:rPr>
        <w:t xml:space="preserve"> It can therefore be argued that effective corporate governance systems enhance the ability of firms to face periods of financial distress such as a financial crisis.  </w:t>
      </w:r>
    </w:p>
    <w:p w14:paraId="18357FE6" w14:textId="77777777" w:rsidR="00DB46CB" w:rsidRPr="002C1AA0" w:rsidRDefault="00DB46CB" w:rsidP="0092047F">
      <w:pPr>
        <w:pStyle w:val="Heading2"/>
      </w:pPr>
      <w:r>
        <w:t>Financial institutions, agency conflicts and governance mechanisms</w:t>
      </w:r>
    </w:p>
    <w:p w14:paraId="577854B3" w14:textId="5906335F" w:rsidR="00DB46CB" w:rsidRDefault="00DB46CB" w:rsidP="0092047F">
      <w:pPr>
        <w:rPr>
          <w:lang w:eastAsia="en-GB"/>
        </w:rPr>
      </w:pPr>
      <w:r w:rsidRPr="009602FE">
        <w:rPr>
          <w:lang w:eastAsia="en-GB"/>
        </w:rPr>
        <w:t xml:space="preserve">Since the seminal work of </w:t>
      </w:r>
      <w:r w:rsidRPr="009602FE">
        <w:rPr>
          <w:lang w:eastAsia="en-GB"/>
        </w:rPr>
        <w:fldChar w:fldCharType="begin"/>
      </w:r>
      <w:r w:rsidR="00327CEC">
        <w:rPr>
          <w:lang w:eastAsia="en-GB"/>
        </w:rPr>
        <w:instrText xml:space="preserve"> ADDIN EN.CITE &lt;EndNote&gt;&lt;Cite AuthorYear="1"&gt;&lt;Author&gt;Jensen&lt;/Author&gt;&lt;Year&gt;1976&lt;/Year&gt;&lt;RecNum&gt;164&lt;/RecNum&gt;&lt;DisplayText&gt;Jensen and Meckling (1976)&lt;/DisplayText&gt;&lt;record&gt;&lt;rec-number&gt;164&lt;/rec-number&gt;&lt;foreign-keys&gt;&lt;key app="EN" db-id="s00xzp50xdvx90ea0ravv2dxzr2pdvrrzaff" timestamp="1452197468" guid="eb2e62f7-5b45-4f48-9fe3-fe24d1aaa5f5"&gt;164&lt;/key&gt;&lt;/foreign-keys&gt;&lt;ref-type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Economics&lt;/full-title&gt;&lt;/periodical&gt;&lt;pages&gt;305-360&lt;/pages&gt;&lt;volume&gt;3&lt;/volume&gt;&lt;number&gt;4&lt;/number&gt;&lt;dates&gt;&lt;year&gt;1976&lt;/year&gt;&lt;/dates&gt;&lt;urls&gt;&lt;/urls&gt;&lt;/record&gt;&lt;/Cite&gt;&lt;/EndNote&gt;</w:instrText>
      </w:r>
      <w:r w:rsidRPr="009602FE">
        <w:rPr>
          <w:lang w:eastAsia="en-GB"/>
        </w:rPr>
        <w:fldChar w:fldCharType="separate"/>
      </w:r>
      <w:r w:rsidRPr="009602FE">
        <w:rPr>
          <w:noProof/>
          <w:lang w:eastAsia="en-GB"/>
        </w:rPr>
        <w:t>Jensen and Meckling (1976)</w:t>
      </w:r>
      <w:r w:rsidRPr="009602FE">
        <w:rPr>
          <w:lang w:eastAsia="en-GB"/>
        </w:rPr>
        <w:fldChar w:fldCharType="end"/>
      </w:r>
      <w:r w:rsidRPr="009602FE">
        <w:rPr>
          <w:lang w:eastAsia="en-GB"/>
        </w:rPr>
        <w:t xml:space="preserve"> on the agency relationship, </w:t>
      </w:r>
      <w:r>
        <w:rPr>
          <w:lang w:eastAsia="en-GB"/>
        </w:rPr>
        <w:t xml:space="preserve">a </w:t>
      </w:r>
      <w:r w:rsidRPr="009602FE">
        <w:rPr>
          <w:lang w:eastAsia="en-GB"/>
        </w:rPr>
        <w:t>vast academic literature has</w:t>
      </w:r>
      <w:r w:rsidR="00C44822">
        <w:rPr>
          <w:lang w:eastAsia="en-GB"/>
        </w:rPr>
        <w:t xml:space="preserve"> been</w:t>
      </w:r>
      <w:r w:rsidRPr="009602FE">
        <w:rPr>
          <w:lang w:eastAsia="en-GB"/>
        </w:rPr>
        <w:t xml:space="preserve"> developed within this theoretical framework for analysing the relationship between corporate governance and different organisational outcomes. </w:t>
      </w:r>
      <w:r w:rsidR="00154E23">
        <w:rPr>
          <w:lang w:eastAsia="en-GB"/>
        </w:rPr>
        <w:t>T</w:t>
      </w:r>
      <w:r w:rsidRPr="009602FE">
        <w:rPr>
          <w:lang w:eastAsia="en-GB"/>
        </w:rPr>
        <w:t>h</w:t>
      </w:r>
      <w:r w:rsidR="00154E23">
        <w:rPr>
          <w:lang w:eastAsia="en-GB"/>
        </w:rPr>
        <w:t>is</w:t>
      </w:r>
      <w:r w:rsidRPr="009602FE">
        <w:rPr>
          <w:lang w:eastAsia="en-GB"/>
        </w:rPr>
        <w:t xml:space="preserve"> literature </w:t>
      </w:r>
      <w:r w:rsidR="00154E23">
        <w:rPr>
          <w:lang w:eastAsia="en-GB"/>
        </w:rPr>
        <w:t xml:space="preserve">mainly </w:t>
      </w:r>
      <w:r w:rsidR="00154E23" w:rsidRPr="009602FE">
        <w:rPr>
          <w:lang w:eastAsia="en-GB"/>
        </w:rPr>
        <w:t>focuse</w:t>
      </w:r>
      <w:r w:rsidR="00154E23">
        <w:rPr>
          <w:lang w:eastAsia="en-GB"/>
        </w:rPr>
        <w:t>s</w:t>
      </w:r>
      <w:r w:rsidRPr="009602FE">
        <w:rPr>
          <w:lang w:eastAsia="en-GB"/>
        </w:rPr>
        <w:t xml:space="preserve"> on the agency costs and conflicts as a result of asymmetric information between managers and shareholders.</w:t>
      </w:r>
    </w:p>
    <w:p w14:paraId="3E562F12" w14:textId="58D403FC" w:rsidR="00DB46CB" w:rsidRDefault="00DB46CB" w:rsidP="0092047F">
      <w:pPr>
        <w:rPr>
          <w:lang w:eastAsia="en-GB"/>
        </w:rPr>
      </w:pPr>
      <w:r w:rsidRPr="009A24FA">
        <w:rPr>
          <w:lang w:eastAsia="en-GB"/>
        </w:rPr>
        <w:t xml:space="preserve">The </w:t>
      </w:r>
      <w:r w:rsidR="004B335E">
        <w:rPr>
          <w:lang w:eastAsia="en-GB"/>
        </w:rPr>
        <w:t>distinct</w:t>
      </w:r>
      <w:r w:rsidRPr="009A24FA">
        <w:rPr>
          <w:lang w:eastAsia="en-GB"/>
        </w:rPr>
        <w:t xml:space="preserve"> </w:t>
      </w:r>
      <w:r w:rsidR="004B335E">
        <w:rPr>
          <w:lang w:eastAsia="en-GB"/>
        </w:rPr>
        <w:t xml:space="preserve">characteristics </w:t>
      </w:r>
      <w:r w:rsidRPr="009A24FA">
        <w:rPr>
          <w:lang w:eastAsia="en-GB"/>
        </w:rPr>
        <w:t>of financial institutions such as</w:t>
      </w:r>
      <w:r w:rsidR="004B335E">
        <w:rPr>
          <w:lang w:eastAsia="en-GB"/>
        </w:rPr>
        <w:t>,</w:t>
      </w:r>
      <w:r w:rsidRPr="009A24FA">
        <w:rPr>
          <w:lang w:eastAsia="en-GB"/>
        </w:rPr>
        <w:t xml:space="preserve"> their opaqueness, heavy regulation and</w:t>
      </w:r>
      <w:r>
        <w:rPr>
          <w:lang w:eastAsia="en-GB"/>
        </w:rPr>
        <w:t xml:space="preserve"> the likelihood of</w:t>
      </w:r>
      <w:r w:rsidRPr="009A24FA">
        <w:rPr>
          <w:lang w:eastAsia="en-GB"/>
        </w:rPr>
        <w:t xml:space="preserve"> government bailouts mean that a greater understanding </w:t>
      </w:r>
      <w:r w:rsidR="004B335E">
        <w:rPr>
          <w:lang w:eastAsia="en-GB"/>
        </w:rPr>
        <w:t xml:space="preserve">of the </w:t>
      </w:r>
      <w:r w:rsidRPr="009A24FA">
        <w:rPr>
          <w:lang w:eastAsia="en-GB"/>
        </w:rPr>
        <w:t xml:space="preserve"> factors </w:t>
      </w:r>
      <w:r w:rsidR="004B335E">
        <w:rPr>
          <w:lang w:eastAsia="en-GB"/>
        </w:rPr>
        <w:t xml:space="preserve">which have </w:t>
      </w:r>
      <w:r w:rsidR="00D22C87">
        <w:rPr>
          <w:lang w:eastAsia="en-GB"/>
        </w:rPr>
        <w:t xml:space="preserve">been </w:t>
      </w:r>
      <w:r w:rsidRPr="009A24FA">
        <w:rPr>
          <w:lang w:eastAsia="en-GB"/>
        </w:rPr>
        <w:t>linked to their effective governance</w:t>
      </w:r>
      <w:r w:rsidR="004B335E">
        <w:rPr>
          <w:lang w:eastAsia="en-GB"/>
        </w:rPr>
        <w:t xml:space="preserve"> </w:t>
      </w:r>
      <w:r w:rsidR="00DB3FE3">
        <w:rPr>
          <w:lang w:eastAsia="en-GB"/>
        </w:rPr>
        <w:t xml:space="preserve">mechanisms </w:t>
      </w:r>
      <w:r w:rsidR="004B335E">
        <w:rPr>
          <w:lang w:eastAsia="en-GB"/>
        </w:rPr>
        <w:t>is pivotal</w:t>
      </w:r>
      <w:r>
        <w:rPr>
          <w:lang w:eastAsia="en-GB"/>
        </w:rPr>
        <w:t>.</w:t>
      </w:r>
      <w:r w:rsidRPr="009A24FA">
        <w:rPr>
          <w:lang w:eastAsia="en-GB"/>
        </w:rPr>
        <w:t xml:space="preserve"> </w:t>
      </w:r>
      <w:r w:rsidR="00DB3FE3">
        <w:rPr>
          <w:lang w:eastAsia="en-GB"/>
        </w:rPr>
        <w:t xml:space="preserve">Due to the </w:t>
      </w:r>
      <w:r>
        <w:rPr>
          <w:lang w:eastAsia="en-GB"/>
        </w:rPr>
        <w:t>higher likelihood of</w:t>
      </w:r>
      <w:r w:rsidRPr="009A24FA">
        <w:rPr>
          <w:lang w:eastAsia="en-GB"/>
        </w:rPr>
        <w:t xml:space="preserve"> government bailouts</w:t>
      </w:r>
      <w:r>
        <w:rPr>
          <w:lang w:eastAsia="en-GB"/>
        </w:rPr>
        <w:t>,</w:t>
      </w:r>
      <w:r w:rsidRPr="009A24FA">
        <w:rPr>
          <w:lang w:eastAsia="en-GB"/>
        </w:rPr>
        <w:t xml:space="preserve"> shareholders </w:t>
      </w:r>
      <w:r>
        <w:rPr>
          <w:lang w:eastAsia="en-GB"/>
        </w:rPr>
        <w:t>may be</w:t>
      </w:r>
      <w:r w:rsidRPr="009A24FA">
        <w:rPr>
          <w:lang w:eastAsia="en-GB"/>
        </w:rPr>
        <w:t xml:space="preserve"> less</w:t>
      </w:r>
      <w:r>
        <w:rPr>
          <w:lang w:eastAsia="en-GB"/>
        </w:rPr>
        <w:t xml:space="preserve"> inclined to</w:t>
      </w:r>
      <w:r w:rsidRPr="009A24FA">
        <w:rPr>
          <w:lang w:eastAsia="en-GB"/>
        </w:rPr>
        <w:t xml:space="preserve"> engage in monitoring activities</w:t>
      </w:r>
      <w:r>
        <w:rPr>
          <w:lang w:eastAsia="en-GB"/>
        </w:rPr>
        <w:t xml:space="preserve"> which may tempt the</w:t>
      </w:r>
      <w:r w:rsidRPr="009A24FA">
        <w:rPr>
          <w:lang w:eastAsia="en-GB"/>
        </w:rPr>
        <w:t xml:space="preserve"> directors to </w:t>
      </w:r>
      <w:r>
        <w:rPr>
          <w:lang w:eastAsia="en-GB"/>
        </w:rPr>
        <w:t>engage in</w:t>
      </w:r>
      <w:r w:rsidRPr="009A24FA">
        <w:rPr>
          <w:lang w:eastAsia="en-GB"/>
        </w:rPr>
        <w:t xml:space="preserve"> risky activities </w:t>
      </w:r>
      <w:r>
        <w:rPr>
          <w:lang w:eastAsia="en-GB"/>
        </w:rPr>
        <w:fldChar w:fldCharType="begin"/>
      </w:r>
      <w:r w:rsidR="00327CEC">
        <w:rPr>
          <w:lang w:eastAsia="en-GB"/>
        </w:rPr>
        <w:instrText xml:space="preserve"> ADDIN EN.CITE &lt;EndNote&gt;&lt;Cite&gt;&lt;Author&gt;Staikouras&lt;/Author&gt;&lt;Year&gt;2007&lt;/Year&gt;&lt;RecNum&gt;654&lt;/RecNum&gt;&lt;DisplayText&gt;(Staikouras, Staikouras, &amp;amp; Agoraki, 2007)&lt;/DisplayText&gt;&lt;record&gt;&lt;rec-number&gt;654&lt;/rec-number&gt;&lt;foreign-keys&gt;&lt;key app="EN" db-id="s00xzp50xdvx90ea0ravv2dxzr2pdvrrzaff" timestamp="1455487870" guid="8964ed70-b7eb-48b0-9ebd-a8f17c7bdddc"&gt;654&lt;/key&gt;&lt;/foreign-keys&gt;&lt;ref-type name="Journal Article"&gt;17&lt;/ref-type&gt;&lt;contributors&gt;&lt;authors&gt;&lt;author&gt;Staikouras, Panagiotis K&lt;/author&gt;&lt;author&gt;Staikouras, Christos K&lt;/author&gt;&lt;author&gt;Agoraki, Maria-Eleni K&lt;/author&gt;&lt;/authors&gt;&lt;/contributors&gt;&lt;titles&gt;&lt;title&gt;The effect of board size and composition on European bank performance&lt;/title&gt;&lt;secondary-title&gt;European Journal of Law and Economics&lt;/secondary-title&gt;&lt;/titles&gt;&lt;periodical&gt;&lt;full-title&gt;European Journal of Law and Economics&lt;/full-title&gt;&lt;/periodical&gt;&lt;pages&gt;1-27&lt;/pages&gt;&lt;volume&gt;23&lt;/volume&gt;&lt;number&gt;1&lt;/number&gt;&lt;dates&gt;&lt;year&gt;2007&lt;/year&gt;&lt;/dates&gt;&lt;isbn&gt;0929-1261&lt;/isbn&gt;&lt;urls&gt;&lt;/urls&gt;&lt;/record&gt;&lt;/Cite&gt;&lt;/EndNote&gt;</w:instrText>
      </w:r>
      <w:r>
        <w:rPr>
          <w:lang w:eastAsia="en-GB"/>
        </w:rPr>
        <w:fldChar w:fldCharType="separate"/>
      </w:r>
      <w:r>
        <w:rPr>
          <w:noProof/>
          <w:lang w:eastAsia="en-GB"/>
        </w:rPr>
        <w:t>(Staikouras, Staikouras, &amp; Agoraki, 2007)</w:t>
      </w:r>
      <w:r>
        <w:rPr>
          <w:lang w:eastAsia="en-GB"/>
        </w:rPr>
        <w:fldChar w:fldCharType="end"/>
      </w:r>
      <w:r w:rsidRPr="009A24FA">
        <w:rPr>
          <w:lang w:eastAsia="en-GB"/>
        </w:rPr>
        <w:t xml:space="preserve">. </w:t>
      </w:r>
      <w:r w:rsidR="00DB3FE3">
        <w:rPr>
          <w:lang w:eastAsia="en-GB"/>
        </w:rPr>
        <w:t xml:space="preserve">It is also expected that </w:t>
      </w:r>
      <w:r w:rsidRPr="009A24FA">
        <w:rPr>
          <w:lang w:eastAsia="en-GB"/>
        </w:rPr>
        <w:t>intense government regulation</w:t>
      </w:r>
      <w:r>
        <w:rPr>
          <w:lang w:eastAsia="en-GB"/>
        </w:rPr>
        <w:t xml:space="preserve">s in financial </w:t>
      </w:r>
      <w:r w:rsidR="00DB3FE3">
        <w:rPr>
          <w:lang w:eastAsia="en-GB"/>
        </w:rPr>
        <w:t>sector</w:t>
      </w:r>
      <w:r>
        <w:rPr>
          <w:lang w:eastAsia="en-GB"/>
        </w:rPr>
        <w:t xml:space="preserve"> may </w:t>
      </w:r>
      <w:r w:rsidRPr="009A24FA">
        <w:rPr>
          <w:lang w:eastAsia="en-GB"/>
        </w:rPr>
        <w:t>weaken external governance mechanisms such as, hos</w:t>
      </w:r>
      <w:r>
        <w:rPr>
          <w:lang w:eastAsia="en-GB"/>
        </w:rPr>
        <w:t xml:space="preserve">tile takeovers and competition </w:t>
      </w:r>
      <w:r>
        <w:rPr>
          <w:lang w:eastAsia="en-GB"/>
        </w:rPr>
        <w:fldChar w:fldCharType="begin"/>
      </w:r>
      <w:r w:rsidR="00327CEC">
        <w:rPr>
          <w:lang w:eastAsia="en-GB"/>
        </w:rPr>
        <w:instrText xml:space="preserve"> ADDIN EN.CITE &lt;EndNote&gt;&lt;Cite&gt;&lt;Author&gt;Levine&lt;/Author&gt;&lt;Year&gt;2004&lt;/Year&gt;&lt;RecNum&gt;303&lt;/RecNum&gt;&lt;DisplayText&gt;(Levine, 2004)&lt;/DisplayText&gt;&lt;record&gt;&lt;rec-number&gt;303&lt;/rec-number&gt;&lt;foreign-keys&gt;&lt;key app="EN" db-id="s00xzp50xdvx90ea0ravv2dxzr2pdvrrzaff" timestamp="1452198142" guid="a03bfb2e-25c7-4514-a3b2-00def754a9ca"&gt;303&lt;/key&gt;&lt;/foreign-keys&gt;&lt;ref-type name="Unpublished Work"&gt;34&lt;/ref-type&gt;&lt;contributors&gt;&lt;authors&gt;&lt;author&gt;Levine, R&lt;/author&gt;&lt;/authors&gt;&lt;/contributors&gt;&lt;titles&gt;&lt;title&gt;The corporate governance of banks: a concise discussion of concepts and evidence&lt;/title&gt;&lt;secondary-title&gt; World Bank Policy research working paper&lt;/secondary-title&gt;&lt;/titles&gt;&lt;dates&gt;&lt;year&gt;2004&lt;/year&gt;&lt;/dates&gt;&lt;publisher&gt;ssrn&lt;/publisher&gt;&lt;urls&gt;&lt;related-urls&gt;&lt;url&gt;http://papers.ssrn.com/sol3/papers.cfm?abstract_id=625281&lt;/url&gt;&lt;/related-urls&gt;&lt;/urls&gt;&lt;access-date&gt;8th April 2010&lt;/access-date&gt;&lt;/record&gt;&lt;/Cite&gt;&lt;/EndNote&gt;</w:instrText>
      </w:r>
      <w:r>
        <w:rPr>
          <w:lang w:eastAsia="en-GB"/>
        </w:rPr>
        <w:fldChar w:fldCharType="separate"/>
      </w:r>
      <w:r>
        <w:rPr>
          <w:noProof/>
          <w:lang w:eastAsia="en-GB"/>
        </w:rPr>
        <w:t>(Levine, 2004)</w:t>
      </w:r>
      <w:r>
        <w:rPr>
          <w:lang w:eastAsia="en-GB"/>
        </w:rPr>
        <w:fldChar w:fldCharType="end"/>
      </w:r>
      <w:r w:rsidRPr="009A24FA">
        <w:rPr>
          <w:lang w:eastAsia="en-GB"/>
        </w:rPr>
        <w:t xml:space="preserve">. </w:t>
      </w:r>
      <w:r>
        <w:rPr>
          <w:lang w:eastAsia="en-GB"/>
        </w:rPr>
        <w:t>Consequently</w:t>
      </w:r>
      <w:r w:rsidRPr="009A24FA">
        <w:rPr>
          <w:lang w:eastAsia="en-GB"/>
        </w:rPr>
        <w:t>, internal governance mechanisms such as board structure and disciplining managerial behaviour</w:t>
      </w:r>
      <w:r>
        <w:rPr>
          <w:lang w:eastAsia="en-GB"/>
        </w:rPr>
        <w:t xml:space="preserve"> may</w:t>
      </w:r>
      <w:r w:rsidRPr="009A24FA">
        <w:rPr>
          <w:lang w:eastAsia="en-GB"/>
        </w:rPr>
        <w:t xml:space="preserve"> </w:t>
      </w:r>
      <w:r>
        <w:rPr>
          <w:lang w:eastAsia="en-GB"/>
        </w:rPr>
        <w:t>take a central role</w:t>
      </w:r>
      <w:r w:rsidRPr="009A24FA">
        <w:rPr>
          <w:lang w:eastAsia="en-GB"/>
        </w:rPr>
        <w:t xml:space="preserve"> in mitigating the agency problems in </w:t>
      </w:r>
      <w:r>
        <w:rPr>
          <w:lang w:eastAsia="en-GB"/>
        </w:rPr>
        <w:t>financial institutions</w:t>
      </w:r>
      <w:r w:rsidRPr="009A24FA">
        <w:rPr>
          <w:lang w:eastAsia="en-GB"/>
        </w:rPr>
        <w:t xml:space="preserve"> </w:t>
      </w:r>
      <w:r>
        <w:rPr>
          <w:lang w:eastAsia="en-GB"/>
        </w:rPr>
        <w:fldChar w:fldCharType="begin"/>
      </w:r>
      <w:r w:rsidR="00327CEC">
        <w:rPr>
          <w:lang w:eastAsia="en-GB"/>
        </w:rPr>
        <w:instrText xml:space="preserve"> ADDIN EN.CITE &lt;EndNote&gt;&lt;Cite&gt;&lt;Author&gt;Pathan&lt;/Author&gt;&lt;Year&gt;2009&lt;/Year&gt;&lt;RecNum&gt;367&lt;/RecNum&gt;&lt;DisplayText&gt;(Pathan, 2009)&lt;/DisplayText&gt;&lt;record&gt;&lt;rec-number&gt;367&lt;/rec-number&gt;&lt;foreign-keys&gt;&lt;key app="EN" db-id="s00xzp50xdvx90ea0ravv2dxzr2pdvrrzaff" timestamp="1452198256" guid="730fbaa2-5f39-460c-ad2e-a4e73935c9c6"&gt;367&lt;/key&gt;&lt;/foreign-keys&gt;&lt;ref-type name="Journal Article"&gt;17&lt;/ref-type&gt;&lt;contributors&gt;&lt;authors&gt;&lt;author&gt;Pathan, 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dates&gt;&lt;year&gt;2009&lt;/year&gt;&lt;/dates&gt;&lt;isbn&gt;0378-4266&lt;/isbn&gt;&lt;urls&gt;&lt;/urls&gt;&lt;/record&gt;&lt;/Cite&gt;&lt;/EndNote&gt;</w:instrText>
      </w:r>
      <w:r>
        <w:rPr>
          <w:lang w:eastAsia="en-GB"/>
        </w:rPr>
        <w:fldChar w:fldCharType="separate"/>
      </w:r>
      <w:r>
        <w:rPr>
          <w:noProof/>
          <w:lang w:eastAsia="en-GB"/>
        </w:rPr>
        <w:t>(Pathan, 2009)</w:t>
      </w:r>
      <w:r>
        <w:rPr>
          <w:lang w:eastAsia="en-GB"/>
        </w:rPr>
        <w:fldChar w:fldCharType="end"/>
      </w:r>
      <w:r>
        <w:rPr>
          <w:lang w:eastAsia="en-GB"/>
        </w:rPr>
        <w:t xml:space="preserve">. </w:t>
      </w:r>
      <w:r w:rsidR="00DB3FE3">
        <w:rPr>
          <w:lang w:eastAsia="en-GB"/>
        </w:rPr>
        <w:t xml:space="preserve">All these arguments demonstrate </w:t>
      </w:r>
      <w:r>
        <w:rPr>
          <w:lang w:eastAsia="en-GB"/>
        </w:rPr>
        <w:t xml:space="preserve">that financial institutions are </w:t>
      </w:r>
      <w:r w:rsidRPr="006E4213">
        <w:rPr>
          <w:lang w:eastAsia="en-GB"/>
        </w:rPr>
        <w:t xml:space="preserve">obliged to </w:t>
      </w:r>
      <w:r w:rsidR="000611C4">
        <w:rPr>
          <w:lang w:eastAsia="en-GB"/>
        </w:rPr>
        <w:t>employ</w:t>
      </w:r>
      <w:r w:rsidRPr="006E4213">
        <w:rPr>
          <w:lang w:eastAsia="en-GB"/>
        </w:rPr>
        <w:t xml:space="preserve"> robust governance </w:t>
      </w:r>
      <w:r>
        <w:rPr>
          <w:lang w:eastAsia="en-GB"/>
        </w:rPr>
        <w:t>mechanisms.</w:t>
      </w:r>
    </w:p>
    <w:p w14:paraId="0B58896D" w14:textId="098543E1" w:rsidR="00DB46CB" w:rsidRDefault="00DB46CB" w:rsidP="0092047F">
      <w:pPr>
        <w:rPr>
          <w:lang w:eastAsia="en-GB"/>
        </w:rPr>
      </w:pPr>
      <w:r w:rsidRPr="00FE02E9">
        <w:rPr>
          <w:lang w:eastAsia="en-GB"/>
        </w:rPr>
        <w:t>Furthermore,</w:t>
      </w:r>
      <w:r>
        <w:rPr>
          <w:lang w:eastAsia="en-GB"/>
        </w:rPr>
        <w:t xml:space="preserve"> the scope of excessive risk taking by the managers in financial institutions has been a pervasive feature of </w:t>
      </w:r>
      <w:r w:rsidR="00300D1A">
        <w:rPr>
          <w:lang w:eastAsia="en-GB"/>
        </w:rPr>
        <w:t xml:space="preserve">the </w:t>
      </w:r>
      <w:r>
        <w:rPr>
          <w:lang w:eastAsia="en-GB"/>
        </w:rPr>
        <w:t xml:space="preserve">financial crisis. Excessive risk taking, combined with the “too-big-to-fail” situation </w:t>
      </w:r>
      <w:r w:rsidRPr="00A02F95">
        <w:rPr>
          <w:lang w:eastAsia="en-GB"/>
        </w:rPr>
        <w:t>exacerbate</w:t>
      </w:r>
      <w:r>
        <w:rPr>
          <w:lang w:eastAsia="en-GB"/>
        </w:rPr>
        <w:t>d</w:t>
      </w:r>
      <w:r w:rsidRPr="00A02F95">
        <w:rPr>
          <w:lang w:eastAsia="en-GB"/>
        </w:rPr>
        <w:t xml:space="preserve"> </w:t>
      </w:r>
      <w:r>
        <w:rPr>
          <w:lang w:eastAsia="en-GB"/>
        </w:rPr>
        <w:t xml:space="preserve">the moral hazard problems within financial institutions. </w:t>
      </w:r>
      <w:r>
        <w:rPr>
          <w:lang w:eastAsia="en-GB"/>
        </w:rPr>
        <w:lastRenderedPageBreak/>
        <w:t xml:space="preserve">Consequently, directors’ incentives such as compensations policies and share ownership may help </w:t>
      </w:r>
      <w:r w:rsidRPr="00716D81">
        <w:rPr>
          <w:lang w:eastAsia="en-GB"/>
        </w:rPr>
        <w:t>to reduce the likelihood of moral hazard</w:t>
      </w:r>
      <w:r>
        <w:rPr>
          <w:lang w:eastAsia="en-GB"/>
        </w:rPr>
        <w:t xml:space="preserve"> problems</w:t>
      </w:r>
      <w:r w:rsidRPr="00716D81">
        <w:rPr>
          <w:lang w:eastAsia="en-GB"/>
        </w:rPr>
        <w:t xml:space="preserve"> due to the financial ramifications</w:t>
      </w:r>
      <w:r>
        <w:rPr>
          <w:lang w:eastAsia="en-GB"/>
        </w:rPr>
        <w:t xml:space="preserve"> and align managers’ interest with shareholders</w:t>
      </w:r>
      <w:r w:rsidR="00FF06B6">
        <w:rPr>
          <w:lang w:eastAsia="en-GB"/>
        </w:rPr>
        <w:t xml:space="preserve"> </w:t>
      </w:r>
      <w:r w:rsidR="00FF06B6">
        <w:rPr>
          <w:lang w:eastAsia="en-GB"/>
        </w:rPr>
        <w:fldChar w:fldCharType="begin">
          <w:fldData xml:space="preserve">PEVuZE5vdGU+PENpdGU+PEF1dGhvcj5KZW5zZW48L0F1dGhvcj48WWVhcj4xOTc2PC9ZZWFyPjxS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</w:fldData>
        </w:fldChar>
      </w:r>
      <w:r w:rsidR="00FF06B6">
        <w:rPr>
          <w:lang w:eastAsia="en-GB"/>
        </w:rPr>
        <w:instrText xml:space="preserve"> ADDIN EN.CITE </w:instrText>
      </w:r>
      <w:r w:rsidR="00FF06B6">
        <w:rPr>
          <w:lang w:eastAsia="en-GB"/>
        </w:rPr>
        <w:fldChar w:fldCharType="begin">
          <w:fldData xml:space="preserve">PEVuZE5vdGU+PENpdGU+PEF1dGhvcj5KZW5zZW48L0F1dGhvcj48WWVhcj4xOTc2PC9ZZWFyPjxS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</w:fldData>
        </w:fldChar>
      </w:r>
      <w:r w:rsidR="00FF06B6">
        <w:rPr>
          <w:lang w:eastAsia="en-GB"/>
        </w:rPr>
        <w:instrText xml:space="preserve"> ADDIN EN.CITE.DATA </w:instrText>
      </w:r>
      <w:r w:rsidR="00FF06B6">
        <w:rPr>
          <w:lang w:eastAsia="en-GB"/>
        </w:rPr>
      </w:r>
      <w:r w:rsidR="00FF06B6">
        <w:rPr>
          <w:lang w:eastAsia="en-GB"/>
        </w:rPr>
        <w:fldChar w:fldCharType="end"/>
      </w:r>
      <w:r w:rsidR="00FF06B6">
        <w:rPr>
          <w:lang w:eastAsia="en-GB"/>
        </w:rPr>
      </w:r>
      <w:r w:rsidR="00FF06B6">
        <w:rPr>
          <w:lang w:eastAsia="en-GB"/>
        </w:rPr>
        <w:fldChar w:fldCharType="separate"/>
      </w:r>
      <w:r w:rsidR="00FF06B6">
        <w:rPr>
          <w:noProof/>
          <w:lang w:eastAsia="en-GB"/>
        </w:rPr>
        <w:t>(Jensen &amp; Meckling, 1976; Shleifer &amp; Vishny, 1997)</w:t>
      </w:r>
      <w:r w:rsidR="00FF06B6">
        <w:rPr>
          <w:lang w:eastAsia="en-GB"/>
        </w:rPr>
        <w:fldChar w:fldCharType="end"/>
      </w:r>
      <w:r w:rsidR="00FF06B6">
        <w:rPr>
          <w:lang w:eastAsia="en-GB"/>
        </w:rPr>
        <w:t>.</w:t>
      </w:r>
      <w:r>
        <w:rPr>
          <w:lang w:eastAsia="en-GB"/>
        </w:rPr>
        <w:t xml:space="preserve"> </w:t>
      </w:r>
    </w:p>
    <w:p w14:paraId="5E9CE3CD" w14:textId="2082388D" w:rsidR="00DB46CB" w:rsidRPr="002C1AA0" w:rsidRDefault="00DB46CB" w:rsidP="0092047F">
      <w:pPr>
        <w:pStyle w:val="Heading2"/>
      </w:pPr>
      <w:r>
        <w:t>Non-compliance and shareholder value</w:t>
      </w:r>
    </w:p>
    <w:p w14:paraId="43DC1B12" w14:textId="04E38BF0" w:rsidR="00DB46CB" w:rsidRDefault="00DB46CB" w:rsidP="0092047F">
      <w:pPr>
        <w:rPr>
          <w:lang w:eastAsia="en-GB"/>
        </w:rPr>
      </w:pPr>
      <w:r>
        <w:rPr>
          <w:rFonts w:eastAsia="Times New Roman" w:cs="Times New Roman"/>
          <w:szCs w:val="24"/>
          <w:lang w:eastAsia="en-GB"/>
        </w:rPr>
        <w:t>The UK CGC maintains that good corporate governance practices help improve monitoring, accountability, and transparency in organisations. A high level of compliance with the code would ensure strong internal corporate governance mechanisms within firms.</w:t>
      </w:r>
      <w:r w:rsidR="00F06280">
        <w:rPr>
          <w:rFonts w:eastAsia="Times New Roman" w:cs="Times New Roman"/>
          <w:szCs w:val="24"/>
          <w:lang w:eastAsia="en-GB"/>
        </w:rPr>
        <w:t xml:space="preserve"> </w:t>
      </w:r>
      <w:r>
        <w:rPr>
          <w:lang w:eastAsia="en-GB"/>
        </w:rPr>
        <w:t>To measure the level of compliance (or non-compliance), i</w:t>
      </w:r>
      <w:r w:rsidRPr="00D408AA">
        <w:rPr>
          <w:lang w:eastAsia="en-GB"/>
        </w:rPr>
        <w:t>ndices</w:t>
      </w:r>
      <w:r>
        <w:rPr>
          <w:lang w:eastAsia="en-GB"/>
        </w:rPr>
        <w:t xml:space="preserve"> have been developed </w:t>
      </w:r>
      <w:r w:rsidRPr="00D408AA">
        <w:rPr>
          <w:lang w:eastAsia="en-GB"/>
        </w:rPr>
        <w:t>by commercial organisations as well as researchers</w:t>
      </w:r>
      <w:r>
        <w:rPr>
          <w:lang w:eastAsia="en-GB"/>
        </w:rPr>
        <w:t xml:space="preserve"> which have been </w:t>
      </w:r>
      <w:r w:rsidRPr="00D408AA">
        <w:rPr>
          <w:lang w:eastAsia="en-GB"/>
        </w:rPr>
        <w:t>used</w:t>
      </w:r>
      <w:r w:rsidRPr="00D27CDF">
        <w:rPr>
          <w:lang w:eastAsia="en-GB"/>
        </w:rPr>
        <w:t xml:space="preserve"> </w:t>
      </w:r>
      <w:r w:rsidRPr="00D408AA">
        <w:rPr>
          <w:lang w:eastAsia="en-GB"/>
        </w:rPr>
        <w:t xml:space="preserve">widely </w:t>
      </w:r>
      <w:r>
        <w:rPr>
          <w:lang w:eastAsia="en-GB"/>
        </w:rPr>
        <w:t>to</w:t>
      </w:r>
      <w:r w:rsidRPr="00D408AA">
        <w:rPr>
          <w:lang w:eastAsia="en-GB"/>
        </w:rPr>
        <w:t xml:space="preserve"> study the link between internal corporate governance and </w:t>
      </w:r>
      <w:r>
        <w:rPr>
          <w:lang w:eastAsia="en-GB"/>
        </w:rPr>
        <w:t xml:space="preserve">shareholder value </w:t>
      </w:r>
      <w:r>
        <w:rPr>
          <w:lang w:eastAsia="en-GB"/>
        </w:rPr>
        <w:fldChar w:fldCharType="begin">
          <w:fldData xml:space="preserve">PEVuZE5vdGU+PENpdGU+PEF1dGhvcj5Hb21wZXJzPC9BdXRob3I+PFllYXI+MjAwMzwvWWVhcj48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</w:fldData>
        </w:fldChar>
      </w:r>
      <w:r w:rsidR="00614514">
        <w:rPr>
          <w:lang w:eastAsia="en-GB"/>
        </w:rPr>
        <w:instrText xml:space="preserve"> ADDIN EN.CITE </w:instrText>
      </w:r>
      <w:r w:rsidR="00614514">
        <w:rPr>
          <w:lang w:eastAsia="en-GB"/>
        </w:rPr>
        <w:fldChar w:fldCharType="begin">
          <w:fldData xml:space="preserve">PEVuZE5vdGU+PENpdGU+PEF1dGhvcj5Hb21wZXJzPC9BdXRob3I+PFllYXI+MjAwMzwvWWVhcj48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</w:fldData>
        </w:fldChar>
      </w:r>
      <w:r w:rsidR="00614514">
        <w:rPr>
          <w:lang w:eastAsia="en-GB"/>
        </w:rPr>
        <w:instrText xml:space="preserve"> ADDIN EN.CITE.DATA </w:instrText>
      </w:r>
      <w:r w:rsidR="00614514">
        <w:rPr>
          <w:lang w:eastAsia="en-GB"/>
        </w:rPr>
      </w:r>
      <w:r w:rsidR="00614514">
        <w:rPr>
          <w:lang w:eastAsia="en-GB"/>
        </w:rPr>
        <w:fldChar w:fldCharType="end"/>
      </w:r>
      <w:r>
        <w:rPr>
          <w:lang w:eastAsia="en-GB"/>
        </w:rPr>
      </w:r>
      <w:r>
        <w:rPr>
          <w:lang w:eastAsia="en-GB"/>
        </w:rPr>
        <w:fldChar w:fldCharType="separate"/>
      </w:r>
      <w:r w:rsidR="00614514">
        <w:rPr>
          <w:noProof/>
          <w:lang w:eastAsia="en-GB"/>
        </w:rPr>
        <w:t>(see for example, Baum, Chakraborty, &amp; Liu, 2010; Farag, Mallin, &amp; Ow-Yong, 2014; Gompers et al., 2003; Hawas &amp; Tse, 2016)</w:t>
      </w:r>
      <w:r>
        <w:rPr>
          <w:lang w:eastAsia="en-GB"/>
        </w:rPr>
        <w:fldChar w:fldCharType="end"/>
      </w:r>
      <w:r>
        <w:rPr>
          <w:lang w:eastAsia="en-GB"/>
        </w:rPr>
        <w:t>.</w:t>
      </w:r>
      <w:r w:rsidR="00850D7D">
        <w:rPr>
          <w:lang w:eastAsia="en-GB"/>
        </w:rPr>
        <w:t xml:space="preserve"> </w:t>
      </w:r>
      <w:r>
        <w:rPr>
          <w:lang w:eastAsia="en-GB"/>
        </w:rPr>
        <w:t>The main advantage of using a composite measure is that it can provide a holistic view concerning the efficacy of a</w:t>
      </w:r>
      <w:r w:rsidRPr="00D408AA">
        <w:rPr>
          <w:lang w:eastAsia="en-GB"/>
        </w:rPr>
        <w:t xml:space="preserve"> firm</w:t>
      </w:r>
      <w:r>
        <w:rPr>
          <w:lang w:eastAsia="en-GB"/>
        </w:rPr>
        <w:t xml:space="preserve">’s corporate governance systems </w:t>
      </w:r>
      <w:r>
        <w:rPr>
          <w:lang w:eastAsia="en-GB"/>
        </w:rPr>
        <w:fldChar w:fldCharType="begin"/>
      </w:r>
      <w:r w:rsidR="00327CEC">
        <w:rPr>
          <w:lang w:eastAsia="en-GB"/>
        </w:rPr>
        <w:instrText xml:space="preserve"> ADDIN EN.CITE &lt;EndNote&gt;&lt;Cite&gt;&lt;Author&gt;Bikiris&lt;/Author&gt;&lt;Year&gt;2011&lt;/Year&gt;&lt;RecNum&gt;456&lt;/RecNum&gt;&lt;DisplayText&gt;(Bikiris &amp;amp; Doukakis, 2011)&lt;/DisplayText&gt;&lt;record&gt;&lt;rec-number&gt;456&lt;/rec-number&gt;&lt;foreign-keys&gt;&lt;key app="EN" db-id="s00xzp50xdvx90ea0ravv2dxzr2pdvrrzaff" timestamp="1452198474" guid="35b7cca7-6a3f-402a-b49d-1f02844379e4"&gt;456&lt;/key&gt;&lt;/foreign-keys&gt;&lt;ref-type name="Journal Article"&gt;17&lt;/ref-type&gt;&lt;contributors&gt;&lt;authors&gt;&lt;author&gt;Bikiris, F.V&lt;/author&gt;&lt;author&gt;Doukakis, L.C.&lt;/author&gt;&lt;/authors&gt;&lt;/contributors&gt;&lt;titles&gt;&lt;title&gt;Corporate governance and  accruals earnings management&lt;/title&gt;&lt;secondary-title&gt;Managerial and Decision Economics&lt;/secondary-title&gt;&lt;/titles&gt;&lt;periodical&gt;&lt;full-title&gt;Managerial and Decision Economics&lt;/full-title&gt;&lt;/periodical&gt;&lt;pages&gt;439-456&lt;/pages&gt;&lt;volume&gt;32&lt;/volume&gt;&lt;number&gt;7&lt;/number&gt;&lt;dates&gt;&lt;year&gt;2011&lt;/year&gt;&lt;/dates&gt;&lt;urls&gt;&lt;/urls&gt;&lt;/record&gt;&lt;/Cite&gt;&lt;/EndNote&gt;</w:instrText>
      </w:r>
      <w:r>
        <w:rPr>
          <w:lang w:eastAsia="en-GB"/>
        </w:rPr>
        <w:fldChar w:fldCharType="separate"/>
      </w:r>
      <w:r>
        <w:rPr>
          <w:noProof/>
          <w:lang w:eastAsia="en-GB"/>
        </w:rPr>
        <w:t>(Bikiris &amp; Doukakis, 2011)</w:t>
      </w:r>
      <w:r>
        <w:rPr>
          <w:lang w:eastAsia="en-GB"/>
        </w:rPr>
        <w:fldChar w:fldCharType="end"/>
      </w:r>
      <w:r w:rsidRPr="00D408AA">
        <w:rPr>
          <w:lang w:eastAsia="en-GB"/>
        </w:rPr>
        <w:t>.</w:t>
      </w:r>
      <w:r>
        <w:rPr>
          <w:lang w:eastAsia="en-GB"/>
        </w:rPr>
        <w:t xml:space="preserve"> Within the framework of agency theory, one of the key assumptions in using governance indices is that a higher level of compliance with a prescribed code of corporate governance will reflect better monitoring and control mechanisms to safeguard the interest of shareholders. A positive relationship between the level of compliance and shareholder value is therefore expected.</w:t>
      </w:r>
    </w:p>
    <w:p w14:paraId="6E075515" w14:textId="7FB4EE35" w:rsidR="00DB46CB" w:rsidRDefault="00DB46CB" w:rsidP="0092047F">
      <w:r w:rsidRPr="003D0EC3">
        <w:rPr>
          <w:lang w:eastAsia="en-GB"/>
        </w:rPr>
        <w:t xml:space="preserve">In the UK context, </w:t>
      </w:r>
      <w:r w:rsidRPr="003D0EC3">
        <w:rPr>
          <w:noProof/>
          <w:lang w:eastAsia="en-GB"/>
        </w:rPr>
        <w:fldChar w:fldCharType="begin"/>
      </w:r>
      <w:r w:rsidR="00327CEC">
        <w:rPr>
          <w:noProof/>
          <w:lang w:eastAsia="en-GB"/>
        </w:rPr>
        <w:instrText xml:space="preserve"> ADDIN EN.CITE &lt;EndNote&gt;&lt;Cite AuthorYear="1"&gt;&lt;Author&gt;Dahya&lt;/Author&gt;&lt;Year&gt;2007&lt;/Year&gt;&lt;RecNum&gt;253&lt;/RecNum&gt;&lt;DisplayText&gt;Dahya and McConnell (2007)&lt;/DisplayText&gt;&lt;record&gt;&lt;rec-number&gt;253&lt;/rec-number&gt;&lt;foreign-keys&gt;&lt;key app="EN" db-id="s00xzp50xdvx90ea0ravv2dxzr2pdvrrzaff" timestamp="1452197974" guid="a70f22a2-91db-4c9f-9fc5-170c3a3acb51"&gt;253&lt;/key&gt;&lt;/foreign-keys&gt;&lt;ref-type name="Journal Article"&gt;17&lt;/ref-type&gt;&lt;contributors&gt;&lt;authors&gt;&lt;author&gt;Dahya, Jay&lt;/author&gt;&lt;author&gt;McConnell, John&lt;/author&gt;&lt;/authors&gt;&lt;/contributors&gt;&lt;titles&gt;&lt;title&gt;Board composition, corporate performance, and the cadbury committee recommendation&lt;/title&gt;&lt;secondary-title&gt;Journal of Financial &amp;amp; Quantitative Analysis&lt;/secondary-title&gt;&lt;/titles&gt;&lt;periodical&gt;&lt;full-title&gt;Journal of Financial &amp;amp; Quantitative Analysis&lt;/full-title&gt;&lt;/periodical&gt;&lt;pages&gt;535-564&lt;/pages&gt;&lt;volume&gt;42&lt;/volume&gt;&lt;number&gt;3&lt;/number&gt;&lt;keywords&gt;&lt;keyword&gt;CORPORATE governance&lt;/keyword&gt;&lt;keyword&gt;DIRECTORS of corporations&lt;/keyword&gt;&lt;keyword&gt;RETURN on assets&lt;/keyword&gt;&lt;keyword&gt;CORPORATIONS&lt;/keyword&gt;&lt;keyword&gt;EXECUTIVES&lt;/keyword&gt;&lt;keyword&gt;GREAT Britain&lt;/keyword&gt;&lt;/keywords&gt;&lt;dates&gt;&lt;year&gt;2007&lt;/year&gt;&lt;/dates&gt;&lt;publisher&gt;Cambridge University Press&lt;/publisher&gt;&lt;isbn&gt;00221090&lt;/isbn&gt;&lt;urls&gt;&lt;related-urls&gt;&lt;url&gt;http://libezproxy.open.ac.uk/login?url=http://search.ebscohost.com/login.aspx?direct=true&amp;amp;db=bth&amp;amp;AN=26847689&amp;amp;site=ehost-live&amp;amp;scope=site&lt;/url&gt;&lt;/related-urls&gt;&lt;/urls&gt;&lt;/record&gt;&lt;/Cite&gt;&lt;/EndNote&gt;</w:instrText>
      </w:r>
      <w:r w:rsidRPr="003D0EC3">
        <w:rPr>
          <w:noProof/>
          <w:lang w:eastAsia="en-GB"/>
        </w:rPr>
        <w:fldChar w:fldCharType="separate"/>
      </w:r>
      <w:r w:rsidRPr="003D0EC3">
        <w:rPr>
          <w:noProof/>
          <w:lang w:eastAsia="en-GB"/>
        </w:rPr>
        <w:t>Dahya and McConnell (2007)</w:t>
      </w:r>
      <w:r w:rsidRPr="003D0EC3">
        <w:rPr>
          <w:noProof/>
          <w:lang w:eastAsia="en-GB"/>
        </w:rPr>
        <w:fldChar w:fldCharType="end"/>
      </w:r>
      <w:r w:rsidRPr="003D0EC3">
        <w:rPr>
          <w:noProof/>
          <w:lang w:eastAsia="en-GB"/>
        </w:rPr>
        <w:t xml:space="preserve"> find a positive relationship between compliance and performance</w:t>
      </w:r>
      <w:r>
        <w:rPr>
          <w:noProof/>
          <w:lang w:eastAsia="en-GB"/>
        </w:rPr>
        <w:t xml:space="preserve"> (operating performance and share prices)</w:t>
      </w:r>
      <w:r w:rsidRPr="003D0EC3">
        <w:rPr>
          <w:noProof/>
          <w:lang w:eastAsia="en-GB"/>
        </w:rPr>
        <w:t xml:space="preserve"> for a sample of non-financial companies.</w:t>
      </w:r>
      <w:r>
        <w:rPr>
          <w:noProof/>
          <w:lang w:eastAsia="en-GB"/>
        </w:rPr>
        <w:t xml:space="preserve"> Similarly, </w:t>
      </w:r>
      <w:r>
        <w:rPr>
          <w:lang w:eastAsia="en-GB"/>
        </w:rPr>
        <w:fldChar w:fldCharType="begin"/>
      </w:r>
      <w:r w:rsidR="00327CEC">
        <w:rPr>
          <w:lang w:eastAsia="en-GB"/>
        </w:rPr>
        <w:instrText xml:space="preserve"> ADDIN EN.CITE &lt;EndNote&gt;&lt;Cite AuthorYear="1"&gt;&lt;Author&gt;Farag&lt;/Author&gt;&lt;Year&gt;2014&lt;/Year&gt;&lt;RecNum&gt;517&lt;/RecNum&gt;&lt;DisplayText&gt;Farag et al. (2014)&lt;/DisplayText&gt;&lt;record&gt;&lt;rec-number&gt;517&lt;/rec-number&gt;&lt;foreign-keys&gt;&lt;key app="EN" db-id="s00xzp50xdvx90ea0ravv2dxzr2pdvrrzaff" timestamp="1452595166" guid="c3a412a2-7903-4014-8cde-cce5cf1305bf"&gt;517&lt;/key&gt;&lt;/foreign-keys&gt;&lt;ref-type name="Journal Article"&gt;17&lt;/ref-type&gt;&lt;contributors&gt;&lt;authors&gt;&lt;author&gt;Farag, Hisham&lt;/author&gt;&lt;author&gt;Mallin, Chris&lt;/author&gt;&lt;author&gt;Ow-Yong, Kean&lt;/author&gt;&lt;/authors&gt;&lt;/contributors&gt;&lt;titles&gt;&lt;title&gt;Governance, ownership structure, and performance of entrepreneurial IPOs in AIM companies&lt;/title&gt;&lt;secondary-title&gt;Corporate Governance: An International Review&lt;/secondary-title&gt;&lt;/titles&gt;&lt;periodical&gt;&lt;full-title&gt;Corporate Governance: An International Review&lt;/full-title&gt;&lt;/periodical&gt;&lt;pages&gt;100-115&lt;/pages&gt;&lt;volume&gt;22&lt;/volume&gt;&lt;number&gt;2&lt;/number&gt;&lt;dates&gt;&lt;year&gt;2014&lt;/year&gt;&lt;/dates&gt;&lt;isbn&gt;1467-8683&lt;/isbn&gt;&lt;urls&gt;&lt;/urls&gt;&lt;/record&gt;&lt;/Cite&gt;&lt;/EndNote&gt;</w:instrText>
      </w:r>
      <w:r>
        <w:rPr>
          <w:lang w:eastAsia="en-GB"/>
        </w:rPr>
        <w:fldChar w:fldCharType="separate"/>
      </w:r>
      <w:r w:rsidR="000A7F09">
        <w:rPr>
          <w:noProof/>
          <w:lang w:eastAsia="en-GB"/>
        </w:rPr>
        <w:t>Farag et al. (2014)</w:t>
      </w:r>
      <w:r>
        <w:rPr>
          <w:lang w:eastAsia="en-GB"/>
        </w:rPr>
        <w:fldChar w:fldCharType="end"/>
      </w:r>
      <w:r>
        <w:rPr>
          <w:lang w:eastAsia="en-GB"/>
        </w:rPr>
        <w:t xml:space="preserve"> reported a positive relationship between governance characteristics and financial performance of UK firms listed on the Alternative Investment Market (AIM).</w:t>
      </w:r>
      <w:r w:rsidRPr="002E0C41">
        <w:rPr>
          <w:lang w:eastAsia="en-GB"/>
        </w:rPr>
        <w:t xml:space="preserve"> </w:t>
      </w:r>
      <w:r>
        <w:rPr>
          <w:lang w:eastAsia="en-GB"/>
        </w:rPr>
        <w:t xml:space="preserve">More recently, </w:t>
      </w:r>
      <w:r>
        <w:rPr>
          <w:lang w:eastAsia="en-GB"/>
        </w:rPr>
        <w:fldChar w:fldCharType="begin"/>
      </w:r>
      <w:r w:rsidR="00327CEC">
        <w:rPr>
          <w:lang w:eastAsia="en-GB"/>
        </w:rPr>
        <w:instrText xml:space="preserve"> ADDIN EN.CITE &lt;EndNote&gt;&lt;Cite AuthorYear="1"&gt;&lt;Author&gt;Hawas&lt;/Author&gt;&lt;Year&gt;2016&lt;/Year&gt;&lt;RecNum&gt;566&lt;/RecNum&gt;&lt;DisplayText&gt;Hawas and Tse (2016)&lt;/DisplayText&gt;&lt;record&gt;&lt;rec-number&gt;566&lt;/rec-number&gt;&lt;foreign-keys&gt;&lt;key app="EN" db-id="s00xzp50xdvx90ea0ravv2dxzr2pdvrrzaff" timestamp="1452714892" guid="c82bec71-7fbc-4c3b-a133-ad1f177d269a"&gt;566&lt;/key&gt;&lt;/foreign-keys&gt;&lt;ref-type name="Journal Article"&gt;17&lt;/ref-type&gt;&lt;contributors&gt;&lt;authors&gt;&lt;author&gt;Hawas, Amira&lt;/author&gt;&lt;author&gt;Tse, Chin-Bun&lt;/author&gt;&lt;/authors&gt;&lt;/contributors&gt;&lt;titles&gt;&lt;title&gt;How Corporate Governance Affects Investment Decisions of Major Shareholders in UK Listed Companies Has the Recent Credit Crunch Changed the Game?&lt;/title&gt;&lt;secondary-title&gt;Journal of Accounting, Auditing &amp;amp; Finance&lt;/secondary-title&gt;&lt;/titles&gt;&lt;periodical&gt;&lt;full-title&gt;Journal of Accounting, Auditing &amp;amp; Finance&lt;/full-title&gt;&lt;/periodical&gt;&lt;pages&gt;100-133&lt;/pages&gt;&lt;volume&gt;31&lt;/volume&gt;&lt;number&gt;1&lt;/number&gt;&lt;dates&gt;&lt;year&gt;2016&lt;/year&gt;&lt;/dates&gt;&lt;isbn&gt;0148-558X&lt;/isbn&gt;&lt;urls&gt;&lt;/urls&gt;&lt;/record&gt;&lt;/Cite&gt;&lt;/EndNote&gt;</w:instrText>
      </w:r>
      <w:r>
        <w:rPr>
          <w:lang w:eastAsia="en-GB"/>
        </w:rPr>
        <w:fldChar w:fldCharType="separate"/>
      </w:r>
      <w:r>
        <w:rPr>
          <w:noProof/>
          <w:lang w:eastAsia="en-GB"/>
        </w:rPr>
        <w:t>Hawas and Tse (2016)</w:t>
      </w:r>
      <w:r>
        <w:rPr>
          <w:lang w:eastAsia="en-GB"/>
        </w:rPr>
        <w:fldChar w:fldCharType="end"/>
      </w:r>
      <w:r>
        <w:rPr>
          <w:lang w:eastAsia="en-GB"/>
        </w:rPr>
        <w:t xml:space="preserve"> document that compliance </w:t>
      </w:r>
      <w:r>
        <w:rPr>
          <w:lang w:eastAsia="en-GB"/>
        </w:rPr>
        <w:lastRenderedPageBreak/>
        <w:t xml:space="preserve">with the UK CGC is positively associated with major shareholdings, which </w:t>
      </w:r>
      <w:r w:rsidR="00E225B6">
        <w:rPr>
          <w:lang w:eastAsia="en-GB"/>
        </w:rPr>
        <w:t xml:space="preserve">would </w:t>
      </w:r>
      <w:r>
        <w:rPr>
          <w:lang w:eastAsia="en-GB"/>
        </w:rPr>
        <w:t>indicate that compliant firms are better monitored by such shareholders.</w:t>
      </w:r>
      <w:r w:rsidR="00954C27">
        <w:rPr>
          <w:lang w:eastAsia="en-GB"/>
        </w:rPr>
        <w:t xml:space="preserve"> Moreover, </w:t>
      </w:r>
      <w:r w:rsidR="00954C27">
        <w:rPr>
          <w:lang w:eastAsia="en-GB"/>
        </w:rPr>
        <w:fldChar w:fldCharType="begin"/>
      </w:r>
      <w:r w:rsidR="00954C27">
        <w:rPr>
          <w:lang w:eastAsia="en-GB"/>
        </w:rPr>
        <w:instrText xml:space="preserve"> ADDIN EN.CITE &lt;EndNote&gt;&lt;Cite AuthorYear="1"&gt;&lt;Author&gt;Baum&lt;/Author&gt;&lt;Year&gt;2010&lt;/Year&gt;&lt;RecNum&gt;1217&lt;/RecNum&gt;&lt;DisplayText&gt;Baum et al. (2010)&lt;/DisplayText&gt;&lt;record&gt;&lt;rec-number&gt;1217&lt;/rec-number&gt;&lt;foreign-keys&gt;&lt;key app="EN" db-id="s00xzp50xdvx90ea0ravv2dxzr2pdvrrzaff" timestamp="1592833681" guid="dff0df4d-df2f-48cf-a22d-7632912d977e"&gt;1217&lt;/key&gt;&lt;/foreign-keys&gt;&lt;ref-type name="Journal Article"&gt;17&lt;/ref-type&gt;&lt;contributors&gt;&lt;authors&gt;&lt;author&gt;Baum, Christopher F&lt;/author&gt;&lt;author&gt;Chakraborty, Atreya&lt;/author&gt;&lt;author&gt;Liu, Boyan&lt;/author&gt;&lt;/authors&gt;&lt;/contributors&gt;&lt;titles&gt;&lt;title&gt;The impact of macroeconomic uncertainty on firms&amp;apos; changes in financial leverage&lt;/title&gt;&lt;secondary-title&gt;International Journal of Finance &amp;amp; Economics&lt;/secondary-title&gt;&lt;/titles&gt;&lt;periodical&gt;&lt;full-title&gt;International Journal of Finance &amp;amp; Economics&lt;/full-title&gt;&lt;/periodical&gt;&lt;pages&gt;22-30&lt;/pages&gt;&lt;volume&gt;15&lt;/volume&gt;&lt;number&gt;1&lt;/number&gt;&lt;dates&gt;&lt;year&gt;2010&lt;/year&gt;&lt;/dates&gt;&lt;isbn&gt;1076-9307&lt;/isbn&gt;&lt;urls&gt;&lt;/urls&gt;&lt;/record&gt;&lt;/Cite&gt;&lt;/EndNote&gt;</w:instrText>
      </w:r>
      <w:r w:rsidR="00954C27">
        <w:rPr>
          <w:lang w:eastAsia="en-GB"/>
        </w:rPr>
        <w:fldChar w:fldCharType="separate"/>
      </w:r>
      <w:r w:rsidR="00954C27">
        <w:rPr>
          <w:noProof/>
          <w:lang w:eastAsia="en-GB"/>
        </w:rPr>
        <w:t>Baum et al. (2010)</w:t>
      </w:r>
      <w:r w:rsidR="00954C27">
        <w:rPr>
          <w:lang w:eastAsia="en-GB"/>
        </w:rPr>
        <w:fldChar w:fldCharType="end"/>
      </w:r>
      <w:r>
        <w:rPr>
          <w:lang w:eastAsia="en-GB"/>
        </w:rPr>
        <w:t xml:space="preserve"> </w:t>
      </w:r>
      <w:r w:rsidR="00954C27">
        <w:rPr>
          <w:lang w:eastAsia="en-GB"/>
        </w:rPr>
        <w:t xml:space="preserve">report that compliance </w:t>
      </w:r>
      <w:r w:rsidR="00C04725">
        <w:rPr>
          <w:lang w:eastAsia="en-GB"/>
        </w:rPr>
        <w:t xml:space="preserve">positively </w:t>
      </w:r>
      <w:r w:rsidR="00954C27">
        <w:rPr>
          <w:lang w:eastAsia="en-GB"/>
        </w:rPr>
        <w:t xml:space="preserve">affect the availability of credit during uncertain economic time. </w:t>
      </w:r>
      <w:r>
        <w:rPr>
          <w:lang w:eastAsia="en-GB"/>
        </w:rPr>
        <w:t xml:space="preserve">Interestingly, </w:t>
      </w:r>
      <w:r>
        <w:rPr>
          <w:lang w:eastAsia="en-GB"/>
        </w:rPr>
        <w:fldChar w:fldCharType="begin"/>
      </w:r>
      <w:r w:rsidR="00327CEC">
        <w:rPr>
          <w:lang w:eastAsia="en-GB"/>
        </w:rPr>
        <w:instrText xml:space="preserve"> ADDIN EN.CITE &lt;EndNote&gt;&lt;Cite AuthorYear="1"&gt;&lt;Author&gt;Dedman&lt;/Author&gt;&lt;Year&gt;2016&lt;/Year&gt;&lt;RecNum&gt;582&lt;/RecNum&gt;&lt;DisplayText&gt;Dedman (2016)&lt;/DisplayText&gt;&lt;record&gt;&lt;rec-number&gt;582&lt;/rec-number&gt;&lt;foreign-keys&gt;&lt;key app="EN" db-id="s00xzp50xdvx90ea0ravv2dxzr2pdvrrzaff" timestamp="1452772723" guid="3a1b57f5-c03b-4abe-88f3-33b87e36f636"&gt;582&lt;/key&gt;&lt;/foreign-keys&gt;&lt;ref-type name="Journal Article"&gt;17&lt;/ref-type&gt;&lt;contributors&gt;&lt;authors&gt;&lt;author&gt;Dedman, Elisabeth&lt;/author&gt;&lt;/authors&gt;&lt;/contributors&gt;&lt;titles&gt;&lt;title&gt;CEO succession in the UK: An analysis of the effect of censuring the CEO-to-chair move in the Combined Code on Corporate Governance 2003&lt;/title&gt;&lt;secondary-title&gt;The British Accounting Review&lt;/secondary-title&gt;&lt;/titles&gt;&lt;periodical&gt;&lt;full-title&gt;The British Accounting Review&lt;/full-title&gt;&lt;/periodical&gt;&lt;pages&gt;359-378&lt;/pages&gt;&lt;volume&gt;48&lt;/volume&gt;&lt;number&gt;3&lt;/number&gt;&lt;dates&gt;&lt;year&gt;2016&lt;/year&gt;&lt;/dates&gt;&lt;isbn&gt;0890-8389&lt;/isbn&gt;&lt;urls&gt;&lt;/urls&gt;&lt;/record&gt;&lt;/Cite&gt;&lt;/EndNote&gt;</w:instrText>
      </w:r>
      <w:r>
        <w:rPr>
          <w:lang w:eastAsia="en-GB"/>
        </w:rPr>
        <w:fldChar w:fldCharType="separate"/>
      </w:r>
      <w:r>
        <w:rPr>
          <w:noProof/>
          <w:lang w:eastAsia="en-GB"/>
        </w:rPr>
        <w:t>Dedman (2016)</w:t>
      </w:r>
      <w:r>
        <w:rPr>
          <w:lang w:eastAsia="en-GB"/>
        </w:rPr>
        <w:fldChar w:fldCharType="end"/>
      </w:r>
      <w:r>
        <w:rPr>
          <w:lang w:eastAsia="en-GB"/>
        </w:rPr>
        <w:t xml:space="preserve"> show that non-compliance with one particular provision of the governance code</w:t>
      </w:r>
      <w:r>
        <w:t xml:space="preserve"> is </w:t>
      </w:r>
      <w:r>
        <w:rPr>
          <w:lang w:eastAsia="en-GB"/>
        </w:rPr>
        <w:t>not detrimental, and may not negatively affect firm performance. However, if companies are non-compliant with most of the provisions consistently over a number of years, then it can be argued that such a practice might be harmful for a company’s performance.</w:t>
      </w:r>
    </w:p>
    <w:p w14:paraId="2A57F4C6" w14:textId="7FBADFE8" w:rsidR="00DB46CB" w:rsidRDefault="00DB46CB" w:rsidP="0092047F">
      <w:pPr>
        <w:rPr>
          <w:lang w:eastAsia="en-GB"/>
        </w:rPr>
      </w:pPr>
      <w:r>
        <w:rPr>
          <w:lang w:eastAsia="en-GB"/>
        </w:rPr>
        <w:t xml:space="preserve">The sample periods </w:t>
      </w:r>
      <w:r w:rsidR="00103E67">
        <w:rPr>
          <w:lang w:eastAsia="en-GB"/>
        </w:rPr>
        <w:t xml:space="preserve">of </w:t>
      </w:r>
      <w:r>
        <w:rPr>
          <w:lang w:eastAsia="en-GB"/>
        </w:rPr>
        <w:t>the aforementioned studies cover</w:t>
      </w:r>
      <w:r w:rsidRPr="00200792">
        <w:rPr>
          <w:lang w:eastAsia="en-GB"/>
        </w:rPr>
        <w:t xml:space="preserve"> a relatively stable economic </w:t>
      </w:r>
      <w:r>
        <w:rPr>
          <w:lang w:eastAsia="en-GB"/>
        </w:rPr>
        <w:t>environment which makes it difficult to generalise these findings during unstable financial periods.</w:t>
      </w:r>
      <w:r w:rsidRPr="00200792">
        <w:rPr>
          <w:lang w:eastAsia="en-GB"/>
        </w:rPr>
        <w:t xml:space="preserve"> </w:t>
      </w:r>
      <w:r>
        <w:rPr>
          <w:lang w:eastAsia="en-GB"/>
        </w:rPr>
        <w:t xml:space="preserve">In addition, to the best of </w:t>
      </w:r>
      <w:r w:rsidR="00103E67">
        <w:rPr>
          <w:lang w:eastAsia="en-GB"/>
        </w:rPr>
        <w:t xml:space="preserve">the authors’ </w:t>
      </w:r>
      <w:r>
        <w:rPr>
          <w:lang w:eastAsia="en-GB"/>
        </w:rPr>
        <w:t xml:space="preserve">knowledge, this is the first study to analyse the association between the level of non-compliance with the UK CGC and shareholder value for UK financial firms during the financial crisis. We therefore argue that as a result of the </w:t>
      </w:r>
      <w:r w:rsidRPr="00F93048">
        <w:rPr>
          <w:lang w:eastAsia="en-GB"/>
        </w:rPr>
        <w:t xml:space="preserve">collapse of large financial </w:t>
      </w:r>
      <w:r>
        <w:rPr>
          <w:lang w:eastAsia="en-GB"/>
        </w:rPr>
        <w:t xml:space="preserve">firms during the </w:t>
      </w:r>
      <w:r w:rsidRPr="0007115C">
        <w:rPr>
          <w:lang w:eastAsia="en-GB"/>
        </w:rPr>
        <w:t>financial</w:t>
      </w:r>
      <w:r>
        <w:rPr>
          <w:lang w:eastAsia="en-GB"/>
        </w:rPr>
        <w:t xml:space="preserve"> crisis, the governance compliance relationship in this sector merits investigation, and test the following hypothesis:</w:t>
      </w:r>
    </w:p>
    <w:p w14:paraId="0B562A5F" w14:textId="77777777" w:rsidR="00DB46CB" w:rsidRDefault="00DB46CB" w:rsidP="0092047F">
      <w:pPr>
        <w:ind w:left="454" w:hanging="454"/>
        <w:rPr>
          <w:rFonts w:eastAsia="Times New Roman" w:cs="Times New Roman"/>
          <w:i/>
          <w:szCs w:val="24"/>
          <w:lang w:eastAsia="en-GB"/>
        </w:rPr>
      </w:pPr>
      <w:r w:rsidRPr="00200792">
        <w:rPr>
          <w:rFonts w:eastAsia="Times New Roman" w:cs="Times New Roman"/>
          <w:i/>
          <w:szCs w:val="24"/>
          <w:lang w:eastAsia="en-GB"/>
        </w:rPr>
        <w:t>H</w:t>
      </w:r>
      <w:r w:rsidRPr="00A56387">
        <w:rPr>
          <w:rFonts w:eastAsia="Times New Roman" w:cs="Times New Roman"/>
          <w:i/>
          <w:szCs w:val="24"/>
          <w:vertAlign w:val="subscript"/>
          <w:lang w:eastAsia="en-GB"/>
        </w:rPr>
        <w:t>1</w:t>
      </w:r>
      <w:r w:rsidRPr="00200792">
        <w:rPr>
          <w:rFonts w:eastAsia="Times New Roman" w:cs="Times New Roman"/>
          <w:i/>
          <w:szCs w:val="24"/>
          <w:lang w:eastAsia="en-GB"/>
        </w:rPr>
        <w:t>: There is a negative relationship between the level of n</w:t>
      </w:r>
      <w:r>
        <w:rPr>
          <w:rFonts w:eastAsia="Times New Roman" w:cs="Times New Roman"/>
          <w:i/>
          <w:szCs w:val="24"/>
          <w:lang w:eastAsia="en-GB"/>
        </w:rPr>
        <w:t>on-compliance with the UK Corporate G</w:t>
      </w:r>
      <w:r w:rsidRPr="00200792">
        <w:rPr>
          <w:rFonts w:eastAsia="Times New Roman" w:cs="Times New Roman"/>
          <w:i/>
          <w:szCs w:val="24"/>
          <w:lang w:eastAsia="en-GB"/>
        </w:rPr>
        <w:t xml:space="preserve">overnance </w:t>
      </w:r>
      <w:r>
        <w:rPr>
          <w:rFonts w:eastAsia="Times New Roman" w:cs="Times New Roman"/>
          <w:i/>
          <w:szCs w:val="24"/>
          <w:lang w:eastAsia="en-GB"/>
        </w:rPr>
        <w:t>Code</w:t>
      </w:r>
      <w:r w:rsidRPr="00200792">
        <w:rPr>
          <w:rFonts w:eastAsia="Times New Roman" w:cs="Times New Roman"/>
          <w:i/>
          <w:szCs w:val="24"/>
          <w:lang w:eastAsia="en-GB"/>
        </w:rPr>
        <w:t xml:space="preserve"> and </w:t>
      </w:r>
      <w:r>
        <w:rPr>
          <w:rFonts w:eastAsia="Times New Roman" w:cs="Times New Roman"/>
          <w:i/>
          <w:szCs w:val="24"/>
          <w:lang w:eastAsia="en-GB"/>
        </w:rPr>
        <w:t>shareholder value.</w:t>
      </w:r>
    </w:p>
    <w:p w14:paraId="1E3C8C67" w14:textId="77777777" w:rsidR="00DA2827" w:rsidRDefault="007931BA" w:rsidP="00CA730A">
      <w:pPr>
        <w:rPr>
          <w:lang w:eastAsia="en-GB"/>
        </w:rPr>
      </w:pPr>
      <w:bookmarkStart w:id="0" w:name="_Hlk61519842"/>
      <w:r>
        <w:rPr>
          <w:lang w:eastAsia="en-GB"/>
        </w:rPr>
        <w:t xml:space="preserve">From the perspective of agency theory monitoring and </w:t>
      </w:r>
      <w:r w:rsidR="00447CA1">
        <w:rPr>
          <w:lang w:eastAsia="en-GB"/>
        </w:rPr>
        <w:t>incentives</w:t>
      </w:r>
      <w:r>
        <w:rPr>
          <w:lang w:eastAsia="en-GB"/>
        </w:rPr>
        <w:t xml:space="preserve"> are fundamental tools for solving moral hazard and adverse selection problems</w:t>
      </w:r>
      <w:r w:rsidR="00252B40">
        <w:rPr>
          <w:lang w:eastAsia="en-GB"/>
        </w:rPr>
        <w:t xml:space="preserve"> </w:t>
      </w:r>
      <w:r w:rsidR="00252B40">
        <w:rPr>
          <w:lang w:eastAsia="en-GB"/>
        </w:rPr>
        <w:fldChar w:fldCharType="begin">
          <w:fldData xml:space="preserve">PEVuZE5vdGU+PENpdGU+PEF1dGhvcj5KZW5zZW48L0F1dGhvcj48WWVhcj4xOTc2PC9ZZWFyPjxS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</w:fldData>
        </w:fldChar>
      </w:r>
      <w:r w:rsidR="00252B40">
        <w:rPr>
          <w:lang w:eastAsia="en-GB"/>
        </w:rPr>
        <w:instrText xml:space="preserve"> ADDIN EN.CITE </w:instrText>
      </w:r>
      <w:r w:rsidR="00252B40">
        <w:rPr>
          <w:lang w:eastAsia="en-GB"/>
        </w:rPr>
        <w:fldChar w:fldCharType="begin">
          <w:fldData xml:space="preserve">PEVuZE5vdGU+PENpdGU+PEF1dGhvcj5KZW5zZW48L0F1dGhvcj48WWVhcj4xOTc2PC9ZZWFyPjxS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</w:fldData>
        </w:fldChar>
      </w:r>
      <w:r w:rsidR="00252B40">
        <w:rPr>
          <w:lang w:eastAsia="en-GB"/>
        </w:rPr>
        <w:instrText xml:space="preserve"> ADDIN EN.CITE.DATA </w:instrText>
      </w:r>
      <w:r w:rsidR="00252B40">
        <w:rPr>
          <w:lang w:eastAsia="en-GB"/>
        </w:rPr>
      </w:r>
      <w:r w:rsidR="00252B40">
        <w:rPr>
          <w:lang w:eastAsia="en-GB"/>
        </w:rPr>
        <w:fldChar w:fldCharType="end"/>
      </w:r>
      <w:r w:rsidR="00252B40">
        <w:rPr>
          <w:lang w:eastAsia="en-GB"/>
        </w:rPr>
      </w:r>
      <w:r w:rsidR="00252B40">
        <w:rPr>
          <w:lang w:eastAsia="en-GB"/>
        </w:rPr>
        <w:fldChar w:fldCharType="separate"/>
      </w:r>
      <w:r w:rsidR="00252B40">
        <w:rPr>
          <w:noProof/>
          <w:lang w:eastAsia="en-GB"/>
        </w:rPr>
        <w:t>(Jensen &amp; Meckling, 1976; Shleifer &amp; Vishny, 1997)</w:t>
      </w:r>
      <w:r w:rsidR="00252B40">
        <w:rPr>
          <w:lang w:eastAsia="en-GB"/>
        </w:rPr>
        <w:fldChar w:fldCharType="end"/>
      </w:r>
      <w:r w:rsidR="00252B40">
        <w:rPr>
          <w:lang w:eastAsia="en-GB"/>
        </w:rPr>
        <w:t xml:space="preserve">. In line with this,  </w:t>
      </w:r>
      <w:r w:rsidR="00DB46CB">
        <w:rPr>
          <w:lang w:eastAsia="en-GB"/>
        </w:rPr>
        <w:fldChar w:fldCharType="begin"/>
      </w:r>
      <w:r w:rsidR="00327CEC">
        <w:rPr>
          <w:lang w:eastAsia="en-GB"/>
        </w:rPr>
        <w:instrText xml:space="preserve"> ADDIN EN.CITE &lt;EndNote&gt;&lt;Cite AuthorYear="1"&gt;&lt;Author&gt;Adams&lt;/Author&gt;&lt;Year&gt;2010&lt;/Year&gt;&lt;RecNum&gt;575&lt;/RecNum&gt;&lt;DisplayText&gt;Adams, Hermalin, and Weisbach (2010)&lt;/DisplayText&gt;&lt;record&gt;&lt;rec-number&gt;575&lt;/rec-number&gt;&lt;foreign-keys&gt;&lt;key app="EN" db-id="s00xzp50xdvx90ea0ravv2dxzr2pdvrrzaff" timestamp="1452770835" guid="d7de4d2b-8d2c-4709-8b8e-e72d775addcd"&gt;575&lt;/key&gt;&lt;/foreign-keys&gt;&lt;ref-type name="Journal Article"&gt;17&lt;/ref-type&gt;&lt;contributors&gt;&lt;authors&gt;&lt;author&gt;Adams, Renee B.&lt;/author&gt;&lt;author&gt;Hermalin, Benjamin E.&lt;/author&gt;&lt;author&gt;Weisbach, Michael S.&lt;/author&gt;&lt;/authors&gt;&lt;/contributors&gt;&lt;titles&gt;&lt;title&gt;The Role of Boards of Directors in Corporate Governance: A Conceptual Framework and Survey&lt;/title&gt;&lt;secondary-title&gt;Journal of Economic Literature&lt;/secondary-title&gt;&lt;/titles&gt;&lt;periodical&gt;&lt;full-title&gt;Journal of Economic Literature&lt;/full-title&gt;&lt;/periodical&gt;&lt;pages&gt;58-107&lt;/pages&gt;&lt;volume&gt;48&lt;/volume&gt;&lt;number&gt;1&lt;/number&gt;&lt;dates&gt;&lt;year&gt;2010&lt;/year&gt;&lt;/dates&gt;&lt;urls&gt;&lt;related-urls&gt;&lt;url&gt;http://www.aeaweb.org/articles.php?doi=10.1257/jel.48.1.58&lt;/url&gt;&lt;/related-urls&gt;&lt;/urls&gt;&lt;electronic-resource-num&gt;doi: 10.1257/jel.48.1.58&lt;/electronic-resource-num&gt;&lt;/record&gt;&lt;/Cite&gt;&lt;/EndNote&gt;</w:instrText>
      </w:r>
      <w:r w:rsidR="00DB46CB">
        <w:rPr>
          <w:lang w:eastAsia="en-GB"/>
        </w:rPr>
        <w:fldChar w:fldCharType="separate"/>
      </w:r>
      <w:r w:rsidR="00DB46CB">
        <w:rPr>
          <w:noProof/>
          <w:lang w:eastAsia="en-GB"/>
        </w:rPr>
        <w:t>Adams, Hermalin, and Weisbach (2010)</w:t>
      </w:r>
      <w:r w:rsidR="00DB46CB">
        <w:rPr>
          <w:lang w:eastAsia="en-GB"/>
        </w:rPr>
        <w:fldChar w:fldCharType="end"/>
      </w:r>
      <w:r w:rsidR="00DB46CB">
        <w:rPr>
          <w:lang w:eastAsia="en-GB"/>
        </w:rPr>
        <w:t xml:space="preserve"> </w:t>
      </w:r>
      <w:r w:rsidR="00DB46CB" w:rsidRPr="009A24FA">
        <w:rPr>
          <w:lang w:eastAsia="en-GB"/>
        </w:rPr>
        <w:t>document that board size, independence and executive compensation are</w:t>
      </w:r>
      <w:r w:rsidR="00DB46CB">
        <w:rPr>
          <w:lang w:eastAsia="en-GB"/>
        </w:rPr>
        <w:t xml:space="preserve"> of</w:t>
      </w:r>
      <w:r w:rsidR="00DB46CB" w:rsidRPr="009A24FA">
        <w:rPr>
          <w:lang w:eastAsia="en-GB"/>
        </w:rPr>
        <w:t xml:space="preserve"> particular importance in mitigating agency problems in </w:t>
      </w:r>
      <w:r w:rsidR="00DB46CB">
        <w:rPr>
          <w:lang w:eastAsia="en-GB"/>
        </w:rPr>
        <w:t>financial institutions.</w:t>
      </w:r>
      <w:r w:rsidR="00252B40">
        <w:rPr>
          <w:lang w:eastAsia="en-GB"/>
        </w:rPr>
        <w:t xml:space="preserve"> In addition</w:t>
      </w:r>
      <w:r w:rsidR="008A42B2">
        <w:rPr>
          <w:lang w:eastAsia="en-GB"/>
        </w:rPr>
        <w:t>,</w:t>
      </w:r>
      <w:r w:rsidR="00DB46CB">
        <w:rPr>
          <w:lang w:eastAsia="en-GB"/>
        </w:rPr>
        <w:t xml:space="preserve"> studies have </w:t>
      </w:r>
      <w:r w:rsidR="00252B40">
        <w:rPr>
          <w:lang w:eastAsia="en-GB"/>
        </w:rPr>
        <w:t xml:space="preserve">also </w:t>
      </w:r>
      <w:r w:rsidR="00DB46CB">
        <w:rPr>
          <w:lang w:eastAsia="en-GB"/>
        </w:rPr>
        <w:t xml:space="preserve">documented that board structures affect </w:t>
      </w:r>
      <w:r w:rsidR="00252B40">
        <w:rPr>
          <w:lang w:eastAsia="en-GB"/>
        </w:rPr>
        <w:t xml:space="preserve">the </w:t>
      </w:r>
      <w:r w:rsidR="00DB46CB">
        <w:rPr>
          <w:lang w:eastAsia="en-GB"/>
        </w:rPr>
        <w:t xml:space="preserve">degree of compliance with disclosure requirements </w:t>
      </w:r>
      <w:r w:rsidR="00DB46CB">
        <w:rPr>
          <w:lang w:eastAsia="en-GB"/>
        </w:rPr>
        <w:fldChar w:fldCharType="begin"/>
      </w:r>
      <w:r w:rsidR="00327CEC">
        <w:rPr>
          <w:lang w:eastAsia="en-GB"/>
        </w:rPr>
        <w:instrText xml:space="preserve"> ADDIN EN.CITE &lt;EndNote&gt;&lt;Cite&gt;&lt;Author&gt;Mangena&lt;/Author&gt;&lt;Year&gt;2007&lt;/Year&gt;&lt;RecNum&gt;1037&lt;/RecNum&gt;&lt;DisplayText&gt;(Mangena &amp;amp; Tauringana, 2007)&lt;/DisplayText&gt;&lt;record&gt;&lt;rec-number&gt;1037&lt;/rec-number&gt;&lt;foreign-keys&gt;&lt;key app="EN" db-id="s00xzp50xdvx90ea0ravv2dxzr2pdvrrzaff" timestamp="1532349590" guid="ec36837f-6c6e-45c5-bc40-1d15769d3991"&gt;1037&lt;/key&gt;&lt;/foreign-keys&gt;&lt;ref-type name="Journal Article"&gt;17&lt;/ref-type&gt;&lt;contributors&gt;&lt;authors&gt;&lt;author&gt;Mangena, Musa&lt;/author&gt;&lt;author&gt;Tauringana, Venancio&lt;/author&gt;&lt;/authors&gt;&lt;/contributors&gt;&lt;titles&gt;&lt;title&gt;Corporate Compliance with Non-Mandatory Statements of Best Practice: The Case of the ASB Statement on Interim Reports&lt;/title&gt;&lt;secondary-title&gt;European Accounting Review&lt;/secondary-title&gt;&lt;/titles&gt;&lt;periodical&gt;&lt;full-title&gt;European Accounting Review&lt;/full-title&gt;&lt;/periodical&gt;&lt;pages&gt;399-427&lt;/pages&gt;&lt;volume&gt;16&lt;/volume&gt;&lt;number&gt;2&lt;/number&gt;&lt;dates&gt;&lt;year&gt;2007&lt;/year&gt;&lt;pub-dates&gt;&lt;date&gt;2007/07/01&lt;/date&gt;&lt;/pub-dates&gt;&lt;/dates&gt;&lt;publisher&gt;Routledge&lt;/publisher&gt;&lt;isbn&gt;0963-8180&lt;/isbn&gt;&lt;urls&gt;&lt;related-urls&gt;&lt;url&gt;https://doi.org/10.1080/09638180701391014&lt;/url&gt;&lt;/related-urls&gt;&lt;/urls&gt;&lt;electronic-resource-num&gt;10.1080/09638180701391014&lt;/electronic-resource-num&gt;&lt;/record&gt;&lt;/Cite&gt;&lt;/EndNote&gt;</w:instrText>
      </w:r>
      <w:r w:rsidR="00DB46CB">
        <w:rPr>
          <w:lang w:eastAsia="en-GB"/>
        </w:rPr>
        <w:fldChar w:fldCharType="separate"/>
      </w:r>
      <w:r w:rsidR="00DB46CB">
        <w:rPr>
          <w:noProof/>
          <w:lang w:eastAsia="en-GB"/>
        </w:rPr>
        <w:t>(Mangena &amp; Tauringana, 2007)</w:t>
      </w:r>
      <w:r w:rsidR="00DB46CB">
        <w:rPr>
          <w:lang w:eastAsia="en-GB"/>
        </w:rPr>
        <w:fldChar w:fldCharType="end"/>
      </w:r>
      <w:r w:rsidR="00DB46CB">
        <w:rPr>
          <w:lang w:eastAsia="en-GB"/>
        </w:rPr>
        <w:t xml:space="preserve"> and risk of bankruptcy </w:t>
      </w:r>
      <w:r w:rsidR="00DB46CB">
        <w:rPr>
          <w:lang w:eastAsia="en-GB"/>
        </w:rPr>
        <w:fldChar w:fldCharType="begin"/>
      </w:r>
      <w:r w:rsidR="00327CEC">
        <w:rPr>
          <w:lang w:eastAsia="en-GB"/>
        </w:rPr>
        <w:instrText xml:space="preserve"> ADDIN EN.CITE &lt;EndNote&gt;&lt;Cite&gt;&lt;Author&gt;Darrat&lt;/Author&gt;&lt;Year&gt;2016&lt;/Year&gt;&lt;RecNum&gt;820&lt;/RecNum&gt;&lt;DisplayText&gt;(Darrat, Gray, Park, &amp;amp; Wu, 2016)&lt;/DisplayText&gt;&lt;record&gt;&lt;rec-number&gt;820&lt;/rec-number&gt;&lt;foreign-keys&gt;&lt;key app="EN" db-id="s00xzp50xdvx90ea0ravv2dxzr2pdvrrzaff" timestamp="1486559241" guid="ba1628b0-f4c9-4265-85c3-35d20e378ca8"&gt;820&lt;/key&gt;&lt;/foreign-keys&gt;&lt;ref-type name="Journal Article"&gt;17&lt;/ref-type&gt;&lt;contributors&gt;&lt;authors&gt;&lt;author&gt;Darrat, Ali F.&lt;/author&gt;&lt;author&gt;Gray, Stephen&lt;/author&gt;&lt;author&gt;Park, Jung Chul&lt;/author&gt;&lt;author&gt;Wu, Yanhui&lt;/author&gt;&lt;/authors&gt;&lt;/contributors&gt;&lt;titles&gt;&lt;title&gt;Corporate Governance and Bankruptcy Risk&lt;/title&gt;&lt;secondary-title&gt;Journal of Accounting, Auditing &amp;amp; Finance&lt;/secondary-title&gt;&lt;/titles&gt;&lt;periodical&gt;&lt;full-title&gt;Journal of Accounting, Auditing &amp;amp; Finance&lt;/full-title&gt;&lt;/periodical&gt;&lt;pages&gt;163-202&lt;/pages&gt;&lt;volume&gt;31&lt;/volume&gt;&lt;number&gt;2&lt;/number&gt;&lt;keywords&gt;&lt;keyword&gt;Corporate governance&lt;/keyword&gt;&lt;keyword&gt;Bankruptcy&lt;/keyword&gt;&lt;keyword&gt;Business failures&lt;/keyword&gt;&lt;keyword&gt;Corporations&lt;/keyword&gt;&lt;keyword&gt;Business enterprises&lt;/keyword&gt;&lt;keyword&gt;Business&lt;/keyword&gt;&lt;keyword&gt;board characteristics&lt;/keyword&gt;&lt;keyword&gt;CEO characteristics&lt;/keyword&gt;&lt;keyword&gt;management characteristics&lt;/keyword&gt;&lt;/keywords&gt;&lt;dates&gt;&lt;year&gt;2016&lt;/year&gt;&lt;/dates&gt;&lt;publisher&gt;Sage Publications Inc.&lt;/publisher&gt;&lt;isbn&gt;0148558X&lt;/isbn&gt;&lt;accession-num&gt;113847444&lt;/accession-num&gt;&lt;work-type&gt;Article&lt;/work-type&gt;&lt;urls&gt;&lt;related-urls&gt;&lt;url&gt;http://libezproxy.open.ac.uk/login?url=http://search.ebscohost.com/login.aspx?direct=true&amp;amp;db=bth&amp;amp;AN=113847444&amp;amp;site=ehost-live&amp;amp;scope=site&lt;/url&gt;&lt;/related-urls&gt;&lt;/urls&gt;&lt;electronic-resource-num&gt;10.1177/0148558X14560898&lt;/electronic-resource-num&gt;&lt;remote-database-name&gt;bth&lt;/remote-database-name&gt;&lt;remote-database-provider&gt;EBSCOhost&lt;/remote-database-provider&gt;&lt;/record&gt;&lt;/Cite&gt;&lt;/EndNote&gt;</w:instrText>
      </w:r>
      <w:r w:rsidR="00DB46CB">
        <w:rPr>
          <w:lang w:eastAsia="en-GB"/>
        </w:rPr>
        <w:fldChar w:fldCharType="separate"/>
      </w:r>
      <w:r w:rsidR="00DB46CB">
        <w:rPr>
          <w:noProof/>
          <w:lang w:eastAsia="en-GB"/>
        </w:rPr>
        <w:t>(Darrat, Gray, Park, &amp; Wu, 2016)</w:t>
      </w:r>
      <w:r w:rsidR="00DB46CB">
        <w:rPr>
          <w:lang w:eastAsia="en-GB"/>
        </w:rPr>
        <w:fldChar w:fldCharType="end"/>
      </w:r>
      <w:r w:rsidR="00DB46CB">
        <w:rPr>
          <w:lang w:eastAsia="en-GB"/>
        </w:rPr>
        <w:t xml:space="preserve">. </w:t>
      </w:r>
      <w:r w:rsidR="00252B40">
        <w:rPr>
          <w:lang w:eastAsia="en-GB"/>
        </w:rPr>
        <w:t xml:space="preserve">Therefore, </w:t>
      </w:r>
      <w:r w:rsidR="00252B40">
        <w:rPr>
          <w:lang w:eastAsia="en-GB"/>
        </w:rPr>
        <w:lastRenderedPageBreak/>
        <w:t>monitoring and compensation will have implications for firm performance during a financial crisis.</w:t>
      </w:r>
    </w:p>
    <w:p w14:paraId="70BB1B75" w14:textId="257BAE46" w:rsidR="00CA730A" w:rsidRDefault="00CA730A" w:rsidP="00CA730A">
      <w:pPr>
        <w:rPr>
          <w:lang w:eastAsia="en-GB"/>
        </w:rPr>
      </w:pPr>
      <w:r w:rsidRPr="00CA730A">
        <w:rPr>
          <w:lang w:eastAsia="en-GB"/>
        </w:rPr>
        <w:t>Most of the literature in this area support</w:t>
      </w:r>
      <w:r w:rsidR="00FA03B3">
        <w:rPr>
          <w:lang w:eastAsia="en-GB"/>
        </w:rPr>
        <w:t>s</w:t>
      </w:r>
      <w:r w:rsidRPr="00CA730A">
        <w:rPr>
          <w:lang w:eastAsia="en-GB"/>
        </w:rPr>
        <w:t xml:space="preserve"> the view</w:t>
      </w:r>
      <w:r w:rsidR="00D26755">
        <w:rPr>
          <w:lang w:eastAsia="en-GB"/>
        </w:rPr>
        <w:t xml:space="preserve"> that</w:t>
      </w:r>
      <w:r w:rsidRPr="00CA730A">
        <w:rPr>
          <w:lang w:eastAsia="en-GB"/>
        </w:rPr>
        <w:t xml:space="preserve"> enhanced monitoring and performance linked </w:t>
      </w:r>
      <w:r w:rsidR="00943047">
        <w:rPr>
          <w:lang w:eastAsia="en-GB"/>
        </w:rPr>
        <w:t xml:space="preserve">incentives </w:t>
      </w:r>
      <w:r w:rsidRPr="00CA730A">
        <w:rPr>
          <w:lang w:eastAsia="en-GB"/>
        </w:rPr>
        <w:t xml:space="preserve"> have a positive impact on firms’ performance </w:t>
      </w:r>
      <w:r w:rsidRPr="00CA730A">
        <w:rPr>
          <w:lang w:eastAsia="en-GB"/>
        </w:rPr>
        <w:fldChar w:fldCharType="begin">
          <w:fldData xml:space="preserve">PEVuZE5vdGU+PENpdGU+PEF1dGhvcj5NdXJwaHk8L0F1dGhvcj48WWVhcj4xOTg1PC9ZZWFyPjxS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</w:fldData>
        </w:fldChar>
      </w:r>
      <w:r w:rsidRPr="00CA730A">
        <w:rPr>
          <w:lang w:eastAsia="en-GB"/>
        </w:rPr>
        <w:instrText xml:space="preserve"> ADDIN EN.CITE </w:instrText>
      </w:r>
      <w:r w:rsidRPr="00CA730A">
        <w:rPr>
          <w:lang w:eastAsia="en-GB"/>
        </w:rPr>
        <w:fldChar w:fldCharType="begin">
          <w:fldData xml:space="preserve">PEVuZE5vdGU+PENpdGU+PEF1dGhvcj5NdXJwaHk8L0F1dGhvcj48WWVhcj4xOTg1PC9ZZWFyPjxS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</w:fldData>
        </w:fldChar>
      </w:r>
      <w:r w:rsidRPr="00CA730A">
        <w:rPr>
          <w:lang w:eastAsia="en-GB"/>
        </w:rPr>
        <w:instrText xml:space="preserve"> ADDIN EN.CITE.DATA </w:instrText>
      </w:r>
      <w:r w:rsidRPr="00CA730A">
        <w:rPr>
          <w:lang w:eastAsia="en-GB"/>
        </w:rPr>
      </w:r>
      <w:r w:rsidRPr="00CA730A">
        <w:rPr>
          <w:lang w:eastAsia="en-GB"/>
        </w:rPr>
        <w:fldChar w:fldCharType="end"/>
      </w:r>
      <w:r w:rsidRPr="00CA730A">
        <w:rPr>
          <w:lang w:eastAsia="en-GB"/>
        </w:rPr>
      </w:r>
      <w:r w:rsidRPr="00CA730A">
        <w:rPr>
          <w:lang w:eastAsia="en-GB"/>
        </w:rPr>
        <w:fldChar w:fldCharType="separate"/>
      </w:r>
      <w:r w:rsidRPr="00CA730A">
        <w:rPr>
          <w:lang w:eastAsia="en-GB"/>
        </w:rPr>
        <w:t>(see for example, Bayless, 2009; Benito &amp; Conyon, 1999; Benston, 1985; Chen, Zhang, Xiao, &amp; Li, 2011; Coughlan &amp; Schmidt, 1985; Florackis, 2005; Murphy, 1985; Ozkan, 2011)</w:t>
      </w:r>
      <w:r w:rsidRPr="00CA730A">
        <w:rPr>
          <w:lang w:eastAsia="en-GB"/>
        </w:rPr>
        <w:fldChar w:fldCharType="end"/>
      </w:r>
      <w:r w:rsidRPr="00CA730A">
        <w:rPr>
          <w:lang w:eastAsia="en-GB"/>
        </w:rPr>
        <w:t xml:space="preserve">. However, many studies show a negative relationship between compensation and firm performance and regard it as a sign of weak internal corporate governance and agency cost </w:t>
      </w:r>
      <w:r w:rsidRPr="00CA730A">
        <w:rPr>
          <w:lang w:eastAsia="en-GB"/>
        </w:rPr>
        <w:fldChar w:fldCharType="begin">
          <w:fldData xml:space="preserve">PEVuZE5vdGU+PENpdGU+PEF1dGhvcj5EZW5pczwvQXV0aG9yPjxZZWFyPjIwMDY8L1llYXI+PFJl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</w:fldData>
        </w:fldChar>
      </w:r>
      <w:r w:rsidRPr="00CA730A">
        <w:rPr>
          <w:lang w:eastAsia="en-GB"/>
        </w:rPr>
        <w:instrText xml:space="preserve"> ADDIN EN.CITE </w:instrText>
      </w:r>
      <w:r w:rsidRPr="00CA730A">
        <w:rPr>
          <w:lang w:eastAsia="en-GB"/>
        </w:rPr>
        <w:fldChar w:fldCharType="begin">
          <w:fldData xml:space="preserve">PEVuZE5vdGU+PENpdGU+PEF1dGhvcj5EZW5pczwvQXV0aG9yPjxZZWFyPjIwMDY8L1llYXI+PFJl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</w:fldData>
        </w:fldChar>
      </w:r>
      <w:r w:rsidRPr="00CA730A">
        <w:rPr>
          <w:lang w:eastAsia="en-GB"/>
        </w:rPr>
        <w:instrText xml:space="preserve"> ADDIN EN.CITE.DATA </w:instrText>
      </w:r>
      <w:r w:rsidRPr="00CA730A">
        <w:rPr>
          <w:lang w:eastAsia="en-GB"/>
        </w:rPr>
      </w:r>
      <w:r w:rsidRPr="00CA730A">
        <w:rPr>
          <w:lang w:eastAsia="en-GB"/>
        </w:rPr>
        <w:fldChar w:fldCharType="end"/>
      </w:r>
      <w:r w:rsidRPr="00CA730A">
        <w:rPr>
          <w:lang w:eastAsia="en-GB"/>
        </w:rPr>
      </w:r>
      <w:r w:rsidRPr="00CA730A">
        <w:rPr>
          <w:lang w:eastAsia="en-GB"/>
        </w:rPr>
        <w:fldChar w:fldCharType="separate"/>
      </w:r>
      <w:r w:rsidRPr="00CA730A">
        <w:rPr>
          <w:lang w:eastAsia="en-GB"/>
        </w:rPr>
        <w:t>(Adams, 2012; Bebchuk &amp; Fried, 2003; Denis, Hanouna, &amp; Sarin, 2006; Florackis &amp; Ozkan, 2008)</w:t>
      </w:r>
      <w:r w:rsidRPr="00CA730A">
        <w:rPr>
          <w:lang w:eastAsia="en-GB"/>
        </w:rPr>
        <w:fldChar w:fldCharType="end"/>
      </w:r>
      <w:r w:rsidRPr="00CA730A">
        <w:rPr>
          <w:lang w:eastAsia="en-GB"/>
        </w:rPr>
        <w:t xml:space="preserve">. Moreover, in the context of the 2007–2008 financial crisis, </w:t>
      </w:r>
      <w:proofErr w:type="spellStart"/>
      <w:r w:rsidRPr="00CA730A">
        <w:rPr>
          <w:lang w:eastAsia="en-GB"/>
        </w:rPr>
        <w:t>Fahlenbrach</w:t>
      </w:r>
      <w:proofErr w:type="spellEnd"/>
      <w:r w:rsidRPr="00CA730A">
        <w:rPr>
          <w:lang w:eastAsia="en-GB"/>
        </w:rPr>
        <w:t xml:space="preserve"> and </w:t>
      </w:r>
      <w:proofErr w:type="spellStart"/>
      <w:r w:rsidRPr="00CA730A">
        <w:rPr>
          <w:lang w:eastAsia="en-GB"/>
        </w:rPr>
        <w:t>Stulz</w:t>
      </w:r>
      <w:proofErr w:type="spellEnd"/>
      <w:r w:rsidRPr="00CA730A">
        <w:rPr>
          <w:lang w:eastAsia="en-GB"/>
        </w:rPr>
        <w:t xml:space="preserve"> </w:t>
      </w:r>
      <w:r w:rsidRPr="00CA730A">
        <w:rPr>
          <w:lang w:eastAsia="en-GB"/>
        </w:rPr>
        <w:fldChar w:fldCharType="begin"/>
      </w:r>
      <w:r w:rsidRPr="00CA730A">
        <w:rPr>
          <w:lang w:eastAsia="en-GB"/>
        </w:rPr>
        <w:instrText xml:space="preserve"> ADDIN EN.CITE &lt;EndNote&gt;&lt;Cite ExcludeAuth="1"&gt;&lt;Author&gt;Fahlenbrach&lt;/Author&gt;&lt;Year&gt;2011&lt;/Year&gt;&lt;RecNum&gt;400&lt;/RecNum&gt;&lt;DisplayText&gt;(2011)&lt;/DisplayText&gt;&lt;record&gt;&lt;rec-number&gt;400&lt;/rec-number&gt;&lt;foreign-keys&gt;&lt;key app="EN" db-id="s00xzp50xdvx90ea0ravv2dxzr2pdvrrzaff" timestamp="1452198325" guid="2e36649f-b4a4-446e-b550-da438437cb32"&gt;400&lt;/key&gt;&lt;/foreign-keys&gt;&lt;ref-type name="Journal Article"&gt;17&lt;/ref-type&gt;&lt;contributors&gt;&lt;authors&gt;&lt;author&gt;Fahlenbrach, R.&lt;/author&gt;&lt;author&gt;Stulz, R.M.&lt;/author&gt;&lt;/authors&gt;&lt;/contributors&gt;&lt;titles&gt;&lt;title&gt;Bank CEO incentives and the credit crisis&lt;/title&gt;&lt;secondary-title&gt;Journal of Financial Economics&lt;/secondary-title&gt;&lt;/titles&gt;&lt;periodical&gt;&lt;full-title&gt;Journal of Financial Economics&lt;/full-title&gt;&lt;/periodical&gt;&lt;pages&gt;11-26&lt;/pages&gt;&lt;volume&gt;99&lt;/volume&gt;&lt;number&gt;1&lt;/number&gt;&lt;dates&gt;&lt;year&gt;2011&lt;/year&gt;&lt;/dates&gt;&lt;isbn&gt;0304-405X&lt;/isbn&gt;&lt;urls&gt;&lt;/urls&gt;&lt;/record&gt;&lt;/Cite&gt;&lt;/EndNote&gt;</w:instrText>
      </w:r>
      <w:r w:rsidRPr="00CA730A">
        <w:rPr>
          <w:lang w:eastAsia="en-GB"/>
        </w:rPr>
        <w:fldChar w:fldCharType="separate"/>
      </w:r>
      <w:r w:rsidRPr="00CA730A">
        <w:rPr>
          <w:lang w:eastAsia="en-GB"/>
        </w:rPr>
        <w:t>(2011)</w:t>
      </w:r>
      <w:r w:rsidRPr="00CA730A">
        <w:rPr>
          <w:lang w:eastAsia="en-GB"/>
        </w:rPr>
        <w:fldChar w:fldCharType="end"/>
      </w:r>
      <w:r w:rsidRPr="00CA730A">
        <w:rPr>
          <w:lang w:eastAsia="en-GB"/>
        </w:rPr>
        <w:t xml:space="preserve"> document that banks in which a higher proportion of CEO pay is linked with company’s performance, perform</w:t>
      </w:r>
      <w:r w:rsidR="00793010">
        <w:rPr>
          <w:lang w:eastAsia="en-GB"/>
        </w:rPr>
        <w:t>ed</w:t>
      </w:r>
      <w:r w:rsidRPr="00CA730A">
        <w:rPr>
          <w:lang w:eastAsia="en-GB"/>
        </w:rPr>
        <w:t xml:space="preserve"> worse during the crisis. Additionally, based on interviews</w:t>
      </w:r>
      <w:r w:rsidRPr="00CA730A">
        <w:rPr>
          <w:vertAlign w:val="superscript"/>
          <w:lang w:eastAsia="en-GB"/>
        </w:rPr>
        <w:footnoteReference w:id="1"/>
      </w:r>
      <w:r w:rsidRPr="00CA730A">
        <w:rPr>
          <w:lang w:eastAsia="en-GB"/>
        </w:rPr>
        <w:t xml:space="preserve"> in 12 UK listed companies, </w:t>
      </w:r>
      <w:r w:rsidRPr="00CA730A">
        <w:rPr>
          <w:lang w:eastAsia="en-GB"/>
        </w:rPr>
        <w:fldChar w:fldCharType="begin"/>
      </w:r>
      <w:r w:rsidRPr="00CA730A">
        <w:rPr>
          <w:lang w:eastAsia="en-GB"/>
        </w:rPr>
        <w:instrText xml:space="preserve"> ADDIN EN.CITE &lt;EndNote&gt;&lt;Cite AuthorYear="1"&gt;&lt;Author&gt;Bender&lt;/Author&gt;&lt;Year&gt;2004&lt;/Year&gt;&lt;RecNum&gt;426&lt;/RecNum&gt;&lt;DisplayText&gt;Bender (2004)&lt;/DisplayText&gt;&lt;record&gt;&lt;rec-number&gt;426&lt;/rec-number&gt;&lt;foreign-keys&gt;&lt;key app="EN" db-id="s00xzp50xdvx90ea0ravv2dxzr2pdvrrzaff" timestamp="1452198399" guid="3c7384fa-fcb2-4f0c-b2a5-f9eba4edd4d4"&gt;426&lt;/key&gt;&lt;/foreign-keys&gt;&lt;ref-type name="Journal Article"&gt;17&lt;/ref-type&gt;&lt;contributors&gt;&lt;authors&gt;&lt;author&gt;Bender, R.&lt;/author&gt;&lt;/authors&gt;&lt;/contributors&gt;&lt;titles&gt;&lt;title&gt;Why do companies use performance related pay for their executive directors?&lt;/title&gt;&lt;secondary-title&gt;Corporate Governance: An International Review&lt;/secondary-title&gt;&lt;/titles&gt;&lt;periodical&gt;&lt;full-title&gt;Corporate Governance: An International Review&lt;/full-title&gt;&lt;/periodical&gt;&lt;pages&gt;521-533&lt;/pages&gt;&lt;volume&gt;12&lt;/volume&gt;&lt;number&gt;4&lt;/number&gt;&lt;dates&gt;&lt;year&gt;2004&lt;/year&gt;&lt;/dates&gt;&lt;isbn&gt;1467-8683&lt;/isbn&gt;&lt;urls&gt;&lt;/urls&gt;&lt;/record&gt;&lt;/Cite&gt;&lt;/EndNote&gt;</w:instrText>
      </w:r>
      <w:r w:rsidRPr="00CA730A">
        <w:rPr>
          <w:lang w:eastAsia="en-GB"/>
        </w:rPr>
        <w:fldChar w:fldCharType="separate"/>
      </w:r>
      <w:r w:rsidRPr="00CA730A">
        <w:rPr>
          <w:lang w:eastAsia="en-GB"/>
        </w:rPr>
        <w:t>Bender (2004)</w:t>
      </w:r>
      <w:r w:rsidRPr="00CA730A">
        <w:rPr>
          <w:lang w:eastAsia="en-GB"/>
        </w:rPr>
        <w:fldChar w:fldCharType="end"/>
      </w:r>
      <w:r w:rsidRPr="00CA730A">
        <w:rPr>
          <w:lang w:eastAsia="en-GB"/>
        </w:rPr>
        <w:t xml:space="preserve"> argue that performance related pay is used for strategic and human resource purposes (i.e. retention and attraction), and to conform to the current market practices and it has no positive effect on firm performance.</w:t>
      </w:r>
    </w:p>
    <w:p w14:paraId="78FF3DE9" w14:textId="579F4EB4" w:rsidR="00607611" w:rsidRPr="00CA730A" w:rsidRDefault="00607611" w:rsidP="00CA730A">
      <w:pPr>
        <w:rPr>
          <w:lang w:eastAsia="en-GB"/>
        </w:rPr>
      </w:pPr>
      <w:r>
        <w:rPr>
          <w:lang w:eastAsia="en-GB"/>
        </w:rPr>
        <w:t xml:space="preserve">We contribute to this stream of literature </w:t>
      </w:r>
      <w:r w:rsidR="007B0488">
        <w:rPr>
          <w:lang w:eastAsia="en-GB"/>
        </w:rPr>
        <w:t xml:space="preserve">by focusing on two new and important </w:t>
      </w:r>
      <w:r w:rsidR="00096A70">
        <w:rPr>
          <w:lang w:eastAsia="en-GB"/>
        </w:rPr>
        <w:t xml:space="preserve">proxies: i.e. </w:t>
      </w:r>
      <w:r w:rsidR="007B0488">
        <w:rPr>
          <w:lang w:eastAsia="en-GB"/>
        </w:rPr>
        <w:t>extra board committees and internal controls</w:t>
      </w:r>
      <w:r w:rsidR="00096A70">
        <w:rPr>
          <w:lang w:eastAsia="en-GB"/>
        </w:rPr>
        <w:t>,</w:t>
      </w:r>
      <w:r w:rsidR="007B0488">
        <w:rPr>
          <w:lang w:eastAsia="en-GB"/>
        </w:rPr>
        <w:t xml:space="preserve"> to measure the level of monitoring. Furthermore, for </w:t>
      </w:r>
      <w:r w:rsidR="00793010">
        <w:rPr>
          <w:lang w:eastAsia="en-GB"/>
        </w:rPr>
        <w:t>incentives,</w:t>
      </w:r>
      <w:r w:rsidR="007B0488">
        <w:rPr>
          <w:lang w:eastAsia="en-GB"/>
        </w:rPr>
        <w:t xml:space="preserve"> we focus on remuneration as well as share ownership </w:t>
      </w:r>
      <w:r w:rsidR="000D3F5F">
        <w:rPr>
          <w:lang w:eastAsia="en-GB"/>
        </w:rPr>
        <w:t xml:space="preserve">of executive directors. </w:t>
      </w:r>
      <w:r w:rsidR="00096A70">
        <w:rPr>
          <w:lang w:eastAsia="en-GB"/>
        </w:rPr>
        <w:t xml:space="preserve">Including both remuneration and share ownership enables us to analyse the impact of different types of </w:t>
      </w:r>
      <w:r w:rsidR="00793010" w:rsidRPr="00793010">
        <w:rPr>
          <w:lang w:eastAsia="en-GB"/>
        </w:rPr>
        <w:t>incentives</w:t>
      </w:r>
      <w:r w:rsidR="00096A70">
        <w:rPr>
          <w:lang w:eastAsia="en-GB"/>
        </w:rPr>
        <w:t xml:space="preserve"> on shareholder value during difficult economic times. By doing so, we contribute to this stream of literature and investigate whether or not different types of </w:t>
      </w:r>
      <w:r w:rsidR="00793010" w:rsidRPr="00793010">
        <w:rPr>
          <w:lang w:eastAsia="en-GB"/>
        </w:rPr>
        <w:t xml:space="preserve">incentives </w:t>
      </w:r>
      <w:r w:rsidR="00096A70">
        <w:rPr>
          <w:lang w:eastAsia="en-GB"/>
        </w:rPr>
        <w:t>affect shareholder value different during a financial crisis</w:t>
      </w:r>
      <w:bookmarkEnd w:id="0"/>
      <w:r w:rsidR="00096A70">
        <w:rPr>
          <w:lang w:eastAsia="en-GB"/>
        </w:rPr>
        <w:t>.</w:t>
      </w:r>
    </w:p>
    <w:p w14:paraId="4E8018AD" w14:textId="0D111000" w:rsidR="00DC6089" w:rsidRDefault="00FF3FC2" w:rsidP="0092047F">
      <w:pPr>
        <w:rPr>
          <w:rFonts w:eastAsia="Times New Roman" w:cs="Times New Roman"/>
          <w:szCs w:val="24"/>
          <w:lang w:eastAsia="en-GB"/>
        </w:rPr>
      </w:pPr>
      <w:r>
        <w:rPr>
          <w:lang w:eastAsia="en-GB"/>
        </w:rPr>
        <w:lastRenderedPageBreak/>
        <w:t xml:space="preserve">In light of </w:t>
      </w:r>
      <w:r w:rsidR="00460D8A">
        <w:rPr>
          <w:lang w:eastAsia="en-GB"/>
        </w:rPr>
        <w:t xml:space="preserve">the </w:t>
      </w:r>
      <w:r>
        <w:rPr>
          <w:lang w:eastAsia="en-GB"/>
        </w:rPr>
        <w:t>above</w:t>
      </w:r>
      <w:r w:rsidR="00460D8A">
        <w:rPr>
          <w:lang w:eastAsia="en-GB"/>
        </w:rPr>
        <w:t xml:space="preserve"> discussion</w:t>
      </w:r>
      <w:r>
        <w:rPr>
          <w:lang w:eastAsia="en-GB"/>
        </w:rPr>
        <w:t>s</w:t>
      </w:r>
      <w:r w:rsidR="00460D8A">
        <w:rPr>
          <w:lang w:eastAsia="en-GB"/>
        </w:rPr>
        <w:t>, w</w:t>
      </w:r>
      <w:r w:rsidR="007649ED">
        <w:rPr>
          <w:lang w:eastAsia="en-GB"/>
        </w:rPr>
        <w:t xml:space="preserve">e </w:t>
      </w:r>
      <w:r w:rsidR="00DB46CB">
        <w:rPr>
          <w:lang w:eastAsia="en-GB"/>
        </w:rPr>
        <w:t>argue that corporate governance mechanisms</w:t>
      </w:r>
      <w:r w:rsidR="00DB46CB" w:rsidRPr="00552487">
        <w:rPr>
          <w:lang w:eastAsia="en-GB"/>
        </w:rPr>
        <w:t xml:space="preserve"> </w:t>
      </w:r>
      <w:r w:rsidR="00DB46CB">
        <w:rPr>
          <w:lang w:eastAsia="en-GB"/>
        </w:rPr>
        <w:t>that enhance effective monitoring to align directors’ interests with the shareholders may have positive implications for shareholder value, especially in the times of financial distress (such as a global financial crisis) as during these periods’</w:t>
      </w:r>
      <w:r w:rsidR="00DB46CB" w:rsidRPr="00EC2B91">
        <w:t xml:space="preserve"> </w:t>
      </w:r>
      <w:r w:rsidR="00DB46CB" w:rsidRPr="00EC2B91">
        <w:rPr>
          <w:lang w:eastAsia="en-GB"/>
        </w:rPr>
        <w:t>agency conflicts are more likely to be exposed</w:t>
      </w:r>
      <w:r w:rsidR="00DB46CB">
        <w:rPr>
          <w:lang w:eastAsia="en-GB"/>
        </w:rPr>
        <w:t>.</w:t>
      </w:r>
      <w:r w:rsidR="00DC6089">
        <w:rPr>
          <w:lang w:eastAsia="en-GB"/>
        </w:rPr>
        <w:t xml:space="preserve"> Against this backdrop, we investigate </w:t>
      </w:r>
      <w:r w:rsidR="00DC6089">
        <w:rPr>
          <w:rFonts w:eastAsia="Times New Roman" w:cs="Times New Roman"/>
          <w:szCs w:val="24"/>
          <w:lang w:eastAsia="en-GB"/>
        </w:rPr>
        <w:t>the efficacy of internal corporate governance mechanisms based on a number of i</w:t>
      </w:r>
      <w:r w:rsidR="00DC6089" w:rsidRPr="00EB129B">
        <w:rPr>
          <w:rFonts w:eastAsia="Times New Roman" w:cs="Times New Roman"/>
          <w:szCs w:val="24"/>
          <w:lang w:eastAsia="en-GB"/>
        </w:rPr>
        <w:t>ndividual mecha</w:t>
      </w:r>
      <w:r w:rsidR="00DC6089">
        <w:rPr>
          <w:rFonts w:eastAsia="Times New Roman" w:cs="Times New Roman"/>
          <w:szCs w:val="24"/>
          <w:lang w:eastAsia="en-GB"/>
        </w:rPr>
        <w:t>nisms related to: (</w:t>
      </w:r>
      <w:proofErr w:type="spellStart"/>
      <w:r w:rsidR="00DC6089">
        <w:rPr>
          <w:rFonts w:eastAsia="Times New Roman" w:cs="Times New Roman"/>
          <w:szCs w:val="24"/>
          <w:lang w:eastAsia="en-GB"/>
        </w:rPr>
        <w:t>i</w:t>
      </w:r>
      <w:proofErr w:type="spellEnd"/>
      <w:r w:rsidR="00DC6089">
        <w:rPr>
          <w:rFonts w:eastAsia="Times New Roman" w:cs="Times New Roman"/>
          <w:szCs w:val="24"/>
          <w:lang w:eastAsia="en-GB"/>
        </w:rPr>
        <w:t>) monitoring (board independence</w:t>
      </w:r>
      <w:r w:rsidR="00DC6089" w:rsidRPr="00EB129B">
        <w:rPr>
          <w:rFonts w:eastAsia="Times New Roman" w:cs="Times New Roman"/>
          <w:szCs w:val="24"/>
          <w:lang w:eastAsia="en-GB"/>
        </w:rPr>
        <w:t>, board committees</w:t>
      </w:r>
      <w:r w:rsidR="00DC6089">
        <w:rPr>
          <w:rFonts w:eastAsia="Times New Roman" w:cs="Times New Roman"/>
          <w:szCs w:val="24"/>
          <w:lang w:eastAsia="en-GB"/>
        </w:rPr>
        <w:t>, and</w:t>
      </w:r>
      <w:r w:rsidR="00DC6089" w:rsidRPr="00EB129B">
        <w:rPr>
          <w:rFonts w:eastAsia="Times New Roman" w:cs="Times New Roman"/>
          <w:szCs w:val="24"/>
          <w:lang w:eastAsia="en-GB"/>
        </w:rPr>
        <w:t xml:space="preserve"> </w:t>
      </w:r>
      <w:r w:rsidR="00DC6089">
        <w:rPr>
          <w:rFonts w:eastAsia="Times New Roman" w:cs="Times New Roman"/>
          <w:szCs w:val="24"/>
          <w:lang w:eastAsia="en-GB"/>
        </w:rPr>
        <w:t>internal controls</w:t>
      </w:r>
      <w:r w:rsidR="00DC6089" w:rsidRPr="00EB129B">
        <w:rPr>
          <w:rFonts w:eastAsia="Times New Roman" w:cs="Times New Roman"/>
          <w:szCs w:val="24"/>
          <w:lang w:eastAsia="en-GB"/>
        </w:rPr>
        <w:t>)</w:t>
      </w:r>
      <w:r w:rsidR="00DC6089">
        <w:rPr>
          <w:rFonts w:eastAsia="Times New Roman" w:cs="Times New Roman"/>
          <w:szCs w:val="24"/>
          <w:lang w:eastAsia="en-GB"/>
        </w:rPr>
        <w:t>,</w:t>
      </w:r>
      <w:r w:rsidR="00DC6089" w:rsidRPr="00EB129B">
        <w:rPr>
          <w:rFonts w:eastAsia="Times New Roman" w:cs="Times New Roman"/>
          <w:szCs w:val="24"/>
          <w:lang w:eastAsia="en-GB"/>
        </w:rPr>
        <w:t xml:space="preserve"> and</w:t>
      </w:r>
      <w:r w:rsidR="00DC6089">
        <w:rPr>
          <w:rFonts w:eastAsia="Times New Roman" w:cs="Times New Roman"/>
          <w:szCs w:val="24"/>
          <w:lang w:eastAsia="en-GB"/>
        </w:rPr>
        <w:t xml:space="preserve"> (ii)</w:t>
      </w:r>
      <w:r w:rsidR="00DC6089" w:rsidRPr="00EB129B">
        <w:rPr>
          <w:rFonts w:eastAsia="Times New Roman" w:cs="Times New Roman"/>
          <w:szCs w:val="24"/>
          <w:lang w:eastAsia="en-GB"/>
        </w:rPr>
        <w:t xml:space="preserve"> </w:t>
      </w:r>
      <w:r w:rsidR="00DC6089">
        <w:rPr>
          <w:rFonts w:eastAsia="Times New Roman" w:cs="Times New Roman"/>
          <w:szCs w:val="24"/>
          <w:lang w:eastAsia="en-GB"/>
        </w:rPr>
        <w:t xml:space="preserve">directors’ </w:t>
      </w:r>
      <w:r w:rsidR="00DC6089" w:rsidRPr="00EB129B">
        <w:rPr>
          <w:rFonts w:eastAsia="Times New Roman" w:cs="Times New Roman"/>
          <w:szCs w:val="24"/>
          <w:lang w:eastAsia="en-GB"/>
        </w:rPr>
        <w:t>incentives (co</w:t>
      </w:r>
      <w:r w:rsidR="00DC6089">
        <w:rPr>
          <w:rFonts w:eastAsia="Times New Roman" w:cs="Times New Roman"/>
          <w:szCs w:val="24"/>
          <w:lang w:eastAsia="en-GB"/>
        </w:rPr>
        <w:t>mpensation and share ownership), and form the following hypotheses:</w:t>
      </w:r>
    </w:p>
    <w:p w14:paraId="233F7612" w14:textId="77777777" w:rsidR="00DC6089" w:rsidRDefault="00DC6089" w:rsidP="0092047F">
      <w:pPr>
        <w:ind w:left="454" w:hanging="454"/>
        <w:rPr>
          <w:rFonts w:eastAsia="Times New Roman" w:cs="Times New Roman"/>
          <w:i/>
          <w:szCs w:val="24"/>
          <w:lang w:eastAsia="en-GB"/>
        </w:rPr>
      </w:pPr>
      <w:r w:rsidRPr="00200792">
        <w:rPr>
          <w:rFonts w:eastAsia="Times New Roman" w:cs="Times New Roman"/>
          <w:i/>
          <w:szCs w:val="24"/>
          <w:lang w:eastAsia="en-GB"/>
        </w:rPr>
        <w:t>H</w:t>
      </w:r>
      <w:r w:rsidRPr="00B77634">
        <w:rPr>
          <w:rFonts w:eastAsia="Times New Roman" w:cs="Times New Roman"/>
          <w:i/>
          <w:szCs w:val="24"/>
          <w:vertAlign w:val="subscript"/>
          <w:lang w:eastAsia="en-GB"/>
        </w:rPr>
        <w:t>2</w:t>
      </w:r>
      <w:r>
        <w:rPr>
          <w:rFonts w:eastAsia="Times New Roman" w:cs="Times New Roman"/>
          <w:i/>
          <w:szCs w:val="24"/>
          <w:vertAlign w:val="subscript"/>
          <w:lang w:eastAsia="en-GB"/>
        </w:rPr>
        <w:t>a</w:t>
      </w:r>
      <w:r>
        <w:rPr>
          <w:rFonts w:eastAsia="Times New Roman" w:cs="Times New Roman"/>
          <w:i/>
          <w:szCs w:val="24"/>
          <w:lang w:eastAsia="en-GB"/>
        </w:rPr>
        <w:t>: There is a positive</w:t>
      </w:r>
      <w:r w:rsidRPr="00200792">
        <w:rPr>
          <w:rFonts w:eastAsia="Times New Roman" w:cs="Times New Roman"/>
          <w:i/>
          <w:szCs w:val="24"/>
          <w:lang w:eastAsia="en-GB"/>
        </w:rPr>
        <w:t xml:space="preserve"> relationship between </w:t>
      </w:r>
      <w:r>
        <w:rPr>
          <w:rFonts w:eastAsia="Times New Roman" w:cs="Times New Roman"/>
          <w:i/>
          <w:szCs w:val="24"/>
          <w:lang w:eastAsia="en-GB"/>
        </w:rPr>
        <w:t>monitoring mechanisms and shareholder value.</w:t>
      </w:r>
    </w:p>
    <w:p w14:paraId="54A1667B" w14:textId="77777777" w:rsidR="00DC6089" w:rsidRPr="00200792" w:rsidRDefault="00DC6089" w:rsidP="0092047F">
      <w:pPr>
        <w:ind w:firstLine="0"/>
        <w:rPr>
          <w:rFonts w:eastAsia="Times New Roman" w:cs="Times New Roman"/>
          <w:i/>
          <w:szCs w:val="24"/>
          <w:lang w:eastAsia="en-GB"/>
        </w:rPr>
      </w:pPr>
      <w:r w:rsidRPr="00200792">
        <w:rPr>
          <w:rFonts w:eastAsia="Times New Roman" w:cs="Times New Roman"/>
          <w:i/>
          <w:szCs w:val="24"/>
          <w:lang w:eastAsia="en-GB"/>
        </w:rPr>
        <w:t>H</w:t>
      </w:r>
      <w:r>
        <w:rPr>
          <w:rFonts w:eastAsia="Times New Roman" w:cs="Times New Roman"/>
          <w:i/>
          <w:szCs w:val="24"/>
          <w:vertAlign w:val="subscript"/>
          <w:lang w:eastAsia="en-GB"/>
        </w:rPr>
        <w:t>2b</w:t>
      </w:r>
      <w:r>
        <w:rPr>
          <w:rFonts w:eastAsia="Times New Roman" w:cs="Times New Roman"/>
          <w:i/>
          <w:szCs w:val="24"/>
          <w:lang w:eastAsia="en-GB"/>
        </w:rPr>
        <w:t>: There is a positive</w:t>
      </w:r>
      <w:r w:rsidRPr="00200792">
        <w:rPr>
          <w:rFonts w:eastAsia="Times New Roman" w:cs="Times New Roman"/>
          <w:i/>
          <w:szCs w:val="24"/>
          <w:lang w:eastAsia="en-GB"/>
        </w:rPr>
        <w:t xml:space="preserve"> relationship between </w:t>
      </w:r>
      <w:r>
        <w:rPr>
          <w:rFonts w:eastAsia="Times New Roman" w:cs="Times New Roman"/>
          <w:i/>
          <w:szCs w:val="24"/>
          <w:lang w:eastAsia="en-GB"/>
        </w:rPr>
        <w:t xml:space="preserve">directors’ incentives </w:t>
      </w:r>
      <w:r w:rsidRPr="00200792">
        <w:rPr>
          <w:rFonts w:eastAsia="Times New Roman" w:cs="Times New Roman"/>
          <w:i/>
          <w:szCs w:val="24"/>
          <w:lang w:eastAsia="en-GB"/>
        </w:rPr>
        <w:t xml:space="preserve">and </w:t>
      </w:r>
      <w:r>
        <w:rPr>
          <w:rFonts w:eastAsia="Times New Roman" w:cs="Times New Roman"/>
          <w:i/>
          <w:szCs w:val="24"/>
          <w:lang w:eastAsia="en-GB"/>
        </w:rPr>
        <w:t>shareholder value.</w:t>
      </w:r>
    </w:p>
    <w:p w14:paraId="4EE563A2" w14:textId="77777777" w:rsidR="00DC6089" w:rsidRDefault="00DC6089" w:rsidP="0092047F">
      <w:pPr>
        <w:pStyle w:val="Heading1"/>
        <w:rPr>
          <w:rFonts w:eastAsia="Times New Roman"/>
          <w:lang w:eastAsia="en-GB"/>
        </w:rPr>
      </w:pPr>
      <w:r>
        <w:rPr>
          <w:rFonts w:eastAsia="Times New Roman"/>
          <w:lang w:eastAsia="en-GB"/>
        </w:rPr>
        <w:t>Data and Model</w:t>
      </w:r>
    </w:p>
    <w:p w14:paraId="512C2DB8" w14:textId="77777777" w:rsidR="00DC6089" w:rsidRDefault="00DC6089" w:rsidP="0092047F">
      <w:pPr>
        <w:pStyle w:val="Heading2"/>
      </w:pPr>
      <w:r>
        <w:t>Data</w:t>
      </w:r>
    </w:p>
    <w:p w14:paraId="26E2CCF4" w14:textId="683F2BCD" w:rsidR="00DC6089" w:rsidRDefault="00DC6089" w:rsidP="0092047F">
      <w:pPr>
        <w:rPr>
          <w:lang w:eastAsia="en-GB"/>
        </w:rPr>
      </w:pPr>
      <w:r w:rsidRPr="0007115C">
        <w:rPr>
          <w:lang w:eastAsia="en-GB"/>
        </w:rPr>
        <w:t>The</w:t>
      </w:r>
      <w:r>
        <w:rPr>
          <w:lang w:eastAsia="en-GB"/>
        </w:rPr>
        <w:t xml:space="preserve"> panel dataset</w:t>
      </w:r>
      <w:r w:rsidRPr="0085021F">
        <w:rPr>
          <w:lang w:eastAsia="en-GB"/>
        </w:rPr>
        <w:t xml:space="preserve"> </w:t>
      </w:r>
      <w:r w:rsidRPr="0007115C">
        <w:rPr>
          <w:lang w:eastAsia="en-GB"/>
        </w:rPr>
        <w:t>of this study</w:t>
      </w:r>
      <w:r>
        <w:rPr>
          <w:lang w:eastAsia="en-GB"/>
        </w:rPr>
        <w:t xml:space="preserve"> </w:t>
      </w:r>
      <w:r w:rsidRPr="0085021F">
        <w:rPr>
          <w:lang w:eastAsia="en-GB"/>
        </w:rPr>
        <w:t xml:space="preserve">consists of 86 </w:t>
      </w:r>
      <w:r w:rsidRPr="00BA6C6F">
        <w:rPr>
          <w:lang w:eastAsia="en-GB"/>
        </w:rPr>
        <w:t>financial firms</w:t>
      </w:r>
      <w:r w:rsidRPr="00BA6C6F">
        <w:rPr>
          <w:rStyle w:val="EndnoteReference"/>
          <w:rFonts w:eastAsia="Times New Roman" w:cs="Times New Roman"/>
          <w:szCs w:val="24"/>
          <w:lang w:eastAsia="en-GB"/>
        </w:rPr>
        <w:endnoteReference w:id="6"/>
      </w:r>
      <w:r w:rsidRPr="00BA6C6F">
        <w:rPr>
          <w:lang w:eastAsia="en-GB"/>
        </w:rPr>
        <w:t xml:space="preserve"> listed </w:t>
      </w:r>
      <w:r>
        <w:rPr>
          <w:lang w:eastAsia="en-GB"/>
        </w:rPr>
        <w:t xml:space="preserve">on </w:t>
      </w:r>
      <w:r w:rsidRPr="00BC2F70">
        <w:rPr>
          <w:lang w:eastAsia="en-GB"/>
        </w:rPr>
        <w:t>FTSE 350 for the period 2003</w:t>
      </w:r>
      <w:r>
        <w:rPr>
          <w:lang w:eastAsia="en-GB"/>
        </w:rPr>
        <w:t xml:space="preserve"> – </w:t>
      </w:r>
      <w:r w:rsidRPr="00BC2F70">
        <w:rPr>
          <w:lang w:eastAsia="en-GB"/>
        </w:rPr>
        <w:t>2010.</w:t>
      </w:r>
      <w:r>
        <w:rPr>
          <w:lang w:eastAsia="en-GB"/>
        </w:rPr>
        <w:t xml:space="preserve"> In order to be part of the sample, two key criteria had to be met: (</w:t>
      </w:r>
      <w:proofErr w:type="spellStart"/>
      <w:r>
        <w:rPr>
          <w:lang w:eastAsia="en-GB"/>
        </w:rPr>
        <w:t>i</w:t>
      </w:r>
      <w:proofErr w:type="spellEnd"/>
      <w:r>
        <w:rPr>
          <w:lang w:eastAsia="en-GB"/>
        </w:rPr>
        <w:t xml:space="preserve">) firms were required to have been listed </w:t>
      </w:r>
      <w:r w:rsidRPr="0085021F">
        <w:rPr>
          <w:lang w:eastAsia="en-GB"/>
        </w:rPr>
        <w:t>for</w:t>
      </w:r>
      <w:r>
        <w:rPr>
          <w:lang w:eastAsia="en-GB"/>
        </w:rPr>
        <w:t xml:space="preserve"> at least three years prior to 2007 and (ii) the same set of companies (in (</w:t>
      </w:r>
      <w:proofErr w:type="spellStart"/>
      <w:r>
        <w:rPr>
          <w:lang w:eastAsia="en-GB"/>
        </w:rPr>
        <w:t>i</w:t>
      </w:r>
      <w:proofErr w:type="spellEnd"/>
      <w:r>
        <w:rPr>
          <w:lang w:eastAsia="en-GB"/>
        </w:rPr>
        <w:t>)) were required to be listed</w:t>
      </w:r>
      <w:r w:rsidRPr="0085021F">
        <w:rPr>
          <w:lang w:eastAsia="en-GB"/>
        </w:rPr>
        <w:t xml:space="preserve"> </w:t>
      </w:r>
      <w:r>
        <w:rPr>
          <w:lang w:eastAsia="en-GB"/>
        </w:rPr>
        <w:t>post-2007 in order to make meaningful comparison between the two periods. Data was collected from four different sources, namely:</w:t>
      </w:r>
      <w:r w:rsidRPr="002C1AA0">
        <w:rPr>
          <w:lang w:eastAsia="en-GB"/>
        </w:rPr>
        <w:t xml:space="preserve"> Morningstar Company Intelligence</w:t>
      </w:r>
      <w:r w:rsidR="00772341">
        <w:rPr>
          <w:rStyle w:val="FootnoteReference"/>
          <w:lang w:eastAsia="en-GB"/>
        </w:rPr>
        <w:footnoteReference w:id="2"/>
      </w:r>
      <w:r w:rsidR="00772341">
        <w:rPr>
          <w:lang w:eastAsia="en-GB"/>
        </w:rPr>
        <w:t xml:space="preserve">, </w:t>
      </w:r>
      <w:r>
        <w:rPr>
          <w:lang w:eastAsia="en-GB"/>
        </w:rPr>
        <w:t xml:space="preserve">companies’ annual reports, </w:t>
      </w:r>
      <w:proofErr w:type="spellStart"/>
      <w:r>
        <w:rPr>
          <w:lang w:eastAsia="en-GB"/>
        </w:rPr>
        <w:t>Datas</w:t>
      </w:r>
      <w:r w:rsidRPr="002C1AA0">
        <w:rPr>
          <w:lang w:eastAsia="en-GB"/>
        </w:rPr>
        <w:t>tream</w:t>
      </w:r>
      <w:proofErr w:type="spellEnd"/>
      <w:r w:rsidRPr="002C1AA0">
        <w:rPr>
          <w:lang w:eastAsia="en-GB"/>
        </w:rPr>
        <w:t>, and Companies House.</w:t>
      </w:r>
      <w:r>
        <w:rPr>
          <w:lang w:eastAsia="en-GB"/>
        </w:rPr>
        <w:t xml:space="preserve"> The </w:t>
      </w:r>
      <w:r w:rsidRPr="00AD1078">
        <w:rPr>
          <w:lang w:eastAsia="en-GB"/>
        </w:rPr>
        <w:t xml:space="preserve">data for non-compliance with the UK corporate governance code was </w:t>
      </w:r>
      <w:r>
        <w:rPr>
          <w:lang w:eastAsia="en-GB"/>
        </w:rPr>
        <w:t>hand-collected</w:t>
      </w:r>
      <w:r w:rsidRPr="00AD1078">
        <w:rPr>
          <w:lang w:eastAsia="en-GB"/>
        </w:rPr>
        <w:t xml:space="preserve"> from the annual reports of the sample </w:t>
      </w:r>
      <w:r>
        <w:rPr>
          <w:lang w:eastAsia="en-GB"/>
        </w:rPr>
        <w:t>firms</w:t>
      </w:r>
      <w:r w:rsidRPr="00AD1078">
        <w:rPr>
          <w:lang w:eastAsia="en-GB"/>
        </w:rPr>
        <w:t>.</w:t>
      </w:r>
      <w:r>
        <w:rPr>
          <w:lang w:eastAsia="en-GB"/>
        </w:rPr>
        <w:t xml:space="preserve"> D</w:t>
      </w:r>
      <w:r w:rsidRPr="002C1AA0">
        <w:rPr>
          <w:lang w:eastAsia="en-GB"/>
        </w:rPr>
        <w:t>ata for other corporate governance variables</w:t>
      </w:r>
      <w:r>
        <w:rPr>
          <w:lang w:eastAsia="en-GB"/>
        </w:rPr>
        <w:t xml:space="preserve"> such as</w:t>
      </w:r>
      <w:r w:rsidRPr="002C1AA0">
        <w:rPr>
          <w:lang w:eastAsia="en-GB"/>
        </w:rPr>
        <w:t xml:space="preserve"> board </w:t>
      </w:r>
      <w:r>
        <w:rPr>
          <w:lang w:eastAsia="en-GB"/>
        </w:rPr>
        <w:t>independence, remuneration, directors’ share ownership, and board size</w:t>
      </w:r>
      <w:r w:rsidRPr="002C1AA0">
        <w:rPr>
          <w:lang w:eastAsia="en-GB"/>
        </w:rPr>
        <w:t xml:space="preserve"> </w:t>
      </w:r>
      <w:r>
        <w:rPr>
          <w:lang w:eastAsia="en-GB"/>
        </w:rPr>
        <w:t>were</w:t>
      </w:r>
      <w:r w:rsidRPr="002C1AA0">
        <w:rPr>
          <w:lang w:eastAsia="en-GB"/>
        </w:rPr>
        <w:t xml:space="preserve"> collected from Morningst</w:t>
      </w:r>
      <w:r>
        <w:rPr>
          <w:lang w:eastAsia="en-GB"/>
        </w:rPr>
        <w:t>ar Company Intelligence whilst the f</w:t>
      </w:r>
      <w:r w:rsidRPr="002C1AA0">
        <w:rPr>
          <w:lang w:eastAsia="en-GB"/>
        </w:rPr>
        <w:t>inancia</w:t>
      </w:r>
      <w:r>
        <w:rPr>
          <w:lang w:eastAsia="en-GB"/>
        </w:rPr>
        <w:t xml:space="preserve">l data was </w:t>
      </w:r>
      <w:r>
        <w:rPr>
          <w:lang w:eastAsia="en-GB"/>
        </w:rPr>
        <w:lastRenderedPageBreak/>
        <w:t xml:space="preserve">extracted from </w:t>
      </w:r>
      <w:proofErr w:type="spellStart"/>
      <w:r>
        <w:rPr>
          <w:lang w:eastAsia="en-GB"/>
        </w:rPr>
        <w:t>Datas</w:t>
      </w:r>
      <w:r w:rsidRPr="002C1AA0">
        <w:rPr>
          <w:lang w:eastAsia="en-GB"/>
        </w:rPr>
        <w:t>tream</w:t>
      </w:r>
      <w:proofErr w:type="spellEnd"/>
      <w:r w:rsidRPr="002C1AA0">
        <w:rPr>
          <w:lang w:eastAsia="en-GB"/>
        </w:rPr>
        <w:t>.</w:t>
      </w:r>
      <w:r>
        <w:rPr>
          <w:lang w:eastAsia="en-GB"/>
        </w:rPr>
        <w:t xml:space="preserve"> In those circumstances when companies were delisted at some point in the period after 2007, and where data were not available from Morningstar</w:t>
      </w:r>
      <w:r w:rsidRPr="002C1AA0">
        <w:rPr>
          <w:lang w:eastAsia="en-GB"/>
        </w:rPr>
        <w:t xml:space="preserve"> Company Intelligence</w:t>
      </w:r>
      <w:r>
        <w:rPr>
          <w:lang w:eastAsia="en-GB"/>
        </w:rPr>
        <w:t xml:space="preserve"> or their websites, the required data was collected from Companies House.</w:t>
      </w:r>
    </w:p>
    <w:p w14:paraId="65DD6FB3" w14:textId="1043A9C8" w:rsidR="00DC6089" w:rsidRPr="0007115C" w:rsidRDefault="00DC6089" w:rsidP="0092047F">
      <w:pPr>
        <w:pStyle w:val="Heading2"/>
      </w:pPr>
      <w:r>
        <w:t xml:space="preserve">Model </w:t>
      </w:r>
      <w:r w:rsidRPr="0007115C">
        <w:t>specification</w:t>
      </w:r>
    </w:p>
    <w:p w14:paraId="7B1315AB" w14:textId="132BF1A4" w:rsidR="00DC6089" w:rsidRDefault="00DC6089" w:rsidP="0092047F">
      <w:pPr>
        <w:rPr>
          <w:lang w:eastAsia="en-GB"/>
        </w:rPr>
      </w:pPr>
      <w:r>
        <w:rPr>
          <w:lang w:eastAsia="en-GB"/>
        </w:rPr>
        <w:t xml:space="preserve">Issues of endogeneity have been reported by prior literature within the </w:t>
      </w:r>
      <w:r w:rsidRPr="00E76E97">
        <w:rPr>
          <w:lang w:eastAsia="en-GB"/>
        </w:rPr>
        <w:t xml:space="preserve">corporate </w:t>
      </w:r>
      <w:r>
        <w:rPr>
          <w:lang w:eastAsia="en-GB"/>
        </w:rPr>
        <w:t xml:space="preserve">governance – </w:t>
      </w:r>
      <w:r w:rsidRPr="00E76E97">
        <w:rPr>
          <w:lang w:eastAsia="en-GB"/>
        </w:rPr>
        <w:t xml:space="preserve">performance </w:t>
      </w:r>
      <w:r>
        <w:rPr>
          <w:lang w:eastAsia="en-GB"/>
        </w:rPr>
        <w:t>research. Covering these issues,</w:t>
      </w:r>
      <w:r w:rsidRPr="00555CEF">
        <w:rPr>
          <w:rFonts w:eastAsia="AdvGulliv-R"/>
          <w:color w:val="000000"/>
          <w:kern w:val="1"/>
          <w:lang w:eastAsia="ar-SA"/>
        </w:rPr>
        <w:t xml:space="preserve"> </w:t>
      </w:r>
      <w:r>
        <w:rPr>
          <w:rFonts w:eastAsia="AdvGulliv-R"/>
          <w:color w:val="000000"/>
          <w:kern w:val="1"/>
          <w:lang w:eastAsia="ar-SA"/>
        </w:rPr>
        <w:fldChar w:fldCharType="begin"/>
      </w:r>
      <w:r w:rsidR="00327CEC">
        <w:rPr>
          <w:rFonts w:eastAsia="AdvGulliv-R"/>
          <w:color w:val="000000"/>
          <w:kern w:val="1"/>
          <w:lang w:eastAsia="ar-SA"/>
        </w:rPr>
        <w:instrText xml:space="preserve"> ADDIN EN.CITE &lt;EndNote&gt;&lt;Cite AuthorYear="1"&gt;&lt;Author&gt;Wintoki&lt;/Author&gt;&lt;Year&gt;2012&lt;/Year&gt;&lt;RecNum&gt;486&lt;/RecNum&gt;&lt;DisplayText&gt;Wintoki et al. (2012)&lt;/DisplayText&gt;&lt;record&gt;&lt;rec-number&gt;486&lt;/rec-number&gt;&lt;foreign-keys&gt;&lt;key app="EN" db-id="s00xzp50xdvx90ea0ravv2dxzr2pdvrrzaff" timestamp="1452198497" guid="d48fa821-2a1a-407d-9383-a66f3fd77213"&gt;486&lt;/key&gt;&lt;/foreign-keys&gt;&lt;ref-type name="Journal Article"&gt;17&lt;/ref-type&gt;&lt;contributors&gt;&lt;authors&gt;&lt;author&gt;Wintoki, M Babajide&lt;/author&gt;&lt;author&gt;Linck, James S&lt;/author&gt;&lt;author&gt;Netter, Jeffry M&lt;/author&gt;&lt;/authors&gt;&lt;/contributors&gt;&lt;titles&gt;&lt;title&gt;Endogeneity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pages&gt;581-606&lt;/pages&gt;&lt;volume&gt;105&lt;/volume&gt;&lt;number&gt;3&lt;/number&gt;&lt;dates&gt;&lt;year&gt;2012&lt;/year&gt;&lt;/dates&gt;&lt;isbn&gt;0304-405X&lt;/isbn&gt;&lt;urls&gt;&lt;/urls&gt;&lt;/record&gt;&lt;/Cite&gt;&lt;/EndNote&gt;</w:instrText>
      </w:r>
      <w:r>
        <w:rPr>
          <w:rFonts w:eastAsia="AdvGulliv-R"/>
          <w:color w:val="000000"/>
          <w:kern w:val="1"/>
          <w:lang w:eastAsia="ar-SA"/>
        </w:rPr>
        <w:fldChar w:fldCharType="separate"/>
      </w:r>
      <w:r w:rsidR="000A7F09">
        <w:rPr>
          <w:rFonts w:eastAsia="AdvGulliv-R"/>
          <w:noProof/>
          <w:color w:val="000000"/>
          <w:kern w:val="1"/>
          <w:lang w:eastAsia="ar-SA"/>
        </w:rPr>
        <w:t>Wintoki et al. (2012)</w:t>
      </w:r>
      <w:r>
        <w:rPr>
          <w:rFonts w:eastAsia="AdvGulliv-R"/>
          <w:color w:val="000000"/>
          <w:kern w:val="1"/>
          <w:lang w:eastAsia="ar-SA"/>
        </w:rPr>
        <w:fldChar w:fldCharType="end"/>
      </w:r>
      <w:r>
        <w:rPr>
          <w:lang w:eastAsia="en-GB"/>
        </w:rPr>
        <w:t xml:space="preserve">  report at least three sources of endogeneity in governance – performance research, which include: </w:t>
      </w:r>
      <w:r w:rsidRPr="00ED3067">
        <w:rPr>
          <w:lang w:eastAsia="en-GB"/>
        </w:rPr>
        <w:t xml:space="preserve"> unobservable heterogeneity, simultaneity and </w:t>
      </w:r>
      <w:r>
        <w:rPr>
          <w:lang w:eastAsia="en-GB"/>
        </w:rPr>
        <w:t>dynamic endogeneity</w:t>
      </w:r>
      <w:r>
        <w:rPr>
          <w:rFonts w:eastAsia="AdvGulliv-R"/>
          <w:color w:val="000000"/>
          <w:kern w:val="1"/>
          <w:lang w:eastAsia="ar-SA"/>
        </w:rPr>
        <w:t xml:space="preserve">. It is also documented that </w:t>
      </w:r>
      <w:r>
        <w:rPr>
          <w:lang w:eastAsia="en-GB"/>
        </w:rPr>
        <w:t>t</w:t>
      </w:r>
      <w:r w:rsidRPr="00ED3067">
        <w:rPr>
          <w:lang w:eastAsia="en-GB"/>
        </w:rPr>
        <w:t>he presence of</w:t>
      </w:r>
      <w:r>
        <w:rPr>
          <w:lang w:eastAsia="en-GB"/>
        </w:rPr>
        <w:t xml:space="preserve"> at least one form of</w:t>
      </w:r>
      <w:r w:rsidRPr="00ED3067">
        <w:rPr>
          <w:lang w:eastAsia="en-GB"/>
        </w:rPr>
        <w:t xml:space="preserve"> endogeneity</w:t>
      </w:r>
      <w:r>
        <w:rPr>
          <w:lang w:eastAsia="en-GB"/>
        </w:rPr>
        <w:t xml:space="preserve"> leads to inconsistent and inefficient estimates</w:t>
      </w:r>
      <w:r w:rsidRPr="00ED3067">
        <w:rPr>
          <w:lang w:eastAsia="en-GB"/>
        </w:rPr>
        <w:t xml:space="preserve"> </w:t>
      </w:r>
      <w:r>
        <w:rPr>
          <w:lang w:eastAsia="en-GB"/>
        </w:rPr>
        <w:t>leading to</w:t>
      </w:r>
      <w:r w:rsidRPr="00ED3067">
        <w:rPr>
          <w:lang w:eastAsia="en-GB"/>
        </w:rPr>
        <w:t xml:space="preserve"> unreliable inferences</w:t>
      </w:r>
      <w:r>
        <w:rPr>
          <w:lang w:eastAsia="en-GB"/>
        </w:rPr>
        <w:t xml:space="preserve"> </w:t>
      </w:r>
      <w:r w:rsidR="00891EBD">
        <w:rPr>
          <w:lang w:eastAsia="en-GB"/>
        </w:rPr>
        <w:fldChar w:fldCharType="begin"/>
      </w:r>
      <w:r w:rsidR="00891EBD">
        <w:rPr>
          <w:lang w:eastAsia="en-GB"/>
        </w:rPr>
        <w:instrText xml:space="preserve"> ADDIN EN.CITE &lt;EndNote&gt;&lt;Cite&gt;&lt;Author&gt;Abdallah&lt;/Author&gt;&lt;Year&gt;2015&lt;/Year&gt;&lt;RecNum&gt;744&lt;/RecNum&gt;&lt;DisplayText&gt;(Abdallah et al., 2015)&lt;/DisplayText&gt;&lt;record&gt;&lt;rec-number&gt;744&lt;/rec-number&gt;&lt;foreign-keys&gt;&lt;key app="EN" db-id="s00xzp50xdvx90ea0ravv2dxzr2pdvrrzaff" timestamp="1457699237" guid="a616b6ac-be4b-47d1-adb8-d5bc0fbfa5b3"&gt;744&lt;/key&gt;&lt;/foreign-keys&gt;&lt;ref-type name="Journal Article"&gt;17&lt;/ref-type&gt;&lt;contributors&gt;&lt;authors&gt;&lt;author&gt;Abdallah, Wissam&lt;/author&gt;&lt;author&gt;Goergen, Marc&lt;/author&gt;&lt;author&gt;O&amp;apos;Sullivan, Noel&lt;/author&gt;&lt;/authors&gt;&lt;/contributors&gt;&lt;titles&gt;&lt;title&gt;Endogeneity: How failure to correct for it can cause wrong inferences and some remedies&lt;/title&gt;&lt;secondary-title&gt;British Journal of Management&lt;/secondary-title&gt;&lt;/titles&gt;&lt;periodical&gt;&lt;full-title&gt;British Journal of Management&lt;/full-title&gt;&lt;/periodical&gt;&lt;pages&gt;791-804&lt;/pages&gt;&lt;volume&gt;26&lt;/volume&gt;&lt;number&gt;4&lt;/number&gt;&lt;dates&gt;&lt;year&gt;2015&lt;/year&gt;&lt;/dates&gt;&lt;isbn&gt;1467-8551&lt;/isbn&gt;&lt;urls&gt;&lt;related-urls&gt;&lt;url&gt;http://dx.doi.org/10.1111/1467-8551.12113&lt;/url&gt;&lt;/related-urls&gt;&lt;/urls&gt;&lt;electronic-resource-num&gt;10.1111/1467-8551.12113&lt;/electronic-resource-num&gt;&lt;/record&gt;&lt;/Cite&gt;&lt;/EndNote&gt;</w:instrText>
      </w:r>
      <w:r w:rsidR="00891EBD">
        <w:rPr>
          <w:lang w:eastAsia="en-GB"/>
        </w:rPr>
        <w:fldChar w:fldCharType="separate"/>
      </w:r>
      <w:r w:rsidR="00891EBD">
        <w:rPr>
          <w:noProof/>
          <w:lang w:eastAsia="en-GB"/>
        </w:rPr>
        <w:t>(Abdallah et al., 2015)</w:t>
      </w:r>
      <w:r w:rsidR="00891EBD">
        <w:rPr>
          <w:lang w:eastAsia="en-GB"/>
        </w:rPr>
        <w:fldChar w:fldCharType="end"/>
      </w:r>
      <w:r>
        <w:rPr>
          <w:lang w:eastAsia="en-GB"/>
        </w:rPr>
        <w:t xml:space="preserve">. A number of methods have been proposed in the literature that minimises or controls the problems of endogeneity, such as, inclusion of instrumental variables, use of </w:t>
      </w:r>
      <w:r w:rsidRPr="00EF390D">
        <w:rPr>
          <w:lang w:eastAsia="en-GB"/>
        </w:rPr>
        <w:t>fixed effects models</w:t>
      </w:r>
      <w:r>
        <w:rPr>
          <w:lang w:eastAsia="en-GB"/>
        </w:rPr>
        <w:t xml:space="preserve">, </w:t>
      </w:r>
      <w:r w:rsidRPr="00EF390D">
        <w:rPr>
          <w:lang w:eastAsia="en-GB"/>
        </w:rPr>
        <w:t>and</w:t>
      </w:r>
      <w:r>
        <w:rPr>
          <w:lang w:eastAsia="en-GB"/>
        </w:rPr>
        <w:t xml:space="preserve"> application of generalised methods of moments</w:t>
      </w:r>
      <w:r w:rsidRPr="00EF390D">
        <w:rPr>
          <w:lang w:eastAsia="en-GB"/>
        </w:rPr>
        <w:t xml:space="preserve"> </w:t>
      </w:r>
      <w:r>
        <w:rPr>
          <w:lang w:eastAsia="en-GB"/>
        </w:rPr>
        <w:t>(</w:t>
      </w:r>
      <w:r w:rsidRPr="00EF390D">
        <w:rPr>
          <w:lang w:eastAsia="en-GB"/>
        </w:rPr>
        <w:t>GMM</w:t>
      </w:r>
      <w:r>
        <w:rPr>
          <w:lang w:eastAsia="en-GB"/>
        </w:rPr>
        <w:t xml:space="preserve">) estimates, </w:t>
      </w:r>
      <w:r w:rsidRPr="000D3B87">
        <w:rPr>
          <w:i/>
          <w:lang w:eastAsia="en-GB"/>
        </w:rPr>
        <w:t>inter alia</w:t>
      </w:r>
      <w:r w:rsidRPr="00EF390D">
        <w:rPr>
          <w:lang w:eastAsia="en-GB"/>
        </w:rPr>
        <w:t xml:space="preserve">. </w:t>
      </w:r>
      <w:r>
        <w:rPr>
          <w:lang w:eastAsia="en-GB"/>
        </w:rPr>
        <w:t xml:space="preserve"> However, as highlighted by </w:t>
      </w:r>
      <w:r>
        <w:rPr>
          <w:lang w:eastAsia="en-GB"/>
        </w:rPr>
        <w:fldChar w:fldCharType="begin"/>
      </w:r>
      <w:r w:rsidR="00327CEC">
        <w:rPr>
          <w:lang w:eastAsia="en-GB"/>
        </w:rPr>
        <w:instrText xml:space="preserve"> ADDIN EN.CITE &lt;EndNote&gt;&lt;Cite AuthorYear="1"&gt;&lt;Author&gt;Wooldridge&lt;/Author&gt;&lt;Year&gt;2002&lt;/Year&gt;&lt;RecNum&gt;346&lt;/RecNum&gt;&lt;DisplayText&gt;Wooldridge (2002)&lt;/DisplayText&gt;&lt;record&gt;&lt;rec-number&gt;346&lt;/rec-number&gt;&lt;foreign-keys&gt;&lt;key app="EN" db-id="s00xzp50xdvx90ea0ravv2dxzr2pdvrrzaff" timestamp="1452198237" guid="667062f1-5b4c-4cff-81fc-b8f76213e9f1"&gt;346&lt;/key&gt;&lt;/foreign-keys&gt;&lt;ref-type name="Book"&gt;6&lt;/ref-type&gt;&lt;contributors&gt;&lt;authors&gt;&lt;author&gt;Wooldridge, J.M.&lt;/author&gt;&lt;/authors&gt;&lt;/contributors&gt;&lt;titles&gt;&lt;title&gt;Econometric Analysis of Cross Section and Panel Data&lt;/title&gt;&lt;/titles&gt;&lt;dates&gt;&lt;year&gt;2002&lt;/year&gt;&lt;/dates&gt;&lt;publisher&gt;The MIT press&lt;/publisher&gt;&lt;isbn&gt;0262232197&lt;/isbn&gt;&lt;urls&gt;&lt;/urls&gt;&lt;/record&gt;&lt;/Cite&gt;&lt;/EndNote&gt;</w:instrText>
      </w:r>
      <w:r>
        <w:rPr>
          <w:lang w:eastAsia="en-GB"/>
        </w:rPr>
        <w:fldChar w:fldCharType="separate"/>
      </w:r>
      <w:r>
        <w:rPr>
          <w:noProof/>
          <w:lang w:eastAsia="en-GB"/>
        </w:rPr>
        <w:t>Wooldridge (2002)</w:t>
      </w:r>
      <w:r>
        <w:rPr>
          <w:lang w:eastAsia="en-GB"/>
        </w:rPr>
        <w:fldChar w:fldCharType="end"/>
      </w:r>
      <w:r>
        <w:rPr>
          <w:lang w:eastAsia="en-GB"/>
        </w:rPr>
        <w:t>,</w:t>
      </w:r>
      <w:r w:rsidRPr="00EF390D">
        <w:rPr>
          <w:lang w:eastAsia="en-GB"/>
        </w:rPr>
        <w:t xml:space="preserve"> </w:t>
      </w:r>
      <w:r>
        <w:rPr>
          <w:lang w:eastAsia="en-GB"/>
        </w:rPr>
        <w:t xml:space="preserve">before selecting an </w:t>
      </w:r>
      <w:r w:rsidRPr="00EF390D">
        <w:rPr>
          <w:lang w:eastAsia="en-GB"/>
        </w:rPr>
        <w:t>i</w:t>
      </w:r>
      <w:r>
        <w:rPr>
          <w:lang w:eastAsia="en-GB"/>
        </w:rPr>
        <w:t>nstrumental variable,</w:t>
      </w:r>
      <w:r w:rsidRPr="00EF390D">
        <w:rPr>
          <w:lang w:eastAsia="en-GB"/>
        </w:rPr>
        <w:t xml:space="preserve"> two conditions </w:t>
      </w:r>
      <w:r>
        <w:rPr>
          <w:lang w:eastAsia="en-GB"/>
        </w:rPr>
        <w:t>are required to be met</w:t>
      </w:r>
      <w:r w:rsidRPr="00EF390D">
        <w:rPr>
          <w:lang w:eastAsia="en-GB"/>
        </w:rPr>
        <w:t>. First, the instrumental variable must be uncorrelated with the error term</w:t>
      </w:r>
      <w:r>
        <w:rPr>
          <w:lang w:eastAsia="en-GB"/>
        </w:rPr>
        <w:t xml:space="preserve"> of the econometric model</w:t>
      </w:r>
      <w:r w:rsidRPr="00EF390D">
        <w:rPr>
          <w:lang w:eastAsia="en-GB"/>
        </w:rPr>
        <w:t xml:space="preserve">. Second, </w:t>
      </w:r>
      <w:r>
        <w:rPr>
          <w:lang w:eastAsia="en-GB"/>
        </w:rPr>
        <w:t>it</w:t>
      </w:r>
      <w:r w:rsidRPr="00EF390D">
        <w:rPr>
          <w:lang w:eastAsia="en-GB"/>
        </w:rPr>
        <w:t xml:space="preserve"> should be partially correlated with one of the</w:t>
      </w:r>
      <w:r>
        <w:rPr>
          <w:lang w:eastAsia="en-GB"/>
        </w:rPr>
        <w:t xml:space="preserve"> endogenous variables. It</w:t>
      </w:r>
      <w:r w:rsidRPr="00EF390D">
        <w:rPr>
          <w:lang w:eastAsia="en-GB"/>
        </w:rPr>
        <w:t xml:space="preserve"> is </w:t>
      </w:r>
      <w:r>
        <w:rPr>
          <w:lang w:eastAsia="en-GB"/>
        </w:rPr>
        <w:t>however particularly</w:t>
      </w:r>
      <w:r w:rsidRPr="00EF390D">
        <w:rPr>
          <w:lang w:eastAsia="en-GB"/>
        </w:rPr>
        <w:t xml:space="preserve"> difficult to find</w:t>
      </w:r>
      <w:r>
        <w:rPr>
          <w:lang w:eastAsia="en-GB"/>
        </w:rPr>
        <w:t xml:space="preserve"> an instrumental variable which could satisfy both these conditions, which makes this approach</w:t>
      </w:r>
      <w:r w:rsidRPr="00EF390D">
        <w:rPr>
          <w:lang w:eastAsia="en-GB"/>
        </w:rPr>
        <w:t xml:space="preserve"> </w:t>
      </w:r>
      <w:r>
        <w:rPr>
          <w:lang w:eastAsia="en-GB"/>
        </w:rPr>
        <w:t>unsuitable</w:t>
      </w:r>
      <w:r w:rsidRPr="00EF390D">
        <w:rPr>
          <w:lang w:eastAsia="en-GB"/>
        </w:rPr>
        <w:t xml:space="preserve"> to implement.</w:t>
      </w:r>
    </w:p>
    <w:p w14:paraId="52688773" w14:textId="1D4FC7D0" w:rsidR="00BF5B41" w:rsidRDefault="00DC6089" w:rsidP="00BF5B41">
      <w:pPr>
        <w:spacing w:after="0"/>
        <w:rPr>
          <w:rFonts w:cs="Times New Roman"/>
          <w:szCs w:val="24"/>
        </w:rPr>
      </w:pPr>
      <w:r>
        <w:rPr>
          <w:lang w:eastAsia="en-GB"/>
        </w:rPr>
        <w:t>The use of f</w:t>
      </w:r>
      <w:r w:rsidRPr="00ED3067">
        <w:rPr>
          <w:lang w:eastAsia="en-GB"/>
        </w:rPr>
        <w:t xml:space="preserve">ixed effects models can potentially eliminate the bias arising from unobservable heterogeneity. </w:t>
      </w:r>
      <w:r>
        <w:rPr>
          <w:lang w:eastAsia="en-GB"/>
        </w:rPr>
        <w:t xml:space="preserve">However, </w:t>
      </w:r>
      <w:r>
        <w:rPr>
          <w:lang w:eastAsia="en-GB"/>
        </w:rPr>
        <w:fldChar w:fldCharType="begin"/>
      </w:r>
      <w:r w:rsidR="00327CEC">
        <w:rPr>
          <w:lang w:eastAsia="en-GB"/>
        </w:rPr>
        <w:instrText xml:space="preserve"> ADDIN EN.CITE &lt;EndNote&gt;&lt;Cite AuthorYear="1"&gt;&lt;Author&gt;Schultz&lt;/Author&gt;&lt;Year&gt;2010&lt;/Year&gt;&lt;RecNum&gt;351&lt;/RecNum&gt;&lt;DisplayText&gt;Schultz, Tan, and Walsh (2010)&lt;/DisplayText&gt;&lt;record&gt;&lt;rec-number&gt;351&lt;/rec-number&gt;&lt;foreign-keys&gt;&lt;key app="EN" db-id="s00xzp50xdvx90ea0ravv2dxzr2pdvrrzaff" timestamp="1452198239" guid="87c1a8cc-1957-41b4-bf24-78576efff6ea"&gt;351&lt;/key&gt;&lt;/foreign-keys&gt;&lt;ref-type name="Journal Article"&gt;17&lt;/ref-type&gt;&lt;contributors&gt;&lt;authors&gt;&lt;author&gt;Schultz, E.L.&lt;/author&gt;&lt;author&gt;Tan, D.T.&lt;/author&gt;&lt;author&gt;Walsh, K.D.&lt;/author&gt;&lt;/authors&gt;&lt;/contributors&gt;&lt;titles&gt;&lt;title&gt;Endogeneity and the corporate governance-performance relation&lt;/title&gt;&lt;secondary-title&gt;Australian Journal of Management&lt;/secondary-title&gt;&lt;/titles&gt;&lt;periodical&gt;&lt;full-title&gt;Australian Journal of Management&lt;/full-title&gt;&lt;/periodical&gt;&lt;pages&gt;145-163&lt;/pages&gt;&lt;volume&gt;35&lt;/volume&gt;&lt;number&gt;2&lt;/number&gt;&lt;dates&gt;&lt;year&gt;2010&lt;/year&gt;&lt;/dates&gt;&lt;isbn&gt;0312-8962&lt;/isbn&gt;&lt;urls&gt;&lt;/urls&gt;&lt;/record&gt;&lt;/Cite&gt;&lt;/EndNote&gt;</w:instrText>
      </w:r>
      <w:r>
        <w:rPr>
          <w:lang w:eastAsia="en-GB"/>
        </w:rPr>
        <w:fldChar w:fldCharType="separate"/>
      </w:r>
      <w:r>
        <w:rPr>
          <w:noProof/>
          <w:lang w:eastAsia="en-GB"/>
        </w:rPr>
        <w:t>Schultz, Tan, and Walsh (2010)</w:t>
      </w:r>
      <w:r>
        <w:rPr>
          <w:lang w:eastAsia="en-GB"/>
        </w:rPr>
        <w:fldChar w:fldCharType="end"/>
      </w:r>
      <w:r>
        <w:rPr>
          <w:lang w:eastAsia="en-GB"/>
        </w:rPr>
        <w:t xml:space="preserve"> argue</w:t>
      </w:r>
      <w:r w:rsidRPr="00ED3067">
        <w:rPr>
          <w:lang w:eastAsia="en-GB"/>
        </w:rPr>
        <w:t xml:space="preserve"> that fixed</w:t>
      </w:r>
      <w:r>
        <w:rPr>
          <w:lang w:eastAsia="en-GB"/>
        </w:rPr>
        <w:t xml:space="preserve"> </w:t>
      </w:r>
      <w:r w:rsidRPr="00ED3067">
        <w:rPr>
          <w:lang w:eastAsia="en-GB"/>
        </w:rPr>
        <w:t>effects panel specifications only produce consistent parameter estimates under the as</w:t>
      </w:r>
      <w:r>
        <w:rPr>
          <w:lang w:eastAsia="en-GB"/>
        </w:rPr>
        <w:t>sumption of strict exogeneity. I</w:t>
      </w:r>
      <w:r w:rsidRPr="00ED3067">
        <w:rPr>
          <w:lang w:eastAsia="en-GB"/>
        </w:rPr>
        <w:t>t has been widely document</w:t>
      </w:r>
      <w:r>
        <w:rPr>
          <w:lang w:eastAsia="en-GB"/>
        </w:rPr>
        <w:t>ed that the governance-</w:t>
      </w:r>
      <w:r w:rsidRPr="00ED3067">
        <w:rPr>
          <w:lang w:eastAsia="en-GB"/>
        </w:rPr>
        <w:t>performance relation</w:t>
      </w:r>
      <w:r>
        <w:rPr>
          <w:lang w:eastAsia="en-GB"/>
        </w:rPr>
        <w:t>ship</w:t>
      </w:r>
      <w:r w:rsidRPr="00ED3067">
        <w:rPr>
          <w:lang w:eastAsia="en-GB"/>
        </w:rPr>
        <w:t xml:space="preserve"> is subject to simultaneity</w:t>
      </w:r>
      <w:r>
        <w:rPr>
          <w:lang w:eastAsia="en-GB"/>
        </w:rPr>
        <w:t xml:space="preserve"> and dynamic endogeneity and the assumption of strict exogeneity therefore does not hold. </w:t>
      </w:r>
      <w:r>
        <w:rPr>
          <w:lang w:eastAsia="en-GB"/>
        </w:rPr>
        <w:fldChar w:fldCharType="begin"/>
      </w:r>
      <w:r w:rsidR="00327CEC">
        <w:rPr>
          <w:lang w:eastAsia="en-GB"/>
        </w:rPr>
        <w:instrText xml:space="preserve"> ADDIN EN.CITE &lt;EndNote&gt;&lt;Cite AuthorYear="1"&gt;&lt;Author&gt;Wintoki&lt;/Author&gt;&lt;Year&gt;2012&lt;/Year&gt;&lt;RecNum&gt;486&lt;/RecNum&gt;&lt;DisplayText&gt;Wintoki et al. (2012)&lt;/DisplayText&gt;&lt;record&gt;&lt;rec-number&gt;486&lt;/rec-number&gt;&lt;foreign-keys&gt;&lt;key app="EN" db-id="s00xzp50xdvx90ea0ravv2dxzr2pdvrrzaff" timestamp="1452198497" guid="d48fa821-2a1a-407d-9383-a66f3fd77213"&gt;486&lt;/key&gt;&lt;/foreign-keys&gt;&lt;ref-type name="Journal Article"&gt;17&lt;/ref-type&gt;&lt;contributors&gt;&lt;authors&gt;&lt;author&gt;Wintoki, M Babajide&lt;/author&gt;&lt;author&gt;Linck, James S&lt;/author&gt;&lt;author&gt;Netter, Jeffry M&lt;/author&gt;&lt;/authors&gt;&lt;/contributors&gt;&lt;titles&gt;&lt;title&gt;Endogeneity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pages&gt;581-606&lt;/pages&gt;&lt;volume&gt;105&lt;/volume&gt;&lt;number&gt;3&lt;/number&gt;&lt;dates&gt;&lt;year&gt;2012&lt;/year&gt;&lt;/dates&gt;&lt;isbn&gt;0304-405X&lt;/isbn&gt;&lt;urls&gt;&lt;/urls&gt;&lt;/record&gt;&lt;/Cite&gt;&lt;/EndNote&gt;</w:instrText>
      </w:r>
      <w:r>
        <w:rPr>
          <w:lang w:eastAsia="en-GB"/>
        </w:rPr>
        <w:fldChar w:fldCharType="separate"/>
      </w:r>
      <w:r w:rsidR="000A7F09">
        <w:rPr>
          <w:noProof/>
          <w:lang w:eastAsia="en-GB"/>
        </w:rPr>
        <w:t>Wintoki et al. (2012)</w:t>
      </w:r>
      <w:r>
        <w:rPr>
          <w:lang w:eastAsia="en-GB"/>
        </w:rPr>
        <w:fldChar w:fldCharType="end"/>
      </w:r>
      <w:r>
        <w:rPr>
          <w:lang w:eastAsia="en-GB"/>
        </w:rPr>
        <w:t xml:space="preserve"> recommend the use of GMM and argue that the </w:t>
      </w:r>
      <w:r>
        <w:rPr>
          <w:lang w:eastAsia="en-GB"/>
        </w:rPr>
        <w:lastRenderedPageBreak/>
        <w:t>presence of s</w:t>
      </w:r>
      <w:r w:rsidRPr="00ED3067">
        <w:rPr>
          <w:lang w:eastAsia="en-GB"/>
        </w:rPr>
        <w:t>imultane</w:t>
      </w:r>
      <w:r>
        <w:rPr>
          <w:lang w:eastAsia="en-GB"/>
        </w:rPr>
        <w:t>ity and dynamic endogeneity</w:t>
      </w:r>
      <w:r w:rsidRPr="00ED3067">
        <w:rPr>
          <w:lang w:eastAsia="en-GB"/>
        </w:rPr>
        <w:t xml:space="preserve"> violate</w:t>
      </w:r>
      <w:r>
        <w:rPr>
          <w:lang w:eastAsia="en-GB"/>
        </w:rPr>
        <w:t>s</w:t>
      </w:r>
      <w:r w:rsidRPr="00ED3067">
        <w:rPr>
          <w:lang w:eastAsia="en-GB"/>
        </w:rPr>
        <w:t xml:space="preserve"> the strict exo</w:t>
      </w:r>
      <w:r>
        <w:rPr>
          <w:lang w:eastAsia="en-GB"/>
        </w:rPr>
        <w:t xml:space="preserve">geneity assumption of the fixed </w:t>
      </w:r>
      <w:r w:rsidRPr="00ED3067">
        <w:rPr>
          <w:lang w:eastAsia="en-GB"/>
        </w:rPr>
        <w:t>effects panel estimation</w:t>
      </w:r>
      <w:r>
        <w:rPr>
          <w:lang w:eastAsia="en-GB"/>
        </w:rPr>
        <w:t>s</w:t>
      </w:r>
      <w:r w:rsidRPr="00ED3067">
        <w:rPr>
          <w:lang w:eastAsia="en-GB"/>
        </w:rPr>
        <w:t xml:space="preserve">, as it </w:t>
      </w:r>
      <w:r>
        <w:rPr>
          <w:lang w:eastAsia="en-GB"/>
        </w:rPr>
        <w:t>results in the</w:t>
      </w:r>
      <w:r w:rsidRPr="00ED3067">
        <w:rPr>
          <w:lang w:eastAsia="en-GB"/>
        </w:rPr>
        <w:t xml:space="preserve"> regressors being contemporane</w:t>
      </w:r>
      <w:r>
        <w:rPr>
          <w:lang w:eastAsia="en-GB"/>
        </w:rPr>
        <w:t>ously correlated with the error term</w:t>
      </w:r>
      <w:r w:rsidRPr="00ED3067">
        <w:rPr>
          <w:lang w:eastAsia="en-GB"/>
        </w:rPr>
        <w:t>.</w:t>
      </w:r>
      <w:r>
        <w:rPr>
          <w:lang w:eastAsia="en-GB"/>
        </w:rPr>
        <w:t xml:space="preserve"> In order to test, for the presence of endogeneity we applied the standard Durbin-Wu-Hausman (DWH) test. The results are reported in Table 1, which shows that apart from Capital and Beta all other variables are endogenous. We therefore argue that the application of OLS or fixed effects models will produce inconsistent estimates. </w:t>
      </w:r>
      <w:r w:rsidR="0081400D" w:rsidRPr="0081400D">
        <w:rPr>
          <w:lang w:eastAsia="en-GB"/>
        </w:rPr>
        <w:t xml:space="preserve">To account for the </w:t>
      </w:r>
      <w:r w:rsidR="00FF3FC2" w:rsidRPr="0081400D">
        <w:rPr>
          <w:lang w:eastAsia="en-GB"/>
        </w:rPr>
        <w:t>endogenous</w:t>
      </w:r>
      <w:r w:rsidR="0081400D" w:rsidRPr="0081400D">
        <w:rPr>
          <w:lang w:eastAsia="en-GB"/>
        </w:rPr>
        <w:t xml:space="preserve"> effect of the lagged dependent variable, the system GMM estimator makes use of the lagged differences of the dependent variable as instruments for the equation in levels as well as lagged levels of the dependent variable as instruments for the equation in first differences (Arellano and </w:t>
      </w:r>
      <w:proofErr w:type="spellStart"/>
      <w:r w:rsidR="0081400D" w:rsidRPr="0081400D">
        <w:rPr>
          <w:lang w:eastAsia="en-GB"/>
        </w:rPr>
        <w:t>Bover</w:t>
      </w:r>
      <w:proofErr w:type="spellEnd"/>
      <w:r w:rsidR="0081400D" w:rsidRPr="0081400D">
        <w:rPr>
          <w:lang w:eastAsia="en-GB"/>
        </w:rPr>
        <w:t xml:space="preserve">, 1995). </w:t>
      </w:r>
      <w:r w:rsidR="0081400D">
        <w:rPr>
          <w:lang w:eastAsia="en-GB"/>
        </w:rPr>
        <w:t>Therefore,</w:t>
      </w:r>
      <w:r>
        <w:rPr>
          <w:lang w:eastAsia="en-GB"/>
        </w:rPr>
        <w:t xml:space="preserve"> </w:t>
      </w:r>
      <w:r>
        <w:rPr>
          <w:lang w:eastAsia="ar-SA"/>
        </w:rPr>
        <w:t>we</w:t>
      </w:r>
      <w:r w:rsidRPr="0085021F">
        <w:rPr>
          <w:lang w:eastAsia="ar-SA"/>
        </w:rPr>
        <w:t xml:space="preserve"> use a dynamic </w:t>
      </w:r>
      <w:r>
        <w:rPr>
          <w:lang w:eastAsia="ar-SA"/>
        </w:rPr>
        <w:t>GMM estimator, proposed by</w:t>
      </w:r>
      <w:r>
        <w:rPr>
          <w:noProof/>
          <w:lang w:eastAsia="ar-SA"/>
        </w:rPr>
        <w:t xml:space="preserve"> </w:t>
      </w:r>
      <w:r>
        <w:rPr>
          <w:noProof/>
          <w:lang w:eastAsia="ar-SA"/>
        </w:rPr>
        <w:fldChar w:fldCharType="begin"/>
      </w:r>
      <w:r w:rsidR="00327CEC">
        <w:rPr>
          <w:noProof/>
          <w:lang w:eastAsia="ar-SA"/>
        </w:rPr>
        <w:instrText xml:space="preserve"> ADDIN EN.CITE &lt;EndNote&gt;&lt;Cite AuthorYear="1"&gt;&lt;Author&gt;Arellano&lt;/Author&gt;&lt;Year&gt;1995&lt;/Year&gt;&lt;RecNum&gt;552&lt;/RecNum&gt;&lt;DisplayText&gt;Arellano and Bover (1995)&lt;/DisplayText&gt;&lt;record&gt;&lt;rec-number&gt;552&lt;/rec-number&gt;&lt;foreign-keys&gt;&lt;key app="EN" db-id="s00xzp50xdvx90ea0ravv2dxzr2pdvrrzaff" timestamp="1452596065" guid="d44e3d9b-ac16-44b8-9d25-8b5d9ad0c684"&gt;552&lt;/key&gt;&lt;/foreign-keys&gt;&lt;ref-type name="Journal Article"&gt;17&lt;/ref-type&gt;&lt;contributors&gt;&lt;authors&gt;&lt;author&gt;Arellano, Manuel&lt;/author&gt;&lt;author&gt;Bover, Olympia&lt;/author&gt;&lt;/authors&gt;&lt;/contributors&gt;&lt;titles&gt;&lt;title&gt;Another look at the instrumental variable estimation of error-components models&lt;/title&gt;&lt;secondary-title&gt;Journal of econometrics&lt;/secondary-title&gt;&lt;/titles&gt;&lt;periodical&gt;&lt;full-title&gt;Journal of econometrics&lt;/full-title&gt;&lt;/periodical&gt;&lt;pages&gt;29-51&lt;/pages&gt;&lt;volume&gt;68&lt;/volume&gt;&lt;number&gt;1&lt;/number&gt;&lt;dates&gt;&lt;year&gt;1995&lt;/year&gt;&lt;/dates&gt;&lt;isbn&gt;0304-4076&lt;/isbn&gt;&lt;urls&gt;&lt;/urls&gt;&lt;/record&gt;&lt;/Cite&gt;&lt;/EndNote&gt;</w:instrText>
      </w:r>
      <w:r>
        <w:rPr>
          <w:noProof/>
          <w:lang w:eastAsia="ar-SA"/>
        </w:rPr>
        <w:fldChar w:fldCharType="separate"/>
      </w:r>
      <w:r>
        <w:rPr>
          <w:noProof/>
          <w:lang w:eastAsia="ar-SA"/>
        </w:rPr>
        <w:t>Arellano and Bover (1995)</w:t>
      </w:r>
      <w:r>
        <w:rPr>
          <w:noProof/>
          <w:lang w:eastAsia="ar-SA"/>
        </w:rPr>
        <w:fldChar w:fldCharType="end"/>
      </w:r>
      <w:r>
        <w:rPr>
          <w:noProof/>
          <w:lang w:eastAsia="ar-SA"/>
        </w:rPr>
        <w:t>,</w:t>
      </w:r>
      <w:r>
        <w:rPr>
          <w:lang w:eastAsia="ar-SA"/>
        </w:rPr>
        <w:t xml:space="preserve"> and</w:t>
      </w:r>
      <w:r>
        <w:rPr>
          <w:noProof/>
          <w:lang w:eastAsia="ar-SA"/>
        </w:rPr>
        <w:t xml:space="preserve"> </w:t>
      </w:r>
      <w:r>
        <w:rPr>
          <w:noProof/>
          <w:lang w:eastAsia="ar-SA"/>
        </w:rPr>
        <w:fldChar w:fldCharType="begin"/>
      </w:r>
      <w:r w:rsidR="00327CEC">
        <w:rPr>
          <w:noProof/>
          <w:lang w:eastAsia="ar-SA"/>
        </w:rPr>
        <w:instrText xml:space="preserve"> ADDIN EN.CITE &lt;EndNote&gt;&lt;Cite AuthorYear="1"&gt;&lt;Author&gt;Blundell&lt;/Author&gt;&lt;Year&gt;1998&lt;/Year&gt;&lt;RecNum&gt;489&lt;/RecNum&gt;&lt;DisplayText&gt;Blundell and Bond (1998)&lt;/DisplayText&gt;&lt;record&gt;&lt;rec-number&gt;489&lt;/rec-number&gt;&lt;foreign-keys&gt;&lt;key app="EN" db-id="s00xzp50xdvx90ea0ravv2dxzr2pdvrrzaff" timestamp="1452198503" guid="2505732f-4442-4164-be13-efb95806a9dd"&gt;489&lt;/key&gt;&lt;/foreign-keys&gt;&lt;ref-type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Pr>
          <w:noProof/>
          <w:lang w:eastAsia="ar-SA"/>
        </w:rPr>
        <w:fldChar w:fldCharType="separate"/>
      </w:r>
      <w:r>
        <w:rPr>
          <w:noProof/>
          <w:lang w:eastAsia="ar-SA"/>
        </w:rPr>
        <w:t>Blundell and Bond (1998)</w:t>
      </w:r>
      <w:r>
        <w:rPr>
          <w:noProof/>
          <w:lang w:eastAsia="ar-SA"/>
        </w:rPr>
        <w:fldChar w:fldCharType="end"/>
      </w:r>
      <w:r w:rsidRPr="0085021F">
        <w:rPr>
          <w:lang w:eastAsia="ar-SA"/>
        </w:rPr>
        <w:t xml:space="preserve">. </w:t>
      </w:r>
    </w:p>
    <w:p w14:paraId="1552B670" w14:textId="77777777" w:rsidR="00DC6089" w:rsidRPr="00C20A52" w:rsidRDefault="00DC6089" w:rsidP="0092047F">
      <w:pPr>
        <w:spacing w:after="0"/>
        <w:jc w:val="center"/>
        <w:rPr>
          <w:rFonts w:eastAsia="Calibri" w:cs="Times New Roman"/>
          <w:szCs w:val="24"/>
        </w:rPr>
      </w:pPr>
      <w:r w:rsidRPr="00C20A52">
        <w:rPr>
          <w:rFonts w:cs="Times New Roman"/>
          <w:b/>
          <w:szCs w:val="24"/>
        </w:rPr>
        <w:t xml:space="preserve">[Insert Table </w:t>
      </w:r>
      <w:r>
        <w:rPr>
          <w:rFonts w:cs="Times New Roman"/>
          <w:b/>
          <w:szCs w:val="24"/>
        </w:rPr>
        <w:t>1</w:t>
      </w:r>
      <w:r w:rsidRPr="00C20A52">
        <w:rPr>
          <w:rFonts w:cs="Times New Roman"/>
          <w:b/>
          <w:szCs w:val="24"/>
        </w:rPr>
        <w:t xml:space="preserve"> about here]</w:t>
      </w:r>
    </w:p>
    <w:p w14:paraId="212DB5D0" w14:textId="77777777" w:rsidR="00DC6089" w:rsidRDefault="00DC6089" w:rsidP="0092047F">
      <w:pPr>
        <w:pStyle w:val="Heading2"/>
      </w:pPr>
      <w:r>
        <w:t>Model</w:t>
      </w:r>
    </w:p>
    <w:p w14:paraId="71A4BF35" w14:textId="5DB7909B" w:rsidR="00DC6089" w:rsidRDefault="00DC6089" w:rsidP="0092047F">
      <w:pPr>
        <w:rPr>
          <w:lang w:eastAsia="ar-SA"/>
        </w:rPr>
      </w:pPr>
      <w:r>
        <w:rPr>
          <w:lang w:eastAsia="ar-SA"/>
        </w:rPr>
        <w:t>In order to control</w:t>
      </w:r>
      <w:r w:rsidRPr="0085021F">
        <w:rPr>
          <w:lang w:eastAsia="ar-SA"/>
        </w:rPr>
        <w:t xml:space="preserve"> for </w:t>
      </w:r>
      <w:r>
        <w:rPr>
          <w:lang w:eastAsia="ar-SA"/>
        </w:rPr>
        <w:t xml:space="preserve">the effects of </w:t>
      </w:r>
      <w:r w:rsidRPr="0085021F">
        <w:rPr>
          <w:lang w:eastAsia="ar-SA"/>
        </w:rPr>
        <w:t>potential simultaneity and reverse causality</w:t>
      </w:r>
      <w:r>
        <w:rPr>
          <w:lang w:eastAsia="ar-SA"/>
        </w:rPr>
        <w:t xml:space="preserve"> problems, </w:t>
      </w:r>
      <w:r>
        <w:rPr>
          <w:lang w:eastAsia="ar-SA"/>
        </w:rPr>
        <w:fldChar w:fldCharType="begin"/>
      </w:r>
      <w:r w:rsidR="00327CEC">
        <w:rPr>
          <w:lang w:eastAsia="ar-SA"/>
        </w:rPr>
        <w:instrText xml:space="preserve"> ADDIN EN.CITE &lt;EndNote&gt;&lt;Cite AuthorYear="1"&gt;&lt;Author&gt;Ammann&lt;/Author&gt;&lt;Year&gt;2011&lt;/Year&gt;&lt;RecNum&gt;410&lt;/RecNum&gt;&lt;DisplayText&gt;Ammann, Oesch, and Schmid (2011)&lt;/DisplayText&gt;&lt;record&gt;&lt;rec-number&gt;410&lt;/rec-number&gt;&lt;foreign-keys&gt;&lt;key app="EN" db-id="s00xzp50xdvx90ea0ravv2dxzr2pdvrrzaff" timestamp="1452198352" guid="0bf275aa-9952-44ed-b40a-10dd4546067f"&gt;410&lt;/key&gt;&lt;/foreign-keys&gt;&lt;ref-type name="Journal Article"&gt;17&lt;/ref-type&gt;&lt;contributors&gt;&lt;authors&gt;&lt;author&gt;Ammann, M.&lt;/author&gt;&lt;author&gt;Oesch, D.&lt;/author&gt;&lt;author&gt;Schmid, M.M.&lt;/author&gt;&lt;/authors&gt;&lt;/contributors&gt;&lt;titles&gt;&lt;title&gt;Corporate governance and firm value: International evidence&lt;/title&gt;&lt;secondary-title&gt;Journal of Empirical Finance&lt;/secondary-title&gt;&lt;/titles&gt;&lt;periodical&gt;&lt;full-title&gt;Journal of Empirical Finance&lt;/full-title&gt;&lt;/periodical&gt;&lt;pages&gt;36-55&lt;/pages&gt;&lt;volume&gt;18&lt;/volume&gt;&lt;number&gt;1&lt;/number&gt;&lt;dates&gt;&lt;year&gt;2011&lt;/year&gt;&lt;/dates&gt;&lt;isbn&gt;0927-5398&lt;/isbn&gt;&lt;urls&gt;&lt;/urls&gt;&lt;/record&gt;&lt;/Cite&gt;&lt;/EndNote&gt;</w:instrText>
      </w:r>
      <w:r>
        <w:rPr>
          <w:lang w:eastAsia="ar-SA"/>
        </w:rPr>
        <w:fldChar w:fldCharType="separate"/>
      </w:r>
      <w:r>
        <w:rPr>
          <w:noProof/>
          <w:lang w:eastAsia="ar-SA"/>
        </w:rPr>
        <w:t>Ammann, Oesch, and Schmid (2011)</w:t>
      </w:r>
      <w:r>
        <w:rPr>
          <w:lang w:eastAsia="ar-SA"/>
        </w:rPr>
        <w:fldChar w:fldCharType="end"/>
      </w:r>
      <w:r w:rsidRPr="0085021F">
        <w:rPr>
          <w:lang w:eastAsia="ar-SA"/>
        </w:rPr>
        <w:t xml:space="preserve"> </w:t>
      </w:r>
      <w:r>
        <w:rPr>
          <w:lang w:eastAsia="ar-SA"/>
        </w:rPr>
        <w:t xml:space="preserve">recommend the use of </w:t>
      </w:r>
      <w:r w:rsidRPr="0085021F">
        <w:rPr>
          <w:lang w:eastAsia="ar-SA"/>
        </w:rPr>
        <w:t>lagged variables as instruments</w:t>
      </w:r>
      <w:r>
        <w:rPr>
          <w:lang w:eastAsia="ar-SA"/>
        </w:rPr>
        <w:t xml:space="preserve"> for the present values of those</w:t>
      </w:r>
      <w:r w:rsidRPr="0085021F">
        <w:rPr>
          <w:lang w:eastAsia="ar-SA"/>
        </w:rPr>
        <w:t xml:space="preserve"> variables</w:t>
      </w:r>
      <w:r>
        <w:rPr>
          <w:lang w:eastAsia="ar-SA"/>
        </w:rPr>
        <w:t xml:space="preserve">. </w:t>
      </w:r>
      <w:r w:rsidRPr="0085021F">
        <w:rPr>
          <w:lang w:eastAsia="ar-SA"/>
        </w:rPr>
        <w:t xml:space="preserve"> </w:t>
      </w:r>
      <w:r>
        <w:rPr>
          <w:lang w:eastAsia="ar-SA"/>
        </w:rPr>
        <w:t>In line with this, t</w:t>
      </w:r>
      <w:r w:rsidRPr="0085021F">
        <w:rPr>
          <w:lang w:eastAsia="ar-SA"/>
        </w:rPr>
        <w:t xml:space="preserve">he </w:t>
      </w:r>
      <w:r>
        <w:rPr>
          <w:lang w:eastAsia="ar-SA"/>
        </w:rPr>
        <w:t xml:space="preserve">econometric </w:t>
      </w:r>
      <w:r w:rsidRPr="0085021F">
        <w:rPr>
          <w:lang w:eastAsia="ar-SA"/>
        </w:rPr>
        <w:t xml:space="preserve">model </w:t>
      </w:r>
      <w:r>
        <w:rPr>
          <w:lang w:eastAsia="ar-SA"/>
        </w:rPr>
        <w:t xml:space="preserve">of this study </w:t>
      </w:r>
      <w:r w:rsidRPr="0085021F">
        <w:rPr>
          <w:lang w:eastAsia="ar-SA"/>
        </w:rPr>
        <w:t xml:space="preserve">is </w:t>
      </w:r>
      <w:r>
        <w:rPr>
          <w:lang w:eastAsia="ar-SA"/>
        </w:rPr>
        <w:t>applied</w:t>
      </w:r>
      <w:r w:rsidRPr="0085021F">
        <w:rPr>
          <w:lang w:eastAsia="ar-SA"/>
        </w:rPr>
        <w:t xml:space="preserve"> in</w:t>
      </w:r>
      <w:r>
        <w:rPr>
          <w:lang w:eastAsia="ar-SA"/>
        </w:rPr>
        <w:t xml:space="preserve"> three different steps.  First, </w:t>
      </w:r>
      <w:r w:rsidRPr="0085021F">
        <w:rPr>
          <w:lang w:eastAsia="ar-SA"/>
        </w:rPr>
        <w:t>the regression equation</w:t>
      </w:r>
      <w:r>
        <w:rPr>
          <w:lang w:eastAsia="ar-SA"/>
        </w:rPr>
        <w:t xml:space="preserve"> is rewritten</w:t>
      </w:r>
      <w:r w:rsidRPr="0085021F">
        <w:rPr>
          <w:lang w:eastAsia="ar-SA"/>
        </w:rPr>
        <w:t xml:space="preserve"> as a dynamic model that includes lagged </w:t>
      </w:r>
      <w:r>
        <w:rPr>
          <w:lang w:eastAsia="ar-SA"/>
        </w:rPr>
        <w:t>shareholder value</w:t>
      </w:r>
      <w:r w:rsidRPr="0085021F">
        <w:rPr>
          <w:lang w:eastAsia="ar-SA"/>
        </w:rPr>
        <w:t xml:space="preserve"> as an explanatory variable. Second, we </w:t>
      </w:r>
      <w:r>
        <w:rPr>
          <w:lang w:eastAsia="ar-SA"/>
        </w:rPr>
        <w:t xml:space="preserve">take </w:t>
      </w:r>
      <w:r w:rsidRPr="0085021F">
        <w:rPr>
          <w:lang w:eastAsia="ar-SA"/>
        </w:rPr>
        <w:t>first difference</w:t>
      </w:r>
      <w:r>
        <w:rPr>
          <w:lang w:eastAsia="ar-SA"/>
        </w:rPr>
        <w:t>s of</w:t>
      </w:r>
      <w:r w:rsidRPr="0085021F">
        <w:rPr>
          <w:lang w:eastAsia="ar-SA"/>
        </w:rPr>
        <w:t xml:space="preserve"> all variables </w:t>
      </w:r>
      <w:r>
        <w:rPr>
          <w:lang w:eastAsia="ar-SA"/>
        </w:rPr>
        <w:t>which control for unobservable</w:t>
      </w:r>
      <w:r w:rsidRPr="0085021F">
        <w:rPr>
          <w:lang w:eastAsia="ar-SA"/>
        </w:rPr>
        <w:t xml:space="preserve"> heterogeneity and eliminate a potential omitted variables bias. </w:t>
      </w:r>
      <w:r>
        <w:rPr>
          <w:lang w:eastAsia="ar-SA"/>
        </w:rPr>
        <w:t xml:space="preserve">Third, we estimate the model with application of system </w:t>
      </w:r>
      <w:r w:rsidRPr="0085021F">
        <w:rPr>
          <w:lang w:eastAsia="ar-SA"/>
        </w:rPr>
        <w:t xml:space="preserve">GMM and use lagged values </w:t>
      </w:r>
      <w:r w:rsidRPr="006A3A7F">
        <w:rPr>
          <w:lang w:eastAsia="ar-SA"/>
        </w:rPr>
        <w:t xml:space="preserve">of the governance variables and </w:t>
      </w:r>
      <w:r>
        <w:rPr>
          <w:lang w:eastAsia="ar-SA"/>
        </w:rPr>
        <w:t>shareholder value</w:t>
      </w:r>
      <w:r w:rsidRPr="006A3A7F">
        <w:rPr>
          <w:lang w:eastAsia="ar-SA"/>
        </w:rPr>
        <w:t>, as instruments</w:t>
      </w:r>
      <w:r>
        <w:rPr>
          <w:rStyle w:val="EndnoteReference"/>
          <w:lang w:eastAsia="ar-SA"/>
        </w:rPr>
        <w:endnoteReference w:id="7"/>
      </w:r>
      <w:r w:rsidRPr="006A3A7F">
        <w:rPr>
          <w:lang w:eastAsia="ar-SA"/>
        </w:rPr>
        <w:t xml:space="preserve">.  </w:t>
      </w:r>
    </w:p>
    <w:p w14:paraId="58483B81" w14:textId="77777777" w:rsidR="00DC6089" w:rsidRDefault="00DC6089" w:rsidP="0092047F">
      <w:pPr>
        <w:pStyle w:val="NoSpacing"/>
        <w:rPr>
          <w:lang w:eastAsia="ar-SA"/>
        </w:rPr>
      </w:pPr>
      <w:r>
        <w:rPr>
          <w:lang w:eastAsia="ar-SA"/>
        </w:rPr>
        <w:t>T</w:t>
      </w:r>
      <w:r w:rsidRPr="0034266D">
        <w:rPr>
          <w:lang w:eastAsia="ar-SA"/>
        </w:rPr>
        <w:t>he following model was estimated</w:t>
      </w:r>
      <w:r w:rsidRPr="0085021F">
        <w:rPr>
          <w:lang w:eastAsia="ar-SA"/>
        </w:rPr>
        <w:t>:</w:t>
      </w:r>
    </w:p>
    <w:p w14:paraId="661FA964" w14:textId="77777777" w:rsidR="00DC6089" w:rsidRDefault="00DC6089" w:rsidP="0092047F">
      <w:pPr>
        <w:pStyle w:val="NoSpacing"/>
        <w:rPr>
          <w:lang w:eastAsia="ar-SA"/>
        </w:rPr>
      </w:pPr>
    </w:p>
    <w:p w14:paraId="67B23FE3" w14:textId="77777777" w:rsidR="00DC6089" w:rsidRPr="0085021F" w:rsidRDefault="00DC6089" w:rsidP="0092047F">
      <w:pPr>
        <w:pStyle w:val="NoSpacing"/>
        <w:rPr>
          <w:lang w:eastAsia="ar-SA"/>
        </w:rPr>
      </w:pPr>
    </w:p>
    <w:p w14:paraId="3C49CA25" w14:textId="77777777" w:rsidR="00DC6089" w:rsidRDefault="00E637C1" w:rsidP="0092047F">
      <w:pPr>
        <w:pStyle w:val="NoSpacing"/>
        <w:rPr>
          <w:rFonts w:eastAsia="AdvGulliv-R" w:cs="Times New Roman"/>
          <w:color w:val="000000"/>
          <w:kern w:val="1"/>
          <w:szCs w:val="24"/>
          <w:lang w:eastAsia="ar-SA"/>
        </w:rPr>
      </w:pPr>
      <m:oMath>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Y</m:t>
            </m:r>
          </m:e>
          <m:sub>
            <m:r>
              <w:rPr>
                <w:rFonts w:ascii="Cambria Math" w:eastAsia="AdvGulliv-R" w:hAnsi="Cambria Math" w:cs="Times New Roman"/>
                <w:color w:val="000000"/>
                <w:kern w:val="1"/>
                <w:sz w:val="22"/>
                <w:lang w:eastAsia="ar-SA"/>
              </w:rPr>
              <m:t>it</m:t>
            </m:r>
          </m:sub>
        </m:sSub>
        <m:r>
          <w:rPr>
            <w:rFonts w:ascii="Cambria Math" w:eastAsia="AdvGulliv-R" w:hAnsi="Cambria Math" w:cs="Times New Roman"/>
            <w:color w:val="000000"/>
            <w:kern w:val="1"/>
            <w:sz w:val="22"/>
            <w:lang w:eastAsia="ar-SA"/>
          </w:rPr>
          <m:t>=</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αY</m:t>
            </m:r>
          </m:e>
          <m:sub>
            <m:r>
              <w:rPr>
                <w:rFonts w:ascii="Cambria Math" w:eastAsia="AdvGulliv-R" w:hAnsi="Cambria Math" w:cs="Times New Roman"/>
                <w:color w:val="000000"/>
                <w:kern w:val="1"/>
                <w:sz w:val="22"/>
                <w:lang w:eastAsia="ar-SA"/>
              </w:rPr>
              <m:t>i,t-1</m:t>
            </m:r>
          </m:sub>
        </m:sSub>
        <m:r>
          <w:rPr>
            <w:rFonts w:ascii="Cambria Math" w:eastAsia="AdvGulliv-R" w:hAnsi="Cambria Math" w:cs="Times New Roman"/>
            <w:color w:val="000000"/>
            <w:kern w:val="1"/>
            <w:sz w:val="22"/>
            <w:lang w:eastAsia="ar-SA"/>
          </w:rPr>
          <m:t>+</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β</m:t>
            </m:r>
          </m:e>
          <m:sub>
            <m:r>
              <w:rPr>
                <w:rFonts w:ascii="Cambria Math" w:eastAsia="AdvGulliv-R" w:hAnsi="Cambria Math" w:cs="Times New Roman"/>
                <w:color w:val="000000"/>
                <w:kern w:val="1"/>
                <w:sz w:val="22"/>
                <w:lang w:eastAsia="ar-SA"/>
              </w:rPr>
              <m:t>1</m:t>
            </m:r>
          </m:sub>
        </m:sSub>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NCI</m:t>
            </m:r>
          </m:e>
          <m:sub>
            <m:r>
              <w:rPr>
                <w:rFonts w:ascii="Cambria Math" w:eastAsia="AdvGulliv-R" w:hAnsi="Cambria Math" w:cs="Times New Roman"/>
                <w:color w:val="000000"/>
                <w:kern w:val="1"/>
                <w:sz w:val="22"/>
                <w:lang w:eastAsia="ar-SA"/>
              </w:rPr>
              <m:t>it</m:t>
            </m:r>
          </m:sub>
        </m:sSub>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 β</m:t>
            </m:r>
          </m:e>
          <m:sub>
            <m:r>
              <w:rPr>
                <w:rFonts w:ascii="Cambria Math" w:eastAsia="AdvGulliv-R" w:hAnsi="Cambria Math" w:cs="Times New Roman"/>
                <w:color w:val="000000"/>
                <w:kern w:val="1"/>
                <w:sz w:val="22"/>
                <w:lang w:eastAsia="ar-SA"/>
              </w:rPr>
              <m:t>2</m:t>
            </m:r>
          </m:sub>
        </m:sSub>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Monitoring</m:t>
            </m:r>
          </m:e>
          <m:sub>
            <m:r>
              <w:rPr>
                <w:rFonts w:ascii="Cambria Math" w:eastAsia="AdvGulliv-R" w:hAnsi="Cambria Math" w:cs="Times New Roman"/>
                <w:color w:val="000000"/>
                <w:kern w:val="1"/>
                <w:sz w:val="22"/>
                <w:lang w:eastAsia="ar-SA"/>
              </w:rPr>
              <m:t>it</m:t>
            </m:r>
          </m:sub>
        </m:sSub>
        <m:r>
          <w:rPr>
            <w:rFonts w:ascii="Cambria Math" w:eastAsia="AdvGulliv-R" w:hAnsi="Cambria Math" w:cs="Times New Roman"/>
            <w:color w:val="000000"/>
            <w:kern w:val="1"/>
            <w:sz w:val="22"/>
            <w:lang w:eastAsia="ar-SA"/>
          </w:rPr>
          <m:t xml:space="preserve">+ </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β</m:t>
            </m:r>
          </m:e>
          <m:sub>
            <m:r>
              <w:rPr>
                <w:rFonts w:ascii="Cambria Math" w:eastAsia="AdvGulliv-R" w:hAnsi="Cambria Math" w:cs="Times New Roman"/>
                <w:color w:val="000000"/>
                <w:kern w:val="1"/>
                <w:sz w:val="22"/>
                <w:lang w:eastAsia="ar-SA"/>
              </w:rPr>
              <m:t>3</m:t>
            </m:r>
          </m:sub>
        </m:sSub>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Incentives</m:t>
            </m:r>
          </m:e>
          <m:sub>
            <m:r>
              <w:rPr>
                <w:rFonts w:ascii="Cambria Math" w:eastAsia="AdvGulliv-R" w:hAnsi="Cambria Math" w:cs="Times New Roman"/>
                <w:color w:val="000000"/>
                <w:kern w:val="1"/>
                <w:sz w:val="22"/>
                <w:lang w:eastAsia="ar-SA"/>
              </w:rPr>
              <m:t>it</m:t>
            </m:r>
          </m:sub>
        </m:sSub>
        <m:r>
          <w:rPr>
            <w:rFonts w:ascii="Cambria Math" w:eastAsia="AdvGulliv-R" w:hAnsi="Cambria Math" w:cs="Times New Roman"/>
            <w:color w:val="000000"/>
            <w:kern w:val="1"/>
            <w:sz w:val="22"/>
            <w:lang w:eastAsia="ar-SA"/>
          </w:rPr>
          <m:t>+</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 xml:space="preserve"> β</m:t>
            </m:r>
          </m:e>
          <m:sub>
            <m:r>
              <w:rPr>
                <w:rFonts w:ascii="Cambria Math" w:eastAsia="AdvGulliv-R" w:hAnsi="Cambria Math" w:cs="Times New Roman"/>
                <w:color w:val="000000"/>
                <w:kern w:val="1"/>
                <w:sz w:val="22"/>
                <w:lang w:eastAsia="ar-SA"/>
              </w:rPr>
              <m:t>4</m:t>
            </m:r>
          </m:sub>
        </m:sSub>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Control</m:t>
            </m:r>
          </m:e>
          <m:sub>
            <m:r>
              <w:rPr>
                <w:rFonts w:ascii="Cambria Math" w:eastAsia="AdvGulliv-R" w:hAnsi="Cambria Math" w:cs="Times New Roman"/>
                <w:color w:val="000000"/>
                <w:kern w:val="1"/>
                <w:sz w:val="22"/>
                <w:lang w:eastAsia="ar-SA"/>
              </w:rPr>
              <m:t>it</m:t>
            </m:r>
          </m:sub>
        </m:sSub>
        <m:r>
          <w:rPr>
            <w:rFonts w:ascii="Cambria Math" w:eastAsia="AdvGulliv-R" w:hAnsi="Cambria Math" w:cs="Times New Roman"/>
            <w:color w:val="000000"/>
            <w:kern w:val="1"/>
            <w:sz w:val="22"/>
            <w:lang w:eastAsia="ar-SA"/>
          </w:rPr>
          <m:t xml:space="preserve"> +</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u</m:t>
            </m:r>
          </m:e>
          <m:sub>
            <m:r>
              <w:rPr>
                <w:rFonts w:ascii="Cambria Math" w:eastAsia="AdvGulliv-R" w:hAnsi="Cambria Math" w:cs="Times New Roman"/>
                <w:color w:val="000000"/>
                <w:kern w:val="1"/>
                <w:sz w:val="22"/>
                <w:lang w:eastAsia="ar-SA"/>
              </w:rPr>
              <m:t>i</m:t>
            </m:r>
          </m:sub>
        </m:sSub>
        <m:r>
          <w:rPr>
            <w:rFonts w:ascii="Cambria Math" w:eastAsia="AdvGulliv-R" w:hAnsi="Cambria Math" w:cs="Times New Roman"/>
            <w:color w:val="000000"/>
            <w:kern w:val="1"/>
            <w:sz w:val="22"/>
            <w:lang w:eastAsia="ar-SA"/>
          </w:rPr>
          <m:t>+</m:t>
        </m:r>
        <m:sSub>
          <m:sSubPr>
            <m:ctrlPr>
              <w:rPr>
                <w:rFonts w:ascii="Cambria Math" w:eastAsia="AdvGulliv-R" w:hAnsi="Cambria Math" w:cs="Times New Roman"/>
                <w:i/>
                <w:color w:val="000000"/>
                <w:kern w:val="1"/>
                <w:sz w:val="22"/>
                <w:lang w:eastAsia="ar-SA"/>
              </w:rPr>
            </m:ctrlPr>
          </m:sSubPr>
          <m:e>
            <m:r>
              <w:rPr>
                <w:rFonts w:ascii="Cambria Math" w:eastAsia="AdvGulliv-R" w:hAnsi="Cambria Math" w:cs="Times New Roman"/>
                <w:color w:val="000000"/>
                <w:kern w:val="1"/>
                <w:sz w:val="22"/>
                <w:lang w:eastAsia="ar-SA"/>
              </w:rPr>
              <m:t>ω</m:t>
            </m:r>
          </m:e>
          <m:sub>
            <m:r>
              <w:rPr>
                <w:rFonts w:ascii="Cambria Math" w:eastAsia="AdvGulliv-R" w:hAnsi="Cambria Math" w:cs="Times New Roman"/>
                <w:color w:val="000000"/>
                <w:kern w:val="1"/>
                <w:sz w:val="22"/>
                <w:lang w:eastAsia="ar-SA"/>
              </w:rPr>
              <m:t>it</m:t>
            </m:r>
          </m:sub>
        </m:sSub>
      </m:oMath>
      <w:r w:rsidR="00DC6089">
        <w:rPr>
          <w:rFonts w:eastAsia="AdvGulliv-R" w:cs="Times New Roman"/>
          <w:color w:val="000000"/>
          <w:kern w:val="1"/>
          <w:szCs w:val="24"/>
          <w:lang w:eastAsia="ar-SA"/>
        </w:rPr>
        <w:t xml:space="preserve">   </w:t>
      </w:r>
    </w:p>
    <w:p w14:paraId="75DCCFBF" w14:textId="77777777" w:rsidR="00DC6089" w:rsidRDefault="00DC6089" w:rsidP="0092047F">
      <w:pPr>
        <w:pStyle w:val="NoSpacing"/>
        <w:jc w:val="right"/>
        <w:rPr>
          <w:rFonts w:eastAsia="AdvGulliv-R" w:cs="Times New Roman"/>
          <w:color w:val="000000"/>
          <w:kern w:val="1"/>
          <w:szCs w:val="24"/>
          <w:lang w:eastAsia="ar-SA"/>
        </w:rPr>
      </w:pPr>
      <w:r>
        <w:rPr>
          <w:rFonts w:eastAsia="AdvGulliv-R" w:cs="Times New Roman"/>
          <w:color w:val="000000"/>
          <w:kern w:val="1"/>
          <w:szCs w:val="24"/>
          <w:lang w:eastAsia="ar-SA"/>
        </w:rPr>
        <w:lastRenderedPageBreak/>
        <w:t>(</w:t>
      </w:r>
      <w:r w:rsidRPr="0085021F">
        <w:rPr>
          <w:rFonts w:eastAsia="AdvGulliv-R" w:cs="Times New Roman"/>
          <w:color w:val="000000"/>
          <w:kern w:val="1"/>
          <w:szCs w:val="24"/>
          <w:lang w:eastAsia="ar-SA"/>
        </w:rPr>
        <w:t>1)</w:t>
      </w:r>
    </w:p>
    <w:p w14:paraId="331AB837" w14:textId="77777777" w:rsidR="00DC6089" w:rsidRPr="0085021F" w:rsidRDefault="00DC6089" w:rsidP="0092047F">
      <w:pPr>
        <w:pStyle w:val="NoSpacing"/>
        <w:rPr>
          <w:rFonts w:eastAsia="AdvGulliv-R" w:cs="Times New Roman"/>
          <w:color w:val="000000"/>
          <w:kern w:val="1"/>
          <w:szCs w:val="24"/>
          <w:lang w:eastAsia="ar-SA"/>
        </w:rPr>
      </w:pPr>
    </w:p>
    <w:p w14:paraId="2319EA21" w14:textId="77777777" w:rsidR="00DC6089" w:rsidRDefault="00DC6089" w:rsidP="0092047F">
      <w:pPr>
        <w:rPr>
          <w:lang w:eastAsia="ar-SA"/>
        </w:rPr>
      </w:pPr>
      <w:r w:rsidRPr="0085021F">
        <w:rPr>
          <w:lang w:eastAsia="ar-SA"/>
        </w:rPr>
        <w:t xml:space="preserve">Where </w:t>
      </w:r>
      <m:oMath>
        <m:sSub>
          <m:sSubPr>
            <m:ctrlPr>
              <w:rPr>
                <w:rFonts w:ascii="Cambria Math" w:hAnsi="Cambria Math"/>
                <w:i/>
                <w:lang w:eastAsia="ar-SA"/>
              </w:rPr>
            </m:ctrlPr>
          </m:sSubPr>
          <m:e>
            <m:r>
              <w:rPr>
                <w:rFonts w:ascii="Cambria Math" w:hAnsi="Cambria Math"/>
                <w:lang w:eastAsia="ar-SA"/>
              </w:rPr>
              <m:t>Y</m:t>
            </m:r>
          </m:e>
          <m:sub>
            <m:r>
              <w:rPr>
                <w:rFonts w:ascii="Cambria Math" w:hAnsi="Cambria Math"/>
                <w:lang w:eastAsia="ar-SA"/>
              </w:rPr>
              <m:t>it</m:t>
            </m:r>
          </m:sub>
        </m:sSub>
      </m:oMath>
      <w:r>
        <w:rPr>
          <w:lang w:eastAsia="ar-SA"/>
        </w:rPr>
        <w:t xml:space="preserve"> is the dependent variable</w:t>
      </w:r>
      <w:r w:rsidRPr="0085021F">
        <w:rPr>
          <w:lang w:eastAsia="ar-SA"/>
        </w:rPr>
        <w:t xml:space="preserve"> </w:t>
      </w:r>
      <w:r w:rsidRPr="006D53A1">
        <w:rPr>
          <w:lang w:eastAsia="ar-SA"/>
        </w:rPr>
        <w:t xml:space="preserve">denoting </w:t>
      </w:r>
      <w:r>
        <w:rPr>
          <w:lang w:eastAsia="ar-SA"/>
        </w:rPr>
        <w:t>shareholder value</w:t>
      </w:r>
      <w:r w:rsidRPr="0087620C">
        <w:rPr>
          <w:lang w:eastAsia="ar-SA"/>
        </w:rPr>
        <w:t xml:space="preserve"> </w:t>
      </w:r>
      <w:r>
        <w:rPr>
          <w:lang w:eastAsia="ar-SA"/>
        </w:rPr>
        <w:t>where</w:t>
      </w:r>
      <w:r w:rsidRPr="0087620C">
        <w:rPr>
          <w:lang w:eastAsia="ar-SA"/>
        </w:rPr>
        <w:t xml:space="preserve"> </w:t>
      </w:r>
      <w:proofErr w:type="spellStart"/>
      <w:r w:rsidRPr="00721A2F">
        <w:rPr>
          <w:i/>
          <w:lang w:eastAsia="ar-SA"/>
        </w:rPr>
        <w:t>i</w:t>
      </w:r>
      <w:proofErr w:type="spellEnd"/>
      <w:r w:rsidRPr="00721A2F">
        <w:rPr>
          <w:i/>
          <w:lang w:eastAsia="ar-SA"/>
        </w:rPr>
        <w:t xml:space="preserve"> = 1…..86</w:t>
      </w:r>
      <w:r>
        <w:rPr>
          <w:lang w:eastAsia="ar-SA"/>
        </w:rPr>
        <w:t xml:space="preserve"> financial firms </w:t>
      </w:r>
      <w:r w:rsidRPr="00FB7749">
        <w:rPr>
          <w:lang w:eastAsia="ar-SA"/>
        </w:rPr>
        <w:t xml:space="preserve">across </w:t>
      </w:r>
      <w:r w:rsidRPr="00721A2F">
        <w:rPr>
          <w:i/>
          <w:lang w:eastAsia="ar-SA"/>
        </w:rPr>
        <w:t>t</w:t>
      </w:r>
      <w:r w:rsidRPr="00FB7749">
        <w:rPr>
          <w:lang w:eastAsia="ar-SA"/>
        </w:rPr>
        <w:t xml:space="preserve"> </w:t>
      </w:r>
      <w:r>
        <w:rPr>
          <w:lang w:eastAsia="ar-SA"/>
        </w:rPr>
        <w:t>(</w:t>
      </w:r>
      <w:r w:rsidRPr="00FB7749">
        <w:rPr>
          <w:lang w:eastAsia="ar-SA"/>
        </w:rPr>
        <w:t>2003 to 2010</w:t>
      </w:r>
      <w:r>
        <w:rPr>
          <w:lang w:eastAsia="ar-SA"/>
        </w:rPr>
        <w:t>)</w:t>
      </w:r>
      <w:r w:rsidRPr="00FB7749">
        <w:rPr>
          <w:lang w:eastAsia="ar-SA"/>
        </w:rPr>
        <w:t xml:space="preserve">. </w:t>
      </w:r>
      <w:r w:rsidRPr="00A32DE8">
        <w:rPr>
          <w:i/>
          <w:lang w:eastAsia="ar-SA"/>
        </w:rPr>
        <w:t xml:space="preserve">Monitoring </w:t>
      </w:r>
      <w:r w:rsidRPr="00A32DE8">
        <w:rPr>
          <w:lang w:eastAsia="ar-SA"/>
        </w:rPr>
        <w:t>represents the corporate governance variables related to monitoring (board independence, extra board committees, and internal</w:t>
      </w:r>
      <w:r>
        <w:rPr>
          <w:lang w:eastAsia="ar-SA"/>
        </w:rPr>
        <w:t xml:space="preserve"> control mechanisms) whereas </w:t>
      </w:r>
      <w:r>
        <w:rPr>
          <w:i/>
          <w:lang w:eastAsia="ar-SA"/>
        </w:rPr>
        <w:t xml:space="preserve">Incentives </w:t>
      </w:r>
      <w:r>
        <w:rPr>
          <w:lang w:eastAsia="ar-SA"/>
        </w:rPr>
        <w:t xml:space="preserve">represent corporate governance mechanisms in relation to directors’ incentives (directors’ share ownership and remuneration). </w:t>
      </w:r>
      <w:r>
        <w:rPr>
          <w:i/>
          <w:lang w:eastAsia="ar-SA"/>
        </w:rPr>
        <w:t xml:space="preserve">Control </w:t>
      </w:r>
      <w:r>
        <w:rPr>
          <w:lang w:eastAsia="ar-SA"/>
        </w:rPr>
        <w:t>represents</w:t>
      </w:r>
      <w:r w:rsidRPr="0085021F">
        <w:rPr>
          <w:lang w:eastAsia="ar-SA"/>
        </w:rPr>
        <w:t xml:space="preserve"> </w:t>
      </w:r>
      <w:r>
        <w:rPr>
          <w:lang w:eastAsia="ar-SA"/>
        </w:rPr>
        <w:t>a number of control variables employed in this study</w:t>
      </w:r>
      <w:r w:rsidRPr="0085021F">
        <w:rPr>
          <w:lang w:eastAsia="ar-SA"/>
        </w:rPr>
        <w:t xml:space="preserve">. Finally,  </w:t>
      </w:r>
      <m:oMath>
        <m:sSub>
          <m:sSubPr>
            <m:ctrlPr>
              <w:rPr>
                <w:rFonts w:ascii="Cambria Math" w:hAnsi="Cambria Math"/>
                <w:lang w:eastAsia="ar-SA"/>
              </w:rPr>
            </m:ctrlPr>
          </m:sSubPr>
          <m:e>
            <m:r>
              <m:rPr>
                <m:sty m:val="p"/>
              </m:rPr>
              <w:rPr>
                <w:rFonts w:ascii="Cambria Math" w:hAnsi="Cambria Math"/>
                <w:lang w:eastAsia="ar-SA"/>
              </w:rPr>
              <m:t>ε</m:t>
            </m:r>
          </m:e>
          <m:sub>
            <m:r>
              <m:rPr>
                <m:sty m:val="p"/>
              </m:rPr>
              <w:rPr>
                <w:rFonts w:ascii="Cambria Math" w:hAnsi="Cambria Math"/>
                <w:lang w:eastAsia="ar-SA"/>
              </w:rPr>
              <m:t>it</m:t>
            </m:r>
          </m:sub>
        </m:sSub>
      </m:oMath>
      <w:r w:rsidRPr="0085021F">
        <w:rPr>
          <w:lang w:eastAsia="ar-SA"/>
        </w:rPr>
        <w:t xml:space="preserve"> = </w:t>
      </w:r>
      <m:oMath>
        <m:sSub>
          <m:sSubPr>
            <m:ctrlPr>
              <w:rPr>
                <w:rFonts w:ascii="Cambria Math" w:hAnsi="Cambria Math"/>
                <w:lang w:eastAsia="ar-SA"/>
              </w:rPr>
            </m:ctrlPr>
          </m:sSubPr>
          <m:e>
            <m:r>
              <m:rPr>
                <m:sty m:val="p"/>
              </m:rPr>
              <w:rPr>
                <w:rFonts w:ascii="Cambria Math" w:hAnsi="Cambria Math"/>
                <w:lang w:eastAsia="ar-SA"/>
              </w:rPr>
              <m:t>u</m:t>
            </m:r>
          </m:e>
          <m:sub>
            <m:r>
              <m:rPr>
                <m:sty m:val="p"/>
              </m:rPr>
              <w:rPr>
                <w:rFonts w:ascii="Cambria Math" w:hAnsi="Cambria Math"/>
                <w:lang w:eastAsia="ar-SA"/>
              </w:rPr>
              <m:t>i</m:t>
            </m:r>
          </m:sub>
        </m:sSub>
        <m:r>
          <m:rPr>
            <m:sty m:val="p"/>
          </m:rPr>
          <w:rPr>
            <w:rFonts w:ascii="Cambria Math" w:hAnsi="Cambria Math"/>
            <w:lang w:eastAsia="ar-SA"/>
          </w:rPr>
          <m:t>+</m:t>
        </m:r>
        <m:sSub>
          <m:sSubPr>
            <m:ctrlPr>
              <w:rPr>
                <w:rFonts w:ascii="Cambria Math" w:hAnsi="Cambria Math"/>
                <w:lang w:eastAsia="ar-SA"/>
              </w:rPr>
            </m:ctrlPr>
          </m:sSubPr>
          <m:e>
            <m:r>
              <m:rPr>
                <m:sty m:val="p"/>
              </m:rPr>
              <w:rPr>
                <w:rFonts w:ascii="Cambria Math" w:hAnsi="Cambria Math"/>
                <w:lang w:eastAsia="ar-SA"/>
              </w:rPr>
              <m:t>ω</m:t>
            </m:r>
          </m:e>
          <m:sub>
            <m:r>
              <m:rPr>
                <m:sty m:val="p"/>
              </m:rPr>
              <w:rPr>
                <w:rFonts w:ascii="Cambria Math" w:hAnsi="Cambria Math"/>
                <w:lang w:eastAsia="ar-SA"/>
              </w:rPr>
              <m:t>it</m:t>
            </m:r>
          </m:sub>
        </m:sSub>
      </m:oMath>
      <w:r w:rsidRPr="0085021F">
        <w:rPr>
          <w:lang w:eastAsia="ar-SA"/>
        </w:rPr>
        <w:t xml:space="preserve"> is the standard fixed/random effects decomposition of the error term.</w:t>
      </w:r>
    </w:p>
    <w:p w14:paraId="3437A6CA" w14:textId="27753104" w:rsidR="00DC6089" w:rsidRDefault="00DC6089" w:rsidP="0092047F">
      <w:pPr>
        <w:rPr>
          <w:lang w:eastAsia="en-GB"/>
        </w:rPr>
      </w:pPr>
      <w:r>
        <w:rPr>
          <w:lang w:eastAsia="ar-SA"/>
        </w:rPr>
        <w:t>The dependent variable (</w:t>
      </w:r>
      <m:oMath>
        <m:sSub>
          <m:sSubPr>
            <m:ctrlPr>
              <w:rPr>
                <w:rFonts w:ascii="Cambria Math" w:hAnsi="Cambria Math"/>
                <w:lang w:eastAsia="ar-SA"/>
              </w:rPr>
            </m:ctrlPr>
          </m:sSubPr>
          <m:e>
            <m:r>
              <m:rPr>
                <m:sty m:val="p"/>
              </m:rPr>
              <w:rPr>
                <w:rFonts w:ascii="Cambria Math" w:hAnsi="Cambria Math"/>
                <w:lang w:eastAsia="ar-SA"/>
              </w:rPr>
              <m:t>Y</m:t>
            </m:r>
          </m:e>
          <m:sub>
            <m:r>
              <m:rPr>
                <m:sty m:val="p"/>
              </m:rPr>
              <w:rPr>
                <w:rFonts w:ascii="Cambria Math" w:hAnsi="Cambria Math"/>
                <w:lang w:eastAsia="ar-SA"/>
              </w:rPr>
              <m:t>it</m:t>
            </m:r>
          </m:sub>
        </m:sSub>
      </m:oMath>
      <w:r>
        <w:rPr>
          <w:rFonts w:eastAsiaTheme="minorEastAsia"/>
          <w:lang w:eastAsia="ar-SA"/>
        </w:rPr>
        <w:t>)</w:t>
      </w:r>
      <w:r w:rsidRPr="00586870">
        <w:rPr>
          <w:lang w:eastAsia="en-GB"/>
        </w:rPr>
        <w:t xml:space="preserve"> </w:t>
      </w:r>
      <w:r>
        <w:rPr>
          <w:lang w:eastAsia="en-GB"/>
        </w:rPr>
        <w:t>is measured by two</w:t>
      </w:r>
      <w:r w:rsidRPr="002C1AA0">
        <w:rPr>
          <w:lang w:eastAsia="en-GB"/>
        </w:rPr>
        <w:t xml:space="preserve"> </w:t>
      </w:r>
      <w:r w:rsidRPr="00497AFC">
        <w:rPr>
          <w:lang w:eastAsia="en-GB"/>
        </w:rPr>
        <w:t>proxies, total shareholder returns (TSR) and return on equity (ROE).</w:t>
      </w:r>
      <w:r>
        <w:rPr>
          <w:lang w:eastAsia="en-GB"/>
        </w:rPr>
        <w:t xml:space="preserve"> T</w:t>
      </w:r>
      <w:r w:rsidRPr="002C1AA0">
        <w:rPr>
          <w:lang w:eastAsia="en-GB"/>
        </w:rPr>
        <w:t>otal shareholder returns is calculated as the sum of capital gains and dividend yields</w:t>
      </w:r>
      <w:r>
        <w:rPr>
          <w:lang w:eastAsia="en-GB"/>
        </w:rPr>
        <w:t xml:space="preserve"> </w:t>
      </w:r>
      <w:r>
        <w:rPr>
          <w:lang w:eastAsia="en-GB"/>
        </w:rPr>
        <w:fldChar w:fldCharType="begin"/>
      </w:r>
      <w:r w:rsidR="00327CEC">
        <w:rPr>
          <w:lang w:eastAsia="en-GB"/>
        </w:rPr>
        <w:instrText xml:space="preserve"> ADDIN EN.CITE &lt;EndNote&gt;&lt;Cite&gt;&lt;Author&gt;Zakaria&lt;/Author&gt;&lt;Year&gt;2012&lt;/Year&gt;&lt;RecNum&gt;894&lt;/RecNum&gt;&lt;DisplayText&gt;(Zakaria, 2012)&lt;/DisplayText&gt;&lt;record&gt;&lt;rec-number&gt;894&lt;/rec-number&gt;&lt;foreign-keys&gt;&lt;key app="EN" db-id="s00xzp50xdvx90ea0ravv2dxzr2pdvrrzaff" timestamp="1492611520" guid="68a2bf96-2dcf-44ff-bb48-421dd1d7dc29"&gt;894&lt;/key&gt;&lt;/foreign-keys&gt;&lt;ref-type name="Journal Article"&gt;17&lt;/ref-type&gt;&lt;contributors&gt;&lt;authors&gt;&lt;author&gt;Zakaria, Idlan&lt;/author&gt;&lt;/authors&gt;&lt;/contributors&gt;&lt;titles&gt;&lt;title&gt;Performance measures, benchmarks and targets in executive remuneration contracts of UK firms&lt;/title&gt;&lt;secondary-title&gt;The British Accounting Review&lt;/secondary-title&gt;&lt;/titles&gt;&lt;periodical&gt;&lt;full-title&gt;The British Accounting Review&lt;/full-title&gt;&lt;/periodical&gt;&lt;pages&gt;189-203&lt;/pages&gt;&lt;volume&gt;44&lt;/volume&gt;&lt;number&gt;3&lt;/number&gt;&lt;keywords&gt;&lt;keyword&gt;Executive remuneration&lt;/keyword&gt;&lt;keyword&gt;Performance measurement&lt;/keyword&gt;&lt;keyword&gt;Corporate governance&lt;/keyword&gt;&lt;/keywords&gt;&lt;dates&gt;&lt;year&gt;2012&lt;/year&gt;&lt;pub-dates&gt;&lt;date&gt;9//&lt;/date&gt;&lt;/pub-dates&gt;&lt;/dates&gt;&lt;isbn&gt;0890-8389&lt;/isbn&gt;&lt;urls&gt;&lt;related-urls&gt;&lt;url&gt;http://www.sciencedirect.com/science/article/pii/S0890838912000406&lt;/url&gt;&lt;/related-urls&gt;&lt;/urls&gt;&lt;electronic-resource-num&gt;http://doi.org/10.1016/j.bar.2012.07.005&lt;/electronic-resource-num&gt;&lt;/record&gt;&lt;/Cite&gt;&lt;/EndNote&gt;</w:instrText>
      </w:r>
      <w:r>
        <w:rPr>
          <w:lang w:eastAsia="en-GB"/>
        </w:rPr>
        <w:fldChar w:fldCharType="separate"/>
      </w:r>
      <w:r>
        <w:rPr>
          <w:noProof/>
          <w:lang w:eastAsia="en-GB"/>
        </w:rPr>
        <w:t>(Zakaria, 2012)</w:t>
      </w:r>
      <w:r>
        <w:rPr>
          <w:lang w:eastAsia="en-GB"/>
        </w:rPr>
        <w:fldChar w:fldCharType="end"/>
      </w:r>
      <w:r>
        <w:rPr>
          <w:lang w:eastAsia="en-GB"/>
        </w:rPr>
        <w:t>, whereas,</w:t>
      </w:r>
      <w:r w:rsidRPr="002C1AA0">
        <w:rPr>
          <w:lang w:eastAsia="en-GB"/>
        </w:rPr>
        <w:t xml:space="preserve"> </w:t>
      </w:r>
      <w:r>
        <w:rPr>
          <w:lang w:eastAsia="en-GB"/>
        </w:rPr>
        <w:t>r</w:t>
      </w:r>
      <w:r w:rsidRPr="002C1AA0">
        <w:rPr>
          <w:lang w:eastAsia="en-GB"/>
        </w:rPr>
        <w:t>eturn on equity</w:t>
      </w:r>
      <w:r>
        <w:rPr>
          <w:lang w:eastAsia="en-GB"/>
        </w:rPr>
        <w:t xml:space="preserve"> </w:t>
      </w:r>
      <w:r w:rsidRPr="002C1AA0">
        <w:rPr>
          <w:lang w:eastAsia="en-GB"/>
        </w:rPr>
        <w:t>is calculated as net income (net profit after tax) divided by the book value of equity.</w:t>
      </w:r>
    </w:p>
    <w:p w14:paraId="56067311" w14:textId="77777777" w:rsidR="00DC6089" w:rsidRDefault="00DC6089" w:rsidP="0092047F">
      <w:pPr>
        <w:rPr>
          <w:lang w:eastAsia="en-GB"/>
        </w:rPr>
      </w:pPr>
      <w:r>
        <w:rPr>
          <w:lang w:eastAsia="en-GB"/>
        </w:rPr>
        <w:t>The main explanatory variable of this study is the NCI. We carried out content analysis of 688 corporate governance reports (86 firms, 8 years) to develop this non-compliance index for each firm in our sample. This index is used as a proxy for the level of non-compliance with the UK CGC. The index is constructed by assigning one point for each occurrence of non-compliance with the UK CGC</w:t>
      </w:r>
      <w:r>
        <w:rPr>
          <w:rStyle w:val="EndnoteReference"/>
          <w:lang w:eastAsia="en-GB"/>
        </w:rPr>
        <w:endnoteReference w:id="8"/>
      </w:r>
      <w:r>
        <w:rPr>
          <w:lang w:eastAsia="en-GB"/>
        </w:rPr>
        <w:t xml:space="preserve">. For example, the UK CGC recommends that the role of chairman and CEO should not be performed by one individual. Therefore, if a company complies with this provision, in our NCI it takes the value of 0 and 1 otherwise. </w:t>
      </w:r>
      <w:r w:rsidRPr="00E97696">
        <w:rPr>
          <w:lang w:eastAsia="en-GB"/>
        </w:rPr>
        <w:t>This allowed us to investigate the impact of non-compliance and shareholder value more explicitl</w:t>
      </w:r>
      <w:r>
        <w:rPr>
          <w:lang w:eastAsia="en-GB"/>
        </w:rPr>
        <w:t>y.</w:t>
      </w:r>
      <w:r w:rsidRPr="00E97696">
        <w:rPr>
          <w:lang w:eastAsia="en-GB"/>
        </w:rPr>
        <w:t xml:space="preserve"> </w:t>
      </w:r>
      <w:r>
        <w:rPr>
          <w:lang w:eastAsia="en-GB"/>
        </w:rPr>
        <w:t xml:space="preserve">The methodology of index construction is consistent with several existing studies (Farag et al., 2014; Gompers et al., 2003; </w:t>
      </w:r>
      <w:proofErr w:type="spellStart"/>
      <w:r>
        <w:rPr>
          <w:lang w:eastAsia="en-GB"/>
        </w:rPr>
        <w:t>Hawas</w:t>
      </w:r>
      <w:proofErr w:type="spellEnd"/>
      <w:r>
        <w:rPr>
          <w:lang w:eastAsia="en-GB"/>
        </w:rPr>
        <w:t xml:space="preserve"> &amp; </w:t>
      </w:r>
      <w:proofErr w:type="spellStart"/>
      <w:r>
        <w:rPr>
          <w:lang w:eastAsia="en-GB"/>
        </w:rPr>
        <w:t>Tse</w:t>
      </w:r>
      <w:proofErr w:type="spellEnd"/>
      <w:r>
        <w:rPr>
          <w:lang w:eastAsia="en-GB"/>
        </w:rPr>
        <w:t>, 2016). A total of 22 provisions are included in the index, so the non-compliance score for each firm vary between 0 (fully compliant) and 22 (fully non-compliant). All these provisions are outlined in Appendix 1.</w:t>
      </w:r>
    </w:p>
    <w:p w14:paraId="50792B4A" w14:textId="338BE931" w:rsidR="00DC6089" w:rsidRDefault="00DC6089" w:rsidP="0092047F">
      <w:pPr>
        <w:rPr>
          <w:lang w:eastAsia="ar-SA"/>
        </w:rPr>
      </w:pPr>
      <w:r w:rsidRPr="0007115C">
        <w:rPr>
          <w:lang w:eastAsia="en-GB"/>
        </w:rPr>
        <w:lastRenderedPageBreak/>
        <w:t xml:space="preserve">Firm size </w:t>
      </w:r>
      <w:r>
        <w:rPr>
          <w:lang w:eastAsia="en-GB"/>
        </w:rPr>
        <w:t>measured as</w:t>
      </w:r>
      <w:r w:rsidRPr="0007115C">
        <w:rPr>
          <w:lang w:eastAsia="en-GB"/>
        </w:rPr>
        <w:t xml:space="preserve"> the natural log of total sales is used a control variable </w:t>
      </w:r>
      <w:r w:rsidRPr="0007115C">
        <w:rPr>
          <w:lang w:eastAsia="en-GB"/>
        </w:rPr>
        <w:fldChar w:fldCharType="begin">
          <w:fldData xml:space="preserve">PEVuZE5vdGU+PENpdGU+PEF1dGhvcj5XZWlyPC9BdXRob3I+PFllYXI+MjAwMjwvWWVhcj48UmVj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=
</w:fldData>
        </w:fldChar>
      </w:r>
      <w:r w:rsidR="009517F4">
        <w:rPr>
          <w:lang w:eastAsia="en-GB"/>
        </w:rPr>
        <w:instrText xml:space="preserve"> ADDIN EN.CITE </w:instrText>
      </w:r>
      <w:r w:rsidR="009517F4">
        <w:rPr>
          <w:lang w:eastAsia="en-GB"/>
        </w:rPr>
        <w:fldChar w:fldCharType="begin">
          <w:fldData xml:space="preserve">PEVuZE5vdGU+PENpdGU+PEF1dGhvcj5XZWlyPC9BdXRob3I+PFllYXI+MjAwMjwvWWVhcj48UmVj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=
</w:fldData>
        </w:fldChar>
      </w:r>
      <w:r w:rsidR="009517F4">
        <w:rPr>
          <w:lang w:eastAsia="en-GB"/>
        </w:rPr>
        <w:instrText xml:space="preserve"> ADDIN EN.CITE.DATA </w:instrText>
      </w:r>
      <w:r w:rsidR="009517F4">
        <w:rPr>
          <w:lang w:eastAsia="en-GB"/>
        </w:rPr>
      </w:r>
      <w:r w:rsidR="009517F4">
        <w:rPr>
          <w:lang w:eastAsia="en-GB"/>
        </w:rPr>
        <w:fldChar w:fldCharType="end"/>
      </w:r>
      <w:r w:rsidRPr="0007115C">
        <w:rPr>
          <w:lang w:eastAsia="en-GB"/>
        </w:rPr>
      </w:r>
      <w:r w:rsidRPr="0007115C">
        <w:rPr>
          <w:lang w:eastAsia="en-GB"/>
        </w:rPr>
        <w:fldChar w:fldCharType="separate"/>
      </w:r>
      <w:r w:rsidR="009517F4">
        <w:rPr>
          <w:noProof/>
          <w:lang w:eastAsia="en-GB"/>
        </w:rPr>
        <w:t>(Ahmed &amp; Hla, 2019; Weir, Laing, &amp; McKnight, 2002)</w:t>
      </w:r>
      <w:r w:rsidRPr="0007115C">
        <w:rPr>
          <w:lang w:eastAsia="en-GB"/>
        </w:rPr>
        <w:fldChar w:fldCharType="end"/>
      </w:r>
      <w:r w:rsidRPr="0007115C">
        <w:rPr>
          <w:lang w:eastAsia="en-GB"/>
        </w:rPr>
        <w:t>.</w:t>
      </w:r>
      <w:r>
        <w:rPr>
          <w:lang w:eastAsia="en-GB"/>
        </w:rPr>
        <w:t xml:space="preserve"> In addition to this,</w:t>
      </w:r>
      <w:bookmarkStart w:id="1" w:name="_Toc270943772"/>
      <w:bookmarkStart w:id="2" w:name="_Toc358021634"/>
      <w:r>
        <w:rPr>
          <w:lang w:eastAsia="en-GB"/>
        </w:rPr>
        <w:t xml:space="preserve"> availability of liquid resources could also have implications for shareholder value. We therefore control for firms’ liquidity</w:t>
      </w:r>
      <w:bookmarkEnd w:id="1"/>
      <w:bookmarkEnd w:id="2"/>
      <w:r>
        <w:rPr>
          <w:lang w:eastAsia="en-GB"/>
        </w:rPr>
        <w:t xml:space="preserve"> </w:t>
      </w:r>
      <w:r>
        <w:rPr>
          <w:lang w:eastAsia="en-GB"/>
        </w:rPr>
        <w:fldChar w:fldCharType="begin">
          <w:fldData xml:space="preserve">PEVuZE5vdGU+PENpdGU+PEF1dGhvcj5Eb25nPC9BdXRob3I+PFllYXI+MjAxNzwvWWVhcj48UmVj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</w:fldData>
        </w:fldChar>
      </w:r>
      <w:r w:rsidR="008366ED">
        <w:rPr>
          <w:lang w:eastAsia="en-GB"/>
        </w:rPr>
        <w:instrText xml:space="preserve"> ADDIN EN.CITE </w:instrText>
      </w:r>
      <w:r w:rsidR="008366ED">
        <w:rPr>
          <w:lang w:eastAsia="en-GB"/>
        </w:rPr>
        <w:fldChar w:fldCharType="begin">
          <w:fldData xml:space="preserve">PEVuZE5vdGU+PENpdGU+PEF1dGhvcj5Eb25nPC9BdXRob3I+PFllYXI+MjAxNzwvWWVhcj48UmVj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</w:fldData>
        </w:fldChar>
      </w:r>
      <w:r w:rsidR="008366ED">
        <w:rPr>
          <w:lang w:eastAsia="en-GB"/>
        </w:rPr>
        <w:instrText xml:space="preserve"> ADDIN EN.CITE.DATA </w:instrText>
      </w:r>
      <w:r w:rsidR="008366ED">
        <w:rPr>
          <w:lang w:eastAsia="en-GB"/>
        </w:rPr>
      </w:r>
      <w:r w:rsidR="008366ED">
        <w:rPr>
          <w:lang w:eastAsia="en-GB"/>
        </w:rPr>
        <w:fldChar w:fldCharType="end"/>
      </w:r>
      <w:r>
        <w:rPr>
          <w:lang w:eastAsia="en-GB"/>
        </w:rPr>
      </w:r>
      <w:r>
        <w:rPr>
          <w:lang w:eastAsia="en-GB"/>
        </w:rPr>
        <w:fldChar w:fldCharType="separate"/>
      </w:r>
      <w:r w:rsidR="008366ED">
        <w:rPr>
          <w:noProof/>
          <w:lang w:eastAsia="en-GB"/>
        </w:rPr>
        <w:t>(Alexiou, Mohamed, &amp; Nellis, 2019; Dong, Girardone, &amp; Kuo, 2017)</w:t>
      </w:r>
      <w:r>
        <w:rPr>
          <w:lang w:eastAsia="en-GB"/>
        </w:rPr>
        <w:fldChar w:fldCharType="end"/>
      </w:r>
      <w:r>
        <w:rPr>
          <w:lang w:eastAsia="en-GB"/>
        </w:rPr>
        <w:t>. Prior studies also report that t</w:t>
      </w:r>
      <w:r w:rsidRPr="00DE3832">
        <w:rPr>
          <w:lang w:eastAsia="en-GB"/>
        </w:rPr>
        <w:t>he amount of capital available to a firm could</w:t>
      </w:r>
      <w:r>
        <w:rPr>
          <w:lang w:eastAsia="en-GB"/>
        </w:rPr>
        <w:t xml:space="preserve"> affect</w:t>
      </w:r>
      <w:r w:rsidRPr="00DE3832">
        <w:rPr>
          <w:lang w:eastAsia="en-GB"/>
        </w:rPr>
        <w:t xml:space="preserve"> </w:t>
      </w:r>
      <w:r>
        <w:rPr>
          <w:lang w:eastAsia="en-GB"/>
        </w:rPr>
        <w:t>shareholder value</w:t>
      </w:r>
      <w:r w:rsidRPr="00DE3832">
        <w:rPr>
          <w:lang w:eastAsia="en-GB"/>
        </w:rPr>
        <w:t>, e</w:t>
      </w:r>
      <w:r>
        <w:rPr>
          <w:lang w:eastAsia="en-GB"/>
        </w:rPr>
        <w:t xml:space="preserve">specially in crisis situations </w:t>
      </w:r>
      <w:r>
        <w:rPr>
          <w:lang w:eastAsia="en-GB"/>
        </w:rPr>
        <w:fldChar w:fldCharType="begin"/>
      </w:r>
      <w:r w:rsidR="00327CEC">
        <w:rPr>
          <w:lang w:eastAsia="en-GB"/>
        </w:rPr>
        <w:instrText xml:space="preserve"> ADDIN EN.CITE &lt;EndNote&gt;&lt;Cite&gt;&lt;Author&gt;Beekes&lt;/Author&gt;&lt;Year&gt;2006&lt;/Year&gt;&lt;RecNum&gt;890&lt;/RecNum&gt;&lt;DisplayText&gt;(Beekes &amp;amp; Brown, 2006)&lt;/DisplayText&gt;&lt;record&gt;&lt;rec-number&gt;890&lt;/rec-number&gt;&lt;foreign-keys&gt;&lt;key app="EN" db-id="s00xzp50xdvx90ea0ravv2dxzr2pdvrrzaff" timestamp="1492599115" guid="13078b79-30e5-448b-849d-07dcce5cdb78"&gt;890&lt;/key&gt;&lt;/foreign-keys&gt;&lt;ref-type name="Journal Article"&gt;17&lt;/ref-type&gt;&lt;contributors&gt;&lt;authors&gt;&lt;author&gt;Beekes, Wendy&lt;/author&gt;&lt;author&gt;Brown, Philip&lt;/author&gt;&lt;/authors&gt;&lt;/contributors&gt;&lt;titles&gt;&lt;title&gt;Do Better-Governed Australian Firms Make More Informative Disclosures?&lt;/title&gt;&lt;secondary-title&gt;Journal of Business Finance &amp;amp; Accounting&lt;/secondary-title&gt;&lt;/titles&gt;&lt;periodical&gt;&lt;full-title&gt;Journal of Business Finance &amp;amp; Accounting&lt;/full-title&gt;&lt;/periodical&gt;&lt;pages&gt;422-450&lt;/pages&gt;&lt;volume&gt;33&lt;/volume&gt;&lt;number&gt;3/4&lt;/number&gt;&lt;keywords&gt;&lt;keyword&gt;Corporate governance&lt;/keyword&gt;&lt;keyword&gt;Financial disclosure&lt;/keyword&gt;&lt;keyword&gt;Corporations -- Valuation&lt;/keyword&gt;&lt;keyword&gt;Efficient market theory&lt;/keyword&gt;&lt;keyword&gt;Business -- Research&lt;/keyword&gt;&lt;keyword&gt;Research -- Methodology&lt;/keyword&gt;&lt;keyword&gt;Australia&lt;/keyword&gt;&lt;keyword&gt;analysts’ forecasts&lt;/keyword&gt;&lt;keyword&gt;corporate governance quality&lt;/keyword&gt;&lt;keyword&gt;disclosure frequency&lt;/keyword&gt;&lt;keyword&gt;price discovery&lt;/keyword&gt;&lt;keyword&gt;timeliness&lt;/keyword&gt;&lt;/keywords&gt;&lt;dates&gt;&lt;year&gt;2006&lt;/year&gt;&lt;/dates&gt;&lt;publisher&gt;Wiley-Blackwell&lt;/publisher&gt;&lt;isbn&gt;0306686X&lt;/isbn&gt;&lt;accession-num&gt;20870510&lt;/accession-num&gt;&lt;work-type&gt;Article&lt;/work-type&gt;&lt;urls&gt;&lt;related-urls&gt;&lt;url&gt;https://liverpool.idm.oclc.org/login?url=http://search.ebscohost.com/login.aspx?direct=true&amp;amp;db=bth&amp;amp;AN=20870510&amp;amp;site=ehost-live&amp;amp;scope=site&lt;/url&gt;&lt;/related-urls&gt;&lt;/urls&gt;&lt;electronic-resource-num&gt;10.1111/j.1468-5957.2006.00614.x&lt;/electronic-resource-num&gt;&lt;remote-database-name&gt;bth&lt;/remote-database-name&gt;&lt;remote-database-provider&gt;EBSCOhost&lt;/remote-database-provider&gt;&lt;/record&gt;&lt;/Cite&gt;&lt;/EndNote&gt;</w:instrText>
      </w:r>
      <w:r>
        <w:rPr>
          <w:lang w:eastAsia="en-GB"/>
        </w:rPr>
        <w:fldChar w:fldCharType="separate"/>
      </w:r>
      <w:r>
        <w:rPr>
          <w:noProof/>
          <w:lang w:eastAsia="en-GB"/>
        </w:rPr>
        <w:t>(Beekes &amp; Brown, 2006)</w:t>
      </w:r>
      <w:r>
        <w:rPr>
          <w:lang w:eastAsia="en-GB"/>
        </w:rPr>
        <w:fldChar w:fldCharType="end"/>
      </w:r>
      <w:r>
        <w:rPr>
          <w:lang w:eastAsia="en-GB"/>
        </w:rPr>
        <w:t>. T</w:t>
      </w:r>
      <w:r w:rsidRPr="004D5789">
        <w:rPr>
          <w:lang w:eastAsia="en-GB"/>
        </w:rPr>
        <w:t>he capital ratio</w:t>
      </w:r>
      <w:r>
        <w:rPr>
          <w:lang w:eastAsia="en-GB"/>
        </w:rPr>
        <w:t xml:space="preserve"> is</w:t>
      </w:r>
      <w:r w:rsidRPr="004D5789">
        <w:rPr>
          <w:lang w:eastAsia="en-GB"/>
        </w:rPr>
        <w:t xml:space="preserve"> </w:t>
      </w:r>
      <w:r>
        <w:rPr>
          <w:lang w:eastAsia="en-GB"/>
        </w:rPr>
        <w:t xml:space="preserve">therefore introduced as </w:t>
      </w:r>
      <w:r w:rsidRPr="004D5789">
        <w:rPr>
          <w:lang w:eastAsia="en-GB"/>
        </w:rPr>
        <w:t xml:space="preserve">a control variable in </w:t>
      </w:r>
      <w:r>
        <w:rPr>
          <w:lang w:eastAsia="en-GB"/>
        </w:rPr>
        <w:t xml:space="preserve">our model </w:t>
      </w:r>
      <w:r>
        <w:rPr>
          <w:lang w:eastAsia="en-GB"/>
        </w:rPr>
        <w:fldChar w:fldCharType="begin"/>
      </w:r>
      <w:r w:rsidR="00327CEC">
        <w:rPr>
          <w:lang w:eastAsia="en-GB"/>
        </w:rPr>
        <w:instrText xml:space="preserve"> ADDIN EN.CITE &lt;EndNote&gt;&lt;Cite&gt;&lt;Author&gt;Beltratti&lt;/Author&gt;&lt;Year&gt;2012&lt;/Year&gt;&lt;RecNum&gt;373&lt;/RecNum&gt;&lt;DisplayText&gt;(Beltratti &amp;amp; Stulz, 2012)&lt;/DisplayText&gt;&lt;record&gt;&lt;rec-number&gt;373&lt;/rec-number&gt;&lt;foreign-keys&gt;&lt;key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Pr>
          <w:lang w:eastAsia="en-GB"/>
        </w:rPr>
        <w:fldChar w:fldCharType="separate"/>
      </w:r>
      <w:r>
        <w:rPr>
          <w:noProof/>
          <w:lang w:eastAsia="en-GB"/>
        </w:rPr>
        <w:t>(Beltratti &amp; Stulz, 2012)</w:t>
      </w:r>
      <w:r>
        <w:rPr>
          <w:lang w:eastAsia="en-GB"/>
        </w:rPr>
        <w:fldChar w:fldCharType="end"/>
      </w:r>
      <w:r w:rsidRPr="004D5789">
        <w:rPr>
          <w:lang w:eastAsia="en-GB"/>
        </w:rPr>
        <w:t>.</w:t>
      </w:r>
      <w:r>
        <w:rPr>
          <w:lang w:eastAsia="en-GB"/>
        </w:rPr>
        <w:t xml:space="preserve"> Similarly, relative riskiness of a firm is important for shareholder value. Consequently, we control for</w:t>
      </w:r>
      <w:r w:rsidRPr="004D5789">
        <w:rPr>
          <w:lang w:eastAsia="en-GB"/>
        </w:rPr>
        <w:t xml:space="preserve"> risk</w:t>
      </w:r>
      <w:r>
        <w:rPr>
          <w:lang w:eastAsia="en-GB"/>
        </w:rPr>
        <w:t xml:space="preserve"> by using m</w:t>
      </w:r>
      <w:r w:rsidRPr="004D5789">
        <w:rPr>
          <w:lang w:eastAsia="en-GB"/>
        </w:rPr>
        <w:t>arket b</w:t>
      </w:r>
      <w:r>
        <w:rPr>
          <w:lang w:eastAsia="en-GB"/>
        </w:rPr>
        <w:t xml:space="preserve">eta </w:t>
      </w:r>
      <w:r w:rsidRPr="004D5789">
        <w:rPr>
          <w:lang w:eastAsia="en-GB"/>
        </w:rPr>
        <w:t>as a control variable in the study</w:t>
      </w:r>
      <w:r>
        <w:rPr>
          <w:lang w:eastAsia="en-GB"/>
        </w:rPr>
        <w:t xml:space="preserve"> </w:t>
      </w:r>
      <w:r>
        <w:rPr>
          <w:lang w:eastAsia="en-GB"/>
        </w:rPr>
        <w:fldChar w:fldCharType="begin"/>
      </w:r>
      <w:r w:rsidR="00327CEC">
        <w:rPr>
          <w:lang w:eastAsia="en-GB"/>
        </w:rPr>
        <w:instrText xml:space="preserve"> ADDIN EN.CITE &lt;EndNote&gt;&lt;Cite&gt;&lt;Author&gt;Gonzalez&lt;/Author&gt;&lt;Year&gt;2014&lt;/Year&gt;&lt;RecNum&gt;883&lt;/RecNum&gt;&lt;DisplayText&gt;(Gonzalez &amp;amp; André, 2014)&lt;/DisplayText&gt;&lt;record&gt;&lt;rec-number&gt;883&lt;/rec-number&gt;&lt;foreign-keys&gt;&lt;key app="EN" db-id="s00xzp50xdvx90ea0ravv2dxzr2pdvrrzaff" timestamp="1492597366" guid="54c487fb-735e-41ea-9493-14722e983fa2"&gt;883&lt;/key&gt;&lt;/foreign-keys&gt;&lt;ref-type name="Journal Article"&gt;17&lt;/ref-type&gt;&lt;contributors&gt;&lt;authors&gt;&lt;author&gt;Gonzalez, Angelica&lt;/author&gt;&lt;author&gt;André, Paul&lt;/author&gt;&lt;/authors&gt;&lt;/contributors&gt;&lt;titles&gt;&lt;title&gt;Board Effectiveness and Short Termism&lt;/title&gt;&lt;secondary-title&gt;Journal of Business Finance &amp;amp; Accounting&lt;/secondary-title&gt;&lt;/titles&gt;&lt;periodical&gt;&lt;full-title&gt;Journal of Business Finance &amp;amp; Accounting&lt;/full-title&gt;&lt;/periodical&gt;&lt;pages&gt;185-209&lt;/pages&gt;&lt;volume&gt;41&lt;/volume&gt;&lt;number&gt;1/2&lt;/number&gt;&lt;keywords&gt;&lt;keyword&gt;Corporate governance&lt;/keyword&gt;&lt;keyword&gt;Risk&lt;/keyword&gt;&lt;keyword&gt;Capital assets pricing model&lt;/keyword&gt;&lt;keyword&gt;Proxy&lt;/keyword&gt;&lt;keyword&gt;Risk-return relationships&lt;/keyword&gt;&lt;keyword&gt;Time perspective&lt;/keyword&gt;&lt;keyword&gt;board effectiveness&lt;/keyword&gt;&lt;keyword&gt;short-termism&lt;/keyword&gt;&lt;/keywords&gt;&lt;dates&gt;&lt;year&gt;2014&lt;/year&gt;&lt;/dates&gt;&lt;publisher&gt;Wiley-Blackwell&lt;/publisher&gt;&lt;isbn&gt;0306686X&lt;/isbn&gt;&lt;accession-num&gt;94609670&lt;/accession-num&gt;&lt;work-type&gt;Article&lt;/work-type&gt;&lt;urls&gt;&lt;related-urls&gt;&lt;url&gt;https://liverpool.idm.oclc.org/login?url=http://search.ebscohost.com/login.aspx?direct=true&amp;amp;db=bth&amp;amp;AN=94609670&amp;amp;site=ehost-live&amp;amp;scope=site&lt;/url&gt;&lt;/related-urls&gt;&lt;/urls&gt;&lt;electronic-resource-num&gt;10.1111/jbfa.12045&lt;/electronic-resource-num&gt;&lt;remote-database-name&gt;bth&lt;/remote-database-name&gt;&lt;remote-database-provider&gt;EBSCOhost&lt;/remote-database-provider&gt;&lt;/record&gt;&lt;/Cite&gt;&lt;/EndNote&gt;</w:instrText>
      </w:r>
      <w:r>
        <w:rPr>
          <w:lang w:eastAsia="en-GB"/>
        </w:rPr>
        <w:fldChar w:fldCharType="separate"/>
      </w:r>
      <w:r>
        <w:rPr>
          <w:noProof/>
          <w:lang w:eastAsia="en-GB"/>
        </w:rPr>
        <w:t>(Gonzalez &amp; André, 2014)</w:t>
      </w:r>
      <w:r>
        <w:rPr>
          <w:lang w:eastAsia="en-GB"/>
        </w:rPr>
        <w:fldChar w:fldCharType="end"/>
      </w:r>
      <w:r>
        <w:rPr>
          <w:lang w:eastAsia="en-GB"/>
        </w:rPr>
        <w:t xml:space="preserve">. </w:t>
      </w:r>
      <w:r>
        <w:t xml:space="preserve">It is also well documented that in terms of board effectiveness and decision-making ability, small corporate boards perform better than large boards </w:t>
      </w:r>
      <w:r>
        <w:fldChar w:fldCharType="begin"/>
      </w:r>
      <w:r w:rsidR="00327CEC">
        <w:instrText xml:space="preserve"> ADDIN EN.CITE &lt;EndNote&gt;&lt;Cite&gt;&lt;Author&gt;Yermack&lt;/Author&gt;&lt;Year&gt;1996&lt;/Year&gt;&lt;RecNum&gt;89&lt;/RecNum&gt;&lt;DisplayText&gt;(Federo &amp;amp; Saz‐Carranza, 2018; Yermack, 1996)&lt;/DisplayText&gt;&lt;record&gt;&lt;rec-number&gt;89&lt;/rec-number&gt;&lt;foreign-keys&gt;&lt;key app="EN" db-id="s00xzp50xdvx90ea0ravv2dxzr2pdvrrzaff" timestamp="1452196858" guid="3fada7ae-4fcb-48b4-a95e-c4c50f22c538"&gt;89&lt;/key&gt;&lt;/foreign-keys&gt;&lt;ref-type name="Journal Article"&gt;17&lt;/ref-type&gt;&lt;contributors&gt;&lt;authors&gt;&lt;author&gt;Yermack, David&lt;/author&gt;&lt;/authors&gt;&lt;/contributors&gt;&lt;titles&gt;&lt;title&gt;Higher market valuation of companies with a small board of directors&lt;/title&gt;&lt;secondary-title&gt;Journal of Financial Economics&lt;/secondary-title&gt;&lt;/titles&gt;&lt;periodical&gt;&lt;full-title&gt;Journal of Financial Economics&lt;/full-title&gt;&lt;/periodical&gt;&lt;pages&gt;185-211&lt;/pages&gt;&lt;volume&gt;40&lt;/volume&gt;&lt;number&gt;2&lt;/number&gt;&lt;keywords&gt;&lt;keyword&gt;Boards of directors&lt;/keyword&gt;&lt;keyword&gt;Corporate governance&lt;/keyword&gt;&lt;/keywords&gt;&lt;dates&gt;&lt;year&gt;1996&lt;/year&gt;&lt;/dates&gt;&lt;urls&gt;&lt;related-urls&gt;&lt;url&gt;http://www.sciencedirect.com/science/article/B6VBX-3VWPP49-6/2/5642a554c146e1788692899ac01b19bb &lt;/url&gt;&lt;/related-urls&gt;&lt;/urls&gt;&lt;/record&gt;&lt;/Cite&gt;&lt;Cite&gt;&lt;Author&gt;Federo&lt;/Author&gt;&lt;Year&gt;2018&lt;/Year&gt;&lt;RecNum&gt;1147&lt;/RecNum&gt;&lt;record&gt;&lt;rec-number&gt;1147&lt;/rec-number&gt;&lt;foreign-keys&gt;&lt;key app="EN" db-id="s00xzp50xdvx90ea0ravv2dxzr2pdvrrzaff" timestamp="1577975489" guid="fe7c3e9f-5dbb-4b78-be73-8e5a55e863c5"&gt;1147&lt;/key&gt;&lt;/foreign-keys&gt;&lt;ref-type name="Journal Article"&gt;17&lt;/ref-type&gt;&lt;contributors&gt;&lt;authors&gt;&lt;author&gt;Federo, Ryan&lt;/author&gt;&lt;author&gt;Saz‐Carranza, Angel&lt;/author&gt;&lt;/authors&gt;&lt;/contributors&gt;&lt;titles&gt;&lt;title&gt;A typology of board design for highly effective monitoring in intergovernmental organizations under the United Nations system&lt;/title&gt;&lt;secondary-title&gt;Regulation &amp;amp; Governance&lt;/secondary-title&gt;&lt;/titles&gt;&lt;periodical&gt;&lt;full-title&gt;Regulation &amp;amp; Governance&lt;/full-title&gt;&lt;/periodical&gt;&lt;dates&gt;&lt;year&gt;2018&lt;/year&gt;&lt;/dates&gt;&lt;isbn&gt;1748-5983&lt;/isbn&gt;&lt;urls&gt;&lt;/urls&gt;&lt;/record&gt;&lt;/Cite&gt;&lt;/EndNote&gt;</w:instrText>
      </w:r>
      <w:r>
        <w:fldChar w:fldCharType="separate"/>
      </w:r>
      <w:r>
        <w:rPr>
          <w:noProof/>
        </w:rPr>
        <w:t>(Federo &amp; Saz‐Carranza, 2018; Yermack, 1996)</w:t>
      </w:r>
      <w:r>
        <w:fldChar w:fldCharType="end"/>
      </w:r>
      <w:r>
        <w:t xml:space="preserve">. In addition, smaller boards are also regarded as more valuable in financially distressed firms </w:t>
      </w:r>
      <w:r>
        <w:fldChar w:fldCharType="begin"/>
      </w:r>
      <w:r w:rsidR="00327CEC">
        <w:instrText xml:space="preserve"> ADDIN EN.CITE &lt;EndNote&gt;&lt;Cite&gt;&lt;Author&gt;Dowell&lt;/Author&gt;&lt;Year&gt;2011&lt;/Year&gt;&lt;RecNum&gt;539&lt;/RecNum&gt;&lt;DisplayText&gt;(Dowell, Shackell, &amp;amp; Stuart, 2011)&lt;/DisplayText&gt;&lt;record&gt;&lt;rec-number&gt;539&lt;/rec-number&gt;&lt;foreign-keys&gt;&lt;key app="EN" db-id="s00xzp50xdvx90ea0ravv2dxzr2pdvrrzaff" timestamp="1452596057" guid="323672da-4fb4-4ab7-85e1-4a4661df06e4"&gt;539&lt;/key&gt;&lt;/foreign-keys&gt;&lt;ref-type name="Journal Article"&gt;17&lt;/ref-type&gt;&lt;contributors&gt;&lt;authors&gt;&lt;author&gt;Dowell, Glen WS&lt;/author&gt;&lt;author&gt;Shackell, Margaret B&lt;/author&gt;&lt;author&gt;Stuart, Nathan V&lt;/author&gt;&lt;/authors&gt;&lt;/contributors&gt;&lt;titles&gt;&lt;title&gt;Boards, CEOs, and surviving a financial crisis: Evidence from the internet shakeout&lt;/title&gt;&lt;secondary-title&gt;Strategic Management Journal&lt;/secondary-title&gt;&lt;/titles&gt;&lt;periodical&gt;&lt;full-title&gt;Strategic Management Journal&lt;/full-title&gt;&lt;/periodical&gt;&lt;pages&gt;1025-1045&lt;/pages&gt;&lt;volume&gt;32&lt;/volume&gt;&lt;number&gt;10&lt;/number&gt;&lt;dates&gt;&lt;year&gt;2011&lt;/year&gt;&lt;/dates&gt;&lt;isbn&gt;1097-0266&lt;/isbn&gt;&lt;urls&gt;&lt;/urls&gt;&lt;/record&gt;&lt;/Cite&gt;&lt;/EndNote&gt;</w:instrText>
      </w:r>
      <w:r>
        <w:fldChar w:fldCharType="separate"/>
      </w:r>
      <w:r>
        <w:rPr>
          <w:noProof/>
        </w:rPr>
        <w:t>(Dowell, Shackell, &amp; Stuart, 2011)</w:t>
      </w:r>
      <w:r>
        <w:fldChar w:fldCharType="end"/>
      </w:r>
      <w:r>
        <w:t xml:space="preserve">. We therefore use board size as a control variable in our </w:t>
      </w:r>
      <w:r w:rsidRPr="00955B6B">
        <w:t xml:space="preserve">analyses. </w:t>
      </w:r>
      <w:r w:rsidRPr="00955B6B">
        <w:rPr>
          <w:lang w:eastAsia="en-GB"/>
        </w:rPr>
        <w:t xml:space="preserve">Finally, the level of debt financing could have implications for shareholder value during stable and unstable business periods. To that end, we also introduce leverage as a control variable </w:t>
      </w:r>
      <w:r w:rsidRPr="00955B6B">
        <w:rPr>
          <w:lang w:eastAsia="en-GB"/>
        </w:rPr>
        <w:fldChar w:fldCharType="begin">
          <w:fldData xml:space="preserve">PEVuZE5vdGU+PENpdGU+PEF1dGhvcj5aYWxhdGE8L0F1dGhvcj48WWVhcj4yMDE2PC9ZZWFyPjxS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==
</w:fldData>
        </w:fldChar>
      </w:r>
      <w:r w:rsidR="00FB57AA">
        <w:rPr>
          <w:lang w:eastAsia="en-GB"/>
        </w:rPr>
        <w:instrText xml:space="preserve"> ADDIN EN.CITE </w:instrText>
      </w:r>
      <w:r w:rsidR="00FB57AA">
        <w:rPr>
          <w:lang w:eastAsia="en-GB"/>
        </w:rPr>
        <w:fldChar w:fldCharType="begin">
          <w:fldData xml:space="preserve">PEVuZE5vdGU+PENpdGU+PEF1dGhvcj5aYWxhdGE8L0F1dGhvcj48WWVhcj4yMDE2PC9ZZWFyPjxS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==
</w:fldData>
        </w:fldChar>
      </w:r>
      <w:r w:rsidR="00FB57AA">
        <w:rPr>
          <w:lang w:eastAsia="en-GB"/>
        </w:rPr>
        <w:instrText xml:space="preserve"> ADDIN EN.CITE.DATA </w:instrText>
      </w:r>
      <w:r w:rsidR="00FB57AA">
        <w:rPr>
          <w:lang w:eastAsia="en-GB"/>
        </w:rPr>
      </w:r>
      <w:r w:rsidR="00FB57AA">
        <w:rPr>
          <w:lang w:eastAsia="en-GB"/>
        </w:rPr>
        <w:fldChar w:fldCharType="end"/>
      </w:r>
      <w:r w:rsidRPr="00955B6B">
        <w:rPr>
          <w:lang w:eastAsia="en-GB"/>
        </w:rPr>
      </w:r>
      <w:r w:rsidRPr="00955B6B">
        <w:rPr>
          <w:lang w:eastAsia="en-GB"/>
        </w:rPr>
        <w:fldChar w:fldCharType="separate"/>
      </w:r>
      <w:r w:rsidR="00FB57AA">
        <w:rPr>
          <w:noProof/>
          <w:lang w:eastAsia="en-GB"/>
        </w:rPr>
        <w:t>(Sarhan, Ntim, &amp; Al‐Najjar, 2019; Zalata &amp; Roberts, 2016)</w:t>
      </w:r>
      <w:r w:rsidRPr="00955B6B">
        <w:rPr>
          <w:lang w:eastAsia="en-GB"/>
        </w:rPr>
        <w:fldChar w:fldCharType="end"/>
      </w:r>
      <w:r w:rsidRPr="00955B6B">
        <w:rPr>
          <w:lang w:eastAsia="en-GB"/>
        </w:rPr>
        <w:t>. Definitions of all the variables in our model are presented in Table 2.</w:t>
      </w:r>
      <w:r>
        <w:rPr>
          <w:lang w:eastAsia="en-GB"/>
        </w:rPr>
        <w:t xml:space="preserve"> </w:t>
      </w:r>
    </w:p>
    <w:p w14:paraId="537EA719" w14:textId="77777777" w:rsidR="00DC6089" w:rsidRDefault="00DC6089" w:rsidP="0092047F">
      <w:pPr>
        <w:rPr>
          <w:lang w:eastAsia="ar-SA"/>
        </w:rPr>
      </w:pPr>
      <w:r>
        <w:rPr>
          <w:lang w:eastAsia="ar-SA"/>
        </w:rPr>
        <w:t>Finally, i</w:t>
      </w:r>
      <w:r w:rsidRPr="006823E9">
        <w:rPr>
          <w:lang w:eastAsia="ar-SA"/>
        </w:rPr>
        <w:t xml:space="preserve">n order to analyse the hypothesised relationship between </w:t>
      </w:r>
      <w:r>
        <w:rPr>
          <w:lang w:eastAsia="ar-SA"/>
        </w:rPr>
        <w:t>the level of NCI</w:t>
      </w:r>
      <w:r w:rsidRPr="006823E9">
        <w:rPr>
          <w:lang w:eastAsia="ar-SA"/>
        </w:rPr>
        <w:t xml:space="preserve"> and </w:t>
      </w:r>
      <w:r>
        <w:rPr>
          <w:lang w:eastAsia="ar-SA"/>
        </w:rPr>
        <w:t>shareholder value</w:t>
      </w:r>
      <w:r w:rsidRPr="006823E9">
        <w:rPr>
          <w:lang w:eastAsia="ar-SA"/>
        </w:rPr>
        <w:t xml:space="preserve">, </w:t>
      </w:r>
      <w:r>
        <w:rPr>
          <w:lang w:eastAsia="ar-SA"/>
        </w:rPr>
        <w:t>we estimate Equation (1) using both proxies of the dependant variable</w:t>
      </w:r>
      <w:r w:rsidRPr="00576D09">
        <w:rPr>
          <w:lang w:eastAsia="ar-SA"/>
        </w:rPr>
        <w:t xml:space="preserve"> (total shareholder returns and return on equity)</w:t>
      </w:r>
      <w:r>
        <w:rPr>
          <w:lang w:eastAsia="ar-SA"/>
        </w:rPr>
        <w:t xml:space="preserve">. We further estimate Equation (1) for two time periods, pre-crisis (2003-2006) and during crisis (2007-2010). The results are discussed in the next section. </w:t>
      </w:r>
    </w:p>
    <w:p w14:paraId="3CDD5588" w14:textId="77777777" w:rsidR="00DC6089" w:rsidRPr="00C20A52" w:rsidRDefault="00DC6089" w:rsidP="0092047F">
      <w:pPr>
        <w:spacing w:after="0"/>
        <w:jc w:val="center"/>
        <w:rPr>
          <w:rFonts w:eastAsia="Calibri" w:cs="Times New Roman"/>
          <w:szCs w:val="24"/>
        </w:rPr>
      </w:pPr>
      <w:r w:rsidRPr="00C20A52">
        <w:rPr>
          <w:rFonts w:cs="Times New Roman"/>
          <w:b/>
          <w:szCs w:val="24"/>
        </w:rPr>
        <w:t xml:space="preserve"> [Insert Table </w:t>
      </w:r>
      <w:r>
        <w:rPr>
          <w:rFonts w:cs="Times New Roman"/>
          <w:b/>
          <w:szCs w:val="24"/>
        </w:rPr>
        <w:t>2</w:t>
      </w:r>
      <w:r w:rsidRPr="00C20A52">
        <w:rPr>
          <w:rFonts w:cs="Times New Roman"/>
          <w:b/>
          <w:szCs w:val="24"/>
        </w:rPr>
        <w:t xml:space="preserve"> about here]</w:t>
      </w:r>
    </w:p>
    <w:p w14:paraId="12270805" w14:textId="77777777" w:rsidR="00DC6089" w:rsidRDefault="00DC6089" w:rsidP="0092047F">
      <w:pPr>
        <w:pStyle w:val="Heading1"/>
        <w:rPr>
          <w:rFonts w:eastAsia="Times New Roman"/>
          <w:lang w:eastAsia="en-GB"/>
        </w:rPr>
      </w:pPr>
      <w:r w:rsidRPr="00DA5268">
        <w:rPr>
          <w:rFonts w:eastAsia="Times New Roman"/>
          <w:lang w:eastAsia="en-GB"/>
        </w:rPr>
        <w:lastRenderedPageBreak/>
        <w:t>Res</w:t>
      </w:r>
      <w:r>
        <w:rPr>
          <w:rFonts w:eastAsia="Times New Roman"/>
          <w:lang w:eastAsia="en-GB"/>
        </w:rPr>
        <w:t>ults and discussion</w:t>
      </w:r>
    </w:p>
    <w:p w14:paraId="7E6B5179" w14:textId="77777777" w:rsidR="00DC6089" w:rsidRDefault="00DC6089" w:rsidP="0092047F">
      <w:pPr>
        <w:pStyle w:val="Heading2"/>
      </w:pPr>
      <w:r>
        <w:t>Preliminary analyses</w:t>
      </w:r>
    </w:p>
    <w:p w14:paraId="76218EDB" w14:textId="233BC7A4" w:rsidR="00DC6089" w:rsidRDefault="00DC6089" w:rsidP="0092047F">
      <w:pPr>
        <w:rPr>
          <w:color w:val="FFFFFF" w:themeColor="background1"/>
          <w:lang w:eastAsia="ar-SA"/>
        </w:rPr>
      </w:pPr>
      <w:r w:rsidRPr="00DB0654">
        <w:rPr>
          <w:lang w:eastAsia="ar-SA"/>
        </w:rPr>
        <w:t xml:space="preserve">Table 3 outlines the descriptive statistics for all variables used in </w:t>
      </w:r>
      <w:r>
        <w:rPr>
          <w:lang w:eastAsia="ar-SA"/>
        </w:rPr>
        <w:t>this study</w:t>
      </w:r>
      <w:r w:rsidRPr="00DB0654">
        <w:rPr>
          <w:lang w:eastAsia="ar-SA"/>
        </w:rPr>
        <w:t xml:space="preserve">. </w:t>
      </w:r>
      <w:proofErr w:type="spellStart"/>
      <w:r w:rsidRPr="00DB0654">
        <w:rPr>
          <w:lang w:eastAsia="ar-SA"/>
        </w:rPr>
        <w:t>Winsorization</w:t>
      </w:r>
      <w:proofErr w:type="spellEnd"/>
      <w:r w:rsidRPr="00DB0654">
        <w:rPr>
          <w:lang w:eastAsia="ar-SA"/>
        </w:rPr>
        <w:t xml:space="preserve"> has been applied to the top and bottom 1% of observations to control for extreme values. The data in Table 3 indicates that on average the non-compliance index score over the period of our analyses was 3.57, and had a maximum value of 16.</w:t>
      </w:r>
      <w:r>
        <w:rPr>
          <w:lang w:eastAsia="ar-SA"/>
        </w:rPr>
        <w:t xml:space="preserve"> </w:t>
      </w:r>
      <w:r w:rsidRPr="00550CFF">
        <w:rPr>
          <w:lang w:eastAsia="ar-SA"/>
        </w:rPr>
        <w:t>Variance Inflation Factors (VIF) and tolerance statistics</w:t>
      </w:r>
      <w:r>
        <w:rPr>
          <w:lang w:eastAsia="ar-SA"/>
        </w:rPr>
        <w:t xml:space="preserve"> were used to test for the potential effects of</w:t>
      </w:r>
      <w:r w:rsidRPr="00550CFF">
        <w:rPr>
          <w:lang w:eastAsia="ar-SA"/>
        </w:rPr>
        <w:t xml:space="preserve"> multicollinearity </w:t>
      </w:r>
      <w:r>
        <w:rPr>
          <w:lang w:eastAsia="ar-SA"/>
        </w:rPr>
        <w:t>among the variables.</w:t>
      </w:r>
      <w:r>
        <w:rPr>
          <w:rStyle w:val="EndnoteReference"/>
          <w:rFonts w:eastAsia="AdvGulliv-R" w:cs="Times New Roman"/>
          <w:color w:val="000000"/>
          <w:kern w:val="1"/>
          <w:szCs w:val="24"/>
          <w:lang w:eastAsia="ar-SA"/>
        </w:rPr>
        <w:endnoteReference w:id="9"/>
      </w:r>
      <w:r>
        <w:rPr>
          <w:lang w:eastAsia="ar-SA"/>
        </w:rPr>
        <w:t xml:space="preserve"> The values of </w:t>
      </w:r>
      <w:r w:rsidRPr="00550CFF">
        <w:rPr>
          <w:lang w:eastAsia="ar-SA"/>
        </w:rPr>
        <w:t>all VIFs remain</w:t>
      </w:r>
      <w:r>
        <w:rPr>
          <w:lang w:eastAsia="ar-SA"/>
        </w:rPr>
        <w:t>ed</w:t>
      </w:r>
      <w:r w:rsidRPr="00550CFF">
        <w:rPr>
          <w:lang w:eastAsia="ar-SA"/>
        </w:rPr>
        <w:t xml:space="preserve"> well below the commonly used threshold of </w:t>
      </w:r>
      <w:r>
        <w:rPr>
          <w:lang w:eastAsia="ar-SA"/>
        </w:rPr>
        <w:t>10. Our results showed that t</w:t>
      </w:r>
      <w:r w:rsidRPr="00550CFF">
        <w:rPr>
          <w:lang w:eastAsia="ar-SA"/>
        </w:rPr>
        <w:t xml:space="preserve">he maximum value for VIF </w:t>
      </w:r>
      <w:r>
        <w:rPr>
          <w:lang w:eastAsia="ar-SA"/>
        </w:rPr>
        <w:t>was</w:t>
      </w:r>
      <w:r w:rsidRPr="00550CFF">
        <w:rPr>
          <w:lang w:eastAsia="ar-SA"/>
        </w:rPr>
        <w:t xml:space="preserve"> 1.56 </w:t>
      </w:r>
      <w:r>
        <w:rPr>
          <w:lang w:eastAsia="ar-SA"/>
        </w:rPr>
        <w:t>whereas</w:t>
      </w:r>
      <w:r w:rsidRPr="00550CFF">
        <w:rPr>
          <w:lang w:eastAsia="ar-SA"/>
        </w:rPr>
        <w:t xml:space="preserve"> the lowest value for tolerance statistic</w:t>
      </w:r>
      <w:r>
        <w:rPr>
          <w:lang w:eastAsia="ar-SA"/>
        </w:rPr>
        <w:t>s</w:t>
      </w:r>
      <w:r w:rsidRPr="00550CFF">
        <w:rPr>
          <w:lang w:eastAsia="ar-SA"/>
        </w:rPr>
        <w:t xml:space="preserve"> </w:t>
      </w:r>
      <w:r>
        <w:rPr>
          <w:lang w:eastAsia="ar-SA"/>
        </w:rPr>
        <w:t>was</w:t>
      </w:r>
      <w:r w:rsidRPr="00550CFF">
        <w:rPr>
          <w:lang w:eastAsia="ar-SA"/>
        </w:rPr>
        <w:t xml:space="preserve"> 0.62</w:t>
      </w:r>
      <w:r>
        <w:rPr>
          <w:lang w:eastAsia="ar-SA"/>
        </w:rPr>
        <w:t>. On this basis, we can confirm that multicollinearity</w:t>
      </w:r>
      <w:r w:rsidRPr="00550CFF">
        <w:rPr>
          <w:lang w:eastAsia="ar-SA"/>
        </w:rPr>
        <w:t xml:space="preserve"> </w:t>
      </w:r>
      <w:r>
        <w:rPr>
          <w:lang w:eastAsia="ar-SA"/>
        </w:rPr>
        <w:t xml:space="preserve">does not appear to be a </w:t>
      </w:r>
      <w:r w:rsidRPr="00550CFF">
        <w:rPr>
          <w:lang w:eastAsia="ar-SA"/>
        </w:rPr>
        <w:t>problem</w:t>
      </w:r>
      <w:r>
        <w:rPr>
          <w:lang w:eastAsia="ar-SA"/>
        </w:rPr>
        <w:t xml:space="preserve"> in our </w:t>
      </w:r>
      <w:r w:rsidRPr="00925509">
        <w:rPr>
          <w:lang w:eastAsia="ar-SA"/>
        </w:rPr>
        <w:t xml:space="preserve">data </w:t>
      </w:r>
      <w:r>
        <w:rPr>
          <w:lang w:eastAsia="ar-SA"/>
        </w:rPr>
        <w:fldChar w:fldCharType="begin"/>
      </w:r>
      <w:r w:rsidR="00327CEC">
        <w:rPr>
          <w:lang w:eastAsia="ar-SA"/>
        </w:rPr>
        <w:instrText xml:space="preserve"> ADDIN EN.CITE &lt;EndNote&gt;&lt;Cite&gt;&lt;Author&gt;Field&lt;/Author&gt;&lt;Year&gt;2009&lt;/Year&gt;&lt;RecNum&gt;349&lt;/RecNum&gt;&lt;DisplayText&gt;(Field, 2009)&lt;/DisplayText&gt;&lt;record&gt;&lt;rec-number&gt;349&lt;/rec-number&gt;&lt;foreign-keys&gt;&lt;key app="EN" db-id="s00xzp50xdvx90ea0ravv2dxzr2pdvrrzaff" timestamp="1452198238" guid="2f962b89-b1b0-40cc-ac97-64ff29b363ab"&gt;349&lt;/key&gt;&lt;/foreign-keys&gt;&lt;ref-type name="Book"&gt;6&lt;/ref-type&gt;&lt;contributors&gt;&lt;authors&gt;&lt;author&gt;Field, A.P.&lt;/author&gt;&lt;/authors&gt;&lt;/contributors&gt;&lt;titles&gt;&lt;title&gt;Discovering Statistics Using SPSS&lt;/title&gt;&lt;/titles&gt;&lt;dates&gt;&lt;year&gt;2009&lt;/year&gt;&lt;/dates&gt;&lt;publisher&gt;London, SAGE publications Ltd,  UK&lt;/publisher&gt;&lt;isbn&gt;1847879063&lt;/isbn&gt;&lt;urls&gt;&lt;/urls&gt;&lt;/record&gt;&lt;/Cite&gt;&lt;/EndNote&gt;</w:instrText>
      </w:r>
      <w:r>
        <w:rPr>
          <w:lang w:eastAsia="ar-SA"/>
        </w:rPr>
        <w:fldChar w:fldCharType="separate"/>
      </w:r>
      <w:r>
        <w:rPr>
          <w:noProof/>
          <w:lang w:eastAsia="ar-SA"/>
        </w:rPr>
        <w:t>(Field, 2009)</w:t>
      </w:r>
      <w:r>
        <w:rPr>
          <w:lang w:eastAsia="ar-SA"/>
        </w:rPr>
        <w:fldChar w:fldCharType="end"/>
      </w:r>
      <w:r w:rsidRPr="00550CFF">
        <w:rPr>
          <w:lang w:eastAsia="ar-SA"/>
        </w:rPr>
        <w:t>. Similarly, the tolerance statistic</w:t>
      </w:r>
      <w:r>
        <w:rPr>
          <w:lang w:eastAsia="ar-SA"/>
        </w:rPr>
        <w:t>s</w:t>
      </w:r>
      <w:r w:rsidRPr="00550CFF">
        <w:rPr>
          <w:lang w:eastAsia="ar-SA"/>
        </w:rPr>
        <w:t xml:space="preserve"> for all variables </w:t>
      </w:r>
      <w:r>
        <w:rPr>
          <w:lang w:eastAsia="ar-SA"/>
        </w:rPr>
        <w:t>was</w:t>
      </w:r>
      <w:r w:rsidRPr="00550CFF">
        <w:rPr>
          <w:lang w:eastAsia="ar-SA"/>
        </w:rPr>
        <w:t xml:space="preserve"> abo</w:t>
      </w:r>
      <w:r>
        <w:rPr>
          <w:lang w:eastAsia="ar-SA"/>
        </w:rPr>
        <w:t xml:space="preserve">ve the threshold of 0.10, which is </w:t>
      </w:r>
      <w:r w:rsidRPr="00550CFF">
        <w:rPr>
          <w:lang w:eastAsia="ar-SA"/>
        </w:rPr>
        <w:t xml:space="preserve">again </w:t>
      </w:r>
      <w:r>
        <w:rPr>
          <w:lang w:eastAsia="ar-SA"/>
        </w:rPr>
        <w:t xml:space="preserve">an indication </w:t>
      </w:r>
      <w:r w:rsidR="00C4280B">
        <w:rPr>
          <w:lang w:eastAsia="ar-SA"/>
        </w:rPr>
        <w:t xml:space="preserve">of </w:t>
      </w:r>
      <w:r>
        <w:rPr>
          <w:lang w:eastAsia="ar-SA"/>
        </w:rPr>
        <w:t>the non-existence of multicollinearity amongst our variables</w:t>
      </w:r>
      <w:r>
        <w:rPr>
          <w:color w:val="FFFFFF" w:themeColor="background1"/>
          <w:lang w:eastAsia="ar-SA"/>
        </w:rPr>
        <w:t>.</w:t>
      </w:r>
    </w:p>
    <w:p w14:paraId="53F48BBD" w14:textId="3D9973F7" w:rsidR="00DC6089" w:rsidRDefault="00DC6089" w:rsidP="00452B34">
      <w:pPr>
        <w:rPr>
          <w:rFonts w:eastAsia="AdvGulliv-R" w:cs="Times New Roman"/>
          <w:color w:val="000000"/>
          <w:kern w:val="1"/>
          <w:szCs w:val="24"/>
          <w:lang w:eastAsia="ar-SA"/>
        </w:rPr>
      </w:pPr>
      <w:r>
        <w:rPr>
          <w:rFonts w:eastAsia="AdvGulliv-R" w:cs="Times New Roman"/>
          <w:color w:val="000000"/>
          <w:kern w:val="1"/>
          <w:szCs w:val="24"/>
          <w:lang w:eastAsia="ar-SA"/>
        </w:rPr>
        <w:t xml:space="preserve">We also </w:t>
      </w:r>
      <w:r w:rsidRPr="0085021F">
        <w:rPr>
          <w:rFonts w:eastAsia="AdvGulliv-R" w:cs="Times New Roman"/>
          <w:color w:val="000000"/>
          <w:kern w:val="1"/>
          <w:szCs w:val="24"/>
          <w:lang w:eastAsia="ar-SA"/>
        </w:rPr>
        <w:t>carr</w:t>
      </w:r>
      <w:r>
        <w:rPr>
          <w:rFonts w:eastAsia="AdvGulliv-R" w:cs="Times New Roman"/>
          <w:color w:val="000000"/>
          <w:kern w:val="1"/>
          <w:szCs w:val="24"/>
          <w:lang w:eastAsia="ar-SA"/>
        </w:rPr>
        <w:t>ied</w:t>
      </w:r>
      <w:r w:rsidRPr="0085021F">
        <w:rPr>
          <w:rFonts w:eastAsia="AdvGulliv-R" w:cs="Times New Roman"/>
          <w:color w:val="000000"/>
          <w:kern w:val="1"/>
          <w:szCs w:val="24"/>
          <w:lang w:eastAsia="ar-SA"/>
        </w:rPr>
        <w:t xml:space="preserve"> out two post specification tests following the GMM estimation</w:t>
      </w:r>
      <w:r>
        <w:rPr>
          <w:rFonts w:eastAsia="AdvGulliv-R" w:cs="Times New Roman"/>
          <w:color w:val="000000"/>
          <w:kern w:val="1"/>
          <w:szCs w:val="24"/>
          <w:lang w:eastAsia="ar-SA"/>
        </w:rPr>
        <w:t xml:space="preserve"> </w:t>
      </w:r>
      <w:r>
        <w:rPr>
          <w:rFonts w:eastAsia="AdvGulliv-R" w:cs="Times New Roman"/>
          <w:color w:val="000000"/>
          <w:kern w:val="1"/>
          <w:szCs w:val="24"/>
          <w:lang w:eastAsia="ar-SA"/>
        </w:rPr>
        <w:fldChar w:fldCharType="begin"/>
      </w:r>
      <w:r w:rsidR="00327CEC">
        <w:rPr>
          <w:rFonts w:eastAsia="AdvGulliv-R" w:cs="Times New Roman"/>
          <w:color w:val="000000"/>
          <w:kern w:val="1"/>
          <w:szCs w:val="24"/>
          <w:lang w:eastAsia="ar-SA"/>
        </w:rPr>
        <w:instrText xml:space="preserve"> ADDIN EN.CITE &lt;EndNote&gt;&lt;Cite&gt;&lt;Author&gt;Arellano&lt;/Author&gt;&lt;Year&gt;1991&lt;/Year&gt;&lt;RecNum&gt;558&lt;/RecNum&gt;&lt;DisplayText&gt;(Arellano &amp;amp; Bond, 1991)&lt;/DisplayText&gt;&lt;record&gt;&lt;rec-number&gt;558&lt;/rec-number&gt;&lt;foreign-keys&gt;&lt;key app="EN" db-id="s00xzp50xdvx90ea0ravv2dxzr2pdvrrzaff" timestamp="1452596067" guid="21ea2043-7b6b-42bb-8179-fe20f2384bae"&gt;558&lt;/key&gt;&lt;/foreign-keys&gt;&lt;ref-type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-297&lt;/pages&gt;&lt;volume&gt;58&lt;/volume&gt;&lt;number&gt;2&lt;/number&gt;&lt;dates&gt;&lt;year&gt;1991&lt;/year&gt;&lt;/dates&gt;&lt;isbn&gt;0034-6527&lt;/isbn&gt;&lt;urls&gt;&lt;/urls&gt;&lt;/record&gt;&lt;/Cite&gt;&lt;/EndNote&gt;</w:instrText>
      </w:r>
      <w:r>
        <w:rPr>
          <w:rFonts w:eastAsia="AdvGulliv-R" w:cs="Times New Roman"/>
          <w:color w:val="000000"/>
          <w:kern w:val="1"/>
          <w:szCs w:val="24"/>
          <w:lang w:eastAsia="ar-SA"/>
        </w:rPr>
        <w:fldChar w:fldCharType="separate"/>
      </w:r>
      <w:r>
        <w:rPr>
          <w:rFonts w:eastAsia="AdvGulliv-R" w:cs="Times New Roman"/>
          <w:noProof/>
          <w:color w:val="000000"/>
          <w:kern w:val="1"/>
          <w:szCs w:val="24"/>
          <w:lang w:eastAsia="ar-SA"/>
        </w:rPr>
        <w:t>(Arellano &amp; Bond, 1991)</w:t>
      </w:r>
      <w:r>
        <w:rPr>
          <w:rFonts w:eastAsia="AdvGulliv-R" w:cs="Times New Roman"/>
          <w:color w:val="000000"/>
          <w:kern w:val="1"/>
          <w:szCs w:val="24"/>
          <w:lang w:eastAsia="ar-SA"/>
        </w:rPr>
        <w:fldChar w:fldCharType="end"/>
      </w:r>
      <w:r w:rsidRPr="0085021F">
        <w:rPr>
          <w:rFonts w:eastAsia="AdvGulliv-R" w:cs="Times New Roman"/>
          <w:color w:val="000000"/>
          <w:kern w:val="1"/>
          <w:szCs w:val="24"/>
          <w:lang w:eastAsia="ar-SA"/>
        </w:rPr>
        <w:t>. Hansen–</w:t>
      </w:r>
      <w:proofErr w:type="spellStart"/>
      <w:r w:rsidRPr="0085021F">
        <w:rPr>
          <w:rFonts w:eastAsia="AdvGulliv-R" w:cs="Times New Roman"/>
          <w:color w:val="000000"/>
          <w:kern w:val="1"/>
          <w:szCs w:val="24"/>
          <w:lang w:eastAsia="ar-SA"/>
        </w:rPr>
        <w:t>Sargan</w:t>
      </w:r>
      <w:proofErr w:type="spellEnd"/>
      <w:r w:rsidRPr="0085021F">
        <w:rPr>
          <w:rFonts w:eastAsia="AdvGulliv-R" w:cs="Times New Roman"/>
          <w:color w:val="000000"/>
          <w:kern w:val="1"/>
          <w:szCs w:val="24"/>
          <w:lang w:eastAsia="ar-SA"/>
        </w:rPr>
        <w:t xml:space="preserve"> J</w:t>
      </w:r>
      <w:r>
        <w:rPr>
          <w:rFonts w:eastAsia="AdvGulliv-R" w:cs="Times New Roman"/>
          <w:color w:val="000000"/>
          <w:kern w:val="1"/>
          <w:szCs w:val="24"/>
          <w:lang w:eastAsia="ar-SA"/>
        </w:rPr>
        <w:t>-t</w:t>
      </w:r>
      <w:r w:rsidRPr="0085021F">
        <w:rPr>
          <w:rFonts w:eastAsia="AdvGulliv-R" w:cs="Times New Roman"/>
          <w:color w:val="000000"/>
          <w:kern w:val="1"/>
          <w:szCs w:val="24"/>
          <w:lang w:eastAsia="ar-SA"/>
        </w:rPr>
        <w:t>est</w:t>
      </w:r>
      <w:r>
        <w:rPr>
          <w:rFonts w:eastAsia="AdvGulliv-R" w:cs="Times New Roman"/>
          <w:color w:val="000000"/>
          <w:kern w:val="1"/>
          <w:szCs w:val="24"/>
          <w:lang w:eastAsia="ar-SA"/>
        </w:rPr>
        <w:t xml:space="preserve"> was employed to test </w:t>
      </w:r>
      <w:r w:rsidRPr="0085021F">
        <w:rPr>
          <w:rFonts w:eastAsia="AdvGulliv-R" w:cs="Times New Roman"/>
          <w:color w:val="000000"/>
          <w:kern w:val="1"/>
          <w:szCs w:val="24"/>
          <w:lang w:eastAsia="ar-SA"/>
        </w:rPr>
        <w:t>for over-identifying restric</w:t>
      </w:r>
      <w:r>
        <w:rPr>
          <w:rFonts w:eastAsia="AdvGulliv-R" w:cs="Times New Roman"/>
          <w:color w:val="000000"/>
          <w:kern w:val="1"/>
          <w:szCs w:val="24"/>
          <w:lang w:eastAsia="ar-SA"/>
        </w:rPr>
        <w:t>tions and for checking</w:t>
      </w:r>
      <w:r w:rsidRPr="0085021F">
        <w:rPr>
          <w:rFonts w:eastAsia="AdvGulliv-R" w:cs="Times New Roman"/>
          <w:color w:val="000000"/>
          <w:kern w:val="1"/>
          <w:szCs w:val="24"/>
          <w:lang w:eastAsia="ar-SA"/>
        </w:rPr>
        <w:t xml:space="preserve"> the validity of the moment conditions</w:t>
      </w:r>
      <w:r>
        <w:rPr>
          <w:rFonts w:eastAsia="AdvGulliv-R" w:cs="Times New Roman"/>
          <w:color w:val="000000"/>
          <w:kern w:val="1"/>
          <w:szCs w:val="24"/>
          <w:lang w:eastAsia="ar-SA"/>
        </w:rPr>
        <w:t xml:space="preserve"> in our study</w:t>
      </w:r>
      <w:r w:rsidRPr="0085021F">
        <w:rPr>
          <w:rFonts w:eastAsia="AdvGulliv-R" w:cs="Times New Roman"/>
          <w:color w:val="000000"/>
          <w:kern w:val="1"/>
          <w:szCs w:val="24"/>
          <w:lang w:eastAsia="ar-SA"/>
        </w:rPr>
        <w:t xml:space="preserve"> </w:t>
      </w:r>
      <w:r>
        <w:rPr>
          <w:rFonts w:eastAsia="AdvGulliv-R" w:cs="Times New Roman"/>
          <w:color w:val="000000"/>
          <w:kern w:val="1"/>
          <w:szCs w:val="24"/>
          <w:lang w:eastAsia="ar-SA"/>
        </w:rPr>
        <w:fldChar w:fldCharType="begin"/>
      </w:r>
      <w:r w:rsidR="00327CEC">
        <w:rPr>
          <w:rFonts w:eastAsia="AdvGulliv-R" w:cs="Times New Roman"/>
          <w:color w:val="000000"/>
          <w:kern w:val="1"/>
          <w:szCs w:val="24"/>
          <w:lang w:eastAsia="ar-SA"/>
        </w:rPr>
        <w:instrText xml:space="preserve"> ADDIN EN.CITE &lt;EndNote&gt;&lt;Cite&gt;&lt;Author&gt;Sargan&lt;/Author&gt;&lt;Year&gt;1958&lt;/Year&gt;&lt;RecNum&gt;559&lt;/RecNum&gt;&lt;DisplayText&gt;(Hansen, 1982; Sargan, 1958)&lt;/DisplayText&gt;&lt;record&gt;&lt;rec-number&gt;559&lt;/rec-number&gt;&lt;foreign-keys&gt;&lt;key app="EN" db-id="s00xzp50xdvx90ea0ravv2dxzr2pdvrrzaff" timestamp="1452596067" guid="6fb07dbd-4528-4814-a75b-567336b2a296"&gt;559&lt;/key&gt;&lt;/foreign-keys&gt;&lt;ref-type name="Journal Article"&gt;17&lt;/ref-type&gt;&lt;contributors&gt;&lt;authors&gt;&lt;author&gt;Sargan, John D&lt;/author&gt;&lt;/authors&gt;&lt;/contributors&gt;&lt;titles&gt;&lt;title&gt;The estimation of economic relationships using instrumental variables&lt;/title&gt;&lt;secondary-title&gt;Econometrica: Journal of the Econometric Society&lt;/secondary-title&gt;&lt;/titles&gt;&lt;periodical&gt;&lt;full-title&gt;Econometrica: Journal of the Econometric Society&lt;/full-title&gt;&lt;/periodical&gt;&lt;pages&gt;393-415&lt;/pages&gt;&lt;dates&gt;&lt;year&gt;1958&lt;/year&gt;&lt;/dates&gt;&lt;isbn&gt;0012-9682&lt;/isbn&gt;&lt;urls&gt;&lt;/urls&gt;&lt;/record&gt;&lt;/Cite&gt;&lt;Cite&gt;&lt;Author&gt;Hansen&lt;/Author&gt;&lt;Year&gt;1982&lt;/Year&gt;&lt;RecNum&gt;560&lt;/RecNum&gt;&lt;record&gt;&lt;rec-number&gt;560&lt;/rec-number&gt;&lt;foreign-keys&gt;&lt;key app="EN" db-id="s00xzp50xdvx90ea0ravv2dxzr2pdvrrzaff" timestamp="1452596067" guid="45cace8b-c636-4713-8b76-cc191d2e7be8"&gt;560&lt;/key&gt;&lt;/foreign-keys&gt;&lt;ref-type name="Journal Article"&gt;17&lt;/ref-type&gt;&lt;contributors&gt;&lt;authors&gt;&lt;author&gt;Hansen, Lars Peter&lt;/author&gt;&lt;/authors&gt;&lt;/contributors&gt;&lt;titles&gt;&lt;title&gt;Large sample properties of generalized method of moments estimators&lt;/title&gt;&lt;secondary-title&gt;Econometrica: Journal of the Econometric Society&lt;/secondary-title&gt;&lt;/titles&gt;&lt;periodical&gt;&lt;full-title&gt;Econometrica: Journal of the Econometric Society&lt;/full-title&gt;&lt;/periodical&gt;&lt;pages&gt;1029-1054&lt;/pages&gt;&lt;dates&gt;&lt;year&gt;1982&lt;/year&gt;&lt;/dates&gt;&lt;isbn&gt;0012-9682&lt;/isbn&gt;&lt;urls&gt;&lt;/urls&gt;&lt;/record&gt;&lt;/Cite&gt;&lt;/EndNote&gt;</w:instrText>
      </w:r>
      <w:r>
        <w:rPr>
          <w:rFonts w:eastAsia="AdvGulliv-R" w:cs="Times New Roman"/>
          <w:color w:val="000000"/>
          <w:kern w:val="1"/>
          <w:szCs w:val="24"/>
          <w:lang w:eastAsia="ar-SA"/>
        </w:rPr>
        <w:fldChar w:fldCharType="separate"/>
      </w:r>
      <w:r>
        <w:rPr>
          <w:rFonts w:eastAsia="AdvGulliv-R" w:cs="Times New Roman"/>
          <w:noProof/>
          <w:color w:val="000000"/>
          <w:kern w:val="1"/>
          <w:szCs w:val="24"/>
          <w:lang w:eastAsia="ar-SA"/>
        </w:rPr>
        <w:t>(Hansen, 1982; Sargan, 1958)</w:t>
      </w:r>
      <w:r>
        <w:rPr>
          <w:rFonts w:eastAsia="AdvGulliv-R" w:cs="Times New Roman"/>
          <w:color w:val="000000"/>
          <w:kern w:val="1"/>
          <w:szCs w:val="24"/>
          <w:lang w:eastAsia="ar-SA"/>
        </w:rPr>
        <w:fldChar w:fldCharType="end"/>
      </w:r>
      <w:r>
        <w:rPr>
          <w:rFonts w:eastAsia="AdvGulliv-R" w:cs="Times New Roman"/>
          <w:color w:val="000000"/>
          <w:kern w:val="1"/>
          <w:szCs w:val="24"/>
          <w:lang w:eastAsia="ar-SA"/>
        </w:rPr>
        <w:t xml:space="preserve">. </w:t>
      </w:r>
      <w:r w:rsidRPr="0085021F">
        <w:rPr>
          <w:rFonts w:eastAsia="AdvGulliv-R" w:cs="Times New Roman"/>
          <w:color w:val="000000"/>
          <w:kern w:val="1"/>
          <w:szCs w:val="24"/>
          <w:lang w:eastAsia="ar-SA"/>
        </w:rPr>
        <w:t xml:space="preserve">The second test </w:t>
      </w:r>
      <w:r>
        <w:rPr>
          <w:rFonts w:eastAsia="AdvGulliv-R" w:cs="Times New Roman"/>
          <w:color w:val="000000"/>
          <w:kern w:val="1"/>
          <w:szCs w:val="24"/>
          <w:lang w:eastAsia="ar-SA"/>
        </w:rPr>
        <w:t>we carried out was the</w:t>
      </w:r>
      <w:r w:rsidRPr="0085021F">
        <w:rPr>
          <w:rFonts w:eastAsia="AdvGulliv-R" w:cs="Times New Roman"/>
          <w:color w:val="000000"/>
          <w:kern w:val="1"/>
          <w:szCs w:val="24"/>
          <w:lang w:eastAsia="ar-SA"/>
        </w:rPr>
        <w:t xml:space="preserve"> residual autocorrelation (AR)</w:t>
      </w:r>
      <w:r>
        <w:rPr>
          <w:rFonts w:eastAsia="AdvGulliv-R" w:cs="Times New Roman"/>
          <w:color w:val="000000"/>
          <w:kern w:val="1"/>
          <w:szCs w:val="24"/>
          <w:lang w:eastAsia="ar-SA"/>
        </w:rPr>
        <w:t xml:space="preserve">. This test allowed us to confirm </w:t>
      </w:r>
      <w:r w:rsidRPr="0085021F">
        <w:rPr>
          <w:rFonts w:eastAsia="AdvGulliv-R" w:cs="Times New Roman"/>
          <w:color w:val="000000"/>
          <w:kern w:val="1"/>
          <w:szCs w:val="24"/>
          <w:lang w:eastAsia="ar-SA"/>
        </w:rPr>
        <w:t xml:space="preserve">that the second order autocorrelation is zero. </w:t>
      </w:r>
      <w:r w:rsidRPr="00AB67AF">
        <w:rPr>
          <w:rFonts w:eastAsia="AdvGulliv-R" w:cs="Times New Roman"/>
          <w:color w:val="000000"/>
          <w:kern w:val="1"/>
          <w:szCs w:val="24"/>
          <w:lang w:eastAsia="ar-SA"/>
        </w:rPr>
        <w:t>Results of the two specification tests confirm that the null</w:t>
      </w:r>
      <w:r w:rsidRPr="0085021F">
        <w:rPr>
          <w:rFonts w:eastAsia="AdvGulliv-R" w:cs="Times New Roman"/>
          <w:color w:val="000000"/>
          <w:kern w:val="1"/>
          <w:szCs w:val="24"/>
          <w:lang w:eastAsia="ar-SA"/>
        </w:rPr>
        <w:t xml:space="preserve"> hypothesis of valid restrictions cannot</w:t>
      </w:r>
      <w:r>
        <w:rPr>
          <w:rFonts w:eastAsia="AdvGulliv-R" w:cs="Times New Roman"/>
          <w:color w:val="000000"/>
          <w:kern w:val="1"/>
          <w:szCs w:val="24"/>
          <w:lang w:eastAsia="ar-SA"/>
        </w:rPr>
        <w:t xml:space="preserve"> be rejected for all of our four</w:t>
      </w:r>
      <w:r w:rsidRPr="0085021F">
        <w:rPr>
          <w:rFonts w:eastAsia="AdvGulliv-R" w:cs="Times New Roman"/>
          <w:color w:val="000000"/>
          <w:kern w:val="1"/>
          <w:szCs w:val="24"/>
          <w:lang w:eastAsia="ar-SA"/>
        </w:rPr>
        <w:t xml:space="preserve"> models. </w:t>
      </w:r>
      <w:r>
        <w:rPr>
          <w:rFonts w:eastAsia="AdvGulliv-R" w:cs="Times New Roman"/>
          <w:color w:val="000000"/>
          <w:kern w:val="1"/>
          <w:szCs w:val="24"/>
          <w:lang w:eastAsia="ar-SA"/>
        </w:rPr>
        <w:t xml:space="preserve">More specifically, the results of </w:t>
      </w:r>
      <w:r w:rsidRPr="0085021F">
        <w:rPr>
          <w:rFonts w:eastAsia="AdvGulliv-R" w:cs="Times New Roman"/>
          <w:color w:val="000000"/>
          <w:kern w:val="1"/>
          <w:szCs w:val="24"/>
          <w:lang w:eastAsia="ar-SA"/>
        </w:rPr>
        <w:t>Hansen</w:t>
      </w:r>
      <w:r>
        <w:rPr>
          <w:rFonts w:eastAsia="AdvGulliv-R" w:cs="Times New Roman"/>
          <w:color w:val="000000"/>
          <w:kern w:val="1"/>
          <w:szCs w:val="24"/>
          <w:lang w:eastAsia="ar-SA"/>
        </w:rPr>
        <w:t xml:space="preserve"> test suggest</w:t>
      </w:r>
      <w:r w:rsidRPr="0085021F">
        <w:rPr>
          <w:rFonts w:eastAsia="AdvGulliv-R" w:cs="Times New Roman"/>
          <w:color w:val="000000"/>
          <w:kern w:val="1"/>
          <w:szCs w:val="24"/>
          <w:lang w:eastAsia="ar-SA"/>
        </w:rPr>
        <w:t xml:space="preserve"> that the instruments used in </w:t>
      </w:r>
      <w:r>
        <w:rPr>
          <w:rFonts w:eastAsia="AdvGulliv-R" w:cs="Times New Roman"/>
          <w:color w:val="000000"/>
          <w:kern w:val="1"/>
          <w:szCs w:val="24"/>
          <w:lang w:eastAsia="ar-SA"/>
        </w:rPr>
        <w:t xml:space="preserve">our </w:t>
      </w:r>
      <w:r w:rsidRPr="0085021F">
        <w:rPr>
          <w:rFonts w:eastAsia="AdvGulliv-R" w:cs="Times New Roman"/>
          <w:color w:val="000000"/>
          <w:kern w:val="1"/>
          <w:szCs w:val="24"/>
          <w:lang w:eastAsia="ar-SA"/>
        </w:rPr>
        <w:t>mod</w:t>
      </w:r>
      <w:r>
        <w:rPr>
          <w:rFonts w:eastAsia="AdvGulliv-R" w:cs="Times New Roman"/>
          <w:color w:val="000000"/>
          <w:kern w:val="1"/>
          <w:szCs w:val="24"/>
          <w:lang w:eastAsia="ar-SA"/>
        </w:rPr>
        <w:t xml:space="preserve">els are valid and the results of the </w:t>
      </w:r>
      <w:r w:rsidRPr="0085021F">
        <w:rPr>
          <w:rFonts w:eastAsia="AdvGulliv-R" w:cs="Times New Roman"/>
          <w:color w:val="000000"/>
          <w:kern w:val="1"/>
          <w:szCs w:val="24"/>
          <w:lang w:eastAsia="ar-SA"/>
        </w:rPr>
        <w:t>residual autocorrelation</w:t>
      </w:r>
      <w:r>
        <w:rPr>
          <w:rFonts w:eastAsia="AdvGulliv-R" w:cs="Times New Roman"/>
          <w:color w:val="000000"/>
          <w:kern w:val="1"/>
          <w:szCs w:val="24"/>
          <w:lang w:eastAsia="ar-SA"/>
        </w:rPr>
        <w:t xml:space="preserve"> test show</w:t>
      </w:r>
      <w:r w:rsidRPr="0085021F">
        <w:rPr>
          <w:rFonts w:eastAsia="AdvGulliv-R" w:cs="Times New Roman"/>
          <w:color w:val="000000"/>
          <w:kern w:val="1"/>
          <w:szCs w:val="24"/>
          <w:lang w:eastAsia="ar-SA"/>
        </w:rPr>
        <w:t xml:space="preserve"> no </w:t>
      </w:r>
      <w:r>
        <w:rPr>
          <w:rFonts w:eastAsia="AdvGulliv-R" w:cs="Times New Roman"/>
          <w:color w:val="000000"/>
          <w:kern w:val="1"/>
          <w:szCs w:val="24"/>
          <w:lang w:eastAsia="ar-SA"/>
        </w:rPr>
        <w:t xml:space="preserve">signs of </w:t>
      </w:r>
      <w:r w:rsidRPr="0085021F">
        <w:rPr>
          <w:rFonts w:eastAsia="AdvGulliv-R" w:cs="Times New Roman"/>
          <w:color w:val="000000"/>
          <w:kern w:val="1"/>
          <w:szCs w:val="24"/>
          <w:lang w:eastAsia="ar-SA"/>
        </w:rPr>
        <w:t xml:space="preserve">serial autocorrelation of </w:t>
      </w:r>
      <w:r>
        <w:rPr>
          <w:rFonts w:eastAsia="AdvGulliv-R" w:cs="Times New Roman"/>
          <w:color w:val="000000"/>
          <w:kern w:val="1"/>
          <w:szCs w:val="24"/>
          <w:lang w:eastAsia="ar-SA"/>
        </w:rPr>
        <w:t xml:space="preserve">the </w:t>
      </w:r>
      <w:r w:rsidRPr="0085021F">
        <w:rPr>
          <w:rFonts w:eastAsia="AdvGulliv-R" w:cs="Times New Roman"/>
          <w:color w:val="000000"/>
          <w:kern w:val="1"/>
          <w:szCs w:val="24"/>
          <w:lang w:eastAsia="ar-SA"/>
        </w:rPr>
        <w:t xml:space="preserve">second order (AR2) in any of </w:t>
      </w:r>
      <w:r>
        <w:rPr>
          <w:rFonts w:eastAsia="AdvGulliv-R" w:cs="Times New Roman"/>
          <w:color w:val="000000"/>
          <w:kern w:val="1"/>
          <w:szCs w:val="24"/>
          <w:lang w:eastAsia="ar-SA"/>
        </w:rPr>
        <w:t>our</w:t>
      </w:r>
      <w:r w:rsidRPr="0085021F">
        <w:rPr>
          <w:rFonts w:eastAsia="AdvGulliv-R" w:cs="Times New Roman"/>
          <w:color w:val="000000"/>
          <w:kern w:val="1"/>
          <w:szCs w:val="24"/>
          <w:lang w:eastAsia="ar-SA"/>
        </w:rPr>
        <w:t xml:space="preserve"> models.</w:t>
      </w:r>
    </w:p>
    <w:p w14:paraId="00726A2A" w14:textId="77777777" w:rsidR="00DC6089" w:rsidRDefault="00DC6089" w:rsidP="0092047F">
      <w:pPr>
        <w:pStyle w:val="NoSpacing"/>
        <w:rPr>
          <w:lang w:eastAsia="en-GB"/>
        </w:rPr>
      </w:pPr>
      <w:bookmarkStart w:id="3" w:name="_Ref413414865"/>
      <w:bookmarkStart w:id="4" w:name="_Ref413420075"/>
    </w:p>
    <w:p w14:paraId="405F7173" w14:textId="77777777" w:rsidR="00DC6089" w:rsidRPr="00C20A52" w:rsidRDefault="00DC6089" w:rsidP="0092047F">
      <w:pPr>
        <w:spacing w:after="0"/>
        <w:jc w:val="center"/>
        <w:rPr>
          <w:rFonts w:eastAsia="Calibri" w:cs="Times New Roman"/>
          <w:szCs w:val="24"/>
        </w:rPr>
      </w:pPr>
      <w:r w:rsidRPr="00C20A52">
        <w:rPr>
          <w:rFonts w:cs="Times New Roman"/>
          <w:b/>
          <w:szCs w:val="24"/>
        </w:rPr>
        <w:t xml:space="preserve"> [Insert Table </w:t>
      </w:r>
      <w:r>
        <w:rPr>
          <w:rFonts w:cs="Times New Roman"/>
          <w:b/>
          <w:szCs w:val="24"/>
        </w:rPr>
        <w:t>3</w:t>
      </w:r>
      <w:r w:rsidRPr="00C20A52">
        <w:rPr>
          <w:rFonts w:cs="Times New Roman"/>
          <w:b/>
          <w:szCs w:val="24"/>
        </w:rPr>
        <w:t xml:space="preserve"> about here]</w:t>
      </w:r>
    </w:p>
    <w:p w14:paraId="3B031641" w14:textId="77777777" w:rsidR="00DC6089" w:rsidRDefault="00DC6089" w:rsidP="0092047F">
      <w:pPr>
        <w:pStyle w:val="Heading2"/>
      </w:pPr>
      <w:bookmarkStart w:id="5" w:name="_Toc358021649"/>
      <w:bookmarkEnd w:id="3"/>
      <w:bookmarkEnd w:id="4"/>
      <w:r>
        <w:lastRenderedPageBreak/>
        <w:t>NCI</w:t>
      </w:r>
      <w:r w:rsidRPr="001C037A">
        <w:t xml:space="preserve"> and </w:t>
      </w:r>
      <w:r>
        <w:t>shareholder value</w:t>
      </w:r>
      <w:bookmarkEnd w:id="5"/>
    </w:p>
    <w:p w14:paraId="5081B62E" w14:textId="77777777" w:rsidR="00DC6089" w:rsidRDefault="00DC6089" w:rsidP="0092047F">
      <w:pPr>
        <w:rPr>
          <w:lang w:eastAsia="en-GB"/>
        </w:rPr>
      </w:pPr>
      <w:r>
        <w:rPr>
          <w:lang w:eastAsia="en-GB"/>
        </w:rPr>
        <w:t>The distribution of coefficients of our GMM regression model across 86 UK financial firms are presented in Table 4. This table</w:t>
      </w:r>
      <w:r w:rsidRPr="00D10DE3">
        <w:rPr>
          <w:lang w:eastAsia="en-GB"/>
        </w:rPr>
        <w:t xml:space="preserve"> is divided into </w:t>
      </w:r>
      <w:r>
        <w:rPr>
          <w:lang w:eastAsia="en-GB"/>
        </w:rPr>
        <w:t>four models</w:t>
      </w:r>
      <w:r w:rsidRPr="00D10DE3">
        <w:rPr>
          <w:lang w:eastAsia="en-GB"/>
        </w:rPr>
        <w:t xml:space="preserve">. The first </w:t>
      </w:r>
      <w:r>
        <w:rPr>
          <w:lang w:eastAsia="en-GB"/>
        </w:rPr>
        <w:t>model</w:t>
      </w:r>
      <w:r w:rsidRPr="00D10DE3">
        <w:rPr>
          <w:lang w:eastAsia="en-GB"/>
        </w:rPr>
        <w:t xml:space="preserve"> reports</w:t>
      </w:r>
      <w:r>
        <w:rPr>
          <w:lang w:eastAsia="en-GB"/>
        </w:rPr>
        <w:t xml:space="preserve"> the results with TSR as the dependant variable for the pre-crisis period</w:t>
      </w:r>
      <w:r w:rsidRPr="00D10DE3">
        <w:rPr>
          <w:lang w:eastAsia="en-GB"/>
        </w:rPr>
        <w:t xml:space="preserve"> while the second </w:t>
      </w:r>
      <w:r>
        <w:rPr>
          <w:lang w:eastAsia="en-GB"/>
        </w:rPr>
        <w:t>model</w:t>
      </w:r>
      <w:r w:rsidRPr="00D10DE3">
        <w:rPr>
          <w:lang w:eastAsia="en-GB"/>
        </w:rPr>
        <w:t xml:space="preserve"> documents </w:t>
      </w:r>
      <w:r>
        <w:rPr>
          <w:lang w:eastAsia="en-GB"/>
        </w:rPr>
        <w:t>the results with ROE as the dependant variable for the pre-crisis period</w:t>
      </w:r>
      <w:r w:rsidRPr="00D10DE3">
        <w:rPr>
          <w:lang w:eastAsia="en-GB"/>
        </w:rPr>
        <w:t xml:space="preserve">. The final </w:t>
      </w:r>
      <w:r>
        <w:rPr>
          <w:lang w:eastAsia="en-GB"/>
        </w:rPr>
        <w:t>two models present the results for the two dependent variable</w:t>
      </w:r>
      <w:r w:rsidRPr="00D10DE3">
        <w:rPr>
          <w:lang w:eastAsia="en-GB"/>
        </w:rPr>
        <w:t xml:space="preserve"> </w:t>
      </w:r>
      <w:r>
        <w:rPr>
          <w:lang w:eastAsia="en-GB"/>
        </w:rPr>
        <w:t>during the crisis period.</w:t>
      </w:r>
    </w:p>
    <w:p w14:paraId="1B36D12A" w14:textId="4766A5D6" w:rsidR="00DC6089" w:rsidRDefault="00DC6089" w:rsidP="0092047F">
      <w:pPr>
        <w:rPr>
          <w:noProof/>
          <w:lang w:eastAsia="en-GB"/>
        </w:rPr>
      </w:pPr>
      <w:r>
        <w:rPr>
          <w:lang w:eastAsia="en-GB"/>
        </w:rPr>
        <w:t xml:space="preserve">As reported in Table 4, </w:t>
      </w:r>
      <w:r w:rsidRPr="00D10DE3">
        <w:rPr>
          <w:lang w:eastAsia="en-GB"/>
        </w:rPr>
        <w:t>the</w:t>
      </w:r>
      <w:r w:rsidRPr="00467BF5">
        <w:rPr>
          <w:lang w:eastAsia="en-GB"/>
        </w:rPr>
        <w:t xml:space="preserve"> main explanatory variab</w:t>
      </w:r>
      <w:r>
        <w:rPr>
          <w:lang w:eastAsia="en-GB"/>
        </w:rPr>
        <w:t>le of the study, NCI, is</w:t>
      </w:r>
      <w:r w:rsidRPr="00467BF5">
        <w:rPr>
          <w:lang w:eastAsia="en-GB"/>
        </w:rPr>
        <w:t xml:space="preserve"> </w:t>
      </w:r>
      <w:r>
        <w:rPr>
          <w:lang w:eastAsia="en-GB"/>
        </w:rPr>
        <w:t xml:space="preserve">negatively associated with both measures of shareholder value. It is also evident from the results in Table 4 that the negative association between NCI and shareholder value is stronger during the financial crisis period and the results are significant. We therefore accept </w:t>
      </w:r>
      <w:r w:rsidRPr="009009F6">
        <w:rPr>
          <w:b/>
          <w:i/>
          <w:lang w:eastAsia="en-GB"/>
        </w:rPr>
        <w:t>H</w:t>
      </w:r>
      <w:r w:rsidRPr="00B32CEC">
        <w:rPr>
          <w:b/>
          <w:i/>
          <w:vertAlign w:val="subscript"/>
          <w:lang w:eastAsia="en-GB"/>
        </w:rPr>
        <w:t>1</w:t>
      </w:r>
      <w:r>
        <w:rPr>
          <w:lang w:eastAsia="en-GB"/>
        </w:rPr>
        <w:t xml:space="preserve"> which predicts</w:t>
      </w:r>
      <w:r w:rsidRPr="009009F6">
        <w:rPr>
          <w:lang w:eastAsia="en-GB"/>
        </w:rPr>
        <w:t xml:space="preserve"> a negative relationship between the level</w:t>
      </w:r>
      <w:r>
        <w:rPr>
          <w:lang w:eastAsia="en-GB"/>
        </w:rPr>
        <w:t xml:space="preserve"> of non-compliance with the UK CGC</w:t>
      </w:r>
      <w:r w:rsidRPr="009009F6">
        <w:rPr>
          <w:lang w:eastAsia="en-GB"/>
        </w:rPr>
        <w:t xml:space="preserve"> and the </w:t>
      </w:r>
      <w:r>
        <w:rPr>
          <w:lang w:eastAsia="en-GB"/>
        </w:rPr>
        <w:t>shareholder value for</w:t>
      </w:r>
      <w:r w:rsidRPr="009009F6">
        <w:rPr>
          <w:lang w:eastAsia="en-GB"/>
        </w:rPr>
        <w:t xml:space="preserve"> financial firms</w:t>
      </w:r>
      <w:r>
        <w:rPr>
          <w:lang w:eastAsia="en-GB"/>
        </w:rPr>
        <w:t>.</w:t>
      </w:r>
      <w:r w:rsidRPr="009009F6">
        <w:rPr>
          <w:lang w:eastAsia="en-GB"/>
        </w:rPr>
        <w:t xml:space="preserve"> </w:t>
      </w:r>
      <w:r>
        <w:rPr>
          <w:lang w:eastAsia="en-GB"/>
        </w:rPr>
        <w:t xml:space="preserve">This result supports the view that non-compliance with a prescribed code of good corporate governance could have negative implications for shareholder value. This finding is consistent with the existing literature in this area </w:t>
      </w:r>
      <w:r>
        <w:rPr>
          <w:lang w:eastAsia="en-GB"/>
        </w:rPr>
        <w:fldChar w:fldCharType="begin">
          <w:fldData xml:space="preserve">PEVuZE5vdGU+PENpdGU+PEF1dGhvcj5Hb21wZXJzPC9BdXRob3I+PFllYXI+MjAwMzwvWWVhcj48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</w:fldData>
        </w:fldChar>
      </w:r>
      <w:r w:rsidR="00327CEC">
        <w:rPr>
          <w:lang w:eastAsia="en-GB"/>
        </w:rPr>
        <w:instrText xml:space="preserve"> ADDIN EN.CITE </w:instrText>
      </w:r>
      <w:r w:rsidR="00327CEC">
        <w:rPr>
          <w:lang w:eastAsia="en-GB"/>
        </w:rPr>
        <w:fldChar w:fldCharType="begin">
          <w:fldData xml:space="preserve">PEVuZE5vdGU+PENpdGU+PEF1dGhvcj5Hb21wZXJzPC9BdXRob3I+PFllYXI+MjAwMzwvWWVhcj48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</w:fldData>
        </w:fldChar>
      </w:r>
      <w:r w:rsidR="00327CEC">
        <w:rPr>
          <w:lang w:eastAsia="en-GB"/>
        </w:rPr>
        <w:instrText xml:space="preserve"> ADDIN EN.CITE.DATA </w:instrText>
      </w:r>
      <w:r w:rsidR="00327CEC">
        <w:rPr>
          <w:lang w:eastAsia="en-GB"/>
        </w:rPr>
      </w:r>
      <w:r w:rsidR="00327CEC">
        <w:rPr>
          <w:lang w:eastAsia="en-GB"/>
        </w:rPr>
        <w:fldChar w:fldCharType="end"/>
      </w:r>
      <w:r>
        <w:rPr>
          <w:lang w:eastAsia="en-GB"/>
        </w:rPr>
      </w:r>
      <w:r>
        <w:rPr>
          <w:lang w:eastAsia="en-GB"/>
        </w:rPr>
        <w:fldChar w:fldCharType="separate"/>
      </w:r>
      <w:r w:rsidR="000A7F09">
        <w:rPr>
          <w:noProof/>
          <w:lang w:eastAsia="en-GB"/>
        </w:rPr>
        <w:t>(Bebchuk, Cohen, &amp; Ferrell, 2009; Farag et al., 2014; Gompers et al., 2003)</w:t>
      </w:r>
      <w:r>
        <w:rPr>
          <w:lang w:eastAsia="en-GB"/>
        </w:rPr>
        <w:fldChar w:fldCharType="end"/>
      </w:r>
      <w:r>
        <w:rPr>
          <w:noProof/>
          <w:lang w:eastAsia="en-GB"/>
        </w:rPr>
        <w:t xml:space="preserve">. Non-compliance with the prescribed code of good governance may inidicate that such firms have weak monitoring and control mechanisms, which may lead to a decrease in shareholders’ wealth as advocated by agency theory. </w:t>
      </w:r>
      <w:r>
        <w:rPr>
          <w:noProof/>
          <w:lang w:eastAsia="en-GB"/>
        </w:rPr>
        <w:fldChar w:fldCharType="begin"/>
      </w:r>
      <w:r w:rsidR="00327CEC">
        <w:rPr>
          <w:noProof/>
          <w:lang w:eastAsia="en-GB"/>
        </w:rPr>
        <w:instrText xml:space="preserve"> ADDIN EN.CITE &lt;EndNote&gt;&lt;Cite AuthorYear="1"&gt;&lt;Author&gt;Hooghiemstra&lt;/Author&gt;&lt;Year&gt;2011&lt;/Year&gt;&lt;RecNum&gt;1144&lt;/RecNum&gt;&lt;DisplayText&gt;Hooghiemstra and van Ees (2011)&lt;/DisplayText&gt;&lt;record&gt;&lt;rec-number&gt;1144&lt;/rec-number&gt;&lt;foreign-keys&gt;&lt;key app="EN" db-id="s00xzp50xdvx90ea0ravv2dxzr2pdvrrzaff" timestamp="1576873524" guid="592c5883-12c8-4958-9e47-0beb9899ad53"&gt;1144&lt;/key&gt;&lt;/foreign-keys&gt;&lt;ref-type name="Journal Article"&gt;17&lt;/ref-type&gt;&lt;contributors&gt;&lt;authors&gt;&lt;author&gt;Hooghiemstra, Reggy&lt;/author&gt;&lt;author&gt;van Ees, Hans&lt;/author&gt;&lt;/authors&gt;&lt;/contributors&gt;&lt;titles&gt;&lt;title&gt;Uniformity as response to soft law: Evidence from compliance and non-compliance with the Dutch corporate governance code&lt;/title&gt;&lt;secondary-title&gt;Regulation &amp;amp; Governance&lt;/secondary-title&gt;&lt;/titles&gt;&lt;periodical&gt;&lt;full-title&gt;Regulation &amp;amp; Governance&lt;/full-title&gt;&lt;/periodical&gt;&lt;pages&gt;480-498&lt;/pages&gt;&lt;volume&gt;5&lt;/volume&gt;&lt;number&gt;4&lt;/number&gt;&lt;dates&gt;&lt;year&gt;2011&lt;/year&gt;&lt;/dates&gt;&lt;isbn&gt;1748-5983&lt;/isbn&gt;&lt;urls&gt;&lt;related-urls&gt;&lt;url&gt;https://onlinelibrary.wiley.com/doi/abs/10.1111/j.1748-5991.2011.01118.x&lt;/url&gt;&lt;/related-urls&gt;&lt;/urls&gt;&lt;electronic-resource-num&gt;10.1111/j.1748-5991.2011.01118.x&lt;/electronic-resource-num&gt;&lt;/record&gt;&lt;/Cite&gt;&lt;/EndNote&gt;</w:instrText>
      </w:r>
      <w:r>
        <w:rPr>
          <w:noProof/>
          <w:lang w:eastAsia="en-GB"/>
        </w:rPr>
        <w:fldChar w:fldCharType="separate"/>
      </w:r>
      <w:r>
        <w:rPr>
          <w:noProof/>
          <w:lang w:eastAsia="en-GB"/>
        </w:rPr>
        <w:t>Hooghiemstra and van Ees (2011)</w:t>
      </w:r>
      <w:r>
        <w:rPr>
          <w:noProof/>
          <w:lang w:eastAsia="en-GB"/>
        </w:rPr>
        <w:fldChar w:fldCharType="end"/>
      </w:r>
      <w:r>
        <w:rPr>
          <w:noProof/>
          <w:lang w:eastAsia="en-GB"/>
        </w:rPr>
        <w:t xml:space="preserve"> report that when firms are given a choice of ‘comply or explain’ they tend to comply.</w:t>
      </w:r>
      <w:r w:rsidRPr="00B83A19">
        <w:rPr>
          <w:noProof/>
          <w:lang w:eastAsia="en-GB"/>
        </w:rPr>
        <w:t xml:space="preserve"> </w:t>
      </w:r>
      <w:r>
        <w:rPr>
          <w:noProof/>
          <w:lang w:eastAsia="en-GB"/>
        </w:rPr>
        <w:t>These results provide further justification as to why this is the case, as non-compliance may be perceived as weak governance by shareholders.</w:t>
      </w:r>
    </w:p>
    <w:p w14:paraId="2102FE05" w14:textId="1353E041" w:rsidR="00DC6089" w:rsidRDefault="00DC6089" w:rsidP="0092047F">
      <w:pPr>
        <w:rPr>
          <w:rFonts w:cs="Times New Roman"/>
          <w:b/>
          <w:szCs w:val="24"/>
        </w:rPr>
      </w:pPr>
      <w:r w:rsidRPr="00C226F6">
        <w:rPr>
          <w:noProof/>
          <w:lang w:eastAsia="en-GB"/>
        </w:rPr>
        <w:t xml:space="preserve">Since the time period of the current study includes an economic time period where financial firms around the world faced extreme financing difficulties and reported poor </w:t>
      </w:r>
      <w:r>
        <w:rPr>
          <w:noProof/>
          <w:lang w:eastAsia="en-GB"/>
        </w:rPr>
        <w:t>performance, i</w:t>
      </w:r>
      <w:r w:rsidRPr="00C226F6">
        <w:rPr>
          <w:noProof/>
          <w:lang w:eastAsia="en-GB"/>
        </w:rPr>
        <w:t xml:space="preserve">t is therefore possible that the decline in shareholder value may have been a result of the external shock rather than non-compliance. Persisting with the argument that good </w:t>
      </w:r>
      <w:r w:rsidRPr="00C226F6">
        <w:rPr>
          <w:noProof/>
          <w:lang w:eastAsia="en-GB"/>
        </w:rPr>
        <w:lastRenderedPageBreak/>
        <w:t xml:space="preserve">corporate governance makes firms more resilient to shocks in external markets, we divided our sample into compliant and non-compliant firms on the basis of NCI score </w:t>
      </w:r>
      <w:r>
        <w:rPr>
          <w:noProof/>
          <w:lang w:eastAsia="en-GB"/>
        </w:rPr>
        <w:t xml:space="preserve">to </w:t>
      </w:r>
      <w:r w:rsidRPr="00C226F6">
        <w:rPr>
          <w:noProof/>
          <w:lang w:eastAsia="en-GB"/>
        </w:rPr>
        <w:t>compare their results during the crisis period (2007–2010).</w:t>
      </w:r>
      <w:r>
        <w:rPr>
          <w:noProof/>
          <w:lang w:eastAsia="en-GB"/>
        </w:rPr>
        <w:t xml:space="preserve"> We constructed two groups, ‘Compliant firms’ with an NCI score of less than 7</w:t>
      </w:r>
      <w:r>
        <w:rPr>
          <w:rStyle w:val="EndnoteReference"/>
          <w:noProof/>
          <w:lang w:eastAsia="en-GB"/>
        </w:rPr>
        <w:endnoteReference w:id="10"/>
      </w:r>
      <w:r>
        <w:rPr>
          <w:noProof/>
          <w:lang w:eastAsia="en-GB"/>
        </w:rPr>
        <w:t xml:space="preserve">, and ‘Non-compliant firms’ with an NCI of 7 or more. Results in Panle A of Table </w:t>
      </w:r>
      <w:r w:rsidRPr="007D0E43">
        <w:rPr>
          <w:noProof/>
          <w:lang w:eastAsia="en-GB"/>
        </w:rPr>
        <w:t xml:space="preserve">5 </w:t>
      </w:r>
      <w:r>
        <w:rPr>
          <w:noProof/>
          <w:lang w:eastAsia="en-GB"/>
        </w:rPr>
        <w:t>highlight that the percentage losses (fall in ROE) suffered by ‘Non-compliant firms’ is significantly more than the losses experienced by ‘Compliant firms’ during the crisis period.</w:t>
      </w:r>
      <w:r w:rsidRPr="008926C3">
        <w:t xml:space="preserve"> </w:t>
      </w:r>
      <w:r>
        <w:rPr>
          <w:noProof/>
          <w:lang w:eastAsia="en-GB"/>
        </w:rPr>
        <w:t xml:space="preserve">This supports our conjecture that complaint firms are more resilient to </w:t>
      </w:r>
      <w:r w:rsidRPr="00F11D19">
        <w:rPr>
          <w:noProof/>
          <w:lang w:eastAsia="en-GB"/>
        </w:rPr>
        <w:t>negative effects of adverse economic conditions, such as, the financial crisis</w:t>
      </w:r>
    </w:p>
    <w:p w14:paraId="0AD7BD6B" w14:textId="7A7BD1D2" w:rsidR="00DC6089" w:rsidRPr="00545E4F" w:rsidRDefault="00DC6089" w:rsidP="0092047F">
      <w:pPr>
        <w:rPr>
          <w:lang w:eastAsia="en-GB"/>
        </w:rPr>
      </w:pPr>
      <w:r w:rsidRPr="000A2D43">
        <w:rPr>
          <w:noProof/>
          <w:lang w:eastAsia="en-GB"/>
        </w:rPr>
        <w:t xml:space="preserve">Our results </w:t>
      </w:r>
      <w:r>
        <w:rPr>
          <w:noProof/>
          <w:lang w:eastAsia="en-GB"/>
        </w:rPr>
        <w:t>extend the findings of</w:t>
      </w:r>
      <w:r w:rsidRPr="000A2D43">
        <w:rPr>
          <w:noProof/>
          <w:lang w:eastAsia="en-GB"/>
        </w:rPr>
        <w:t xml:space="preserve"> previously published UK studies in this area. For example, </w:t>
      </w:r>
      <w:r w:rsidRPr="000A2D43">
        <w:rPr>
          <w:noProof/>
          <w:lang w:eastAsia="en-GB"/>
        </w:rPr>
        <w:fldChar w:fldCharType="begin"/>
      </w:r>
      <w:r w:rsidR="00327CEC">
        <w:rPr>
          <w:noProof/>
          <w:lang w:eastAsia="en-GB"/>
        </w:rPr>
        <w:instrText xml:space="preserve"> ADDIN EN.CITE &lt;EndNote&gt;&lt;Cite AuthorYear="1"&gt;&lt;Author&gt;Dahya&lt;/Author&gt;&lt;Year&gt;2007&lt;/Year&gt;&lt;RecNum&gt;253&lt;/RecNum&gt;&lt;DisplayText&gt;Dahya and McConnell (2007)&lt;/DisplayText&gt;&lt;record&gt;&lt;rec-number&gt;253&lt;/rec-number&gt;&lt;foreign-keys&gt;&lt;key app="EN" db-id="s00xzp50xdvx90ea0ravv2dxzr2pdvrrzaff" timestamp="1452197974" guid="a70f22a2-91db-4c9f-9fc5-170c3a3acb51"&gt;253&lt;/key&gt;&lt;/foreign-keys&gt;&lt;ref-type name="Journal Article"&gt;17&lt;/ref-type&gt;&lt;contributors&gt;&lt;authors&gt;&lt;author&gt;Dahya, Jay&lt;/author&gt;&lt;author&gt;McConnell, John&lt;/author&gt;&lt;/authors&gt;&lt;/contributors&gt;&lt;titles&gt;&lt;title&gt;Board composition, corporate performance, and the cadbury committee recommendation&lt;/title&gt;&lt;secondary-title&gt;Journal of Financial &amp;amp; Quantitative Analysis&lt;/secondary-title&gt;&lt;/titles&gt;&lt;periodical&gt;&lt;full-title&gt;Journal of Financial &amp;amp; Quantitative Analysis&lt;/full-title&gt;&lt;/periodical&gt;&lt;pages&gt;535-564&lt;/pages&gt;&lt;volume&gt;42&lt;/volume&gt;&lt;number&gt;3&lt;/number&gt;&lt;keywords&gt;&lt;keyword&gt;CORPORATE governance&lt;/keyword&gt;&lt;keyword&gt;DIRECTORS of corporations&lt;/keyword&gt;&lt;keyword&gt;RETURN on assets&lt;/keyword&gt;&lt;keyword&gt;CORPORATIONS&lt;/keyword&gt;&lt;keyword&gt;EXECUTIVES&lt;/keyword&gt;&lt;keyword&gt;GREAT Britain&lt;/keyword&gt;&lt;/keywords&gt;&lt;dates&gt;&lt;year&gt;2007&lt;/year&gt;&lt;/dates&gt;&lt;publisher&gt;Cambridge University Press&lt;/publisher&gt;&lt;isbn&gt;00221090&lt;/isbn&gt;&lt;urls&gt;&lt;related-urls&gt;&lt;url&gt;http://libezproxy.open.ac.uk/login?url=http://search.ebscohost.com/login.aspx?direct=true&amp;amp;db=bth&amp;amp;AN=26847689&amp;amp;site=ehost-live&amp;amp;scope=site&lt;/url&gt;&lt;/related-urls&gt;&lt;/urls&gt;&lt;/record&gt;&lt;/Cite&gt;&lt;/EndNote&gt;</w:instrText>
      </w:r>
      <w:r w:rsidRPr="000A2D43">
        <w:rPr>
          <w:noProof/>
          <w:lang w:eastAsia="en-GB"/>
        </w:rPr>
        <w:fldChar w:fldCharType="separate"/>
      </w:r>
      <w:r w:rsidRPr="000A2D43">
        <w:rPr>
          <w:noProof/>
          <w:lang w:eastAsia="en-GB"/>
        </w:rPr>
        <w:t>Dahya and McConnell (2007)</w:t>
      </w:r>
      <w:r w:rsidRPr="000A2D43">
        <w:rPr>
          <w:noProof/>
          <w:lang w:eastAsia="en-GB"/>
        </w:rPr>
        <w:fldChar w:fldCharType="end"/>
      </w:r>
      <w:r w:rsidRPr="000A2D43">
        <w:rPr>
          <w:noProof/>
          <w:lang w:eastAsia="en-GB"/>
        </w:rPr>
        <w:t xml:space="preserve">, and </w:t>
      </w:r>
      <w:r w:rsidRPr="00E31208">
        <w:rPr>
          <w:lang w:eastAsia="en-GB"/>
        </w:rPr>
        <w:fldChar w:fldCharType="begin"/>
      </w:r>
      <w:r w:rsidR="00327CEC">
        <w:rPr>
          <w:lang w:eastAsia="en-GB"/>
        </w:rPr>
        <w:instrText xml:space="preserve"> ADDIN EN.CITE &lt;EndNote&gt;&lt;Cite AuthorYear="1"&gt;&lt;Author&gt;Shrives&lt;/Author&gt;&lt;Year&gt;2015&lt;/Year&gt;&lt;RecNum&gt;873&lt;/RecNum&gt;&lt;DisplayText&gt;Shrives and Brennan (2015)&lt;/DisplayText&gt;&lt;record&gt;&lt;rec-number&gt;873&lt;/rec-number&gt;&lt;foreign-keys&gt;&lt;key app="EN" db-id="s00xzp50xdvx90ea0ravv2dxzr2pdvrrzaff" timestamp="1492513158" guid="9958962a-20d9-4c03-81a3-dc98b3d4169a"&gt;873&lt;/key&gt;&lt;/foreign-keys&gt;&lt;ref-type name="Journal Article"&gt;17&lt;/ref-type&gt;&lt;contributors&gt;&lt;authors&gt;&lt;author&gt;Shrives, Philip J.&lt;/author&gt;&lt;author&gt;Brennan, Niamh M.&lt;/author&gt;&lt;/authors&gt;&lt;/contributors&gt;&lt;titles&gt;&lt;title&gt;A typology for exploring the quality of explanations for non-compliance with UK corporate governance regulations&lt;/title&gt;&lt;secondary-title&gt;The British Accounting Review&lt;/secondary-title&gt;&lt;/titles&gt;&lt;periodical&gt;&lt;full-title&gt;The British Accounting Review&lt;/full-title&gt;&lt;/periodical&gt;&lt;pages&gt;85-99&lt;/pages&gt;&lt;volume&gt;47&lt;/volume&gt;&lt;number&gt;1&lt;/number&gt;&lt;keywords&gt;&lt;keyword&gt;Corporate governance&lt;/keyword&gt;&lt;keyword&gt;Comply-or-explain&lt;/keyword&gt;&lt;keyword&gt;Non-compliance&lt;/keyword&gt;&lt;keyword&gt;Explanation&lt;/keyword&gt;&lt;keyword&gt;Quality of explanations&lt;/keyword&gt;&lt;keyword&gt;Typology&lt;/keyword&gt;&lt;/keywords&gt;&lt;dates&gt;&lt;year&gt;2015&lt;/year&gt;&lt;pub-dates&gt;&lt;date&gt;3//&lt;/date&gt;&lt;/pub-dates&gt;&lt;/dates&gt;&lt;isbn&gt;0890-8389&lt;/isbn&gt;&lt;urls&gt;&lt;related-urls&gt;&lt;url&gt;http://www.sciencedirect.com/science/article/pii/S0890838914000584&lt;/url&gt;&lt;/related-urls&gt;&lt;/urls&gt;&lt;electronic-resource-num&gt;http://doi.org/10.1016/j.bar.2014.08.002&lt;/electronic-resource-num&gt;&lt;/record&gt;&lt;/Cite&gt;&lt;/EndNote&gt;</w:instrText>
      </w:r>
      <w:r w:rsidRPr="00E31208">
        <w:rPr>
          <w:lang w:eastAsia="en-GB"/>
        </w:rPr>
        <w:fldChar w:fldCharType="separate"/>
      </w:r>
      <w:r w:rsidRPr="00E31208">
        <w:rPr>
          <w:noProof/>
          <w:lang w:eastAsia="en-GB"/>
        </w:rPr>
        <w:t>Shrives and Brennan (2015)</w:t>
      </w:r>
      <w:r w:rsidRPr="00E31208">
        <w:rPr>
          <w:lang w:eastAsia="en-GB"/>
        </w:rPr>
        <w:fldChar w:fldCharType="end"/>
      </w:r>
      <w:r w:rsidRPr="000A2D43">
        <w:rPr>
          <w:lang w:eastAsia="en-GB"/>
        </w:rPr>
        <w:t xml:space="preserve"> report that over the years</w:t>
      </w:r>
      <w:r w:rsidR="003C224D">
        <w:rPr>
          <w:lang w:eastAsia="en-GB"/>
        </w:rPr>
        <w:t>,</w:t>
      </w:r>
      <w:r w:rsidRPr="000A2D43">
        <w:rPr>
          <w:lang w:eastAsia="en-GB"/>
        </w:rPr>
        <w:t xml:space="preserve"> complianc</w:t>
      </w:r>
      <w:r>
        <w:rPr>
          <w:lang w:eastAsia="en-GB"/>
        </w:rPr>
        <w:t>e with the UK CGC has increased</w:t>
      </w:r>
      <w:r w:rsidRPr="000A2D43">
        <w:rPr>
          <w:lang w:eastAsia="en-GB"/>
        </w:rPr>
        <w:t>.</w:t>
      </w:r>
      <w:r w:rsidRPr="000A2D43">
        <w:rPr>
          <w:noProof/>
          <w:lang w:eastAsia="en-GB"/>
        </w:rPr>
        <w:t xml:space="preserve"> Similarly</w:t>
      </w:r>
      <w:r w:rsidRPr="000A2D43">
        <w:rPr>
          <w:lang w:eastAsia="en-GB"/>
        </w:rPr>
        <w:t xml:space="preserve">, </w:t>
      </w:r>
      <w:r w:rsidRPr="00E31208">
        <w:rPr>
          <w:lang w:eastAsia="en-GB"/>
        </w:rPr>
        <w:fldChar w:fldCharType="begin"/>
      </w:r>
      <w:r w:rsidR="00327CEC">
        <w:rPr>
          <w:lang w:eastAsia="en-GB"/>
        </w:rPr>
        <w:instrText xml:space="preserve"> ADDIN EN.CITE &lt;EndNote&gt;&lt;Cite AuthorYear="1"&gt;&lt;Author&gt;Arcot&lt;/Author&gt;&lt;Year&gt;2010&lt;/Year&gt;&lt;RecNum&gt;561&lt;/RecNum&gt;&lt;DisplayText&gt;Arcot, Bruno, and Faure-Grimaud (2010)&lt;/DisplayText&gt;&lt;record&gt;&lt;rec-number&gt;561&lt;/rec-number&gt;&lt;foreign-keys&gt;&lt;key app="EN" db-id="s00xzp50xdvx90ea0ravv2dxzr2pdvrrzaff" timestamp="1452596068" guid="0d4c1d59-9d38-4e8d-b503-55abeae3e68b"&gt;561&lt;/key&gt;&lt;/foreign-keys&gt;&lt;ref-type name="Journal Article"&gt;17&lt;/ref-type&gt;&lt;contributors&gt;&lt;authors&gt;&lt;author&gt;Arcot, Sridhar&lt;/author&gt;&lt;author&gt;Bruno, Valentina&lt;/author&gt;&lt;author&gt;Faure-Grimaud, Antoine&lt;/author&gt;&lt;/authors&gt;&lt;/contributors&gt;&lt;titles&gt;&lt;title&gt;Corporate governance in the UK: Is the comply or explain approach working?&lt;/title&gt;&lt;secondary-title&gt;International Review of Law and Economics&lt;/secondary-title&gt;&lt;/titles&gt;&lt;periodical&gt;&lt;full-title&gt;International Review of Law and Economics&lt;/full-title&gt;&lt;/periodical&gt;&lt;pages&gt;193-201&lt;/pages&gt;&lt;volume&gt;30&lt;/volume&gt;&lt;number&gt;2&lt;/number&gt;&lt;keywords&gt;&lt;keyword&gt;Corporate governance&lt;/keyword&gt;&lt;keyword&gt;Comply or explain&lt;/keyword&gt;&lt;keyword&gt;Combined Code&lt;/keyword&gt;&lt;/keywords&gt;&lt;dates&gt;&lt;year&gt;2010&lt;/year&gt;&lt;pub-dates&gt;&lt;date&gt;6//&lt;/date&gt;&lt;/pub-dates&gt;&lt;/dates&gt;&lt;isbn&gt;0144-8188&lt;/isbn&gt;&lt;urls&gt;&lt;related-urls&gt;&lt;url&gt;http://www.sciencedirect.com/science/article/pii/S0144818810000050&lt;/url&gt;&lt;/related-urls&gt;&lt;/urls&gt;&lt;/record&gt;&lt;/Cite&gt;&lt;/EndNote&gt;</w:instrText>
      </w:r>
      <w:r w:rsidRPr="00E31208">
        <w:rPr>
          <w:lang w:eastAsia="en-GB"/>
        </w:rPr>
        <w:fldChar w:fldCharType="separate"/>
      </w:r>
      <w:r w:rsidRPr="00E31208">
        <w:rPr>
          <w:noProof/>
          <w:lang w:eastAsia="en-GB"/>
        </w:rPr>
        <w:t>Arcot, Bruno, and Faure-Grimaud (2010)</w:t>
      </w:r>
      <w:r w:rsidRPr="00E31208">
        <w:rPr>
          <w:lang w:eastAsia="en-GB"/>
        </w:rPr>
        <w:fldChar w:fldCharType="end"/>
      </w:r>
      <w:r w:rsidRPr="000A2D43">
        <w:rPr>
          <w:lang w:eastAsia="en-GB"/>
        </w:rPr>
        <w:t xml:space="preserve"> who study a sample of 245 non-financial FTSE 350 firms over the period 1998–2004 show that the level of compliance with the UK Corporate Governance Code</w:t>
      </w:r>
      <w:r w:rsidRPr="000A2D43">
        <w:rPr>
          <w:rStyle w:val="EndnoteReference"/>
          <w:rFonts w:eastAsia="Times New Roman" w:cs="Times New Roman"/>
          <w:szCs w:val="24"/>
          <w:lang w:eastAsia="en-GB"/>
        </w:rPr>
        <w:endnoteReference w:id="11"/>
      </w:r>
      <w:r w:rsidRPr="000A2D43">
        <w:rPr>
          <w:lang w:eastAsia="en-GB"/>
        </w:rPr>
        <w:t xml:space="preserve"> has increased. </w:t>
      </w:r>
      <w:r>
        <w:rPr>
          <w:lang w:eastAsia="en-GB"/>
        </w:rPr>
        <w:t xml:space="preserve">More recently, </w:t>
      </w:r>
      <w:r>
        <w:rPr>
          <w:lang w:eastAsia="en-GB"/>
        </w:rPr>
        <w:fldChar w:fldCharType="begin"/>
      </w:r>
      <w:r w:rsidR="00327CEC">
        <w:rPr>
          <w:lang w:eastAsia="en-GB"/>
        </w:rPr>
        <w:instrText xml:space="preserve"> ADDIN EN.CITE &lt;EndNote&gt;&lt;Cite AuthorYear="1"&gt;&lt;Author&gt;Hawas&lt;/Author&gt;&lt;Year&gt;2016&lt;/Year&gt;&lt;RecNum&gt;566&lt;/RecNum&gt;&lt;DisplayText&gt;Hawas and Tse (2016)&lt;/DisplayText&gt;&lt;record&gt;&lt;rec-number&gt;566&lt;/rec-number&gt;&lt;foreign-keys&gt;&lt;key app="EN" db-id="s00xzp50xdvx90ea0ravv2dxzr2pdvrrzaff" timestamp="1452714892" guid="c82bec71-7fbc-4c3b-a133-ad1f177d269a"&gt;566&lt;/key&gt;&lt;/foreign-keys&gt;&lt;ref-type name="Journal Article"&gt;17&lt;/ref-type&gt;&lt;contributors&gt;&lt;authors&gt;&lt;author&gt;Hawas, Amira&lt;/author&gt;&lt;author&gt;Tse, Chin-Bun&lt;/author&gt;&lt;/authors&gt;&lt;/contributors&gt;&lt;titles&gt;&lt;title&gt;How Corporate Governance Affects Investment Decisions of Major Shareholders in UK Listed Companies Has the Recent Credit Crunch Changed the Game?&lt;/title&gt;&lt;secondary-title&gt;Journal of Accounting, Auditing &amp;amp; Finance&lt;/secondary-title&gt;&lt;/titles&gt;&lt;periodical&gt;&lt;full-title&gt;Journal of Accounting, Auditing &amp;amp; Finance&lt;/full-title&gt;&lt;/periodical&gt;&lt;pages&gt;100-133&lt;/pages&gt;&lt;volume&gt;31&lt;/volume&gt;&lt;number&gt;1&lt;/number&gt;&lt;dates&gt;&lt;year&gt;2016&lt;/year&gt;&lt;/dates&gt;&lt;isbn&gt;0148-558X&lt;/isbn&gt;&lt;urls&gt;&lt;/urls&gt;&lt;/record&gt;&lt;/Cite&gt;&lt;/EndNote&gt;</w:instrText>
      </w:r>
      <w:r>
        <w:rPr>
          <w:lang w:eastAsia="en-GB"/>
        </w:rPr>
        <w:fldChar w:fldCharType="separate"/>
      </w:r>
      <w:r>
        <w:rPr>
          <w:noProof/>
          <w:lang w:eastAsia="en-GB"/>
        </w:rPr>
        <w:t>Hawas and Tse (2016)</w:t>
      </w:r>
      <w:r>
        <w:rPr>
          <w:lang w:eastAsia="en-GB"/>
        </w:rPr>
        <w:fldChar w:fldCharType="end"/>
      </w:r>
      <w:r>
        <w:rPr>
          <w:lang w:eastAsia="en-GB"/>
        </w:rPr>
        <w:t xml:space="preserve"> document that compliance with the UK CGC is positively associated with major shareholdings, which </w:t>
      </w:r>
      <w:r w:rsidR="002F13F7">
        <w:rPr>
          <w:lang w:eastAsia="en-GB"/>
        </w:rPr>
        <w:t xml:space="preserve">would </w:t>
      </w:r>
      <w:r>
        <w:rPr>
          <w:lang w:eastAsia="en-GB"/>
        </w:rPr>
        <w:t xml:space="preserve">indicate that compliant firms are better monitored by such shareholders. </w:t>
      </w:r>
      <w:r w:rsidRPr="000A2D43">
        <w:rPr>
          <w:lang w:eastAsia="en-GB"/>
        </w:rPr>
        <w:t xml:space="preserve">Our findings show that non-compliance with UK CGC is negatively associated with </w:t>
      </w:r>
      <w:r>
        <w:rPr>
          <w:lang w:eastAsia="en-GB"/>
        </w:rPr>
        <w:t>shareholder value and recommend compliance with the prevailing governance regulations</w:t>
      </w:r>
      <w:r w:rsidRPr="000A2D43">
        <w:rPr>
          <w:lang w:eastAsia="en-GB"/>
        </w:rPr>
        <w:t>.</w:t>
      </w:r>
    </w:p>
    <w:p w14:paraId="118A5CCF" w14:textId="77777777" w:rsidR="00DC6089" w:rsidRPr="001C037A" w:rsidRDefault="00DC6089" w:rsidP="0092047F">
      <w:pPr>
        <w:pStyle w:val="Heading2"/>
      </w:pPr>
      <w:r>
        <w:rPr>
          <w:rFonts w:eastAsia="Times New Roman" w:cs="Times New Roman"/>
          <w:szCs w:val="24"/>
        </w:rPr>
        <w:t xml:space="preserve">Monitoring mechanisms </w:t>
      </w:r>
      <w:r w:rsidRPr="001C037A">
        <w:t xml:space="preserve">and </w:t>
      </w:r>
      <w:r>
        <w:t>shareholder value</w:t>
      </w:r>
    </w:p>
    <w:p w14:paraId="041727C0" w14:textId="158D5C1D" w:rsidR="00DC6089" w:rsidRDefault="00DC6089" w:rsidP="0092047F">
      <w:r>
        <w:rPr>
          <w:lang w:eastAsia="en-GB"/>
        </w:rPr>
        <w:t>In relation to monitoring mechanisms, Table 4</w:t>
      </w:r>
      <w:r w:rsidRPr="00467BF5">
        <w:rPr>
          <w:lang w:eastAsia="en-GB"/>
        </w:rPr>
        <w:t xml:space="preserve"> shows </w:t>
      </w:r>
      <w:r w:rsidRPr="00B8560D">
        <w:rPr>
          <w:lang w:eastAsia="en-GB"/>
        </w:rPr>
        <w:t>that board independence</w:t>
      </w:r>
      <w:r w:rsidRPr="00467BF5">
        <w:rPr>
          <w:lang w:eastAsia="en-GB"/>
        </w:rPr>
        <w:t xml:space="preserve"> is significantly negatively associated with </w:t>
      </w:r>
      <w:r>
        <w:rPr>
          <w:lang w:eastAsia="en-GB"/>
        </w:rPr>
        <w:t xml:space="preserve">both measures of shareholder value. </w:t>
      </w:r>
      <w:r w:rsidRPr="00467BF5">
        <w:rPr>
          <w:lang w:eastAsia="en-GB"/>
        </w:rPr>
        <w:t xml:space="preserve">This finding </w:t>
      </w:r>
      <w:r>
        <w:rPr>
          <w:lang w:eastAsia="en-GB"/>
        </w:rPr>
        <w:t>does not support the hypothesised positive</w:t>
      </w:r>
      <w:r w:rsidRPr="00467BF5">
        <w:rPr>
          <w:lang w:eastAsia="en-GB"/>
        </w:rPr>
        <w:t xml:space="preserve"> relationship between </w:t>
      </w:r>
      <w:r>
        <w:rPr>
          <w:lang w:eastAsia="en-GB"/>
        </w:rPr>
        <w:t xml:space="preserve">increased monitoring (represented by </w:t>
      </w:r>
      <w:r w:rsidRPr="00467BF5">
        <w:rPr>
          <w:lang w:eastAsia="en-GB"/>
        </w:rPr>
        <w:t>board independence</w:t>
      </w:r>
      <w:r>
        <w:rPr>
          <w:lang w:eastAsia="en-GB"/>
        </w:rPr>
        <w:t>)</w:t>
      </w:r>
      <w:r w:rsidRPr="00467BF5">
        <w:rPr>
          <w:lang w:eastAsia="en-GB"/>
        </w:rPr>
        <w:t xml:space="preserve"> and </w:t>
      </w:r>
      <w:r>
        <w:rPr>
          <w:lang w:eastAsia="en-GB"/>
        </w:rPr>
        <w:t xml:space="preserve">shareholder value. Independence is captured by the number of NEDs as reported by firms in their annual reports and does not take into account whether such </w:t>
      </w:r>
      <w:r>
        <w:rPr>
          <w:lang w:eastAsia="en-GB"/>
        </w:rPr>
        <w:lastRenderedPageBreak/>
        <w:t>directors meet the independence criteria set out by the UK CGC. Therefore,</w:t>
      </w:r>
      <w:r>
        <w:t xml:space="preserve"> a director can be non-executive director but it does not necessarily mean </w:t>
      </w:r>
      <w:r w:rsidRPr="00B83A19">
        <w:rPr>
          <w:lang w:eastAsia="en-GB"/>
        </w:rPr>
        <w:t>that he/she is independent as well.</w:t>
      </w:r>
      <w:r>
        <w:t xml:space="preserve">  </w:t>
      </w:r>
    </w:p>
    <w:p w14:paraId="075CAD39" w14:textId="1C0C69B5" w:rsidR="00DC6089" w:rsidRDefault="00DC6089" w:rsidP="0092047F">
      <w:pPr>
        <w:rPr>
          <w:lang w:eastAsia="en-GB"/>
        </w:rPr>
      </w:pPr>
      <w:r>
        <w:t>This finding is</w:t>
      </w:r>
      <w:r>
        <w:rPr>
          <w:lang w:eastAsia="en-GB"/>
        </w:rPr>
        <w:t xml:space="preserve"> in line with a number of</w:t>
      </w:r>
      <w:r w:rsidRPr="00467BF5">
        <w:rPr>
          <w:lang w:eastAsia="en-GB"/>
        </w:rPr>
        <w:t xml:space="preserve"> recent studies</w:t>
      </w:r>
      <w:r>
        <w:rPr>
          <w:lang w:eastAsia="en-GB"/>
        </w:rPr>
        <w:t xml:space="preserve"> that report a negative relationship between board independence and performance of financial firms </w:t>
      </w:r>
      <w:r w:rsidRPr="009E0685">
        <w:rPr>
          <w:lang w:eastAsia="en-GB"/>
        </w:rPr>
        <w:fldChar w:fldCharType="begin"/>
      </w:r>
      <w:r w:rsidR="00327CEC">
        <w:rPr>
          <w:lang w:eastAsia="en-GB"/>
        </w:rPr>
        <w:instrText xml:space="preserve"> ADDIN EN.CITE &lt;EndNote&gt;&lt;Cite&gt;&lt;Author&gt;Adams&lt;/Author&gt;&lt;Year&gt;2012&lt;/Year&gt;&lt;RecNum&gt;370&lt;/RecNum&gt;&lt;DisplayText&gt;(Adams, 2012; Beltratti &amp;amp; Stulz, 2012)&lt;/DisplayText&gt;&lt;record&gt;&lt;rec-number&gt;370&lt;/rec-number&gt;&lt;foreign-keys&gt;&lt;key app="EN" db-id="s00xzp50xdvx90ea0ravv2dxzr2pdvrrzaff" timestamp="1452198262" guid="98c555d5-05dd-4366-9930-8a8d58f1f82e"&gt;370&lt;/key&gt;&lt;/foreign-keys&gt;&lt;ref-type name="Journal Article"&gt;17&lt;/ref-type&gt;&lt;contributors&gt;&lt;authors&gt;&lt;author&gt;Adams, Renee B.&lt;/author&gt;&lt;/authors&gt;&lt;/contributors&gt;&lt;titles&gt;&lt;title&gt;Governance and the financial crisis&lt;/title&gt;&lt;secondary-title&gt;International Review of Finance&lt;/secondary-title&gt;&lt;/titles&gt;&lt;periodical&gt;&lt;full-title&gt;International Review of Finance&lt;/full-title&gt;&lt;/periodical&gt;&lt;pages&gt;7-38&lt;/pages&gt;&lt;volume&gt;12&lt;/volume&gt;&lt;number&gt;1&lt;/number&gt;&lt;dates&gt;&lt;year&gt;2012&lt;/year&gt;&lt;/dates&gt;&lt;isbn&gt;1468-2443&lt;/isbn&gt;&lt;urls&gt;&lt;/urls&gt;&lt;/record&gt;&lt;/Cite&gt;&lt;Cite&gt;&lt;Author&gt;Beltratti&lt;/Author&gt;&lt;Year&gt;2012&lt;/Year&gt;&lt;RecNum&gt;373&lt;/RecNum&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sidRPr="009E0685">
        <w:rPr>
          <w:lang w:eastAsia="en-GB"/>
        </w:rPr>
        <w:fldChar w:fldCharType="separate"/>
      </w:r>
      <w:r w:rsidRPr="009E0685">
        <w:rPr>
          <w:noProof/>
          <w:lang w:eastAsia="en-GB"/>
        </w:rPr>
        <w:t>(Adams, 2012; Beltratti &amp; Stulz, 2012)</w:t>
      </w:r>
      <w:r w:rsidRPr="009E0685">
        <w:rPr>
          <w:lang w:eastAsia="en-GB"/>
        </w:rPr>
        <w:fldChar w:fldCharType="end"/>
      </w:r>
      <w:r w:rsidRPr="009E0685">
        <w:rPr>
          <w:lang w:eastAsia="en-GB"/>
        </w:rPr>
        <w:t>. Similarly, in a recent cross country study</w:t>
      </w:r>
      <w:r w:rsidR="00777993">
        <w:rPr>
          <w:lang w:eastAsia="en-GB"/>
        </w:rPr>
        <w:t>,</w:t>
      </w:r>
      <w:r w:rsidRPr="009E0685">
        <w:rPr>
          <w:lang w:eastAsia="en-GB"/>
        </w:rPr>
        <w:t xml:space="preserve"> </w:t>
      </w:r>
      <w:r w:rsidRPr="009E0685">
        <w:rPr>
          <w:lang w:eastAsia="en-GB"/>
        </w:rPr>
        <w:fldChar w:fldCharType="begin"/>
      </w:r>
      <w:r w:rsidR="00E754E8">
        <w:rPr>
          <w:lang w:eastAsia="en-GB"/>
        </w:rPr>
        <w:instrText xml:space="preserve"> ADDIN EN.CITE &lt;EndNote&gt;&lt;Cite AuthorYear="1"&gt;&lt;Author&gt;Vallascas&lt;/Author&gt;&lt;Year&gt;2017&lt;/Year&gt;&lt;RecNum&gt;1698&lt;/RecNum&gt;&lt;DisplayText&gt;Vallascas, Mollah, and Keasey (2017)&lt;/DisplayText&gt;&lt;record&gt;&lt;rec-number&gt;1698&lt;/rec-number&gt;&lt;foreign-keys&gt;&lt;key app="EN" db-id="s00xzp50xdvx90ea0ravv2dxzr2pdvrrzaff" timestamp="1605649681" guid="a61c8419-f19b-4833-b6da-54dc4c4eb17d"&gt;1698&lt;/key&gt;&lt;/foreign-keys&gt;&lt;ref-type name="Journal Article"&gt;17&lt;/ref-type&gt;&lt;contributors&gt;&lt;authors&gt;&lt;author&gt;Vallascas, Francesco&lt;/author&gt;&lt;author&gt;Mollah, Sabur&lt;/author&gt;&lt;author&gt;Keasey, Kevin&lt;/author&gt;&lt;/authors&gt;&lt;/contributors&gt;&lt;titles&gt;&lt;title&gt;Does the impact of board independence on large bank risks change after the global financial crisis?&lt;/title&gt;&lt;secondary-title&gt;Journal of Corporate Finance&lt;/secondary-title&gt;&lt;/titles&gt;&lt;periodical&gt;&lt;full-title&gt;Journal of Corporate Finance&lt;/full-title&gt;&lt;/periodical&gt;&lt;pages&gt;149-166&lt;/pages&gt;&lt;volume&gt;44&lt;/volume&gt;&lt;dates&gt;&lt;year&gt;2017&lt;/year&gt;&lt;/dates&gt;&lt;isbn&gt;0929-1199&lt;/isbn&gt;&lt;urls&gt;&lt;/urls&gt;&lt;/record&gt;&lt;/Cite&gt;&lt;/EndNote&gt;</w:instrText>
      </w:r>
      <w:r w:rsidRPr="009E0685">
        <w:rPr>
          <w:lang w:eastAsia="en-GB"/>
        </w:rPr>
        <w:fldChar w:fldCharType="separate"/>
      </w:r>
      <w:r w:rsidRPr="009E0685">
        <w:rPr>
          <w:noProof/>
          <w:lang w:eastAsia="en-GB"/>
        </w:rPr>
        <w:t>Vallascas, Mollah, and Keasey (2017)</w:t>
      </w:r>
      <w:r w:rsidRPr="009E0685">
        <w:rPr>
          <w:lang w:eastAsia="en-GB"/>
        </w:rPr>
        <w:fldChar w:fldCharType="end"/>
      </w:r>
      <w:r w:rsidRPr="009E0685">
        <w:rPr>
          <w:lang w:eastAsia="en-GB"/>
        </w:rPr>
        <w:t xml:space="preserve"> argue that board independence reduces risk for only those banks which received government bailouts. This implies that board independence may not be as beneficial for financial firms as preciously perceived and its usefulness may be contingent upon other factors such as me</w:t>
      </w:r>
      <w:r>
        <w:rPr>
          <w:lang w:eastAsia="en-GB"/>
        </w:rPr>
        <w:t>e</w:t>
      </w:r>
      <w:r w:rsidRPr="009E0685">
        <w:rPr>
          <w:lang w:eastAsia="en-GB"/>
        </w:rPr>
        <w:t>ting the independence criteria set out by the UK CGC.</w:t>
      </w:r>
      <w:r>
        <w:rPr>
          <w:lang w:eastAsia="en-GB"/>
        </w:rPr>
        <w:t xml:space="preserve"> Furthermore, t</w:t>
      </w:r>
      <w:r w:rsidRPr="00467BF5">
        <w:rPr>
          <w:lang w:eastAsia="en-GB"/>
        </w:rPr>
        <w:t xml:space="preserve">he coefficients </w:t>
      </w:r>
      <w:r>
        <w:rPr>
          <w:lang w:eastAsia="en-GB"/>
        </w:rPr>
        <w:t>of</w:t>
      </w:r>
      <w:r w:rsidRPr="00467BF5">
        <w:rPr>
          <w:lang w:eastAsia="en-GB"/>
        </w:rPr>
        <w:t xml:space="preserve"> board independence an</w:t>
      </w:r>
      <w:r>
        <w:rPr>
          <w:lang w:eastAsia="en-GB"/>
        </w:rPr>
        <w:t>d both</w:t>
      </w:r>
      <w:r w:rsidRPr="00467BF5">
        <w:rPr>
          <w:lang w:eastAsia="en-GB"/>
        </w:rPr>
        <w:t xml:space="preserve"> measures of </w:t>
      </w:r>
      <w:r>
        <w:rPr>
          <w:lang w:eastAsia="en-GB"/>
        </w:rPr>
        <w:t>shareholder value</w:t>
      </w:r>
      <w:r w:rsidRPr="00467BF5">
        <w:rPr>
          <w:lang w:eastAsia="en-GB"/>
        </w:rPr>
        <w:t xml:space="preserve"> </w:t>
      </w:r>
      <w:r>
        <w:rPr>
          <w:lang w:eastAsia="en-GB"/>
        </w:rPr>
        <w:t>increase</w:t>
      </w:r>
      <w:r w:rsidRPr="00467BF5">
        <w:rPr>
          <w:lang w:eastAsia="en-GB"/>
        </w:rPr>
        <w:t xml:space="preserve"> substantially during the crisis period</w:t>
      </w:r>
      <w:r>
        <w:rPr>
          <w:lang w:eastAsia="en-GB"/>
        </w:rPr>
        <w:t>. The coefficients (</w:t>
      </w:r>
      <w:r w:rsidRPr="001C037A">
        <w:rPr>
          <w:lang w:eastAsia="en-GB"/>
        </w:rPr>
        <w:t>TSR -52.83</w:t>
      </w:r>
      <w:r>
        <w:rPr>
          <w:lang w:eastAsia="en-GB"/>
        </w:rPr>
        <w:t xml:space="preserve"> and</w:t>
      </w:r>
      <w:r w:rsidRPr="001C037A">
        <w:rPr>
          <w:lang w:eastAsia="en-GB"/>
        </w:rPr>
        <w:t xml:space="preserve"> ROE -7.615</w:t>
      </w:r>
      <w:r>
        <w:rPr>
          <w:lang w:eastAsia="en-GB"/>
        </w:rPr>
        <w:t>)</w:t>
      </w:r>
      <w:r w:rsidRPr="001C037A">
        <w:rPr>
          <w:lang w:eastAsia="en-GB"/>
        </w:rPr>
        <w:t xml:space="preserve"> during the crisis period</w:t>
      </w:r>
      <w:r>
        <w:rPr>
          <w:lang w:eastAsia="en-GB"/>
        </w:rPr>
        <w:t xml:space="preserve"> are</w:t>
      </w:r>
      <w:r w:rsidRPr="001C037A">
        <w:rPr>
          <w:lang w:eastAsia="en-GB"/>
        </w:rPr>
        <w:t xml:space="preserve"> significantly larger than those in the pre-crisis period </w:t>
      </w:r>
      <w:r>
        <w:rPr>
          <w:lang w:eastAsia="en-GB"/>
        </w:rPr>
        <w:t>(</w:t>
      </w:r>
      <w:r w:rsidRPr="001C037A">
        <w:rPr>
          <w:lang w:eastAsia="en-GB"/>
        </w:rPr>
        <w:t>TSR -12.49, ROE -1.</w:t>
      </w:r>
      <w:r>
        <w:rPr>
          <w:lang w:eastAsia="en-GB"/>
        </w:rPr>
        <w:t>1</w:t>
      </w:r>
      <w:r w:rsidRPr="001C037A">
        <w:rPr>
          <w:lang w:eastAsia="en-GB"/>
        </w:rPr>
        <w:t>46</w:t>
      </w:r>
      <w:r>
        <w:rPr>
          <w:lang w:eastAsia="en-GB"/>
        </w:rPr>
        <w:t>)</w:t>
      </w:r>
      <w:r w:rsidRPr="001C037A">
        <w:rPr>
          <w:lang w:eastAsia="en-GB"/>
        </w:rPr>
        <w:t xml:space="preserve">. This indicates </w:t>
      </w:r>
      <w:r w:rsidRPr="00467BF5">
        <w:rPr>
          <w:lang w:eastAsia="en-GB"/>
        </w:rPr>
        <w:t>that the negative impact of higher numbers of NED</w:t>
      </w:r>
      <w:r>
        <w:rPr>
          <w:lang w:eastAsia="en-GB"/>
        </w:rPr>
        <w:t>s</w:t>
      </w:r>
      <w:r w:rsidRPr="00467BF5">
        <w:rPr>
          <w:lang w:eastAsia="en-GB"/>
        </w:rPr>
        <w:t xml:space="preserve"> representation </w:t>
      </w:r>
      <w:r>
        <w:rPr>
          <w:lang w:eastAsia="en-GB"/>
        </w:rPr>
        <w:t xml:space="preserve">on boards </w:t>
      </w:r>
      <w:r w:rsidRPr="00467BF5">
        <w:rPr>
          <w:lang w:eastAsia="en-GB"/>
        </w:rPr>
        <w:t>incr</w:t>
      </w:r>
      <w:r>
        <w:rPr>
          <w:lang w:eastAsia="en-GB"/>
        </w:rPr>
        <w:t xml:space="preserve">eases during the crisis period. </w:t>
      </w:r>
    </w:p>
    <w:p w14:paraId="096E073A" w14:textId="77777777" w:rsidR="00DC6089" w:rsidRPr="00972BD7" w:rsidRDefault="00DC6089" w:rsidP="0092047F">
      <w:pPr>
        <w:rPr>
          <w:lang w:eastAsia="en-GB"/>
        </w:rPr>
      </w:pPr>
      <w:r>
        <w:rPr>
          <w:lang w:eastAsia="en-GB"/>
        </w:rPr>
        <w:t>We further divided our sample into two groups on the basis of NED ratio of 0.50</w:t>
      </w:r>
      <w:r>
        <w:rPr>
          <w:rStyle w:val="EndnoteReference"/>
          <w:lang w:eastAsia="en-GB"/>
        </w:rPr>
        <w:endnoteReference w:id="12"/>
      </w:r>
      <w:r>
        <w:rPr>
          <w:lang w:eastAsia="en-GB"/>
        </w:rPr>
        <w:t xml:space="preserve"> </w:t>
      </w:r>
      <w:r w:rsidRPr="00F60355">
        <w:rPr>
          <w:lang w:eastAsia="en-GB"/>
        </w:rPr>
        <w:t>to examine whether the negative impact is associated with the financial crisis.</w:t>
      </w:r>
      <w:r>
        <w:rPr>
          <w:lang w:eastAsia="en-GB"/>
        </w:rPr>
        <w:t xml:space="preserve"> A firm with a ratio of 0.50 or more is classified as ‘Higher NED ratio’ whereas a firm with a ratio of less than 0.50 is classified as ‘Lower NED ratio’. As reported in Panel B of Table 4, the percentage decrease in the shareholder value of firms with ‘Higher NED ratio’ is significantly higher than those firms which maintained a ‘Lower NED ratio’ during the crisis period. This suggests that the negative impact of the presence of NEDs on shareholder value is stronger in those financial firms which maintained a higher number of NEDs on their boards during crisis period.</w:t>
      </w:r>
    </w:p>
    <w:p w14:paraId="5D17F34B" w14:textId="6ED23982" w:rsidR="00DC6089" w:rsidRDefault="00DC6089" w:rsidP="0092047F">
      <w:pPr>
        <w:rPr>
          <w:lang w:eastAsia="en-GB"/>
        </w:rPr>
      </w:pPr>
      <w:r>
        <w:rPr>
          <w:lang w:eastAsia="en-GB"/>
        </w:rPr>
        <w:t>A</w:t>
      </w:r>
      <w:r w:rsidRPr="0040137F">
        <w:rPr>
          <w:lang w:eastAsia="en-GB"/>
        </w:rPr>
        <w:t xml:space="preserve"> number of explanations </w:t>
      </w:r>
      <w:r>
        <w:rPr>
          <w:lang w:eastAsia="en-GB"/>
        </w:rPr>
        <w:t xml:space="preserve">have been advanced in the literature to explain this </w:t>
      </w:r>
      <w:r w:rsidRPr="0040137F">
        <w:rPr>
          <w:lang w:eastAsia="en-GB"/>
        </w:rPr>
        <w:t xml:space="preserve">negative relationship between board independence and </w:t>
      </w:r>
      <w:r>
        <w:rPr>
          <w:lang w:eastAsia="en-GB"/>
        </w:rPr>
        <w:t>shareholder value</w:t>
      </w:r>
      <w:r w:rsidRPr="0040137F">
        <w:rPr>
          <w:lang w:eastAsia="en-GB"/>
        </w:rPr>
        <w:t>.</w:t>
      </w:r>
      <w:r>
        <w:rPr>
          <w:lang w:eastAsia="en-GB"/>
        </w:rPr>
        <w:t xml:space="preserve"> </w:t>
      </w:r>
      <w:r w:rsidRPr="000F22CB">
        <w:rPr>
          <w:lang w:eastAsia="en-GB"/>
        </w:rPr>
        <w:t xml:space="preserve">One line of explanation </w:t>
      </w:r>
      <w:r w:rsidRPr="000F22CB">
        <w:rPr>
          <w:lang w:eastAsia="en-GB"/>
        </w:rPr>
        <w:lastRenderedPageBreak/>
        <w:t xml:space="preserve">highlights the dependence of independent directors on top management of firms, whereas another argument discusses the level of firm specific knowledge of the independent directors. </w:t>
      </w:r>
      <w:r>
        <w:rPr>
          <w:lang w:eastAsia="en-GB"/>
        </w:rPr>
        <w:t xml:space="preserve">For example, </w:t>
      </w:r>
      <w:r>
        <w:rPr>
          <w:lang w:eastAsia="en-GB"/>
        </w:rPr>
        <w:fldChar w:fldCharType="begin"/>
      </w:r>
      <w:r w:rsidR="00327CEC">
        <w:rPr>
          <w:lang w:eastAsia="en-GB"/>
        </w:rPr>
        <w:instrText xml:space="preserve"> ADDIN EN.CITE &lt;EndNote&gt;&lt;Cite AuthorYear="1"&gt;&lt;Author&gt;Choi&lt;/Author&gt;&lt;Year&gt;2005&lt;/Year&gt;&lt;RecNum&gt;390&lt;/RecNum&gt;&lt;DisplayText&gt;Choi and Hasan (2005)&lt;/DisplayText&gt;&lt;record&gt;&lt;rec-number&gt;390&lt;/rec-number&gt;&lt;foreign-keys&gt;&lt;key app="EN" db-id="s00xzp50xdvx90ea0ravv2dxzr2pdvrrzaff" timestamp="1452198300" guid="f6d68187-9f6b-4406-ab02-db01d3eaec54"&gt;390&lt;/key&gt;&lt;/foreign-keys&gt;&lt;ref-type name="Journal Article"&gt;17&lt;/ref-type&gt;&lt;contributors&gt;&lt;authors&gt;&lt;author&gt;Choi, Sungho&lt;/author&gt;&lt;author&gt;Hasan, Iftekhar&lt;/author&gt;&lt;/authors&gt;&lt;/contributors&gt;&lt;titles&gt;&lt;title&gt;Ownership, governance, and bank performance: Korean experience&lt;/title&gt;&lt;secondary-title&gt;Financial Markets, Institutions &amp;amp; Instruments&lt;/secondary-title&gt;&lt;/titles&gt;&lt;periodical&gt;&lt;full-title&gt;Financial Markets, Institutions &amp;amp; Instruments&lt;/full-title&gt;&lt;/periodical&gt;&lt;pages&gt;215-242&lt;/pages&gt;&lt;volume&gt;14&lt;/volume&gt;&lt;number&gt;4&lt;/number&gt;&lt;keywords&gt;&lt;keyword&gt;Bank performance&lt;/keyword&gt;&lt;keyword&gt;Governance&lt;/keyword&gt;&lt;keyword&gt;Foreign Ownership&lt;/keyword&gt;&lt;keyword&gt;Foreign Director&lt;/keyword&gt;&lt;keyword&gt;G21&lt;/keyword&gt;&lt;keyword&gt;G32&lt;/keyword&gt;&lt;keyword&gt;G34&lt;/keyword&gt;&lt;/keywords&gt;&lt;dates&gt;&lt;year&gt;2005&lt;/year&gt;&lt;/dates&gt;&lt;publisher&gt;Blackwell Publishing Ltd/Inc.&lt;/publisher&gt;&lt;isbn&gt;1468-0416&lt;/isbn&gt;&lt;urls&gt;&lt;related-urls&gt;&lt;url&gt;http://dx.doi.org/10.1111/j.0963-8008.2005.00104.x&lt;/url&gt;&lt;/related-urls&gt;&lt;/urls&gt;&lt;electronic-resource-num&gt;10.1111/j.0963-8008.2005.00104.x&lt;/electronic-resource-num&gt;&lt;/record&gt;&lt;/Cite&gt;&lt;/EndNote&gt;</w:instrText>
      </w:r>
      <w:r>
        <w:rPr>
          <w:lang w:eastAsia="en-GB"/>
        </w:rPr>
        <w:fldChar w:fldCharType="separate"/>
      </w:r>
      <w:r>
        <w:rPr>
          <w:noProof/>
          <w:lang w:eastAsia="en-GB"/>
        </w:rPr>
        <w:t>Choi and Hasan (2005)</w:t>
      </w:r>
      <w:r>
        <w:rPr>
          <w:lang w:eastAsia="en-GB"/>
        </w:rPr>
        <w:fldChar w:fldCharType="end"/>
      </w:r>
      <w:r>
        <w:rPr>
          <w:lang w:eastAsia="en-GB"/>
        </w:rPr>
        <w:t xml:space="preserve"> explain the negative relationship </w:t>
      </w:r>
      <w:r w:rsidRPr="0040137F">
        <w:rPr>
          <w:lang w:eastAsia="en-GB"/>
        </w:rPr>
        <w:t xml:space="preserve">between board independence and </w:t>
      </w:r>
      <w:r>
        <w:rPr>
          <w:lang w:eastAsia="en-GB"/>
        </w:rPr>
        <w:t xml:space="preserve">shareholder value through </w:t>
      </w:r>
      <w:r w:rsidRPr="00A54047">
        <w:rPr>
          <w:lang w:eastAsia="en-GB"/>
        </w:rPr>
        <w:t>managerial hegemony theory</w:t>
      </w:r>
      <w:r>
        <w:rPr>
          <w:lang w:eastAsia="en-GB"/>
        </w:rPr>
        <w:t xml:space="preserve">, according to which, </w:t>
      </w:r>
      <w:r w:rsidRPr="00A54047">
        <w:rPr>
          <w:lang w:eastAsia="en-GB"/>
        </w:rPr>
        <w:t xml:space="preserve">the negative relationship </w:t>
      </w:r>
      <w:r>
        <w:rPr>
          <w:lang w:eastAsia="en-GB"/>
        </w:rPr>
        <w:t xml:space="preserve">describes independent </w:t>
      </w:r>
      <w:r w:rsidRPr="00A54047">
        <w:rPr>
          <w:lang w:eastAsia="en-GB"/>
        </w:rPr>
        <w:t>director</w:t>
      </w:r>
      <w:r>
        <w:rPr>
          <w:lang w:eastAsia="en-GB"/>
        </w:rPr>
        <w:t>s’ dependency on top management</w:t>
      </w:r>
      <w:r w:rsidRPr="00A54047">
        <w:rPr>
          <w:lang w:eastAsia="en-GB"/>
        </w:rPr>
        <w:t xml:space="preserve">. </w:t>
      </w:r>
      <w:r>
        <w:rPr>
          <w:lang w:eastAsia="en-GB"/>
        </w:rPr>
        <w:t xml:space="preserve">In the same vein, </w:t>
      </w:r>
      <w:r>
        <w:rPr>
          <w:lang w:eastAsia="en-GB"/>
        </w:rPr>
        <w:fldChar w:fldCharType="begin"/>
      </w:r>
      <w:r w:rsidR="00327CEC">
        <w:rPr>
          <w:lang w:eastAsia="en-GB"/>
        </w:rPr>
        <w:instrText xml:space="preserve"> ADDIN EN.CITE &lt;EndNote&gt;&lt;Cite AuthorYear="1"&gt;&lt;Author&gt;Adams&lt;/Author&gt;&lt;Year&gt;2012&lt;/Year&gt;&lt;RecNum&gt;370&lt;/RecNum&gt;&lt;DisplayText&gt;Adams (2012)&lt;/DisplayText&gt;&lt;record&gt;&lt;rec-number&gt;370&lt;/rec-number&gt;&lt;foreign-keys&gt;&lt;key app="EN" db-id="s00xzp50xdvx90ea0ravv2dxzr2pdvrrzaff" timestamp="1452198262" guid="98c555d5-05dd-4366-9930-8a8d58f1f82e"&gt;370&lt;/key&gt;&lt;/foreign-keys&gt;&lt;ref-type name="Journal Article"&gt;17&lt;/ref-type&gt;&lt;contributors&gt;&lt;authors&gt;&lt;author&gt;Adams, Renee B.&lt;/author&gt;&lt;/authors&gt;&lt;/contributors&gt;&lt;titles&gt;&lt;title&gt;Governance and the financial crisis&lt;/title&gt;&lt;secondary-title&gt;International Review of Finance&lt;/secondary-title&gt;&lt;/titles&gt;&lt;periodical&gt;&lt;full-title&gt;International Review of Finance&lt;/full-title&gt;&lt;/periodical&gt;&lt;pages&gt;7-38&lt;/pages&gt;&lt;volume&gt;12&lt;/volume&gt;&lt;number&gt;1&lt;/number&gt;&lt;dates&gt;&lt;year&gt;2012&lt;/year&gt;&lt;/dates&gt;&lt;isbn&gt;1468-2443&lt;/isbn&gt;&lt;urls&gt;&lt;/urls&gt;&lt;/record&gt;&lt;/Cite&gt;&lt;/EndNote&gt;</w:instrText>
      </w:r>
      <w:r>
        <w:rPr>
          <w:lang w:eastAsia="en-GB"/>
        </w:rPr>
        <w:fldChar w:fldCharType="separate"/>
      </w:r>
      <w:r>
        <w:rPr>
          <w:noProof/>
          <w:lang w:eastAsia="en-GB"/>
        </w:rPr>
        <w:t>Adams (2012)</w:t>
      </w:r>
      <w:r>
        <w:rPr>
          <w:lang w:eastAsia="en-GB"/>
        </w:rPr>
        <w:fldChar w:fldCharType="end"/>
      </w:r>
      <w:r>
        <w:rPr>
          <w:lang w:eastAsia="en-GB"/>
        </w:rPr>
        <w:t xml:space="preserve"> documents that due to l</w:t>
      </w:r>
      <w:r w:rsidRPr="00A54047">
        <w:rPr>
          <w:lang w:eastAsia="en-GB"/>
        </w:rPr>
        <w:t xml:space="preserve">ack of adequate knowledge </w:t>
      </w:r>
      <w:r>
        <w:rPr>
          <w:lang w:eastAsia="en-GB"/>
        </w:rPr>
        <w:t>about a firm’s business operations,</w:t>
      </w:r>
      <w:r w:rsidRPr="00A54047">
        <w:rPr>
          <w:lang w:eastAsia="en-GB"/>
        </w:rPr>
        <w:t xml:space="preserve"> </w:t>
      </w:r>
      <w:r>
        <w:rPr>
          <w:lang w:eastAsia="en-GB"/>
        </w:rPr>
        <w:t xml:space="preserve">independent directors </w:t>
      </w:r>
      <w:r w:rsidRPr="00A54047">
        <w:rPr>
          <w:lang w:eastAsia="en-GB"/>
        </w:rPr>
        <w:t xml:space="preserve">might not be able to provide strategic advice or monitor executive management when it is needed </w:t>
      </w:r>
      <w:r>
        <w:rPr>
          <w:lang w:eastAsia="en-GB"/>
        </w:rPr>
        <w:t xml:space="preserve">the </w:t>
      </w:r>
      <w:r w:rsidRPr="00A54047">
        <w:rPr>
          <w:lang w:eastAsia="en-GB"/>
        </w:rPr>
        <w:t>most</w:t>
      </w:r>
      <w:r>
        <w:rPr>
          <w:lang w:eastAsia="en-GB"/>
        </w:rPr>
        <w:t>, which</w:t>
      </w:r>
      <w:r w:rsidRPr="00A54047">
        <w:rPr>
          <w:lang w:eastAsia="en-GB"/>
        </w:rPr>
        <w:t xml:space="preserve"> may </w:t>
      </w:r>
      <w:r>
        <w:rPr>
          <w:lang w:eastAsia="en-GB"/>
        </w:rPr>
        <w:t>be driving the</w:t>
      </w:r>
      <w:r w:rsidRPr="00A54047">
        <w:rPr>
          <w:lang w:eastAsia="en-GB"/>
        </w:rPr>
        <w:t xml:space="preserve"> negative relationship</w:t>
      </w:r>
      <w:r>
        <w:rPr>
          <w:lang w:eastAsia="en-GB"/>
        </w:rPr>
        <w:t xml:space="preserve"> between board independence and shareholder value</w:t>
      </w:r>
      <w:r w:rsidRPr="00A54047">
        <w:rPr>
          <w:lang w:eastAsia="en-GB"/>
        </w:rPr>
        <w:t xml:space="preserve">. </w:t>
      </w:r>
      <w:r>
        <w:rPr>
          <w:lang w:eastAsia="en-GB"/>
        </w:rPr>
        <w:t>It is therefore argued that only</w:t>
      </w:r>
      <w:r w:rsidRPr="00A54047">
        <w:rPr>
          <w:lang w:eastAsia="en-GB"/>
        </w:rPr>
        <w:t xml:space="preserve"> increasing the number of NEDs </w:t>
      </w:r>
      <w:r>
        <w:rPr>
          <w:lang w:eastAsia="en-GB"/>
        </w:rPr>
        <w:t xml:space="preserve">without taking into account all other relevant measures </w:t>
      </w:r>
      <w:r w:rsidRPr="00A54047">
        <w:rPr>
          <w:lang w:eastAsia="en-GB"/>
        </w:rPr>
        <w:t xml:space="preserve">may not be sufficient for </w:t>
      </w:r>
      <w:r>
        <w:rPr>
          <w:lang w:eastAsia="en-GB"/>
        </w:rPr>
        <w:t>increasing shareholder value</w:t>
      </w:r>
      <w:r w:rsidRPr="00A54047">
        <w:rPr>
          <w:lang w:eastAsia="en-GB"/>
        </w:rPr>
        <w:t>.</w:t>
      </w:r>
    </w:p>
    <w:p w14:paraId="7ADD5910" w14:textId="6AE15FD2" w:rsidR="00DC6089" w:rsidRDefault="00DC6089" w:rsidP="0092047F">
      <w:pPr>
        <w:rPr>
          <w:lang w:eastAsia="en-GB"/>
        </w:rPr>
      </w:pPr>
      <w:r>
        <w:rPr>
          <w:lang w:eastAsia="en-GB"/>
        </w:rPr>
        <w:t>In addition, while e</w:t>
      </w:r>
      <w:r w:rsidRPr="00A54047">
        <w:rPr>
          <w:lang w:eastAsia="en-GB"/>
        </w:rPr>
        <w:t>xplaining the negative relationship between board independ</w:t>
      </w:r>
      <w:r>
        <w:rPr>
          <w:lang w:eastAsia="en-GB"/>
        </w:rPr>
        <w:t>ence and shareholder value,</w:t>
      </w:r>
      <w:r w:rsidRPr="00A54047">
        <w:rPr>
          <w:lang w:eastAsia="en-GB"/>
        </w:rPr>
        <w:t xml:space="preserve"> </w:t>
      </w:r>
      <w:r>
        <w:rPr>
          <w:lang w:eastAsia="en-GB"/>
        </w:rPr>
        <w:fldChar w:fldCharType="begin"/>
      </w:r>
      <w:r w:rsidR="00327CEC">
        <w:rPr>
          <w:lang w:eastAsia="en-GB"/>
        </w:rPr>
        <w:instrText xml:space="preserve"> ADDIN EN.CITE &lt;EndNote&gt;&lt;Cite AuthorYear="1"&gt;&lt;Author&gt;Beltratti&lt;/Author&gt;&lt;Year&gt;2012&lt;/Year&gt;&lt;RecNum&gt;373&lt;/RecNum&gt;&lt;DisplayText&gt;Beltratti and Stulz (2012)&lt;/DisplayText&gt;&lt;record&gt;&lt;rec-number&gt;373&lt;/rec-number&gt;&lt;foreign-keys&gt;&lt;key app="EN" db-id="s00xzp50xdvx90ea0ravv2dxzr2pdvrrzaff" timestamp="1452198264" guid="fa792d27-0920-4ac7-a67d-befef928dc6d"&gt;373&lt;/key&gt;&lt;/foreign-keys&gt;&lt;ref-type name="Journal Article"&gt;17&lt;/ref-type&gt;&lt;contributors&gt;&lt;authors&gt;&lt;author&gt;Beltratti, A.&lt;/author&gt;&lt;author&gt;Stulz, R.M.&lt;/author&gt;&lt;/authors&gt;&lt;/contributors&gt;&lt;titles&gt;&lt;title&gt;The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dates&gt;&lt;year&gt;2012&lt;/year&gt;&lt;/dates&gt;&lt;isbn&gt;0304-405X&lt;/isbn&gt;&lt;urls&gt;&lt;/urls&gt;&lt;/record&gt;&lt;/Cite&gt;&lt;/EndNote&gt;</w:instrText>
      </w:r>
      <w:r>
        <w:rPr>
          <w:lang w:eastAsia="en-GB"/>
        </w:rPr>
        <w:fldChar w:fldCharType="separate"/>
      </w:r>
      <w:r>
        <w:rPr>
          <w:noProof/>
          <w:lang w:eastAsia="en-GB"/>
        </w:rPr>
        <w:t>Beltratti and Stulz (2012)</w:t>
      </w:r>
      <w:r>
        <w:rPr>
          <w:lang w:eastAsia="en-GB"/>
        </w:rPr>
        <w:fldChar w:fldCharType="end"/>
      </w:r>
      <w:r w:rsidRPr="00A54047">
        <w:rPr>
          <w:lang w:eastAsia="en-GB"/>
        </w:rPr>
        <w:t xml:space="preserve"> argue that during </w:t>
      </w:r>
      <w:r>
        <w:rPr>
          <w:lang w:eastAsia="en-GB"/>
        </w:rPr>
        <w:t>the crisis period, banks cho</w:t>
      </w:r>
      <w:r w:rsidRPr="00A54047">
        <w:rPr>
          <w:lang w:eastAsia="en-GB"/>
        </w:rPr>
        <w:t xml:space="preserve">se shareholder friendly boards (i.e. boards with higher number of NEDs) as they were exposed to more risks due to their strategies. It was the risky strategies </w:t>
      </w:r>
      <w:r>
        <w:rPr>
          <w:lang w:eastAsia="en-GB"/>
        </w:rPr>
        <w:t xml:space="preserve">of the banks, rather than their </w:t>
      </w:r>
      <w:r w:rsidRPr="00A54047">
        <w:rPr>
          <w:lang w:eastAsia="en-GB"/>
        </w:rPr>
        <w:t xml:space="preserve">governance mechanisms, which have led to poor </w:t>
      </w:r>
      <w:r>
        <w:rPr>
          <w:lang w:eastAsia="en-GB"/>
        </w:rPr>
        <w:t>shareholder value</w:t>
      </w:r>
      <w:r w:rsidRPr="00A54047">
        <w:rPr>
          <w:lang w:eastAsia="en-GB"/>
        </w:rPr>
        <w:t xml:space="preserve"> during the crisis</w:t>
      </w:r>
      <w:r>
        <w:rPr>
          <w:lang w:eastAsia="en-GB"/>
        </w:rPr>
        <w:t xml:space="preserve"> period</w:t>
      </w:r>
      <w:r w:rsidRPr="00A54047">
        <w:rPr>
          <w:lang w:eastAsia="en-GB"/>
        </w:rPr>
        <w:t xml:space="preserve">. However, it can </w:t>
      </w:r>
      <w:r>
        <w:rPr>
          <w:lang w:eastAsia="en-GB"/>
        </w:rPr>
        <w:t xml:space="preserve">also </w:t>
      </w:r>
      <w:r w:rsidRPr="00A54047">
        <w:rPr>
          <w:lang w:eastAsia="en-GB"/>
        </w:rPr>
        <w:t>be argued that if the</w:t>
      </w:r>
      <w:r>
        <w:rPr>
          <w:lang w:eastAsia="en-GB"/>
        </w:rPr>
        <w:t>se</w:t>
      </w:r>
      <w:r w:rsidRPr="00A54047">
        <w:rPr>
          <w:lang w:eastAsia="en-GB"/>
        </w:rPr>
        <w:t xml:space="preserve"> banks performed poorly due to excessive risk-taking </w:t>
      </w:r>
      <w:r>
        <w:rPr>
          <w:lang w:eastAsia="en-GB"/>
        </w:rPr>
        <w:t xml:space="preserve">practices </w:t>
      </w:r>
      <w:r w:rsidRPr="00A54047">
        <w:rPr>
          <w:lang w:eastAsia="en-GB"/>
        </w:rPr>
        <w:t xml:space="preserve">then this could indicate that NEDs have failed </w:t>
      </w:r>
      <w:r>
        <w:rPr>
          <w:lang w:eastAsia="en-GB"/>
        </w:rPr>
        <w:t xml:space="preserve">in their duty </w:t>
      </w:r>
      <w:r w:rsidRPr="00A54047">
        <w:rPr>
          <w:lang w:eastAsia="en-GB"/>
        </w:rPr>
        <w:t>to monit</w:t>
      </w:r>
      <w:r>
        <w:rPr>
          <w:lang w:eastAsia="en-GB"/>
        </w:rPr>
        <w:t>or and challenge excessive risk-</w:t>
      </w:r>
      <w:r w:rsidRPr="00A54047">
        <w:rPr>
          <w:lang w:eastAsia="en-GB"/>
        </w:rPr>
        <w:t xml:space="preserve">taking. </w:t>
      </w:r>
      <w:r>
        <w:rPr>
          <w:lang w:eastAsia="en-GB"/>
        </w:rPr>
        <w:t>In such circumstances</w:t>
      </w:r>
      <w:r w:rsidRPr="00A54047">
        <w:rPr>
          <w:lang w:eastAsia="en-GB"/>
        </w:rPr>
        <w:t xml:space="preserve">, increasing the </w:t>
      </w:r>
      <w:r>
        <w:rPr>
          <w:lang w:eastAsia="en-GB"/>
        </w:rPr>
        <w:t xml:space="preserve">number of </w:t>
      </w:r>
      <w:r w:rsidRPr="00A54047">
        <w:rPr>
          <w:lang w:eastAsia="en-GB"/>
        </w:rPr>
        <w:t xml:space="preserve">NEDs on boards could negatively affect </w:t>
      </w:r>
      <w:r>
        <w:rPr>
          <w:lang w:eastAsia="en-GB"/>
        </w:rPr>
        <w:t>the shareholder value of firm</w:t>
      </w:r>
      <w:r w:rsidRPr="00A54047">
        <w:rPr>
          <w:lang w:eastAsia="en-GB"/>
        </w:rPr>
        <w:t>.</w:t>
      </w:r>
    </w:p>
    <w:p w14:paraId="18AEAC55" w14:textId="1030E587" w:rsidR="00DC6089" w:rsidRDefault="00DC6089" w:rsidP="0092047F">
      <w:pPr>
        <w:rPr>
          <w:lang w:eastAsia="en-GB"/>
        </w:rPr>
      </w:pPr>
      <w:r>
        <w:rPr>
          <w:lang w:eastAsia="en-GB"/>
        </w:rPr>
        <w:t>A</w:t>
      </w:r>
      <w:r w:rsidRPr="00A54047">
        <w:rPr>
          <w:lang w:eastAsia="en-GB"/>
        </w:rPr>
        <w:t xml:space="preserve">nother explanation for the negative relationship between </w:t>
      </w:r>
      <w:r>
        <w:rPr>
          <w:lang w:eastAsia="en-GB"/>
        </w:rPr>
        <w:t xml:space="preserve">board independence and shareholder value relates to personal cost to directors. As explained by </w:t>
      </w:r>
      <w:r>
        <w:rPr>
          <w:lang w:eastAsia="en-GB"/>
        </w:rPr>
        <w:fldChar w:fldCharType="begin"/>
      </w:r>
      <w:r w:rsidR="00327CEC">
        <w:rPr>
          <w:lang w:eastAsia="en-GB"/>
        </w:rPr>
        <w:instrText xml:space="preserve"> ADDIN EN.CITE &lt;EndNote&gt;&lt;Cite AuthorYear="1"&gt;&lt;Author&gt;Lipton&lt;/Author&gt;&lt;Year&gt;1992&lt;/Year&gt;&lt;RecNum&gt;271&lt;/RecNum&gt;&lt;DisplayText&gt;Lipton and Lorsch (1992)&lt;/DisplayText&gt;&lt;record&gt;&lt;rec-number&gt;271&lt;/rec-number&gt;&lt;foreign-keys&gt;&lt;key app="EN" db-id="s00xzp50xdvx90ea0ravv2dxzr2pdvrrzaff" timestamp="1452198022" guid="036542b1-371b-4237-90cb-3d6742778ecf"&gt;271&lt;/key&gt;&lt;/foreign-keys&gt;&lt;ref-type name="Journal Article"&gt;17&lt;/ref-type&gt;&lt;contributors&gt;&lt;authors&gt;&lt;author&gt;Lipton, M&lt;/author&gt;&lt;author&gt;Lorsch, JW&lt;/author&gt;&lt;/authors&gt;&lt;/contributors&gt;&lt;titles&gt;&lt;title&gt;A modest proposal for improved corporate governance&lt;/title&gt;&lt;secondary-title&gt;The Business Lawyer&lt;/secondary-title&gt;&lt;/titles&gt;&lt;periodical&gt;&lt;full-title&gt;The Business lawyer&lt;/full-title&gt;&lt;/periodical&gt;&lt;pages&gt;59-77&lt;/pages&gt;&lt;volume&gt;48&lt;/volume&gt;&lt;number&gt;1&lt;/number&gt;&lt;dates&gt;&lt;year&gt;1992&lt;/year&gt;&lt;/dates&gt;&lt;urls&gt;&lt;/urls&gt;&lt;/record&gt;&lt;/Cite&gt;&lt;/EndNote&gt;</w:instrText>
      </w:r>
      <w:r>
        <w:rPr>
          <w:lang w:eastAsia="en-GB"/>
        </w:rPr>
        <w:fldChar w:fldCharType="separate"/>
      </w:r>
      <w:r>
        <w:rPr>
          <w:noProof/>
          <w:lang w:eastAsia="en-GB"/>
        </w:rPr>
        <w:t>Lipton and Lorsch (1992)</w:t>
      </w:r>
      <w:r>
        <w:rPr>
          <w:lang w:eastAsia="en-GB"/>
        </w:rPr>
        <w:fldChar w:fldCharType="end"/>
      </w:r>
      <w:r w:rsidRPr="00A54047">
        <w:rPr>
          <w:lang w:eastAsia="en-GB"/>
        </w:rPr>
        <w:t xml:space="preserve"> personal costs to directors fall </w:t>
      </w:r>
      <w:r>
        <w:rPr>
          <w:lang w:eastAsia="en-GB"/>
        </w:rPr>
        <w:t xml:space="preserve">in </w:t>
      </w:r>
      <w:r w:rsidRPr="00A54047">
        <w:rPr>
          <w:lang w:eastAsia="en-GB"/>
        </w:rPr>
        <w:t xml:space="preserve">large boards, which gives rise to </w:t>
      </w:r>
      <w:r>
        <w:rPr>
          <w:lang w:eastAsia="en-GB"/>
        </w:rPr>
        <w:t xml:space="preserve">the </w:t>
      </w:r>
      <w:r w:rsidRPr="00A54047">
        <w:rPr>
          <w:lang w:eastAsia="en-GB"/>
        </w:rPr>
        <w:t>‘free riding’</w:t>
      </w:r>
      <w:r>
        <w:rPr>
          <w:lang w:eastAsia="en-GB"/>
        </w:rPr>
        <w:t xml:space="preserve"> problem</w:t>
      </w:r>
      <w:r w:rsidRPr="00A54047">
        <w:rPr>
          <w:lang w:eastAsia="en-GB"/>
        </w:rPr>
        <w:t xml:space="preserve">. This argument could </w:t>
      </w:r>
      <w:r>
        <w:rPr>
          <w:lang w:eastAsia="en-GB"/>
        </w:rPr>
        <w:t xml:space="preserve">be extended to NEDs, as </w:t>
      </w:r>
      <w:r w:rsidRPr="00A54047">
        <w:rPr>
          <w:lang w:eastAsia="en-GB"/>
        </w:rPr>
        <w:t xml:space="preserve">in the case of poor </w:t>
      </w:r>
      <w:r>
        <w:rPr>
          <w:lang w:eastAsia="en-GB"/>
        </w:rPr>
        <w:t>shareholder value</w:t>
      </w:r>
      <w:r w:rsidRPr="00A54047">
        <w:rPr>
          <w:lang w:eastAsia="en-GB"/>
        </w:rPr>
        <w:t xml:space="preserve">, </w:t>
      </w:r>
      <w:r w:rsidRPr="00A54047">
        <w:rPr>
          <w:lang w:eastAsia="en-GB"/>
        </w:rPr>
        <w:lastRenderedPageBreak/>
        <w:t>it is the executive directors who are held responsible</w:t>
      </w:r>
      <w:r>
        <w:rPr>
          <w:lang w:eastAsia="en-GB"/>
        </w:rPr>
        <w:t xml:space="preserve"> for poor shareholder value</w:t>
      </w:r>
      <w:r w:rsidRPr="00A54047">
        <w:rPr>
          <w:lang w:eastAsia="en-GB"/>
        </w:rPr>
        <w:t>.</w:t>
      </w:r>
      <w:r>
        <w:rPr>
          <w:lang w:eastAsia="en-GB"/>
        </w:rPr>
        <w:t xml:space="preserve"> Therefore, due to the minimal personal costs</w:t>
      </w:r>
      <w:r w:rsidRPr="00513A7F">
        <w:rPr>
          <w:lang w:eastAsia="en-GB"/>
        </w:rPr>
        <w:t>, NEDs may lack motivation to monitor executive directors</w:t>
      </w:r>
      <w:r>
        <w:rPr>
          <w:lang w:eastAsia="en-GB"/>
        </w:rPr>
        <w:t xml:space="preserve"> adequately</w:t>
      </w:r>
      <w:r w:rsidRPr="00513A7F">
        <w:rPr>
          <w:lang w:eastAsia="en-GB"/>
        </w:rPr>
        <w:t xml:space="preserve">. </w:t>
      </w:r>
    </w:p>
    <w:p w14:paraId="0015F38D" w14:textId="64465214" w:rsidR="00DC6089" w:rsidRDefault="00DC6089" w:rsidP="0092047F">
      <w:pPr>
        <w:rPr>
          <w:lang w:eastAsia="en-GB"/>
        </w:rPr>
      </w:pPr>
      <w:r>
        <w:rPr>
          <w:lang w:eastAsia="en-GB"/>
        </w:rPr>
        <w:t xml:space="preserve">The results in Table 4 also highlight another key monitoring tool, the </w:t>
      </w:r>
      <w:r w:rsidRPr="00A54047">
        <w:rPr>
          <w:lang w:eastAsia="en-GB"/>
        </w:rPr>
        <w:t>numb</w:t>
      </w:r>
      <w:r>
        <w:rPr>
          <w:lang w:eastAsia="en-GB"/>
        </w:rPr>
        <w:t>er of internal control systems</w:t>
      </w:r>
      <w:r w:rsidRPr="00A54047">
        <w:rPr>
          <w:lang w:eastAsia="en-GB"/>
        </w:rPr>
        <w:t xml:space="preserve"> within an organisation</w:t>
      </w:r>
      <w:r>
        <w:rPr>
          <w:lang w:eastAsia="en-GB"/>
        </w:rPr>
        <w:t xml:space="preserve">, as being </w:t>
      </w:r>
      <w:r w:rsidRPr="00A54047">
        <w:rPr>
          <w:lang w:eastAsia="en-GB"/>
        </w:rPr>
        <w:t xml:space="preserve">positively associated with </w:t>
      </w:r>
      <w:r>
        <w:rPr>
          <w:lang w:eastAsia="en-GB"/>
        </w:rPr>
        <w:t>shareholder value</w:t>
      </w:r>
      <w:r w:rsidRPr="00A54047">
        <w:rPr>
          <w:lang w:eastAsia="en-GB"/>
        </w:rPr>
        <w:t xml:space="preserve">. </w:t>
      </w:r>
      <w:r>
        <w:rPr>
          <w:lang w:eastAsia="en-GB"/>
        </w:rPr>
        <w:t xml:space="preserve">This finding supports </w:t>
      </w:r>
      <w:r>
        <w:rPr>
          <w:b/>
          <w:i/>
          <w:lang w:eastAsia="en-GB"/>
        </w:rPr>
        <w:t>H</w:t>
      </w:r>
      <w:r>
        <w:rPr>
          <w:b/>
          <w:i/>
          <w:vertAlign w:val="subscript"/>
          <w:lang w:eastAsia="en-GB"/>
        </w:rPr>
        <w:t>2a</w:t>
      </w:r>
      <w:r>
        <w:rPr>
          <w:b/>
          <w:i/>
          <w:lang w:eastAsia="en-GB"/>
        </w:rPr>
        <w:t xml:space="preserve"> </w:t>
      </w:r>
      <w:r w:rsidRPr="00C74BA6">
        <w:rPr>
          <w:lang w:eastAsia="en-GB"/>
        </w:rPr>
        <w:t xml:space="preserve">which </w:t>
      </w:r>
      <w:r>
        <w:rPr>
          <w:lang w:eastAsia="en-GB"/>
        </w:rPr>
        <w:t xml:space="preserve">predicts </w:t>
      </w:r>
      <w:r w:rsidRPr="00925F96">
        <w:rPr>
          <w:lang w:eastAsia="en-GB"/>
        </w:rPr>
        <w:t>a positive relationship between effective monitoring (in this case represented by</w:t>
      </w:r>
      <w:r>
        <w:rPr>
          <w:lang w:eastAsia="en-GB"/>
        </w:rPr>
        <w:t xml:space="preserve"> the number of</w:t>
      </w:r>
      <w:r w:rsidRPr="00925F96">
        <w:rPr>
          <w:lang w:eastAsia="en-GB"/>
        </w:rPr>
        <w:t xml:space="preserve"> </w:t>
      </w:r>
      <w:r>
        <w:rPr>
          <w:lang w:eastAsia="en-GB"/>
        </w:rPr>
        <w:t>internal control systems</w:t>
      </w:r>
      <w:r w:rsidRPr="00925F96">
        <w:rPr>
          <w:lang w:eastAsia="en-GB"/>
        </w:rPr>
        <w:t>) and th</w:t>
      </w:r>
      <w:r>
        <w:rPr>
          <w:lang w:eastAsia="en-GB"/>
        </w:rPr>
        <w:t>e shareholder value</w:t>
      </w:r>
      <w:r>
        <w:rPr>
          <w:i/>
          <w:lang w:eastAsia="en-GB"/>
        </w:rPr>
        <w:t>.</w:t>
      </w:r>
      <w:r w:rsidRPr="00200792">
        <w:rPr>
          <w:i/>
          <w:lang w:eastAsia="en-GB"/>
        </w:rPr>
        <w:t xml:space="preserve"> </w:t>
      </w:r>
      <w:r>
        <w:rPr>
          <w:lang w:eastAsia="en-GB"/>
        </w:rPr>
        <w:t xml:space="preserve">This finding is consistent with </w:t>
      </w:r>
      <w:r>
        <w:rPr>
          <w:lang w:eastAsia="en-GB"/>
        </w:rPr>
        <w:fldChar w:fldCharType="begin"/>
      </w:r>
      <w:r w:rsidR="00327CEC">
        <w:rPr>
          <w:lang w:eastAsia="en-GB"/>
        </w:rPr>
        <w:instrText xml:space="preserve"> ADDIN EN.CITE &lt;EndNote&gt;&lt;Cite&gt;&lt;Author&gt;Gupta&lt;/Author&gt;&lt;Year&gt;2018&lt;/Year&gt;&lt;RecNum&gt;1081&lt;/RecNum&gt;&lt;DisplayText&gt;(Gupta, Sami, &amp;amp; Zhou, 2018)&lt;/DisplayText&gt;&lt;record&gt;&lt;rec-number&gt;1081&lt;/rec-number&gt;&lt;foreign-keys&gt;&lt;key app="EN" db-id="s00xzp50xdvx90ea0ravv2dxzr2pdvrrzaff" timestamp="1541436421" guid="e367720f-bc21-46c1-a3b7-7b8cfbf7a60c"&gt;1081&lt;/key&gt;&lt;/foreign-keys&gt;&lt;ref-type name="Journal Article"&gt;17&lt;/ref-type&gt;&lt;contributors&gt;&lt;authors&gt;&lt;author&gt;Gupta, P Parveen&lt;/author&gt;&lt;author&gt;Sami, Heibatollah&lt;/author&gt;&lt;author&gt;Zhou, Haiyan&lt;/author&gt;&lt;/authors&gt;&lt;/contributors&gt;&lt;titles&gt;&lt;title&gt;Do Companies With Effective Internal Controls Over Financial Reporting Benefit From Sarbanes–Oxley Sections 302 and 404?&lt;/title&gt;&lt;secondary-title&gt;Journal of Accounting, Auditing &amp;amp; Finance&lt;/secondary-title&gt;&lt;/titles&gt;&lt;periodical&gt;&lt;full-title&gt;Journal of Accounting, Auditing &amp;amp; Finance&lt;/full-title&gt;&lt;/periodical&gt;&lt;pages&gt;200-227&lt;/pages&gt;&lt;volume&gt;33&lt;/volume&gt;&lt;number&gt;2&lt;/number&gt;&lt;keywords&gt;&lt;keyword&gt;accounting disclosure,information asymmetry,bid-ask spread,trading volume,price volatility,cost–benefit,Sarbanes–Oxley Act&lt;/keyword&gt;&lt;/keywords&gt;&lt;dates&gt;&lt;year&gt;2018&lt;/year&gt;&lt;/dates&gt;&lt;urls&gt;&lt;related-urls&gt;&lt;url&gt;http://journals.sagepub.com/doi/abs/10.1177/0148558X16663091&lt;/url&gt;&lt;/related-urls&gt;&lt;/urls&gt;&lt;electronic-resource-num&gt;10.1177/0148558x16663091&lt;/electronic-resource-num&gt;&lt;/record&gt;&lt;/Cite&gt;&lt;/EndNote&gt;</w:instrText>
      </w:r>
      <w:r>
        <w:rPr>
          <w:lang w:eastAsia="en-GB"/>
        </w:rPr>
        <w:fldChar w:fldCharType="separate"/>
      </w:r>
      <w:r>
        <w:rPr>
          <w:noProof/>
          <w:lang w:eastAsia="en-GB"/>
        </w:rPr>
        <w:t>(Gupta, Sami, &amp; Zhou, 2018)</w:t>
      </w:r>
      <w:r>
        <w:rPr>
          <w:lang w:eastAsia="en-GB"/>
        </w:rPr>
        <w:fldChar w:fldCharType="end"/>
      </w:r>
      <w:r>
        <w:rPr>
          <w:lang w:eastAsia="en-GB"/>
        </w:rPr>
        <w:t xml:space="preserve">, who argue that strong internal controls are associated with decreased price volatility and increased trading volume. </w:t>
      </w:r>
      <w:r w:rsidRPr="005B5926">
        <w:rPr>
          <w:lang w:eastAsia="en-GB"/>
        </w:rPr>
        <w:t xml:space="preserve">This finding extends existing literature on the effectiveness of internal control systems as a monitoring tool for protecting the interests of shareholders. </w:t>
      </w:r>
      <w:r>
        <w:rPr>
          <w:lang w:eastAsia="en-GB"/>
        </w:rPr>
        <w:t>Additionally</w:t>
      </w:r>
      <w:r w:rsidRPr="005B5926">
        <w:rPr>
          <w:lang w:eastAsia="en-GB"/>
        </w:rPr>
        <w:t xml:space="preserve">, </w:t>
      </w:r>
      <w:r>
        <w:rPr>
          <w:lang w:eastAsia="en-GB"/>
        </w:rPr>
        <w:t>consistent with the notions of the</w:t>
      </w:r>
      <w:r w:rsidRPr="005B5926">
        <w:rPr>
          <w:lang w:eastAsia="en-GB"/>
        </w:rPr>
        <w:t xml:space="preserve"> agency theory, internal control systems could </w:t>
      </w:r>
      <w:r>
        <w:rPr>
          <w:lang w:eastAsia="en-GB"/>
        </w:rPr>
        <w:t>mitigate</w:t>
      </w:r>
      <w:r w:rsidRPr="005B5926">
        <w:rPr>
          <w:lang w:eastAsia="en-GB"/>
        </w:rPr>
        <w:t xml:space="preserve"> the conflict of interest between agents and principals, thus leading to improved shareholder value. More specifically, our results suggest</w:t>
      </w:r>
      <w:r>
        <w:rPr>
          <w:lang w:eastAsia="en-GB"/>
        </w:rPr>
        <w:t xml:space="preserve"> that all those financial firms that had introduced more internal control systems in our sample performed better than firms which had implemented fewer internal control systems.</w:t>
      </w:r>
    </w:p>
    <w:p w14:paraId="652D2450" w14:textId="57453FB9" w:rsidR="00DC6089" w:rsidRDefault="00DC6089" w:rsidP="0092047F">
      <w:pPr>
        <w:rPr>
          <w:lang w:eastAsia="en-GB"/>
        </w:rPr>
      </w:pPr>
      <w:r>
        <w:rPr>
          <w:lang w:eastAsia="en-GB"/>
        </w:rPr>
        <w:t xml:space="preserve">Finally, Table 4 further reports that as far as extra committees on board are concerned, our results are statistically insignificant during the pre-crisis period. The negative relationship between extra board committees and ROE during the crisis period indicates that our results are consistent with the findings of </w:t>
      </w:r>
      <w:r>
        <w:rPr>
          <w:lang w:eastAsia="en-GB"/>
        </w:rPr>
        <w:fldChar w:fldCharType="begin"/>
      </w:r>
      <w:r w:rsidR="00327CEC">
        <w:rPr>
          <w:lang w:eastAsia="en-GB"/>
        </w:rPr>
        <w:instrText xml:space="preserve"> ADDIN EN.CITE &lt;EndNote&gt;&lt;Cite AuthorYear="1"&gt;&lt;Author&gt;McKnight&lt;/Author&gt;&lt;Year&gt;2009&lt;/Year&gt;&lt;RecNum&gt;320&lt;/RecNum&gt;&lt;DisplayText&gt;McKnight and Weir (2009)&lt;/DisplayText&gt;&lt;record&gt;&lt;rec-number&gt;320&lt;/rec-number&gt;&lt;foreign-keys&gt;&lt;key app="EN" db-id="s00xzp50xdvx90ea0ravv2dxzr2pdvrrzaff" timestamp="1452198186" guid="da7df18a-6fb9-448c-95c0-c0899dd9fdb4"&gt;320&lt;/key&gt;&lt;/foreign-keys&gt;&lt;ref-type name="Journal Article"&gt;17&lt;/ref-type&gt;&lt;contributors&gt;&lt;authors&gt;&lt;author&gt;McKnight, Phillip J.&lt;/author&gt;&lt;author&gt;Weir, Charlie&lt;/author&gt;&lt;/authors&gt;&lt;/contributors&gt;&lt;titles&gt;&lt;title&gt;Agency costs, corporate governance mechanisms and ownership structure in large UK publicly quoted companies: A panel data analysis&lt;/title&gt;&lt;secondary-title&gt;The Quarterly Review of Economics and Finance&lt;/secondary-title&gt;&lt;/titles&gt;&lt;periodical&gt;&lt;full-title&gt;The Quarterly Review of Economics and Finance&lt;/full-title&gt;&lt;/periodical&gt;&lt;pages&gt;139-158&lt;/pages&gt;&lt;volume&gt;49&lt;/volume&gt;&lt;number&gt;2&lt;/number&gt;&lt;keywords&gt;&lt;keyword&gt;Agency costs&lt;/keyword&gt;&lt;keyword&gt;Governance mechanisms&lt;/keyword&gt;&lt;keyword&gt;Codes of best practice&lt;/keyword&gt;&lt;/keywords&gt;&lt;dates&gt;&lt;year&gt;2009&lt;/year&gt;&lt;/dates&gt;&lt;isbn&gt;1062-9769&lt;/isbn&gt;&lt;urls&gt;&lt;related-urls&gt;&lt;url&gt;http://www.sciencedirect.com/science/article/B6W5X-4RR8YY2-1/2/b4ed2d6de373830b77c197909a25a713&lt;/url&gt;&lt;/related-urls&gt;&lt;/urls&gt;&lt;/record&gt;&lt;/Cite&gt;&lt;/EndNote&gt;</w:instrText>
      </w:r>
      <w:r>
        <w:rPr>
          <w:lang w:eastAsia="en-GB"/>
        </w:rPr>
        <w:fldChar w:fldCharType="separate"/>
      </w:r>
      <w:r>
        <w:rPr>
          <w:noProof/>
          <w:lang w:eastAsia="en-GB"/>
        </w:rPr>
        <w:t>McKnight and Weir (2009)</w:t>
      </w:r>
      <w:r>
        <w:rPr>
          <w:lang w:eastAsia="en-GB"/>
        </w:rPr>
        <w:fldChar w:fldCharType="end"/>
      </w:r>
      <w:r>
        <w:rPr>
          <w:lang w:eastAsia="en-GB"/>
        </w:rPr>
        <w:t>.</w:t>
      </w:r>
      <w:r w:rsidRPr="00AF1065">
        <w:rPr>
          <w:lang w:eastAsia="en-GB"/>
        </w:rPr>
        <w:t xml:space="preserve"> This could </w:t>
      </w:r>
      <w:r>
        <w:rPr>
          <w:lang w:eastAsia="en-GB"/>
        </w:rPr>
        <w:t>mean</w:t>
      </w:r>
      <w:r w:rsidRPr="00AF1065">
        <w:rPr>
          <w:lang w:eastAsia="en-GB"/>
        </w:rPr>
        <w:t xml:space="preserve"> that </w:t>
      </w:r>
      <w:r>
        <w:rPr>
          <w:lang w:eastAsia="en-GB"/>
        </w:rPr>
        <w:t xml:space="preserve">during the crisis period, </w:t>
      </w:r>
      <w:r w:rsidRPr="00AF1065">
        <w:rPr>
          <w:lang w:eastAsia="en-GB"/>
        </w:rPr>
        <w:t>increasing the number of board com</w:t>
      </w:r>
      <w:r>
        <w:rPr>
          <w:lang w:eastAsia="en-GB"/>
        </w:rPr>
        <w:t>mittees might be detrimental to</w:t>
      </w:r>
      <w:r w:rsidRPr="00AF1065">
        <w:rPr>
          <w:lang w:eastAsia="en-GB"/>
        </w:rPr>
        <w:t xml:space="preserve"> </w:t>
      </w:r>
      <w:r>
        <w:rPr>
          <w:lang w:eastAsia="en-GB"/>
        </w:rPr>
        <w:t>shareholder value, and is consistent with the view that board committees lead to more agency costs.</w:t>
      </w:r>
    </w:p>
    <w:p w14:paraId="0FD704D5" w14:textId="77777777" w:rsidR="00DC6089" w:rsidRPr="001C037A" w:rsidRDefault="00DC6089" w:rsidP="0092047F">
      <w:pPr>
        <w:pStyle w:val="Heading2"/>
      </w:pPr>
      <w:r>
        <w:lastRenderedPageBreak/>
        <w:t>Incentive mechanisms</w:t>
      </w:r>
      <w:r w:rsidRPr="001C037A">
        <w:t xml:space="preserve"> and </w:t>
      </w:r>
      <w:r>
        <w:t>shareholder value</w:t>
      </w:r>
    </w:p>
    <w:p w14:paraId="46E1127B" w14:textId="68F2B6C9" w:rsidR="00DC6089" w:rsidRDefault="00DC6089" w:rsidP="0092047F">
      <w:pPr>
        <w:rPr>
          <w:lang w:eastAsia="en-GB"/>
        </w:rPr>
      </w:pPr>
      <w:r>
        <w:rPr>
          <w:lang w:eastAsia="en-GB"/>
        </w:rPr>
        <w:t xml:space="preserve">Two </w:t>
      </w:r>
      <w:r w:rsidRPr="00CD469B">
        <w:rPr>
          <w:lang w:eastAsia="en-GB"/>
        </w:rPr>
        <w:t>incentive mechanisms</w:t>
      </w:r>
      <w:r>
        <w:rPr>
          <w:lang w:eastAsia="en-GB"/>
        </w:rPr>
        <w:t xml:space="preserve"> have been investigated in this study, namely: the</w:t>
      </w:r>
      <w:r w:rsidRPr="0081445C">
        <w:t xml:space="preserve"> </w:t>
      </w:r>
      <w:r w:rsidRPr="0081445C">
        <w:rPr>
          <w:lang w:eastAsia="en-GB"/>
        </w:rPr>
        <w:t>directors’ share ownership</w:t>
      </w:r>
      <w:r>
        <w:rPr>
          <w:lang w:eastAsia="en-GB"/>
        </w:rPr>
        <w:t xml:space="preserve"> and </w:t>
      </w:r>
      <w:r w:rsidRPr="007224E1">
        <w:rPr>
          <w:lang w:eastAsia="en-GB"/>
        </w:rPr>
        <w:t>directors’ remuneration</w:t>
      </w:r>
      <w:r>
        <w:rPr>
          <w:lang w:eastAsia="en-GB"/>
        </w:rPr>
        <w:t>. These two</w:t>
      </w:r>
      <w:r w:rsidRPr="0062457E">
        <w:t xml:space="preserve"> </w:t>
      </w:r>
      <w:r w:rsidRPr="0062457E">
        <w:rPr>
          <w:lang w:eastAsia="en-GB"/>
        </w:rPr>
        <w:t xml:space="preserve">mechanisms </w:t>
      </w:r>
      <w:r>
        <w:rPr>
          <w:lang w:eastAsia="en-GB"/>
        </w:rPr>
        <w:t>serve</w:t>
      </w:r>
      <w:r w:rsidRPr="0062457E">
        <w:rPr>
          <w:lang w:eastAsia="en-GB"/>
        </w:rPr>
        <w:t xml:space="preserve"> to align directors’ interests with the shareholders</w:t>
      </w:r>
      <w:r>
        <w:rPr>
          <w:lang w:eastAsia="en-GB"/>
        </w:rPr>
        <w:t xml:space="preserve">. The results in Table 4 show that </w:t>
      </w:r>
      <w:r w:rsidRPr="00473C61">
        <w:rPr>
          <w:lang w:eastAsia="en-GB"/>
        </w:rPr>
        <w:t>of the two incentive mechanisms</w:t>
      </w:r>
      <w:r>
        <w:rPr>
          <w:lang w:eastAsia="en-GB"/>
        </w:rPr>
        <w:t xml:space="preserve">, </w:t>
      </w:r>
      <w:r w:rsidRPr="00DD01CC">
        <w:rPr>
          <w:lang w:eastAsia="en-GB"/>
        </w:rPr>
        <w:t xml:space="preserve">directors’ share ownership </w:t>
      </w:r>
      <w:r>
        <w:rPr>
          <w:lang w:eastAsia="en-GB"/>
        </w:rPr>
        <w:t>is</w:t>
      </w:r>
      <w:r w:rsidRPr="00DD01CC">
        <w:rPr>
          <w:lang w:eastAsia="en-GB"/>
        </w:rPr>
        <w:t xml:space="preserve"> more </w:t>
      </w:r>
      <w:r>
        <w:rPr>
          <w:lang w:eastAsia="en-GB"/>
        </w:rPr>
        <w:t xml:space="preserve">effective in increasing shareholder value. Our results indicate that </w:t>
      </w:r>
      <w:r w:rsidRPr="00D52184">
        <w:rPr>
          <w:lang w:eastAsia="en-GB"/>
        </w:rPr>
        <w:t>directors’ share ownership is positively associated with shareholder value during the pre-crisis and crisis periods, for both measures of shareholder value</w:t>
      </w:r>
      <w:r>
        <w:rPr>
          <w:lang w:eastAsia="en-GB"/>
        </w:rPr>
        <w:t>. This</w:t>
      </w:r>
      <w:r w:rsidRPr="00C77C4E">
        <w:rPr>
          <w:lang w:eastAsia="en-GB"/>
        </w:rPr>
        <w:t xml:space="preserve"> supports </w:t>
      </w:r>
      <w:r>
        <w:rPr>
          <w:b/>
          <w:i/>
          <w:lang w:eastAsia="en-GB"/>
        </w:rPr>
        <w:t>H</w:t>
      </w:r>
      <w:r>
        <w:rPr>
          <w:b/>
          <w:i/>
          <w:vertAlign w:val="subscript"/>
          <w:lang w:eastAsia="en-GB"/>
        </w:rPr>
        <w:t>2b</w:t>
      </w:r>
      <w:r w:rsidRPr="00C77C4E">
        <w:rPr>
          <w:lang w:eastAsia="en-GB"/>
        </w:rPr>
        <w:t xml:space="preserve"> which predicts a positive relationship between directors’ incentives (in this case</w:t>
      </w:r>
      <w:r>
        <w:rPr>
          <w:lang w:eastAsia="en-GB"/>
        </w:rPr>
        <w:t>,</w:t>
      </w:r>
      <w:r w:rsidRPr="00C77C4E">
        <w:rPr>
          <w:lang w:eastAsia="en-GB"/>
        </w:rPr>
        <w:t xml:space="preserve"> represented by directors’ share ownership) and the shareholder value. This finding extends the existing literature in this area which </w:t>
      </w:r>
      <w:r>
        <w:rPr>
          <w:lang w:eastAsia="en-GB"/>
        </w:rPr>
        <w:t>report</w:t>
      </w:r>
      <w:r w:rsidRPr="00C77C4E">
        <w:rPr>
          <w:lang w:eastAsia="en-GB"/>
        </w:rPr>
        <w:t xml:space="preserve"> that equity-based incentives are beneficial for reducing various types of agency costs such as, audit fees</w:t>
      </w:r>
      <w:r w:rsidR="0055637D">
        <w:rPr>
          <w:lang w:eastAsia="en-GB"/>
        </w:rPr>
        <w:t xml:space="preserve"> </w:t>
      </w:r>
      <w:r w:rsidR="0055637D">
        <w:rPr>
          <w:lang w:eastAsia="en-GB"/>
        </w:rPr>
        <w:fldChar w:fldCharType="begin"/>
      </w:r>
      <w:r w:rsidR="00327CEC">
        <w:rPr>
          <w:lang w:eastAsia="en-GB"/>
        </w:rPr>
        <w:instrText xml:space="preserve"> ADDIN EN.CITE &lt;EndNote&gt;&lt;Cite&gt;&lt;Author&gt;Gotti&lt;/Author&gt;&lt;Year&gt;2012&lt;/Year&gt;&lt;RecNum&gt;825&lt;/RecNum&gt;&lt;DisplayText&gt;(Gotti, Han, Higgs, &amp;amp; Kang, 2012)&lt;/DisplayText&gt;&lt;record&gt;&lt;rec-number&gt;825&lt;/rec-number&gt;&lt;foreign-keys&gt;&lt;key app="EN" db-id="s00xzp50xdvx90ea0ravv2dxzr2pdvrrzaff" timestamp="1486560907" guid="efde809d-d2d7-4fc2-8342-33b7815b67be"&gt;825&lt;/key&gt;&lt;/foreign-keys&gt;&lt;ref-type name="Journal Article"&gt;17&lt;/ref-type&gt;&lt;contributors&gt;&lt;authors&gt;&lt;author&gt;Gotti, Giorgio&lt;/author&gt;&lt;author&gt;Han, Sam&lt;/author&gt;&lt;author&gt;Higgs, Julia L.&lt;/author&gt;&lt;author&gt;Kang, Tom&lt;/author&gt;&lt;/authors&gt;&lt;/contributors&gt;&lt;titles&gt;&lt;title&gt;Managerial Stock Ownership, Analyst Coverage, and Audit Fee&lt;/title&gt;&lt;secondary-title&gt;Journal of Accounting, Auditing &amp;amp; Finance&lt;/secondary-title&gt;&lt;/titles&gt;&lt;periodical&gt;&lt;full-title&gt;Journal of Accounting, Auditing &amp;amp; Finance&lt;/full-title&gt;&lt;/periodical&gt;&lt;pages&gt;412-437&lt;/pages&gt;&lt;volume&gt;27&lt;/volume&gt;&lt;number&gt;3&lt;/number&gt;&lt;keywords&gt;&lt;keyword&gt;analyst coverage&lt;/keyword&gt;&lt;keyword&gt;audit fee&lt;/keyword&gt;&lt;keyword&gt;corporate governance&lt;/keyword&gt;&lt;keyword&gt;managerial ownership&lt;/keyword&gt;&lt;/keywords&gt;&lt;dates&gt;&lt;year&gt;2012&lt;/year&gt;&lt;/dates&gt;&lt;publisher&gt;Sage Publications Inc.&lt;/publisher&gt;&lt;isbn&gt;0148558X&lt;/isbn&gt;&lt;accession-num&gt;76403704&lt;/accession-num&gt;&lt;work-type&gt;Article&lt;/work-type&gt;&lt;urls&gt;&lt;related-urls&gt;&lt;url&gt;http://libezproxy.open.ac.uk/login?url=http://search.ebscohost.com/login.aspx?direct=true&amp;amp;db=bth&amp;amp;AN=76403704&amp;amp;site=ehost-live&amp;amp;scope=site&lt;/url&gt;&lt;/related-urls&gt;&lt;/urls&gt;&lt;electronic-resource-num&gt;10.1177/0148558X11409158&lt;/electronic-resource-num&gt;&lt;remote-database-name&gt;bth&lt;/remote-database-name&gt;&lt;remote-database-provider&gt;EBSCOhost&lt;/remote-database-provider&gt;&lt;/record&gt;&lt;/Cite&gt;&lt;/EndNote&gt;</w:instrText>
      </w:r>
      <w:r w:rsidR="0055637D">
        <w:rPr>
          <w:lang w:eastAsia="en-GB"/>
        </w:rPr>
        <w:fldChar w:fldCharType="separate"/>
      </w:r>
      <w:r w:rsidR="0055637D">
        <w:rPr>
          <w:noProof/>
          <w:lang w:eastAsia="en-GB"/>
        </w:rPr>
        <w:t>(Gotti, Han, Higgs, &amp; Kang, 2012)</w:t>
      </w:r>
      <w:r w:rsidR="0055637D">
        <w:rPr>
          <w:lang w:eastAsia="en-GB"/>
        </w:rPr>
        <w:fldChar w:fldCharType="end"/>
      </w:r>
      <w:r w:rsidRPr="00C77C4E">
        <w:rPr>
          <w:lang w:eastAsia="en-GB"/>
        </w:rPr>
        <w:t xml:space="preserve"> and management pay </w:t>
      </w:r>
      <w:r w:rsidR="0055637D">
        <w:rPr>
          <w:lang w:eastAsia="en-GB"/>
        </w:rPr>
        <w:fldChar w:fldCharType="begin"/>
      </w:r>
      <w:r w:rsidR="00327CEC">
        <w:rPr>
          <w:lang w:eastAsia="en-GB"/>
        </w:rPr>
        <w:instrText xml:space="preserve"> ADDIN EN.CITE &lt;EndNote&gt;&lt;Cite&gt;&lt;Author&gt;Janakiraman&lt;/Author&gt;&lt;Year&gt;2010&lt;/Year&gt;&lt;RecNum&gt;823&lt;/RecNum&gt;&lt;DisplayText&gt;(Janakiraman, Radhakrishnan, &amp;amp; Tsang, 2010)&lt;/DisplayText&gt;&lt;record&gt;&lt;rec-number&gt;823&lt;/rec-number&gt;&lt;foreign-keys&gt;&lt;key app="EN" db-id="s00xzp50xdvx90ea0ravv2dxzr2pdvrrzaff" timestamp="1486560326" guid="acd0e25f-9974-4e46-8aa1-3ed500201074"&gt;823&lt;/key&gt;&lt;/foreign-keys&gt;&lt;ref-type name="Journal Article"&gt;17&lt;/ref-type&gt;&lt;contributors&gt;&lt;authors&gt;&lt;author&gt;Janakiraman, Surya&lt;/author&gt;&lt;author&gt;Radhakrishnan, Suresh&lt;/author&gt;&lt;author&gt;Tsang, Albert&lt;/author&gt;&lt;/authors&gt;&lt;/contributors&gt;&lt;titles&gt;&lt;title&gt;Institutional Investors, Managerial Ownership, and Executive Compensation&lt;/title&gt;&lt;secondary-title&gt;Journal of Accounting, Auditing &amp;amp; Finance&lt;/secondary-title&gt;&lt;/titles&gt;&lt;periodical&gt;&lt;full-title&gt;Journal of Accounting, Auditing &amp;amp; Finance&lt;/full-title&gt;&lt;/periodical&gt;&lt;pages&gt;673-707&lt;/pages&gt;&lt;volume&gt;25&lt;/volume&gt;&lt;number&gt;4&lt;/number&gt;&lt;keywords&gt;&lt;keyword&gt;Institutional investors&lt;/keyword&gt;&lt;keyword&gt;Executive compensation&lt;/keyword&gt;&lt;keyword&gt;Corporate governance&lt;/keyword&gt;&lt;keyword&gt;Empirical research&lt;/keyword&gt;&lt;keyword&gt;Agency theory&lt;/keyword&gt;&lt;keyword&gt;Boards of directors&lt;/keyword&gt;&lt;keyword&gt;Pay for performance&lt;/keyword&gt;&lt;keyword&gt;Chief executive officers&lt;/keyword&gt;&lt;keyword&gt;Risk aversion&lt;/keyword&gt;&lt;keyword&gt;Mathematical models&lt;/keyword&gt;&lt;keyword&gt;Executive power&lt;/keyword&gt;&lt;keyword&gt;Agency (Law)&lt;/keyword&gt;&lt;/keywords&gt;&lt;dates&gt;&lt;year&gt;2010&lt;/year&gt;&lt;pub-dates&gt;&lt;date&gt;Fall2010&lt;/date&gt;&lt;/pub-dates&gt;&lt;/dates&gt;&lt;publisher&gt;Sage Publications Inc.&lt;/publisher&gt;&lt;isbn&gt;0148558X&lt;/isbn&gt;&lt;accession-num&gt;57274000&lt;/accession-num&gt;&lt;work-type&gt;Article&lt;/work-type&gt;&lt;urls&gt;&lt;related-urls&gt;&lt;url&gt;http://libezproxy.open.ac.uk/login?url=http://search.ebscohost.com/login.aspx?direct=true&amp;amp;db=bth&amp;amp;AN=57274000&amp;amp;site=ehost-live&amp;amp;scope=site&lt;/url&gt;&lt;/related-urls&gt;&lt;/urls&gt;&lt;remote-database-name&gt;bth&lt;/remote-database-name&gt;&lt;remote-database-provider&gt;EBSCOhost&lt;/remote-database-provider&gt;&lt;/record&gt;&lt;/Cite&gt;&lt;/EndNote&gt;</w:instrText>
      </w:r>
      <w:r w:rsidR="0055637D">
        <w:rPr>
          <w:lang w:eastAsia="en-GB"/>
        </w:rPr>
        <w:fldChar w:fldCharType="separate"/>
      </w:r>
      <w:r w:rsidR="0055637D">
        <w:rPr>
          <w:noProof/>
          <w:lang w:eastAsia="en-GB"/>
        </w:rPr>
        <w:t>(Janakiraman, Radhakrishnan, &amp; Tsang, 2010)</w:t>
      </w:r>
      <w:r w:rsidR="0055637D">
        <w:rPr>
          <w:lang w:eastAsia="en-GB"/>
        </w:rPr>
        <w:fldChar w:fldCharType="end"/>
      </w:r>
      <w:r w:rsidR="0055637D">
        <w:rPr>
          <w:lang w:eastAsia="en-GB"/>
        </w:rPr>
        <w:t>.</w:t>
      </w:r>
      <w:r>
        <w:rPr>
          <w:lang w:eastAsia="en-GB"/>
        </w:rPr>
        <w:t xml:space="preserve"> </w:t>
      </w:r>
    </w:p>
    <w:p w14:paraId="438ECDE1" w14:textId="758998AD" w:rsidR="00DC6089" w:rsidRDefault="00DC6089" w:rsidP="0092047F">
      <w:pPr>
        <w:rPr>
          <w:lang w:eastAsia="en-GB"/>
        </w:rPr>
      </w:pPr>
      <w:r>
        <w:rPr>
          <w:lang w:eastAsia="en-GB"/>
        </w:rPr>
        <w:t xml:space="preserve">However, </w:t>
      </w:r>
      <w:r w:rsidRPr="008B2B77">
        <w:rPr>
          <w:lang w:eastAsia="en-GB"/>
        </w:rPr>
        <w:t xml:space="preserve">a negative relationship </w:t>
      </w:r>
      <w:r>
        <w:rPr>
          <w:lang w:eastAsia="en-GB"/>
        </w:rPr>
        <w:t xml:space="preserve">is reported </w:t>
      </w:r>
      <w:r w:rsidRPr="008B2B77">
        <w:rPr>
          <w:lang w:eastAsia="en-GB"/>
        </w:rPr>
        <w:t xml:space="preserve">between directors’ remuneration and shareholder value contradicting </w:t>
      </w:r>
      <w:r>
        <w:rPr>
          <w:b/>
          <w:i/>
          <w:lang w:eastAsia="en-GB"/>
        </w:rPr>
        <w:t>H</w:t>
      </w:r>
      <w:r>
        <w:rPr>
          <w:b/>
          <w:i/>
          <w:vertAlign w:val="subscript"/>
          <w:lang w:eastAsia="en-GB"/>
        </w:rPr>
        <w:t>2b</w:t>
      </w:r>
      <w:r w:rsidRPr="008B2B77">
        <w:rPr>
          <w:lang w:eastAsia="en-GB"/>
        </w:rPr>
        <w:t>, which predicts a positive relationship between directors’ incentives (in this case</w:t>
      </w:r>
      <w:r>
        <w:rPr>
          <w:lang w:eastAsia="en-GB"/>
        </w:rPr>
        <w:t>,</w:t>
      </w:r>
      <w:r w:rsidRPr="008B2B77">
        <w:rPr>
          <w:lang w:eastAsia="en-GB"/>
        </w:rPr>
        <w:t xml:space="preserve"> represented by remuneration) and shareholder value. This finding indicates that remuneration is not an effective tool for aligning directors’ interests with those of the shareholders.</w:t>
      </w:r>
      <w:r>
        <w:rPr>
          <w:lang w:eastAsia="en-GB"/>
        </w:rPr>
        <w:t xml:space="preserve"> Studies such as</w:t>
      </w:r>
      <w:r w:rsidR="00405E71">
        <w:rPr>
          <w:lang w:eastAsia="en-GB"/>
        </w:rPr>
        <w:t xml:space="preserve"> </w:t>
      </w:r>
      <w:r w:rsidR="00405E71">
        <w:rPr>
          <w:lang w:eastAsia="en-GB"/>
        </w:rPr>
        <w:fldChar w:fldCharType="begin"/>
      </w:r>
      <w:r w:rsidR="00327CEC">
        <w:rPr>
          <w:lang w:eastAsia="en-GB"/>
        </w:rPr>
        <w:instrText xml:space="preserve"> ADDIN EN.CITE &lt;EndNote&gt;&lt;Cite AuthorYear="1"&gt;&lt;Author&gt;Morck&lt;/Author&gt;&lt;Year&gt;1988&lt;/Year&gt;&lt;RecNum&gt;292&lt;/RecNum&gt;&lt;DisplayText&gt;Morck, Shleifer, and Vishny (1988)&lt;/DisplayText&gt;&lt;record&gt;&lt;rec-number&gt;292&lt;/rec-number&gt;&lt;foreign-keys&gt;&lt;key app="EN" db-id="s00xzp50xdvx90ea0ravv2dxzr2pdvrrzaff" timestamp="1452198104" guid="b54519bb-8b74-4bbf-b946-641ce297017d"&gt;292&lt;/key&gt;&lt;/foreign-keys&gt;&lt;ref-type name="Journal Article"&gt;17&lt;/ref-type&gt;&lt;contributors&gt;&lt;authors&gt;&lt;author&gt;Morck, Randall&lt;/author&gt;&lt;author&gt;Shleifer, Andrei&lt;/author&gt;&lt;author&gt;Vishny, Robert W.&lt;/author&gt;&lt;/authors&gt;&lt;/contributors&gt;&lt;titles&gt;&lt;title&gt;Management ownership and market valuation: An empirical analysis&lt;/title&gt;&lt;secondary-title&gt;Journal of Financial Economics&lt;/secondary-title&gt;&lt;/titles&gt;&lt;periodical&gt;&lt;full-title&gt;Journal of Financial Economics&lt;/full-title&gt;&lt;/periodical&gt;&lt;pages&gt;293-315&lt;/pages&gt;&lt;volume&gt;20&lt;/volume&gt;&lt;number&gt;1&lt;/number&gt;&lt;dates&gt;&lt;year&gt;1988&lt;/year&gt;&lt;pub-dates&gt;&lt;date&gt;1988/3//&lt;/date&gt;&lt;/pub-dates&gt;&lt;/dates&gt;&lt;isbn&gt;0304-405X&lt;/isbn&gt;&lt;urls&gt;&lt;related-urls&gt;&lt;url&gt;http://www.sciencedirect.com/science/article/B6VBX-45GSGSY-F/2/1c43a6037fa3f1a67ec42f43538d99c1&lt;/url&gt;&lt;/related-urls&gt;&lt;/urls&gt;&lt;/record&gt;&lt;/Cite&gt;&lt;/EndNote&gt;</w:instrText>
      </w:r>
      <w:r w:rsidR="00405E71">
        <w:rPr>
          <w:lang w:eastAsia="en-GB"/>
        </w:rPr>
        <w:fldChar w:fldCharType="separate"/>
      </w:r>
      <w:r w:rsidR="00405E71">
        <w:rPr>
          <w:noProof/>
          <w:lang w:eastAsia="en-GB"/>
        </w:rPr>
        <w:t>Morck, Shleifer, and Vishny (1988)</w:t>
      </w:r>
      <w:r w:rsidR="00405E71">
        <w:rPr>
          <w:lang w:eastAsia="en-GB"/>
        </w:rPr>
        <w:fldChar w:fldCharType="end"/>
      </w:r>
      <w:r>
        <w:rPr>
          <w:lang w:eastAsia="en-GB"/>
        </w:rPr>
        <w:t xml:space="preserve"> </w:t>
      </w:r>
      <w:r w:rsidRPr="008B2B77">
        <w:rPr>
          <w:lang w:eastAsia="en-GB"/>
        </w:rPr>
        <w:t>report</w:t>
      </w:r>
      <w:r>
        <w:rPr>
          <w:lang w:eastAsia="en-GB"/>
        </w:rPr>
        <w:t>ed</w:t>
      </w:r>
      <w:r w:rsidRPr="008B2B77">
        <w:rPr>
          <w:lang w:eastAsia="en-GB"/>
        </w:rPr>
        <w:t xml:space="preserve"> a negative relationship between remuneration and shareholder value and</w:t>
      </w:r>
      <w:r>
        <w:rPr>
          <w:lang w:eastAsia="en-GB"/>
        </w:rPr>
        <w:t xml:space="preserve"> </w:t>
      </w:r>
      <w:r w:rsidRPr="008B2B77">
        <w:rPr>
          <w:lang w:eastAsia="en-GB"/>
        </w:rPr>
        <w:t>argue that higher remuneration could be the result of weak internal corporate governance mechanisms within a firm. Similarly, explaining the negative relationship between executive compensation and firm performance</w:t>
      </w:r>
      <w:r>
        <w:rPr>
          <w:lang w:eastAsia="en-GB"/>
        </w:rPr>
        <w:t xml:space="preserve"> in the context of financial crisis</w:t>
      </w:r>
      <w:r w:rsidRPr="008B2B77">
        <w:rPr>
          <w:lang w:eastAsia="en-GB"/>
        </w:rPr>
        <w:t>,</w:t>
      </w:r>
      <w:r w:rsidR="00574C50">
        <w:rPr>
          <w:lang w:eastAsia="en-GB"/>
        </w:rPr>
        <w:t xml:space="preserve"> </w:t>
      </w:r>
      <w:r w:rsidR="00574C50">
        <w:rPr>
          <w:lang w:eastAsia="en-GB"/>
        </w:rPr>
        <w:fldChar w:fldCharType="begin"/>
      </w:r>
      <w:r w:rsidR="00327CEC">
        <w:rPr>
          <w:lang w:eastAsia="en-GB"/>
        </w:rPr>
        <w:instrText xml:space="preserve"> ADDIN EN.CITE &lt;EndNote&gt;&lt;Cite AuthorYear="1"&gt;&lt;Author&gt;Cheng&lt;/Author&gt;&lt;Year&gt;2015&lt;/Year&gt;&lt;RecNum&gt;491&lt;/RecNum&gt;&lt;DisplayText&gt;Cheng, Hong, and Scheinkman (2015)&lt;/DisplayText&gt;&lt;record&gt;&lt;rec-number&gt;491&lt;/rec-number&gt;&lt;foreign-keys&gt;&lt;key app="EN" db-id="s00xzp50xdvx90ea0ravv2dxzr2pdvrrzaff" timestamp="1452260174" guid="34cbae1f-9dfd-49d3-ad50-f1201f55f035"&gt;491&lt;/key&gt;&lt;/foreign-keys&gt;&lt;ref-type name="Journal Article"&gt;17&lt;/ref-type&gt;&lt;contributors&gt;&lt;authors&gt;&lt;author&gt;Cheng, Ing‐Haw&lt;/author&gt;&lt;author&gt;Hong, Harrison&lt;/author&gt;&lt;author&gt;Scheinkman, Jose A&lt;/author&gt;&lt;/authors&gt;&lt;/contributors&gt;&lt;titles&gt;&lt;title&gt;Yesterday&amp;apos;s Heroes: Compensation and Risk at Financial Firms&lt;/title&gt;&lt;secondary-title&gt;The Journal of Finance&lt;/secondary-title&gt;&lt;/titles&gt;&lt;periodical&gt;&lt;full-title&gt;The Journal of Finance&lt;/full-title&gt;&lt;/periodical&gt;&lt;pages&gt;839-879&lt;/pages&gt;&lt;volume&gt;70&lt;/volume&gt;&lt;number&gt;2&lt;/number&gt;&lt;dates&gt;&lt;year&gt;2015&lt;/year&gt;&lt;/dates&gt;&lt;isbn&gt;1540-6261&lt;/isbn&gt;&lt;urls&gt;&lt;/urls&gt;&lt;/record&gt;&lt;/Cite&gt;&lt;/EndNote&gt;</w:instrText>
      </w:r>
      <w:r w:rsidR="00574C50">
        <w:rPr>
          <w:lang w:eastAsia="en-GB"/>
        </w:rPr>
        <w:fldChar w:fldCharType="separate"/>
      </w:r>
      <w:r w:rsidR="00574C50">
        <w:rPr>
          <w:noProof/>
          <w:lang w:eastAsia="en-GB"/>
        </w:rPr>
        <w:t>Cheng, Hong, and Scheinkman (2015)</w:t>
      </w:r>
      <w:r w:rsidR="00574C50">
        <w:rPr>
          <w:lang w:eastAsia="en-GB"/>
        </w:rPr>
        <w:fldChar w:fldCharType="end"/>
      </w:r>
      <w:r w:rsidRPr="008B2B77">
        <w:rPr>
          <w:lang w:eastAsia="en-GB"/>
        </w:rPr>
        <w:t xml:space="preserve"> </w:t>
      </w:r>
      <w:r w:rsidRPr="007128CF">
        <w:rPr>
          <w:lang w:eastAsia="en-GB"/>
        </w:rPr>
        <w:t xml:space="preserve">argue that firms with high executive remuneration experienced poor performance during the financial crisis. This implies that higher remuneration paid to directors could result in higher agency costs. </w:t>
      </w:r>
    </w:p>
    <w:p w14:paraId="587CF85E" w14:textId="2656C360" w:rsidR="00DC6089" w:rsidRDefault="00DC6089" w:rsidP="0092047F">
      <w:pPr>
        <w:rPr>
          <w:lang w:eastAsia="en-GB"/>
        </w:rPr>
      </w:pPr>
      <w:r>
        <w:rPr>
          <w:lang w:eastAsia="en-GB"/>
        </w:rPr>
        <w:lastRenderedPageBreak/>
        <w:t>I</w:t>
      </w:r>
      <w:r w:rsidRPr="007128CF">
        <w:rPr>
          <w:lang w:eastAsia="en-GB"/>
        </w:rPr>
        <w:t>n the UK context, remuneration structures in</w:t>
      </w:r>
      <w:r w:rsidR="00D8228E">
        <w:rPr>
          <w:lang w:eastAsia="en-GB"/>
        </w:rPr>
        <w:t xml:space="preserve"> </w:t>
      </w:r>
      <w:r w:rsidRPr="007128CF">
        <w:rPr>
          <w:lang w:eastAsia="en-GB"/>
        </w:rPr>
        <w:t xml:space="preserve">financial institutions may have encouraged short-termism and excessive risk-taking attitude. </w:t>
      </w:r>
      <w:r>
        <w:rPr>
          <w:lang w:eastAsia="en-GB"/>
        </w:rPr>
        <w:t>E</w:t>
      </w:r>
      <w:r w:rsidRPr="007128CF">
        <w:rPr>
          <w:lang w:eastAsia="en-GB"/>
        </w:rPr>
        <w:t xml:space="preserve">xisting literature </w:t>
      </w:r>
      <w:r>
        <w:rPr>
          <w:lang w:eastAsia="en-GB"/>
        </w:rPr>
        <w:t>provides evidence of</w:t>
      </w:r>
      <w:r w:rsidRPr="007128CF">
        <w:rPr>
          <w:lang w:eastAsia="en-GB"/>
        </w:rPr>
        <w:t xml:space="preserve"> a positive association between directors remuneration/compensation and banks’ risk </w:t>
      </w:r>
      <w:r>
        <w:rPr>
          <w:lang w:eastAsia="en-GB"/>
        </w:rPr>
        <w:fldChar w:fldCharType="begin"/>
      </w:r>
      <w:r w:rsidR="00327CEC">
        <w:rPr>
          <w:lang w:eastAsia="en-GB"/>
        </w:rPr>
        <w:instrText xml:space="preserve"> ADDIN EN.CITE &lt;EndNote&gt;&lt;Cite AuthorYear="1"&gt;&lt;Author&gt;Cheng&lt;/Author&gt;&lt;Year&gt;2015&lt;/Year&gt;&lt;RecNum&gt;491&lt;/RecNum&gt;&lt;DisplayText&gt;Cheng et al. (2015)&lt;/DisplayText&gt;&lt;record&gt;&lt;rec-number&gt;491&lt;/rec-number&gt;&lt;foreign-keys&gt;&lt;key app="EN" db-id="s00xzp50xdvx90ea0ravv2dxzr2pdvrrzaff" timestamp="1452260174" guid="34cbae1f-9dfd-49d3-ad50-f1201f55f035"&gt;491&lt;/key&gt;&lt;/foreign-keys&gt;&lt;ref-type name="Journal Article"&gt;17&lt;/ref-type&gt;&lt;contributors&gt;&lt;authors&gt;&lt;author&gt;Cheng, Ing‐Haw&lt;/author&gt;&lt;author&gt;Hong, Harrison&lt;/author&gt;&lt;author&gt;Scheinkman, Jose A&lt;/author&gt;&lt;/authors&gt;&lt;/contributors&gt;&lt;titles&gt;&lt;title&gt;Yesterday&amp;apos;s Heroes: Compensation and Risk at Financial Firms&lt;/title&gt;&lt;secondary-title&gt;The Journal of Finance&lt;/secondary-title&gt;&lt;/titles&gt;&lt;periodical&gt;&lt;full-title&gt;The Journal of Finance&lt;/full-title&gt;&lt;/periodical&gt;&lt;pages&gt;839-879&lt;/pages&gt;&lt;volume&gt;70&lt;/volume&gt;&lt;number&gt;2&lt;/number&gt;&lt;dates&gt;&lt;year&gt;2015&lt;/year&gt;&lt;/dates&gt;&lt;isbn&gt;1540-6261&lt;/isbn&gt;&lt;urls&gt;&lt;/urls&gt;&lt;/record&gt;&lt;/Cite&gt;&lt;/EndNote&gt;</w:instrText>
      </w:r>
      <w:r>
        <w:rPr>
          <w:lang w:eastAsia="en-GB"/>
        </w:rPr>
        <w:fldChar w:fldCharType="separate"/>
      </w:r>
      <w:r w:rsidR="000A7F09">
        <w:rPr>
          <w:noProof/>
          <w:lang w:eastAsia="en-GB"/>
        </w:rPr>
        <w:t>Cheng et al. (2015)</w:t>
      </w:r>
      <w:r>
        <w:rPr>
          <w:lang w:eastAsia="en-GB"/>
        </w:rPr>
        <w:fldChar w:fldCharType="end"/>
      </w:r>
      <w:r>
        <w:rPr>
          <w:lang w:eastAsia="en-GB"/>
        </w:rPr>
        <w:t xml:space="preserve">. Based on the results provided in Table 4, it is therefore argued that </w:t>
      </w:r>
      <w:r w:rsidR="00AC3DA7">
        <w:rPr>
          <w:lang w:eastAsia="en-GB"/>
        </w:rPr>
        <w:t xml:space="preserve">for </w:t>
      </w:r>
      <w:r>
        <w:rPr>
          <w:lang w:eastAsia="en-GB"/>
        </w:rPr>
        <w:t xml:space="preserve">our sample </w:t>
      </w:r>
      <w:r w:rsidR="000E5573">
        <w:rPr>
          <w:lang w:eastAsia="en-GB"/>
        </w:rPr>
        <w:t xml:space="preserve">of </w:t>
      </w:r>
      <w:r>
        <w:rPr>
          <w:lang w:eastAsia="en-GB"/>
        </w:rPr>
        <w:t>financial firms, higher remunerations paid to directors may have encouraged excessive risk-taking however this did not translate into improved shareholder value. It is also evident from our results</w:t>
      </w:r>
      <w:r w:rsidR="00C32862">
        <w:rPr>
          <w:lang w:eastAsia="en-GB"/>
        </w:rPr>
        <w:t xml:space="preserve"> that</w:t>
      </w:r>
      <w:r>
        <w:rPr>
          <w:lang w:eastAsia="en-GB"/>
        </w:rPr>
        <w:t xml:space="preserve"> the negative relationship between remuneration and shareholder value is stronger and significant in the crisis period as compared to the pre-crisis period. This suggests that those UK financial institutions that paid higher remunerations to their directors for aligning their interests with shareholders performed poorly during the financial crisis. This finding is consistent with the view presented in prior literature that suggested that financial firms’ excessive risk-taking behaviour led to poor shareholder value during the crisis period </w:t>
      </w:r>
      <w:r>
        <w:rPr>
          <w:lang w:eastAsia="en-GB"/>
        </w:rPr>
        <w:fldChar w:fldCharType="begin"/>
      </w:r>
      <w:r w:rsidR="00327CEC">
        <w:rPr>
          <w:lang w:eastAsia="en-GB"/>
        </w:rPr>
        <w:instrText xml:space="preserve"> ADDIN EN.CITE &lt;EndNote&gt;&lt;Cite&gt;&lt;Author&gt;Fahlenbrach&lt;/Author&gt;&lt;Year&gt;2011&lt;/Year&gt;&lt;RecNum&gt;400&lt;/RecNum&gt;&lt;DisplayText&gt;(Fahlenbrach &amp;amp; Stulz, 2011; Van Essen et al., 2013)&lt;/DisplayText&gt;&lt;record&gt;&lt;rec-number&gt;400&lt;/rec-number&gt;&lt;foreign-keys&gt;&lt;key app="EN" db-id="s00xzp50xdvx90ea0ravv2dxzr2pdvrrzaff" timestamp="1452198325" guid="2e36649f-b4a4-446e-b550-da438437cb32"&gt;400&lt;/key&gt;&lt;/foreign-keys&gt;&lt;ref-type name="Journal Article"&gt;17&lt;/ref-type&gt;&lt;contributors&gt;&lt;authors&gt;&lt;author&gt;Fahlenbrach, R.&lt;/author&gt;&lt;author&gt;Stulz, R.M.&lt;/author&gt;&lt;/authors&gt;&lt;/contributors&gt;&lt;titles&gt;&lt;title&gt;Bank CEO incentives and the credit crisis&lt;/title&gt;&lt;secondary-title&gt;Journal of Financial Economics&lt;/secondary-title&gt;&lt;/titles&gt;&lt;periodical&gt;&lt;full-title&gt;Journal of Financial Economics&lt;/full-title&gt;&lt;/periodical&gt;&lt;pages&gt;11-26&lt;/pages&gt;&lt;volume&gt;99&lt;/volume&gt;&lt;number&gt;1&lt;/number&gt;&lt;dates&gt;&lt;year&gt;2011&lt;/year&gt;&lt;/dates&gt;&lt;isbn&gt;0304-405X&lt;/isbn&gt;&lt;urls&gt;&lt;/urls&gt;&lt;/record&gt;&lt;/Cite&gt;&lt;Cite&gt;&lt;Author&gt;Van Essen&lt;/Author&gt;&lt;Year&gt;2013&lt;/Year&gt;&lt;RecNum&gt;534&lt;/RecNum&gt;&lt;record&gt;&lt;rec-number&gt;534&lt;/rec-number&gt;&lt;foreign-keys&gt;&lt;key app="EN" db-id="s00xzp50xdvx90ea0ravv2dxzr2pdvrrzaff" timestamp="1452596056" guid="bf3405d3-09e6-4d33-9e77-c757322feeeb"&gt;534&lt;/key&gt;&lt;/foreign-keys&gt;&lt;ref-type name="Journal Article"&gt;17&lt;/ref-type&gt;&lt;contributors&gt;&lt;authors&gt;&lt;author&gt;Van Essen, Marc&lt;/author&gt;&lt;author&gt;Engelen, Peter‐Jan&lt;/author&gt;&lt;author&gt;Carney, Michael&lt;/author&gt;&lt;/authors&gt;&lt;/contributors&gt;&lt;titles&gt;&lt;title&gt;Does “Good” corporate governance help in a crisis? The impact of country‐and firm‐level governance mechanisms in the European financial crisis&lt;/title&gt;&lt;secondary-title&gt;Corporate Governance: An International Review&lt;/secondary-title&gt;&lt;/titles&gt;&lt;periodical&gt;&lt;full-title&gt;Corporate Governance: An International Review&lt;/full-title&gt;&lt;/periodical&gt;&lt;pages&gt;201-224&lt;/pages&gt;&lt;volume&gt;21&lt;/volume&gt;&lt;number&gt;3&lt;/number&gt;&lt;dates&gt;&lt;year&gt;2013&lt;/year&gt;&lt;/dates&gt;&lt;isbn&gt;1467-8683&lt;/isbn&gt;&lt;urls&gt;&lt;/urls&gt;&lt;/record&gt;&lt;/Cite&gt;&lt;/EndNote&gt;</w:instrText>
      </w:r>
      <w:r>
        <w:rPr>
          <w:lang w:eastAsia="en-GB"/>
        </w:rPr>
        <w:fldChar w:fldCharType="separate"/>
      </w:r>
      <w:r w:rsidR="000A7F09">
        <w:rPr>
          <w:noProof/>
          <w:lang w:eastAsia="en-GB"/>
        </w:rPr>
        <w:t>(Fahlenbrach &amp; Stulz, 2011; Van Essen et al., 2013)</w:t>
      </w:r>
      <w:r>
        <w:rPr>
          <w:lang w:eastAsia="en-GB"/>
        </w:rPr>
        <w:fldChar w:fldCharType="end"/>
      </w:r>
      <w:r>
        <w:rPr>
          <w:lang w:eastAsia="en-GB"/>
        </w:rPr>
        <w:t xml:space="preserve">. We also </w:t>
      </w:r>
      <w:r w:rsidR="00B53426">
        <w:rPr>
          <w:lang w:eastAsia="en-GB"/>
        </w:rPr>
        <w:t>investigated</w:t>
      </w:r>
      <w:r w:rsidR="00DA61B2">
        <w:rPr>
          <w:lang w:eastAsia="en-GB"/>
        </w:rPr>
        <w:t xml:space="preserve"> </w:t>
      </w:r>
      <w:r>
        <w:rPr>
          <w:lang w:eastAsia="en-GB"/>
        </w:rPr>
        <w:t xml:space="preserve">remuneration paid </w:t>
      </w:r>
      <w:r w:rsidR="00037123">
        <w:rPr>
          <w:lang w:eastAsia="en-GB"/>
        </w:rPr>
        <w:t xml:space="preserve">based on the </w:t>
      </w:r>
      <w:r>
        <w:rPr>
          <w:lang w:eastAsia="en-GB"/>
        </w:rPr>
        <w:t>board size, and re-analysed the data, however, the results were largely unchanged.</w:t>
      </w:r>
      <w:r>
        <w:rPr>
          <w:rStyle w:val="EndnoteReference"/>
          <w:lang w:eastAsia="en-GB"/>
        </w:rPr>
        <w:endnoteReference w:id="13"/>
      </w:r>
    </w:p>
    <w:p w14:paraId="4D5120DD" w14:textId="5A869BB3" w:rsidR="00DC6089" w:rsidRDefault="00DC6089" w:rsidP="0092047F">
      <w:pPr>
        <w:rPr>
          <w:lang w:eastAsia="en-GB"/>
        </w:rPr>
      </w:pPr>
      <w:r>
        <w:rPr>
          <w:lang w:eastAsia="en-GB"/>
        </w:rPr>
        <w:t xml:space="preserve">Therefore, our results suggest that share ownership is a more effective incentive mechanism in increasing shareholder value and for aligning directors’ interests with those of the shareholders than </w:t>
      </w:r>
      <w:r w:rsidRPr="008B2B77">
        <w:rPr>
          <w:lang w:eastAsia="en-GB"/>
        </w:rPr>
        <w:t>directors’ remuneration</w:t>
      </w:r>
      <w:r>
        <w:rPr>
          <w:lang w:eastAsia="en-GB"/>
        </w:rPr>
        <w:t xml:space="preserve">.  Directors’ incentives in the form of increased ownership is expected to encourage directors to take a long-term view which helps in enhancing the shareholder value. </w:t>
      </w:r>
    </w:p>
    <w:p w14:paraId="3C669BA5" w14:textId="77777777" w:rsidR="00DC6089" w:rsidRPr="001C037A" w:rsidRDefault="00DC6089" w:rsidP="0092047F">
      <w:pPr>
        <w:pStyle w:val="Heading2"/>
      </w:pPr>
      <w:r>
        <w:t>Compliance with individual provisions of the UK CGC</w:t>
      </w:r>
    </w:p>
    <w:p w14:paraId="476DEF38" w14:textId="77777777" w:rsidR="0092047F" w:rsidRPr="00C2755C" w:rsidRDefault="00DC6089" w:rsidP="0092047F">
      <w:r w:rsidRPr="00C2755C">
        <w:rPr>
          <w:lang w:eastAsia="en-GB"/>
        </w:rPr>
        <w:t xml:space="preserve">We further analyse the relationship between </w:t>
      </w:r>
      <w:r>
        <w:rPr>
          <w:lang w:eastAsia="en-GB"/>
        </w:rPr>
        <w:t>non-compliance</w:t>
      </w:r>
      <w:r w:rsidRPr="00C2755C">
        <w:rPr>
          <w:lang w:eastAsia="en-GB"/>
        </w:rPr>
        <w:t xml:space="preserve"> and shareholder value by running our regressions on individual provisions of our index to address the concerns discussed in prior literature suggesting that not all of the provisions in an equally weighted governance </w:t>
      </w:r>
      <w:r w:rsidRPr="00C2755C">
        <w:rPr>
          <w:lang w:eastAsia="en-GB"/>
        </w:rPr>
        <w:lastRenderedPageBreak/>
        <w:t>index would affect shareholder value of firms equally (</w:t>
      </w:r>
      <w:proofErr w:type="spellStart"/>
      <w:r w:rsidRPr="00C2755C">
        <w:rPr>
          <w:lang w:eastAsia="en-GB"/>
        </w:rPr>
        <w:t>Bebchuk</w:t>
      </w:r>
      <w:proofErr w:type="spellEnd"/>
      <w:r w:rsidRPr="00C2755C">
        <w:rPr>
          <w:lang w:eastAsia="en-GB"/>
        </w:rPr>
        <w:t xml:space="preserve"> et al., 2009). The individual provisions considered were P2, P3, P4, P8, P11, P15 and P18 on the basis that most of our sample firms were non-compliant with these provisions more frequently. However, only </w:t>
      </w:r>
      <w:r w:rsidRPr="00C2755C">
        <w:t>P15 and P18 were identified as consistently negatively associated with ROE and TSR</w:t>
      </w:r>
      <w:r w:rsidRPr="00C2755C">
        <w:rPr>
          <w:rStyle w:val="EndnoteReference"/>
        </w:rPr>
        <w:endnoteReference w:id="14"/>
      </w:r>
      <w:r w:rsidRPr="00C2755C">
        <w:t>. According to the results of Principal Component Analysis (PCA)</w:t>
      </w:r>
      <w:r w:rsidRPr="00C2755C">
        <w:rPr>
          <w:rStyle w:val="EndnoteReference"/>
        </w:rPr>
        <w:endnoteReference w:id="15"/>
      </w:r>
      <w:r w:rsidRPr="00C2755C">
        <w:t>,</w:t>
      </w:r>
      <w:r w:rsidR="0092047F" w:rsidRPr="00C2755C">
        <w:t xml:space="preserve"> six components were identified as having </w:t>
      </w:r>
      <w:r w:rsidR="0092047F" w:rsidRPr="00C2755C">
        <w:rPr>
          <w:i/>
        </w:rPr>
        <w:t>eigenvalues</w:t>
      </w:r>
      <w:r w:rsidR="0092047F" w:rsidRPr="00C2755C">
        <w:t xml:space="preserve"> of over 1, and collectively explaining 60.6 % of the variance. Out of these six components only two (</w:t>
      </w:r>
      <w:r w:rsidR="0092047F">
        <w:t>Incentives</w:t>
      </w:r>
      <w:r w:rsidR="0092047F" w:rsidRPr="00C2755C">
        <w:t xml:space="preserve"> and Monitoring) were significantly associated with shareholder value. </w:t>
      </w:r>
      <w:r w:rsidR="0092047F">
        <w:t>Incentives</w:t>
      </w:r>
      <w:r w:rsidR="0092047F" w:rsidRPr="00C2755C">
        <w:t xml:space="preserve"> consists of factors related to the remuneration structure whereas monitoring is related to the existence of independent non-executive directors on corporate boards, and various sub-committees. In the case of </w:t>
      </w:r>
      <w:r w:rsidR="0092047F">
        <w:t>incentives</w:t>
      </w:r>
      <w:r w:rsidR="0092047F" w:rsidRPr="00C2755C">
        <w:t>, non-compliance with the given provisions was positively associated with shareholder value, however, monitoring non-compliance was negatively associated with shareholder value.</w:t>
      </w:r>
    </w:p>
    <w:p w14:paraId="5F7F0EDC" w14:textId="667AD727" w:rsidR="0092047F" w:rsidRPr="00C2755C" w:rsidRDefault="0092047F" w:rsidP="0092047F">
      <w:r w:rsidRPr="00C2755C">
        <w:t xml:space="preserve">Although the UK CGC requires companies to pay performance-based salaries to their directors, our results indicate that those companies which are non-compliant with such provisions had better shareholder value in the period leading up to financial crisis, as well as during the crisis. </w:t>
      </w:r>
      <w:r>
        <w:t>In other words</w:t>
      </w:r>
      <w:r w:rsidRPr="00C94857">
        <w:t>, those firms which paid performance related pay to their directors preformed worse than their counterparts where directors’ pay was not based on performance</w:t>
      </w:r>
      <w:r>
        <w:t xml:space="preserve">. </w:t>
      </w:r>
      <w:r w:rsidRPr="00C2755C">
        <w:t xml:space="preserve">These results are consistent with </w:t>
      </w:r>
      <w:r w:rsidRPr="00C2755C">
        <w:fldChar w:fldCharType="begin"/>
      </w:r>
      <w:r w:rsidR="00327CEC">
        <w:instrText xml:space="preserve"> ADDIN EN.CITE &lt;EndNote&gt;&lt;Cite AuthorYear="1"&gt;&lt;Author&gt;Carter&lt;/Author&gt;&lt;Year&gt;2016&lt;/Year&gt;&lt;RecNum&gt;1047&lt;/RecNum&gt;&lt;DisplayText&gt;Carter, Lei, Marcus, and Tehranian (2016)&lt;/DisplayText&gt;&lt;record&gt;&lt;rec-number&gt;1047&lt;/rec-number&gt;&lt;foreign-keys&gt;&lt;key app="EN" db-id="s00xzp50xdvx90ea0ravv2dxzr2pdvrrzaff" timestamp="1532353604" guid="732b1248-24ba-414a-8153-f23920095365"&gt;1047&lt;/key&gt;&lt;/foreign-keys&gt;&lt;ref-type name="Journal Article"&gt;17&lt;/ref-type&gt;&lt;contributors&gt;&lt;authors&gt;&lt;author&gt;Carter, Mary Ellen&lt;/author&gt;&lt;author&gt;Lei, Li&lt;/author&gt;&lt;author&gt;Marcus, J Alan&lt;/author&gt;&lt;author&gt;Tehranian, Hassan&lt;/author&gt;&lt;/authors&gt;&lt;/contributors&gt;&lt;titles&gt;&lt;title&gt;Excess pay and deficient performance&lt;/title&gt;&lt;secondary-title&gt;Review of Financial Economics&lt;/secondary-title&gt;&lt;/titles&gt;&lt;periodical&gt;&lt;full-title&gt;Review of Financial Economics&lt;/full-title&gt;&lt;/periodical&gt;&lt;pages&gt;1-10&lt;/pages&gt;&lt;volume&gt;30&lt;/volume&gt;&lt;number&gt;1&lt;/number&gt;&lt;dates&gt;&lt;year&gt;2016&lt;/year&gt;&lt;/dates&gt;&lt;urls&gt;&lt;related-urls&gt;&lt;url&gt;https://onlinelibrary.wiley.com/doi/abs/10.1016/j.rfe.2015.08.003&lt;/url&gt;&lt;/related-urls&gt;&lt;/urls&gt;&lt;electronic-resource-num&gt;doi:10.1016/j.rfe.2015.08.003&lt;/electronic-resource-num&gt;&lt;/record&gt;&lt;/Cite&gt;&lt;/EndNote&gt;</w:instrText>
      </w:r>
      <w:r w:rsidRPr="00C2755C">
        <w:fldChar w:fldCharType="separate"/>
      </w:r>
      <w:r w:rsidRPr="00C2755C">
        <w:rPr>
          <w:noProof/>
        </w:rPr>
        <w:t>Carter, Lei, Marcus, and Tehranian (2016)</w:t>
      </w:r>
      <w:r w:rsidRPr="00C2755C">
        <w:fldChar w:fldCharType="end"/>
      </w:r>
      <w:r w:rsidRPr="00C2755C">
        <w:t>, who argue that abnormally high compensation predict</w:t>
      </w:r>
      <w:r w:rsidR="00195410">
        <w:t>s</w:t>
      </w:r>
      <w:r w:rsidRPr="00C2755C">
        <w:t xml:space="preserve"> worse future shareholder value and high pay represents an agency problem.</w:t>
      </w:r>
    </w:p>
    <w:p w14:paraId="2869EDC2" w14:textId="2C791014" w:rsidR="0092047F" w:rsidRDefault="0092047F" w:rsidP="0092047F">
      <w:r w:rsidRPr="00C2755C">
        <w:t xml:space="preserve"> In relation to firms’ non-compliance with those provisions of the UK CGC that are related to monitoring, our findings imply that it is beneficial for companies to comply with these requirements of the UK CGC. It is however important to note that in relation to monitoring, the emphasis is placed on the strictly defined independence of non-executive </w:t>
      </w:r>
      <w:r w:rsidRPr="00C2755C">
        <w:lastRenderedPageBreak/>
        <w:t>directors as highlighted in Section 4.2. The UK CGC outlines a number of requirements (for instance NED’s time on board, family ties and material business transactions with the firm, amongst other things) that need to be met before a director can be considered as independent. Our results show that those firms which are meeting the compliance requirement of independent non-executive directors perform better than those which are non-compliant.</w:t>
      </w:r>
      <w:r>
        <w:t xml:space="preserve"> </w:t>
      </w:r>
      <w:r w:rsidRPr="00B66EE8">
        <w:t xml:space="preserve">Comparing this result to the findings discussed </w:t>
      </w:r>
      <w:r>
        <w:t>in section 4.2</w:t>
      </w:r>
      <w:r w:rsidRPr="00B66EE8">
        <w:t>, it can be argued that NEDs could only enhance monitoring if such directors meet the strict independence criteria set out by the UK CGC.</w:t>
      </w:r>
      <w:r>
        <w:t xml:space="preserve"> </w:t>
      </w:r>
    </w:p>
    <w:p w14:paraId="02D2EB2B" w14:textId="77777777" w:rsidR="0092047F" w:rsidRPr="00B72888" w:rsidRDefault="0092047F" w:rsidP="0092047F">
      <w:pPr>
        <w:ind w:left="2880"/>
        <w:rPr>
          <w:rFonts w:eastAsia="Calibri" w:cs="Times New Roman"/>
          <w:szCs w:val="24"/>
        </w:rPr>
      </w:pPr>
      <w:r w:rsidRPr="00C20A52">
        <w:rPr>
          <w:rFonts w:cs="Times New Roman"/>
          <w:b/>
          <w:szCs w:val="24"/>
        </w:rPr>
        <w:t xml:space="preserve">[Insert Table </w:t>
      </w:r>
      <w:r>
        <w:rPr>
          <w:rFonts w:cs="Times New Roman"/>
          <w:b/>
          <w:szCs w:val="24"/>
        </w:rPr>
        <w:t>4</w:t>
      </w:r>
      <w:r w:rsidRPr="00C20A52">
        <w:rPr>
          <w:rFonts w:cs="Times New Roman"/>
          <w:b/>
          <w:szCs w:val="24"/>
        </w:rPr>
        <w:t xml:space="preserve"> about here]</w:t>
      </w:r>
    </w:p>
    <w:p w14:paraId="0EE12AA3" w14:textId="1F2FBABE" w:rsidR="0092047F" w:rsidRPr="007B4D7E" w:rsidRDefault="0092047F" w:rsidP="007B4D7E">
      <w:pPr>
        <w:ind w:left="2880"/>
        <w:rPr>
          <w:rFonts w:eastAsia="Calibri" w:cs="Times New Roman"/>
          <w:szCs w:val="24"/>
        </w:rPr>
      </w:pPr>
      <w:r w:rsidRPr="00C20A52">
        <w:rPr>
          <w:rFonts w:cs="Times New Roman"/>
          <w:b/>
          <w:szCs w:val="24"/>
        </w:rPr>
        <w:t xml:space="preserve">[Insert Table </w:t>
      </w:r>
      <w:r>
        <w:rPr>
          <w:rFonts w:cs="Times New Roman"/>
          <w:b/>
          <w:szCs w:val="24"/>
        </w:rPr>
        <w:t>5</w:t>
      </w:r>
      <w:r w:rsidRPr="00C20A52">
        <w:rPr>
          <w:rFonts w:cs="Times New Roman"/>
          <w:b/>
          <w:szCs w:val="24"/>
        </w:rPr>
        <w:t xml:space="preserve"> about here]</w:t>
      </w:r>
    </w:p>
    <w:p w14:paraId="6F2D5E7E" w14:textId="77777777" w:rsidR="0092047F" w:rsidRDefault="0092047F" w:rsidP="0092047F">
      <w:pPr>
        <w:pStyle w:val="Heading1"/>
        <w:rPr>
          <w:rFonts w:eastAsia="Times New Roman"/>
          <w:lang w:eastAsia="en-GB"/>
        </w:rPr>
      </w:pPr>
      <w:r>
        <w:rPr>
          <w:rFonts w:eastAsia="Times New Roman"/>
          <w:lang w:eastAsia="en-GB"/>
        </w:rPr>
        <w:t>Robustness tests</w:t>
      </w:r>
    </w:p>
    <w:p w14:paraId="3A8EF937" w14:textId="77777777" w:rsidR="0092047F" w:rsidRPr="00020FAD" w:rsidRDefault="0092047F" w:rsidP="0092047F">
      <w:pPr>
        <w:ind w:firstLine="0"/>
        <w:rPr>
          <w:lang w:eastAsia="en-GB"/>
        </w:rPr>
      </w:pPr>
      <w:r>
        <w:rPr>
          <w:lang w:eastAsia="en-GB"/>
        </w:rPr>
        <w:t>In order to</w:t>
      </w:r>
      <w:r w:rsidRPr="0085021F">
        <w:rPr>
          <w:lang w:eastAsia="en-GB"/>
        </w:rPr>
        <w:t xml:space="preserve"> test the robustness of </w:t>
      </w:r>
      <w:r>
        <w:rPr>
          <w:lang w:eastAsia="en-GB"/>
        </w:rPr>
        <w:t>our</w:t>
      </w:r>
      <w:r w:rsidRPr="0085021F">
        <w:rPr>
          <w:lang w:eastAsia="en-GB"/>
        </w:rPr>
        <w:t xml:space="preserve"> results, we analyse the data for the whole sample period</w:t>
      </w:r>
      <w:r>
        <w:rPr>
          <w:lang w:eastAsia="en-GB"/>
        </w:rPr>
        <w:t xml:space="preserve"> (</w:t>
      </w:r>
      <w:r w:rsidRPr="0085021F">
        <w:rPr>
          <w:lang w:eastAsia="en-GB"/>
        </w:rPr>
        <w:t>2003</w:t>
      </w:r>
      <w:r>
        <w:rPr>
          <w:lang w:eastAsia="en-GB"/>
        </w:rPr>
        <w:t xml:space="preserve"> – </w:t>
      </w:r>
      <w:r w:rsidRPr="0085021F">
        <w:rPr>
          <w:lang w:eastAsia="en-GB"/>
        </w:rPr>
        <w:t>2010</w:t>
      </w:r>
      <w:r>
        <w:rPr>
          <w:lang w:eastAsia="en-GB"/>
        </w:rPr>
        <w:t>)</w:t>
      </w:r>
      <w:r w:rsidRPr="0085021F">
        <w:rPr>
          <w:lang w:eastAsia="en-GB"/>
        </w:rPr>
        <w:t>.</w:t>
      </w:r>
      <w:r>
        <w:rPr>
          <w:lang w:eastAsia="en-GB"/>
        </w:rPr>
        <w:t xml:space="preserve"> The results are presented in Table 6. We</w:t>
      </w:r>
      <w:r w:rsidRPr="0085021F">
        <w:rPr>
          <w:lang w:eastAsia="en-GB"/>
        </w:rPr>
        <w:t xml:space="preserve"> also used </w:t>
      </w:r>
      <w:r>
        <w:rPr>
          <w:lang w:eastAsia="en-GB"/>
        </w:rPr>
        <w:t>return on asset (</w:t>
      </w:r>
      <w:r w:rsidRPr="0085021F">
        <w:rPr>
          <w:lang w:eastAsia="en-GB"/>
        </w:rPr>
        <w:t>ROA</w:t>
      </w:r>
      <w:r>
        <w:rPr>
          <w:lang w:eastAsia="en-GB"/>
        </w:rPr>
        <w:t>)</w:t>
      </w:r>
      <w:r w:rsidRPr="0085021F">
        <w:rPr>
          <w:lang w:eastAsia="en-GB"/>
        </w:rPr>
        <w:t xml:space="preserve"> as an alternative measure of </w:t>
      </w:r>
      <w:r>
        <w:rPr>
          <w:lang w:eastAsia="en-GB"/>
        </w:rPr>
        <w:t>shareholder value</w:t>
      </w:r>
      <w:r w:rsidRPr="0085021F">
        <w:rPr>
          <w:lang w:eastAsia="en-GB"/>
        </w:rPr>
        <w:t xml:space="preserve"> </w:t>
      </w:r>
      <w:r>
        <w:rPr>
          <w:lang w:eastAsia="en-GB"/>
        </w:rPr>
        <w:t>and redid our analyses for the whole sample period, pre-crisis period and the crisis period (see Table 7)</w:t>
      </w:r>
      <w:r w:rsidRPr="0085021F">
        <w:rPr>
          <w:lang w:eastAsia="en-GB"/>
        </w:rPr>
        <w:t xml:space="preserve">. </w:t>
      </w:r>
      <w:r>
        <w:rPr>
          <w:lang w:eastAsia="en-GB"/>
        </w:rPr>
        <w:t xml:space="preserve">The results in </w:t>
      </w:r>
      <w:r w:rsidRPr="0085021F">
        <w:rPr>
          <w:lang w:eastAsia="en-GB"/>
        </w:rPr>
        <w:t>Tables</w:t>
      </w:r>
      <w:r>
        <w:rPr>
          <w:lang w:eastAsia="en-GB"/>
        </w:rPr>
        <w:t xml:space="preserve"> 6 and 7</w:t>
      </w:r>
      <w:r w:rsidRPr="0085021F">
        <w:rPr>
          <w:lang w:eastAsia="en-GB"/>
        </w:rPr>
        <w:t xml:space="preserve"> </w:t>
      </w:r>
      <w:r>
        <w:rPr>
          <w:lang w:eastAsia="en-GB"/>
        </w:rPr>
        <w:t>indicate</w:t>
      </w:r>
      <w:r w:rsidRPr="0085021F">
        <w:rPr>
          <w:lang w:eastAsia="en-GB"/>
        </w:rPr>
        <w:t xml:space="preserve"> that the main explanatory variable</w:t>
      </w:r>
      <w:r>
        <w:rPr>
          <w:lang w:eastAsia="en-GB"/>
        </w:rPr>
        <w:t>,</w:t>
      </w:r>
      <w:r w:rsidRPr="0085021F">
        <w:rPr>
          <w:lang w:eastAsia="en-GB"/>
        </w:rPr>
        <w:t xml:space="preserve"> NCI</w:t>
      </w:r>
      <w:r>
        <w:rPr>
          <w:lang w:eastAsia="en-GB"/>
        </w:rPr>
        <w:t>,</w:t>
      </w:r>
      <w:r w:rsidRPr="0085021F">
        <w:rPr>
          <w:lang w:eastAsia="en-GB"/>
        </w:rPr>
        <w:t xml:space="preserve"> is still negatively associated with </w:t>
      </w:r>
      <w:r>
        <w:rPr>
          <w:lang w:eastAsia="en-GB"/>
        </w:rPr>
        <w:t>shareholder value</w:t>
      </w:r>
      <w:r w:rsidRPr="0085021F">
        <w:rPr>
          <w:lang w:eastAsia="en-GB"/>
        </w:rPr>
        <w:t xml:space="preserve"> during the pre-crisis period, crisis period, as well as</w:t>
      </w:r>
      <w:r>
        <w:rPr>
          <w:lang w:eastAsia="en-GB"/>
        </w:rPr>
        <w:t xml:space="preserve"> </w:t>
      </w:r>
      <w:r w:rsidRPr="0085021F">
        <w:rPr>
          <w:lang w:eastAsia="en-GB"/>
        </w:rPr>
        <w:t xml:space="preserve">the whole sample period. </w:t>
      </w:r>
      <w:r w:rsidRPr="00FA74F1">
        <w:rPr>
          <w:lang w:eastAsia="en-GB"/>
        </w:rPr>
        <w:t>In light of these results it may thus be concluded that the findings of this study are robust to different measures of shareholder value. Similarly, in the revised analyses (when data is analysed for the whole sample period with ROA as the measure of shareholder value), board independence is still negatively associated with shareholder value. The</w:t>
      </w:r>
      <w:r>
        <w:rPr>
          <w:lang w:eastAsia="en-GB"/>
        </w:rPr>
        <w:t xml:space="preserve"> positive impact of directors’ share ownership and internal control systems is also robust to the use of different measures of shareholder value as well as when the data is analysed for the whole of the sample period.</w:t>
      </w:r>
    </w:p>
    <w:p w14:paraId="6261A571" w14:textId="65D7BE1B" w:rsidR="0092047F" w:rsidRPr="00537227" w:rsidRDefault="0092047F" w:rsidP="00537227">
      <w:pPr>
        <w:spacing w:after="0"/>
        <w:jc w:val="center"/>
        <w:rPr>
          <w:rFonts w:eastAsia="Calibri" w:cs="Times New Roman"/>
          <w:szCs w:val="24"/>
        </w:rPr>
      </w:pPr>
      <w:r w:rsidRPr="00C20A52">
        <w:rPr>
          <w:rFonts w:cs="Times New Roman"/>
          <w:b/>
          <w:szCs w:val="24"/>
        </w:rPr>
        <w:lastRenderedPageBreak/>
        <w:t xml:space="preserve">[Insert Table </w:t>
      </w:r>
      <w:r>
        <w:rPr>
          <w:rFonts w:cs="Times New Roman"/>
          <w:b/>
          <w:szCs w:val="24"/>
        </w:rPr>
        <w:t>6 and 7</w:t>
      </w:r>
      <w:r w:rsidRPr="00C20A52">
        <w:rPr>
          <w:rFonts w:cs="Times New Roman"/>
          <w:b/>
          <w:szCs w:val="24"/>
        </w:rPr>
        <w:t xml:space="preserve"> about here]</w:t>
      </w:r>
    </w:p>
    <w:p w14:paraId="5714CF51" w14:textId="77777777" w:rsidR="0092047F" w:rsidRDefault="0092047F" w:rsidP="0092047F">
      <w:pPr>
        <w:pStyle w:val="Heading1"/>
        <w:rPr>
          <w:rFonts w:eastAsia="Times New Roman"/>
          <w:lang w:eastAsia="en-GB"/>
        </w:rPr>
      </w:pPr>
      <w:r>
        <w:rPr>
          <w:rFonts w:eastAsia="Times New Roman"/>
          <w:lang w:eastAsia="en-GB"/>
        </w:rPr>
        <w:t>Conclusion</w:t>
      </w:r>
    </w:p>
    <w:p w14:paraId="06A3DD48" w14:textId="6EAE3246" w:rsidR="00FD1DC0" w:rsidRDefault="00FD1DC0" w:rsidP="00FD1DC0">
      <w:pPr>
        <w:rPr>
          <w:lang w:eastAsia="en-GB"/>
        </w:rPr>
      </w:pPr>
      <w:r>
        <w:rPr>
          <w:lang w:eastAsia="en-GB"/>
        </w:rPr>
        <w:t>Using a sample of UK financial firms, this study examined the effect of non-compliance with the UK CGC on shareholder value.</w:t>
      </w:r>
      <w:r w:rsidRPr="007E4FC8">
        <w:rPr>
          <w:rFonts w:eastAsia="Calibri" w:cs="Times New Roman"/>
          <w:lang w:eastAsia="en-GB"/>
        </w:rPr>
        <w:t xml:space="preserve"> </w:t>
      </w:r>
      <w:r>
        <w:rPr>
          <w:rFonts w:eastAsia="Calibri" w:cs="Times New Roman"/>
          <w:lang w:eastAsia="en-GB"/>
        </w:rPr>
        <w:t xml:space="preserve">The paper also </w:t>
      </w:r>
      <w:r w:rsidR="009046A5">
        <w:rPr>
          <w:rFonts w:eastAsia="Calibri" w:cs="Times New Roman"/>
          <w:lang w:eastAsia="en-GB"/>
        </w:rPr>
        <w:t>investigated</w:t>
      </w:r>
      <w:r>
        <w:rPr>
          <w:rFonts w:eastAsia="Calibri" w:cs="Times New Roman"/>
          <w:lang w:eastAsia="en-GB"/>
        </w:rPr>
        <w:t xml:space="preserve"> the efficacy of </w:t>
      </w:r>
      <w:r w:rsidR="009046A5">
        <w:rPr>
          <w:rFonts w:eastAsia="Calibri" w:cs="Times New Roman"/>
          <w:lang w:eastAsia="en-GB"/>
        </w:rPr>
        <w:t xml:space="preserve">two key </w:t>
      </w:r>
      <w:r>
        <w:rPr>
          <w:lang w:eastAsia="en-GB"/>
        </w:rPr>
        <w:t>firm-level corporate governance mechanisms</w:t>
      </w:r>
      <w:r w:rsidR="009046A5">
        <w:rPr>
          <w:lang w:eastAsia="en-GB"/>
        </w:rPr>
        <w:t xml:space="preserve"> (</w:t>
      </w:r>
      <w:r w:rsidR="009046A5" w:rsidRPr="005312FF">
        <w:rPr>
          <w:lang w:eastAsia="en-GB"/>
        </w:rPr>
        <w:t xml:space="preserve">monitoring </w:t>
      </w:r>
      <w:r w:rsidR="009046A5">
        <w:rPr>
          <w:lang w:eastAsia="en-GB"/>
        </w:rPr>
        <w:t xml:space="preserve">and </w:t>
      </w:r>
      <w:r w:rsidR="009046A5" w:rsidRPr="005312FF">
        <w:rPr>
          <w:lang w:eastAsia="en-GB"/>
        </w:rPr>
        <w:t>incentives</w:t>
      </w:r>
      <w:r w:rsidR="009046A5">
        <w:rPr>
          <w:lang w:eastAsia="en-GB"/>
        </w:rPr>
        <w:t>)</w:t>
      </w:r>
      <w:r>
        <w:rPr>
          <w:lang w:eastAsia="en-GB"/>
        </w:rPr>
        <w:t xml:space="preserve"> for reducing agency problems and improving shareholder value during </w:t>
      </w:r>
      <w:r w:rsidR="009046A5">
        <w:rPr>
          <w:lang w:eastAsia="en-GB"/>
        </w:rPr>
        <w:t xml:space="preserve">a </w:t>
      </w:r>
      <w:r>
        <w:rPr>
          <w:lang w:eastAsia="en-GB"/>
        </w:rPr>
        <w:t xml:space="preserve">period of financial distress. The results show that non-compliance with </w:t>
      </w:r>
      <w:r w:rsidR="00FB06C1">
        <w:rPr>
          <w:lang w:eastAsia="en-GB"/>
        </w:rPr>
        <w:t xml:space="preserve">the </w:t>
      </w:r>
      <w:r>
        <w:rPr>
          <w:lang w:eastAsia="en-GB"/>
        </w:rPr>
        <w:t>UK CGC is</w:t>
      </w:r>
      <w:r w:rsidR="00B23ECB">
        <w:rPr>
          <w:lang w:eastAsia="en-GB"/>
        </w:rPr>
        <w:t xml:space="preserve"> negatively associated with </w:t>
      </w:r>
      <w:r>
        <w:rPr>
          <w:lang w:eastAsia="en-GB"/>
        </w:rPr>
        <w:t>shareholder value</w:t>
      </w:r>
      <w:r w:rsidR="00666A76">
        <w:rPr>
          <w:lang w:eastAsia="en-GB"/>
        </w:rPr>
        <w:t xml:space="preserve"> and this negative impact is</w:t>
      </w:r>
      <w:r w:rsidRPr="007E4FC8">
        <w:rPr>
          <w:lang w:eastAsia="en-GB"/>
        </w:rPr>
        <w:t xml:space="preserve"> more pronounced during the crisis period suggesting that non-compliance can make firms more vulnerable during periods of financial distress</w:t>
      </w:r>
      <w:r>
        <w:rPr>
          <w:lang w:eastAsia="en-GB"/>
        </w:rPr>
        <w:t>. This implies that although UK firms have a choice to comply with the UK CGC or provide explanation for their non-compliance, it is in the interest of companies to comply as non-compliance could lead to a decrease in shareholders’ wealth. Furthermore, non-compliance may reduce the resilience of firms and could make them vulnerable to the negative effects of adverse economic conditions, such as, a financial crisis. This finding is in line with the predictions of agency theory and supports those views which regard corporate governance code as an appropriate mechanism for reducing the agency problems and protecting the interests of shareholders.</w:t>
      </w:r>
    </w:p>
    <w:p w14:paraId="1E9591E7" w14:textId="01B8A59E" w:rsidR="00BF132C" w:rsidRDefault="00FD1DC0" w:rsidP="00684E48">
      <w:pPr>
        <w:rPr>
          <w:rFonts w:eastAsia="Calibri" w:cs="Times New Roman"/>
          <w:lang w:eastAsia="en-GB"/>
        </w:rPr>
      </w:pPr>
      <w:r>
        <w:rPr>
          <w:lang w:eastAsia="en-GB"/>
        </w:rPr>
        <w:t xml:space="preserve">In relation to monitoring mechanisms, </w:t>
      </w:r>
      <w:r w:rsidR="00666A76">
        <w:rPr>
          <w:lang w:eastAsia="en-GB"/>
        </w:rPr>
        <w:t xml:space="preserve">having </w:t>
      </w:r>
      <w:r>
        <w:rPr>
          <w:rFonts w:eastAsia="Calibri" w:cs="Times New Roman"/>
          <w:lang w:eastAsia="en-GB"/>
        </w:rPr>
        <w:t xml:space="preserve">a </w:t>
      </w:r>
      <w:r w:rsidR="00666A76">
        <w:rPr>
          <w:rFonts w:eastAsia="Calibri" w:cs="Times New Roman"/>
          <w:lang w:eastAsia="en-GB"/>
        </w:rPr>
        <w:t>higher</w:t>
      </w:r>
      <w:r>
        <w:rPr>
          <w:rFonts w:eastAsia="Calibri" w:cs="Times New Roman"/>
          <w:lang w:eastAsia="en-GB"/>
        </w:rPr>
        <w:t xml:space="preserve"> number of internal control mechanisms within financial firms appear to be an effective monitoring mechanism, as opposed to</w:t>
      </w:r>
      <w:r w:rsidRPr="00193DD5">
        <w:t xml:space="preserve"> </w:t>
      </w:r>
      <w:r w:rsidRPr="00193DD5">
        <w:rPr>
          <w:rFonts w:eastAsia="Calibri" w:cs="Times New Roman"/>
          <w:lang w:eastAsia="en-GB"/>
        </w:rPr>
        <w:t>board independence</w:t>
      </w:r>
      <w:r>
        <w:rPr>
          <w:rFonts w:eastAsia="Calibri" w:cs="Times New Roman"/>
          <w:lang w:eastAsia="en-GB"/>
        </w:rPr>
        <w:t xml:space="preserve"> and</w:t>
      </w:r>
      <w:r w:rsidRPr="00193DD5">
        <w:rPr>
          <w:rFonts w:eastAsia="Calibri" w:cs="Times New Roman"/>
          <w:lang w:eastAsia="en-GB"/>
        </w:rPr>
        <w:t xml:space="preserve"> extra board committees</w:t>
      </w:r>
      <w:r>
        <w:rPr>
          <w:rFonts w:eastAsia="Calibri" w:cs="Times New Roman"/>
          <w:lang w:eastAsia="en-GB"/>
        </w:rPr>
        <w:t xml:space="preserve">. </w:t>
      </w:r>
      <w:r w:rsidRPr="007F3FA1">
        <w:rPr>
          <w:rFonts w:eastAsia="Calibri" w:cs="Times New Roman"/>
          <w:lang w:eastAsia="en-GB"/>
        </w:rPr>
        <w:t xml:space="preserve">Our findings </w:t>
      </w:r>
      <w:r>
        <w:rPr>
          <w:rFonts w:eastAsia="Calibri" w:cs="Times New Roman"/>
          <w:lang w:eastAsia="en-GB"/>
        </w:rPr>
        <w:t>report</w:t>
      </w:r>
      <w:r w:rsidRPr="007F3FA1">
        <w:rPr>
          <w:rFonts w:eastAsia="Calibri" w:cs="Times New Roman"/>
          <w:lang w:eastAsia="en-GB"/>
        </w:rPr>
        <w:t xml:space="preserve"> </w:t>
      </w:r>
      <w:r>
        <w:rPr>
          <w:rFonts w:eastAsia="Calibri" w:cs="Times New Roman"/>
          <w:lang w:eastAsia="en-GB"/>
        </w:rPr>
        <w:t xml:space="preserve">a </w:t>
      </w:r>
      <w:r w:rsidRPr="007F3FA1">
        <w:rPr>
          <w:rFonts w:eastAsia="Calibri" w:cs="Times New Roman"/>
          <w:lang w:eastAsia="en-GB"/>
        </w:rPr>
        <w:t xml:space="preserve">strong </w:t>
      </w:r>
      <w:r>
        <w:rPr>
          <w:rFonts w:eastAsia="Calibri" w:cs="Times New Roman"/>
          <w:lang w:eastAsia="en-GB"/>
        </w:rPr>
        <w:t>positive association</w:t>
      </w:r>
      <w:r w:rsidRPr="007F3FA1">
        <w:rPr>
          <w:rFonts w:eastAsia="Calibri" w:cs="Times New Roman"/>
          <w:lang w:eastAsia="en-GB"/>
        </w:rPr>
        <w:t xml:space="preserve"> between</w:t>
      </w:r>
      <w:r>
        <w:rPr>
          <w:rFonts w:eastAsia="Calibri" w:cs="Times New Roman"/>
          <w:lang w:eastAsia="en-GB"/>
        </w:rPr>
        <w:t xml:space="preserve"> the number of internal control mechanisms</w:t>
      </w:r>
      <w:r w:rsidRPr="007F3FA1">
        <w:rPr>
          <w:rFonts w:eastAsia="Calibri" w:cs="Times New Roman"/>
          <w:lang w:eastAsia="en-GB"/>
        </w:rPr>
        <w:t xml:space="preserve"> and shareholder value in general, and during crisis in particular</w:t>
      </w:r>
      <w:r>
        <w:rPr>
          <w:rFonts w:eastAsia="Calibri" w:cs="Times New Roman"/>
          <w:lang w:eastAsia="en-GB"/>
        </w:rPr>
        <w:t xml:space="preserve">. On the contrary, however, board independence (as represented by NEDs), is reported as being </w:t>
      </w:r>
      <w:r w:rsidRPr="0052276C">
        <w:rPr>
          <w:rFonts w:eastAsia="Calibri" w:cs="Times New Roman"/>
          <w:lang w:eastAsia="en-GB"/>
        </w:rPr>
        <w:t>significantly negatively associated with both measures of shareholder value</w:t>
      </w:r>
      <w:r>
        <w:rPr>
          <w:rFonts w:eastAsia="Calibri" w:cs="Times New Roman"/>
          <w:lang w:eastAsia="en-GB"/>
        </w:rPr>
        <w:t xml:space="preserve">. </w:t>
      </w:r>
      <w:r w:rsidRPr="004333D4">
        <w:rPr>
          <w:rFonts w:eastAsia="Calibri" w:cs="Times New Roman"/>
          <w:lang w:eastAsia="en-GB"/>
        </w:rPr>
        <w:t xml:space="preserve">The results of this study also </w:t>
      </w:r>
      <w:r>
        <w:rPr>
          <w:rFonts w:eastAsia="Calibri" w:cs="Times New Roman"/>
          <w:lang w:eastAsia="en-GB"/>
        </w:rPr>
        <w:t>show</w:t>
      </w:r>
      <w:r w:rsidRPr="004333D4">
        <w:rPr>
          <w:rFonts w:eastAsia="Calibri" w:cs="Times New Roman"/>
          <w:lang w:eastAsia="en-GB"/>
        </w:rPr>
        <w:t xml:space="preserve"> that during the crisis period shareholder value for financial firms with more independent boards was significantly lower </w:t>
      </w:r>
      <w:r w:rsidRPr="004333D4">
        <w:rPr>
          <w:rFonts w:eastAsia="Calibri" w:cs="Times New Roman"/>
          <w:lang w:eastAsia="en-GB"/>
        </w:rPr>
        <w:lastRenderedPageBreak/>
        <w:t xml:space="preserve">than their counterparts that maintained </w:t>
      </w:r>
      <w:proofErr w:type="gramStart"/>
      <w:r w:rsidRPr="004333D4">
        <w:rPr>
          <w:rFonts w:eastAsia="Calibri" w:cs="Times New Roman"/>
          <w:lang w:eastAsia="en-GB"/>
        </w:rPr>
        <w:t>less</w:t>
      </w:r>
      <w:proofErr w:type="gramEnd"/>
      <w:r w:rsidRPr="004333D4">
        <w:rPr>
          <w:rFonts w:eastAsia="Calibri" w:cs="Times New Roman"/>
          <w:lang w:eastAsia="en-GB"/>
        </w:rPr>
        <w:t xml:space="preserve"> independent boards. This suggests that during difficult economic conditions the impact of financial crisis was more severe in firms with more independent boards. </w:t>
      </w:r>
      <w:r>
        <w:rPr>
          <w:rFonts w:eastAsia="Calibri" w:cs="Times New Roman"/>
          <w:lang w:eastAsia="en-GB"/>
        </w:rPr>
        <w:t>This ex post observed failure of board independence as an effective monitoring tool to curtail losses during the crisis is in line with prior literature.</w:t>
      </w:r>
      <w:r w:rsidR="00684E48" w:rsidRPr="00684E48">
        <w:rPr>
          <w:rFonts w:eastAsia="Calibri" w:cs="Times New Roman"/>
          <w:lang w:eastAsia="en-GB"/>
        </w:rPr>
        <w:t xml:space="preserve"> </w:t>
      </w:r>
    </w:p>
    <w:p w14:paraId="26CA5551" w14:textId="0C753BB1" w:rsidR="00684E48" w:rsidRPr="00684E48" w:rsidRDefault="00684E48" w:rsidP="00684E48">
      <w:pPr>
        <w:rPr>
          <w:rFonts w:eastAsia="Calibri" w:cs="Times New Roman"/>
          <w:lang w:eastAsia="en-GB"/>
        </w:rPr>
      </w:pPr>
      <w:r w:rsidRPr="00684E48">
        <w:rPr>
          <w:rFonts w:eastAsia="Calibri" w:cs="Times New Roman"/>
          <w:lang w:eastAsia="en-GB"/>
        </w:rPr>
        <w:t>Although, non-compliance with the requirements of independent non-executive directors is negatively associated with shareholder value,</w:t>
      </w:r>
      <w:r w:rsidR="00BF132C">
        <w:rPr>
          <w:rFonts w:eastAsia="Calibri" w:cs="Times New Roman"/>
          <w:lang w:eastAsia="en-GB"/>
        </w:rPr>
        <w:t xml:space="preserve"> </w:t>
      </w:r>
      <w:r w:rsidR="00AA05B2">
        <w:rPr>
          <w:rFonts w:eastAsia="Calibri" w:cs="Times New Roman"/>
          <w:lang w:eastAsia="en-GB"/>
        </w:rPr>
        <w:t>i</w:t>
      </w:r>
      <w:r>
        <w:rPr>
          <w:rFonts w:eastAsia="Calibri" w:cs="Times New Roman"/>
          <w:lang w:eastAsia="en-GB"/>
        </w:rPr>
        <w:t>t is important to note that compliance with the code</w:t>
      </w:r>
      <w:r w:rsidR="00BF132C">
        <w:rPr>
          <w:rFonts w:eastAsia="Calibri" w:cs="Times New Roman"/>
          <w:lang w:eastAsia="en-GB"/>
        </w:rPr>
        <w:t>’s</w:t>
      </w:r>
      <w:r>
        <w:rPr>
          <w:rFonts w:eastAsia="Calibri" w:cs="Times New Roman"/>
          <w:lang w:eastAsia="en-GB"/>
        </w:rPr>
        <w:t xml:space="preserve"> provisions in relation to independence means abiding by the code’s strict requirements in </w:t>
      </w:r>
      <w:r w:rsidR="00B23ECB">
        <w:rPr>
          <w:rFonts w:eastAsia="Calibri" w:cs="Times New Roman"/>
          <w:lang w:eastAsia="en-GB"/>
        </w:rPr>
        <w:t>terms of</w:t>
      </w:r>
      <w:r>
        <w:rPr>
          <w:rFonts w:eastAsia="Calibri" w:cs="Times New Roman"/>
          <w:lang w:eastAsia="en-GB"/>
        </w:rPr>
        <w:t xml:space="preserve"> independence. However,</w:t>
      </w:r>
      <w:r w:rsidRPr="00684E48">
        <w:rPr>
          <w:rFonts w:eastAsia="Calibri" w:cs="Times New Roman"/>
          <w:lang w:eastAsia="en-GB"/>
        </w:rPr>
        <w:t xml:space="preserve"> having a higher number of NEDs is negatively associated with shareholder value.</w:t>
      </w:r>
      <w:r>
        <w:rPr>
          <w:rFonts w:eastAsia="Calibri" w:cs="Times New Roman"/>
          <w:lang w:eastAsia="en-GB"/>
        </w:rPr>
        <w:t xml:space="preserve"> As discussed earlier, this is just the number of NEDs on board</w:t>
      </w:r>
      <w:r w:rsidR="00AA05B2">
        <w:rPr>
          <w:rFonts w:eastAsia="Calibri" w:cs="Times New Roman"/>
          <w:lang w:eastAsia="en-GB"/>
        </w:rPr>
        <w:t>,</w:t>
      </w:r>
      <w:r>
        <w:rPr>
          <w:rFonts w:eastAsia="Calibri" w:cs="Times New Roman"/>
          <w:lang w:eastAsia="en-GB"/>
        </w:rPr>
        <w:t xml:space="preserve"> and they may not be classified as independent directors as per the requirements of the code.</w:t>
      </w:r>
      <w:r w:rsidRPr="00684E48">
        <w:rPr>
          <w:rFonts w:eastAsia="Calibri" w:cs="Times New Roman"/>
          <w:lang w:eastAsia="en-GB"/>
        </w:rPr>
        <w:t xml:space="preserve"> This implies that independence of NEDs is more important than the number of NEDs and pinpoint the importance of directors’ real independence for UK organisations. From an agency theory perspective</w:t>
      </w:r>
      <w:r w:rsidR="008826C3">
        <w:rPr>
          <w:rFonts w:eastAsia="Calibri" w:cs="Times New Roman"/>
          <w:lang w:eastAsia="en-GB"/>
        </w:rPr>
        <w:t>,</w:t>
      </w:r>
      <w:r w:rsidRPr="00684E48">
        <w:rPr>
          <w:rFonts w:eastAsia="Calibri" w:cs="Times New Roman"/>
          <w:lang w:eastAsia="en-GB"/>
        </w:rPr>
        <w:t xml:space="preserve"> this would imply that monitoring is improved only if NEDs are strictly independent as required by the UK CGC.</w:t>
      </w:r>
    </w:p>
    <w:p w14:paraId="0271CD83" w14:textId="7A5A3231" w:rsidR="00FD1DC0" w:rsidRDefault="00B23ECB" w:rsidP="00FD1DC0">
      <w:pPr>
        <w:rPr>
          <w:lang w:eastAsia="en-GB"/>
        </w:rPr>
      </w:pPr>
      <w:r>
        <w:rPr>
          <w:rFonts w:eastAsia="Calibri" w:cs="Times New Roman"/>
          <w:lang w:eastAsia="en-GB"/>
        </w:rPr>
        <w:t>With regard</w:t>
      </w:r>
      <w:r w:rsidR="00FD1DC0">
        <w:rPr>
          <w:rFonts w:eastAsia="Calibri" w:cs="Times New Roman"/>
          <w:lang w:eastAsia="en-GB"/>
        </w:rPr>
        <w:t xml:space="preserve"> to incentives mechanisms, d</w:t>
      </w:r>
      <w:r w:rsidR="00FD1DC0">
        <w:rPr>
          <w:lang w:eastAsia="en-GB"/>
        </w:rPr>
        <w:t xml:space="preserve">irectors’ share ownership is found to be an effective mechanism to align directors’ interests with shareholders. In line </w:t>
      </w:r>
      <w:r>
        <w:rPr>
          <w:lang w:eastAsia="en-GB"/>
        </w:rPr>
        <w:t>with agency</w:t>
      </w:r>
      <w:r w:rsidR="00FD1DC0">
        <w:rPr>
          <w:lang w:eastAsia="en-GB"/>
        </w:rPr>
        <w:t xml:space="preserve"> theory, directors’ share ownership encourages them to take a long-term view and work in the best interest of shareholders. However, remuneration was found to be unfavourable in aligning directors’ and shareholders’ interests. We therefore offer new insights into the monitoring and incentives mechanisms. Our findings suggest that financial firms should use more effective mechanisms for enhancing shareholder value rather than those measures which only encourage short-termism. </w:t>
      </w:r>
    </w:p>
    <w:p w14:paraId="62E5C5F9" w14:textId="6AE1AA13" w:rsidR="00FD1DC0" w:rsidRDefault="00FD1DC0" w:rsidP="00FD1DC0">
      <w:pPr>
        <w:rPr>
          <w:rFonts w:eastAsia="Calibri" w:cs="Times New Roman"/>
          <w:lang w:eastAsia="en-GB"/>
        </w:rPr>
      </w:pPr>
      <w:r>
        <w:rPr>
          <w:lang w:eastAsia="en-GB"/>
        </w:rPr>
        <w:t xml:space="preserve">Although </w:t>
      </w:r>
      <w:r w:rsidR="009046A5">
        <w:rPr>
          <w:lang w:eastAsia="en-GB"/>
        </w:rPr>
        <w:t>results of the study as a whole</w:t>
      </w:r>
      <w:r>
        <w:rPr>
          <w:lang w:eastAsia="en-GB"/>
        </w:rPr>
        <w:t xml:space="preserve"> advocate that compliance with the UK CGC can act as a resilience factor to performance deterioration in time of financial distress, </w:t>
      </w:r>
      <w:r w:rsidR="009046A5">
        <w:rPr>
          <w:lang w:eastAsia="en-GB"/>
        </w:rPr>
        <w:t xml:space="preserve">these </w:t>
      </w:r>
      <w:r w:rsidR="009046A5">
        <w:rPr>
          <w:lang w:eastAsia="en-GB"/>
        </w:rPr>
        <w:lastRenderedPageBreak/>
        <w:t>findings are</w:t>
      </w:r>
      <w:r>
        <w:rPr>
          <w:lang w:eastAsia="en-GB"/>
        </w:rPr>
        <w:t xml:space="preserve"> more nuanced than this.  </w:t>
      </w:r>
      <w:r w:rsidR="00044A43">
        <w:rPr>
          <w:lang w:eastAsia="en-GB"/>
        </w:rPr>
        <w:t xml:space="preserve">Additional analysis </w:t>
      </w:r>
      <w:r w:rsidR="005232C5">
        <w:rPr>
          <w:lang w:eastAsia="en-GB"/>
        </w:rPr>
        <w:t>reveals</w:t>
      </w:r>
      <w:r w:rsidR="00044A43">
        <w:rPr>
          <w:lang w:eastAsia="en-GB"/>
        </w:rPr>
        <w:t xml:space="preserve"> that </w:t>
      </w:r>
      <w:r w:rsidRPr="00B123F3">
        <w:rPr>
          <w:lang w:eastAsia="en-GB"/>
        </w:rPr>
        <w:t>not all of the provisions in an equally weighted governance index would affect s</w:t>
      </w:r>
      <w:r w:rsidR="00044A43">
        <w:rPr>
          <w:lang w:eastAsia="en-GB"/>
        </w:rPr>
        <w:t>hareholder value of firms in the same</w:t>
      </w:r>
      <w:r w:rsidR="00E11651">
        <w:rPr>
          <w:lang w:eastAsia="en-GB"/>
        </w:rPr>
        <w:t xml:space="preserve"> way</w:t>
      </w:r>
      <w:r>
        <w:rPr>
          <w:lang w:eastAsia="en-GB"/>
        </w:rPr>
        <w:t xml:space="preserve">. </w:t>
      </w:r>
      <w:r w:rsidR="00044A43">
        <w:rPr>
          <w:lang w:eastAsia="en-GB"/>
        </w:rPr>
        <w:t>Our findings suggest</w:t>
      </w:r>
      <w:r>
        <w:rPr>
          <w:lang w:eastAsia="en-GB"/>
        </w:rPr>
        <w:t xml:space="preserve"> that certain </w:t>
      </w:r>
      <w:r w:rsidRPr="00A06B6D">
        <w:rPr>
          <w:lang w:eastAsia="en-GB"/>
        </w:rPr>
        <w:t xml:space="preserve">corporate governance mechanisms </w:t>
      </w:r>
      <w:r>
        <w:rPr>
          <w:lang w:eastAsia="en-GB"/>
        </w:rPr>
        <w:t>are more favourable to sh</w:t>
      </w:r>
      <w:r w:rsidR="00E11651">
        <w:rPr>
          <w:lang w:eastAsia="en-GB"/>
        </w:rPr>
        <w:t>areholder value than others</w:t>
      </w:r>
      <w:r>
        <w:rPr>
          <w:lang w:eastAsia="en-GB"/>
        </w:rPr>
        <w:t xml:space="preserve">. This </w:t>
      </w:r>
      <w:r w:rsidR="00044A43">
        <w:rPr>
          <w:lang w:eastAsia="en-GB"/>
        </w:rPr>
        <w:t>implies</w:t>
      </w:r>
      <w:r>
        <w:rPr>
          <w:lang w:eastAsia="en-GB"/>
        </w:rPr>
        <w:t xml:space="preserve"> that it may not be in the interest</w:t>
      </w:r>
      <w:r w:rsidR="00044A43">
        <w:rPr>
          <w:lang w:eastAsia="en-GB"/>
        </w:rPr>
        <w:t xml:space="preserve"> of firms to comply with all provisions of a</w:t>
      </w:r>
      <w:r>
        <w:rPr>
          <w:lang w:eastAsia="en-GB"/>
        </w:rPr>
        <w:t xml:space="preserve"> prescribed code of corporate governance. </w:t>
      </w:r>
      <w:r w:rsidR="00044A43">
        <w:rPr>
          <w:rFonts w:eastAsia="Calibri" w:cs="Times New Roman"/>
          <w:lang w:eastAsia="en-GB"/>
        </w:rPr>
        <w:t>In this regard,</w:t>
      </w:r>
      <w:r>
        <w:rPr>
          <w:rFonts w:eastAsia="Calibri" w:cs="Times New Roman"/>
          <w:lang w:eastAsia="en-GB"/>
        </w:rPr>
        <w:t xml:space="preserve"> results</w:t>
      </w:r>
      <w:r w:rsidR="00044A43">
        <w:rPr>
          <w:rFonts w:eastAsia="Calibri" w:cs="Times New Roman"/>
          <w:lang w:eastAsia="en-GB"/>
        </w:rPr>
        <w:t xml:space="preserve"> of the study</w:t>
      </w:r>
      <w:r>
        <w:rPr>
          <w:rFonts w:eastAsia="Calibri" w:cs="Times New Roman"/>
          <w:lang w:eastAsia="en-GB"/>
        </w:rPr>
        <w:t xml:space="preserve"> indicate that firms </w:t>
      </w:r>
      <w:r w:rsidR="00666A76">
        <w:rPr>
          <w:rFonts w:eastAsia="Calibri" w:cs="Times New Roman"/>
          <w:lang w:eastAsia="en-GB"/>
        </w:rPr>
        <w:t>which</w:t>
      </w:r>
      <w:r>
        <w:rPr>
          <w:rFonts w:eastAsia="Calibri" w:cs="Times New Roman"/>
          <w:lang w:eastAsia="en-GB"/>
        </w:rPr>
        <w:t xml:space="preserve"> were non-compliant with provisions of the UK CGC </w:t>
      </w:r>
      <w:r w:rsidRPr="005C1628">
        <w:rPr>
          <w:rFonts w:eastAsia="Calibri" w:cs="Times New Roman"/>
          <w:lang w:eastAsia="en-GB"/>
        </w:rPr>
        <w:t>that required performance related pa</w:t>
      </w:r>
      <w:r>
        <w:rPr>
          <w:rFonts w:eastAsia="Calibri" w:cs="Times New Roman"/>
          <w:lang w:eastAsia="en-GB"/>
        </w:rPr>
        <w:t>y</w:t>
      </w:r>
      <w:r w:rsidR="00666A76">
        <w:rPr>
          <w:rFonts w:eastAsia="Calibri" w:cs="Times New Roman"/>
          <w:lang w:eastAsia="en-GB"/>
        </w:rPr>
        <w:t>,</w:t>
      </w:r>
      <w:r>
        <w:rPr>
          <w:rFonts w:eastAsia="Calibri" w:cs="Times New Roman"/>
          <w:lang w:eastAsia="en-GB"/>
        </w:rPr>
        <w:t xml:space="preserve"> </w:t>
      </w:r>
      <w:r>
        <w:rPr>
          <w:lang w:eastAsia="en-GB"/>
        </w:rPr>
        <w:t xml:space="preserve">performed better than those firms that were </w:t>
      </w:r>
      <w:r w:rsidRPr="00401944">
        <w:rPr>
          <w:lang w:eastAsia="en-GB"/>
        </w:rPr>
        <w:t xml:space="preserve">complaint. </w:t>
      </w:r>
      <w:r w:rsidRPr="004B0B16">
        <w:rPr>
          <w:lang w:eastAsia="en-GB"/>
        </w:rPr>
        <w:t xml:space="preserve">This </w:t>
      </w:r>
      <w:r w:rsidR="00E11651">
        <w:rPr>
          <w:lang w:eastAsia="en-GB"/>
        </w:rPr>
        <w:t>indicates</w:t>
      </w:r>
      <w:r w:rsidRPr="004B0B16">
        <w:rPr>
          <w:lang w:eastAsia="en-GB"/>
        </w:rPr>
        <w:t xml:space="preserve"> that all governance prescriptions might not apply universally in different contexts and that the optimal governance prescriptions </w:t>
      </w:r>
      <w:r>
        <w:rPr>
          <w:lang w:eastAsia="en-GB"/>
        </w:rPr>
        <w:t>may</w:t>
      </w:r>
      <w:r w:rsidRPr="004B0B16">
        <w:rPr>
          <w:lang w:eastAsia="en-GB"/>
        </w:rPr>
        <w:t xml:space="preserve"> vary </w:t>
      </w:r>
      <w:r>
        <w:rPr>
          <w:lang w:eastAsia="en-GB"/>
        </w:rPr>
        <w:t>during times of financial distress</w:t>
      </w:r>
      <w:r w:rsidRPr="004B0B16">
        <w:rPr>
          <w:lang w:eastAsia="en-GB"/>
        </w:rPr>
        <w:t>.</w:t>
      </w:r>
      <w:r>
        <w:rPr>
          <w:lang w:eastAsia="en-GB"/>
        </w:rPr>
        <w:t xml:space="preserve"> </w:t>
      </w:r>
      <w:r w:rsidRPr="00401944">
        <w:rPr>
          <w:lang w:eastAsia="en-GB"/>
        </w:rPr>
        <w:t>This finding further corroborates our earlier finding</w:t>
      </w:r>
      <w:r>
        <w:rPr>
          <w:lang w:eastAsia="en-GB"/>
        </w:rPr>
        <w:t xml:space="preserve"> </w:t>
      </w:r>
      <w:r w:rsidR="00E11651">
        <w:rPr>
          <w:lang w:eastAsia="en-GB"/>
        </w:rPr>
        <w:t>of</w:t>
      </w:r>
      <w:r>
        <w:rPr>
          <w:lang w:eastAsia="en-GB"/>
        </w:rPr>
        <w:t xml:space="preserve"> a negative association between directors’ remuneration and shareholder value.</w:t>
      </w:r>
    </w:p>
    <w:p w14:paraId="23E8C1D2" w14:textId="699FD663" w:rsidR="00FD1DC0" w:rsidRDefault="00044A43" w:rsidP="00FD1DC0">
      <w:pPr>
        <w:rPr>
          <w:rFonts w:eastAsia="Calibri" w:cs="Times New Roman"/>
          <w:lang w:eastAsia="en-GB"/>
        </w:rPr>
      </w:pPr>
      <w:r>
        <w:rPr>
          <w:lang w:eastAsia="en-GB"/>
        </w:rPr>
        <w:t>This study further</w:t>
      </w:r>
      <w:r w:rsidR="00FD1DC0">
        <w:rPr>
          <w:lang w:eastAsia="en-GB"/>
        </w:rPr>
        <w:t xml:space="preserve"> vindicate</w:t>
      </w:r>
      <w:r>
        <w:rPr>
          <w:lang w:eastAsia="en-GB"/>
        </w:rPr>
        <w:t>s</w:t>
      </w:r>
      <w:r w:rsidR="00FD1DC0">
        <w:rPr>
          <w:lang w:eastAsia="en-GB"/>
        </w:rPr>
        <w:t xml:space="preserve"> the importance of </w:t>
      </w:r>
      <w:r w:rsidR="00666A76">
        <w:rPr>
          <w:lang w:eastAsia="en-GB"/>
        </w:rPr>
        <w:t>‘</w:t>
      </w:r>
      <w:r w:rsidR="00FD1DC0">
        <w:rPr>
          <w:lang w:eastAsia="en-GB"/>
        </w:rPr>
        <w:t>comply or explain</w:t>
      </w:r>
      <w:r w:rsidR="00666A76">
        <w:rPr>
          <w:lang w:eastAsia="en-GB"/>
        </w:rPr>
        <w:t>’</w:t>
      </w:r>
      <w:r w:rsidR="00FD1DC0">
        <w:rPr>
          <w:lang w:eastAsia="en-GB"/>
        </w:rPr>
        <w:t xml:space="preserve"> principle of corporate governance in the UK as results suggest that in certain conditions, non-compliance with </w:t>
      </w:r>
      <w:r w:rsidR="00330DFA">
        <w:rPr>
          <w:lang w:eastAsia="en-GB"/>
        </w:rPr>
        <w:t>specific</w:t>
      </w:r>
      <w:r w:rsidR="00FD1DC0">
        <w:rPr>
          <w:lang w:eastAsia="en-GB"/>
        </w:rPr>
        <w:t xml:space="preserve"> </w:t>
      </w:r>
      <w:r>
        <w:rPr>
          <w:lang w:eastAsia="en-GB"/>
        </w:rPr>
        <w:t>provisions</w:t>
      </w:r>
      <w:r w:rsidR="00FD1DC0">
        <w:rPr>
          <w:lang w:eastAsia="en-GB"/>
        </w:rPr>
        <w:t xml:space="preserve"> may in fact be in the interest of firm</w:t>
      </w:r>
      <w:r w:rsidR="00666A76">
        <w:rPr>
          <w:lang w:eastAsia="en-GB"/>
        </w:rPr>
        <w:t>s</w:t>
      </w:r>
      <w:r w:rsidR="00FD1DC0">
        <w:rPr>
          <w:lang w:eastAsia="en-GB"/>
        </w:rPr>
        <w:t>. Our</w:t>
      </w:r>
      <w:r w:rsidR="00FD1DC0" w:rsidRPr="00907092">
        <w:rPr>
          <w:rFonts w:eastAsia="Calibri" w:cs="Times New Roman"/>
          <w:lang w:eastAsia="en-GB"/>
        </w:rPr>
        <w:t xml:space="preserve"> finding</w:t>
      </w:r>
      <w:r w:rsidR="00FD1DC0">
        <w:rPr>
          <w:rFonts w:eastAsia="Calibri" w:cs="Times New Roman"/>
          <w:lang w:eastAsia="en-GB"/>
        </w:rPr>
        <w:t>s</w:t>
      </w:r>
      <w:r w:rsidR="00FD1DC0" w:rsidRPr="00907092">
        <w:rPr>
          <w:rFonts w:eastAsia="Calibri" w:cs="Times New Roman"/>
          <w:lang w:eastAsia="en-GB"/>
        </w:rPr>
        <w:t xml:space="preserve"> </w:t>
      </w:r>
      <w:r w:rsidR="00FD1DC0">
        <w:rPr>
          <w:rFonts w:eastAsia="Calibri" w:cs="Times New Roman"/>
          <w:lang w:eastAsia="en-GB"/>
        </w:rPr>
        <w:t>therefore signify</w:t>
      </w:r>
      <w:r w:rsidR="00FD1DC0" w:rsidRPr="00907092">
        <w:rPr>
          <w:rFonts w:eastAsia="Calibri" w:cs="Times New Roman"/>
          <w:lang w:eastAsia="en-GB"/>
        </w:rPr>
        <w:t xml:space="preserve"> the need for using different governance mechanisms in different economic conditions and contributes to the growing body of literature that questions the universality of corporate governance prescriptions in different countries </w:t>
      </w:r>
      <w:r w:rsidR="00815CC4">
        <w:rPr>
          <w:rFonts w:eastAsia="Calibri" w:cs="Times New Roman"/>
          <w:lang w:eastAsia="en-GB"/>
        </w:rPr>
        <w:fldChar w:fldCharType="begin">
          <w:fldData xml:space="preserve">PEVuZE5vdGU+PENpdGU+PEF1dGhvcj5KdWRnZTwvQXV0aG9yPjxZZWFyPjIwMTI8L1llYXI+PFJl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</w:fldData>
        </w:fldChar>
      </w:r>
      <w:r w:rsidR="00327CEC">
        <w:rPr>
          <w:rFonts w:eastAsia="Calibri" w:cs="Times New Roman"/>
          <w:lang w:eastAsia="en-GB"/>
        </w:rPr>
        <w:instrText xml:space="preserve"> ADDIN EN.CITE </w:instrText>
      </w:r>
      <w:r w:rsidR="00327CEC">
        <w:rPr>
          <w:rFonts w:eastAsia="Calibri" w:cs="Times New Roman"/>
          <w:lang w:eastAsia="en-GB"/>
        </w:rPr>
        <w:fldChar w:fldCharType="begin">
          <w:fldData xml:space="preserve">PEVuZE5vdGU+PENpdGU+PEF1dGhvcj5KdWRnZTwvQXV0aG9yPjxZZWFyPjIwMTI8L1llYXI+PFJl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</w:fldData>
        </w:fldChar>
      </w:r>
      <w:r w:rsidR="00327CEC">
        <w:rPr>
          <w:rFonts w:eastAsia="Calibri" w:cs="Times New Roman"/>
          <w:lang w:eastAsia="en-GB"/>
        </w:rPr>
        <w:instrText xml:space="preserve"> ADDIN EN.CITE.DATA </w:instrText>
      </w:r>
      <w:r w:rsidR="00327CEC">
        <w:rPr>
          <w:rFonts w:eastAsia="Calibri" w:cs="Times New Roman"/>
          <w:lang w:eastAsia="en-GB"/>
        </w:rPr>
      </w:r>
      <w:r w:rsidR="00327CEC">
        <w:rPr>
          <w:rFonts w:eastAsia="Calibri" w:cs="Times New Roman"/>
          <w:lang w:eastAsia="en-GB"/>
        </w:rPr>
        <w:fldChar w:fldCharType="end"/>
      </w:r>
      <w:r w:rsidR="00815CC4">
        <w:rPr>
          <w:rFonts w:eastAsia="Calibri" w:cs="Times New Roman"/>
          <w:lang w:eastAsia="en-GB"/>
        </w:rPr>
      </w:r>
      <w:r w:rsidR="00815CC4">
        <w:rPr>
          <w:rFonts w:eastAsia="Calibri" w:cs="Times New Roman"/>
          <w:lang w:eastAsia="en-GB"/>
        </w:rPr>
        <w:fldChar w:fldCharType="separate"/>
      </w:r>
      <w:r w:rsidR="000A7F09">
        <w:rPr>
          <w:rFonts w:eastAsia="Calibri" w:cs="Times New Roman"/>
          <w:noProof/>
          <w:lang w:eastAsia="en-GB"/>
        </w:rPr>
        <w:t>(Judge, 2012; Van Essen et al., 2013)</w:t>
      </w:r>
      <w:r w:rsidR="00815CC4">
        <w:rPr>
          <w:rFonts w:eastAsia="Calibri" w:cs="Times New Roman"/>
          <w:lang w:eastAsia="en-GB"/>
        </w:rPr>
        <w:fldChar w:fldCharType="end"/>
      </w:r>
      <w:r w:rsidR="00FD1DC0" w:rsidRPr="00907092">
        <w:rPr>
          <w:rFonts w:eastAsia="Calibri" w:cs="Times New Roman"/>
          <w:lang w:eastAsia="en-GB"/>
        </w:rPr>
        <w:t>.</w:t>
      </w:r>
    </w:p>
    <w:p w14:paraId="33605009" w14:textId="46C62686" w:rsidR="00FD1DC0" w:rsidRDefault="00FD1DC0" w:rsidP="00FD1DC0">
      <w:pPr>
        <w:rPr>
          <w:rFonts w:eastAsia="Calibri" w:cs="Times New Roman"/>
        </w:rPr>
      </w:pPr>
      <w:r>
        <w:rPr>
          <w:lang w:eastAsia="en-GB"/>
        </w:rPr>
        <w:t xml:space="preserve">The findings of this paper have implications for practitioners and policy makers. </w:t>
      </w:r>
      <w:r w:rsidRPr="006870B1">
        <w:rPr>
          <w:rFonts w:eastAsia="Calibri" w:cs="Times New Roman"/>
        </w:rPr>
        <w:t xml:space="preserve">First, in terms of policy making, </w:t>
      </w:r>
      <w:r>
        <w:rPr>
          <w:rFonts w:eastAsia="Calibri" w:cs="Times New Roman"/>
        </w:rPr>
        <w:t>we argue that the</w:t>
      </w:r>
      <w:r w:rsidRPr="006870B1">
        <w:rPr>
          <w:rFonts w:eastAsia="Calibri" w:cs="Times New Roman"/>
        </w:rPr>
        <w:t xml:space="preserve"> ‘comply or explain’ </w:t>
      </w:r>
      <w:r>
        <w:rPr>
          <w:rFonts w:eastAsia="Calibri" w:cs="Times New Roman"/>
        </w:rPr>
        <w:t xml:space="preserve">principle </w:t>
      </w:r>
      <w:r w:rsidRPr="006870B1">
        <w:rPr>
          <w:rFonts w:eastAsia="Calibri" w:cs="Times New Roman"/>
        </w:rPr>
        <w:t xml:space="preserve">is working well </w:t>
      </w:r>
      <w:r>
        <w:rPr>
          <w:rFonts w:eastAsia="Calibri" w:cs="Times New Roman"/>
        </w:rPr>
        <w:t xml:space="preserve">for some provisions, but for others there might be a </w:t>
      </w:r>
      <w:r w:rsidRPr="006870B1">
        <w:rPr>
          <w:rFonts w:eastAsia="Calibri" w:cs="Times New Roman"/>
        </w:rPr>
        <w:t>need to move towards mandatory compliance with the UK CGC</w:t>
      </w:r>
      <w:r>
        <w:rPr>
          <w:rFonts w:eastAsia="Calibri" w:cs="Times New Roman"/>
        </w:rPr>
        <w:t xml:space="preserve">. As such, </w:t>
      </w:r>
      <w:r w:rsidRPr="00675D9E">
        <w:rPr>
          <w:rFonts w:eastAsia="Calibri" w:cs="Times New Roman"/>
        </w:rPr>
        <w:t xml:space="preserve">a broader perspective on </w:t>
      </w:r>
      <w:r>
        <w:rPr>
          <w:rFonts w:eastAsia="Calibri" w:cs="Times New Roman"/>
        </w:rPr>
        <w:t xml:space="preserve">good </w:t>
      </w:r>
      <w:r w:rsidRPr="00675D9E">
        <w:rPr>
          <w:rFonts w:eastAsia="Calibri" w:cs="Times New Roman"/>
        </w:rPr>
        <w:t xml:space="preserve">corporate governance and its </w:t>
      </w:r>
      <w:r>
        <w:rPr>
          <w:rFonts w:eastAsia="Calibri" w:cs="Times New Roman"/>
        </w:rPr>
        <w:t>regulatory framework</w:t>
      </w:r>
      <w:r w:rsidRPr="00675D9E">
        <w:rPr>
          <w:rFonts w:eastAsia="Calibri" w:cs="Times New Roman"/>
        </w:rPr>
        <w:t xml:space="preserve"> </w:t>
      </w:r>
      <w:r>
        <w:rPr>
          <w:rFonts w:eastAsia="Calibri" w:cs="Times New Roman"/>
        </w:rPr>
        <w:t xml:space="preserve">is required </w:t>
      </w:r>
      <w:r w:rsidRPr="00477259">
        <w:rPr>
          <w:rFonts w:eastAsia="Calibri" w:cs="Times New Roman"/>
        </w:rPr>
        <w:t>to improve corporate governance of financial institutions</w:t>
      </w:r>
      <w:r>
        <w:rPr>
          <w:rFonts w:eastAsia="Calibri" w:cs="Times New Roman"/>
        </w:rPr>
        <w:t xml:space="preserve">.  We therefore argue that investors </w:t>
      </w:r>
      <w:r w:rsidRPr="006870B1">
        <w:rPr>
          <w:rFonts w:eastAsia="Calibri" w:cs="Times New Roman"/>
        </w:rPr>
        <w:t>need to carefully scrutinise the</w:t>
      </w:r>
      <w:r>
        <w:rPr>
          <w:rFonts w:eastAsia="Calibri" w:cs="Times New Roman"/>
        </w:rPr>
        <w:t xml:space="preserve"> level of compliance and</w:t>
      </w:r>
      <w:r w:rsidRPr="006870B1">
        <w:rPr>
          <w:rFonts w:eastAsia="Calibri" w:cs="Times New Roman"/>
        </w:rPr>
        <w:t xml:space="preserve"> quality of explanations rep</w:t>
      </w:r>
      <w:r>
        <w:rPr>
          <w:rFonts w:eastAsia="Calibri" w:cs="Times New Roman"/>
        </w:rPr>
        <w:t>orted by non-compliant firms</w:t>
      </w:r>
      <w:r w:rsidRPr="006870B1">
        <w:rPr>
          <w:rFonts w:eastAsia="Calibri" w:cs="Times New Roman"/>
        </w:rPr>
        <w:t xml:space="preserve">. </w:t>
      </w:r>
      <w:r>
        <w:rPr>
          <w:rFonts w:eastAsia="Calibri" w:cs="Times New Roman"/>
        </w:rPr>
        <w:t xml:space="preserve">Moreover, the independence of NEDs </w:t>
      </w:r>
      <w:r>
        <w:rPr>
          <w:rFonts w:eastAsia="Calibri" w:cs="Times New Roman"/>
        </w:rPr>
        <w:lastRenderedPageBreak/>
        <w:t>seems more important for effective monitoring than just increasing the number of NEDs on corporate boards. Scrutinising the independence of NEDs on boards, is therefore regarded as a very important factor from the perspectives of investors and policy makers</w:t>
      </w:r>
      <w:r w:rsidRPr="004333D4">
        <w:rPr>
          <w:rFonts w:eastAsia="Calibri" w:cs="Times New Roman"/>
          <w:lang w:eastAsia="en-GB"/>
        </w:rPr>
        <w:t>.</w:t>
      </w:r>
      <w:r>
        <w:rPr>
          <w:rFonts w:eastAsia="Calibri" w:cs="Times New Roman"/>
          <w:lang w:eastAsia="en-GB"/>
        </w:rPr>
        <w:t xml:space="preserve"> </w:t>
      </w:r>
      <w:r>
        <w:rPr>
          <w:rFonts w:eastAsia="Calibri" w:cs="Times New Roman"/>
        </w:rPr>
        <w:t>Finally, our findings</w:t>
      </w:r>
      <w:r w:rsidRPr="006870B1">
        <w:rPr>
          <w:rFonts w:eastAsia="Calibri" w:cs="Times New Roman"/>
        </w:rPr>
        <w:t xml:space="preserve"> imply that</w:t>
      </w:r>
      <w:r>
        <w:rPr>
          <w:rFonts w:eastAsia="Calibri" w:cs="Times New Roman"/>
        </w:rPr>
        <w:t xml:space="preserve"> policy makers and investors need to carefully consider the type of </w:t>
      </w:r>
      <w:proofErr w:type="gramStart"/>
      <w:r w:rsidR="005D6399">
        <w:rPr>
          <w:rFonts w:eastAsia="Calibri" w:cs="Times New Roman"/>
        </w:rPr>
        <w:t xml:space="preserve">incentives </w:t>
      </w:r>
      <w:r>
        <w:rPr>
          <w:rFonts w:eastAsia="Calibri" w:cs="Times New Roman"/>
        </w:rPr>
        <w:t xml:space="preserve"> and</w:t>
      </w:r>
      <w:proofErr w:type="gramEnd"/>
      <w:r>
        <w:rPr>
          <w:rFonts w:eastAsia="Calibri" w:cs="Times New Roman"/>
        </w:rPr>
        <w:t xml:space="preserve"> the number of internal controls within firms because the number of internal controls and </w:t>
      </w:r>
      <w:r w:rsidR="008D0175">
        <w:rPr>
          <w:rFonts w:eastAsia="Calibri" w:cs="Times New Roman"/>
        </w:rPr>
        <w:t xml:space="preserve">the </w:t>
      </w:r>
      <w:r>
        <w:rPr>
          <w:rFonts w:eastAsia="Calibri" w:cs="Times New Roman"/>
        </w:rPr>
        <w:t xml:space="preserve">type of </w:t>
      </w:r>
      <w:r w:rsidR="005D6399">
        <w:rPr>
          <w:rFonts w:eastAsia="Calibri" w:cs="Times New Roman"/>
        </w:rPr>
        <w:t>incentives</w:t>
      </w:r>
      <w:r>
        <w:rPr>
          <w:rFonts w:eastAsia="Calibri" w:cs="Times New Roman"/>
        </w:rPr>
        <w:t xml:space="preserve"> have important implications for shareholder value during extraordinary times.</w:t>
      </w:r>
    </w:p>
    <w:p w14:paraId="3583F91E" w14:textId="7AB7CA3C" w:rsidR="0092047F" w:rsidRDefault="00FD1DC0" w:rsidP="00330DFA">
      <w:pPr>
        <w:rPr>
          <w:lang w:eastAsia="en-GB"/>
        </w:rPr>
      </w:pPr>
      <w:r>
        <w:rPr>
          <w:lang w:eastAsia="en-GB"/>
        </w:rPr>
        <w:t>Considering the time period and coverage of the financial sector we believe that this study makes a valuable contribution to the existing literature. However, a number of limitations still need</w:t>
      </w:r>
      <w:r w:rsidR="00F80589">
        <w:rPr>
          <w:lang w:eastAsia="en-GB"/>
        </w:rPr>
        <w:t>s</w:t>
      </w:r>
      <w:r>
        <w:rPr>
          <w:lang w:eastAsia="en-GB"/>
        </w:rPr>
        <w:t xml:space="preserve"> acknowledgement. First, this study relies on the use of</w:t>
      </w:r>
      <w:r w:rsidRPr="000A7782">
        <w:rPr>
          <w:lang w:eastAsia="en-GB"/>
        </w:rPr>
        <w:t xml:space="preserve"> </w:t>
      </w:r>
      <w:r>
        <w:rPr>
          <w:lang w:eastAsia="en-GB"/>
        </w:rPr>
        <w:t xml:space="preserve">corporate governance index which </w:t>
      </w:r>
      <w:r w:rsidRPr="000A7782">
        <w:rPr>
          <w:lang w:eastAsia="en-GB"/>
        </w:rPr>
        <w:t>is constructed giving equal weight</w:t>
      </w:r>
      <w:r>
        <w:rPr>
          <w:lang w:eastAsia="en-GB"/>
        </w:rPr>
        <w:t xml:space="preserve">ing to all </w:t>
      </w:r>
      <w:r w:rsidR="00330DFA">
        <w:rPr>
          <w:lang w:eastAsia="en-GB"/>
        </w:rPr>
        <w:t xml:space="preserve">of </w:t>
      </w:r>
      <w:r>
        <w:rPr>
          <w:lang w:eastAsia="en-GB"/>
        </w:rPr>
        <w:t>the provisions. However, as indicated by the findings of this study</w:t>
      </w:r>
      <w:r w:rsidR="00E07798">
        <w:rPr>
          <w:lang w:eastAsia="en-GB"/>
        </w:rPr>
        <w:t>,</w:t>
      </w:r>
      <w:r>
        <w:rPr>
          <w:lang w:eastAsia="en-GB"/>
        </w:rPr>
        <w:t xml:space="preserve"> </w:t>
      </w:r>
      <w:r w:rsidRPr="000A7782">
        <w:rPr>
          <w:lang w:eastAsia="en-GB"/>
        </w:rPr>
        <w:t xml:space="preserve">some provisions </w:t>
      </w:r>
      <w:r>
        <w:rPr>
          <w:lang w:eastAsia="en-GB"/>
        </w:rPr>
        <w:t xml:space="preserve">of the governance code </w:t>
      </w:r>
      <w:r w:rsidRPr="000A7782">
        <w:rPr>
          <w:lang w:eastAsia="en-GB"/>
        </w:rPr>
        <w:t xml:space="preserve">could be more important than others. </w:t>
      </w:r>
      <w:r>
        <w:rPr>
          <w:lang w:eastAsia="en-GB"/>
        </w:rPr>
        <w:t>As t</w:t>
      </w:r>
      <w:r w:rsidRPr="000A7782">
        <w:rPr>
          <w:lang w:eastAsia="en-GB"/>
        </w:rPr>
        <w:t xml:space="preserve">here is no objective criterion </w:t>
      </w:r>
      <w:r>
        <w:rPr>
          <w:lang w:eastAsia="en-GB"/>
        </w:rPr>
        <w:t xml:space="preserve">available which could be used for weighting </w:t>
      </w:r>
      <w:r w:rsidRPr="000A7782">
        <w:rPr>
          <w:lang w:eastAsia="en-GB"/>
        </w:rPr>
        <w:t>individual provision</w:t>
      </w:r>
      <w:r>
        <w:rPr>
          <w:lang w:eastAsia="en-GB"/>
        </w:rPr>
        <w:t>s,</w:t>
      </w:r>
      <w:r w:rsidRPr="000A7782">
        <w:rPr>
          <w:lang w:eastAsia="en-GB"/>
        </w:rPr>
        <w:t xml:space="preserve"> using an equal weighted index is </w:t>
      </w:r>
      <w:r>
        <w:rPr>
          <w:lang w:eastAsia="en-GB"/>
        </w:rPr>
        <w:t xml:space="preserve">probably </w:t>
      </w:r>
      <w:r w:rsidRPr="000A7782">
        <w:rPr>
          <w:lang w:eastAsia="en-GB"/>
        </w:rPr>
        <w:t>the best available option as it does not involve any subjective judgment by the researcher</w:t>
      </w:r>
      <w:r>
        <w:rPr>
          <w:lang w:eastAsia="en-GB"/>
        </w:rPr>
        <w:t>s</w:t>
      </w:r>
      <w:r w:rsidRPr="000A7782">
        <w:rPr>
          <w:lang w:eastAsia="en-GB"/>
        </w:rPr>
        <w:t>.</w:t>
      </w:r>
      <w:r>
        <w:rPr>
          <w:lang w:eastAsia="en-GB"/>
        </w:rPr>
        <w:t xml:space="preserve"> Furthermore, the index in this study was</w:t>
      </w:r>
      <w:r w:rsidRPr="000A7782">
        <w:rPr>
          <w:lang w:eastAsia="en-GB"/>
        </w:rPr>
        <w:t xml:space="preserve"> developed </w:t>
      </w:r>
      <w:r>
        <w:rPr>
          <w:lang w:eastAsia="en-GB"/>
        </w:rPr>
        <w:t>through</w:t>
      </w:r>
      <w:r w:rsidRPr="000A7782">
        <w:rPr>
          <w:lang w:eastAsia="en-GB"/>
        </w:rPr>
        <w:t xml:space="preserve"> </w:t>
      </w:r>
      <w:r>
        <w:rPr>
          <w:lang w:eastAsia="en-GB"/>
        </w:rPr>
        <w:t>content analysis of</w:t>
      </w:r>
      <w:r w:rsidRPr="000A7782">
        <w:rPr>
          <w:lang w:eastAsia="en-GB"/>
        </w:rPr>
        <w:t xml:space="preserve"> </w:t>
      </w:r>
      <w:r>
        <w:rPr>
          <w:lang w:eastAsia="en-GB"/>
        </w:rPr>
        <w:t xml:space="preserve">the </w:t>
      </w:r>
      <w:r w:rsidRPr="000A7782">
        <w:rPr>
          <w:lang w:eastAsia="en-GB"/>
        </w:rPr>
        <w:t>annual reports</w:t>
      </w:r>
      <w:r>
        <w:rPr>
          <w:lang w:eastAsia="en-GB"/>
        </w:rPr>
        <w:t xml:space="preserve"> of the sample organisations</w:t>
      </w:r>
      <w:r w:rsidRPr="000A7782">
        <w:rPr>
          <w:lang w:eastAsia="en-GB"/>
        </w:rPr>
        <w:t>.</w:t>
      </w:r>
      <w:r>
        <w:rPr>
          <w:lang w:eastAsia="en-GB"/>
        </w:rPr>
        <w:t xml:space="preserve"> I</w:t>
      </w:r>
      <w:r w:rsidRPr="000A7782">
        <w:rPr>
          <w:lang w:eastAsia="en-GB"/>
        </w:rPr>
        <w:t>n order to cross check the level of compliance with</w:t>
      </w:r>
      <w:r>
        <w:rPr>
          <w:lang w:eastAsia="en-GB"/>
        </w:rPr>
        <w:t xml:space="preserve"> the UK CGC,</w:t>
      </w:r>
      <w:r w:rsidRPr="000A7782">
        <w:rPr>
          <w:lang w:eastAsia="en-GB"/>
        </w:rPr>
        <w:t xml:space="preserve"> future research </w:t>
      </w:r>
      <w:r>
        <w:rPr>
          <w:lang w:eastAsia="en-GB"/>
        </w:rPr>
        <w:t xml:space="preserve">may employ </w:t>
      </w:r>
      <w:r w:rsidRPr="000A7782">
        <w:rPr>
          <w:lang w:eastAsia="en-GB"/>
        </w:rPr>
        <w:t>surveys with board members and shareholders.</w:t>
      </w:r>
      <w:r>
        <w:rPr>
          <w:lang w:eastAsia="en-GB"/>
        </w:rPr>
        <w:t xml:space="preserve"> Moreover, for</w:t>
      </w:r>
      <w:r w:rsidRPr="000A7782">
        <w:rPr>
          <w:lang w:eastAsia="en-GB"/>
        </w:rPr>
        <w:t xml:space="preserve"> </w:t>
      </w:r>
      <w:r>
        <w:rPr>
          <w:lang w:eastAsia="en-GB"/>
        </w:rPr>
        <w:t xml:space="preserve">understanding the level of </w:t>
      </w:r>
      <w:r w:rsidRPr="000A7782">
        <w:rPr>
          <w:lang w:eastAsia="en-GB"/>
        </w:rPr>
        <w:t xml:space="preserve">importance </w:t>
      </w:r>
      <w:r>
        <w:rPr>
          <w:lang w:eastAsia="en-GB"/>
        </w:rPr>
        <w:t>that shareholders</w:t>
      </w:r>
      <w:r w:rsidRPr="000A7782">
        <w:rPr>
          <w:lang w:eastAsia="en-GB"/>
        </w:rPr>
        <w:t xml:space="preserve"> </w:t>
      </w:r>
      <w:r>
        <w:rPr>
          <w:lang w:eastAsia="en-GB"/>
        </w:rPr>
        <w:t>give to</w:t>
      </w:r>
      <w:r w:rsidRPr="000A7782">
        <w:rPr>
          <w:lang w:eastAsia="en-GB"/>
        </w:rPr>
        <w:t xml:space="preserve"> compliance </w:t>
      </w:r>
      <w:r>
        <w:rPr>
          <w:lang w:eastAsia="en-GB"/>
        </w:rPr>
        <w:t xml:space="preserve">with individual </w:t>
      </w:r>
      <w:r w:rsidRPr="000A7782">
        <w:rPr>
          <w:lang w:eastAsia="en-GB"/>
        </w:rPr>
        <w:t>provisions of</w:t>
      </w:r>
      <w:r>
        <w:rPr>
          <w:lang w:eastAsia="en-GB"/>
        </w:rPr>
        <w:t xml:space="preserve"> the UK CGC, i</w:t>
      </w:r>
      <w:r w:rsidRPr="000A7782">
        <w:rPr>
          <w:lang w:eastAsia="en-GB"/>
        </w:rPr>
        <w:t xml:space="preserve">nterviews could </w:t>
      </w:r>
      <w:r>
        <w:rPr>
          <w:lang w:eastAsia="en-GB"/>
        </w:rPr>
        <w:t xml:space="preserve">also be conducted with </w:t>
      </w:r>
      <w:r w:rsidRPr="000A7782">
        <w:rPr>
          <w:lang w:eastAsia="en-GB"/>
        </w:rPr>
        <w:t>shareholders</w:t>
      </w:r>
      <w:r>
        <w:rPr>
          <w:lang w:eastAsia="en-GB"/>
        </w:rPr>
        <w:t xml:space="preserve">, which would help in understudying the context and findings of research in this area. </w:t>
      </w:r>
      <w:r>
        <w:rPr>
          <w:rFonts w:eastAsia="Calibri" w:cs="Times New Roman"/>
        </w:rPr>
        <w:t>Lastly, in our study we do not explore the trade-off between the benefits of compliance (higher shareholder value) and the cost of compliance. If there are no costs associated with compliance, all firms would likely be complaint. Further study is merited to shed light on the cost of compliance and how it affects shareholder value.</w:t>
      </w:r>
      <w:r w:rsidR="0092047F">
        <w:rPr>
          <w:lang w:eastAsia="en-GB"/>
        </w:rPr>
        <w:br w:type="page"/>
      </w:r>
    </w:p>
    <w:p w14:paraId="22F8C6FF" w14:textId="77777777" w:rsidR="0092047F" w:rsidRDefault="0092047F" w:rsidP="0092047F">
      <w:pPr>
        <w:pStyle w:val="Heading1"/>
        <w:rPr>
          <w:rFonts w:eastAsia="Times New Roman"/>
          <w:lang w:eastAsia="en-GB"/>
        </w:rPr>
      </w:pPr>
      <w:r>
        <w:rPr>
          <w:rFonts w:eastAsia="Times New Roman"/>
          <w:lang w:eastAsia="en-GB"/>
        </w:rPr>
        <w:lastRenderedPageBreak/>
        <w:t>References</w:t>
      </w:r>
    </w:p>
    <w:p w14:paraId="364F40D7" w14:textId="77777777" w:rsidR="00891EBD" w:rsidRPr="00891EBD" w:rsidRDefault="0092047F" w:rsidP="00891EBD">
      <w:pPr>
        <w:pStyle w:val="EndNoteBibliography"/>
        <w:spacing w:after="0"/>
        <w:ind w:left="720" w:hanging="720"/>
      </w:pPr>
      <w:r w:rsidRPr="001511A4">
        <w:rPr>
          <w:rFonts w:eastAsiaTheme="majorEastAsia" w:cstheme="majorBidi"/>
          <w:b/>
          <w:bCs/>
          <w:sz w:val="28"/>
          <w:szCs w:val="28"/>
          <w:highlight w:val="yellow"/>
        </w:rPr>
        <w:fldChar w:fldCharType="begin"/>
      </w:r>
      <w:r w:rsidRPr="001511A4">
        <w:rPr>
          <w:highlight w:val="yellow"/>
        </w:rPr>
        <w:instrText xml:space="preserve"> ADDIN EN.REFLIST </w:instrText>
      </w:r>
      <w:r w:rsidRPr="001511A4">
        <w:rPr>
          <w:rFonts w:eastAsiaTheme="majorEastAsia" w:cstheme="majorBidi"/>
          <w:b/>
          <w:bCs/>
          <w:sz w:val="28"/>
          <w:szCs w:val="28"/>
          <w:highlight w:val="yellow"/>
        </w:rPr>
        <w:fldChar w:fldCharType="separate"/>
      </w:r>
      <w:r w:rsidR="00891EBD" w:rsidRPr="00891EBD">
        <w:t xml:space="preserve">Abdallah, W., Goergen, M., &amp; O'Sullivan, N. (2015). Endogeneity: How failure to correct for it can cause wrong inferences and some remedies. </w:t>
      </w:r>
      <w:r w:rsidR="00891EBD" w:rsidRPr="00891EBD">
        <w:rPr>
          <w:i/>
        </w:rPr>
        <w:t>British Journal of Management, 26</w:t>
      </w:r>
      <w:r w:rsidR="00891EBD" w:rsidRPr="00891EBD">
        <w:t>(4), 791-804. doi:10.1111/1467-8551.12113</w:t>
      </w:r>
    </w:p>
    <w:p w14:paraId="2418607F" w14:textId="77777777" w:rsidR="00891EBD" w:rsidRPr="00891EBD" w:rsidRDefault="00891EBD" w:rsidP="00891EBD">
      <w:pPr>
        <w:pStyle w:val="EndNoteBibliography"/>
        <w:spacing w:after="0"/>
        <w:ind w:left="720" w:hanging="720"/>
      </w:pPr>
      <w:r w:rsidRPr="00891EBD">
        <w:t xml:space="preserve">Adams, R. B. (2012). Governance and the financial crisis. </w:t>
      </w:r>
      <w:r w:rsidRPr="00891EBD">
        <w:rPr>
          <w:i/>
        </w:rPr>
        <w:t>International Review of Finance, 12</w:t>
      </w:r>
      <w:r w:rsidRPr="00891EBD">
        <w:t xml:space="preserve">(1), 7-38. </w:t>
      </w:r>
    </w:p>
    <w:p w14:paraId="79DEA424" w14:textId="77777777" w:rsidR="00891EBD" w:rsidRPr="00891EBD" w:rsidRDefault="00891EBD" w:rsidP="00891EBD">
      <w:pPr>
        <w:pStyle w:val="EndNoteBibliography"/>
        <w:spacing w:after="0"/>
        <w:ind w:left="720" w:hanging="720"/>
      </w:pPr>
      <w:r w:rsidRPr="00891EBD">
        <w:t xml:space="preserve">Adams, R. B., Hermalin, B. E., &amp; Weisbach, M. S. (2010). The Role of Boards of Directors in Corporate Governance: A Conceptual Framework and Survey. </w:t>
      </w:r>
      <w:r w:rsidRPr="00891EBD">
        <w:rPr>
          <w:i/>
        </w:rPr>
        <w:t>Journal of Economic Literature, 48</w:t>
      </w:r>
      <w:r w:rsidRPr="00891EBD">
        <w:t>(1), 58-107. doi:doi: 10.1257/jel.48.1.58</w:t>
      </w:r>
    </w:p>
    <w:p w14:paraId="5D9B516D" w14:textId="77777777" w:rsidR="00891EBD" w:rsidRPr="00891EBD" w:rsidRDefault="00891EBD" w:rsidP="00891EBD">
      <w:pPr>
        <w:pStyle w:val="EndNoteBibliography"/>
        <w:spacing w:after="0"/>
        <w:ind w:left="720" w:hanging="720"/>
      </w:pPr>
      <w:r w:rsidRPr="00891EBD">
        <w:t xml:space="preserve">Ahmed, Z., &amp; Hla, D. T. (2019). Stock return volatility and capital structure measures of nonfinancial firms in a dynamic panel model: Evidence from P akistan. </w:t>
      </w:r>
      <w:r w:rsidRPr="00891EBD">
        <w:rPr>
          <w:i/>
        </w:rPr>
        <w:t>International Journal of Finance &amp; Economics, 24</w:t>
      </w:r>
      <w:r w:rsidRPr="00891EBD">
        <w:t xml:space="preserve">(1), 604-628. </w:t>
      </w:r>
    </w:p>
    <w:p w14:paraId="648ACE2C" w14:textId="77777777" w:rsidR="00891EBD" w:rsidRPr="00891EBD" w:rsidRDefault="00891EBD" w:rsidP="00891EBD">
      <w:pPr>
        <w:pStyle w:val="EndNoteBibliography"/>
        <w:spacing w:after="0"/>
        <w:ind w:left="720" w:hanging="720"/>
      </w:pPr>
      <w:r w:rsidRPr="00891EBD">
        <w:t xml:space="preserve">Alexiou, C., Mohamed, A., &amp; Nellis, J. (2019). The impact of institutional investors on firms' performance in the context of financialization. </w:t>
      </w:r>
      <w:r w:rsidRPr="00891EBD">
        <w:rPr>
          <w:i/>
        </w:rPr>
        <w:t>International Journal of Finance &amp; Economics, forthcoming</w:t>
      </w:r>
      <w:r w:rsidRPr="00891EBD">
        <w:t xml:space="preserve">. </w:t>
      </w:r>
    </w:p>
    <w:p w14:paraId="45016823" w14:textId="77777777" w:rsidR="00891EBD" w:rsidRPr="00891EBD" w:rsidRDefault="00891EBD" w:rsidP="00891EBD">
      <w:pPr>
        <w:pStyle w:val="EndNoteBibliography"/>
        <w:spacing w:after="0"/>
        <w:ind w:left="720" w:hanging="720"/>
      </w:pPr>
      <w:r w:rsidRPr="00891EBD">
        <w:t xml:space="preserve">Ammann, M., Oesch, D., &amp; Schmid, M. M. (2011). Corporate governance and firm value: International evidence. </w:t>
      </w:r>
      <w:r w:rsidRPr="00891EBD">
        <w:rPr>
          <w:i/>
        </w:rPr>
        <w:t>Journal of Empirical Finance, 18</w:t>
      </w:r>
      <w:r w:rsidRPr="00891EBD">
        <w:t xml:space="preserve">(1), 36-55. </w:t>
      </w:r>
    </w:p>
    <w:p w14:paraId="01FEB700" w14:textId="77777777" w:rsidR="00891EBD" w:rsidRPr="00891EBD" w:rsidRDefault="00891EBD" w:rsidP="00891EBD">
      <w:pPr>
        <w:pStyle w:val="EndNoteBibliography"/>
        <w:spacing w:after="0"/>
        <w:ind w:left="720" w:hanging="720"/>
      </w:pPr>
      <w:r w:rsidRPr="00891EBD">
        <w:t xml:space="preserve">Arcot, S., Bruno, V., &amp; Faure-Grimaud, A. (2010). Corporate governance in the UK: Is the comply or explain approach working? </w:t>
      </w:r>
      <w:r w:rsidRPr="00891EBD">
        <w:rPr>
          <w:i/>
        </w:rPr>
        <w:t>International Review of Law and Economics, 30</w:t>
      </w:r>
      <w:r w:rsidRPr="00891EBD">
        <w:t xml:space="preserve">(2), 193-201. </w:t>
      </w:r>
    </w:p>
    <w:p w14:paraId="76C322E0" w14:textId="77777777" w:rsidR="00891EBD" w:rsidRPr="00891EBD" w:rsidRDefault="00891EBD" w:rsidP="00891EBD">
      <w:pPr>
        <w:pStyle w:val="EndNoteBibliography"/>
        <w:spacing w:after="0"/>
        <w:ind w:left="720" w:hanging="720"/>
      </w:pPr>
      <w:r w:rsidRPr="00891EBD">
        <w:t xml:space="preserve">Arellano, M., &amp; Bond, S. (1991). Some tests of specification for panel data: Monte Carlo evidence and an application to employment equations. </w:t>
      </w:r>
      <w:r w:rsidRPr="00891EBD">
        <w:rPr>
          <w:i/>
        </w:rPr>
        <w:t>The review of economic studies, 58</w:t>
      </w:r>
      <w:r w:rsidRPr="00891EBD">
        <w:t xml:space="preserve">(2), 277-297. </w:t>
      </w:r>
    </w:p>
    <w:p w14:paraId="2E183E9A" w14:textId="77777777" w:rsidR="00891EBD" w:rsidRPr="00891EBD" w:rsidRDefault="00891EBD" w:rsidP="00891EBD">
      <w:pPr>
        <w:pStyle w:val="EndNoteBibliography"/>
        <w:spacing w:after="0"/>
        <w:ind w:left="720" w:hanging="720"/>
      </w:pPr>
      <w:r w:rsidRPr="00891EBD">
        <w:t xml:space="preserve">Arellano, M., &amp; Bover, O. (1995). Another look at the instrumental variable estimation of error-components models. </w:t>
      </w:r>
      <w:r w:rsidRPr="00891EBD">
        <w:rPr>
          <w:i/>
        </w:rPr>
        <w:t>Journal of econometrics, 68</w:t>
      </w:r>
      <w:r w:rsidRPr="00891EBD">
        <w:t xml:space="preserve">(1), 29-51. </w:t>
      </w:r>
    </w:p>
    <w:p w14:paraId="1FE9EFA8" w14:textId="77777777" w:rsidR="00891EBD" w:rsidRPr="00891EBD" w:rsidRDefault="00891EBD" w:rsidP="00891EBD">
      <w:pPr>
        <w:pStyle w:val="EndNoteBibliography"/>
        <w:spacing w:after="0"/>
        <w:ind w:left="720" w:hanging="720"/>
      </w:pPr>
      <w:r w:rsidRPr="00891EBD">
        <w:t xml:space="preserve">Baum, C. F., Chakraborty, A., &amp; Liu, B. (2010). The impact of macroeconomic uncertainty on firms' changes in financial leverage. </w:t>
      </w:r>
      <w:r w:rsidRPr="00891EBD">
        <w:rPr>
          <w:i/>
        </w:rPr>
        <w:t>International Journal of Finance &amp; Economics, 15</w:t>
      </w:r>
      <w:r w:rsidRPr="00891EBD">
        <w:t xml:space="preserve">(1), 22-30. </w:t>
      </w:r>
    </w:p>
    <w:p w14:paraId="3169B88A" w14:textId="77777777" w:rsidR="00891EBD" w:rsidRPr="00891EBD" w:rsidRDefault="00891EBD" w:rsidP="00891EBD">
      <w:pPr>
        <w:pStyle w:val="EndNoteBibliography"/>
        <w:spacing w:after="0"/>
        <w:ind w:left="720" w:hanging="720"/>
      </w:pPr>
      <w:r w:rsidRPr="00891EBD">
        <w:t xml:space="preserve">Bayless, M. (2009). The myth of executive compensation: do shareholders get what they pay for? </w:t>
      </w:r>
      <w:r w:rsidRPr="00891EBD">
        <w:rPr>
          <w:i/>
        </w:rPr>
        <w:t>Applied Financial Economics, 19</w:t>
      </w:r>
      <w:r w:rsidRPr="00891EBD">
        <w:t xml:space="preserve">(10), 795-808. </w:t>
      </w:r>
    </w:p>
    <w:p w14:paraId="2293BA18" w14:textId="77777777" w:rsidR="00891EBD" w:rsidRPr="00891EBD" w:rsidRDefault="00891EBD" w:rsidP="00891EBD">
      <w:pPr>
        <w:pStyle w:val="EndNoteBibliography"/>
        <w:spacing w:after="0"/>
        <w:ind w:left="720" w:hanging="720"/>
      </w:pPr>
      <w:r w:rsidRPr="00891EBD">
        <w:t xml:space="preserve">Bebchuk, L., Cohen, A., &amp; Ferrell, A. (2009). What matters in corporate governance? </w:t>
      </w:r>
      <w:r w:rsidRPr="00891EBD">
        <w:rPr>
          <w:i/>
        </w:rPr>
        <w:t>Review of Financial Studies, 22</w:t>
      </w:r>
      <w:r w:rsidRPr="00891EBD">
        <w:t xml:space="preserve">(2), 783-827. </w:t>
      </w:r>
    </w:p>
    <w:p w14:paraId="58408E34" w14:textId="77777777" w:rsidR="00891EBD" w:rsidRPr="00891EBD" w:rsidRDefault="00891EBD" w:rsidP="00891EBD">
      <w:pPr>
        <w:pStyle w:val="EndNoteBibliography"/>
        <w:spacing w:after="0"/>
        <w:ind w:left="720" w:hanging="720"/>
      </w:pPr>
      <w:r w:rsidRPr="00891EBD">
        <w:t xml:space="preserve">Bebchuk, L. A., &amp; Fried, J. M. (2003). Executive compensation as an agency problem. </w:t>
      </w:r>
      <w:r w:rsidRPr="00891EBD">
        <w:rPr>
          <w:i/>
        </w:rPr>
        <w:t>Journal of Economic Perspectives, 17</w:t>
      </w:r>
      <w:r w:rsidRPr="00891EBD">
        <w:t xml:space="preserve">(3), 71-92. </w:t>
      </w:r>
    </w:p>
    <w:p w14:paraId="08F7764B" w14:textId="77777777" w:rsidR="00891EBD" w:rsidRPr="00891EBD" w:rsidRDefault="00891EBD" w:rsidP="00891EBD">
      <w:pPr>
        <w:pStyle w:val="EndNoteBibliography"/>
        <w:spacing w:after="0"/>
        <w:ind w:left="720" w:hanging="720"/>
      </w:pPr>
      <w:r w:rsidRPr="00891EBD">
        <w:t xml:space="preserve">Beekes, W., &amp; Brown, P. (2006). Do Better-Governed Australian Firms Make More Informative Disclosures? </w:t>
      </w:r>
      <w:r w:rsidRPr="00891EBD">
        <w:rPr>
          <w:i/>
        </w:rPr>
        <w:t>Journal of Business Finance &amp; Accounting, 33</w:t>
      </w:r>
      <w:r w:rsidRPr="00891EBD">
        <w:t>(3/4), 422-450. doi:10.1111/j.1468-5957.2006.00614.x</w:t>
      </w:r>
    </w:p>
    <w:p w14:paraId="6BCB83C0" w14:textId="77777777" w:rsidR="00891EBD" w:rsidRPr="00891EBD" w:rsidRDefault="00891EBD" w:rsidP="00891EBD">
      <w:pPr>
        <w:pStyle w:val="EndNoteBibliography"/>
        <w:spacing w:after="0"/>
        <w:ind w:left="720" w:hanging="720"/>
      </w:pPr>
      <w:r w:rsidRPr="00891EBD">
        <w:t xml:space="preserve">Beltratti, A., &amp; Stulz, R. M. (2012). The credit crisis around the globe: Why did some banks perform better? </w:t>
      </w:r>
      <w:r w:rsidRPr="00891EBD">
        <w:rPr>
          <w:i/>
        </w:rPr>
        <w:t>Journal of Financial Economics, 105</w:t>
      </w:r>
      <w:r w:rsidRPr="00891EBD">
        <w:t xml:space="preserve">(1), 1-17. </w:t>
      </w:r>
    </w:p>
    <w:p w14:paraId="490651E0" w14:textId="77777777" w:rsidR="00891EBD" w:rsidRPr="00891EBD" w:rsidRDefault="00891EBD" w:rsidP="00891EBD">
      <w:pPr>
        <w:pStyle w:val="EndNoteBibliography"/>
        <w:spacing w:after="0"/>
        <w:ind w:left="720" w:hanging="720"/>
      </w:pPr>
      <w:r w:rsidRPr="00891EBD">
        <w:t xml:space="preserve">Bender, R. (2004). Why do companies use performance related pay for their executive directors? </w:t>
      </w:r>
      <w:r w:rsidRPr="00891EBD">
        <w:rPr>
          <w:i/>
        </w:rPr>
        <w:t>Corporate Governance: An International Review, 12</w:t>
      </w:r>
      <w:r w:rsidRPr="00891EBD">
        <w:t xml:space="preserve">(4), 521-533. </w:t>
      </w:r>
    </w:p>
    <w:p w14:paraId="4DAF6D51" w14:textId="77777777" w:rsidR="00891EBD" w:rsidRPr="00891EBD" w:rsidRDefault="00891EBD" w:rsidP="00891EBD">
      <w:pPr>
        <w:pStyle w:val="EndNoteBibliography"/>
        <w:spacing w:after="0"/>
        <w:ind w:left="720" w:hanging="720"/>
      </w:pPr>
      <w:r w:rsidRPr="00891EBD">
        <w:t xml:space="preserve">Benito, A., &amp; Conyon, M. (1999). The governance of directors' pay: Evidence from UK companies. </w:t>
      </w:r>
      <w:r w:rsidRPr="00891EBD">
        <w:rPr>
          <w:i/>
        </w:rPr>
        <w:t>Journal of Management and Governance, 3</w:t>
      </w:r>
      <w:r w:rsidRPr="00891EBD">
        <w:t xml:space="preserve">(2), 117-136. </w:t>
      </w:r>
    </w:p>
    <w:p w14:paraId="7FF6C8F7" w14:textId="77777777" w:rsidR="00891EBD" w:rsidRPr="00891EBD" w:rsidRDefault="00891EBD" w:rsidP="00891EBD">
      <w:pPr>
        <w:pStyle w:val="EndNoteBibliography"/>
        <w:spacing w:after="0"/>
        <w:ind w:left="720" w:hanging="720"/>
      </w:pPr>
      <w:r w:rsidRPr="00891EBD">
        <w:t xml:space="preserve">Benston, G. J. (1985). The self-serving management hypothesis : Some evidence. </w:t>
      </w:r>
      <w:r w:rsidRPr="00891EBD">
        <w:rPr>
          <w:i/>
        </w:rPr>
        <w:t>Journal of Accounting and Economics, 7</w:t>
      </w:r>
      <w:r w:rsidRPr="00891EBD">
        <w:t xml:space="preserve">(1-3), 67-84. </w:t>
      </w:r>
    </w:p>
    <w:p w14:paraId="7D535DBD" w14:textId="77777777" w:rsidR="00891EBD" w:rsidRPr="00891EBD" w:rsidRDefault="00891EBD" w:rsidP="00891EBD">
      <w:pPr>
        <w:pStyle w:val="EndNoteBibliography"/>
        <w:spacing w:after="0"/>
        <w:ind w:left="720" w:hanging="720"/>
      </w:pPr>
      <w:r w:rsidRPr="00891EBD">
        <w:t xml:space="preserve">Bikiris, F. V., &amp; Doukakis, L. C. (2011). Corporate governance and  accruals earnings management. </w:t>
      </w:r>
      <w:r w:rsidRPr="00891EBD">
        <w:rPr>
          <w:i/>
        </w:rPr>
        <w:t>Managerial and Decision Economics, 32</w:t>
      </w:r>
      <w:r w:rsidRPr="00891EBD">
        <w:t xml:space="preserve">(7), 439-456. </w:t>
      </w:r>
    </w:p>
    <w:p w14:paraId="32CA4EAE" w14:textId="77777777" w:rsidR="00891EBD" w:rsidRPr="00891EBD" w:rsidRDefault="00891EBD" w:rsidP="00891EBD">
      <w:pPr>
        <w:pStyle w:val="EndNoteBibliography"/>
        <w:spacing w:after="0"/>
        <w:ind w:left="720" w:hanging="720"/>
      </w:pPr>
      <w:r w:rsidRPr="00891EBD">
        <w:lastRenderedPageBreak/>
        <w:t xml:space="preserve">Blundell, R., &amp; Bond, S. (1998). Initial conditions and moment restrictions in dynamic panel data models. </w:t>
      </w:r>
      <w:r w:rsidRPr="00891EBD">
        <w:rPr>
          <w:i/>
        </w:rPr>
        <w:t>Journal of econometrics, 87</w:t>
      </w:r>
      <w:r w:rsidRPr="00891EBD">
        <w:t xml:space="preserve">(1), 115-143. </w:t>
      </w:r>
    </w:p>
    <w:p w14:paraId="295BCE9C" w14:textId="77777777" w:rsidR="00891EBD" w:rsidRPr="00891EBD" w:rsidRDefault="00891EBD" w:rsidP="00891EBD">
      <w:pPr>
        <w:pStyle w:val="EndNoteBibliography"/>
        <w:spacing w:after="0"/>
        <w:ind w:left="720" w:hanging="720"/>
      </w:pPr>
      <w:r w:rsidRPr="00891EBD">
        <w:t xml:space="preserve">Carter, M. E., Lei, L., Marcus, J. A., &amp; Tehranian, H. (2016). Excess pay and deficient performance. </w:t>
      </w:r>
      <w:r w:rsidRPr="00891EBD">
        <w:rPr>
          <w:i/>
        </w:rPr>
        <w:t>Review of Financial Economics, 30</w:t>
      </w:r>
      <w:r w:rsidRPr="00891EBD">
        <w:t>(1), 1-10. doi:doi:10.1016/j.rfe.2015.08.003</w:t>
      </w:r>
    </w:p>
    <w:p w14:paraId="2E612131" w14:textId="77777777" w:rsidR="00891EBD" w:rsidRPr="00891EBD" w:rsidRDefault="00891EBD" w:rsidP="00891EBD">
      <w:pPr>
        <w:pStyle w:val="EndNoteBibliography"/>
        <w:spacing w:after="0"/>
        <w:ind w:left="720" w:hanging="720"/>
      </w:pPr>
      <w:r w:rsidRPr="00891EBD">
        <w:t xml:space="preserve">Chen, G., Firth, M., Gao, D. N., &amp; Rui, O. M. (2006). Ownership structure, corporate governance, and fraud: Evidence from China. </w:t>
      </w:r>
      <w:r w:rsidRPr="00891EBD">
        <w:rPr>
          <w:i/>
        </w:rPr>
        <w:t>Journal of Corporate Finance, 12</w:t>
      </w:r>
      <w:r w:rsidRPr="00891EBD">
        <w:t>(3), 424-448. doi:10.1016/j.jcorpfin.2005.09.002</w:t>
      </w:r>
    </w:p>
    <w:p w14:paraId="579432EC" w14:textId="77777777" w:rsidR="00891EBD" w:rsidRPr="00891EBD" w:rsidRDefault="00891EBD" w:rsidP="00891EBD">
      <w:pPr>
        <w:pStyle w:val="EndNoteBibliography"/>
        <w:spacing w:after="0"/>
        <w:ind w:left="720" w:hanging="720"/>
      </w:pPr>
      <w:r w:rsidRPr="00891EBD">
        <w:t xml:space="preserve">Chen, J., Zhang, H., Xiao, X., &amp; Li, W. (2011). Financial crisis and executive remuneration in banking industry - an analysis of five British Banks. </w:t>
      </w:r>
      <w:r w:rsidRPr="00891EBD">
        <w:rPr>
          <w:i/>
        </w:rPr>
        <w:t>Applied Financial Economics, 21</w:t>
      </w:r>
      <w:r w:rsidRPr="00891EBD">
        <w:t xml:space="preserve">(23), 1779-1791. </w:t>
      </w:r>
    </w:p>
    <w:p w14:paraId="4C0F73E3" w14:textId="77777777" w:rsidR="00891EBD" w:rsidRPr="00891EBD" w:rsidRDefault="00891EBD" w:rsidP="00891EBD">
      <w:pPr>
        <w:pStyle w:val="EndNoteBibliography"/>
        <w:spacing w:after="0"/>
        <w:ind w:left="720" w:hanging="720"/>
      </w:pPr>
      <w:r w:rsidRPr="00891EBD">
        <w:t xml:space="preserve">Cheng, I. H., Hong, H., &amp; Scheinkman, J. A. (2015). Yesterday's Heroes: Compensation and Risk at Financial Firms. </w:t>
      </w:r>
      <w:r w:rsidRPr="00891EBD">
        <w:rPr>
          <w:i/>
        </w:rPr>
        <w:t>The Journal of Finance, 70</w:t>
      </w:r>
      <w:r w:rsidRPr="00891EBD">
        <w:t xml:space="preserve">(2), 839-879. </w:t>
      </w:r>
    </w:p>
    <w:p w14:paraId="5C8319DC" w14:textId="77777777" w:rsidR="00891EBD" w:rsidRPr="00891EBD" w:rsidRDefault="00891EBD" w:rsidP="00891EBD">
      <w:pPr>
        <w:pStyle w:val="EndNoteBibliography"/>
        <w:spacing w:after="0"/>
        <w:ind w:left="720" w:hanging="720"/>
      </w:pPr>
      <w:r w:rsidRPr="00891EBD">
        <w:t xml:space="preserve">Choi, S., &amp; Hasan, I. (2005). Ownership, governance, and bank performance: Korean experience. </w:t>
      </w:r>
      <w:r w:rsidRPr="00891EBD">
        <w:rPr>
          <w:i/>
        </w:rPr>
        <w:t>Financial Markets, Institutions &amp; Instruments, 14</w:t>
      </w:r>
      <w:r w:rsidRPr="00891EBD">
        <w:t>(4), 215-242. doi:10.1111/j.0963-8008.2005.00104.x</w:t>
      </w:r>
    </w:p>
    <w:p w14:paraId="7B3E0ED1" w14:textId="77777777" w:rsidR="00891EBD" w:rsidRPr="00891EBD" w:rsidRDefault="00891EBD" w:rsidP="00891EBD">
      <w:pPr>
        <w:pStyle w:val="EndNoteBibliography"/>
        <w:spacing w:after="0"/>
        <w:ind w:left="720" w:hanging="720"/>
      </w:pPr>
      <w:r w:rsidRPr="00891EBD">
        <w:t xml:space="preserve">Conyon, M., Judge, W. Q., &amp; Useem, M. (2011). Corporate governance and the 2008–09 financial crisis. </w:t>
      </w:r>
      <w:r w:rsidRPr="00891EBD">
        <w:rPr>
          <w:i/>
        </w:rPr>
        <w:t>Corporate Governance: An International Review, 19</w:t>
      </w:r>
      <w:r w:rsidRPr="00891EBD">
        <w:t xml:space="preserve">(5), 399-404. </w:t>
      </w:r>
    </w:p>
    <w:p w14:paraId="7FE5E1BF" w14:textId="77777777" w:rsidR="00891EBD" w:rsidRPr="00891EBD" w:rsidRDefault="00891EBD" w:rsidP="00891EBD">
      <w:pPr>
        <w:pStyle w:val="EndNoteBibliography"/>
        <w:spacing w:after="0"/>
        <w:ind w:left="720" w:hanging="720"/>
      </w:pPr>
      <w:r w:rsidRPr="00891EBD">
        <w:t xml:space="preserve">Coughlan, A. T., &amp; Schmidt, R. M. (1985). Executive compensation, management turnover, and firm performance : An empirical investigation. </w:t>
      </w:r>
      <w:r w:rsidRPr="00891EBD">
        <w:rPr>
          <w:i/>
        </w:rPr>
        <w:t>Journal of Accounting and Economics, 7</w:t>
      </w:r>
      <w:r w:rsidRPr="00891EBD">
        <w:t xml:space="preserve">(1-3), 43-66. </w:t>
      </w:r>
    </w:p>
    <w:p w14:paraId="292356D8" w14:textId="77777777" w:rsidR="00891EBD" w:rsidRPr="00891EBD" w:rsidRDefault="00891EBD" w:rsidP="00891EBD">
      <w:pPr>
        <w:pStyle w:val="EndNoteBibliography"/>
        <w:spacing w:after="0"/>
        <w:ind w:left="720" w:hanging="720"/>
      </w:pPr>
      <w:r w:rsidRPr="00891EBD">
        <w:t xml:space="preserve">Dahya, J., &amp; McConnell, J. (2007). Board composition, corporate performance, and the cadbury committee recommendation. </w:t>
      </w:r>
      <w:r w:rsidRPr="00891EBD">
        <w:rPr>
          <w:i/>
        </w:rPr>
        <w:t>Journal of Financial &amp; Quantitative Analysis, 42</w:t>
      </w:r>
      <w:r w:rsidRPr="00891EBD">
        <w:t xml:space="preserve">(3), 535-564. </w:t>
      </w:r>
    </w:p>
    <w:p w14:paraId="2AF17152" w14:textId="77777777" w:rsidR="00891EBD" w:rsidRPr="00891EBD" w:rsidRDefault="00891EBD" w:rsidP="00891EBD">
      <w:pPr>
        <w:pStyle w:val="EndNoteBibliography"/>
        <w:spacing w:after="0"/>
        <w:ind w:left="720" w:hanging="720"/>
      </w:pPr>
      <w:r w:rsidRPr="00891EBD">
        <w:t xml:space="preserve">Darrat, A. F., Gray, S., Park, J. C., &amp; Wu, Y. (2016). Corporate Governance and Bankruptcy Risk. </w:t>
      </w:r>
      <w:r w:rsidRPr="00891EBD">
        <w:rPr>
          <w:i/>
        </w:rPr>
        <w:t>Journal of Accounting, Auditing &amp; Finance, 31</w:t>
      </w:r>
      <w:r w:rsidRPr="00891EBD">
        <w:t>(2), 163-202. doi:10.1177/0148558X14560898</w:t>
      </w:r>
    </w:p>
    <w:p w14:paraId="1845A656" w14:textId="77777777" w:rsidR="00891EBD" w:rsidRPr="00891EBD" w:rsidRDefault="00891EBD" w:rsidP="00891EBD">
      <w:pPr>
        <w:pStyle w:val="EndNoteBibliography"/>
        <w:spacing w:after="0"/>
        <w:ind w:left="720" w:hanging="720"/>
      </w:pPr>
      <w:r w:rsidRPr="00891EBD">
        <w:t xml:space="preserve">Day, R., &amp; Woodward, T. (2004). </w:t>
      </w:r>
      <w:r w:rsidRPr="00891EBD">
        <w:rPr>
          <w:i/>
        </w:rPr>
        <w:t>Disclosure of information about employees in the Directors’ report of UK published financial statements: substantive or symbolic?</w:t>
      </w:r>
      <w:r w:rsidRPr="00891EBD">
        <w:t xml:space="preserve"> Paper presented at the Accounting Forum.</w:t>
      </w:r>
    </w:p>
    <w:p w14:paraId="17E1AC82" w14:textId="77777777" w:rsidR="00891EBD" w:rsidRPr="00891EBD" w:rsidRDefault="00891EBD" w:rsidP="00891EBD">
      <w:pPr>
        <w:pStyle w:val="EndNoteBibliography"/>
        <w:spacing w:after="0"/>
        <w:ind w:left="720" w:hanging="720"/>
      </w:pPr>
      <w:r w:rsidRPr="00891EBD">
        <w:t xml:space="preserve">Dedman, E. (2016). CEO succession in the UK: An analysis of the effect of censuring the CEO-to-chair move in the Combined Code on Corporate Governance 2003. </w:t>
      </w:r>
      <w:r w:rsidRPr="00891EBD">
        <w:rPr>
          <w:i/>
        </w:rPr>
        <w:t>The British Accounting Review, 48</w:t>
      </w:r>
      <w:r w:rsidRPr="00891EBD">
        <w:t xml:space="preserve">(3), 359-378. </w:t>
      </w:r>
    </w:p>
    <w:p w14:paraId="6E009FBD" w14:textId="77777777" w:rsidR="00891EBD" w:rsidRPr="00891EBD" w:rsidRDefault="00891EBD" w:rsidP="00891EBD">
      <w:pPr>
        <w:pStyle w:val="EndNoteBibliography"/>
        <w:spacing w:after="0"/>
        <w:ind w:left="720" w:hanging="720"/>
      </w:pPr>
      <w:r w:rsidRPr="00891EBD">
        <w:t xml:space="preserve">Denis, D. J., Hanouna, P., &amp; Sarin, A. (2006). Is there a dark side to incentive compensation? </w:t>
      </w:r>
      <w:r w:rsidRPr="00891EBD">
        <w:rPr>
          <w:i/>
        </w:rPr>
        <w:t>Journal of Corporate Finance, 12</w:t>
      </w:r>
      <w:r w:rsidRPr="00891EBD">
        <w:t xml:space="preserve">(3), 467-488. </w:t>
      </w:r>
    </w:p>
    <w:p w14:paraId="31D7BEA9" w14:textId="75C6C22C" w:rsidR="00891EBD" w:rsidRPr="00891EBD" w:rsidRDefault="00891EBD" w:rsidP="00891EBD">
      <w:pPr>
        <w:pStyle w:val="EndNoteBibliography"/>
        <w:spacing w:after="0"/>
        <w:ind w:left="720" w:hanging="720"/>
      </w:pPr>
      <w:r w:rsidRPr="00891EBD">
        <w:t xml:space="preserve">Dong, Y., Girardone, C., &amp; Kuo, J.-M. (2017). Governance, efficiency and risk taking in Chinese banking. </w:t>
      </w:r>
      <w:r w:rsidRPr="00891EBD">
        <w:rPr>
          <w:i/>
        </w:rPr>
        <w:t>The British Accounting Review, 49</w:t>
      </w:r>
      <w:r w:rsidRPr="00891EBD">
        <w:t>(2), 211-229. doi:</w:t>
      </w:r>
      <w:hyperlink r:id="rId11" w:history="1">
        <w:r w:rsidRPr="00891EBD">
          <w:rPr>
            <w:rStyle w:val="Hyperlink"/>
          </w:rPr>
          <w:t>http://doi.org/10.1016/j.bar.2016.08.001</w:t>
        </w:r>
      </w:hyperlink>
    </w:p>
    <w:p w14:paraId="1D594D41" w14:textId="77777777" w:rsidR="00891EBD" w:rsidRPr="00891EBD" w:rsidRDefault="00891EBD" w:rsidP="00891EBD">
      <w:pPr>
        <w:pStyle w:val="EndNoteBibliography"/>
        <w:spacing w:after="0"/>
        <w:ind w:left="720" w:hanging="720"/>
      </w:pPr>
      <w:r w:rsidRPr="00891EBD">
        <w:t xml:space="preserve">Dowell, G. W., Shackell, M. B., &amp; Stuart, N. V. (2011). Boards, CEOs, and surviving a financial crisis: Evidence from the internet shakeout. </w:t>
      </w:r>
      <w:r w:rsidRPr="00891EBD">
        <w:rPr>
          <w:i/>
        </w:rPr>
        <w:t>Strategic Management Journal, 32</w:t>
      </w:r>
      <w:r w:rsidRPr="00891EBD">
        <w:t xml:space="preserve">(10), 1025-1045. </w:t>
      </w:r>
    </w:p>
    <w:p w14:paraId="6655FA4C" w14:textId="77777777" w:rsidR="00891EBD" w:rsidRPr="00891EBD" w:rsidRDefault="00891EBD" w:rsidP="00891EBD">
      <w:pPr>
        <w:pStyle w:val="EndNoteBibliography"/>
        <w:spacing w:after="0"/>
        <w:ind w:left="720" w:hanging="720"/>
      </w:pPr>
      <w:r w:rsidRPr="00891EBD">
        <w:t xml:space="preserve">Elamer, A. A., Ntim, C. G., Abdou, H. A., Zalata, A. M., &amp; Elmagrhi, M. (2019). The impact of multi-layer governance on bank risk disclosure in emerging markets: the case of Middle East and North Africa. </w:t>
      </w:r>
      <w:r w:rsidRPr="00891EBD">
        <w:rPr>
          <w:i/>
        </w:rPr>
        <w:t>Accounting Forum, 43</w:t>
      </w:r>
      <w:r w:rsidRPr="00891EBD">
        <w:t>(2), 246-281. doi:10.1080/01559982.2019.1576577</w:t>
      </w:r>
    </w:p>
    <w:p w14:paraId="7F396FEA" w14:textId="77777777" w:rsidR="00891EBD" w:rsidRPr="00891EBD" w:rsidRDefault="00891EBD" w:rsidP="00891EBD">
      <w:pPr>
        <w:pStyle w:val="EndNoteBibliography"/>
        <w:spacing w:after="0"/>
        <w:ind w:left="720" w:hanging="720"/>
      </w:pPr>
      <w:r w:rsidRPr="00891EBD">
        <w:t xml:space="preserve">Erkens, D., Hung, M., &amp; Matos, P. (2012). Corporate governance in the 2007-2008 financial crisis: Evidence from financial institutions worldwide. </w:t>
      </w:r>
      <w:r w:rsidRPr="00891EBD">
        <w:rPr>
          <w:i/>
        </w:rPr>
        <w:t>Journal of Corporate Finance, 18</w:t>
      </w:r>
      <w:r w:rsidRPr="00891EBD">
        <w:t xml:space="preserve">(2), 389-411. </w:t>
      </w:r>
    </w:p>
    <w:p w14:paraId="3B10924C" w14:textId="77777777" w:rsidR="00891EBD" w:rsidRPr="00891EBD" w:rsidRDefault="00891EBD" w:rsidP="00891EBD">
      <w:pPr>
        <w:pStyle w:val="EndNoteBibliography"/>
        <w:spacing w:after="0"/>
        <w:ind w:left="720" w:hanging="720"/>
      </w:pPr>
      <w:r w:rsidRPr="00891EBD">
        <w:t xml:space="preserve">Fahlenbrach, R., &amp; Stulz, R. M. (2011). Bank CEO incentives and the credit crisis. </w:t>
      </w:r>
      <w:r w:rsidRPr="00891EBD">
        <w:rPr>
          <w:i/>
        </w:rPr>
        <w:t>Journal of Financial Economics, 99</w:t>
      </w:r>
      <w:r w:rsidRPr="00891EBD">
        <w:t xml:space="preserve">(1), 11-26. </w:t>
      </w:r>
    </w:p>
    <w:p w14:paraId="16565B27" w14:textId="77777777" w:rsidR="00891EBD" w:rsidRPr="00891EBD" w:rsidRDefault="00891EBD" w:rsidP="00891EBD">
      <w:pPr>
        <w:pStyle w:val="EndNoteBibliography"/>
        <w:spacing w:after="0"/>
        <w:ind w:left="720" w:hanging="720"/>
      </w:pPr>
      <w:r w:rsidRPr="00891EBD">
        <w:lastRenderedPageBreak/>
        <w:t xml:space="preserve">Farag, H., Mallin, C., &amp; Ow-Yong, K. (2014). Governance, ownership structure, and performance of entrepreneurial IPOs in AIM companies. </w:t>
      </w:r>
      <w:r w:rsidRPr="00891EBD">
        <w:rPr>
          <w:i/>
        </w:rPr>
        <w:t>Corporate Governance: An International Review, 22</w:t>
      </w:r>
      <w:r w:rsidRPr="00891EBD">
        <w:t xml:space="preserve">(2), 100-115. </w:t>
      </w:r>
    </w:p>
    <w:p w14:paraId="272C7A4D" w14:textId="77777777" w:rsidR="00891EBD" w:rsidRPr="00891EBD" w:rsidRDefault="00891EBD" w:rsidP="00891EBD">
      <w:pPr>
        <w:pStyle w:val="EndNoteBibliography"/>
        <w:spacing w:after="0"/>
        <w:ind w:left="720" w:hanging="720"/>
      </w:pPr>
      <w:r w:rsidRPr="00891EBD">
        <w:t xml:space="preserve">Federo, R., &amp; Saz‐Carranza, A. (2018). A typology of board design for highly effective monitoring in intergovernmental organizations under the United Nations system. </w:t>
      </w:r>
      <w:r w:rsidRPr="00891EBD">
        <w:rPr>
          <w:i/>
        </w:rPr>
        <w:t>Regulation &amp; Governance</w:t>
      </w:r>
      <w:r w:rsidRPr="00891EBD">
        <w:t xml:space="preserve">. </w:t>
      </w:r>
    </w:p>
    <w:p w14:paraId="2D873774" w14:textId="77777777" w:rsidR="00891EBD" w:rsidRPr="00891EBD" w:rsidRDefault="00891EBD" w:rsidP="00891EBD">
      <w:pPr>
        <w:pStyle w:val="EndNoteBibliography"/>
        <w:spacing w:after="0"/>
        <w:ind w:left="720" w:hanging="720"/>
      </w:pPr>
      <w:r w:rsidRPr="00891EBD">
        <w:t xml:space="preserve">Field, A. P. (2009). </w:t>
      </w:r>
      <w:r w:rsidRPr="00891EBD">
        <w:rPr>
          <w:i/>
        </w:rPr>
        <w:t>Discovering Statistics Using SPSS</w:t>
      </w:r>
      <w:r w:rsidRPr="00891EBD">
        <w:t>: London, SAGE publications Ltd,  UK.</w:t>
      </w:r>
    </w:p>
    <w:p w14:paraId="2CEDCA73" w14:textId="77777777" w:rsidR="00891EBD" w:rsidRPr="00891EBD" w:rsidRDefault="00891EBD" w:rsidP="00891EBD">
      <w:pPr>
        <w:pStyle w:val="EndNoteBibliography"/>
        <w:spacing w:after="0"/>
        <w:ind w:left="720" w:hanging="720"/>
      </w:pPr>
      <w:r w:rsidRPr="00891EBD">
        <w:t xml:space="preserve">Florackis, C. (2005). Internal corporate governance mechanisms and corporate performance: evidence for UK firms. </w:t>
      </w:r>
      <w:r w:rsidRPr="00891EBD">
        <w:rPr>
          <w:i/>
        </w:rPr>
        <w:t>Applied Financial Economics Letters, 1</w:t>
      </w:r>
      <w:r w:rsidRPr="00891EBD">
        <w:t xml:space="preserve">(4), 211-216. </w:t>
      </w:r>
    </w:p>
    <w:p w14:paraId="737C42CE" w14:textId="77777777" w:rsidR="00891EBD" w:rsidRPr="00891EBD" w:rsidRDefault="00891EBD" w:rsidP="00891EBD">
      <w:pPr>
        <w:pStyle w:val="EndNoteBibliography"/>
        <w:spacing w:after="0"/>
        <w:ind w:left="720" w:hanging="720"/>
      </w:pPr>
      <w:r w:rsidRPr="00891EBD">
        <w:t xml:space="preserve">Florackis, C., &amp; Ozkan, A. (2008). Agency costs and corporate governance mechanisms: evidence for UK firms. </w:t>
      </w:r>
      <w:r w:rsidRPr="00891EBD">
        <w:rPr>
          <w:i/>
        </w:rPr>
        <w:t>International Journal of Managerial Finance, 4</w:t>
      </w:r>
      <w:r w:rsidRPr="00891EBD">
        <w:t xml:space="preserve">(1), 37-59. </w:t>
      </w:r>
    </w:p>
    <w:p w14:paraId="0DEF4734" w14:textId="77777777" w:rsidR="00891EBD" w:rsidRPr="00891EBD" w:rsidRDefault="00891EBD" w:rsidP="00891EBD">
      <w:pPr>
        <w:pStyle w:val="EndNoteBibliography"/>
        <w:spacing w:after="0"/>
        <w:ind w:left="720" w:hanging="720"/>
      </w:pPr>
      <w:r w:rsidRPr="00891EBD">
        <w:t xml:space="preserve">Gompers, P., Ishii, J., &amp; Metrick, A. (2003). Corporate governance and equity prices. </w:t>
      </w:r>
      <w:r w:rsidRPr="00891EBD">
        <w:rPr>
          <w:i/>
        </w:rPr>
        <w:t>Quarterly Journal of Economics, 118</w:t>
      </w:r>
      <w:r w:rsidRPr="00891EBD">
        <w:t xml:space="preserve">(1), 107-155. </w:t>
      </w:r>
    </w:p>
    <w:p w14:paraId="0D0A8294" w14:textId="77777777" w:rsidR="00891EBD" w:rsidRPr="00891EBD" w:rsidRDefault="00891EBD" w:rsidP="00891EBD">
      <w:pPr>
        <w:pStyle w:val="EndNoteBibliography"/>
        <w:spacing w:after="0"/>
        <w:ind w:left="720" w:hanging="720"/>
      </w:pPr>
      <w:r w:rsidRPr="00891EBD">
        <w:t xml:space="preserve">Gonzalez, A., &amp; André, P. (2014). Board Effectiveness and Short Termism. </w:t>
      </w:r>
      <w:r w:rsidRPr="00891EBD">
        <w:rPr>
          <w:i/>
        </w:rPr>
        <w:t>Journal of Business Finance &amp; Accounting, 41</w:t>
      </w:r>
      <w:r w:rsidRPr="00891EBD">
        <w:t>(1/2), 185-209. doi:10.1111/jbfa.12045</w:t>
      </w:r>
    </w:p>
    <w:p w14:paraId="7F5A967B" w14:textId="77777777" w:rsidR="00891EBD" w:rsidRPr="00891EBD" w:rsidRDefault="00891EBD" w:rsidP="00891EBD">
      <w:pPr>
        <w:pStyle w:val="EndNoteBibliography"/>
        <w:spacing w:after="0"/>
        <w:ind w:left="720" w:hanging="720"/>
      </w:pPr>
      <w:r w:rsidRPr="00891EBD">
        <w:t xml:space="preserve">Gotti, G., Han, S., Higgs, J. L., &amp; Kang, T. (2012). Managerial Stock Ownership, Analyst Coverage, and Audit Fee. </w:t>
      </w:r>
      <w:r w:rsidRPr="00891EBD">
        <w:rPr>
          <w:i/>
        </w:rPr>
        <w:t>Journal of Accounting, Auditing &amp; Finance, 27</w:t>
      </w:r>
      <w:r w:rsidRPr="00891EBD">
        <w:t>(3), 412-437. doi:10.1177/0148558X11409158</w:t>
      </w:r>
    </w:p>
    <w:p w14:paraId="6B245CCE" w14:textId="77777777" w:rsidR="00891EBD" w:rsidRPr="00891EBD" w:rsidRDefault="00891EBD" w:rsidP="00891EBD">
      <w:pPr>
        <w:pStyle w:val="EndNoteBibliography"/>
        <w:spacing w:after="0"/>
        <w:ind w:left="720" w:hanging="720"/>
      </w:pPr>
      <w:r w:rsidRPr="00891EBD">
        <w:t xml:space="preserve">Gregoriou, G. N. (2009). </w:t>
      </w:r>
      <w:r w:rsidRPr="00891EBD">
        <w:rPr>
          <w:i/>
        </w:rPr>
        <w:t>The banking crisis handbook</w:t>
      </w:r>
      <w:r w:rsidRPr="00891EBD">
        <w:t>. London: Taylor &amp; Francis Group.</w:t>
      </w:r>
    </w:p>
    <w:p w14:paraId="4DE4FADB" w14:textId="77777777" w:rsidR="00891EBD" w:rsidRPr="00891EBD" w:rsidRDefault="00891EBD" w:rsidP="00891EBD">
      <w:pPr>
        <w:pStyle w:val="EndNoteBibliography"/>
        <w:spacing w:after="0"/>
        <w:ind w:left="720" w:hanging="720"/>
      </w:pPr>
      <w:r w:rsidRPr="00891EBD">
        <w:t xml:space="preserve">Gupta, P. P., Sami, H., &amp; Zhou, H. (2018). Do Companies With Effective Internal Controls Over Financial Reporting Benefit From Sarbanes–Oxley Sections 302 and 404? </w:t>
      </w:r>
      <w:r w:rsidRPr="00891EBD">
        <w:rPr>
          <w:i/>
        </w:rPr>
        <w:t>Journal of Accounting, Auditing &amp; Finance, 33</w:t>
      </w:r>
      <w:r w:rsidRPr="00891EBD">
        <w:t>(2), 200-227. doi:10.1177/0148558x16663091</w:t>
      </w:r>
    </w:p>
    <w:p w14:paraId="7D27A6F5" w14:textId="77777777" w:rsidR="00891EBD" w:rsidRPr="00891EBD" w:rsidRDefault="00891EBD" w:rsidP="00891EBD">
      <w:pPr>
        <w:pStyle w:val="EndNoteBibliography"/>
        <w:spacing w:after="0"/>
        <w:ind w:left="720" w:hanging="720"/>
      </w:pPr>
      <w:r w:rsidRPr="00891EBD">
        <w:t xml:space="preserve">Hansen, L. P. (1982). Large sample properties of generalized method of moments estimators. </w:t>
      </w:r>
      <w:r w:rsidRPr="00891EBD">
        <w:rPr>
          <w:i/>
        </w:rPr>
        <w:t>Econometrica: Journal of the Econometric Society</w:t>
      </w:r>
      <w:r w:rsidRPr="00891EBD">
        <w:t xml:space="preserve">, 1029-1054. </w:t>
      </w:r>
    </w:p>
    <w:p w14:paraId="6B31B0D2" w14:textId="77777777" w:rsidR="00891EBD" w:rsidRPr="00891EBD" w:rsidRDefault="00891EBD" w:rsidP="00891EBD">
      <w:pPr>
        <w:pStyle w:val="EndNoteBibliography"/>
        <w:spacing w:after="0"/>
        <w:ind w:left="720" w:hanging="720"/>
      </w:pPr>
      <w:r w:rsidRPr="00891EBD">
        <w:t xml:space="preserve">Hawas, A., &amp; Tse, C.-B. (2016). How Corporate Governance Affects Investment Decisions of Major Shareholders in UK Listed Companies Has the Recent Credit Crunch Changed the Game? </w:t>
      </w:r>
      <w:r w:rsidRPr="00891EBD">
        <w:rPr>
          <w:i/>
        </w:rPr>
        <w:t>Journal of Accounting, Auditing &amp; Finance, 31</w:t>
      </w:r>
      <w:r w:rsidRPr="00891EBD">
        <w:t xml:space="preserve">(1), 100-133. </w:t>
      </w:r>
    </w:p>
    <w:p w14:paraId="7E4F1DB6" w14:textId="77777777" w:rsidR="00891EBD" w:rsidRPr="00891EBD" w:rsidRDefault="00891EBD" w:rsidP="00891EBD">
      <w:pPr>
        <w:pStyle w:val="EndNoteBibliography"/>
        <w:spacing w:after="0"/>
        <w:ind w:left="720" w:hanging="720"/>
      </w:pPr>
      <w:r w:rsidRPr="00891EBD">
        <w:t xml:space="preserve">Healy, P. M., &amp; Palepu, K. G. (2001). Information asymmetry, corporate disclosure, and the capital markets: A review of the empirical disclosure literature. </w:t>
      </w:r>
      <w:r w:rsidRPr="00891EBD">
        <w:rPr>
          <w:i/>
        </w:rPr>
        <w:t>Journal of Accounting and Economics, 31</w:t>
      </w:r>
      <w:r w:rsidRPr="00891EBD">
        <w:t xml:space="preserve">(1-3), 405-440. </w:t>
      </w:r>
    </w:p>
    <w:p w14:paraId="074B595C" w14:textId="77777777" w:rsidR="00891EBD" w:rsidRPr="00891EBD" w:rsidRDefault="00891EBD" w:rsidP="00891EBD">
      <w:pPr>
        <w:pStyle w:val="EndNoteBibliography"/>
        <w:spacing w:after="0"/>
        <w:ind w:left="720" w:hanging="720"/>
      </w:pPr>
      <w:r w:rsidRPr="00891EBD">
        <w:t xml:space="preserve">Heilpern, E., Haslam, C., &amp; Andersson, T. (2009). </w:t>
      </w:r>
      <w:r w:rsidRPr="00891EBD">
        <w:rPr>
          <w:i/>
        </w:rPr>
        <w:t>When it comes to the crunch: What are the drivers of the US banking crisis?</w:t>
      </w:r>
      <w:r w:rsidRPr="00891EBD">
        <w:t xml:space="preserve"> Paper presented at the Accounting Forum.</w:t>
      </w:r>
    </w:p>
    <w:p w14:paraId="12FDFC3F" w14:textId="77777777" w:rsidR="00891EBD" w:rsidRPr="00891EBD" w:rsidRDefault="00891EBD" w:rsidP="00891EBD">
      <w:pPr>
        <w:pStyle w:val="EndNoteBibliography"/>
        <w:spacing w:after="0"/>
        <w:ind w:left="720" w:hanging="720"/>
      </w:pPr>
      <w:r w:rsidRPr="00891EBD">
        <w:t xml:space="preserve">Hooghiemstra, R., &amp; van Ees, H. (2011). Uniformity as response to soft law: Evidence from compliance and non-compliance with the Dutch corporate governance code. </w:t>
      </w:r>
      <w:r w:rsidRPr="00891EBD">
        <w:rPr>
          <w:i/>
        </w:rPr>
        <w:t>Regulation &amp; Governance, 5</w:t>
      </w:r>
      <w:r w:rsidRPr="00891EBD">
        <w:t>(4), 480-498. doi:10.1111/j.1748-5991.2011.01118.x</w:t>
      </w:r>
    </w:p>
    <w:p w14:paraId="2A53E436" w14:textId="77777777" w:rsidR="00891EBD" w:rsidRPr="00891EBD" w:rsidRDefault="00891EBD" w:rsidP="00891EBD">
      <w:pPr>
        <w:pStyle w:val="EndNoteBibliography"/>
        <w:spacing w:after="0"/>
        <w:ind w:left="720" w:hanging="720"/>
      </w:pPr>
      <w:r w:rsidRPr="00891EBD">
        <w:t xml:space="preserve">Hopt, K. J. (2011). Comparative corporate governance: The state of the art and international regulation. </w:t>
      </w:r>
      <w:r w:rsidRPr="00891EBD">
        <w:rPr>
          <w:i/>
        </w:rPr>
        <w:t>American Journal of Comparative Law, 59</w:t>
      </w:r>
      <w:r w:rsidRPr="00891EBD">
        <w:t xml:space="preserve">(1), 1-73. </w:t>
      </w:r>
    </w:p>
    <w:p w14:paraId="3941B932" w14:textId="77777777" w:rsidR="00891EBD" w:rsidRPr="00891EBD" w:rsidRDefault="00891EBD" w:rsidP="00891EBD">
      <w:pPr>
        <w:pStyle w:val="EndNoteBibliography"/>
        <w:spacing w:after="0"/>
        <w:ind w:left="720" w:hanging="720"/>
      </w:pPr>
      <w:r w:rsidRPr="00891EBD">
        <w:t xml:space="preserve">Janakiraman, S., Radhakrishnan, S., &amp; Tsang, A. (2010). Institutional Investors, Managerial Ownership, and Executive Compensation. </w:t>
      </w:r>
      <w:r w:rsidRPr="00891EBD">
        <w:rPr>
          <w:i/>
        </w:rPr>
        <w:t>Journal of Accounting, Auditing &amp; Finance, 25</w:t>
      </w:r>
      <w:r w:rsidRPr="00891EBD">
        <w:t xml:space="preserve">(4), 673-707. </w:t>
      </w:r>
    </w:p>
    <w:p w14:paraId="75F864D2" w14:textId="77777777" w:rsidR="00891EBD" w:rsidRPr="00891EBD" w:rsidRDefault="00891EBD" w:rsidP="00891EBD">
      <w:pPr>
        <w:pStyle w:val="EndNoteBibliography"/>
        <w:spacing w:after="0"/>
        <w:ind w:left="720" w:hanging="720"/>
      </w:pPr>
      <w:r w:rsidRPr="00891EBD">
        <w:t xml:space="preserve">Jensen, M. C. (1986). Agency costs of free cash flow, corporate finance, and takeovers. </w:t>
      </w:r>
      <w:r w:rsidRPr="00891EBD">
        <w:rPr>
          <w:i/>
        </w:rPr>
        <w:t>American Economic Review, 76</w:t>
      </w:r>
      <w:r w:rsidRPr="00891EBD">
        <w:t xml:space="preserve">(2), 323-339. </w:t>
      </w:r>
    </w:p>
    <w:p w14:paraId="118C1C10" w14:textId="77777777" w:rsidR="00891EBD" w:rsidRPr="00891EBD" w:rsidRDefault="00891EBD" w:rsidP="00891EBD">
      <w:pPr>
        <w:pStyle w:val="EndNoteBibliography"/>
        <w:spacing w:after="0"/>
        <w:ind w:left="720" w:hanging="720"/>
      </w:pPr>
      <w:r w:rsidRPr="00891EBD">
        <w:t xml:space="preserve">Jensen, M. C., &amp; Meckling, W. H. (1976). Theory of the firm: Managerial behavior, agency costs and ownership structure. </w:t>
      </w:r>
      <w:r w:rsidRPr="00891EBD">
        <w:rPr>
          <w:i/>
        </w:rPr>
        <w:t>Journal of Financial Economics, 3</w:t>
      </w:r>
      <w:r w:rsidRPr="00891EBD">
        <w:t xml:space="preserve">(4), 305-360. </w:t>
      </w:r>
    </w:p>
    <w:p w14:paraId="6E52B440" w14:textId="77777777" w:rsidR="00891EBD" w:rsidRPr="00891EBD" w:rsidRDefault="00891EBD" w:rsidP="00891EBD">
      <w:pPr>
        <w:pStyle w:val="EndNoteBibliography"/>
        <w:spacing w:after="0"/>
        <w:ind w:left="720" w:hanging="720"/>
      </w:pPr>
      <w:r w:rsidRPr="00891EBD">
        <w:t xml:space="preserve">Judge, W. (2012). The importance of considering context when developing a global theory of corporate governance. </w:t>
      </w:r>
      <w:r w:rsidRPr="00891EBD">
        <w:rPr>
          <w:i/>
        </w:rPr>
        <w:t>Corporate Governance: An International Review, 20</w:t>
      </w:r>
      <w:r w:rsidRPr="00891EBD">
        <w:t xml:space="preserve">(2), 123-124. </w:t>
      </w:r>
    </w:p>
    <w:p w14:paraId="454B9193" w14:textId="77777777" w:rsidR="00891EBD" w:rsidRPr="00891EBD" w:rsidRDefault="00891EBD" w:rsidP="00891EBD">
      <w:pPr>
        <w:pStyle w:val="EndNoteBibliography"/>
        <w:spacing w:after="0"/>
        <w:ind w:left="720" w:hanging="720"/>
      </w:pPr>
      <w:r w:rsidRPr="00891EBD">
        <w:t xml:space="preserve">Kirkpatrick, G. (2009). The corporate governance lessons from the financial crisis. </w:t>
      </w:r>
      <w:r w:rsidRPr="00891EBD">
        <w:rPr>
          <w:i/>
        </w:rPr>
        <w:t>Oecd journal: financial Market Trends, 96</w:t>
      </w:r>
      <w:r w:rsidRPr="00891EBD">
        <w:t xml:space="preserve">(1), 1-30. </w:t>
      </w:r>
    </w:p>
    <w:p w14:paraId="1BD63E27" w14:textId="75ABA4EB" w:rsidR="00891EBD" w:rsidRPr="00891EBD" w:rsidRDefault="00891EBD" w:rsidP="00891EBD">
      <w:pPr>
        <w:pStyle w:val="EndNoteBibliography"/>
        <w:spacing w:after="0"/>
        <w:ind w:left="720" w:hanging="720"/>
      </w:pPr>
      <w:r w:rsidRPr="00891EBD">
        <w:lastRenderedPageBreak/>
        <w:t xml:space="preserve">Koirala, S., Marshall, A., Neupane, S., &amp; Thapa, C. (2020). Corporate governance reform and risk-taking: Evidence from a quasi-natural experiment in an emerging market. </w:t>
      </w:r>
      <w:r w:rsidRPr="00891EBD">
        <w:rPr>
          <w:i/>
        </w:rPr>
        <w:t>Journal of Corporate Finance, 61</w:t>
      </w:r>
      <w:r w:rsidRPr="00891EBD">
        <w:t>, 101396. doi:</w:t>
      </w:r>
      <w:hyperlink r:id="rId12" w:history="1">
        <w:r w:rsidRPr="00891EBD">
          <w:rPr>
            <w:rStyle w:val="Hyperlink"/>
          </w:rPr>
          <w:t>https://doi.org/10.1016/j.jcorpfin.2018.08.007</w:t>
        </w:r>
      </w:hyperlink>
    </w:p>
    <w:p w14:paraId="3AA7A93B" w14:textId="68800B54" w:rsidR="00891EBD" w:rsidRPr="00891EBD" w:rsidRDefault="00891EBD" w:rsidP="00891EBD">
      <w:pPr>
        <w:pStyle w:val="EndNoteBibliography"/>
        <w:spacing w:after="0"/>
        <w:ind w:left="720" w:hanging="720"/>
      </w:pPr>
      <w:r w:rsidRPr="00891EBD">
        <w:t xml:space="preserve">Levine, R. (2004). </w:t>
      </w:r>
      <w:r w:rsidRPr="00891EBD">
        <w:rPr>
          <w:i/>
        </w:rPr>
        <w:t>The corporate governance of banks: a concise discussion of concepts and evidence</w:t>
      </w:r>
      <w:r w:rsidRPr="00891EBD">
        <w:t xml:space="preserve">. World Bank Policy research working paper. ssrn.  Retrieved from </w:t>
      </w:r>
      <w:hyperlink r:id="rId13" w:history="1">
        <w:r w:rsidRPr="00891EBD">
          <w:rPr>
            <w:rStyle w:val="Hyperlink"/>
          </w:rPr>
          <w:t>http://papers.ssrn.com/sol3/papers.cfm?abstract_id=625281</w:t>
        </w:r>
      </w:hyperlink>
    </w:p>
    <w:p w14:paraId="5E2E3EC7" w14:textId="77777777" w:rsidR="00891EBD" w:rsidRPr="00891EBD" w:rsidRDefault="00891EBD" w:rsidP="00891EBD">
      <w:pPr>
        <w:pStyle w:val="EndNoteBibliography"/>
        <w:spacing w:after="0"/>
        <w:ind w:left="720" w:hanging="720"/>
      </w:pPr>
      <w:r w:rsidRPr="00891EBD">
        <w:t xml:space="preserve">Lewis, M. K. (2009). </w:t>
      </w:r>
      <w:r w:rsidRPr="00891EBD">
        <w:rPr>
          <w:i/>
        </w:rPr>
        <w:t>The origins of the sub-prime crisis: Inappropriate policies, regulations, or both?</w:t>
      </w:r>
      <w:r w:rsidRPr="00891EBD">
        <w:t xml:space="preserve"> Paper presented at the Accounting Forum.</w:t>
      </w:r>
    </w:p>
    <w:p w14:paraId="2873E569" w14:textId="77777777" w:rsidR="00891EBD" w:rsidRPr="00891EBD" w:rsidRDefault="00891EBD" w:rsidP="00891EBD">
      <w:pPr>
        <w:pStyle w:val="EndNoteBibliography"/>
        <w:spacing w:after="0"/>
        <w:ind w:left="720" w:hanging="720"/>
      </w:pPr>
      <w:r w:rsidRPr="00891EBD">
        <w:t xml:space="preserve">Lipton, M., &amp; Lorsch, J. (1992). A modest proposal for improved corporate governance. </w:t>
      </w:r>
      <w:r w:rsidRPr="00891EBD">
        <w:rPr>
          <w:i/>
        </w:rPr>
        <w:t>The Business lawyer, 48</w:t>
      </w:r>
      <w:r w:rsidRPr="00891EBD">
        <w:t xml:space="preserve">(1), 59-77. </w:t>
      </w:r>
    </w:p>
    <w:p w14:paraId="7602FB26" w14:textId="77777777" w:rsidR="00891EBD" w:rsidRPr="00891EBD" w:rsidRDefault="00891EBD" w:rsidP="00891EBD">
      <w:pPr>
        <w:pStyle w:val="EndNoteBibliography"/>
        <w:spacing w:after="0"/>
        <w:ind w:left="720" w:hanging="720"/>
      </w:pPr>
      <w:r w:rsidRPr="00891EBD">
        <w:t xml:space="preserve">Liu, Y., Padgett, C., &amp; Varotto, S. (2017). Corporate governance, bank mergers and executive compensation. </w:t>
      </w:r>
      <w:r w:rsidRPr="00891EBD">
        <w:rPr>
          <w:i/>
        </w:rPr>
        <w:t>International Journal of Finance &amp; Economics, 22</w:t>
      </w:r>
      <w:r w:rsidRPr="00891EBD">
        <w:t xml:space="preserve">(1), 12-29. </w:t>
      </w:r>
    </w:p>
    <w:p w14:paraId="19F465DB" w14:textId="77777777" w:rsidR="00891EBD" w:rsidRPr="00891EBD" w:rsidRDefault="00891EBD" w:rsidP="00891EBD">
      <w:pPr>
        <w:pStyle w:val="EndNoteBibliography"/>
        <w:spacing w:after="0"/>
        <w:ind w:left="720" w:hanging="720"/>
      </w:pPr>
      <w:r w:rsidRPr="00891EBD">
        <w:t xml:space="preserve">Mangena, M., &amp; Tauringana, V. (2007). Corporate Compliance with Non-Mandatory Statements of Best Practice: The Case of the ASB Statement on Interim Reports. </w:t>
      </w:r>
      <w:r w:rsidRPr="00891EBD">
        <w:rPr>
          <w:i/>
        </w:rPr>
        <w:t>European Accounting Review, 16</w:t>
      </w:r>
      <w:r w:rsidRPr="00891EBD">
        <w:t>(2), 399-427. doi:10.1080/09638180701391014</w:t>
      </w:r>
    </w:p>
    <w:p w14:paraId="5E35B75D" w14:textId="77777777" w:rsidR="00891EBD" w:rsidRPr="00891EBD" w:rsidRDefault="00891EBD" w:rsidP="00891EBD">
      <w:pPr>
        <w:pStyle w:val="EndNoteBibliography"/>
        <w:spacing w:after="0"/>
        <w:ind w:left="720" w:hanging="720"/>
      </w:pPr>
      <w:r w:rsidRPr="00891EBD">
        <w:t xml:space="preserve">McKnight, P. J., &amp; Weir, C. (2009). Agency costs, corporate governance mechanisms and ownership structure in large UK publicly quoted companies: A panel data analysis. </w:t>
      </w:r>
      <w:r w:rsidRPr="00891EBD">
        <w:rPr>
          <w:i/>
        </w:rPr>
        <w:t>The Quarterly Review of Economics and Finance, 49</w:t>
      </w:r>
      <w:r w:rsidRPr="00891EBD">
        <w:t xml:space="preserve">(2), 139-158. </w:t>
      </w:r>
    </w:p>
    <w:p w14:paraId="181CF2DE" w14:textId="77777777" w:rsidR="00891EBD" w:rsidRPr="00891EBD" w:rsidRDefault="00891EBD" w:rsidP="00891EBD">
      <w:pPr>
        <w:pStyle w:val="EndNoteBibliography"/>
        <w:spacing w:after="0"/>
        <w:ind w:left="720" w:hanging="720"/>
      </w:pPr>
      <w:r w:rsidRPr="00891EBD">
        <w:t xml:space="preserve">Morck, R., Shleifer, A., &amp; Vishny, R. W. (1988). Management ownership and market valuation: An empirical analysis. </w:t>
      </w:r>
      <w:r w:rsidRPr="00891EBD">
        <w:rPr>
          <w:i/>
        </w:rPr>
        <w:t>Journal of Financial Economics, 20</w:t>
      </w:r>
      <w:r w:rsidRPr="00891EBD">
        <w:t xml:space="preserve">(1), 293-315. </w:t>
      </w:r>
    </w:p>
    <w:p w14:paraId="2F44D639" w14:textId="77777777" w:rsidR="00891EBD" w:rsidRPr="00891EBD" w:rsidRDefault="00891EBD" w:rsidP="00891EBD">
      <w:pPr>
        <w:pStyle w:val="EndNoteBibliography"/>
        <w:spacing w:after="0"/>
        <w:ind w:left="720" w:hanging="720"/>
      </w:pPr>
      <w:r w:rsidRPr="00891EBD">
        <w:t xml:space="preserve">Murphy, K. J. (1985). Corporate performance and managerial remuneration : An empirical analysis. </w:t>
      </w:r>
      <w:r w:rsidRPr="00891EBD">
        <w:rPr>
          <w:i/>
        </w:rPr>
        <w:t>Journal of Accounting and Economics, 7</w:t>
      </w:r>
      <w:r w:rsidRPr="00891EBD">
        <w:t xml:space="preserve">(1-3), 11-42. </w:t>
      </w:r>
    </w:p>
    <w:p w14:paraId="4AAABAEA" w14:textId="77777777" w:rsidR="00891EBD" w:rsidRPr="00891EBD" w:rsidRDefault="00891EBD" w:rsidP="00891EBD">
      <w:pPr>
        <w:pStyle w:val="EndNoteBibliography"/>
        <w:spacing w:after="0"/>
        <w:ind w:left="720" w:hanging="720"/>
      </w:pPr>
      <w:r w:rsidRPr="00891EBD">
        <w:t xml:space="preserve">Ozkan, N. (2011). CEO compensation and firm performance: an empirical investigation of UK panel data. </w:t>
      </w:r>
      <w:r w:rsidRPr="00891EBD">
        <w:rPr>
          <w:i/>
        </w:rPr>
        <w:t>European Financial Management, 17</w:t>
      </w:r>
      <w:r w:rsidRPr="00891EBD">
        <w:t xml:space="preserve">(2), 260-285. </w:t>
      </w:r>
    </w:p>
    <w:p w14:paraId="0CA9203C" w14:textId="77777777" w:rsidR="00891EBD" w:rsidRPr="00891EBD" w:rsidRDefault="00891EBD" w:rsidP="00891EBD">
      <w:pPr>
        <w:pStyle w:val="EndNoteBibliography"/>
        <w:spacing w:after="0"/>
        <w:ind w:left="720" w:hanging="720"/>
      </w:pPr>
      <w:r w:rsidRPr="00891EBD">
        <w:t xml:space="preserve">Pathan, S. (2009). Strong boards, CEO power and bank risk-taking. </w:t>
      </w:r>
      <w:r w:rsidRPr="00891EBD">
        <w:rPr>
          <w:i/>
        </w:rPr>
        <w:t>Journal of Banking &amp; Finance, 33</w:t>
      </w:r>
      <w:r w:rsidRPr="00891EBD">
        <w:t xml:space="preserve">(7), 1340-1350. </w:t>
      </w:r>
    </w:p>
    <w:p w14:paraId="02B57BA5" w14:textId="77777777" w:rsidR="00891EBD" w:rsidRPr="00891EBD" w:rsidRDefault="00891EBD" w:rsidP="00891EBD">
      <w:pPr>
        <w:pStyle w:val="EndNoteBibliography"/>
        <w:spacing w:after="0"/>
        <w:ind w:left="720" w:hanging="720"/>
      </w:pPr>
      <w:r w:rsidRPr="00891EBD">
        <w:t xml:space="preserve">Sargan, J. D. (1958). The estimation of economic relationships using instrumental variables. </w:t>
      </w:r>
      <w:r w:rsidRPr="00891EBD">
        <w:rPr>
          <w:i/>
        </w:rPr>
        <w:t>Econometrica: Journal of the Econometric Society</w:t>
      </w:r>
      <w:r w:rsidRPr="00891EBD">
        <w:t xml:space="preserve">, 393-415. </w:t>
      </w:r>
    </w:p>
    <w:p w14:paraId="68F0725E" w14:textId="77777777" w:rsidR="00891EBD" w:rsidRPr="00891EBD" w:rsidRDefault="00891EBD" w:rsidP="00891EBD">
      <w:pPr>
        <w:pStyle w:val="EndNoteBibliography"/>
        <w:spacing w:after="0"/>
        <w:ind w:left="720" w:hanging="720"/>
      </w:pPr>
      <w:r w:rsidRPr="00891EBD">
        <w:t xml:space="preserve">Sarhan, A. A., Ntim, C. G., &amp; Al‐Najjar, B. (2019). Board diversity, corporate governance, corporate performance, and executive pay. </w:t>
      </w:r>
      <w:r w:rsidRPr="00891EBD">
        <w:rPr>
          <w:i/>
        </w:rPr>
        <w:t>International Journal of Finance &amp; Economics, 24</w:t>
      </w:r>
      <w:r w:rsidRPr="00891EBD">
        <w:t>(2), 761-786. doi:10.1002/ijfe.1690</w:t>
      </w:r>
    </w:p>
    <w:p w14:paraId="60C9E7F0" w14:textId="77777777" w:rsidR="00891EBD" w:rsidRPr="00891EBD" w:rsidRDefault="00891EBD" w:rsidP="00891EBD">
      <w:pPr>
        <w:pStyle w:val="EndNoteBibliography"/>
        <w:spacing w:after="0"/>
        <w:ind w:left="720" w:hanging="720"/>
      </w:pPr>
      <w:r w:rsidRPr="00891EBD">
        <w:t xml:space="preserve">Schultz, E. L., Tan, D. T., &amp; Walsh, K. D. (2010). Endogeneity and the corporate governance-performance relation. </w:t>
      </w:r>
      <w:r w:rsidRPr="00891EBD">
        <w:rPr>
          <w:i/>
        </w:rPr>
        <w:t>Australian Journal of Management, 35</w:t>
      </w:r>
      <w:r w:rsidRPr="00891EBD">
        <w:t xml:space="preserve">(2), 145-163. </w:t>
      </w:r>
    </w:p>
    <w:p w14:paraId="4669C46E" w14:textId="77777777" w:rsidR="00891EBD" w:rsidRPr="00891EBD" w:rsidRDefault="00891EBD" w:rsidP="00891EBD">
      <w:pPr>
        <w:pStyle w:val="EndNoteBibliography"/>
        <w:spacing w:after="0"/>
        <w:ind w:left="720" w:hanging="720"/>
      </w:pPr>
      <w:r w:rsidRPr="00891EBD">
        <w:t xml:space="preserve">Shleifer, A., &amp; Vishny, R. W. (1997). A survey of corporate governance. </w:t>
      </w:r>
      <w:r w:rsidRPr="00891EBD">
        <w:rPr>
          <w:i/>
        </w:rPr>
        <w:t>Journal of Finance, 52</w:t>
      </w:r>
      <w:r w:rsidRPr="00891EBD">
        <w:t xml:space="preserve">(2), 737-783. </w:t>
      </w:r>
    </w:p>
    <w:p w14:paraId="5408DA1B" w14:textId="1CA1F865" w:rsidR="00891EBD" w:rsidRPr="00891EBD" w:rsidRDefault="00891EBD" w:rsidP="00891EBD">
      <w:pPr>
        <w:pStyle w:val="EndNoteBibliography"/>
        <w:spacing w:after="0"/>
        <w:ind w:left="720" w:hanging="720"/>
      </w:pPr>
      <w:r w:rsidRPr="00891EBD">
        <w:t xml:space="preserve">Shrives, P. J., &amp; Brennan, N. M. (2015). A typology for exploring the quality of explanations for non-compliance with UK corporate governance regulations. </w:t>
      </w:r>
      <w:r w:rsidRPr="00891EBD">
        <w:rPr>
          <w:i/>
        </w:rPr>
        <w:t>The British Accounting Review, 47</w:t>
      </w:r>
      <w:r w:rsidRPr="00891EBD">
        <w:t>(1), 85-99. doi:</w:t>
      </w:r>
      <w:hyperlink r:id="rId14" w:history="1">
        <w:r w:rsidRPr="00891EBD">
          <w:rPr>
            <w:rStyle w:val="Hyperlink"/>
          </w:rPr>
          <w:t>http://doi.org/10.1016/j.bar.2014.08.002</w:t>
        </w:r>
      </w:hyperlink>
    </w:p>
    <w:p w14:paraId="1B2398E1" w14:textId="77777777" w:rsidR="00891EBD" w:rsidRPr="00891EBD" w:rsidRDefault="00891EBD" w:rsidP="00891EBD">
      <w:pPr>
        <w:pStyle w:val="EndNoteBibliography"/>
        <w:spacing w:after="0"/>
        <w:ind w:left="720" w:hanging="720"/>
      </w:pPr>
      <w:r w:rsidRPr="00891EBD">
        <w:t xml:space="preserve">Staikouras, P. K., Staikouras, C. K., &amp; Agoraki, M.-E. K. (2007). The effect of board size and composition on European bank performance. </w:t>
      </w:r>
      <w:r w:rsidRPr="00891EBD">
        <w:rPr>
          <w:i/>
        </w:rPr>
        <w:t>European Journal of Law and Economics, 23</w:t>
      </w:r>
      <w:r w:rsidRPr="00891EBD">
        <w:t xml:space="preserve">(1), 1-27. </w:t>
      </w:r>
    </w:p>
    <w:p w14:paraId="104ED50F" w14:textId="77777777" w:rsidR="00891EBD" w:rsidRPr="00891EBD" w:rsidRDefault="00891EBD" w:rsidP="00891EBD">
      <w:pPr>
        <w:pStyle w:val="EndNoteBibliography"/>
        <w:spacing w:after="0"/>
        <w:ind w:left="720" w:hanging="720"/>
      </w:pPr>
      <w:r w:rsidRPr="00891EBD">
        <w:t xml:space="preserve">Ullah, S., Ahmad, S., Akbar, S., Kodwani, D., &amp; Frecknall‐Hughes, J. (2020). Governance disclosure quality and market valuation of firms in UK and Germany. </w:t>
      </w:r>
      <w:r w:rsidRPr="00891EBD">
        <w:rPr>
          <w:i/>
        </w:rPr>
        <w:t>International Journal of Finance &amp; Economics, Forthcoming</w:t>
      </w:r>
      <w:r w:rsidRPr="00891EBD">
        <w:t xml:space="preserve">. </w:t>
      </w:r>
    </w:p>
    <w:p w14:paraId="64DCB8E9" w14:textId="77777777" w:rsidR="00891EBD" w:rsidRPr="00891EBD" w:rsidRDefault="00891EBD" w:rsidP="00891EBD">
      <w:pPr>
        <w:pStyle w:val="EndNoteBibliography"/>
        <w:spacing w:after="0"/>
        <w:ind w:left="720" w:hanging="720"/>
      </w:pPr>
      <w:r w:rsidRPr="00891EBD">
        <w:t xml:space="preserve">Vallascas, F., Mollah, S., &amp; Keasey, K. (2017). Does the impact of board independence on large bank risks change after the global financial crisis? </w:t>
      </w:r>
      <w:r w:rsidRPr="00891EBD">
        <w:rPr>
          <w:i/>
        </w:rPr>
        <w:t>Journal of Corporate Finance, 44</w:t>
      </w:r>
      <w:r w:rsidRPr="00891EBD">
        <w:t xml:space="preserve">, 149-166. </w:t>
      </w:r>
    </w:p>
    <w:p w14:paraId="73395EF4" w14:textId="77777777" w:rsidR="00891EBD" w:rsidRPr="00891EBD" w:rsidRDefault="00891EBD" w:rsidP="00891EBD">
      <w:pPr>
        <w:pStyle w:val="EndNoteBibliography"/>
        <w:spacing w:after="0"/>
        <w:ind w:left="720" w:hanging="720"/>
      </w:pPr>
      <w:r w:rsidRPr="00891EBD">
        <w:t xml:space="preserve">Van Essen, M., Engelen, P. J., &amp; Carney, M. (2013). Does “Good” corporate governance help in a crisis? The impact of country‐and firm‐level governance mechanisms in the </w:t>
      </w:r>
      <w:r w:rsidRPr="00891EBD">
        <w:lastRenderedPageBreak/>
        <w:t xml:space="preserve">European financial crisis. </w:t>
      </w:r>
      <w:r w:rsidRPr="00891EBD">
        <w:rPr>
          <w:i/>
        </w:rPr>
        <w:t>Corporate Governance: An International Review, 21</w:t>
      </w:r>
      <w:r w:rsidRPr="00891EBD">
        <w:t xml:space="preserve">(3), 201-224. </w:t>
      </w:r>
    </w:p>
    <w:p w14:paraId="1E5C36D2" w14:textId="77777777" w:rsidR="00891EBD" w:rsidRPr="00891EBD" w:rsidRDefault="00891EBD" w:rsidP="00891EBD">
      <w:pPr>
        <w:pStyle w:val="EndNoteBibliography"/>
        <w:spacing w:after="0"/>
        <w:ind w:left="720" w:hanging="720"/>
      </w:pPr>
      <w:r w:rsidRPr="00891EBD">
        <w:t xml:space="preserve">Verriest, A., Gaeremynck, A., &amp; Thornton, D. B. (2013). The Impact of Corporate Governance on IFRS Adoption Choices. </w:t>
      </w:r>
      <w:r w:rsidRPr="00891EBD">
        <w:rPr>
          <w:i/>
        </w:rPr>
        <w:t>European Accounting Review, 22</w:t>
      </w:r>
      <w:r w:rsidRPr="00891EBD">
        <w:t>(1), 39-77. doi:10.1080/09638180.2011.644699</w:t>
      </w:r>
    </w:p>
    <w:p w14:paraId="78C541DF" w14:textId="71DBCC85" w:rsidR="00891EBD" w:rsidRPr="00891EBD" w:rsidRDefault="00891EBD" w:rsidP="00891EBD">
      <w:pPr>
        <w:pStyle w:val="EndNoteBibliography"/>
        <w:spacing w:after="0"/>
        <w:ind w:left="720" w:hanging="720"/>
      </w:pPr>
      <w:r w:rsidRPr="00891EBD">
        <w:t xml:space="preserve">Walker, D. (2009). </w:t>
      </w:r>
      <w:r w:rsidRPr="00891EBD">
        <w:rPr>
          <w:i/>
        </w:rPr>
        <w:t>"A review of corporate governance in UK banks and other financial industry entities"</w:t>
      </w:r>
      <w:r w:rsidRPr="00891EBD">
        <w:t xml:space="preserve">. Retrieved from Available at </w:t>
      </w:r>
      <w:hyperlink r:id="rId15" w:history="1">
        <w:r w:rsidRPr="00891EBD">
          <w:rPr>
            <w:rStyle w:val="Hyperlink"/>
          </w:rPr>
          <w:t>http://webarchive.nationalarchives.gov.uk/+/http:/www.hm-treasury.gov.uk/d/walker_review_261109.pdf</w:t>
        </w:r>
      </w:hyperlink>
    </w:p>
    <w:p w14:paraId="4FE50C6B" w14:textId="77777777" w:rsidR="00891EBD" w:rsidRPr="00891EBD" w:rsidRDefault="00891EBD" w:rsidP="00891EBD">
      <w:pPr>
        <w:pStyle w:val="EndNoteBibliography"/>
        <w:spacing w:after="0"/>
        <w:ind w:left="720" w:hanging="720"/>
      </w:pPr>
      <w:r w:rsidRPr="00891EBD">
        <w:t xml:space="preserve">Weir, C., Laing, D., &amp; McKnight, P. J. (2002). Internal and external governance mechanisms: Their impact on the performance of large UK public companies. </w:t>
      </w:r>
      <w:r w:rsidRPr="00891EBD">
        <w:rPr>
          <w:i/>
        </w:rPr>
        <w:t>Journal of Business Finance &amp; Accounting, 29</w:t>
      </w:r>
      <w:r w:rsidRPr="00891EBD">
        <w:t xml:space="preserve">(5), 579-611. </w:t>
      </w:r>
    </w:p>
    <w:p w14:paraId="5FDBD9C3" w14:textId="77777777" w:rsidR="00891EBD" w:rsidRPr="00891EBD" w:rsidRDefault="00891EBD" w:rsidP="00891EBD">
      <w:pPr>
        <w:pStyle w:val="EndNoteBibliography"/>
        <w:spacing w:after="0"/>
        <w:ind w:left="720" w:hanging="720"/>
      </w:pPr>
      <w:r w:rsidRPr="00891EBD">
        <w:t xml:space="preserve">Wintoki, M. B., Linck, J. S., &amp; Netter, J. M. (2012). Endogeneity and the dynamics of internal corporate governance. </w:t>
      </w:r>
      <w:r w:rsidRPr="00891EBD">
        <w:rPr>
          <w:i/>
        </w:rPr>
        <w:t>Journal of Financial Economics, 105</w:t>
      </w:r>
      <w:r w:rsidRPr="00891EBD">
        <w:t xml:space="preserve">(3), 581-606. </w:t>
      </w:r>
    </w:p>
    <w:p w14:paraId="34B6AFD0" w14:textId="77777777" w:rsidR="00891EBD" w:rsidRPr="00891EBD" w:rsidRDefault="00891EBD" w:rsidP="00891EBD">
      <w:pPr>
        <w:pStyle w:val="EndNoteBibliography"/>
        <w:spacing w:after="0"/>
        <w:ind w:left="720" w:hanging="720"/>
      </w:pPr>
      <w:r w:rsidRPr="00891EBD">
        <w:t xml:space="preserve">Wooldridge, J. M. (2002). </w:t>
      </w:r>
      <w:r w:rsidRPr="00891EBD">
        <w:rPr>
          <w:i/>
        </w:rPr>
        <w:t>Econometric Analysis of Cross Section and Panel Data</w:t>
      </w:r>
      <w:r w:rsidRPr="00891EBD">
        <w:t>: The MIT press.</w:t>
      </w:r>
    </w:p>
    <w:p w14:paraId="53A61943" w14:textId="77777777" w:rsidR="00891EBD" w:rsidRPr="00891EBD" w:rsidRDefault="00891EBD" w:rsidP="00891EBD">
      <w:pPr>
        <w:pStyle w:val="EndNoteBibliography"/>
        <w:spacing w:after="0"/>
        <w:ind w:left="720" w:hanging="720"/>
      </w:pPr>
      <w:r w:rsidRPr="00891EBD">
        <w:t xml:space="preserve">Yermack, D. (1996). Higher market valuation of companies with a small board of directors. </w:t>
      </w:r>
      <w:r w:rsidRPr="00891EBD">
        <w:rPr>
          <w:i/>
        </w:rPr>
        <w:t>Journal of Financial Economics, 40</w:t>
      </w:r>
      <w:r w:rsidRPr="00891EBD">
        <w:t xml:space="preserve">(2), 185-211. </w:t>
      </w:r>
    </w:p>
    <w:p w14:paraId="35B2659C" w14:textId="7B910189" w:rsidR="00891EBD" w:rsidRPr="00891EBD" w:rsidRDefault="00891EBD" w:rsidP="00891EBD">
      <w:pPr>
        <w:pStyle w:val="EndNoteBibliography"/>
        <w:spacing w:after="0"/>
        <w:ind w:left="720" w:hanging="720"/>
      </w:pPr>
      <w:r w:rsidRPr="00891EBD">
        <w:t xml:space="preserve">Zakaria, I. (2012). Performance measures, benchmarks and targets in executive remuneration contracts of UK firms. </w:t>
      </w:r>
      <w:r w:rsidRPr="00891EBD">
        <w:rPr>
          <w:i/>
        </w:rPr>
        <w:t>The British Accounting Review, 44</w:t>
      </w:r>
      <w:r w:rsidRPr="00891EBD">
        <w:t>(3), 189-203. doi:</w:t>
      </w:r>
      <w:hyperlink r:id="rId16" w:history="1">
        <w:r w:rsidRPr="00891EBD">
          <w:rPr>
            <w:rStyle w:val="Hyperlink"/>
          </w:rPr>
          <w:t>http://doi.org/10.1016/j.bar.2012.07.005</w:t>
        </w:r>
      </w:hyperlink>
    </w:p>
    <w:p w14:paraId="33FFB4BA" w14:textId="77777777" w:rsidR="00891EBD" w:rsidRPr="00891EBD" w:rsidRDefault="00891EBD" w:rsidP="00891EBD">
      <w:pPr>
        <w:pStyle w:val="EndNoteBibliography"/>
        <w:ind w:left="720" w:hanging="720"/>
      </w:pPr>
      <w:r w:rsidRPr="00891EBD">
        <w:t xml:space="preserve">Zalata, A., &amp; Roberts, C. (2016). Internal Corporate Governance and Classification Shifting Practices:An Analysis of U.K. Corporate Behavior. </w:t>
      </w:r>
      <w:r w:rsidRPr="00891EBD">
        <w:rPr>
          <w:i/>
        </w:rPr>
        <w:t>Journal of Accounting, Auditing &amp; Finance, 31</w:t>
      </w:r>
      <w:r w:rsidRPr="00891EBD">
        <w:t>(1), 51-78. doi:10.1177/0148558x15571736</w:t>
      </w:r>
    </w:p>
    <w:p w14:paraId="18097908" w14:textId="0FCFDA8B" w:rsidR="0092047F" w:rsidRDefault="0092047F" w:rsidP="0092047F">
      <w:r w:rsidRPr="001511A4">
        <w:rPr>
          <w:highlight w:val="yellow"/>
        </w:rPr>
        <w:fldChar w:fldCharType="end"/>
      </w:r>
    </w:p>
    <w:p w14:paraId="5DE58AA6" w14:textId="4966D0D8" w:rsidR="0092047F" w:rsidRDefault="0092047F" w:rsidP="0092047F">
      <w:pPr>
        <w:pStyle w:val="NoSpacing"/>
      </w:pPr>
      <w:r w:rsidRPr="00F63B71">
        <w:rPr>
          <w:b/>
        </w:rPr>
        <w:t>Table 1</w:t>
      </w:r>
      <w:r w:rsidRPr="00C94B17">
        <w:t xml:space="preserve"> DWH test for endogeneity</w:t>
      </w:r>
    </w:p>
    <w:p w14:paraId="4A04E80F" w14:textId="77777777" w:rsidR="0092047F" w:rsidRPr="00C94B17" w:rsidRDefault="0092047F" w:rsidP="0092047F">
      <w:pPr>
        <w:pStyle w:val="NoSpacing"/>
        <w:rPr>
          <w:rFonts w:eastAsia="Times New Roman" w:cs="Times New Roman"/>
          <w:szCs w:val="24"/>
          <w:lang w:eastAsia="en-GB"/>
        </w:rPr>
      </w:pP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5436"/>
        <w:gridCol w:w="1701"/>
        <w:gridCol w:w="1701"/>
      </w:tblGrid>
      <w:tr w:rsidR="0092047F" w:rsidRPr="0085021F" w14:paraId="2FE4AF94" w14:textId="77777777" w:rsidTr="0092047F">
        <w:trPr>
          <w:trHeight w:val="271"/>
        </w:trPr>
        <w:tc>
          <w:tcPr>
            <w:tcW w:w="5436" w:type="dxa"/>
            <w:tcBorders>
              <w:top w:val="single" w:sz="4" w:space="0" w:color="auto"/>
              <w:bottom w:val="single" w:sz="4" w:space="0" w:color="auto"/>
            </w:tcBorders>
            <w:shd w:val="clear" w:color="auto" w:fill="auto"/>
            <w:noWrap/>
            <w:vAlign w:val="bottom"/>
            <w:hideMark/>
          </w:tcPr>
          <w:p w14:paraId="3947548D" w14:textId="77777777" w:rsidR="0092047F" w:rsidRPr="0085021F" w:rsidRDefault="0092047F" w:rsidP="0092047F">
            <w:pPr>
              <w:pStyle w:val="NoSpacing"/>
            </w:pPr>
            <w:r>
              <w:t>Independent and control v</w:t>
            </w:r>
            <w:r w:rsidRPr="0085021F">
              <w:t>ariable</w:t>
            </w:r>
            <w:r>
              <w:t>s</w:t>
            </w:r>
          </w:p>
        </w:tc>
        <w:tc>
          <w:tcPr>
            <w:tcW w:w="1701" w:type="dxa"/>
            <w:tcBorders>
              <w:top w:val="single" w:sz="4" w:space="0" w:color="auto"/>
              <w:bottom w:val="single" w:sz="4" w:space="0" w:color="auto"/>
            </w:tcBorders>
            <w:shd w:val="clear" w:color="auto" w:fill="auto"/>
            <w:noWrap/>
            <w:vAlign w:val="bottom"/>
            <w:hideMark/>
          </w:tcPr>
          <w:p w14:paraId="00837B8B" w14:textId="77777777" w:rsidR="0092047F" w:rsidRPr="0085021F" w:rsidRDefault="0092047F" w:rsidP="0092047F">
            <w:pPr>
              <w:pStyle w:val="NoSpacing"/>
            </w:pPr>
            <w:r w:rsidRPr="0085021F">
              <w:t>F-test</w:t>
            </w:r>
          </w:p>
        </w:tc>
        <w:tc>
          <w:tcPr>
            <w:tcW w:w="1701" w:type="dxa"/>
            <w:tcBorders>
              <w:top w:val="single" w:sz="4" w:space="0" w:color="auto"/>
              <w:bottom w:val="single" w:sz="4" w:space="0" w:color="auto"/>
            </w:tcBorders>
            <w:shd w:val="clear" w:color="auto" w:fill="auto"/>
            <w:noWrap/>
            <w:vAlign w:val="bottom"/>
            <w:hideMark/>
          </w:tcPr>
          <w:p w14:paraId="4F274090" w14:textId="77777777" w:rsidR="0092047F" w:rsidRPr="0085021F" w:rsidRDefault="0092047F" w:rsidP="0092047F">
            <w:pPr>
              <w:pStyle w:val="NoSpacing"/>
            </w:pPr>
            <w:r w:rsidRPr="0085021F">
              <w:t>p-value</w:t>
            </w:r>
          </w:p>
        </w:tc>
      </w:tr>
      <w:tr w:rsidR="0092047F" w:rsidRPr="0085021F" w14:paraId="3306F872" w14:textId="77777777" w:rsidTr="0092047F">
        <w:trPr>
          <w:trHeight w:val="271"/>
        </w:trPr>
        <w:tc>
          <w:tcPr>
            <w:tcW w:w="5436" w:type="dxa"/>
            <w:tcBorders>
              <w:top w:val="single" w:sz="4" w:space="0" w:color="auto"/>
            </w:tcBorders>
            <w:shd w:val="clear" w:color="auto" w:fill="auto"/>
            <w:noWrap/>
            <w:vAlign w:val="bottom"/>
            <w:hideMark/>
          </w:tcPr>
          <w:p w14:paraId="733088D8" w14:textId="77777777" w:rsidR="0092047F" w:rsidRPr="0085021F" w:rsidRDefault="0092047F" w:rsidP="0092047F">
            <w:pPr>
              <w:pStyle w:val="NoSpacing"/>
            </w:pPr>
            <w:r w:rsidRPr="0085021F">
              <w:t>NCI</w:t>
            </w:r>
          </w:p>
        </w:tc>
        <w:tc>
          <w:tcPr>
            <w:tcW w:w="1701" w:type="dxa"/>
            <w:tcBorders>
              <w:top w:val="single" w:sz="4" w:space="0" w:color="auto"/>
            </w:tcBorders>
            <w:shd w:val="clear" w:color="auto" w:fill="auto"/>
            <w:noWrap/>
            <w:vAlign w:val="bottom"/>
            <w:hideMark/>
          </w:tcPr>
          <w:p w14:paraId="27FEBCA2" w14:textId="77777777" w:rsidR="0092047F" w:rsidRPr="0085021F" w:rsidRDefault="0092047F" w:rsidP="0092047F">
            <w:pPr>
              <w:pStyle w:val="NoSpacing"/>
            </w:pPr>
            <w:r w:rsidRPr="0085021F">
              <w:t>4.34</w:t>
            </w:r>
          </w:p>
        </w:tc>
        <w:tc>
          <w:tcPr>
            <w:tcW w:w="1701" w:type="dxa"/>
            <w:tcBorders>
              <w:top w:val="single" w:sz="4" w:space="0" w:color="auto"/>
            </w:tcBorders>
            <w:shd w:val="clear" w:color="auto" w:fill="auto"/>
            <w:noWrap/>
            <w:vAlign w:val="bottom"/>
            <w:hideMark/>
          </w:tcPr>
          <w:p w14:paraId="7297578F" w14:textId="77777777" w:rsidR="0092047F" w:rsidRPr="0085021F" w:rsidRDefault="0092047F" w:rsidP="0092047F">
            <w:pPr>
              <w:pStyle w:val="NoSpacing"/>
            </w:pPr>
            <w:r w:rsidRPr="0085021F">
              <w:t>0.037</w:t>
            </w:r>
          </w:p>
        </w:tc>
      </w:tr>
      <w:tr w:rsidR="0092047F" w:rsidRPr="0085021F" w14:paraId="3805DD41" w14:textId="77777777" w:rsidTr="0092047F">
        <w:trPr>
          <w:trHeight w:val="271"/>
        </w:trPr>
        <w:tc>
          <w:tcPr>
            <w:tcW w:w="5436" w:type="dxa"/>
            <w:shd w:val="clear" w:color="auto" w:fill="auto"/>
            <w:noWrap/>
            <w:vAlign w:val="bottom"/>
            <w:hideMark/>
          </w:tcPr>
          <w:p w14:paraId="2D75EBAE" w14:textId="77777777" w:rsidR="0092047F" w:rsidRPr="0085021F" w:rsidRDefault="0092047F" w:rsidP="0092047F">
            <w:pPr>
              <w:pStyle w:val="NoSpacing"/>
            </w:pPr>
            <w:r>
              <w:t>Board i</w:t>
            </w:r>
            <w:r w:rsidRPr="0085021F">
              <w:t>ndependence</w:t>
            </w:r>
          </w:p>
        </w:tc>
        <w:tc>
          <w:tcPr>
            <w:tcW w:w="1701" w:type="dxa"/>
            <w:shd w:val="clear" w:color="auto" w:fill="auto"/>
            <w:noWrap/>
            <w:vAlign w:val="bottom"/>
          </w:tcPr>
          <w:p w14:paraId="1FDF49E1" w14:textId="77777777" w:rsidR="0092047F" w:rsidRPr="0085021F" w:rsidRDefault="0092047F" w:rsidP="0092047F">
            <w:pPr>
              <w:pStyle w:val="NoSpacing"/>
            </w:pPr>
            <w:r w:rsidRPr="0085021F">
              <w:t>77.85</w:t>
            </w:r>
          </w:p>
        </w:tc>
        <w:tc>
          <w:tcPr>
            <w:tcW w:w="1701" w:type="dxa"/>
            <w:shd w:val="clear" w:color="auto" w:fill="auto"/>
            <w:noWrap/>
            <w:vAlign w:val="bottom"/>
          </w:tcPr>
          <w:p w14:paraId="54220425" w14:textId="77777777" w:rsidR="0092047F" w:rsidRPr="0085021F" w:rsidRDefault="0092047F" w:rsidP="0092047F">
            <w:pPr>
              <w:pStyle w:val="NoSpacing"/>
            </w:pPr>
            <w:r w:rsidRPr="0085021F">
              <w:t>0.000</w:t>
            </w:r>
          </w:p>
        </w:tc>
      </w:tr>
      <w:tr w:rsidR="0092047F" w:rsidRPr="0085021F" w14:paraId="23D3411D" w14:textId="77777777" w:rsidTr="0092047F">
        <w:trPr>
          <w:trHeight w:val="271"/>
        </w:trPr>
        <w:tc>
          <w:tcPr>
            <w:tcW w:w="5436" w:type="dxa"/>
            <w:shd w:val="clear" w:color="auto" w:fill="auto"/>
            <w:noWrap/>
            <w:vAlign w:val="bottom"/>
          </w:tcPr>
          <w:p w14:paraId="5405C9F9" w14:textId="77777777" w:rsidR="0092047F" w:rsidRDefault="0092047F" w:rsidP="0092047F">
            <w:pPr>
              <w:pStyle w:val="NoSpacing"/>
            </w:pPr>
            <w:r>
              <w:t>Extra c</w:t>
            </w:r>
            <w:r w:rsidRPr="0085021F">
              <w:t>ommittees</w:t>
            </w:r>
          </w:p>
        </w:tc>
        <w:tc>
          <w:tcPr>
            <w:tcW w:w="1701" w:type="dxa"/>
            <w:shd w:val="clear" w:color="auto" w:fill="auto"/>
            <w:noWrap/>
            <w:vAlign w:val="bottom"/>
          </w:tcPr>
          <w:p w14:paraId="7D223A9B" w14:textId="77777777" w:rsidR="0092047F" w:rsidRPr="0085021F" w:rsidRDefault="0092047F" w:rsidP="0092047F">
            <w:pPr>
              <w:pStyle w:val="NoSpacing"/>
            </w:pPr>
            <w:r w:rsidRPr="0085021F">
              <w:t>8.44</w:t>
            </w:r>
          </w:p>
        </w:tc>
        <w:tc>
          <w:tcPr>
            <w:tcW w:w="1701" w:type="dxa"/>
            <w:shd w:val="clear" w:color="auto" w:fill="auto"/>
            <w:noWrap/>
            <w:vAlign w:val="bottom"/>
          </w:tcPr>
          <w:p w14:paraId="252F54C1" w14:textId="77777777" w:rsidR="0092047F" w:rsidRPr="0085021F" w:rsidRDefault="0092047F" w:rsidP="0092047F">
            <w:pPr>
              <w:pStyle w:val="NoSpacing"/>
            </w:pPr>
            <w:r w:rsidRPr="0085021F">
              <w:t>0.003</w:t>
            </w:r>
          </w:p>
        </w:tc>
      </w:tr>
      <w:tr w:rsidR="0092047F" w:rsidRPr="0085021F" w14:paraId="6CF4753A" w14:textId="77777777" w:rsidTr="0092047F">
        <w:trPr>
          <w:trHeight w:val="271"/>
        </w:trPr>
        <w:tc>
          <w:tcPr>
            <w:tcW w:w="5436" w:type="dxa"/>
            <w:shd w:val="clear" w:color="auto" w:fill="auto"/>
            <w:noWrap/>
            <w:vAlign w:val="bottom"/>
          </w:tcPr>
          <w:p w14:paraId="7A75B692" w14:textId="77777777" w:rsidR="0092047F" w:rsidRDefault="0092047F" w:rsidP="0092047F">
            <w:pPr>
              <w:pStyle w:val="NoSpacing"/>
            </w:pPr>
            <w:r>
              <w:t>Internal c</w:t>
            </w:r>
            <w:r w:rsidRPr="0085021F">
              <w:t>ontrols</w:t>
            </w:r>
          </w:p>
        </w:tc>
        <w:tc>
          <w:tcPr>
            <w:tcW w:w="1701" w:type="dxa"/>
            <w:shd w:val="clear" w:color="auto" w:fill="auto"/>
            <w:noWrap/>
            <w:vAlign w:val="bottom"/>
          </w:tcPr>
          <w:p w14:paraId="10E9F25B" w14:textId="77777777" w:rsidR="0092047F" w:rsidRPr="0085021F" w:rsidRDefault="0092047F" w:rsidP="0092047F">
            <w:pPr>
              <w:pStyle w:val="NoSpacing"/>
            </w:pPr>
            <w:r w:rsidRPr="0085021F">
              <w:t>17.61</w:t>
            </w:r>
          </w:p>
        </w:tc>
        <w:tc>
          <w:tcPr>
            <w:tcW w:w="1701" w:type="dxa"/>
            <w:shd w:val="clear" w:color="auto" w:fill="auto"/>
            <w:noWrap/>
            <w:vAlign w:val="bottom"/>
          </w:tcPr>
          <w:p w14:paraId="7A035583" w14:textId="77777777" w:rsidR="0092047F" w:rsidRPr="0085021F" w:rsidRDefault="0092047F" w:rsidP="0092047F">
            <w:pPr>
              <w:pStyle w:val="NoSpacing"/>
            </w:pPr>
            <w:r w:rsidRPr="0085021F">
              <w:t>0.000</w:t>
            </w:r>
          </w:p>
        </w:tc>
      </w:tr>
      <w:tr w:rsidR="0092047F" w:rsidRPr="0085021F" w14:paraId="009C67E3" w14:textId="77777777" w:rsidTr="0092047F">
        <w:trPr>
          <w:trHeight w:val="271"/>
        </w:trPr>
        <w:tc>
          <w:tcPr>
            <w:tcW w:w="5436" w:type="dxa"/>
            <w:shd w:val="clear" w:color="auto" w:fill="auto"/>
            <w:noWrap/>
            <w:vAlign w:val="bottom"/>
          </w:tcPr>
          <w:p w14:paraId="79422EF9" w14:textId="77777777" w:rsidR="0092047F" w:rsidRDefault="0092047F" w:rsidP="0092047F">
            <w:pPr>
              <w:pStyle w:val="NoSpacing"/>
            </w:pPr>
            <w:r>
              <w:t xml:space="preserve">Directors’ share ownership </w:t>
            </w:r>
          </w:p>
        </w:tc>
        <w:tc>
          <w:tcPr>
            <w:tcW w:w="1701" w:type="dxa"/>
            <w:shd w:val="clear" w:color="auto" w:fill="auto"/>
            <w:noWrap/>
            <w:vAlign w:val="bottom"/>
          </w:tcPr>
          <w:p w14:paraId="7B10FEDD" w14:textId="77777777" w:rsidR="0092047F" w:rsidRPr="0085021F" w:rsidRDefault="0092047F" w:rsidP="0092047F">
            <w:pPr>
              <w:pStyle w:val="NoSpacing"/>
            </w:pPr>
            <w:r w:rsidRPr="0085021F">
              <w:t>4.17</w:t>
            </w:r>
          </w:p>
        </w:tc>
        <w:tc>
          <w:tcPr>
            <w:tcW w:w="1701" w:type="dxa"/>
            <w:shd w:val="clear" w:color="auto" w:fill="auto"/>
            <w:noWrap/>
            <w:vAlign w:val="bottom"/>
          </w:tcPr>
          <w:p w14:paraId="560E6097" w14:textId="77777777" w:rsidR="0092047F" w:rsidRPr="0085021F" w:rsidRDefault="0092047F" w:rsidP="0092047F">
            <w:pPr>
              <w:pStyle w:val="NoSpacing"/>
            </w:pPr>
            <w:r w:rsidRPr="0085021F">
              <w:t>0.014</w:t>
            </w:r>
          </w:p>
        </w:tc>
      </w:tr>
      <w:tr w:rsidR="0092047F" w:rsidRPr="0085021F" w14:paraId="7805451B" w14:textId="77777777" w:rsidTr="0092047F">
        <w:trPr>
          <w:trHeight w:val="271"/>
        </w:trPr>
        <w:tc>
          <w:tcPr>
            <w:tcW w:w="5436" w:type="dxa"/>
            <w:shd w:val="clear" w:color="auto" w:fill="auto"/>
            <w:noWrap/>
            <w:vAlign w:val="bottom"/>
            <w:hideMark/>
          </w:tcPr>
          <w:p w14:paraId="0B4A1994" w14:textId="77777777" w:rsidR="0092047F" w:rsidRPr="0085021F" w:rsidRDefault="0092047F" w:rsidP="0092047F">
            <w:pPr>
              <w:pStyle w:val="NoSpacing"/>
            </w:pPr>
            <w:r w:rsidRPr="0085021F">
              <w:t>Remuneration</w:t>
            </w:r>
          </w:p>
        </w:tc>
        <w:tc>
          <w:tcPr>
            <w:tcW w:w="1701" w:type="dxa"/>
            <w:shd w:val="clear" w:color="auto" w:fill="auto"/>
            <w:noWrap/>
            <w:vAlign w:val="bottom"/>
          </w:tcPr>
          <w:p w14:paraId="34C3F964" w14:textId="77777777" w:rsidR="0092047F" w:rsidRPr="0085021F" w:rsidRDefault="0092047F" w:rsidP="0092047F">
            <w:pPr>
              <w:pStyle w:val="NoSpacing"/>
            </w:pPr>
            <w:r w:rsidRPr="0085021F">
              <w:t>9.36</w:t>
            </w:r>
          </w:p>
        </w:tc>
        <w:tc>
          <w:tcPr>
            <w:tcW w:w="1701" w:type="dxa"/>
            <w:shd w:val="clear" w:color="auto" w:fill="auto"/>
            <w:noWrap/>
            <w:vAlign w:val="bottom"/>
          </w:tcPr>
          <w:p w14:paraId="5D434043" w14:textId="77777777" w:rsidR="0092047F" w:rsidRPr="0085021F" w:rsidRDefault="0092047F" w:rsidP="0092047F">
            <w:pPr>
              <w:pStyle w:val="NoSpacing"/>
            </w:pPr>
            <w:r w:rsidRPr="0085021F">
              <w:t>0.002</w:t>
            </w:r>
          </w:p>
        </w:tc>
      </w:tr>
      <w:tr w:rsidR="0092047F" w:rsidRPr="0085021F" w14:paraId="3DA020E6" w14:textId="77777777" w:rsidTr="0092047F">
        <w:trPr>
          <w:trHeight w:val="271"/>
        </w:trPr>
        <w:tc>
          <w:tcPr>
            <w:tcW w:w="5436" w:type="dxa"/>
            <w:shd w:val="clear" w:color="auto" w:fill="auto"/>
            <w:noWrap/>
            <w:vAlign w:val="bottom"/>
          </w:tcPr>
          <w:p w14:paraId="7D392194" w14:textId="77777777" w:rsidR="0092047F" w:rsidRPr="0085021F" w:rsidRDefault="0092047F" w:rsidP="0092047F">
            <w:pPr>
              <w:pStyle w:val="NoSpacing"/>
            </w:pPr>
            <w:r w:rsidRPr="0085021F">
              <w:t>Leverage</w:t>
            </w:r>
          </w:p>
        </w:tc>
        <w:tc>
          <w:tcPr>
            <w:tcW w:w="1701" w:type="dxa"/>
            <w:shd w:val="clear" w:color="auto" w:fill="auto"/>
            <w:noWrap/>
            <w:vAlign w:val="bottom"/>
          </w:tcPr>
          <w:p w14:paraId="13CA25E0" w14:textId="77777777" w:rsidR="0092047F" w:rsidRPr="0085021F" w:rsidRDefault="0092047F" w:rsidP="0092047F">
            <w:pPr>
              <w:pStyle w:val="NoSpacing"/>
            </w:pPr>
            <w:r w:rsidRPr="0085021F">
              <w:t>10.70</w:t>
            </w:r>
          </w:p>
        </w:tc>
        <w:tc>
          <w:tcPr>
            <w:tcW w:w="1701" w:type="dxa"/>
            <w:shd w:val="clear" w:color="auto" w:fill="auto"/>
            <w:noWrap/>
            <w:vAlign w:val="bottom"/>
          </w:tcPr>
          <w:p w14:paraId="4D1BC6A2" w14:textId="77777777" w:rsidR="0092047F" w:rsidRPr="0085021F" w:rsidRDefault="0092047F" w:rsidP="0092047F">
            <w:pPr>
              <w:pStyle w:val="NoSpacing"/>
            </w:pPr>
            <w:r w:rsidRPr="0085021F">
              <w:t>0.001</w:t>
            </w:r>
          </w:p>
        </w:tc>
      </w:tr>
      <w:tr w:rsidR="0092047F" w:rsidRPr="0085021F" w14:paraId="6735F2F1" w14:textId="77777777" w:rsidTr="0092047F">
        <w:trPr>
          <w:trHeight w:val="271"/>
        </w:trPr>
        <w:tc>
          <w:tcPr>
            <w:tcW w:w="5436" w:type="dxa"/>
            <w:shd w:val="clear" w:color="auto" w:fill="auto"/>
            <w:noWrap/>
            <w:vAlign w:val="bottom"/>
            <w:hideMark/>
          </w:tcPr>
          <w:p w14:paraId="431AEE8C" w14:textId="77777777" w:rsidR="0092047F" w:rsidRPr="0085021F" w:rsidRDefault="0092047F" w:rsidP="0092047F">
            <w:pPr>
              <w:pStyle w:val="NoSpacing"/>
            </w:pPr>
            <w:r>
              <w:t>Firm s</w:t>
            </w:r>
            <w:r w:rsidRPr="0085021F">
              <w:t>ize</w:t>
            </w:r>
          </w:p>
        </w:tc>
        <w:tc>
          <w:tcPr>
            <w:tcW w:w="1701" w:type="dxa"/>
            <w:shd w:val="clear" w:color="auto" w:fill="auto"/>
            <w:noWrap/>
            <w:vAlign w:val="bottom"/>
          </w:tcPr>
          <w:p w14:paraId="7B3E4646" w14:textId="77777777" w:rsidR="0092047F" w:rsidRPr="0085021F" w:rsidRDefault="0092047F" w:rsidP="0092047F">
            <w:pPr>
              <w:pStyle w:val="NoSpacing"/>
            </w:pPr>
            <w:r w:rsidRPr="0085021F">
              <w:t>8.08</w:t>
            </w:r>
          </w:p>
        </w:tc>
        <w:tc>
          <w:tcPr>
            <w:tcW w:w="1701" w:type="dxa"/>
            <w:shd w:val="clear" w:color="auto" w:fill="auto"/>
            <w:noWrap/>
            <w:vAlign w:val="bottom"/>
          </w:tcPr>
          <w:p w14:paraId="1F1AEE55" w14:textId="77777777" w:rsidR="0092047F" w:rsidRPr="0085021F" w:rsidRDefault="0092047F" w:rsidP="0092047F">
            <w:pPr>
              <w:pStyle w:val="NoSpacing"/>
            </w:pPr>
            <w:r w:rsidRPr="0085021F">
              <w:t>0.005</w:t>
            </w:r>
          </w:p>
        </w:tc>
      </w:tr>
      <w:tr w:rsidR="0092047F" w:rsidRPr="0085021F" w14:paraId="6D7151FB" w14:textId="77777777" w:rsidTr="0092047F">
        <w:trPr>
          <w:trHeight w:val="271"/>
        </w:trPr>
        <w:tc>
          <w:tcPr>
            <w:tcW w:w="5436" w:type="dxa"/>
            <w:shd w:val="clear" w:color="auto" w:fill="auto"/>
            <w:noWrap/>
            <w:vAlign w:val="bottom"/>
            <w:hideMark/>
          </w:tcPr>
          <w:p w14:paraId="1BB5ED02" w14:textId="77777777" w:rsidR="0092047F" w:rsidRPr="0085021F" w:rsidRDefault="0092047F" w:rsidP="0092047F">
            <w:pPr>
              <w:pStyle w:val="NoSpacing"/>
            </w:pPr>
            <w:r>
              <w:t>Board s</w:t>
            </w:r>
            <w:r w:rsidRPr="0085021F">
              <w:t>ize</w:t>
            </w:r>
          </w:p>
        </w:tc>
        <w:tc>
          <w:tcPr>
            <w:tcW w:w="1701" w:type="dxa"/>
            <w:shd w:val="clear" w:color="auto" w:fill="auto"/>
            <w:noWrap/>
            <w:vAlign w:val="bottom"/>
            <w:hideMark/>
          </w:tcPr>
          <w:p w14:paraId="2D5216F5" w14:textId="77777777" w:rsidR="0092047F" w:rsidRPr="0085021F" w:rsidRDefault="0092047F" w:rsidP="0092047F">
            <w:pPr>
              <w:pStyle w:val="NoSpacing"/>
            </w:pPr>
            <w:r w:rsidRPr="0085021F">
              <w:t>4.60</w:t>
            </w:r>
          </w:p>
        </w:tc>
        <w:tc>
          <w:tcPr>
            <w:tcW w:w="1701" w:type="dxa"/>
            <w:shd w:val="clear" w:color="auto" w:fill="auto"/>
            <w:noWrap/>
            <w:vAlign w:val="bottom"/>
            <w:hideMark/>
          </w:tcPr>
          <w:p w14:paraId="41477571" w14:textId="77777777" w:rsidR="0092047F" w:rsidRPr="0085021F" w:rsidRDefault="0092047F" w:rsidP="0092047F">
            <w:pPr>
              <w:pStyle w:val="NoSpacing"/>
            </w:pPr>
            <w:r w:rsidRPr="0085021F">
              <w:t>0.032</w:t>
            </w:r>
          </w:p>
        </w:tc>
      </w:tr>
      <w:tr w:rsidR="0092047F" w:rsidRPr="0085021F" w14:paraId="45740D79" w14:textId="77777777" w:rsidTr="0092047F">
        <w:trPr>
          <w:trHeight w:val="271"/>
        </w:trPr>
        <w:tc>
          <w:tcPr>
            <w:tcW w:w="5436" w:type="dxa"/>
            <w:shd w:val="clear" w:color="auto" w:fill="auto"/>
            <w:noWrap/>
            <w:vAlign w:val="bottom"/>
            <w:hideMark/>
          </w:tcPr>
          <w:p w14:paraId="2F62F389" w14:textId="77777777" w:rsidR="0092047F" w:rsidRPr="0085021F" w:rsidRDefault="0092047F" w:rsidP="0092047F">
            <w:pPr>
              <w:pStyle w:val="NoSpacing"/>
            </w:pPr>
            <w:r w:rsidRPr="0085021F">
              <w:t>Capital</w:t>
            </w:r>
          </w:p>
        </w:tc>
        <w:tc>
          <w:tcPr>
            <w:tcW w:w="1701" w:type="dxa"/>
            <w:shd w:val="clear" w:color="auto" w:fill="auto"/>
            <w:noWrap/>
            <w:vAlign w:val="bottom"/>
          </w:tcPr>
          <w:p w14:paraId="0225913C" w14:textId="77777777" w:rsidR="0092047F" w:rsidRPr="0085021F" w:rsidRDefault="0092047F" w:rsidP="0092047F">
            <w:pPr>
              <w:pStyle w:val="NoSpacing"/>
            </w:pPr>
            <w:r w:rsidRPr="0085021F">
              <w:t>0.06</w:t>
            </w:r>
          </w:p>
        </w:tc>
        <w:tc>
          <w:tcPr>
            <w:tcW w:w="1701" w:type="dxa"/>
            <w:shd w:val="clear" w:color="auto" w:fill="auto"/>
            <w:noWrap/>
            <w:vAlign w:val="bottom"/>
          </w:tcPr>
          <w:p w14:paraId="764162B1" w14:textId="77777777" w:rsidR="0092047F" w:rsidRPr="0085021F" w:rsidRDefault="0092047F" w:rsidP="0092047F">
            <w:pPr>
              <w:pStyle w:val="NoSpacing"/>
            </w:pPr>
            <w:r w:rsidRPr="0085021F">
              <w:t>0.808</w:t>
            </w:r>
          </w:p>
        </w:tc>
      </w:tr>
      <w:tr w:rsidR="0092047F" w:rsidRPr="0085021F" w14:paraId="56C53D9D" w14:textId="77777777" w:rsidTr="0092047F">
        <w:trPr>
          <w:trHeight w:val="271"/>
        </w:trPr>
        <w:tc>
          <w:tcPr>
            <w:tcW w:w="5436" w:type="dxa"/>
            <w:shd w:val="clear" w:color="auto" w:fill="auto"/>
            <w:noWrap/>
            <w:vAlign w:val="bottom"/>
            <w:hideMark/>
          </w:tcPr>
          <w:p w14:paraId="1035BE64" w14:textId="77777777" w:rsidR="0092047F" w:rsidRPr="0085021F" w:rsidRDefault="0092047F" w:rsidP="0092047F">
            <w:pPr>
              <w:pStyle w:val="NoSpacing"/>
            </w:pPr>
            <w:r w:rsidRPr="0085021F">
              <w:t>Beta</w:t>
            </w:r>
          </w:p>
        </w:tc>
        <w:tc>
          <w:tcPr>
            <w:tcW w:w="1701" w:type="dxa"/>
            <w:shd w:val="clear" w:color="auto" w:fill="auto"/>
            <w:noWrap/>
            <w:vAlign w:val="bottom"/>
          </w:tcPr>
          <w:p w14:paraId="78D5B739" w14:textId="77777777" w:rsidR="0092047F" w:rsidRPr="0085021F" w:rsidRDefault="0092047F" w:rsidP="0092047F">
            <w:pPr>
              <w:pStyle w:val="NoSpacing"/>
            </w:pPr>
            <w:r w:rsidRPr="0085021F">
              <w:t>0.34</w:t>
            </w:r>
          </w:p>
        </w:tc>
        <w:tc>
          <w:tcPr>
            <w:tcW w:w="1701" w:type="dxa"/>
            <w:shd w:val="clear" w:color="auto" w:fill="auto"/>
            <w:noWrap/>
            <w:vAlign w:val="bottom"/>
          </w:tcPr>
          <w:p w14:paraId="39E30F0D" w14:textId="77777777" w:rsidR="0092047F" w:rsidRPr="0085021F" w:rsidRDefault="0092047F" w:rsidP="0092047F">
            <w:pPr>
              <w:pStyle w:val="NoSpacing"/>
            </w:pPr>
            <w:r w:rsidRPr="0085021F">
              <w:t>0.559</w:t>
            </w:r>
          </w:p>
        </w:tc>
      </w:tr>
      <w:tr w:rsidR="0092047F" w:rsidRPr="0085021F" w14:paraId="619A43AA" w14:textId="77777777" w:rsidTr="0092047F">
        <w:trPr>
          <w:trHeight w:val="271"/>
        </w:trPr>
        <w:tc>
          <w:tcPr>
            <w:tcW w:w="5436" w:type="dxa"/>
            <w:shd w:val="clear" w:color="auto" w:fill="auto"/>
            <w:noWrap/>
            <w:vAlign w:val="bottom"/>
          </w:tcPr>
          <w:p w14:paraId="67D98C58" w14:textId="77777777" w:rsidR="0092047F" w:rsidRPr="0085021F" w:rsidRDefault="0092047F" w:rsidP="0092047F">
            <w:pPr>
              <w:pStyle w:val="NoSpacing"/>
            </w:pPr>
            <w:r w:rsidRPr="0085021F">
              <w:t>Liquidity</w:t>
            </w:r>
          </w:p>
        </w:tc>
        <w:tc>
          <w:tcPr>
            <w:tcW w:w="1701" w:type="dxa"/>
            <w:shd w:val="clear" w:color="auto" w:fill="auto"/>
            <w:noWrap/>
            <w:vAlign w:val="bottom"/>
          </w:tcPr>
          <w:p w14:paraId="1FEA03C8" w14:textId="77777777" w:rsidR="0092047F" w:rsidRPr="0085021F" w:rsidRDefault="0092047F" w:rsidP="0092047F">
            <w:pPr>
              <w:pStyle w:val="NoSpacing"/>
            </w:pPr>
            <w:r w:rsidRPr="0085021F">
              <w:t>3.68</w:t>
            </w:r>
          </w:p>
        </w:tc>
        <w:tc>
          <w:tcPr>
            <w:tcW w:w="1701" w:type="dxa"/>
            <w:shd w:val="clear" w:color="auto" w:fill="auto"/>
            <w:noWrap/>
            <w:vAlign w:val="bottom"/>
          </w:tcPr>
          <w:p w14:paraId="6F9FD423" w14:textId="77777777" w:rsidR="0092047F" w:rsidRPr="0085021F" w:rsidRDefault="0092047F" w:rsidP="0092047F">
            <w:pPr>
              <w:pStyle w:val="NoSpacing"/>
            </w:pPr>
            <w:r w:rsidRPr="0085021F">
              <w:t>0.055</w:t>
            </w:r>
          </w:p>
        </w:tc>
      </w:tr>
      <w:tr w:rsidR="0092047F" w:rsidRPr="0085021F" w14:paraId="00A63773" w14:textId="77777777" w:rsidTr="0092047F">
        <w:trPr>
          <w:trHeight w:val="271"/>
        </w:trPr>
        <w:tc>
          <w:tcPr>
            <w:tcW w:w="5436" w:type="dxa"/>
            <w:shd w:val="clear" w:color="auto" w:fill="auto"/>
            <w:noWrap/>
            <w:vAlign w:val="bottom"/>
          </w:tcPr>
          <w:p w14:paraId="7622C1D2" w14:textId="77777777" w:rsidR="0092047F" w:rsidRPr="0085021F" w:rsidRDefault="0092047F" w:rsidP="0092047F">
            <w:pPr>
              <w:pStyle w:val="NoSpacing"/>
            </w:pPr>
          </w:p>
        </w:tc>
        <w:tc>
          <w:tcPr>
            <w:tcW w:w="1701" w:type="dxa"/>
            <w:shd w:val="clear" w:color="auto" w:fill="auto"/>
            <w:noWrap/>
            <w:vAlign w:val="bottom"/>
          </w:tcPr>
          <w:p w14:paraId="2E72992A" w14:textId="77777777" w:rsidR="0092047F" w:rsidRPr="0085021F" w:rsidRDefault="0092047F" w:rsidP="0092047F">
            <w:pPr>
              <w:pStyle w:val="NoSpacing"/>
            </w:pPr>
          </w:p>
        </w:tc>
        <w:tc>
          <w:tcPr>
            <w:tcW w:w="1701" w:type="dxa"/>
            <w:shd w:val="clear" w:color="auto" w:fill="auto"/>
            <w:noWrap/>
            <w:vAlign w:val="bottom"/>
          </w:tcPr>
          <w:p w14:paraId="7D6AAE1B" w14:textId="77777777" w:rsidR="0092047F" w:rsidRPr="0085021F" w:rsidRDefault="0092047F" w:rsidP="0092047F">
            <w:pPr>
              <w:pStyle w:val="NoSpacing"/>
            </w:pPr>
          </w:p>
        </w:tc>
      </w:tr>
    </w:tbl>
    <w:p w14:paraId="75E5D50D" w14:textId="77777777" w:rsidR="00F80589" w:rsidRDefault="00F80589" w:rsidP="0092047F">
      <w:pPr>
        <w:pStyle w:val="NoSpacing"/>
        <w:rPr>
          <w:b/>
        </w:rPr>
      </w:pPr>
    </w:p>
    <w:p w14:paraId="5278FA42" w14:textId="77777777" w:rsidR="00F80589" w:rsidRDefault="00F80589">
      <w:pPr>
        <w:spacing w:after="160" w:line="259" w:lineRule="auto"/>
        <w:ind w:firstLine="0"/>
        <w:jc w:val="left"/>
        <w:rPr>
          <w:b/>
          <w:lang w:val="en-US"/>
        </w:rPr>
      </w:pPr>
      <w:r>
        <w:rPr>
          <w:b/>
        </w:rPr>
        <w:br w:type="page"/>
      </w:r>
    </w:p>
    <w:p w14:paraId="7949A6DB" w14:textId="0D2B556D" w:rsidR="0092047F" w:rsidRDefault="0092047F" w:rsidP="0092047F">
      <w:pPr>
        <w:pStyle w:val="NoSpacing"/>
        <w:rPr>
          <w:lang w:eastAsia="en-GB"/>
        </w:rPr>
      </w:pPr>
      <w:bookmarkStart w:id="6" w:name="_GoBack"/>
      <w:bookmarkEnd w:id="6"/>
      <w:r w:rsidRPr="00F63B71">
        <w:rPr>
          <w:b/>
        </w:rPr>
        <w:lastRenderedPageBreak/>
        <w:t>Table 2</w:t>
      </w:r>
      <w:r w:rsidRPr="00C023C0">
        <w:rPr>
          <w:lang w:eastAsia="en-GB"/>
        </w:rPr>
        <w:t xml:space="preserve"> Definitions for dependent, independent and control variables </w:t>
      </w:r>
    </w:p>
    <w:p w14:paraId="199312BA" w14:textId="77777777" w:rsidR="0092047F" w:rsidRPr="00C023C0" w:rsidRDefault="0092047F" w:rsidP="0092047F">
      <w:pPr>
        <w:pStyle w:val="NoSpacing"/>
        <w:rPr>
          <w:lang w:eastAsia="en-GB"/>
        </w:rPr>
      </w:pPr>
    </w:p>
    <w:tbl>
      <w:tblPr>
        <w:tblW w:w="9263" w:type="dxa"/>
        <w:tblInd w:w="93" w:type="dxa"/>
        <w:tblBorders>
          <w:top w:val="single" w:sz="4" w:space="0" w:color="auto"/>
          <w:bottom w:val="single" w:sz="4" w:space="0" w:color="auto"/>
        </w:tblBorders>
        <w:tblLook w:val="04A0" w:firstRow="1" w:lastRow="0" w:firstColumn="1" w:lastColumn="0" w:noHBand="0" w:noVBand="1"/>
      </w:tblPr>
      <w:tblGrid>
        <w:gridCol w:w="3168"/>
        <w:gridCol w:w="6095"/>
      </w:tblGrid>
      <w:tr w:rsidR="0092047F" w:rsidRPr="006E2163" w14:paraId="48FE1905" w14:textId="77777777" w:rsidTr="0092047F">
        <w:trPr>
          <w:trHeight w:val="190"/>
        </w:trPr>
        <w:tc>
          <w:tcPr>
            <w:tcW w:w="3168" w:type="dxa"/>
            <w:tcBorders>
              <w:top w:val="single" w:sz="4" w:space="0" w:color="auto"/>
              <w:bottom w:val="single" w:sz="4" w:space="0" w:color="auto"/>
            </w:tcBorders>
            <w:shd w:val="clear" w:color="auto" w:fill="auto"/>
            <w:vAlign w:val="bottom"/>
            <w:hideMark/>
          </w:tcPr>
          <w:p w14:paraId="3A422417" w14:textId="77777777" w:rsidR="0092047F" w:rsidRPr="006E2163" w:rsidRDefault="0092047F" w:rsidP="0092047F">
            <w:pPr>
              <w:pStyle w:val="NoSpacing"/>
              <w:rPr>
                <w:rFonts w:cs="Times New Roman"/>
                <w:b/>
                <w:sz w:val="20"/>
                <w:szCs w:val="20"/>
                <w:lang w:eastAsia="en-GB"/>
              </w:rPr>
            </w:pPr>
            <w:r w:rsidRPr="006E2163">
              <w:rPr>
                <w:rFonts w:cs="Times New Roman"/>
                <w:b/>
                <w:sz w:val="20"/>
                <w:szCs w:val="20"/>
                <w:lang w:eastAsia="en-GB"/>
              </w:rPr>
              <w:t>Variable name</w:t>
            </w:r>
          </w:p>
        </w:tc>
        <w:tc>
          <w:tcPr>
            <w:tcW w:w="6095" w:type="dxa"/>
            <w:tcBorders>
              <w:top w:val="single" w:sz="4" w:space="0" w:color="auto"/>
              <w:bottom w:val="single" w:sz="4" w:space="0" w:color="auto"/>
            </w:tcBorders>
            <w:shd w:val="clear" w:color="auto" w:fill="auto"/>
            <w:vAlign w:val="bottom"/>
            <w:hideMark/>
          </w:tcPr>
          <w:p w14:paraId="166F5AE1" w14:textId="77777777" w:rsidR="0092047F" w:rsidRPr="006E2163" w:rsidRDefault="0092047F" w:rsidP="0092047F">
            <w:pPr>
              <w:pStyle w:val="NoSpacing"/>
              <w:rPr>
                <w:rFonts w:cs="Times New Roman"/>
                <w:b/>
                <w:sz w:val="20"/>
                <w:szCs w:val="20"/>
                <w:lang w:eastAsia="en-GB"/>
              </w:rPr>
            </w:pPr>
            <w:r w:rsidRPr="006E2163">
              <w:rPr>
                <w:rFonts w:cs="Times New Roman"/>
                <w:b/>
                <w:sz w:val="20"/>
                <w:szCs w:val="20"/>
                <w:lang w:eastAsia="en-GB"/>
              </w:rPr>
              <w:t>Definition</w:t>
            </w:r>
          </w:p>
        </w:tc>
      </w:tr>
      <w:tr w:rsidR="0092047F" w:rsidRPr="006E2163" w14:paraId="399A3A52" w14:textId="77777777" w:rsidTr="0092047F">
        <w:trPr>
          <w:trHeight w:val="236"/>
        </w:trPr>
        <w:tc>
          <w:tcPr>
            <w:tcW w:w="3168" w:type="dxa"/>
            <w:tcBorders>
              <w:top w:val="single" w:sz="4" w:space="0" w:color="auto"/>
            </w:tcBorders>
            <w:shd w:val="clear" w:color="auto" w:fill="auto"/>
            <w:vAlign w:val="bottom"/>
            <w:hideMark/>
          </w:tcPr>
          <w:p w14:paraId="57129FE5" w14:textId="77777777" w:rsidR="0092047F" w:rsidRPr="006E2163" w:rsidRDefault="0092047F" w:rsidP="0092047F">
            <w:pPr>
              <w:pStyle w:val="NoSpacing"/>
              <w:rPr>
                <w:rFonts w:cs="Times New Roman"/>
                <w:b/>
                <w:sz w:val="20"/>
                <w:szCs w:val="20"/>
                <w:lang w:eastAsia="en-GB"/>
              </w:rPr>
            </w:pPr>
            <w:r w:rsidRPr="006E2163">
              <w:rPr>
                <w:rFonts w:cs="Times New Roman"/>
                <w:b/>
                <w:sz w:val="20"/>
                <w:szCs w:val="20"/>
                <w:lang w:eastAsia="en-GB"/>
              </w:rPr>
              <w:t>Dependent variables</w:t>
            </w:r>
          </w:p>
        </w:tc>
        <w:tc>
          <w:tcPr>
            <w:tcW w:w="6095" w:type="dxa"/>
            <w:tcBorders>
              <w:top w:val="single" w:sz="4" w:space="0" w:color="auto"/>
            </w:tcBorders>
            <w:shd w:val="clear" w:color="auto" w:fill="auto"/>
            <w:vAlign w:val="bottom"/>
            <w:hideMark/>
          </w:tcPr>
          <w:p w14:paraId="008CEE2F" w14:textId="77777777" w:rsidR="0092047F" w:rsidRPr="006E2163" w:rsidRDefault="0092047F" w:rsidP="0092047F">
            <w:pPr>
              <w:pStyle w:val="NoSpacing"/>
              <w:rPr>
                <w:rFonts w:cs="Times New Roman"/>
                <w:sz w:val="20"/>
                <w:szCs w:val="20"/>
                <w:lang w:eastAsia="en-GB"/>
              </w:rPr>
            </w:pPr>
          </w:p>
        </w:tc>
      </w:tr>
      <w:tr w:rsidR="0092047F" w:rsidRPr="006E2163" w14:paraId="5B215641" w14:textId="77777777" w:rsidTr="0092047F">
        <w:trPr>
          <w:trHeight w:val="190"/>
        </w:trPr>
        <w:tc>
          <w:tcPr>
            <w:tcW w:w="3168" w:type="dxa"/>
            <w:shd w:val="clear" w:color="auto" w:fill="auto"/>
            <w:vAlign w:val="bottom"/>
            <w:hideMark/>
          </w:tcPr>
          <w:p w14:paraId="6CBC2CEF"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Total Shareholder Returns (TSR %)</w:t>
            </w:r>
          </w:p>
        </w:tc>
        <w:tc>
          <w:tcPr>
            <w:tcW w:w="6095" w:type="dxa"/>
            <w:shd w:val="clear" w:color="auto" w:fill="auto"/>
            <w:vAlign w:val="bottom"/>
            <w:hideMark/>
          </w:tcPr>
          <w:p w14:paraId="0A14CDA1"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sum of capital gains and dividend yields.</w:t>
            </w:r>
          </w:p>
        </w:tc>
      </w:tr>
      <w:tr w:rsidR="0092047F" w:rsidRPr="006E2163" w14:paraId="64C3D71B" w14:textId="77777777" w:rsidTr="0092047F">
        <w:trPr>
          <w:trHeight w:val="190"/>
        </w:trPr>
        <w:tc>
          <w:tcPr>
            <w:tcW w:w="3168" w:type="dxa"/>
            <w:shd w:val="clear" w:color="auto" w:fill="auto"/>
            <w:vAlign w:val="bottom"/>
            <w:hideMark/>
          </w:tcPr>
          <w:p w14:paraId="28F6E15E" w14:textId="77777777" w:rsidR="0092047F" w:rsidRPr="006E2163" w:rsidRDefault="0092047F" w:rsidP="0092047F">
            <w:pPr>
              <w:pStyle w:val="NoSpacing"/>
              <w:rPr>
                <w:rFonts w:cs="Times New Roman"/>
                <w:sz w:val="20"/>
                <w:szCs w:val="20"/>
                <w:lang w:eastAsia="en-GB"/>
              </w:rPr>
            </w:pPr>
          </w:p>
          <w:p w14:paraId="2230A040"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Return on Equity (ROE %)</w:t>
            </w:r>
          </w:p>
        </w:tc>
        <w:tc>
          <w:tcPr>
            <w:tcW w:w="6095" w:type="dxa"/>
            <w:shd w:val="clear" w:color="auto" w:fill="auto"/>
            <w:vAlign w:val="bottom"/>
            <w:hideMark/>
          </w:tcPr>
          <w:p w14:paraId="3E808D91"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Net income divided by book value of equity.</w:t>
            </w:r>
          </w:p>
        </w:tc>
      </w:tr>
      <w:tr w:rsidR="0092047F" w:rsidRPr="006E2163" w14:paraId="4ECAE2B2" w14:textId="77777777" w:rsidTr="0092047F">
        <w:trPr>
          <w:trHeight w:val="190"/>
        </w:trPr>
        <w:tc>
          <w:tcPr>
            <w:tcW w:w="3168" w:type="dxa"/>
            <w:shd w:val="clear" w:color="auto" w:fill="auto"/>
            <w:vAlign w:val="bottom"/>
            <w:hideMark/>
          </w:tcPr>
          <w:p w14:paraId="48200212" w14:textId="77777777" w:rsidR="0092047F" w:rsidRPr="006E2163" w:rsidRDefault="0092047F" w:rsidP="0092047F">
            <w:pPr>
              <w:pStyle w:val="NoSpacing"/>
              <w:rPr>
                <w:rFonts w:cs="Times New Roman"/>
                <w:b/>
                <w:sz w:val="20"/>
                <w:szCs w:val="20"/>
                <w:lang w:eastAsia="en-GB"/>
              </w:rPr>
            </w:pPr>
          </w:p>
          <w:p w14:paraId="0EFC4F86" w14:textId="77777777" w:rsidR="0092047F" w:rsidRPr="006E2163" w:rsidRDefault="0092047F" w:rsidP="0092047F">
            <w:pPr>
              <w:pStyle w:val="NoSpacing"/>
              <w:rPr>
                <w:rFonts w:cs="Times New Roman"/>
                <w:b/>
                <w:sz w:val="20"/>
                <w:szCs w:val="20"/>
                <w:lang w:eastAsia="en-GB"/>
              </w:rPr>
            </w:pPr>
            <w:r w:rsidRPr="006E2163">
              <w:rPr>
                <w:rFonts w:cs="Times New Roman"/>
                <w:b/>
                <w:sz w:val="20"/>
                <w:szCs w:val="20"/>
                <w:lang w:eastAsia="en-GB"/>
              </w:rPr>
              <w:t>Independent variables</w:t>
            </w:r>
          </w:p>
        </w:tc>
        <w:tc>
          <w:tcPr>
            <w:tcW w:w="6095" w:type="dxa"/>
            <w:shd w:val="clear" w:color="auto" w:fill="auto"/>
            <w:vAlign w:val="bottom"/>
            <w:hideMark/>
          </w:tcPr>
          <w:p w14:paraId="00837923" w14:textId="77777777" w:rsidR="0092047F" w:rsidRPr="006E2163" w:rsidRDefault="0092047F" w:rsidP="00CD742D">
            <w:pPr>
              <w:pStyle w:val="NoSpacing"/>
              <w:rPr>
                <w:rFonts w:cs="Times New Roman"/>
                <w:sz w:val="20"/>
                <w:szCs w:val="20"/>
                <w:lang w:eastAsia="en-GB"/>
              </w:rPr>
            </w:pPr>
          </w:p>
        </w:tc>
      </w:tr>
      <w:tr w:rsidR="0092047F" w:rsidRPr="006E2163" w14:paraId="79FA079A" w14:textId="77777777" w:rsidTr="0092047F">
        <w:trPr>
          <w:trHeight w:val="382"/>
        </w:trPr>
        <w:tc>
          <w:tcPr>
            <w:tcW w:w="3168" w:type="dxa"/>
            <w:shd w:val="clear" w:color="auto" w:fill="auto"/>
            <w:vAlign w:val="bottom"/>
            <w:hideMark/>
          </w:tcPr>
          <w:p w14:paraId="58679C3B"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Non-compliance index (NCI)</w:t>
            </w:r>
          </w:p>
        </w:tc>
        <w:tc>
          <w:tcPr>
            <w:tcW w:w="6095" w:type="dxa"/>
            <w:shd w:val="clear" w:color="auto" w:fill="auto"/>
            <w:vAlign w:val="bottom"/>
            <w:hideMark/>
          </w:tcPr>
          <w:p w14:paraId="19E17960"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A score ranging between 0 and 22. Showing the level of non-compliance with the UK Corporate Governance Code.</w:t>
            </w:r>
          </w:p>
        </w:tc>
      </w:tr>
      <w:tr w:rsidR="0092047F" w:rsidRPr="006E2163" w14:paraId="0CDEB8BA" w14:textId="77777777" w:rsidTr="0092047F">
        <w:trPr>
          <w:trHeight w:val="190"/>
        </w:trPr>
        <w:tc>
          <w:tcPr>
            <w:tcW w:w="3168" w:type="dxa"/>
            <w:shd w:val="clear" w:color="auto" w:fill="auto"/>
            <w:vAlign w:val="bottom"/>
            <w:hideMark/>
          </w:tcPr>
          <w:p w14:paraId="080293D6" w14:textId="77777777" w:rsidR="0092047F" w:rsidRPr="006E2163" w:rsidRDefault="0092047F" w:rsidP="0092047F">
            <w:pPr>
              <w:pStyle w:val="NoSpacing"/>
              <w:rPr>
                <w:rFonts w:cs="Times New Roman"/>
                <w:sz w:val="20"/>
                <w:szCs w:val="20"/>
                <w:lang w:eastAsia="en-GB"/>
              </w:rPr>
            </w:pPr>
          </w:p>
          <w:p w14:paraId="65EE3A01"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Board independence</w:t>
            </w:r>
          </w:p>
        </w:tc>
        <w:tc>
          <w:tcPr>
            <w:tcW w:w="6095" w:type="dxa"/>
            <w:shd w:val="clear" w:color="auto" w:fill="auto"/>
            <w:vAlign w:val="bottom"/>
            <w:hideMark/>
          </w:tcPr>
          <w:p w14:paraId="7F341A37"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ratio of NEDs to total board size.</w:t>
            </w:r>
          </w:p>
        </w:tc>
      </w:tr>
      <w:tr w:rsidR="0092047F" w:rsidRPr="006E2163" w14:paraId="37514657" w14:textId="77777777" w:rsidTr="0092047F">
        <w:trPr>
          <w:trHeight w:val="190"/>
        </w:trPr>
        <w:tc>
          <w:tcPr>
            <w:tcW w:w="3168" w:type="dxa"/>
            <w:shd w:val="clear" w:color="auto" w:fill="auto"/>
            <w:vAlign w:val="bottom"/>
          </w:tcPr>
          <w:p w14:paraId="57617E14"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Extra committees</w:t>
            </w:r>
          </w:p>
        </w:tc>
        <w:tc>
          <w:tcPr>
            <w:tcW w:w="6095" w:type="dxa"/>
            <w:shd w:val="clear" w:color="auto" w:fill="auto"/>
            <w:vAlign w:val="bottom"/>
          </w:tcPr>
          <w:p w14:paraId="522E9C2F" w14:textId="77777777" w:rsidR="0092047F" w:rsidRPr="006E2163" w:rsidRDefault="0092047F" w:rsidP="00CD742D">
            <w:pPr>
              <w:pStyle w:val="NoSpacing"/>
              <w:rPr>
                <w:rFonts w:cs="Times New Roman"/>
                <w:sz w:val="20"/>
                <w:szCs w:val="20"/>
                <w:lang w:eastAsia="en-GB"/>
              </w:rPr>
            </w:pPr>
          </w:p>
          <w:p w14:paraId="612A8586"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number of extra committees in addition to audit, remuneration, and nomination committee.</w:t>
            </w:r>
          </w:p>
        </w:tc>
      </w:tr>
      <w:tr w:rsidR="0092047F" w:rsidRPr="006E2163" w14:paraId="00843BF0" w14:textId="77777777" w:rsidTr="0092047F">
        <w:trPr>
          <w:trHeight w:val="190"/>
        </w:trPr>
        <w:tc>
          <w:tcPr>
            <w:tcW w:w="3168" w:type="dxa"/>
            <w:shd w:val="clear" w:color="auto" w:fill="auto"/>
            <w:vAlign w:val="bottom"/>
          </w:tcPr>
          <w:p w14:paraId="44043738" w14:textId="77777777" w:rsidR="0092047F" w:rsidRPr="006E2163" w:rsidRDefault="0092047F" w:rsidP="0092047F">
            <w:pPr>
              <w:pStyle w:val="NoSpacing"/>
              <w:rPr>
                <w:rFonts w:cs="Times New Roman"/>
                <w:sz w:val="20"/>
                <w:szCs w:val="20"/>
                <w:lang w:eastAsia="en-GB"/>
              </w:rPr>
            </w:pPr>
          </w:p>
          <w:p w14:paraId="70C74159"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Internal controls</w:t>
            </w:r>
          </w:p>
        </w:tc>
        <w:tc>
          <w:tcPr>
            <w:tcW w:w="6095" w:type="dxa"/>
            <w:shd w:val="clear" w:color="auto" w:fill="auto"/>
            <w:vAlign w:val="bottom"/>
          </w:tcPr>
          <w:p w14:paraId="2722E3A7"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number of internal control systems in place.</w:t>
            </w:r>
          </w:p>
        </w:tc>
      </w:tr>
      <w:tr w:rsidR="0092047F" w:rsidRPr="006E2163" w14:paraId="275D01FF" w14:textId="77777777" w:rsidTr="0092047F">
        <w:trPr>
          <w:trHeight w:val="190"/>
        </w:trPr>
        <w:tc>
          <w:tcPr>
            <w:tcW w:w="3168" w:type="dxa"/>
            <w:shd w:val="clear" w:color="auto" w:fill="auto"/>
            <w:vAlign w:val="bottom"/>
            <w:hideMark/>
          </w:tcPr>
          <w:p w14:paraId="6BFC177D"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Directors’ share ownership (%)</w:t>
            </w:r>
          </w:p>
        </w:tc>
        <w:tc>
          <w:tcPr>
            <w:tcW w:w="6095" w:type="dxa"/>
            <w:shd w:val="clear" w:color="auto" w:fill="auto"/>
            <w:vAlign w:val="bottom"/>
            <w:hideMark/>
          </w:tcPr>
          <w:p w14:paraId="411E042E" w14:textId="77777777" w:rsidR="0092047F" w:rsidRPr="006E2163" w:rsidRDefault="0092047F" w:rsidP="00CD742D">
            <w:pPr>
              <w:pStyle w:val="NoSpacing"/>
              <w:rPr>
                <w:rFonts w:cs="Times New Roman"/>
                <w:sz w:val="20"/>
                <w:szCs w:val="20"/>
                <w:lang w:eastAsia="en-GB"/>
              </w:rPr>
            </w:pPr>
          </w:p>
          <w:p w14:paraId="37934223"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total percentage of equity shares held by all board members.</w:t>
            </w:r>
          </w:p>
        </w:tc>
      </w:tr>
      <w:tr w:rsidR="0092047F" w:rsidRPr="006E2163" w14:paraId="65ADAA14" w14:textId="77777777" w:rsidTr="0092047F">
        <w:trPr>
          <w:trHeight w:val="190"/>
        </w:trPr>
        <w:tc>
          <w:tcPr>
            <w:tcW w:w="3168" w:type="dxa"/>
            <w:shd w:val="clear" w:color="auto" w:fill="auto"/>
            <w:vAlign w:val="bottom"/>
            <w:hideMark/>
          </w:tcPr>
          <w:p w14:paraId="36225FD7" w14:textId="77777777" w:rsidR="0092047F" w:rsidRPr="006E2163" w:rsidRDefault="0092047F" w:rsidP="0092047F">
            <w:pPr>
              <w:pStyle w:val="NoSpacing"/>
              <w:rPr>
                <w:rFonts w:cs="Times New Roman"/>
                <w:sz w:val="20"/>
                <w:szCs w:val="20"/>
                <w:lang w:eastAsia="en-GB"/>
              </w:rPr>
            </w:pPr>
          </w:p>
          <w:p w14:paraId="5FC38A87"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Remuneration in £ million</w:t>
            </w:r>
          </w:p>
        </w:tc>
        <w:tc>
          <w:tcPr>
            <w:tcW w:w="6095" w:type="dxa"/>
            <w:shd w:val="clear" w:color="auto" w:fill="auto"/>
            <w:vAlign w:val="bottom"/>
            <w:hideMark/>
          </w:tcPr>
          <w:p w14:paraId="6BA64B8F"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total remuneration paid to directors.</w:t>
            </w:r>
          </w:p>
        </w:tc>
      </w:tr>
      <w:tr w:rsidR="0092047F" w:rsidRPr="006E2163" w14:paraId="5AFF7ED0" w14:textId="77777777" w:rsidTr="0092047F">
        <w:trPr>
          <w:trHeight w:val="190"/>
        </w:trPr>
        <w:tc>
          <w:tcPr>
            <w:tcW w:w="3168" w:type="dxa"/>
            <w:shd w:val="clear" w:color="auto" w:fill="auto"/>
            <w:vAlign w:val="bottom"/>
            <w:hideMark/>
          </w:tcPr>
          <w:p w14:paraId="5262A84B" w14:textId="77777777" w:rsidR="0092047F" w:rsidRPr="006E2163" w:rsidRDefault="0092047F" w:rsidP="0092047F">
            <w:pPr>
              <w:pStyle w:val="NoSpacing"/>
              <w:rPr>
                <w:rFonts w:cs="Times New Roman"/>
                <w:b/>
                <w:sz w:val="20"/>
                <w:szCs w:val="20"/>
                <w:lang w:eastAsia="en-GB"/>
              </w:rPr>
            </w:pPr>
          </w:p>
          <w:p w14:paraId="2DDF15B8" w14:textId="77777777" w:rsidR="0092047F" w:rsidRPr="006E2163" w:rsidRDefault="0092047F" w:rsidP="0092047F">
            <w:pPr>
              <w:pStyle w:val="NoSpacing"/>
              <w:rPr>
                <w:rFonts w:cs="Times New Roman"/>
                <w:b/>
                <w:sz w:val="20"/>
                <w:szCs w:val="20"/>
                <w:lang w:eastAsia="en-GB"/>
              </w:rPr>
            </w:pPr>
            <w:r w:rsidRPr="006E2163">
              <w:rPr>
                <w:rFonts w:cs="Times New Roman"/>
                <w:b/>
                <w:sz w:val="20"/>
                <w:szCs w:val="20"/>
                <w:lang w:eastAsia="en-GB"/>
              </w:rPr>
              <w:t>Control variables</w:t>
            </w:r>
          </w:p>
        </w:tc>
        <w:tc>
          <w:tcPr>
            <w:tcW w:w="6095" w:type="dxa"/>
            <w:shd w:val="clear" w:color="auto" w:fill="auto"/>
            <w:vAlign w:val="bottom"/>
            <w:hideMark/>
          </w:tcPr>
          <w:p w14:paraId="625110D4" w14:textId="77777777" w:rsidR="0092047F" w:rsidRPr="006E2163" w:rsidRDefault="0092047F" w:rsidP="00CD742D">
            <w:pPr>
              <w:pStyle w:val="NoSpacing"/>
              <w:rPr>
                <w:rFonts w:cs="Times New Roman"/>
                <w:sz w:val="20"/>
                <w:szCs w:val="20"/>
                <w:lang w:eastAsia="en-GB"/>
              </w:rPr>
            </w:pPr>
          </w:p>
        </w:tc>
      </w:tr>
      <w:tr w:rsidR="0092047F" w:rsidRPr="006E2163" w14:paraId="0CC53912" w14:textId="77777777" w:rsidTr="0092047F">
        <w:trPr>
          <w:trHeight w:val="310"/>
        </w:trPr>
        <w:tc>
          <w:tcPr>
            <w:tcW w:w="3168" w:type="dxa"/>
            <w:shd w:val="clear" w:color="auto" w:fill="auto"/>
            <w:vAlign w:val="bottom"/>
          </w:tcPr>
          <w:p w14:paraId="16B0DDB0"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Board size</w:t>
            </w:r>
          </w:p>
        </w:tc>
        <w:tc>
          <w:tcPr>
            <w:tcW w:w="6095" w:type="dxa"/>
            <w:shd w:val="clear" w:color="auto" w:fill="auto"/>
            <w:vAlign w:val="bottom"/>
          </w:tcPr>
          <w:p w14:paraId="1A356089"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total number of directors on board.</w:t>
            </w:r>
          </w:p>
        </w:tc>
      </w:tr>
      <w:tr w:rsidR="0092047F" w:rsidRPr="006E2163" w14:paraId="1CE1AC89" w14:textId="77777777" w:rsidTr="0092047F">
        <w:trPr>
          <w:trHeight w:val="310"/>
        </w:trPr>
        <w:tc>
          <w:tcPr>
            <w:tcW w:w="3168" w:type="dxa"/>
            <w:shd w:val="clear" w:color="auto" w:fill="auto"/>
            <w:vAlign w:val="bottom"/>
            <w:hideMark/>
          </w:tcPr>
          <w:p w14:paraId="052B1E17"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Liquidity</w:t>
            </w:r>
          </w:p>
        </w:tc>
        <w:tc>
          <w:tcPr>
            <w:tcW w:w="6095" w:type="dxa"/>
            <w:shd w:val="clear" w:color="auto" w:fill="auto"/>
            <w:vAlign w:val="bottom"/>
            <w:hideMark/>
          </w:tcPr>
          <w:p w14:paraId="622E14D2"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ratio of a firm’s current assets to current liabilities.</w:t>
            </w:r>
          </w:p>
        </w:tc>
      </w:tr>
      <w:tr w:rsidR="0092047F" w:rsidRPr="006E2163" w14:paraId="47339EDF" w14:textId="77777777" w:rsidTr="0092047F">
        <w:trPr>
          <w:trHeight w:val="95"/>
        </w:trPr>
        <w:tc>
          <w:tcPr>
            <w:tcW w:w="3168" w:type="dxa"/>
            <w:shd w:val="clear" w:color="auto" w:fill="auto"/>
            <w:vAlign w:val="bottom"/>
            <w:hideMark/>
          </w:tcPr>
          <w:p w14:paraId="18A4BAFF" w14:textId="77777777" w:rsidR="0092047F" w:rsidRPr="006E2163" w:rsidRDefault="0092047F" w:rsidP="0092047F">
            <w:pPr>
              <w:pStyle w:val="NoSpacing"/>
              <w:rPr>
                <w:rFonts w:cs="Times New Roman"/>
                <w:sz w:val="20"/>
                <w:szCs w:val="20"/>
                <w:lang w:eastAsia="en-GB"/>
              </w:rPr>
            </w:pPr>
            <w:r w:rsidRPr="00DE10D6">
              <w:rPr>
                <w:rFonts w:cs="Times New Roman"/>
                <w:sz w:val="20"/>
                <w:szCs w:val="20"/>
                <w:lang w:eastAsia="en-GB"/>
              </w:rPr>
              <w:t>Capital ratio</w:t>
            </w:r>
            <w:r w:rsidRPr="006E2163">
              <w:rPr>
                <w:rFonts w:cs="Times New Roman"/>
                <w:sz w:val="20"/>
                <w:szCs w:val="20"/>
                <w:lang w:eastAsia="en-GB"/>
              </w:rPr>
              <w:t xml:space="preserve"> (%)</w:t>
            </w:r>
          </w:p>
        </w:tc>
        <w:tc>
          <w:tcPr>
            <w:tcW w:w="6095" w:type="dxa"/>
            <w:shd w:val="clear" w:color="auto" w:fill="auto"/>
            <w:vAlign w:val="bottom"/>
            <w:hideMark/>
          </w:tcPr>
          <w:p w14:paraId="02A67719"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 xml:space="preserve">The percentage of total equity to total </w:t>
            </w:r>
            <w:r>
              <w:rPr>
                <w:rFonts w:cs="Times New Roman"/>
                <w:sz w:val="20"/>
                <w:szCs w:val="20"/>
                <w:lang w:eastAsia="en-GB"/>
              </w:rPr>
              <w:t xml:space="preserve">risk-weighted </w:t>
            </w:r>
            <w:r w:rsidRPr="006E2163">
              <w:rPr>
                <w:rFonts w:cs="Times New Roman"/>
                <w:sz w:val="20"/>
                <w:szCs w:val="20"/>
                <w:lang w:eastAsia="en-GB"/>
              </w:rPr>
              <w:t>assets.</w:t>
            </w:r>
          </w:p>
        </w:tc>
      </w:tr>
      <w:tr w:rsidR="0092047F" w:rsidRPr="006E2163" w14:paraId="57A967F2" w14:textId="77777777" w:rsidTr="0092047F">
        <w:trPr>
          <w:trHeight w:val="190"/>
        </w:trPr>
        <w:tc>
          <w:tcPr>
            <w:tcW w:w="3168" w:type="dxa"/>
            <w:shd w:val="clear" w:color="auto" w:fill="auto"/>
            <w:vAlign w:val="bottom"/>
            <w:hideMark/>
          </w:tcPr>
          <w:p w14:paraId="2262B1F9"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Beta value</w:t>
            </w:r>
          </w:p>
        </w:tc>
        <w:tc>
          <w:tcPr>
            <w:tcW w:w="6095" w:type="dxa"/>
            <w:shd w:val="clear" w:color="auto" w:fill="auto"/>
            <w:vAlign w:val="bottom"/>
            <w:hideMark/>
          </w:tcPr>
          <w:p w14:paraId="3F526996"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A measure of company riskiness.</w:t>
            </w:r>
          </w:p>
        </w:tc>
      </w:tr>
      <w:tr w:rsidR="0092047F" w:rsidRPr="006E2163" w14:paraId="732D5337" w14:textId="77777777" w:rsidTr="0092047F">
        <w:trPr>
          <w:trHeight w:val="190"/>
        </w:trPr>
        <w:tc>
          <w:tcPr>
            <w:tcW w:w="3168" w:type="dxa"/>
            <w:shd w:val="clear" w:color="auto" w:fill="auto"/>
            <w:vAlign w:val="bottom"/>
            <w:hideMark/>
          </w:tcPr>
          <w:p w14:paraId="1905A18F"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Firm size</w:t>
            </w:r>
          </w:p>
        </w:tc>
        <w:tc>
          <w:tcPr>
            <w:tcW w:w="6095" w:type="dxa"/>
            <w:shd w:val="clear" w:color="auto" w:fill="auto"/>
            <w:vAlign w:val="bottom"/>
            <w:hideMark/>
          </w:tcPr>
          <w:p w14:paraId="08139AFB"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Natural log of total sales.</w:t>
            </w:r>
          </w:p>
        </w:tc>
      </w:tr>
      <w:tr w:rsidR="0092047F" w:rsidRPr="006E2163" w14:paraId="2852AD96" w14:textId="77777777" w:rsidTr="0092047F">
        <w:trPr>
          <w:trHeight w:val="190"/>
        </w:trPr>
        <w:tc>
          <w:tcPr>
            <w:tcW w:w="3168" w:type="dxa"/>
            <w:shd w:val="clear" w:color="auto" w:fill="auto"/>
            <w:vAlign w:val="bottom"/>
          </w:tcPr>
          <w:p w14:paraId="2CDE627D" w14:textId="77777777" w:rsidR="0092047F" w:rsidRPr="006E2163" w:rsidRDefault="0092047F" w:rsidP="0092047F">
            <w:pPr>
              <w:pStyle w:val="NoSpacing"/>
              <w:rPr>
                <w:rFonts w:cs="Times New Roman"/>
                <w:sz w:val="20"/>
                <w:szCs w:val="20"/>
                <w:lang w:eastAsia="en-GB"/>
              </w:rPr>
            </w:pPr>
            <w:r w:rsidRPr="006E2163">
              <w:rPr>
                <w:rFonts w:cs="Times New Roman"/>
                <w:sz w:val="20"/>
                <w:szCs w:val="20"/>
                <w:lang w:eastAsia="en-GB"/>
              </w:rPr>
              <w:t>Leverage</w:t>
            </w:r>
          </w:p>
        </w:tc>
        <w:tc>
          <w:tcPr>
            <w:tcW w:w="6095" w:type="dxa"/>
            <w:shd w:val="clear" w:color="auto" w:fill="auto"/>
            <w:vAlign w:val="bottom"/>
          </w:tcPr>
          <w:p w14:paraId="6A751279" w14:textId="77777777" w:rsidR="0092047F" w:rsidRPr="006E2163" w:rsidRDefault="0092047F" w:rsidP="00CD742D">
            <w:pPr>
              <w:pStyle w:val="NoSpacing"/>
              <w:rPr>
                <w:rFonts w:cs="Times New Roman"/>
                <w:sz w:val="20"/>
                <w:szCs w:val="20"/>
                <w:lang w:eastAsia="en-GB"/>
              </w:rPr>
            </w:pPr>
            <w:r w:rsidRPr="006E2163">
              <w:rPr>
                <w:rFonts w:cs="Times New Roman"/>
                <w:sz w:val="20"/>
                <w:szCs w:val="20"/>
                <w:lang w:eastAsia="en-GB"/>
              </w:rPr>
              <w:t>The percentage of total debt to total assets.</w:t>
            </w:r>
          </w:p>
        </w:tc>
      </w:tr>
    </w:tbl>
    <w:p w14:paraId="06DA101D" w14:textId="73850FF0" w:rsidR="00807C2C" w:rsidRDefault="00807C2C" w:rsidP="0092047F">
      <w:pPr>
        <w:pStyle w:val="NoSpacing"/>
      </w:pPr>
      <w:r>
        <w:br w:type="page"/>
      </w:r>
    </w:p>
    <w:p w14:paraId="3EA75742" w14:textId="10B73021" w:rsidR="0092047F" w:rsidRDefault="0092047F" w:rsidP="0092047F">
      <w:pPr>
        <w:pStyle w:val="NoSpacing"/>
        <w:rPr>
          <w:lang w:eastAsia="en-GB"/>
        </w:rPr>
      </w:pPr>
      <w:r w:rsidRPr="008A6C1B">
        <w:rPr>
          <w:b/>
        </w:rPr>
        <w:lastRenderedPageBreak/>
        <w:t>Table 3</w:t>
      </w:r>
      <w:r w:rsidRPr="00B533FF">
        <w:rPr>
          <w:lang w:eastAsia="en-GB"/>
        </w:rPr>
        <w:t xml:space="preserve"> Descriptive statistics for all variables</w:t>
      </w:r>
    </w:p>
    <w:p w14:paraId="5EBE141D" w14:textId="77777777" w:rsidR="00293EF9" w:rsidRDefault="00293EF9" w:rsidP="0092047F">
      <w:pPr>
        <w:pStyle w:val="NoSpacing"/>
        <w:rPr>
          <w:b/>
          <w:lang w:eastAsia="en-GB"/>
        </w:rPr>
      </w:pPr>
    </w:p>
    <w:tbl>
      <w:tblPr>
        <w:tblW w:w="9539" w:type="dxa"/>
        <w:tblInd w:w="93" w:type="dxa"/>
        <w:tblBorders>
          <w:top w:val="single" w:sz="4" w:space="0" w:color="auto"/>
          <w:bottom w:val="single" w:sz="4" w:space="0" w:color="auto"/>
        </w:tblBorders>
        <w:tblLook w:val="04A0" w:firstRow="1" w:lastRow="0" w:firstColumn="1" w:lastColumn="0" w:noHBand="0" w:noVBand="1"/>
      </w:tblPr>
      <w:tblGrid>
        <w:gridCol w:w="3282"/>
        <w:gridCol w:w="1652"/>
        <w:gridCol w:w="1177"/>
        <w:gridCol w:w="1141"/>
        <w:gridCol w:w="1053"/>
        <w:gridCol w:w="1234"/>
      </w:tblGrid>
      <w:tr w:rsidR="0092047F" w:rsidRPr="00E97696" w14:paraId="0575A63B" w14:textId="77777777" w:rsidTr="0092047F">
        <w:trPr>
          <w:trHeight w:val="285"/>
        </w:trPr>
        <w:tc>
          <w:tcPr>
            <w:tcW w:w="3282" w:type="dxa"/>
            <w:tcBorders>
              <w:top w:val="single" w:sz="4" w:space="0" w:color="auto"/>
              <w:bottom w:val="single" w:sz="4" w:space="0" w:color="auto"/>
            </w:tcBorders>
            <w:shd w:val="clear" w:color="auto" w:fill="auto"/>
            <w:noWrap/>
            <w:vAlign w:val="center"/>
            <w:hideMark/>
          </w:tcPr>
          <w:p w14:paraId="34CB4A0E" w14:textId="77777777" w:rsidR="0092047F" w:rsidRPr="00E97696" w:rsidRDefault="0092047F" w:rsidP="0092047F">
            <w:pPr>
              <w:pStyle w:val="NoSpacing"/>
              <w:rPr>
                <w:rFonts w:cs="Times New Roman"/>
                <w:b/>
                <w:sz w:val="22"/>
              </w:rPr>
            </w:pPr>
            <w:r w:rsidRPr="00E97696">
              <w:rPr>
                <w:rFonts w:cs="Times New Roman"/>
                <w:b/>
                <w:sz w:val="22"/>
              </w:rPr>
              <w:t>Variables</w:t>
            </w:r>
          </w:p>
        </w:tc>
        <w:tc>
          <w:tcPr>
            <w:tcW w:w="1652" w:type="dxa"/>
            <w:tcBorders>
              <w:top w:val="single" w:sz="4" w:space="0" w:color="auto"/>
              <w:bottom w:val="single" w:sz="4" w:space="0" w:color="auto"/>
            </w:tcBorders>
            <w:shd w:val="clear" w:color="auto" w:fill="auto"/>
            <w:noWrap/>
            <w:vAlign w:val="center"/>
            <w:hideMark/>
          </w:tcPr>
          <w:p w14:paraId="75E4D512" w14:textId="47387C4D" w:rsidR="0092047F" w:rsidRPr="00E97696" w:rsidRDefault="0092047F" w:rsidP="00E97696">
            <w:pPr>
              <w:pStyle w:val="NoSpacing"/>
              <w:jc w:val="center"/>
              <w:rPr>
                <w:rFonts w:cs="Times New Roman"/>
                <w:b/>
                <w:sz w:val="22"/>
              </w:rPr>
            </w:pPr>
            <w:r w:rsidRPr="00E97696">
              <w:rPr>
                <w:rFonts w:cs="Times New Roman"/>
                <w:b/>
                <w:sz w:val="22"/>
              </w:rPr>
              <w:t>Observations</w:t>
            </w:r>
          </w:p>
        </w:tc>
        <w:tc>
          <w:tcPr>
            <w:tcW w:w="1177" w:type="dxa"/>
            <w:tcBorders>
              <w:top w:val="single" w:sz="4" w:space="0" w:color="auto"/>
              <w:bottom w:val="single" w:sz="4" w:space="0" w:color="auto"/>
            </w:tcBorders>
            <w:shd w:val="clear" w:color="auto" w:fill="auto"/>
            <w:noWrap/>
            <w:vAlign w:val="center"/>
            <w:hideMark/>
          </w:tcPr>
          <w:p w14:paraId="66CF1982" w14:textId="77777777" w:rsidR="0092047F" w:rsidRPr="00E97696" w:rsidRDefault="0092047F" w:rsidP="00E97696">
            <w:pPr>
              <w:pStyle w:val="NoSpacing"/>
              <w:jc w:val="center"/>
              <w:rPr>
                <w:rFonts w:cs="Times New Roman"/>
                <w:b/>
                <w:sz w:val="22"/>
              </w:rPr>
            </w:pPr>
            <w:r w:rsidRPr="00E97696">
              <w:rPr>
                <w:rFonts w:cs="Times New Roman"/>
                <w:b/>
                <w:sz w:val="22"/>
              </w:rPr>
              <w:t>Mean</w:t>
            </w:r>
          </w:p>
        </w:tc>
        <w:tc>
          <w:tcPr>
            <w:tcW w:w="1141" w:type="dxa"/>
            <w:tcBorders>
              <w:top w:val="single" w:sz="4" w:space="0" w:color="auto"/>
              <w:bottom w:val="single" w:sz="4" w:space="0" w:color="auto"/>
            </w:tcBorders>
            <w:shd w:val="clear" w:color="auto" w:fill="auto"/>
            <w:noWrap/>
            <w:vAlign w:val="center"/>
            <w:hideMark/>
          </w:tcPr>
          <w:p w14:paraId="321287BD" w14:textId="77777777" w:rsidR="0092047F" w:rsidRPr="00E97696" w:rsidRDefault="0092047F" w:rsidP="00E97696">
            <w:pPr>
              <w:pStyle w:val="NoSpacing"/>
              <w:jc w:val="center"/>
              <w:rPr>
                <w:rFonts w:cs="Times New Roman"/>
                <w:b/>
                <w:sz w:val="22"/>
              </w:rPr>
            </w:pPr>
            <w:r w:rsidRPr="00E97696">
              <w:rPr>
                <w:rFonts w:cs="Times New Roman"/>
                <w:b/>
                <w:sz w:val="22"/>
              </w:rPr>
              <w:t>Std. Dev.</w:t>
            </w:r>
          </w:p>
        </w:tc>
        <w:tc>
          <w:tcPr>
            <w:tcW w:w="1053" w:type="dxa"/>
            <w:tcBorders>
              <w:top w:val="single" w:sz="4" w:space="0" w:color="auto"/>
              <w:bottom w:val="single" w:sz="4" w:space="0" w:color="auto"/>
            </w:tcBorders>
            <w:shd w:val="clear" w:color="auto" w:fill="auto"/>
            <w:noWrap/>
            <w:vAlign w:val="center"/>
            <w:hideMark/>
          </w:tcPr>
          <w:p w14:paraId="0BEE2CA3" w14:textId="77777777" w:rsidR="0092047F" w:rsidRPr="00E97696" w:rsidRDefault="0092047F" w:rsidP="00E97696">
            <w:pPr>
              <w:pStyle w:val="NoSpacing"/>
              <w:jc w:val="center"/>
              <w:rPr>
                <w:rFonts w:cs="Times New Roman"/>
                <w:b/>
                <w:sz w:val="22"/>
              </w:rPr>
            </w:pPr>
            <w:r w:rsidRPr="00E97696">
              <w:rPr>
                <w:rFonts w:cs="Times New Roman"/>
                <w:b/>
                <w:sz w:val="22"/>
              </w:rPr>
              <w:t>Min</w:t>
            </w:r>
          </w:p>
        </w:tc>
        <w:tc>
          <w:tcPr>
            <w:tcW w:w="1234" w:type="dxa"/>
            <w:tcBorders>
              <w:top w:val="single" w:sz="4" w:space="0" w:color="auto"/>
              <w:bottom w:val="single" w:sz="4" w:space="0" w:color="auto"/>
            </w:tcBorders>
            <w:shd w:val="clear" w:color="auto" w:fill="auto"/>
            <w:noWrap/>
            <w:vAlign w:val="center"/>
            <w:hideMark/>
          </w:tcPr>
          <w:p w14:paraId="4B332DEC" w14:textId="77777777" w:rsidR="0092047F" w:rsidRPr="00E97696" w:rsidRDefault="0092047F" w:rsidP="00E97696">
            <w:pPr>
              <w:pStyle w:val="NoSpacing"/>
              <w:jc w:val="center"/>
              <w:rPr>
                <w:rFonts w:cs="Times New Roman"/>
                <w:b/>
                <w:sz w:val="22"/>
              </w:rPr>
            </w:pPr>
            <w:r w:rsidRPr="00E97696">
              <w:rPr>
                <w:rFonts w:cs="Times New Roman"/>
                <w:b/>
                <w:sz w:val="22"/>
              </w:rPr>
              <w:t>Max</w:t>
            </w:r>
          </w:p>
        </w:tc>
      </w:tr>
      <w:tr w:rsidR="0092047F" w:rsidRPr="00E97696" w14:paraId="2564B43F" w14:textId="77777777" w:rsidTr="0092047F">
        <w:trPr>
          <w:trHeight w:val="259"/>
        </w:trPr>
        <w:tc>
          <w:tcPr>
            <w:tcW w:w="3282" w:type="dxa"/>
            <w:tcBorders>
              <w:top w:val="single" w:sz="4" w:space="0" w:color="auto"/>
            </w:tcBorders>
            <w:shd w:val="clear" w:color="auto" w:fill="auto"/>
            <w:noWrap/>
            <w:vAlign w:val="bottom"/>
            <w:hideMark/>
          </w:tcPr>
          <w:p w14:paraId="0D76E3B4" w14:textId="77777777" w:rsidR="0092047F" w:rsidRPr="00E97696" w:rsidRDefault="0092047F" w:rsidP="0092047F">
            <w:pPr>
              <w:pStyle w:val="NoSpacing"/>
              <w:rPr>
                <w:rFonts w:cs="Times New Roman"/>
                <w:sz w:val="22"/>
              </w:rPr>
            </w:pPr>
            <w:r w:rsidRPr="00E97696">
              <w:rPr>
                <w:rFonts w:cs="Times New Roman"/>
                <w:sz w:val="22"/>
              </w:rPr>
              <w:t>TSR (%)</w:t>
            </w:r>
          </w:p>
        </w:tc>
        <w:tc>
          <w:tcPr>
            <w:tcW w:w="1652" w:type="dxa"/>
            <w:tcBorders>
              <w:top w:val="single" w:sz="4" w:space="0" w:color="auto"/>
            </w:tcBorders>
            <w:shd w:val="clear" w:color="auto" w:fill="auto"/>
            <w:noWrap/>
            <w:vAlign w:val="bottom"/>
            <w:hideMark/>
          </w:tcPr>
          <w:p w14:paraId="250A21B2"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single" w:sz="4" w:space="0" w:color="auto"/>
              <w:left w:val="nil"/>
              <w:bottom w:val="nil"/>
              <w:right w:val="nil"/>
            </w:tcBorders>
            <w:shd w:val="clear" w:color="auto" w:fill="auto"/>
            <w:noWrap/>
            <w:vAlign w:val="bottom"/>
            <w:hideMark/>
          </w:tcPr>
          <w:p w14:paraId="10BB7113" w14:textId="77777777" w:rsidR="0092047F" w:rsidRPr="00E97696" w:rsidRDefault="0092047F" w:rsidP="00E97696">
            <w:pPr>
              <w:pStyle w:val="NoSpacing"/>
              <w:jc w:val="center"/>
              <w:rPr>
                <w:rFonts w:cs="Times New Roman"/>
                <w:sz w:val="22"/>
              </w:rPr>
            </w:pPr>
            <w:r w:rsidRPr="00E97696">
              <w:rPr>
                <w:rFonts w:cs="Times New Roman"/>
                <w:sz w:val="22"/>
              </w:rPr>
              <w:t>10.24</w:t>
            </w:r>
          </w:p>
        </w:tc>
        <w:tc>
          <w:tcPr>
            <w:tcW w:w="1141" w:type="dxa"/>
            <w:tcBorders>
              <w:top w:val="single" w:sz="4" w:space="0" w:color="auto"/>
              <w:left w:val="nil"/>
              <w:bottom w:val="nil"/>
              <w:right w:val="nil"/>
            </w:tcBorders>
            <w:shd w:val="clear" w:color="auto" w:fill="auto"/>
            <w:noWrap/>
            <w:vAlign w:val="bottom"/>
            <w:hideMark/>
          </w:tcPr>
          <w:p w14:paraId="01ED9D5A" w14:textId="77777777" w:rsidR="0092047F" w:rsidRPr="00E97696" w:rsidRDefault="0092047F" w:rsidP="00E97696">
            <w:pPr>
              <w:pStyle w:val="NoSpacing"/>
              <w:jc w:val="center"/>
              <w:rPr>
                <w:rFonts w:cs="Times New Roman"/>
                <w:sz w:val="22"/>
              </w:rPr>
            </w:pPr>
            <w:r w:rsidRPr="00E97696">
              <w:rPr>
                <w:rFonts w:cs="Times New Roman"/>
                <w:sz w:val="22"/>
              </w:rPr>
              <w:t>25.65</w:t>
            </w:r>
          </w:p>
        </w:tc>
        <w:tc>
          <w:tcPr>
            <w:tcW w:w="1053" w:type="dxa"/>
            <w:tcBorders>
              <w:top w:val="single" w:sz="4" w:space="0" w:color="auto"/>
              <w:left w:val="nil"/>
              <w:bottom w:val="nil"/>
              <w:right w:val="nil"/>
            </w:tcBorders>
            <w:shd w:val="clear" w:color="auto" w:fill="auto"/>
            <w:noWrap/>
            <w:vAlign w:val="bottom"/>
            <w:hideMark/>
          </w:tcPr>
          <w:p w14:paraId="13BA490F" w14:textId="77777777" w:rsidR="0092047F" w:rsidRPr="00E97696" w:rsidRDefault="0092047F" w:rsidP="00E97696">
            <w:pPr>
              <w:pStyle w:val="NoSpacing"/>
              <w:jc w:val="center"/>
              <w:rPr>
                <w:rFonts w:cs="Times New Roman"/>
                <w:sz w:val="22"/>
              </w:rPr>
            </w:pPr>
            <w:r w:rsidRPr="00E97696">
              <w:rPr>
                <w:rFonts w:cs="Times New Roman"/>
                <w:sz w:val="22"/>
              </w:rPr>
              <w:t>-34.65</w:t>
            </w:r>
          </w:p>
        </w:tc>
        <w:tc>
          <w:tcPr>
            <w:tcW w:w="1234" w:type="dxa"/>
            <w:tcBorders>
              <w:top w:val="single" w:sz="4" w:space="0" w:color="auto"/>
              <w:left w:val="nil"/>
              <w:bottom w:val="nil"/>
              <w:right w:val="nil"/>
            </w:tcBorders>
            <w:shd w:val="clear" w:color="auto" w:fill="auto"/>
            <w:noWrap/>
            <w:vAlign w:val="bottom"/>
            <w:hideMark/>
          </w:tcPr>
          <w:p w14:paraId="6C91833D" w14:textId="77777777" w:rsidR="0092047F" w:rsidRPr="00E97696" w:rsidRDefault="0092047F" w:rsidP="00E97696">
            <w:pPr>
              <w:pStyle w:val="NoSpacing"/>
              <w:jc w:val="center"/>
              <w:rPr>
                <w:rFonts w:cs="Times New Roman"/>
                <w:sz w:val="22"/>
              </w:rPr>
            </w:pPr>
            <w:r w:rsidRPr="00E97696">
              <w:rPr>
                <w:rFonts w:cs="Times New Roman"/>
                <w:sz w:val="22"/>
              </w:rPr>
              <w:t>56.57</w:t>
            </w:r>
          </w:p>
        </w:tc>
      </w:tr>
      <w:tr w:rsidR="0092047F" w:rsidRPr="00E97696" w14:paraId="39B41357" w14:textId="77777777" w:rsidTr="0092047F">
        <w:trPr>
          <w:trHeight w:val="259"/>
        </w:trPr>
        <w:tc>
          <w:tcPr>
            <w:tcW w:w="3282" w:type="dxa"/>
            <w:shd w:val="clear" w:color="auto" w:fill="auto"/>
            <w:noWrap/>
            <w:vAlign w:val="bottom"/>
            <w:hideMark/>
          </w:tcPr>
          <w:p w14:paraId="23639CBF" w14:textId="77777777" w:rsidR="0092047F" w:rsidRPr="00E97696" w:rsidRDefault="0092047F" w:rsidP="0092047F">
            <w:pPr>
              <w:pStyle w:val="NoSpacing"/>
              <w:rPr>
                <w:rFonts w:cs="Times New Roman"/>
                <w:sz w:val="22"/>
              </w:rPr>
            </w:pPr>
            <w:r w:rsidRPr="00E97696">
              <w:rPr>
                <w:rFonts w:cs="Times New Roman"/>
                <w:sz w:val="22"/>
              </w:rPr>
              <w:t>ROE (%)</w:t>
            </w:r>
          </w:p>
        </w:tc>
        <w:tc>
          <w:tcPr>
            <w:tcW w:w="1652" w:type="dxa"/>
            <w:shd w:val="clear" w:color="auto" w:fill="auto"/>
            <w:noWrap/>
            <w:vAlign w:val="bottom"/>
            <w:hideMark/>
          </w:tcPr>
          <w:p w14:paraId="3F810648"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53DAC927" w14:textId="77777777" w:rsidR="0092047F" w:rsidRPr="00E97696" w:rsidRDefault="0092047F" w:rsidP="00E97696">
            <w:pPr>
              <w:pStyle w:val="NoSpacing"/>
              <w:jc w:val="center"/>
              <w:rPr>
                <w:rFonts w:cs="Times New Roman"/>
                <w:sz w:val="22"/>
              </w:rPr>
            </w:pPr>
            <w:r w:rsidRPr="00E97696">
              <w:rPr>
                <w:rFonts w:cs="Times New Roman"/>
                <w:sz w:val="22"/>
              </w:rPr>
              <w:t>2.99</w:t>
            </w:r>
          </w:p>
        </w:tc>
        <w:tc>
          <w:tcPr>
            <w:tcW w:w="1141" w:type="dxa"/>
            <w:tcBorders>
              <w:top w:val="nil"/>
              <w:left w:val="nil"/>
              <w:bottom w:val="nil"/>
              <w:right w:val="nil"/>
            </w:tcBorders>
            <w:shd w:val="clear" w:color="auto" w:fill="auto"/>
            <w:noWrap/>
            <w:vAlign w:val="bottom"/>
            <w:hideMark/>
          </w:tcPr>
          <w:p w14:paraId="0B63C493" w14:textId="77777777" w:rsidR="0092047F" w:rsidRPr="00E97696" w:rsidRDefault="0092047F" w:rsidP="00E97696">
            <w:pPr>
              <w:pStyle w:val="NoSpacing"/>
              <w:jc w:val="center"/>
              <w:rPr>
                <w:rFonts w:cs="Times New Roman"/>
                <w:sz w:val="22"/>
              </w:rPr>
            </w:pPr>
            <w:r w:rsidRPr="00E97696">
              <w:rPr>
                <w:rFonts w:cs="Times New Roman"/>
                <w:sz w:val="22"/>
              </w:rPr>
              <w:t>4.67</w:t>
            </w:r>
          </w:p>
        </w:tc>
        <w:tc>
          <w:tcPr>
            <w:tcW w:w="1053" w:type="dxa"/>
            <w:tcBorders>
              <w:top w:val="nil"/>
              <w:left w:val="nil"/>
              <w:bottom w:val="nil"/>
              <w:right w:val="nil"/>
            </w:tcBorders>
            <w:shd w:val="clear" w:color="auto" w:fill="auto"/>
            <w:noWrap/>
            <w:vAlign w:val="bottom"/>
            <w:hideMark/>
          </w:tcPr>
          <w:p w14:paraId="0D78E1FE" w14:textId="77777777" w:rsidR="0092047F" w:rsidRPr="00E97696" w:rsidRDefault="0092047F" w:rsidP="00E97696">
            <w:pPr>
              <w:pStyle w:val="NoSpacing"/>
              <w:jc w:val="center"/>
              <w:rPr>
                <w:rFonts w:cs="Times New Roman"/>
                <w:sz w:val="22"/>
              </w:rPr>
            </w:pPr>
            <w:r w:rsidRPr="00E97696">
              <w:rPr>
                <w:rFonts w:cs="Times New Roman"/>
                <w:sz w:val="22"/>
              </w:rPr>
              <w:t>-3.19</w:t>
            </w:r>
          </w:p>
        </w:tc>
        <w:tc>
          <w:tcPr>
            <w:tcW w:w="1234" w:type="dxa"/>
            <w:tcBorders>
              <w:top w:val="nil"/>
              <w:left w:val="nil"/>
              <w:bottom w:val="nil"/>
              <w:right w:val="nil"/>
            </w:tcBorders>
            <w:shd w:val="clear" w:color="auto" w:fill="auto"/>
            <w:noWrap/>
            <w:vAlign w:val="bottom"/>
            <w:hideMark/>
          </w:tcPr>
          <w:p w14:paraId="718295A7" w14:textId="77777777" w:rsidR="0092047F" w:rsidRPr="00E97696" w:rsidRDefault="0092047F" w:rsidP="00E97696">
            <w:pPr>
              <w:pStyle w:val="NoSpacing"/>
              <w:jc w:val="center"/>
              <w:rPr>
                <w:rFonts w:cs="Times New Roman"/>
                <w:sz w:val="22"/>
              </w:rPr>
            </w:pPr>
            <w:r w:rsidRPr="00E97696">
              <w:rPr>
                <w:rFonts w:cs="Times New Roman"/>
                <w:sz w:val="22"/>
              </w:rPr>
              <w:t>19.65</w:t>
            </w:r>
          </w:p>
        </w:tc>
      </w:tr>
      <w:tr w:rsidR="0092047F" w:rsidRPr="00E97696" w14:paraId="5562A293" w14:textId="77777777" w:rsidTr="0092047F">
        <w:trPr>
          <w:trHeight w:val="259"/>
        </w:trPr>
        <w:tc>
          <w:tcPr>
            <w:tcW w:w="3282" w:type="dxa"/>
            <w:shd w:val="clear" w:color="auto" w:fill="auto"/>
            <w:noWrap/>
            <w:vAlign w:val="bottom"/>
            <w:hideMark/>
          </w:tcPr>
          <w:p w14:paraId="4C56CB31" w14:textId="77777777" w:rsidR="0092047F" w:rsidRPr="00E97696" w:rsidRDefault="0092047F" w:rsidP="0092047F">
            <w:pPr>
              <w:pStyle w:val="NoSpacing"/>
              <w:rPr>
                <w:rFonts w:cs="Times New Roman"/>
                <w:sz w:val="22"/>
              </w:rPr>
            </w:pPr>
            <w:r w:rsidRPr="00E97696">
              <w:rPr>
                <w:rFonts w:cs="Times New Roman"/>
                <w:sz w:val="22"/>
              </w:rPr>
              <w:t>NCI</w:t>
            </w:r>
          </w:p>
        </w:tc>
        <w:tc>
          <w:tcPr>
            <w:tcW w:w="1652" w:type="dxa"/>
            <w:shd w:val="clear" w:color="auto" w:fill="auto"/>
            <w:noWrap/>
            <w:vAlign w:val="bottom"/>
            <w:hideMark/>
          </w:tcPr>
          <w:p w14:paraId="38BE07CB"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6D3DCD49" w14:textId="77777777" w:rsidR="0092047F" w:rsidRPr="00E97696" w:rsidRDefault="0092047F" w:rsidP="00E97696">
            <w:pPr>
              <w:pStyle w:val="NoSpacing"/>
              <w:jc w:val="center"/>
              <w:rPr>
                <w:rFonts w:cs="Times New Roman"/>
                <w:sz w:val="22"/>
              </w:rPr>
            </w:pPr>
            <w:r w:rsidRPr="00E97696">
              <w:rPr>
                <w:rFonts w:cs="Times New Roman"/>
                <w:sz w:val="22"/>
              </w:rPr>
              <w:t>3.57</w:t>
            </w:r>
          </w:p>
        </w:tc>
        <w:tc>
          <w:tcPr>
            <w:tcW w:w="1141" w:type="dxa"/>
            <w:tcBorders>
              <w:top w:val="nil"/>
              <w:left w:val="nil"/>
              <w:bottom w:val="nil"/>
              <w:right w:val="nil"/>
            </w:tcBorders>
            <w:shd w:val="clear" w:color="auto" w:fill="auto"/>
            <w:noWrap/>
            <w:vAlign w:val="bottom"/>
            <w:hideMark/>
          </w:tcPr>
          <w:p w14:paraId="76F961DA" w14:textId="77777777" w:rsidR="0092047F" w:rsidRPr="00E97696" w:rsidRDefault="0092047F" w:rsidP="00E97696">
            <w:pPr>
              <w:pStyle w:val="NoSpacing"/>
              <w:jc w:val="center"/>
              <w:rPr>
                <w:rFonts w:cs="Times New Roman"/>
                <w:sz w:val="22"/>
              </w:rPr>
            </w:pPr>
            <w:r w:rsidRPr="00E97696">
              <w:rPr>
                <w:rFonts w:cs="Times New Roman"/>
                <w:sz w:val="22"/>
              </w:rPr>
              <w:t>2.96</w:t>
            </w:r>
          </w:p>
        </w:tc>
        <w:tc>
          <w:tcPr>
            <w:tcW w:w="1053" w:type="dxa"/>
            <w:tcBorders>
              <w:top w:val="nil"/>
              <w:left w:val="nil"/>
              <w:bottom w:val="nil"/>
              <w:right w:val="nil"/>
            </w:tcBorders>
            <w:shd w:val="clear" w:color="auto" w:fill="auto"/>
            <w:noWrap/>
            <w:vAlign w:val="bottom"/>
            <w:hideMark/>
          </w:tcPr>
          <w:p w14:paraId="582BDD9B" w14:textId="77777777" w:rsidR="0092047F" w:rsidRPr="00E97696" w:rsidRDefault="0092047F" w:rsidP="00E97696">
            <w:pPr>
              <w:pStyle w:val="NoSpacing"/>
              <w:jc w:val="center"/>
              <w:rPr>
                <w:rFonts w:cs="Times New Roman"/>
                <w:sz w:val="22"/>
              </w:rPr>
            </w:pPr>
            <w:r w:rsidRPr="00E97696">
              <w:rPr>
                <w:rFonts w:cs="Times New Roman"/>
                <w:sz w:val="22"/>
              </w:rPr>
              <w:t>0.00</w:t>
            </w:r>
          </w:p>
        </w:tc>
        <w:tc>
          <w:tcPr>
            <w:tcW w:w="1234" w:type="dxa"/>
            <w:tcBorders>
              <w:top w:val="nil"/>
              <w:left w:val="nil"/>
              <w:bottom w:val="nil"/>
              <w:right w:val="nil"/>
            </w:tcBorders>
            <w:shd w:val="clear" w:color="auto" w:fill="auto"/>
            <w:noWrap/>
            <w:vAlign w:val="bottom"/>
            <w:hideMark/>
          </w:tcPr>
          <w:p w14:paraId="25E1756D" w14:textId="77777777" w:rsidR="0092047F" w:rsidRPr="00E97696" w:rsidRDefault="0092047F" w:rsidP="00E97696">
            <w:pPr>
              <w:pStyle w:val="NoSpacing"/>
              <w:jc w:val="center"/>
              <w:rPr>
                <w:rFonts w:cs="Times New Roman"/>
                <w:sz w:val="22"/>
              </w:rPr>
            </w:pPr>
            <w:r w:rsidRPr="00E97696">
              <w:rPr>
                <w:rFonts w:cs="Times New Roman"/>
                <w:sz w:val="22"/>
              </w:rPr>
              <w:t>16.00</w:t>
            </w:r>
          </w:p>
        </w:tc>
      </w:tr>
      <w:tr w:rsidR="0092047F" w:rsidRPr="00E97696" w14:paraId="39273FD2" w14:textId="77777777" w:rsidTr="0092047F">
        <w:trPr>
          <w:trHeight w:val="259"/>
        </w:trPr>
        <w:tc>
          <w:tcPr>
            <w:tcW w:w="3282" w:type="dxa"/>
            <w:shd w:val="clear" w:color="auto" w:fill="auto"/>
            <w:noWrap/>
            <w:vAlign w:val="bottom"/>
            <w:hideMark/>
          </w:tcPr>
          <w:p w14:paraId="4403C249" w14:textId="77777777" w:rsidR="0092047F" w:rsidRPr="00E97696" w:rsidRDefault="0092047F" w:rsidP="0092047F">
            <w:pPr>
              <w:pStyle w:val="NoSpacing"/>
              <w:rPr>
                <w:rFonts w:cs="Times New Roman"/>
                <w:sz w:val="22"/>
              </w:rPr>
            </w:pPr>
            <w:r w:rsidRPr="00E97696">
              <w:rPr>
                <w:rFonts w:cs="Times New Roman"/>
                <w:sz w:val="22"/>
              </w:rPr>
              <w:t>Board independence</w:t>
            </w:r>
          </w:p>
        </w:tc>
        <w:tc>
          <w:tcPr>
            <w:tcW w:w="1652" w:type="dxa"/>
            <w:shd w:val="clear" w:color="auto" w:fill="auto"/>
            <w:noWrap/>
            <w:vAlign w:val="bottom"/>
            <w:hideMark/>
          </w:tcPr>
          <w:p w14:paraId="5F413F09"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651C3846" w14:textId="77777777" w:rsidR="0092047F" w:rsidRPr="00E97696" w:rsidRDefault="0092047F" w:rsidP="00E97696">
            <w:pPr>
              <w:pStyle w:val="NoSpacing"/>
              <w:jc w:val="center"/>
              <w:rPr>
                <w:rFonts w:cs="Times New Roman"/>
                <w:sz w:val="22"/>
              </w:rPr>
            </w:pPr>
            <w:r w:rsidRPr="00E97696">
              <w:rPr>
                <w:rFonts w:cs="Times New Roman"/>
                <w:sz w:val="22"/>
              </w:rPr>
              <w:t>0.72</w:t>
            </w:r>
          </w:p>
        </w:tc>
        <w:tc>
          <w:tcPr>
            <w:tcW w:w="1141" w:type="dxa"/>
            <w:tcBorders>
              <w:top w:val="nil"/>
              <w:left w:val="nil"/>
              <w:bottom w:val="nil"/>
              <w:right w:val="nil"/>
            </w:tcBorders>
            <w:shd w:val="clear" w:color="auto" w:fill="auto"/>
            <w:noWrap/>
            <w:vAlign w:val="bottom"/>
            <w:hideMark/>
          </w:tcPr>
          <w:p w14:paraId="06A7C6E0" w14:textId="77777777" w:rsidR="0092047F" w:rsidRPr="00E97696" w:rsidRDefault="0092047F" w:rsidP="00E97696">
            <w:pPr>
              <w:pStyle w:val="NoSpacing"/>
              <w:jc w:val="center"/>
              <w:rPr>
                <w:rFonts w:cs="Times New Roman"/>
                <w:sz w:val="22"/>
              </w:rPr>
            </w:pPr>
            <w:r w:rsidRPr="00E97696">
              <w:rPr>
                <w:rFonts w:cs="Times New Roman"/>
                <w:sz w:val="22"/>
              </w:rPr>
              <w:t>0.21</w:t>
            </w:r>
          </w:p>
        </w:tc>
        <w:tc>
          <w:tcPr>
            <w:tcW w:w="1053" w:type="dxa"/>
            <w:tcBorders>
              <w:top w:val="nil"/>
              <w:left w:val="nil"/>
              <w:bottom w:val="nil"/>
              <w:right w:val="nil"/>
            </w:tcBorders>
            <w:shd w:val="clear" w:color="auto" w:fill="auto"/>
            <w:noWrap/>
            <w:vAlign w:val="bottom"/>
            <w:hideMark/>
          </w:tcPr>
          <w:p w14:paraId="6D853300" w14:textId="77777777" w:rsidR="0092047F" w:rsidRPr="00E97696" w:rsidRDefault="0092047F" w:rsidP="00E97696">
            <w:pPr>
              <w:pStyle w:val="NoSpacing"/>
              <w:jc w:val="center"/>
              <w:rPr>
                <w:rFonts w:cs="Times New Roman"/>
                <w:sz w:val="22"/>
              </w:rPr>
            </w:pPr>
            <w:r w:rsidRPr="00E97696">
              <w:rPr>
                <w:rFonts w:cs="Times New Roman"/>
                <w:sz w:val="22"/>
              </w:rPr>
              <w:t>0.14</w:t>
            </w:r>
          </w:p>
        </w:tc>
        <w:tc>
          <w:tcPr>
            <w:tcW w:w="1234" w:type="dxa"/>
            <w:tcBorders>
              <w:top w:val="nil"/>
              <w:left w:val="nil"/>
              <w:bottom w:val="nil"/>
              <w:right w:val="nil"/>
            </w:tcBorders>
            <w:shd w:val="clear" w:color="auto" w:fill="auto"/>
            <w:noWrap/>
            <w:vAlign w:val="bottom"/>
            <w:hideMark/>
          </w:tcPr>
          <w:p w14:paraId="2A02669C" w14:textId="77777777" w:rsidR="0092047F" w:rsidRPr="00E97696" w:rsidRDefault="0092047F" w:rsidP="00E97696">
            <w:pPr>
              <w:pStyle w:val="NoSpacing"/>
              <w:jc w:val="center"/>
              <w:rPr>
                <w:rFonts w:cs="Times New Roman"/>
                <w:sz w:val="22"/>
              </w:rPr>
            </w:pPr>
            <w:r w:rsidRPr="00E97696">
              <w:rPr>
                <w:rFonts w:cs="Times New Roman"/>
                <w:sz w:val="22"/>
              </w:rPr>
              <w:t>1.00</w:t>
            </w:r>
          </w:p>
        </w:tc>
      </w:tr>
      <w:tr w:rsidR="0092047F" w:rsidRPr="00E97696" w14:paraId="62EF3212" w14:textId="77777777" w:rsidTr="0092047F">
        <w:trPr>
          <w:trHeight w:val="259"/>
        </w:trPr>
        <w:tc>
          <w:tcPr>
            <w:tcW w:w="3282" w:type="dxa"/>
            <w:shd w:val="clear" w:color="auto" w:fill="auto"/>
            <w:noWrap/>
            <w:vAlign w:val="bottom"/>
            <w:hideMark/>
          </w:tcPr>
          <w:p w14:paraId="31C82A44" w14:textId="77777777" w:rsidR="0092047F" w:rsidRPr="00E97696" w:rsidRDefault="0092047F" w:rsidP="0092047F">
            <w:pPr>
              <w:pStyle w:val="NoSpacing"/>
              <w:rPr>
                <w:rFonts w:cs="Times New Roman"/>
                <w:sz w:val="22"/>
              </w:rPr>
            </w:pPr>
            <w:r w:rsidRPr="00E97696">
              <w:rPr>
                <w:rFonts w:cs="Times New Roman"/>
                <w:sz w:val="22"/>
              </w:rPr>
              <w:t>Directors’ share ownership (%)</w:t>
            </w:r>
          </w:p>
        </w:tc>
        <w:tc>
          <w:tcPr>
            <w:tcW w:w="1652" w:type="dxa"/>
            <w:shd w:val="clear" w:color="auto" w:fill="auto"/>
            <w:noWrap/>
            <w:vAlign w:val="bottom"/>
            <w:hideMark/>
          </w:tcPr>
          <w:p w14:paraId="670A3769"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0DFCA6A4" w14:textId="77777777" w:rsidR="0092047F" w:rsidRPr="00E97696" w:rsidRDefault="0092047F" w:rsidP="00E97696">
            <w:pPr>
              <w:pStyle w:val="NoSpacing"/>
              <w:jc w:val="center"/>
              <w:rPr>
                <w:rFonts w:cs="Times New Roman"/>
                <w:sz w:val="22"/>
              </w:rPr>
            </w:pPr>
            <w:r w:rsidRPr="00E97696">
              <w:rPr>
                <w:rFonts w:cs="Times New Roman"/>
                <w:sz w:val="22"/>
              </w:rPr>
              <w:t>2.29</w:t>
            </w:r>
          </w:p>
        </w:tc>
        <w:tc>
          <w:tcPr>
            <w:tcW w:w="1141" w:type="dxa"/>
            <w:tcBorders>
              <w:top w:val="nil"/>
              <w:left w:val="nil"/>
              <w:bottom w:val="nil"/>
              <w:right w:val="nil"/>
            </w:tcBorders>
            <w:shd w:val="clear" w:color="auto" w:fill="auto"/>
            <w:noWrap/>
            <w:vAlign w:val="bottom"/>
            <w:hideMark/>
          </w:tcPr>
          <w:p w14:paraId="30919FD8" w14:textId="77777777" w:rsidR="0092047F" w:rsidRPr="00E97696" w:rsidRDefault="0092047F" w:rsidP="00E97696">
            <w:pPr>
              <w:pStyle w:val="NoSpacing"/>
              <w:jc w:val="center"/>
              <w:rPr>
                <w:rFonts w:cs="Times New Roman"/>
                <w:sz w:val="22"/>
              </w:rPr>
            </w:pPr>
            <w:r w:rsidRPr="00E97696">
              <w:rPr>
                <w:rFonts w:cs="Times New Roman"/>
                <w:sz w:val="22"/>
              </w:rPr>
              <w:t>4.46</w:t>
            </w:r>
          </w:p>
        </w:tc>
        <w:tc>
          <w:tcPr>
            <w:tcW w:w="1053" w:type="dxa"/>
            <w:tcBorders>
              <w:top w:val="nil"/>
              <w:left w:val="nil"/>
              <w:bottom w:val="nil"/>
              <w:right w:val="nil"/>
            </w:tcBorders>
            <w:shd w:val="clear" w:color="auto" w:fill="auto"/>
            <w:noWrap/>
            <w:vAlign w:val="bottom"/>
            <w:hideMark/>
          </w:tcPr>
          <w:p w14:paraId="5DADF922" w14:textId="77777777" w:rsidR="0092047F" w:rsidRPr="00E97696" w:rsidRDefault="0092047F" w:rsidP="00E97696">
            <w:pPr>
              <w:pStyle w:val="NoSpacing"/>
              <w:jc w:val="center"/>
              <w:rPr>
                <w:rFonts w:cs="Times New Roman"/>
                <w:sz w:val="22"/>
              </w:rPr>
            </w:pPr>
            <w:r w:rsidRPr="00E97696">
              <w:rPr>
                <w:rFonts w:cs="Times New Roman"/>
                <w:sz w:val="22"/>
              </w:rPr>
              <w:t>0.02</w:t>
            </w:r>
          </w:p>
        </w:tc>
        <w:tc>
          <w:tcPr>
            <w:tcW w:w="1234" w:type="dxa"/>
            <w:tcBorders>
              <w:top w:val="nil"/>
              <w:left w:val="nil"/>
              <w:bottom w:val="nil"/>
              <w:right w:val="nil"/>
            </w:tcBorders>
            <w:shd w:val="clear" w:color="auto" w:fill="auto"/>
            <w:noWrap/>
            <w:vAlign w:val="bottom"/>
            <w:hideMark/>
          </w:tcPr>
          <w:p w14:paraId="763B7B1E" w14:textId="77777777" w:rsidR="0092047F" w:rsidRPr="00E97696" w:rsidRDefault="0092047F" w:rsidP="00E97696">
            <w:pPr>
              <w:pStyle w:val="NoSpacing"/>
              <w:jc w:val="center"/>
              <w:rPr>
                <w:rFonts w:cs="Times New Roman"/>
                <w:sz w:val="22"/>
              </w:rPr>
            </w:pPr>
            <w:r w:rsidRPr="00E97696">
              <w:rPr>
                <w:rFonts w:cs="Times New Roman"/>
                <w:sz w:val="22"/>
              </w:rPr>
              <w:t>21.23</w:t>
            </w:r>
          </w:p>
        </w:tc>
      </w:tr>
      <w:tr w:rsidR="0092047F" w:rsidRPr="00E97696" w14:paraId="0807C878" w14:textId="77777777" w:rsidTr="0092047F">
        <w:trPr>
          <w:trHeight w:val="259"/>
        </w:trPr>
        <w:tc>
          <w:tcPr>
            <w:tcW w:w="3282" w:type="dxa"/>
            <w:shd w:val="clear" w:color="auto" w:fill="auto"/>
            <w:noWrap/>
            <w:vAlign w:val="bottom"/>
            <w:hideMark/>
          </w:tcPr>
          <w:p w14:paraId="0D60C644" w14:textId="77777777" w:rsidR="0092047F" w:rsidRPr="00E97696" w:rsidRDefault="0092047F" w:rsidP="0092047F">
            <w:pPr>
              <w:pStyle w:val="NoSpacing"/>
              <w:rPr>
                <w:rFonts w:cs="Times New Roman"/>
                <w:sz w:val="22"/>
              </w:rPr>
            </w:pPr>
            <w:r w:rsidRPr="00E97696">
              <w:rPr>
                <w:rFonts w:cs="Times New Roman"/>
                <w:sz w:val="22"/>
              </w:rPr>
              <w:t>Remuneration (£million)</w:t>
            </w:r>
          </w:p>
        </w:tc>
        <w:tc>
          <w:tcPr>
            <w:tcW w:w="1652" w:type="dxa"/>
            <w:shd w:val="clear" w:color="auto" w:fill="auto"/>
            <w:noWrap/>
            <w:vAlign w:val="bottom"/>
            <w:hideMark/>
          </w:tcPr>
          <w:p w14:paraId="54A2DD7E"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07180CDC" w14:textId="77777777" w:rsidR="0092047F" w:rsidRPr="00E97696" w:rsidRDefault="0092047F" w:rsidP="00E97696">
            <w:pPr>
              <w:pStyle w:val="NoSpacing"/>
              <w:jc w:val="center"/>
              <w:rPr>
                <w:rFonts w:cs="Times New Roman"/>
                <w:sz w:val="22"/>
              </w:rPr>
            </w:pPr>
            <w:r w:rsidRPr="00E97696">
              <w:rPr>
                <w:rFonts w:cs="Times New Roman"/>
                <w:sz w:val="22"/>
              </w:rPr>
              <w:t>2.41</w:t>
            </w:r>
          </w:p>
        </w:tc>
        <w:tc>
          <w:tcPr>
            <w:tcW w:w="1141" w:type="dxa"/>
            <w:tcBorders>
              <w:top w:val="nil"/>
              <w:left w:val="nil"/>
              <w:bottom w:val="nil"/>
              <w:right w:val="nil"/>
            </w:tcBorders>
            <w:shd w:val="clear" w:color="auto" w:fill="auto"/>
            <w:noWrap/>
            <w:vAlign w:val="bottom"/>
            <w:hideMark/>
          </w:tcPr>
          <w:p w14:paraId="40B1FE7B" w14:textId="77777777" w:rsidR="0092047F" w:rsidRPr="00E97696" w:rsidRDefault="0092047F" w:rsidP="00E97696">
            <w:pPr>
              <w:pStyle w:val="NoSpacing"/>
              <w:jc w:val="center"/>
              <w:rPr>
                <w:rFonts w:cs="Times New Roman"/>
                <w:sz w:val="22"/>
              </w:rPr>
            </w:pPr>
            <w:r w:rsidRPr="00E97696">
              <w:rPr>
                <w:rFonts w:cs="Times New Roman"/>
                <w:sz w:val="22"/>
              </w:rPr>
              <w:t>2.10</w:t>
            </w:r>
          </w:p>
        </w:tc>
        <w:tc>
          <w:tcPr>
            <w:tcW w:w="1053" w:type="dxa"/>
            <w:tcBorders>
              <w:top w:val="nil"/>
              <w:left w:val="nil"/>
              <w:bottom w:val="nil"/>
              <w:right w:val="nil"/>
            </w:tcBorders>
            <w:shd w:val="clear" w:color="auto" w:fill="auto"/>
            <w:noWrap/>
            <w:vAlign w:val="bottom"/>
            <w:hideMark/>
          </w:tcPr>
          <w:p w14:paraId="077C951F" w14:textId="77777777" w:rsidR="0092047F" w:rsidRPr="00E97696" w:rsidRDefault="0092047F" w:rsidP="00E97696">
            <w:pPr>
              <w:pStyle w:val="NoSpacing"/>
              <w:jc w:val="center"/>
              <w:rPr>
                <w:rFonts w:cs="Times New Roman"/>
                <w:sz w:val="22"/>
              </w:rPr>
            </w:pPr>
            <w:r w:rsidRPr="00E97696">
              <w:rPr>
                <w:rFonts w:cs="Times New Roman"/>
                <w:sz w:val="22"/>
              </w:rPr>
              <w:t>0.11</w:t>
            </w:r>
          </w:p>
        </w:tc>
        <w:tc>
          <w:tcPr>
            <w:tcW w:w="1234" w:type="dxa"/>
            <w:tcBorders>
              <w:top w:val="nil"/>
              <w:left w:val="nil"/>
              <w:bottom w:val="nil"/>
              <w:right w:val="nil"/>
            </w:tcBorders>
            <w:shd w:val="clear" w:color="auto" w:fill="auto"/>
            <w:noWrap/>
            <w:vAlign w:val="bottom"/>
            <w:hideMark/>
          </w:tcPr>
          <w:p w14:paraId="517170F8" w14:textId="77777777" w:rsidR="0092047F" w:rsidRPr="00E97696" w:rsidRDefault="0092047F" w:rsidP="00E97696">
            <w:pPr>
              <w:pStyle w:val="NoSpacing"/>
              <w:jc w:val="center"/>
              <w:rPr>
                <w:rFonts w:cs="Times New Roman"/>
                <w:sz w:val="22"/>
              </w:rPr>
            </w:pPr>
            <w:r w:rsidRPr="00E97696">
              <w:rPr>
                <w:rFonts w:cs="Times New Roman"/>
                <w:sz w:val="22"/>
              </w:rPr>
              <w:t>7.12</w:t>
            </w:r>
          </w:p>
        </w:tc>
      </w:tr>
      <w:tr w:rsidR="0092047F" w:rsidRPr="00E97696" w14:paraId="785FC603" w14:textId="77777777" w:rsidTr="0092047F">
        <w:trPr>
          <w:trHeight w:val="259"/>
        </w:trPr>
        <w:tc>
          <w:tcPr>
            <w:tcW w:w="3282" w:type="dxa"/>
            <w:shd w:val="clear" w:color="auto" w:fill="auto"/>
            <w:noWrap/>
            <w:vAlign w:val="bottom"/>
            <w:hideMark/>
          </w:tcPr>
          <w:p w14:paraId="2DA24610" w14:textId="77777777" w:rsidR="0092047F" w:rsidRPr="00E97696" w:rsidRDefault="0092047F" w:rsidP="0092047F">
            <w:pPr>
              <w:pStyle w:val="NoSpacing"/>
              <w:rPr>
                <w:rFonts w:cs="Times New Roman"/>
                <w:sz w:val="22"/>
              </w:rPr>
            </w:pPr>
            <w:r w:rsidRPr="00E97696">
              <w:rPr>
                <w:rFonts w:cs="Times New Roman"/>
                <w:sz w:val="22"/>
              </w:rPr>
              <w:t>Extra committees</w:t>
            </w:r>
          </w:p>
        </w:tc>
        <w:tc>
          <w:tcPr>
            <w:tcW w:w="1652" w:type="dxa"/>
            <w:shd w:val="clear" w:color="auto" w:fill="auto"/>
            <w:noWrap/>
            <w:vAlign w:val="bottom"/>
            <w:hideMark/>
          </w:tcPr>
          <w:p w14:paraId="45669C91"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0C914ED4" w14:textId="77777777" w:rsidR="0092047F" w:rsidRPr="00E97696" w:rsidRDefault="0092047F" w:rsidP="00E97696">
            <w:pPr>
              <w:pStyle w:val="NoSpacing"/>
              <w:jc w:val="center"/>
              <w:rPr>
                <w:rFonts w:cs="Times New Roman"/>
                <w:sz w:val="22"/>
              </w:rPr>
            </w:pPr>
            <w:r w:rsidRPr="00E97696">
              <w:rPr>
                <w:rFonts w:cs="Times New Roman"/>
                <w:sz w:val="22"/>
              </w:rPr>
              <w:t>1.24</w:t>
            </w:r>
          </w:p>
        </w:tc>
        <w:tc>
          <w:tcPr>
            <w:tcW w:w="1141" w:type="dxa"/>
            <w:tcBorders>
              <w:top w:val="nil"/>
              <w:left w:val="nil"/>
              <w:bottom w:val="nil"/>
              <w:right w:val="nil"/>
            </w:tcBorders>
            <w:shd w:val="clear" w:color="auto" w:fill="auto"/>
            <w:noWrap/>
            <w:vAlign w:val="bottom"/>
            <w:hideMark/>
          </w:tcPr>
          <w:p w14:paraId="3D89E0ED" w14:textId="77777777" w:rsidR="0092047F" w:rsidRPr="00E97696" w:rsidRDefault="0092047F" w:rsidP="00E97696">
            <w:pPr>
              <w:pStyle w:val="NoSpacing"/>
              <w:jc w:val="center"/>
              <w:rPr>
                <w:rFonts w:cs="Times New Roman"/>
                <w:sz w:val="22"/>
              </w:rPr>
            </w:pPr>
            <w:r w:rsidRPr="00E97696">
              <w:rPr>
                <w:rFonts w:cs="Times New Roman"/>
                <w:sz w:val="22"/>
              </w:rPr>
              <w:t>1.16</w:t>
            </w:r>
          </w:p>
        </w:tc>
        <w:tc>
          <w:tcPr>
            <w:tcW w:w="1053" w:type="dxa"/>
            <w:tcBorders>
              <w:top w:val="nil"/>
              <w:left w:val="nil"/>
              <w:bottom w:val="nil"/>
              <w:right w:val="nil"/>
            </w:tcBorders>
            <w:shd w:val="clear" w:color="auto" w:fill="auto"/>
            <w:noWrap/>
            <w:vAlign w:val="bottom"/>
            <w:hideMark/>
          </w:tcPr>
          <w:p w14:paraId="6D86A9A1" w14:textId="77777777" w:rsidR="0092047F" w:rsidRPr="00E97696" w:rsidRDefault="0092047F" w:rsidP="00E97696">
            <w:pPr>
              <w:pStyle w:val="NoSpacing"/>
              <w:jc w:val="center"/>
              <w:rPr>
                <w:rFonts w:cs="Times New Roman"/>
                <w:sz w:val="22"/>
              </w:rPr>
            </w:pPr>
            <w:r w:rsidRPr="00E97696">
              <w:rPr>
                <w:rFonts w:cs="Times New Roman"/>
                <w:sz w:val="22"/>
              </w:rPr>
              <w:t>0.00</w:t>
            </w:r>
          </w:p>
        </w:tc>
        <w:tc>
          <w:tcPr>
            <w:tcW w:w="1234" w:type="dxa"/>
            <w:tcBorders>
              <w:top w:val="nil"/>
              <w:left w:val="nil"/>
              <w:bottom w:val="nil"/>
              <w:right w:val="nil"/>
            </w:tcBorders>
            <w:shd w:val="clear" w:color="auto" w:fill="auto"/>
            <w:noWrap/>
            <w:vAlign w:val="bottom"/>
            <w:hideMark/>
          </w:tcPr>
          <w:p w14:paraId="622674E8" w14:textId="77777777" w:rsidR="0092047F" w:rsidRPr="00E97696" w:rsidRDefault="0092047F" w:rsidP="00E97696">
            <w:pPr>
              <w:pStyle w:val="NoSpacing"/>
              <w:jc w:val="center"/>
              <w:rPr>
                <w:rFonts w:cs="Times New Roman"/>
                <w:sz w:val="22"/>
              </w:rPr>
            </w:pPr>
            <w:r w:rsidRPr="00E97696">
              <w:rPr>
                <w:rFonts w:cs="Times New Roman"/>
                <w:sz w:val="22"/>
              </w:rPr>
              <w:t>5.00</w:t>
            </w:r>
          </w:p>
        </w:tc>
      </w:tr>
      <w:tr w:rsidR="0092047F" w:rsidRPr="00E97696" w14:paraId="1D2E50C4" w14:textId="77777777" w:rsidTr="0092047F">
        <w:trPr>
          <w:trHeight w:val="259"/>
        </w:trPr>
        <w:tc>
          <w:tcPr>
            <w:tcW w:w="3282" w:type="dxa"/>
            <w:shd w:val="clear" w:color="auto" w:fill="auto"/>
            <w:noWrap/>
            <w:vAlign w:val="bottom"/>
            <w:hideMark/>
          </w:tcPr>
          <w:p w14:paraId="0D3C6A36" w14:textId="77777777" w:rsidR="0092047F" w:rsidRPr="00E97696" w:rsidRDefault="0092047F" w:rsidP="0092047F">
            <w:pPr>
              <w:pStyle w:val="NoSpacing"/>
              <w:rPr>
                <w:rFonts w:cs="Times New Roman"/>
                <w:sz w:val="22"/>
              </w:rPr>
            </w:pPr>
            <w:r w:rsidRPr="00E97696">
              <w:rPr>
                <w:rFonts w:cs="Times New Roman"/>
                <w:sz w:val="22"/>
              </w:rPr>
              <w:t>Internal controls</w:t>
            </w:r>
          </w:p>
        </w:tc>
        <w:tc>
          <w:tcPr>
            <w:tcW w:w="1652" w:type="dxa"/>
            <w:shd w:val="clear" w:color="auto" w:fill="auto"/>
            <w:noWrap/>
            <w:vAlign w:val="bottom"/>
            <w:hideMark/>
          </w:tcPr>
          <w:p w14:paraId="61C35CAD"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1EC7487E" w14:textId="77777777" w:rsidR="0092047F" w:rsidRPr="00E97696" w:rsidRDefault="0092047F" w:rsidP="00E97696">
            <w:pPr>
              <w:pStyle w:val="NoSpacing"/>
              <w:jc w:val="center"/>
              <w:rPr>
                <w:rFonts w:cs="Times New Roman"/>
                <w:sz w:val="22"/>
              </w:rPr>
            </w:pPr>
            <w:r w:rsidRPr="00E97696">
              <w:rPr>
                <w:rFonts w:cs="Times New Roman"/>
                <w:sz w:val="22"/>
              </w:rPr>
              <w:t>9.88</w:t>
            </w:r>
          </w:p>
        </w:tc>
        <w:tc>
          <w:tcPr>
            <w:tcW w:w="1141" w:type="dxa"/>
            <w:tcBorders>
              <w:top w:val="nil"/>
              <w:left w:val="nil"/>
              <w:bottom w:val="nil"/>
              <w:right w:val="nil"/>
            </w:tcBorders>
            <w:shd w:val="clear" w:color="auto" w:fill="auto"/>
            <w:noWrap/>
            <w:vAlign w:val="bottom"/>
            <w:hideMark/>
          </w:tcPr>
          <w:p w14:paraId="5E34D5F9" w14:textId="77777777" w:rsidR="0092047F" w:rsidRPr="00E97696" w:rsidRDefault="0092047F" w:rsidP="00E97696">
            <w:pPr>
              <w:pStyle w:val="NoSpacing"/>
              <w:jc w:val="center"/>
              <w:rPr>
                <w:rFonts w:cs="Times New Roman"/>
                <w:sz w:val="22"/>
              </w:rPr>
            </w:pPr>
            <w:r w:rsidRPr="00E97696">
              <w:rPr>
                <w:rFonts w:cs="Times New Roman"/>
                <w:sz w:val="22"/>
              </w:rPr>
              <w:t>2.57</w:t>
            </w:r>
          </w:p>
        </w:tc>
        <w:tc>
          <w:tcPr>
            <w:tcW w:w="1053" w:type="dxa"/>
            <w:tcBorders>
              <w:top w:val="nil"/>
              <w:left w:val="nil"/>
              <w:bottom w:val="nil"/>
              <w:right w:val="nil"/>
            </w:tcBorders>
            <w:shd w:val="clear" w:color="auto" w:fill="auto"/>
            <w:noWrap/>
            <w:vAlign w:val="bottom"/>
            <w:hideMark/>
          </w:tcPr>
          <w:p w14:paraId="2C01A73F" w14:textId="77777777" w:rsidR="0092047F" w:rsidRPr="00E97696" w:rsidRDefault="0092047F" w:rsidP="00E97696">
            <w:pPr>
              <w:pStyle w:val="NoSpacing"/>
              <w:jc w:val="center"/>
              <w:rPr>
                <w:rFonts w:cs="Times New Roman"/>
                <w:sz w:val="22"/>
              </w:rPr>
            </w:pPr>
            <w:r w:rsidRPr="00E97696">
              <w:rPr>
                <w:rFonts w:cs="Times New Roman"/>
                <w:sz w:val="22"/>
              </w:rPr>
              <w:t>0.00</w:t>
            </w:r>
          </w:p>
        </w:tc>
        <w:tc>
          <w:tcPr>
            <w:tcW w:w="1234" w:type="dxa"/>
            <w:tcBorders>
              <w:top w:val="nil"/>
              <w:left w:val="nil"/>
              <w:bottom w:val="nil"/>
              <w:right w:val="nil"/>
            </w:tcBorders>
            <w:shd w:val="clear" w:color="auto" w:fill="auto"/>
            <w:noWrap/>
            <w:vAlign w:val="bottom"/>
            <w:hideMark/>
          </w:tcPr>
          <w:p w14:paraId="5679E40B" w14:textId="77777777" w:rsidR="0092047F" w:rsidRPr="00E97696" w:rsidRDefault="0092047F" w:rsidP="00E97696">
            <w:pPr>
              <w:pStyle w:val="NoSpacing"/>
              <w:jc w:val="center"/>
              <w:rPr>
                <w:rFonts w:cs="Times New Roman"/>
                <w:sz w:val="22"/>
              </w:rPr>
            </w:pPr>
            <w:r w:rsidRPr="00E97696">
              <w:rPr>
                <w:rFonts w:cs="Times New Roman"/>
                <w:sz w:val="22"/>
              </w:rPr>
              <w:t>14.00</w:t>
            </w:r>
          </w:p>
        </w:tc>
      </w:tr>
      <w:tr w:rsidR="0092047F" w:rsidRPr="00E97696" w14:paraId="361C45FC" w14:textId="77777777" w:rsidTr="0092047F">
        <w:trPr>
          <w:trHeight w:val="259"/>
        </w:trPr>
        <w:tc>
          <w:tcPr>
            <w:tcW w:w="3282" w:type="dxa"/>
            <w:shd w:val="clear" w:color="auto" w:fill="auto"/>
            <w:noWrap/>
            <w:vAlign w:val="bottom"/>
          </w:tcPr>
          <w:p w14:paraId="14DD2FB8" w14:textId="77777777" w:rsidR="0092047F" w:rsidRPr="00E97696" w:rsidRDefault="0092047F" w:rsidP="0092047F">
            <w:pPr>
              <w:pStyle w:val="NoSpacing"/>
              <w:rPr>
                <w:rFonts w:cs="Times New Roman"/>
                <w:sz w:val="22"/>
              </w:rPr>
            </w:pPr>
            <w:r w:rsidRPr="00E97696">
              <w:rPr>
                <w:rFonts w:cs="Times New Roman"/>
                <w:sz w:val="22"/>
              </w:rPr>
              <w:t>Board size</w:t>
            </w:r>
          </w:p>
        </w:tc>
        <w:tc>
          <w:tcPr>
            <w:tcW w:w="1652" w:type="dxa"/>
            <w:shd w:val="clear" w:color="auto" w:fill="auto"/>
            <w:noWrap/>
            <w:vAlign w:val="bottom"/>
          </w:tcPr>
          <w:p w14:paraId="047C6862"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tcPr>
          <w:p w14:paraId="33BD3678" w14:textId="77777777" w:rsidR="0092047F" w:rsidRPr="00E97696" w:rsidRDefault="0092047F" w:rsidP="00E97696">
            <w:pPr>
              <w:pStyle w:val="NoSpacing"/>
              <w:jc w:val="center"/>
              <w:rPr>
                <w:rFonts w:cs="Times New Roman"/>
                <w:sz w:val="22"/>
              </w:rPr>
            </w:pPr>
            <w:r w:rsidRPr="00E97696">
              <w:rPr>
                <w:rFonts w:cs="Times New Roman"/>
                <w:sz w:val="22"/>
              </w:rPr>
              <w:t>8.18</w:t>
            </w:r>
          </w:p>
        </w:tc>
        <w:tc>
          <w:tcPr>
            <w:tcW w:w="1141" w:type="dxa"/>
            <w:tcBorders>
              <w:top w:val="nil"/>
              <w:left w:val="nil"/>
              <w:bottom w:val="nil"/>
              <w:right w:val="nil"/>
            </w:tcBorders>
            <w:shd w:val="clear" w:color="auto" w:fill="auto"/>
            <w:noWrap/>
            <w:vAlign w:val="bottom"/>
          </w:tcPr>
          <w:p w14:paraId="7CDF5C47" w14:textId="77777777" w:rsidR="0092047F" w:rsidRPr="00E97696" w:rsidRDefault="0092047F" w:rsidP="00E97696">
            <w:pPr>
              <w:pStyle w:val="NoSpacing"/>
              <w:jc w:val="center"/>
              <w:rPr>
                <w:rFonts w:cs="Times New Roman"/>
                <w:sz w:val="22"/>
              </w:rPr>
            </w:pPr>
            <w:r w:rsidRPr="00E97696">
              <w:rPr>
                <w:rFonts w:cs="Times New Roman"/>
                <w:sz w:val="22"/>
              </w:rPr>
              <w:t>2.95</w:t>
            </w:r>
          </w:p>
        </w:tc>
        <w:tc>
          <w:tcPr>
            <w:tcW w:w="1053" w:type="dxa"/>
            <w:tcBorders>
              <w:top w:val="nil"/>
              <w:left w:val="nil"/>
              <w:bottom w:val="nil"/>
              <w:right w:val="nil"/>
            </w:tcBorders>
            <w:shd w:val="clear" w:color="auto" w:fill="auto"/>
            <w:noWrap/>
            <w:vAlign w:val="bottom"/>
          </w:tcPr>
          <w:p w14:paraId="1FE402F6" w14:textId="77777777" w:rsidR="0092047F" w:rsidRPr="00E97696" w:rsidRDefault="0092047F" w:rsidP="00E97696">
            <w:pPr>
              <w:pStyle w:val="NoSpacing"/>
              <w:jc w:val="center"/>
              <w:rPr>
                <w:rFonts w:cs="Times New Roman"/>
                <w:sz w:val="22"/>
              </w:rPr>
            </w:pPr>
            <w:r w:rsidRPr="00E97696">
              <w:rPr>
                <w:rFonts w:cs="Times New Roman"/>
                <w:sz w:val="22"/>
              </w:rPr>
              <w:t>3.00</w:t>
            </w:r>
          </w:p>
        </w:tc>
        <w:tc>
          <w:tcPr>
            <w:tcW w:w="1234" w:type="dxa"/>
            <w:tcBorders>
              <w:top w:val="nil"/>
              <w:left w:val="nil"/>
              <w:bottom w:val="nil"/>
              <w:right w:val="nil"/>
            </w:tcBorders>
            <w:shd w:val="clear" w:color="auto" w:fill="auto"/>
            <w:noWrap/>
            <w:vAlign w:val="bottom"/>
          </w:tcPr>
          <w:p w14:paraId="095251E4" w14:textId="77777777" w:rsidR="0092047F" w:rsidRPr="00E97696" w:rsidRDefault="0092047F" w:rsidP="00E97696">
            <w:pPr>
              <w:pStyle w:val="NoSpacing"/>
              <w:jc w:val="center"/>
              <w:rPr>
                <w:rFonts w:cs="Times New Roman"/>
                <w:sz w:val="22"/>
              </w:rPr>
            </w:pPr>
            <w:r w:rsidRPr="00E97696">
              <w:rPr>
                <w:rFonts w:cs="Times New Roman"/>
                <w:sz w:val="22"/>
              </w:rPr>
              <w:t>20.00</w:t>
            </w:r>
          </w:p>
        </w:tc>
      </w:tr>
      <w:tr w:rsidR="0092047F" w:rsidRPr="00E97696" w14:paraId="66682601" w14:textId="77777777" w:rsidTr="0092047F">
        <w:trPr>
          <w:trHeight w:val="259"/>
        </w:trPr>
        <w:tc>
          <w:tcPr>
            <w:tcW w:w="3282" w:type="dxa"/>
            <w:shd w:val="clear" w:color="auto" w:fill="auto"/>
            <w:noWrap/>
            <w:vAlign w:val="bottom"/>
            <w:hideMark/>
          </w:tcPr>
          <w:p w14:paraId="75B5AA30" w14:textId="77777777" w:rsidR="0092047F" w:rsidRPr="00E97696" w:rsidRDefault="0092047F" w:rsidP="0092047F">
            <w:pPr>
              <w:pStyle w:val="NoSpacing"/>
              <w:rPr>
                <w:rFonts w:cs="Times New Roman"/>
                <w:sz w:val="22"/>
              </w:rPr>
            </w:pPr>
            <w:r w:rsidRPr="00E97696">
              <w:rPr>
                <w:rFonts w:cs="Times New Roman"/>
                <w:sz w:val="22"/>
              </w:rPr>
              <w:t>Beta</w:t>
            </w:r>
          </w:p>
        </w:tc>
        <w:tc>
          <w:tcPr>
            <w:tcW w:w="1652" w:type="dxa"/>
            <w:shd w:val="clear" w:color="auto" w:fill="auto"/>
            <w:noWrap/>
            <w:vAlign w:val="bottom"/>
            <w:hideMark/>
          </w:tcPr>
          <w:p w14:paraId="554EE4E1"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4EAF65E0" w14:textId="77777777" w:rsidR="0092047F" w:rsidRPr="00E97696" w:rsidRDefault="0092047F" w:rsidP="00E97696">
            <w:pPr>
              <w:pStyle w:val="NoSpacing"/>
              <w:jc w:val="center"/>
              <w:rPr>
                <w:rFonts w:cs="Times New Roman"/>
                <w:sz w:val="22"/>
              </w:rPr>
            </w:pPr>
            <w:r w:rsidRPr="00E97696">
              <w:rPr>
                <w:rFonts w:cs="Times New Roman"/>
                <w:sz w:val="22"/>
              </w:rPr>
              <w:t>1.06</w:t>
            </w:r>
          </w:p>
        </w:tc>
        <w:tc>
          <w:tcPr>
            <w:tcW w:w="1141" w:type="dxa"/>
            <w:tcBorders>
              <w:top w:val="nil"/>
              <w:left w:val="nil"/>
              <w:bottom w:val="nil"/>
              <w:right w:val="nil"/>
            </w:tcBorders>
            <w:shd w:val="clear" w:color="auto" w:fill="auto"/>
            <w:noWrap/>
            <w:vAlign w:val="bottom"/>
            <w:hideMark/>
          </w:tcPr>
          <w:p w14:paraId="39E42FEC" w14:textId="77777777" w:rsidR="0092047F" w:rsidRPr="00E97696" w:rsidRDefault="0092047F" w:rsidP="00E97696">
            <w:pPr>
              <w:pStyle w:val="NoSpacing"/>
              <w:jc w:val="center"/>
              <w:rPr>
                <w:rFonts w:cs="Times New Roman"/>
                <w:sz w:val="22"/>
              </w:rPr>
            </w:pPr>
            <w:r w:rsidRPr="00E97696">
              <w:rPr>
                <w:rFonts w:cs="Times New Roman"/>
                <w:sz w:val="22"/>
              </w:rPr>
              <w:t>0.45</w:t>
            </w:r>
          </w:p>
        </w:tc>
        <w:tc>
          <w:tcPr>
            <w:tcW w:w="1053" w:type="dxa"/>
            <w:tcBorders>
              <w:top w:val="nil"/>
              <w:left w:val="nil"/>
              <w:bottom w:val="nil"/>
              <w:right w:val="nil"/>
            </w:tcBorders>
            <w:shd w:val="clear" w:color="auto" w:fill="auto"/>
            <w:noWrap/>
            <w:vAlign w:val="bottom"/>
            <w:hideMark/>
          </w:tcPr>
          <w:p w14:paraId="020F39A5" w14:textId="77777777" w:rsidR="0092047F" w:rsidRPr="00E97696" w:rsidRDefault="0092047F" w:rsidP="00E97696">
            <w:pPr>
              <w:pStyle w:val="NoSpacing"/>
              <w:jc w:val="center"/>
              <w:rPr>
                <w:rFonts w:cs="Times New Roman"/>
                <w:sz w:val="22"/>
              </w:rPr>
            </w:pPr>
            <w:r w:rsidRPr="00E97696">
              <w:rPr>
                <w:rFonts w:cs="Times New Roman"/>
                <w:sz w:val="22"/>
              </w:rPr>
              <w:t>0.30</w:t>
            </w:r>
          </w:p>
        </w:tc>
        <w:tc>
          <w:tcPr>
            <w:tcW w:w="1234" w:type="dxa"/>
            <w:tcBorders>
              <w:top w:val="nil"/>
              <w:left w:val="nil"/>
              <w:bottom w:val="nil"/>
              <w:right w:val="nil"/>
            </w:tcBorders>
            <w:shd w:val="clear" w:color="auto" w:fill="auto"/>
            <w:noWrap/>
            <w:vAlign w:val="bottom"/>
            <w:hideMark/>
          </w:tcPr>
          <w:p w14:paraId="1D23184E" w14:textId="77777777" w:rsidR="0092047F" w:rsidRPr="00E97696" w:rsidRDefault="0092047F" w:rsidP="00E97696">
            <w:pPr>
              <w:pStyle w:val="NoSpacing"/>
              <w:jc w:val="center"/>
              <w:rPr>
                <w:rFonts w:cs="Times New Roman"/>
                <w:sz w:val="22"/>
              </w:rPr>
            </w:pPr>
            <w:r w:rsidRPr="00E97696">
              <w:rPr>
                <w:rFonts w:cs="Times New Roman"/>
                <w:sz w:val="22"/>
              </w:rPr>
              <w:t>2.30</w:t>
            </w:r>
          </w:p>
        </w:tc>
      </w:tr>
      <w:tr w:rsidR="0092047F" w:rsidRPr="00E97696" w14:paraId="51B6EEDD" w14:textId="77777777" w:rsidTr="0092047F">
        <w:trPr>
          <w:trHeight w:val="259"/>
        </w:trPr>
        <w:tc>
          <w:tcPr>
            <w:tcW w:w="3282" w:type="dxa"/>
            <w:shd w:val="clear" w:color="auto" w:fill="auto"/>
            <w:noWrap/>
            <w:vAlign w:val="bottom"/>
            <w:hideMark/>
          </w:tcPr>
          <w:p w14:paraId="4486D1A6" w14:textId="77777777" w:rsidR="0092047F" w:rsidRPr="00E97696" w:rsidRDefault="0092047F" w:rsidP="0092047F">
            <w:pPr>
              <w:pStyle w:val="NoSpacing"/>
              <w:rPr>
                <w:rFonts w:cs="Times New Roman"/>
                <w:sz w:val="22"/>
              </w:rPr>
            </w:pPr>
            <w:r w:rsidRPr="00E97696">
              <w:rPr>
                <w:rFonts w:cs="Times New Roman"/>
                <w:sz w:val="22"/>
              </w:rPr>
              <w:t>Liquidity</w:t>
            </w:r>
          </w:p>
        </w:tc>
        <w:tc>
          <w:tcPr>
            <w:tcW w:w="1652" w:type="dxa"/>
            <w:shd w:val="clear" w:color="auto" w:fill="auto"/>
            <w:noWrap/>
            <w:vAlign w:val="bottom"/>
            <w:hideMark/>
          </w:tcPr>
          <w:p w14:paraId="0325AC9E"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575BDEAC" w14:textId="77777777" w:rsidR="0092047F" w:rsidRPr="00E97696" w:rsidRDefault="0092047F" w:rsidP="00E97696">
            <w:pPr>
              <w:pStyle w:val="NoSpacing"/>
              <w:jc w:val="center"/>
              <w:rPr>
                <w:rFonts w:cs="Times New Roman"/>
                <w:sz w:val="22"/>
              </w:rPr>
            </w:pPr>
            <w:r w:rsidRPr="00E97696">
              <w:rPr>
                <w:rFonts w:cs="Times New Roman"/>
                <w:sz w:val="22"/>
              </w:rPr>
              <w:t>1.79</w:t>
            </w:r>
          </w:p>
        </w:tc>
        <w:tc>
          <w:tcPr>
            <w:tcW w:w="1141" w:type="dxa"/>
            <w:tcBorders>
              <w:top w:val="nil"/>
              <w:left w:val="nil"/>
              <w:bottom w:val="nil"/>
              <w:right w:val="nil"/>
            </w:tcBorders>
            <w:shd w:val="clear" w:color="auto" w:fill="auto"/>
            <w:noWrap/>
            <w:vAlign w:val="bottom"/>
            <w:hideMark/>
          </w:tcPr>
          <w:p w14:paraId="7A7A4BF1" w14:textId="77777777" w:rsidR="0092047F" w:rsidRPr="00E97696" w:rsidRDefault="0092047F" w:rsidP="00E97696">
            <w:pPr>
              <w:pStyle w:val="NoSpacing"/>
              <w:jc w:val="center"/>
              <w:rPr>
                <w:rFonts w:cs="Times New Roman"/>
                <w:sz w:val="22"/>
              </w:rPr>
            </w:pPr>
            <w:r w:rsidRPr="00E97696">
              <w:rPr>
                <w:rFonts w:cs="Times New Roman"/>
                <w:sz w:val="22"/>
              </w:rPr>
              <w:t>1.48</w:t>
            </w:r>
          </w:p>
        </w:tc>
        <w:tc>
          <w:tcPr>
            <w:tcW w:w="1053" w:type="dxa"/>
            <w:tcBorders>
              <w:top w:val="nil"/>
              <w:left w:val="nil"/>
              <w:bottom w:val="nil"/>
              <w:right w:val="nil"/>
            </w:tcBorders>
            <w:shd w:val="clear" w:color="auto" w:fill="auto"/>
            <w:noWrap/>
            <w:vAlign w:val="bottom"/>
            <w:hideMark/>
          </w:tcPr>
          <w:p w14:paraId="40C05D21" w14:textId="77777777" w:rsidR="0092047F" w:rsidRPr="00E97696" w:rsidRDefault="0092047F" w:rsidP="00E97696">
            <w:pPr>
              <w:pStyle w:val="NoSpacing"/>
              <w:jc w:val="center"/>
              <w:rPr>
                <w:rFonts w:cs="Times New Roman"/>
                <w:sz w:val="22"/>
              </w:rPr>
            </w:pPr>
            <w:r w:rsidRPr="00E97696">
              <w:rPr>
                <w:rFonts w:cs="Times New Roman"/>
                <w:sz w:val="22"/>
              </w:rPr>
              <w:t>0.31</w:t>
            </w:r>
          </w:p>
        </w:tc>
        <w:tc>
          <w:tcPr>
            <w:tcW w:w="1234" w:type="dxa"/>
            <w:tcBorders>
              <w:top w:val="nil"/>
              <w:left w:val="nil"/>
              <w:bottom w:val="nil"/>
              <w:right w:val="nil"/>
            </w:tcBorders>
            <w:shd w:val="clear" w:color="auto" w:fill="auto"/>
            <w:noWrap/>
            <w:vAlign w:val="bottom"/>
            <w:hideMark/>
          </w:tcPr>
          <w:p w14:paraId="2EC18924" w14:textId="77777777" w:rsidR="0092047F" w:rsidRPr="00E97696" w:rsidRDefault="0092047F" w:rsidP="00E97696">
            <w:pPr>
              <w:pStyle w:val="NoSpacing"/>
              <w:jc w:val="center"/>
              <w:rPr>
                <w:rFonts w:cs="Times New Roman"/>
                <w:sz w:val="22"/>
              </w:rPr>
            </w:pPr>
            <w:r w:rsidRPr="00E97696">
              <w:rPr>
                <w:rFonts w:cs="Times New Roman"/>
                <w:sz w:val="22"/>
              </w:rPr>
              <w:t>4.83</w:t>
            </w:r>
          </w:p>
        </w:tc>
      </w:tr>
      <w:tr w:rsidR="0092047F" w:rsidRPr="00E97696" w14:paraId="3C74354B" w14:textId="77777777" w:rsidTr="0092047F">
        <w:trPr>
          <w:trHeight w:val="259"/>
        </w:trPr>
        <w:tc>
          <w:tcPr>
            <w:tcW w:w="3282" w:type="dxa"/>
            <w:shd w:val="clear" w:color="auto" w:fill="auto"/>
            <w:noWrap/>
            <w:vAlign w:val="bottom"/>
            <w:hideMark/>
          </w:tcPr>
          <w:p w14:paraId="71F66461" w14:textId="77777777" w:rsidR="0092047F" w:rsidRPr="00E97696" w:rsidRDefault="0092047F" w:rsidP="0092047F">
            <w:pPr>
              <w:pStyle w:val="NoSpacing"/>
              <w:rPr>
                <w:rFonts w:cs="Times New Roman"/>
                <w:sz w:val="22"/>
              </w:rPr>
            </w:pPr>
            <w:r w:rsidRPr="00E97696">
              <w:rPr>
                <w:rFonts w:cs="Times New Roman"/>
                <w:sz w:val="22"/>
              </w:rPr>
              <w:t>Leverage (%)</w:t>
            </w:r>
          </w:p>
        </w:tc>
        <w:tc>
          <w:tcPr>
            <w:tcW w:w="1652" w:type="dxa"/>
            <w:tcBorders>
              <w:bottom w:val="nil"/>
            </w:tcBorders>
            <w:shd w:val="clear" w:color="auto" w:fill="auto"/>
            <w:noWrap/>
            <w:vAlign w:val="bottom"/>
            <w:hideMark/>
          </w:tcPr>
          <w:p w14:paraId="1475E41D"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09BCDE37" w14:textId="77777777" w:rsidR="0092047F" w:rsidRPr="00E97696" w:rsidRDefault="0092047F" w:rsidP="00E97696">
            <w:pPr>
              <w:pStyle w:val="NoSpacing"/>
              <w:jc w:val="center"/>
              <w:rPr>
                <w:rFonts w:cs="Times New Roman"/>
                <w:sz w:val="22"/>
              </w:rPr>
            </w:pPr>
            <w:r w:rsidRPr="00E97696">
              <w:rPr>
                <w:rFonts w:cs="Times New Roman"/>
                <w:sz w:val="22"/>
              </w:rPr>
              <w:t>20.65</w:t>
            </w:r>
          </w:p>
        </w:tc>
        <w:tc>
          <w:tcPr>
            <w:tcW w:w="1141" w:type="dxa"/>
            <w:tcBorders>
              <w:top w:val="nil"/>
              <w:left w:val="nil"/>
              <w:bottom w:val="nil"/>
              <w:right w:val="nil"/>
            </w:tcBorders>
            <w:shd w:val="clear" w:color="auto" w:fill="auto"/>
            <w:noWrap/>
            <w:vAlign w:val="bottom"/>
            <w:hideMark/>
          </w:tcPr>
          <w:p w14:paraId="2DA5A7DE" w14:textId="77777777" w:rsidR="0092047F" w:rsidRPr="00E97696" w:rsidRDefault="0092047F" w:rsidP="00E97696">
            <w:pPr>
              <w:pStyle w:val="NoSpacing"/>
              <w:jc w:val="center"/>
              <w:rPr>
                <w:rFonts w:cs="Times New Roman"/>
                <w:sz w:val="22"/>
              </w:rPr>
            </w:pPr>
            <w:r w:rsidRPr="00E97696">
              <w:rPr>
                <w:rFonts w:cs="Times New Roman"/>
                <w:sz w:val="22"/>
              </w:rPr>
              <w:t>18.63</w:t>
            </w:r>
          </w:p>
        </w:tc>
        <w:tc>
          <w:tcPr>
            <w:tcW w:w="1053" w:type="dxa"/>
            <w:tcBorders>
              <w:top w:val="nil"/>
              <w:left w:val="nil"/>
              <w:bottom w:val="nil"/>
              <w:right w:val="nil"/>
            </w:tcBorders>
            <w:shd w:val="clear" w:color="auto" w:fill="auto"/>
            <w:noWrap/>
            <w:vAlign w:val="bottom"/>
            <w:hideMark/>
          </w:tcPr>
          <w:p w14:paraId="4725B8DA" w14:textId="77777777" w:rsidR="0092047F" w:rsidRPr="00E97696" w:rsidRDefault="0092047F" w:rsidP="00E97696">
            <w:pPr>
              <w:pStyle w:val="NoSpacing"/>
              <w:jc w:val="center"/>
              <w:rPr>
                <w:rFonts w:cs="Times New Roman"/>
                <w:sz w:val="22"/>
              </w:rPr>
            </w:pPr>
            <w:r w:rsidRPr="00E97696">
              <w:rPr>
                <w:rFonts w:cs="Times New Roman"/>
                <w:sz w:val="22"/>
              </w:rPr>
              <w:t>0.00</w:t>
            </w:r>
          </w:p>
        </w:tc>
        <w:tc>
          <w:tcPr>
            <w:tcW w:w="1234" w:type="dxa"/>
            <w:tcBorders>
              <w:top w:val="nil"/>
              <w:left w:val="nil"/>
              <w:bottom w:val="nil"/>
              <w:right w:val="nil"/>
            </w:tcBorders>
            <w:shd w:val="clear" w:color="auto" w:fill="auto"/>
            <w:noWrap/>
            <w:vAlign w:val="bottom"/>
            <w:hideMark/>
          </w:tcPr>
          <w:p w14:paraId="0D316ECC" w14:textId="77777777" w:rsidR="0092047F" w:rsidRPr="00E97696" w:rsidRDefault="0092047F" w:rsidP="00E97696">
            <w:pPr>
              <w:pStyle w:val="NoSpacing"/>
              <w:jc w:val="center"/>
              <w:rPr>
                <w:rFonts w:cs="Times New Roman"/>
                <w:sz w:val="22"/>
              </w:rPr>
            </w:pPr>
            <w:r w:rsidRPr="00E97696">
              <w:rPr>
                <w:rFonts w:cs="Times New Roman"/>
                <w:sz w:val="22"/>
              </w:rPr>
              <w:t>63.06</w:t>
            </w:r>
          </w:p>
        </w:tc>
      </w:tr>
      <w:tr w:rsidR="0092047F" w:rsidRPr="00E97696" w14:paraId="5DB79D2B" w14:textId="77777777" w:rsidTr="0092047F">
        <w:trPr>
          <w:trHeight w:val="259"/>
        </w:trPr>
        <w:tc>
          <w:tcPr>
            <w:tcW w:w="3282" w:type="dxa"/>
            <w:shd w:val="clear" w:color="auto" w:fill="auto"/>
            <w:noWrap/>
            <w:vAlign w:val="bottom"/>
            <w:hideMark/>
          </w:tcPr>
          <w:p w14:paraId="512D4607" w14:textId="77777777" w:rsidR="0092047F" w:rsidRPr="00E97696" w:rsidRDefault="0092047F" w:rsidP="0092047F">
            <w:pPr>
              <w:pStyle w:val="NoSpacing"/>
              <w:rPr>
                <w:rFonts w:cs="Times New Roman"/>
                <w:sz w:val="22"/>
              </w:rPr>
            </w:pPr>
            <w:r w:rsidRPr="00E97696">
              <w:rPr>
                <w:rFonts w:cs="Times New Roman"/>
                <w:sz w:val="22"/>
              </w:rPr>
              <w:t>Firm size</w:t>
            </w:r>
          </w:p>
        </w:tc>
        <w:tc>
          <w:tcPr>
            <w:tcW w:w="1652" w:type="dxa"/>
            <w:tcBorders>
              <w:top w:val="nil"/>
              <w:bottom w:val="nil"/>
            </w:tcBorders>
            <w:shd w:val="clear" w:color="auto" w:fill="auto"/>
            <w:noWrap/>
            <w:vAlign w:val="bottom"/>
            <w:hideMark/>
          </w:tcPr>
          <w:p w14:paraId="50E454D5"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nil"/>
              <w:right w:val="nil"/>
            </w:tcBorders>
            <w:shd w:val="clear" w:color="auto" w:fill="auto"/>
            <w:noWrap/>
            <w:vAlign w:val="bottom"/>
            <w:hideMark/>
          </w:tcPr>
          <w:p w14:paraId="6297447F" w14:textId="77777777" w:rsidR="0092047F" w:rsidRPr="00E97696" w:rsidRDefault="0092047F" w:rsidP="00E97696">
            <w:pPr>
              <w:pStyle w:val="NoSpacing"/>
              <w:jc w:val="center"/>
              <w:rPr>
                <w:rFonts w:cs="Times New Roman"/>
                <w:sz w:val="22"/>
              </w:rPr>
            </w:pPr>
            <w:r w:rsidRPr="00E97696">
              <w:rPr>
                <w:rFonts w:cs="Times New Roman"/>
                <w:sz w:val="22"/>
              </w:rPr>
              <w:t>2.48</w:t>
            </w:r>
          </w:p>
        </w:tc>
        <w:tc>
          <w:tcPr>
            <w:tcW w:w="1141" w:type="dxa"/>
            <w:tcBorders>
              <w:top w:val="nil"/>
              <w:left w:val="nil"/>
              <w:bottom w:val="nil"/>
              <w:right w:val="nil"/>
            </w:tcBorders>
            <w:shd w:val="clear" w:color="auto" w:fill="auto"/>
            <w:noWrap/>
            <w:vAlign w:val="bottom"/>
            <w:hideMark/>
          </w:tcPr>
          <w:p w14:paraId="602BA329" w14:textId="77777777" w:rsidR="0092047F" w:rsidRPr="00E97696" w:rsidRDefault="0092047F" w:rsidP="00E97696">
            <w:pPr>
              <w:pStyle w:val="NoSpacing"/>
              <w:jc w:val="center"/>
              <w:rPr>
                <w:rFonts w:cs="Times New Roman"/>
                <w:sz w:val="22"/>
              </w:rPr>
            </w:pPr>
            <w:r w:rsidRPr="00E97696">
              <w:rPr>
                <w:rFonts w:cs="Times New Roman"/>
                <w:sz w:val="22"/>
              </w:rPr>
              <w:t>6.02</w:t>
            </w:r>
          </w:p>
        </w:tc>
        <w:tc>
          <w:tcPr>
            <w:tcW w:w="1053" w:type="dxa"/>
            <w:tcBorders>
              <w:top w:val="nil"/>
              <w:left w:val="nil"/>
              <w:bottom w:val="nil"/>
              <w:right w:val="nil"/>
            </w:tcBorders>
            <w:shd w:val="clear" w:color="auto" w:fill="auto"/>
            <w:noWrap/>
            <w:vAlign w:val="bottom"/>
            <w:hideMark/>
          </w:tcPr>
          <w:p w14:paraId="051F52BC" w14:textId="77777777" w:rsidR="0092047F" w:rsidRPr="00E97696" w:rsidRDefault="0092047F" w:rsidP="00E97696">
            <w:pPr>
              <w:pStyle w:val="NoSpacing"/>
              <w:jc w:val="center"/>
              <w:rPr>
                <w:rFonts w:cs="Times New Roman"/>
                <w:sz w:val="22"/>
              </w:rPr>
            </w:pPr>
            <w:r w:rsidRPr="00E97696">
              <w:rPr>
                <w:rFonts w:cs="Times New Roman"/>
                <w:sz w:val="22"/>
              </w:rPr>
              <w:t>0.02</w:t>
            </w:r>
          </w:p>
        </w:tc>
        <w:tc>
          <w:tcPr>
            <w:tcW w:w="1234" w:type="dxa"/>
            <w:tcBorders>
              <w:top w:val="nil"/>
              <w:left w:val="nil"/>
              <w:bottom w:val="nil"/>
              <w:right w:val="nil"/>
            </w:tcBorders>
            <w:shd w:val="clear" w:color="auto" w:fill="auto"/>
            <w:noWrap/>
            <w:vAlign w:val="bottom"/>
            <w:hideMark/>
          </w:tcPr>
          <w:p w14:paraId="1DB5ACEC" w14:textId="77777777" w:rsidR="0092047F" w:rsidRPr="00E97696" w:rsidRDefault="0092047F" w:rsidP="00E97696">
            <w:pPr>
              <w:pStyle w:val="NoSpacing"/>
              <w:jc w:val="center"/>
              <w:rPr>
                <w:rFonts w:cs="Times New Roman"/>
                <w:sz w:val="22"/>
              </w:rPr>
            </w:pPr>
            <w:r w:rsidRPr="00E97696">
              <w:rPr>
                <w:rFonts w:cs="Times New Roman"/>
                <w:sz w:val="22"/>
              </w:rPr>
              <w:t>21.27</w:t>
            </w:r>
          </w:p>
        </w:tc>
      </w:tr>
      <w:tr w:rsidR="0092047F" w:rsidRPr="00E97696" w14:paraId="639D4D74" w14:textId="77777777" w:rsidTr="0092047F">
        <w:trPr>
          <w:trHeight w:val="259"/>
        </w:trPr>
        <w:tc>
          <w:tcPr>
            <w:tcW w:w="3282" w:type="dxa"/>
            <w:shd w:val="clear" w:color="auto" w:fill="auto"/>
            <w:noWrap/>
            <w:vAlign w:val="bottom"/>
            <w:hideMark/>
          </w:tcPr>
          <w:p w14:paraId="681566BE" w14:textId="77777777" w:rsidR="0092047F" w:rsidRPr="00E97696" w:rsidRDefault="0092047F" w:rsidP="0092047F">
            <w:pPr>
              <w:pStyle w:val="NoSpacing"/>
              <w:rPr>
                <w:rFonts w:cs="Times New Roman"/>
                <w:sz w:val="22"/>
              </w:rPr>
            </w:pPr>
            <w:r w:rsidRPr="00E97696">
              <w:rPr>
                <w:rFonts w:cs="Times New Roman"/>
                <w:sz w:val="22"/>
              </w:rPr>
              <w:t>Capital (%)</w:t>
            </w:r>
          </w:p>
        </w:tc>
        <w:tc>
          <w:tcPr>
            <w:tcW w:w="1652" w:type="dxa"/>
            <w:tcBorders>
              <w:top w:val="nil"/>
              <w:bottom w:val="single" w:sz="4" w:space="0" w:color="auto"/>
            </w:tcBorders>
            <w:shd w:val="clear" w:color="auto" w:fill="auto"/>
            <w:noWrap/>
            <w:vAlign w:val="bottom"/>
            <w:hideMark/>
          </w:tcPr>
          <w:p w14:paraId="181364FC" w14:textId="77777777" w:rsidR="0092047F" w:rsidRPr="00E97696" w:rsidRDefault="0092047F" w:rsidP="00E97696">
            <w:pPr>
              <w:pStyle w:val="NoSpacing"/>
              <w:jc w:val="center"/>
              <w:rPr>
                <w:rFonts w:cs="Times New Roman"/>
                <w:sz w:val="22"/>
              </w:rPr>
            </w:pPr>
            <w:r w:rsidRPr="00E97696">
              <w:rPr>
                <w:rFonts w:cs="Times New Roman"/>
                <w:sz w:val="22"/>
              </w:rPr>
              <w:t>679</w:t>
            </w:r>
          </w:p>
        </w:tc>
        <w:tc>
          <w:tcPr>
            <w:tcW w:w="1177" w:type="dxa"/>
            <w:tcBorders>
              <w:top w:val="nil"/>
              <w:left w:val="nil"/>
              <w:bottom w:val="single" w:sz="4" w:space="0" w:color="auto"/>
              <w:right w:val="nil"/>
            </w:tcBorders>
            <w:shd w:val="clear" w:color="auto" w:fill="auto"/>
            <w:noWrap/>
            <w:vAlign w:val="bottom"/>
            <w:hideMark/>
          </w:tcPr>
          <w:p w14:paraId="3B15E8D8" w14:textId="77777777" w:rsidR="0092047F" w:rsidRPr="00E97696" w:rsidRDefault="0092047F" w:rsidP="00E97696">
            <w:pPr>
              <w:pStyle w:val="NoSpacing"/>
              <w:jc w:val="center"/>
              <w:rPr>
                <w:rFonts w:cs="Times New Roman"/>
                <w:sz w:val="22"/>
              </w:rPr>
            </w:pPr>
            <w:r w:rsidRPr="00E97696">
              <w:rPr>
                <w:rFonts w:cs="Times New Roman"/>
                <w:sz w:val="22"/>
              </w:rPr>
              <w:t>56.10</w:t>
            </w:r>
          </w:p>
        </w:tc>
        <w:tc>
          <w:tcPr>
            <w:tcW w:w="1141" w:type="dxa"/>
            <w:tcBorders>
              <w:top w:val="nil"/>
              <w:left w:val="nil"/>
              <w:bottom w:val="single" w:sz="4" w:space="0" w:color="auto"/>
              <w:right w:val="nil"/>
            </w:tcBorders>
            <w:shd w:val="clear" w:color="auto" w:fill="auto"/>
            <w:noWrap/>
            <w:vAlign w:val="bottom"/>
            <w:hideMark/>
          </w:tcPr>
          <w:p w14:paraId="52928361" w14:textId="77777777" w:rsidR="0092047F" w:rsidRPr="00E97696" w:rsidRDefault="0092047F" w:rsidP="00E97696">
            <w:pPr>
              <w:pStyle w:val="NoSpacing"/>
              <w:jc w:val="center"/>
              <w:rPr>
                <w:rFonts w:cs="Times New Roman"/>
                <w:sz w:val="22"/>
              </w:rPr>
            </w:pPr>
            <w:r w:rsidRPr="00E97696">
              <w:rPr>
                <w:rFonts w:cs="Times New Roman"/>
                <w:sz w:val="22"/>
              </w:rPr>
              <w:t>36.20</w:t>
            </w:r>
          </w:p>
        </w:tc>
        <w:tc>
          <w:tcPr>
            <w:tcW w:w="1053" w:type="dxa"/>
            <w:tcBorders>
              <w:top w:val="nil"/>
              <w:left w:val="nil"/>
              <w:bottom w:val="single" w:sz="4" w:space="0" w:color="auto"/>
              <w:right w:val="nil"/>
            </w:tcBorders>
            <w:shd w:val="clear" w:color="auto" w:fill="auto"/>
            <w:noWrap/>
            <w:vAlign w:val="bottom"/>
            <w:hideMark/>
          </w:tcPr>
          <w:p w14:paraId="59C70311" w14:textId="77777777" w:rsidR="0092047F" w:rsidRPr="00E97696" w:rsidRDefault="0092047F" w:rsidP="00E97696">
            <w:pPr>
              <w:pStyle w:val="NoSpacing"/>
              <w:jc w:val="center"/>
              <w:rPr>
                <w:rFonts w:cs="Times New Roman"/>
                <w:sz w:val="22"/>
              </w:rPr>
            </w:pPr>
            <w:r w:rsidRPr="00E97696">
              <w:rPr>
                <w:rFonts w:cs="Times New Roman"/>
                <w:sz w:val="22"/>
              </w:rPr>
              <w:t>2.77</w:t>
            </w:r>
          </w:p>
        </w:tc>
        <w:tc>
          <w:tcPr>
            <w:tcW w:w="1234" w:type="dxa"/>
            <w:tcBorders>
              <w:top w:val="nil"/>
              <w:left w:val="nil"/>
              <w:bottom w:val="single" w:sz="4" w:space="0" w:color="auto"/>
              <w:right w:val="nil"/>
            </w:tcBorders>
            <w:shd w:val="clear" w:color="auto" w:fill="auto"/>
            <w:noWrap/>
            <w:vAlign w:val="bottom"/>
            <w:hideMark/>
          </w:tcPr>
          <w:p w14:paraId="42CD936B" w14:textId="77777777" w:rsidR="0092047F" w:rsidRPr="00E97696" w:rsidRDefault="0092047F" w:rsidP="00E97696">
            <w:pPr>
              <w:pStyle w:val="NoSpacing"/>
              <w:jc w:val="center"/>
              <w:rPr>
                <w:rFonts w:cs="Times New Roman"/>
                <w:sz w:val="22"/>
              </w:rPr>
            </w:pPr>
            <w:r w:rsidRPr="00E97696">
              <w:rPr>
                <w:rFonts w:cs="Times New Roman"/>
                <w:sz w:val="22"/>
              </w:rPr>
              <w:t>104.83</w:t>
            </w:r>
          </w:p>
        </w:tc>
      </w:tr>
    </w:tbl>
    <w:p w14:paraId="6F4D8856" w14:textId="77777777" w:rsidR="00293EF9" w:rsidRDefault="00293EF9" w:rsidP="0092047F">
      <w:pPr>
        <w:pStyle w:val="NoSpacing"/>
        <w:rPr>
          <w:rFonts w:eastAsia="Times New Roman" w:cs="Times New Roman"/>
          <w:noProof/>
          <w:sz w:val="18"/>
          <w:szCs w:val="18"/>
          <w:lang w:eastAsia="en-GB"/>
        </w:rPr>
      </w:pPr>
    </w:p>
    <w:p w14:paraId="24B15653" w14:textId="6169787B" w:rsidR="00E97696" w:rsidRDefault="00087CC0" w:rsidP="0092047F">
      <w:pPr>
        <w:pStyle w:val="NoSpacing"/>
        <w:rPr>
          <w:b/>
          <w:lang w:eastAsia="en-GB"/>
        </w:rPr>
      </w:pPr>
      <w:r>
        <w:rPr>
          <w:rFonts w:eastAsia="Times New Roman" w:cs="Times New Roman"/>
          <w:noProof/>
          <w:sz w:val="18"/>
          <w:szCs w:val="18"/>
          <w:lang w:eastAsia="en-GB"/>
        </w:rPr>
        <w:t xml:space="preserve">Table 3 reports the descriptive </w:t>
      </w:r>
      <w:r w:rsidR="00D3400A">
        <w:rPr>
          <w:rFonts w:eastAsia="Times New Roman" w:cs="Times New Roman"/>
          <w:noProof/>
          <w:sz w:val="18"/>
          <w:szCs w:val="18"/>
          <w:lang w:eastAsia="en-GB"/>
        </w:rPr>
        <w:t>statistics for the sample</w:t>
      </w:r>
      <w:r w:rsidR="00955994">
        <w:rPr>
          <w:rFonts w:eastAsia="Times New Roman" w:cs="Times New Roman"/>
          <w:noProof/>
          <w:sz w:val="18"/>
          <w:szCs w:val="18"/>
          <w:lang w:eastAsia="en-GB"/>
        </w:rPr>
        <w:t>. Std</w:t>
      </w:r>
      <w:r w:rsidR="00293EF9">
        <w:rPr>
          <w:rFonts w:eastAsia="Times New Roman" w:cs="Times New Roman"/>
          <w:noProof/>
          <w:sz w:val="18"/>
          <w:szCs w:val="18"/>
          <w:lang w:eastAsia="en-GB"/>
        </w:rPr>
        <w:t xml:space="preserve">. </w:t>
      </w:r>
      <w:r w:rsidR="00955994" w:rsidRPr="00955994">
        <w:rPr>
          <w:rFonts w:eastAsia="Times New Roman" w:cs="Times New Roman"/>
          <w:noProof/>
          <w:sz w:val="18"/>
          <w:szCs w:val="18"/>
          <w:lang w:eastAsia="en-GB"/>
        </w:rPr>
        <w:t>D</w:t>
      </w:r>
      <w:r w:rsidR="00293EF9">
        <w:rPr>
          <w:rFonts w:eastAsia="Times New Roman" w:cs="Times New Roman"/>
          <w:noProof/>
          <w:sz w:val="18"/>
          <w:szCs w:val="18"/>
          <w:lang w:eastAsia="en-GB"/>
        </w:rPr>
        <w:t>ev.</w:t>
      </w:r>
      <w:r w:rsidR="00955994" w:rsidRPr="00955994">
        <w:rPr>
          <w:rFonts w:eastAsia="Times New Roman" w:cs="Times New Roman"/>
          <w:noProof/>
          <w:sz w:val="18"/>
          <w:szCs w:val="18"/>
          <w:lang w:eastAsia="en-GB"/>
        </w:rPr>
        <w:t>, Min and Max donate the standard deviation, the minimum</w:t>
      </w:r>
      <w:r w:rsidR="00293EF9">
        <w:rPr>
          <w:rFonts w:eastAsia="Times New Roman" w:cs="Times New Roman"/>
          <w:noProof/>
          <w:sz w:val="18"/>
          <w:szCs w:val="18"/>
          <w:lang w:eastAsia="en-GB"/>
        </w:rPr>
        <w:t xml:space="preserve"> and the maximum, respectively. </w:t>
      </w:r>
      <w:r w:rsidR="00293EF9" w:rsidRPr="00293EF9">
        <w:rPr>
          <w:rFonts w:eastAsia="Times New Roman" w:cs="Times New Roman"/>
          <w:noProof/>
          <w:sz w:val="18"/>
          <w:szCs w:val="18"/>
          <w:lang w:eastAsia="en-GB"/>
        </w:rPr>
        <w:t>The total observations should have been 688</w:t>
      </w:r>
      <w:r w:rsidR="00715FA7">
        <w:rPr>
          <w:rFonts w:eastAsia="Times New Roman" w:cs="Times New Roman"/>
          <w:noProof/>
          <w:sz w:val="18"/>
          <w:szCs w:val="18"/>
          <w:lang w:eastAsia="en-GB"/>
        </w:rPr>
        <w:t xml:space="preserve"> (8</w:t>
      </w:r>
      <w:r w:rsidR="00EC2E99">
        <w:rPr>
          <w:rFonts w:eastAsia="Times New Roman" w:cs="Times New Roman"/>
          <w:noProof/>
          <w:sz w:val="18"/>
          <w:szCs w:val="18"/>
          <w:lang w:eastAsia="en-GB"/>
        </w:rPr>
        <w:t>6 firms</w:t>
      </w:r>
      <w:r w:rsidR="00715FA7">
        <w:rPr>
          <w:rFonts w:eastAsia="Times New Roman" w:cs="Times New Roman"/>
          <w:noProof/>
          <w:sz w:val="18"/>
          <w:szCs w:val="18"/>
          <w:lang w:eastAsia="en-GB"/>
        </w:rPr>
        <w:t xml:space="preserve"> * </w:t>
      </w:r>
      <w:r w:rsidR="00EC2E99">
        <w:rPr>
          <w:rFonts w:eastAsia="Times New Roman" w:cs="Times New Roman"/>
          <w:noProof/>
          <w:sz w:val="18"/>
          <w:szCs w:val="18"/>
          <w:lang w:eastAsia="en-GB"/>
        </w:rPr>
        <w:t>8 years</w:t>
      </w:r>
      <w:r w:rsidR="00715FA7">
        <w:rPr>
          <w:rFonts w:eastAsia="Times New Roman" w:cs="Times New Roman"/>
          <w:noProof/>
          <w:sz w:val="18"/>
          <w:szCs w:val="18"/>
          <w:lang w:eastAsia="en-GB"/>
        </w:rPr>
        <w:t>)</w:t>
      </w:r>
      <w:r w:rsidR="00691980">
        <w:rPr>
          <w:rFonts w:eastAsia="Times New Roman" w:cs="Times New Roman"/>
          <w:noProof/>
          <w:sz w:val="18"/>
          <w:szCs w:val="18"/>
          <w:lang w:eastAsia="en-GB"/>
        </w:rPr>
        <w:t>. H</w:t>
      </w:r>
      <w:r w:rsidR="00293EF9" w:rsidRPr="00293EF9">
        <w:rPr>
          <w:rFonts w:eastAsia="Times New Roman" w:cs="Times New Roman"/>
          <w:noProof/>
          <w:sz w:val="18"/>
          <w:szCs w:val="18"/>
          <w:lang w:eastAsia="en-GB"/>
        </w:rPr>
        <w:t>owever, two years’ data was missing for two companies, one-year data was missing for two companies, and three years’ data was missing for another company. This has resulted in reducing the total observations to 679 (688 – 9).</w:t>
      </w:r>
    </w:p>
    <w:p w14:paraId="361D9F09" w14:textId="77777777" w:rsidR="00293EF9" w:rsidRDefault="00293EF9" w:rsidP="0092047F">
      <w:pPr>
        <w:pStyle w:val="NoSpacing"/>
        <w:rPr>
          <w:b/>
          <w:lang w:eastAsia="en-GB"/>
        </w:rPr>
      </w:pPr>
    </w:p>
    <w:p w14:paraId="1A1CF8B5" w14:textId="77777777" w:rsidR="009715FE" w:rsidRDefault="009715FE" w:rsidP="0092047F">
      <w:pPr>
        <w:pStyle w:val="NoSpacing"/>
        <w:rPr>
          <w:b/>
          <w:lang w:eastAsia="en-GB"/>
        </w:rPr>
      </w:pPr>
    </w:p>
    <w:p w14:paraId="51312004" w14:textId="23FA67C4" w:rsidR="00807C2C" w:rsidRDefault="00807C2C" w:rsidP="0092047F">
      <w:pPr>
        <w:pStyle w:val="NoSpacing"/>
        <w:rPr>
          <w:b/>
          <w:lang w:eastAsia="en-GB"/>
        </w:rPr>
      </w:pPr>
      <w:r>
        <w:rPr>
          <w:b/>
          <w:lang w:eastAsia="en-GB"/>
        </w:rPr>
        <w:br w:type="page"/>
      </w:r>
    </w:p>
    <w:p w14:paraId="4249794E" w14:textId="647E0275" w:rsidR="0092047F" w:rsidRDefault="0092047F" w:rsidP="0092047F">
      <w:pPr>
        <w:pStyle w:val="NoSpacing"/>
        <w:rPr>
          <w:lang w:eastAsia="en-GB"/>
        </w:rPr>
      </w:pPr>
      <w:r>
        <w:rPr>
          <w:b/>
          <w:lang w:eastAsia="en-GB"/>
        </w:rPr>
        <w:lastRenderedPageBreak/>
        <w:t>Table 4</w:t>
      </w:r>
      <w:r w:rsidRPr="00282750">
        <w:rPr>
          <w:lang w:eastAsia="en-GB"/>
        </w:rPr>
        <w:t xml:space="preserve"> Regression results for corporate go</w:t>
      </w:r>
      <w:r>
        <w:rPr>
          <w:lang w:eastAsia="en-GB"/>
        </w:rPr>
        <w:t>vernance and the shareholder value</w:t>
      </w:r>
    </w:p>
    <w:p w14:paraId="17BF864C" w14:textId="77777777" w:rsidR="0092047F" w:rsidRDefault="0092047F" w:rsidP="0092047F">
      <w:pPr>
        <w:pStyle w:val="NoSpacing"/>
        <w:rPr>
          <w:lang w:eastAsia="en-GB"/>
        </w:rPr>
      </w:pPr>
    </w:p>
    <w:tbl>
      <w:tblPr>
        <w:tblW w:w="8794" w:type="dxa"/>
        <w:tblLook w:val="04A0" w:firstRow="1" w:lastRow="0" w:firstColumn="1" w:lastColumn="0" w:noHBand="0" w:noVBand="1"/>
      </w:tblPr>
      <w:tblGrid>
        <w:gridCol w:w="2694"/>
        <w:gridCol w:w="1500"/>
        <w:gridCol w:w="1760"/>
        <w:gridCol w:w="1480"/>
        <w:gridCol w:w="1360"/>
      </w:tblGrid>
      <w:tr w:rsidR="0092047F" w:rsidRPr="00156B53" w14:paraId="39A6297E" w14:textId="77777777" w:rsidTr="0092047F">
        <w:trPr>
          <w:trHeight w:val="284"/>
        </w:trPr>
        <w:tc>
          <w:tcPr>
            <w:tcW w:w="2694" w:type="dxa"/>
            <w:tcBorders>
              <w:top w:val="single" w:sz="8" w:space="0" w:color="auto"/>
              <w:left w:val="nil"/>
              <w:bottom w:val="nil"/>
              <w:right w:val="nil"/>
            </w:tcBorders>
            <w:shd w:val="clear" w:color="auto" w:fill="auto"/>
            <w:vAlign w:val="center"/>
            <w:hideMark/>
          </w:tcPr>
          <w:p w14:paraId="298FC6BC"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 </w:t>
            </w:r>
          </w:p>
        </w:tc>
        <w:tc>
          <w:tcPr>
            <w:tcW w:w="3260" w:type="dxa"/>
            <w:gridSpan w:val="2"/>
            <w:tcBorders>
              <w:top w:val="single" w:sz="8" w:space="0" w:color="auto"/>
              <w:left w:val="nil"/>
              <w:bottom w:val="nil"/>
              <w:right w:val="nil"/>
            </w:tcBorders>
            <w:shd w:val="clear" w:color="auto" w:fill="auto"/>
            <w:vAlign w:val="center"/>
            <w:hideMark/>
          </w:tcPr>
          <w:p w14:paraId="0BC7EBD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Pre–crisis (2003-2006)</w:t>
            </w:r>
          </w:p>
        </w:tc>
        <w:tc>
          <w:tcPr>
            <w:tcW w:w="2840" w:type="dxa"/>
            <w:gridSpan w:val="2"/>
            <w:tcBorders>
              <w:top w:val="single" w:sz="8" w:space="0" w:color="auto"/>
              <w:left w:val="nil"/>
              <w:bottom w:val="nil"/>
              <w:right w:val="nil"/>
            </w:tcBorders>
            <w:shd w:val="clear" w:color="auto" w:fill="auto"/>
            <w:vAlign w:val="center"/>
            <w:hideMark/>
          </w:tcPr>
          <w:p w14:paraId="0FAEA2B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During–crisis (2007–2010)</w:t>
            </w:r>
          </w:p>
        </w:tc>
      </w:tr>
      <w:tr w:rsidR="0092047F" w:rsidRPr="00156B53" w14:paraId="19AC32E1" w14:textId="77777777" w:rsidTr="0092047F">
        <w:trPr>
          <w:trHeight w:val="284"/>
        </w:trPr>
        <w:tc>
          <w:tcPr>
            <w:tcW w:w="2694" w:type="dxa"/>
            <w:tcBorders>
              <w:top w:val="nil"/>
              <w:left w:val="nil"/>
              <w:bottom w:val="nil"/>
              <w:right w:val="nil"/>
            </w:tcBorders>
            <w:shd w:val="clear" w:color="auto" w:fill="auto"/>
            <w:vAlign w:val="center"/>
            <w:hideMark/>
          </w:tcPr>
          <w:p w14:paraId="369291C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VARIABLES</w:t>
            </w:r>
          </w:p>
        </w:tc>
        <w:tc>
          <w:tcPr>
            <w:tcW w:w="1500" w:type="dxa"/>
            <w:tcBorders>
              <w:top w:val="nil"/>
              <w:left w:val="nil"/>
              <w:bottom w:val="nil"/>
              <w:right w:val="nil"/>
            </w:tcBorders>
            <w:shd w:val="clear" w:color="auto" w:fill="auto"/>
            <w:vAlign w:val="center"/>
            <w:hideMark/>
          </w:tcPr>
          <w:p w14:paraId="2FEF525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TSR</w:t>
            </w:r>
          </w:p>
        </w:tc>
        <w:tc>
          <w:tcPr>
            <w:tcW w:w="1760" w:type="dxa"/>
            <w:tcBorders>
              <w:top w:val="nil"/>
              <w:left w:val="nil"/>
              <w:bottom w:val="nil"/>
              <w:right w:val="nil"/>
            </w:tcBorders>
            <w:shd w:val="clear" w:color="auto" w:fill="auto"/>
            <w:vAlign w:val="center"/>
            <w:hideMark/>
          </w:tcPr>
          <w:p w14:paraId="0B35AAC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ROE</w:t>
            </w:r>
          </w:p>
        </w:tc>
        <w:tc>
          <w:tcPr>
            <w:tcW w:w="1480" w:type="dxa"/>
            <w:tcBorders>
              <w:top w:val="nil"/>
              <w:left w:val="nil"/>
              <w:bottom w:val="nil"/>
              <w:right w:val="nil"/>
            </w:tcBorders>
            <w:shd w:val="clear" w:color="auto" w:fill="auto"/>
            <w:vAlign w:val="center"/>
            <w:hideMark/>
          </w:tcPr>
          <w:p w14:paraId="24E5FE8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TSR</w:t>
            </w:r>
          </w:p>
        </w:tc>
        <w:tc>
          <w:tcPr>
            <w:tcW w:w="1360" w:type="dxa"/>
            <w:tcBorders>
              <w:top w:val="nil"/>
              <w:left w:val="nil"/>
              <w:bottom w:val="nil"/>
              <w:right w:val="nil"/>
            </w:tcBorders>
            <w:shd w:val="clear" w:color="auto" w:fill="auto"/>
            <w:vAlign w:val="center"/>
            <w:hideMark/>
          </w:tcPr>
          <w:p w14:paraId="266206D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ROE</w:t>
            </w:r>
          </w:p>
        </w:tc>
      </w:tr>
      <w:tr w:rsidR="0092047F" w:rsidRPr="00156B53" w14:paraId="773B6676" w14:textId="77777777" w:rsidTr="0092047F">
        <w:trPr>
          <w:trHeight w:val="284"/>
        </w:trPr>
        <w:tc>
          <w:tcPr>
            <w:tcW w:w="2694" w:type="dxa"/>
            <w:vMerge w:val="restart"/>
            <w:tcBorders>
              <w:top w:val="single" w:sz="8" w:space="0" w:color="auto"/>
              <w:left w:val="nil"/>
              <w:bottom w:val="nil"/>
              <w:right w:val="nil"/>
            </w:tcBorders>
            <w:shd w:val="clear" w:color="auto" w:fill="auto"/>
            <w:vAlign w:val="center"/>
            <w:hideMark/>
          </w:tcPr>
          <w:p w14:paraId="7E28A8F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L.1</w:t>
            </w:r>
          </w:p>
        </w:tc>
        <w:tc>
          <w:tcPr>
            <w:tcW w:w="1500" w:type="dxa"/>
            <w:tcBorders>
              <w:top w:val="single" w:sz="8" w:space="0" w:color="auto"/>
              <w:left w:val="nil"/>
              <w:bottom w:val="nil"/>
              <w:right w:val="nil"/>
            </w:tcBorders>
            <w:shd w:val="clear" w:color="auto" w:fill="auto"/>
            <w:hideMark/>
          </w:tcPr>
          <w:p w14:paraId="78E80E8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0.474***</w:t>
            </w:r>
          </w:p>
        </w:tc>
        <w:tc>
          <w:tcPr>
            <w:tcW w:w="1760" w:type="dxa"/>
            <w:tcBorders>
              <w:top w:val="single" w:sz="8" w:space="0" w:color="auto"/>
              <w:left w:val="nil"/>
              <w:bottom w:val="nil"/>
              <w:right w:val="nil"/>
            </w:tcBorders>
            <w:shd w:val="clear" w:color="auto" w:fill="auto"/>
            <w:hideMark/>
          </w:tcPr>
          <w:p w14:paraId="7981835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0.880***</w:t>
            </w:r>
          </w:p>
        </w:tc>
        <w:tc>
          <w:tcPr>
            <w:tcW w:w="1480" w:type="dxa"/>
            <w:tcBorders>
              <w:top w:val="single" w:sz="8" w:space="0" w:color="auto"/>
              <w:left w:val="nil"/>
              <w:bottom w:val="nil"/>
              <w:right w:val="nil"/>
            </w:tcBorders>
            <w:shd w:val="clear" w:color="auto" w:fill="auto"/>
            <w:hideMark/>
          </w:tcPr>
          <w:p w14:paraId="7898930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0.273***</w:t>
            </w:r>
          </w:p>
        </w:tc>
        <w:tc>
          <w:tcPr>
            <w:tcW w:w="1360" w:type="dxa"/>
            <w:tcBorders>
              <w:top w:val="single" w:sz="8" w:space="0" w:color="auto"/>
              <w:left w:val="nil"/>
              <w:bottom w:val="nil"/>
              <w:right w:val="nil"/>
            </w:tcBorders>
            <w:shd w:val="clear" w:color="auto" w:fill="auto"/>
            <w:hideMark/>
          </w:tcPr>
          <w:p w14:paraId="104D0EB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0.165***</w:t>
            </w:r>
          </w:p>
        </w:tc>
      </w:tr>
      <w:tr w:rsidR="0092047F" w:rsidRPr="00156B53" w14:paraId="57515F7E" w14:textId="77777777" w:rsidTr="0092047F">
        <w:trPr>
          <w:trHeight w:val="284"/>
        </w:trPr>
        <w:tc>
          <w:tcPr>
            <w:tcW w:w="2694" w:type="dxa"/>
            <w:vMerge/>
            <w:tcBorders>
              <w:top w:val="single" w:sz="8" w:space="0" w:color="auto"/>
              <w:left w:val="nil"/>
              <w:bottom w:val="nil"/>
              <w:right w:val="nil"/>
            </w:tcBorders>
            <w:vAlign w:val="center"/>
            <w:hideMark/>
          </w:tcPr>
          <w:p w14:paraId="3CD6BC19"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14FACF0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(0.044)</w:t>
            </w:r>
          </w:p>
        </w:tc>
        <w:tc>
          <w:tcPr>
            <w:tcW w:w="1760" w:type="dxa"/>
            <w:tcBorders>
              <w:top w:val="nil"/>
              <w:left w:val="nil"/>
              <w:bottom w:val="nil"/>
              <w:right w:val="nil"/>
            </w:tcBorders>
            <w:shd w:val="clear" w:color="auto" w:fill="auto"/>
            <w:hideMark/>
          </w:tcPr>
          <w:p w14:paraId="74E5A92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(0.108)</w:t>
            </w:r>
          </w:p>
        </w:tc>
        <w:tc>
          <w:tcPr>
            <w:tcW w:w="1480" w:type="dxa"/>
            <w:tcBorders>
              <w:top w:val="nil"/>
              <w:left w:val="nil"/>
              <w:bottom w:val="nil"/>
              <w:right w:val="nil"/>
            </w:tcBorders>
            <w:shd w:val="clear" w:color="auto" w:fill="auto"/>
            <w:hideMark/>
          </w:tcPr>
          <w:p w14:paraId="2997BE1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(0.005)</w:t>
            </w:r>
          </w:p>
        </w:tc>
        <w:tc>
          <w:tcPr>
            <w:tcW w:w="1360" w:type="dxa"/>
            <w:tcBorders>
              <w:top w:val="nil"/>
              <w:left w:val="nil"/>
              <w:bottom w:val="nil"/>
              <w:right w:val="nil"/>
            </w:tcBorders>
            <w:shd w:val="clear" w:color="auto" w:fill="auto"/>
            <w:hideMark/>
          </w:tcPr>
          <w:p w14:paraId="3D64991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(0.011)</w:t>
            </w:r>
          </w:p>
        </w:tc>
      </w:tr>
      <w:tr w:rsidR="0092047F" w:rsidRPr="00156B53" w14:paraId="53755AD6" w14:textId="77777777" w:rsidTr="0092047F">
        <w:trPr>
          <w:trHeight w:val="284"/>
        </w:trPr>
        <w:tc>
          <w:tcPr>
            <w:tcW w:w="2694" w:type="dxa"/>
            <w:vMerge w:val="restart"/>
            <w:tcBorders>
              <w:top w:val="nil"/>
              <w:left w:val="nil"/>
              <w:bottom w:val="nil"/>
              <w:right w:val="nil"/>
            </w:tcBorders>
            <w:shd w:val="clear" w:color="auto" w:fill="auto"/>
            <w:vAlign w:val="center"/>
            <w:hideMark/>
          </w:tcPr>
          <w:p w14:paraId="67C94CB2"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L.2</w:t>
            </w:r>
          </w:p>
        </w:tc>
        <w:tc>
          <w:tcPr>
            <w:tcW w:w="1500" w:type="dxa"/>
            <w:tcBorders>
              <w:top w:val="nil"/>
              <w:left w:val="nil"/>
              <w:bottom w:val="nil"/>
              <w:right w:val="nil"/>
            </w:tcBorders>
            <w:shd w:val="clear" w:color="auto" w:fill="auto"/>
            <w:hideMark/>
          </w:tcPr>
          <w:p w14:paraId="3090466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w:t>
            </w:r>
          </w:p>
        </w:tc>
        <w:tc>
          <w:tcPr>
            <w:tcW w:w="1760" w:type="dxa"/>
            <w:tcBorders>
              <w:top w:val="nil"/>
              <w:left w:val="nil"/>
              <w:bottom w:val="nil"/>
              <w:right w:val="nil"/>
            </w:tcBorders>
            <w:shd w:val="clear" w:color="auto" w:fill="auto"/>
            <w:hideMark/>
          </w:tcPr>
          <w:p w14:paraId="29E9629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w:t>
            </w:r>
          </w:p>
        </w:tc>
        <w:tc>
          <w:tcPr>
            <w:tcW w:w="1480" w:type="dxa"/>
            <w:tcBorders>
              <w:top w:val="nil"/>
              <w:left w:val="nil"/>
              <w:bottom w:val="nil"/>
              <w:right w:val="nil"/>
            </w:tcBorders>
            <w:shd w:val="clear" w:color="auto" w:fill="auto"/>
            <w:hideMark/>
          </w:tcPr>
          <w:p w14:paraId="797802C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0.408***</w:t>
            </w:r>
          </w:p>
        </w:tc>
        <w:tc>
          <w:tcPr>
            <w:tcW w:w="1360" w:type="dxa"/>
            <w:tcBorders>
              <w:top w:val="nil"/>
              <w:left w:val="nil"/>
              <w:bottom w:val="nil"/>
              <w:right w:val="nil"/>
            </w:tcBorders>
            <w:shd w:val="clear" w:color="auto" w:fill="auto"/>
            <w:hideMark/>
          </w:tcPr>
          <w:p w14:paraId="0C0FC14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0.777***</w:t>
            </w:r>
          </w:p>
        </w:tc>
      </w:tr>
      <w:tr w:rsidR="0092047F" w:rsidRPr="00156B53" w14:paraId="20422ED8" w14:textId="77777777" w:rsidTr="0092047F">
        <w:trPr>
          <w:trHeight w:val="284"/>
        </w:trPr>
        <w:tc>
          <w:tcPr>
            <w:tcW w:w="2694" w:type="dxa"/>
            <w:vMerge/>
            <w:tcBorders>
              <w:top w:val="nil"/>
              <w:left w:val="nil"/>
              <w:bottom w:val="nil"/>
              <w:right w:val="nil"/>
            </w:tcBorders>
            <w:vAlign w:val="center"/>
            <w:hideMark/>
          </w:tcPr>
          <w:p w14:paraId="582AB27C"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790E2AB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w:t>
            </w:r>
          </w:p>
        </w:tc>
        <w:tc>
          <w:tcPr>
            <w:tcW w:w="1760" w:type="dxa"/>
            <w:tcBorders>
              <w:top w:val="nil"/>
              <w:left w:val="nil"/>
              <w:bottom w:val="nil"/>
              <w:right w:val="nil"/>
            </w:tcBorders>
            <w:shd w:val="clear" w:color="auto" w:fill="auto"/>
            <w:hideMark/>
          </w:tcPr>
          <w:p w14:paraId="2F89AF5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w:t>
            </w:r>
          </w:p>
        </w:tc>
        <w:tc>
          <w:tcPr>
            <w:tcW w:w="1480" w:type="dxa"/>
            <w:tcBorders>
              <w:top w:val="nil"/>
              <w:left w:val="nil"/>
              <w:bottom w:val="nil"/>
              <w:right w:val="nil"/>
            </w:tcBorders>
            <w:shd w:val="clear" w:color="auto" w:fill="auto"/>
            <w:hideMark/>
          </w:tcPr>
          <w:p w14:paraId="5019201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(0.007)</w:t>
            </w:r>
          </w:p>
        </w:tc>
        <w:tc>
          <w:tcPr>
            <w:tcW w:w="1360" w:type="dxa"/>
            <w:tcBorders>
              <w:top w:val="nil"/>
              <w:left w:val="nil"/>
              <w:bottom w:val="nil"/>
              <w:right w:val="nil"/>
            </w:tcBorders>
            <w:shd w:val="clear" w:color="auto" w:fill="auto"/>
            <w:hideMark/>
          </w:tcPr>
          <w:p w14:paraId="6EF0A04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(0.006)</w:t>
            </w:r>
          </w:p>
        </w:tc>
      </w:tr>
      <w:tr w:rsidR="0092047F" w:rsidRPr="00156B53" w14:paraId="2AF5FB50" w14:textId="77777777" w:rsidTr="0092047F">
        <w:trPr>
          <w:trHeight w:val="284"/>
        </w:trPr>
        <w:tc>
          <w:tcPr>
            <w:tcW w:w="2694" w:type="dxa"/>
            <w:vMerge w:val="restart"/>
            <w:tcBorders>
              <w:top w:val="nil"/>
              <w:left w:val="nil"/>
              <w:bottom w:val="nil"/>
              <w:right w:val="nil"/>
            </w:tcBorders>
            <w:shd w:val="clear" w:color="auto" w:fill="auto"/>
            <w:vAlign w:val="center"/>
            <w:hideMark/>
          </w:tcPr>
          <w:p w14:paraId="260BE6F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NCI</w:t>
            </w:r>
          </w:p>
        </w:tc>
        <w:tc>
          <w:tcPr>
            <w:tcW w:w="1500" w:type="dxa"/>
            <w:tcBorders>
              <w:top w:val="nil"/>
              <w:left w:val="nil"/>
              <w:bottom w:val="nil"/>
              <w:right w:val="nil"/>
            </w:tcBorders>
            <w:shd w:val="clear" w:color="auto" w:fill="auto"/>
            <w:hideMark/>
          </w:tcPr>
          <w:p w14:paraId="31A86B0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-0.347</w:t>
            </w:r>
          </w:p>
        </w:tc>
        <w:tc>
          <w:tcPr>
            <w:tcW w:w="1760" w:type="dxa"/>
            <w:tcBorders>
              <w:top w:val="nil"/>
              <w:left w:val="nil"/>
              <w:bottom w:val="nil"/>
              <w:right w:val="nil"/>
            </w:tcBorders>
            <w:shd w:val="clear" w:color="auto" w:fill="auto"/>
            <w:hideMark/>
          </w:tcPr>
          <w:p w14:paraId="251F729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-0.457***</w:t>
            </w:r>
          </w:p>
        </w:tc>
        <w:tc>
          <w:tcPr>
            <w:tcW w:w="1480" w:type="dxa"/>
            <w:tcBorders>
              <w:top w:val="nil"/>
              <w:left w:val="nil"/>
              <w:bottom w:val="nil"/>
              <w:right w:val="nil"/>
            </w:tcBorders>
            <w:shd w:val="clear" w:color="auto" w:fill="auto"/>
            <w:hideMark/>
          </w:tcPr>
          <w:p w14:paraId="427CE74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-1.645**</w:t>
            </w:r>
          </w:p>
        </w:tc>
        <w:tc>
          <w:tcPr>
            <w:tcW w:w="1360" w:type="dxa"/>
            <w:tcBorders>
              <w:top w:val="nil"/>
              <w:left w:val="nil"/>
              <w:bottom w:val="nil"/>
              <w:right w:val="nil"/>
            </w:tcBorders>
            <w:shd w:val="clear" w:color="auto" w:fill="auto"/>
            <w:hideMark/>
          </w:tcPr>
          <w:p w14:paraId="4CC1340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-0.246***</w:t>
            </w:r>
          </w:p>
        </w:tc>
      </w:tr>
      <w:tr w:rsidR="0092047F" w:rsidRPr="00156B53" w14:paraId="431B90AD" w14:textId="77777777" w:rsidTr="0092047F">
        <w:trPr>
          <w:trHeight w:val="284"/>
        </w:trPr>
        <w:tc>
          <w:tcPr>
            <w:tcW w:w="2694" w:type="dxa"/>
            <w:vMerge/>
            <w:tcBorders>
              <w:top w:val="nil"/>
              <w:left w:val="nil"/>
              <w:bottom w:val="nil"/>
              <w:right w:val="nil"/>
            </w:tcBorders>
            <w:vAlign w:val="center"/>
            <w:hideMark/>
          </w:tcPr>
          <w:p w14:paraId="39B6EED3"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39F4E86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(0.435)</w:t>
            </w:r>
          </w:p>
        </w:tc>
        <w:tc>
          <w:tcPr>
            <w:tcW w:w="1760" w:type="dxa"/>
            <w:tcBorders>
              <w:top w:val="nil"/>
              <w:left w:val="nil"/>
              <w:bottom w:val="nil"/>
              <w:right w:val="nil"/>
            </w:tcBorders>
            <w:shd w:val="clear" w:color="auto" w:fill="auto"/>
            <w:hideMark/>
          </w:tcPr>
          <w:p w14:paraId="038553E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(0.134)</w:t>
            </w:r>
          </w:p>
        </w:tc>
        <w:tc>
          <w:tcPr>
            <w:tcW w:w="1480" w:type="dxa"/>
            <w:tcBorders>
              <w:top w:val="nil"/>
              <w:left w:val="nil"/>
              <w:bottom w:val="nil"/>
              <w:right w:val="nil"/>
            </w:tcBorders>
            <w:shd w:val="clear" w:color="auto" w:fill="auto"/>
            <w:hideMark/>
          </w:tcPr>
          <w:p w14:paraId="2CF152A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(0.696)</w:t>
            </w:r>
          </w:p>
        </w:tc>
        <w:tc>
          <w:tcPr>
            <w:tcW w:w="1360" w:type="dxa"/>
            <w:tcBorders>
              <w:top w:val="nil"/>
              <w:left w:val="nil"/>
              <w:bottom w:val="nil"/>
              <w:right w:val="nil"/>
            </w:tcBorders>
            <w:shd w:val="clear" w:color="auto" w:fill="auto"/>
            <w:hideMark/>
          </w:tcPr>
          <w:p w14:paraId="40FCF3A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(0.090)</w:t>
            </w:r>
          </w:p>
        </w:tc>
      </w:tr>
      <w:tr w:rsidR="0092047F" w:rsidRPr="00156B53" w14:paraId="660B8D05" w14:textId="77777777" w:rsidTr="0092047F">
        <w:trPr>
          <w:trHeight w:val="284"/>
        </w:trPr>
        <w:tc>
          <w:tcPr>
            <w:tcW w:w="2694" w:type="dxa"/>
            <w:tcBorders>
              <w:top w:val="nil"/>
              <w:left w:val="nil"/>
              <w:bottom w:val="nil"/>
              <w:right w:val="nil"/>
            </w:tcBorders>
            <w:shd w:val="clear" w:color="auto" w:fill="auto"/>
            <w:vAlign w:val="center"/>
            <w:hideMark/>
          </w:tcPr>
          <w:p w14:paraId="138A1C3C" w14:textId="77777777" w:rsidR="0092047F" w:rsidRPr="00156B53" w:rsidRDefault="0092047F" w:rsidP="0092047F">
            <w:pPr>
              <w:spacing w:after="0" w:line="240" w:lineRule="auto"/>
              <w:ind w:firstLine="0"/>
              <w:jc w:val="left"/>
              <w:rPr>
                <w:rFonts w:eastAsia="Times New Roman" w:cs="Times New Roman"/>
                <w:b/>
                <w:color w:val="000000"/>
                <w:sz w:val="22"/>
                <w:lang w:eastAsia="en-GB"/>
              </w:rPr>
            </w:pPr>
            <w:r w:rsidRPr="00156B53">
              <w:rPr>
                <w:rFonts w:eastAsia="Times New Roman" w:cs="Times New Roman"/>
                <w:b/>
                <w:color w:val="000000"/>
                <w:sz w:val="22"/>
                <w:lang w:eastAsia="en-GB"/>
              </w:rPr>
              <w:t>Monitoring variables</w:t>
            </w:r>
          </w:p>
        </w:tc>
        <w:tc>
          <w:tcPr>
            <w:tcW w:w="1500" w:type="dxa"/>
            <w:tcBorders>
              <w:top w:val="nil"/>
              <w:left w:val="nil"/>
              <w:bottom w:val="nil"/>
              <w:right w:val="nil"/>
            </w:tcBorders>
            <w:shd w:val="clear" w:color="auto" w:fill="auto"/>
            <w:hideMark/>
          </w:tcPr>
          <w:p w14:paraId="3469E60A"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760" w:type="dxa"/>
            <w:tcBorders>
              <w:top w:val="nil"/>
              <w:left w:val="nil"/>
              <w:bottom w:val="nil"/>
              <w:right w:val="nil"/>
            </w:tcBorders>
            <w:shd w:val="clear" w:color="auto" w:fill="auto"/>
            <w:hideMark/>
          </w:tcPr>
          <w:p w14:paraId="5DAAE8F8" w14:textId="77777777" w:rsidR="0092047F" w:rsidRPr="00156B53" w:rsidRDefault="0092047F" w:rsidP="0092047F">
            <w:pPr>
              <w:spacing w:after="0" w:line="240" w:lineRule="auto"/>
              <w:ind w:firstLine="0"/>
              <w:jc w:val="center"/>
              <w:rPr>
                <w:rFonts w:eastAsia="Times New Roman" w:cs="Times New Roman"/>
                <w:sz w:val="20"/>
                <w:szCs w:val="20"/>
                <w:lang w:eastAsia="en-GB"/>
              </w:rPr>
            </w:pPr>
          </w:p>
        </w:tc>
        <w:tc>
          <w:tcPr>
            <w:tcW w:w="1480" w:type="dxa"/>
            <w:tcBorders>
              <w:top w:val="nil"/>
              <w:left w:val="nil"/>
              <w:bottom w:val="nil"/>
              <w:right w:val="nil"/>
            </w:tcBorders>
            <w:shd w:val="clear" w:color="auto" w:fill="auto"/>
            <w:hideMark/>
          </w:tcPr>
          <w:p w14:paraId="00B85C0C" w14:textId="77777777" w:rsidR="0092047F" w:rsidRPr="00156B53" w:rsidRDefault="0092047F" w:rsidP="0092047F">
            <w:pPr>
              <w:spacing w:after="0" w:line="240" w:lineRule="auto"/>
              <w:ind w:firstLine="0"/>
              <w:jc w:val="center"/>
              <w:rPr>
                <w:rFonts w:eastAsia="Times New Roman" w:cs="Times New Roman"/>
                <w:sz w:val="20"/>
                <w:szCs w:val="20"/>
                <w:lang w:eastAsia="en-GB"/>
              </w:rPr>
            </w:pPr>
          </w:p>
        </w:tc>
        <w:tc>
          <w:tcPr>
            <w:tcW w:w="1360" w:type="dxa"/>
            <w:tcBorders>
              <w:top w:val="nil"/>
              <w:left w:val="nil"/>
              <w:bottom w:val="nil"/>
              <w:right w:val="nil"/>
            </w:tcBorders>
            <w:shd w:val="clear" w:color="auto" w:fill="auto"/>
            <w:hideMark/>
          </w:tcPr>
          <w:p w14:paraId="3BAFE5B1" w14:textId="77777777" w:rsidR="0092047F" w:rsidRPr="00156B53" w:rsidRDefault="0092047F" w:rsidP="0092047F">
            <w:pPr>
              <w:spacing w:after="0" w:line="240" w:lineRule="auto"/>
              <w:ind w:firstLine="0"/>
              <w:jc w:val="center"/>
              <w:rPr>
                <w:rFonts w:eastAsia="Times New Roman" w:cs="Times New Roman"/>
                <w:sz w:val="20"/>
                <w:szCs w:val="20"/>
                <w:lang w:eastAsia="en-GB"/>
              </w:rPr>
            </w:pPr>
          </w:p>
        </w:tc>
      </w:tr>
      <w:tr w:rsidR="0092047F" w:rsidRPr="00156B53" w14:paraId="743E28F3" w14:textId="77777777" w:rsidTr="0092047F">
        <w:trPr>
          <w:trHeight w:val="284"/>
        </w:trPr>
        <w:tc>
          <w:tcPr>
            <w:tcW w:w="2694" w:type="dxa"/>
            <w:vMerge w:val="restart"/>
            <w:tcBorders>
              <w:top w:val="nil"/>
              <w:left w:val="nil"/>
              <w:bottom w:val="nil"/>
              <w:right w:val="nil"/>
            </w:tcBorders>
            <w:shd w:val="clear" w:color="auto" w:fill="auto"/>
            <w:vAlign w:val="center"/>
            <w:hideMark/>
          </w:tcPr>
          <w:p w14:paraId="642DD653"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Board Independence</w:t>
            </w:r>
          </w:p>
        </w:tc>
        <w:tc>
          <w:tcPr>
            <w:tcW w:w="1500" w:type="dxa"/>
            <w:tcBorders>
              <w:top w:val="nil"/>
              <w:left w:val="nil"/>
              <w:bottom w:val="nil"/>
              <w:right w:val="nil"/>
            </w:tcBorders>
            <w:shd w:val="clear" w:color="auto" w:fill="auto"/>
            <w:hideMark/>
          </w:tcPr>
          <w:p w14:paraId="4D84225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-12.49***</w:t>
            </w:r>
          </w:p>
        </w:tc>
        <w:tc>
          <w:tcPr>
            <w:tcW w:w="1760" w:type="dxa"/>
            <w:tcBorders>
              <w:top w:val="nil"/>
              <w:left w:val="nil"/>
              <w:bottom w:val="nil"/>
              <w:right w:val="nil"/>
            </w:tcBorders>
            <w:shd w:val="clear" w:color="auto" w:fill="auto"/>
            <w:hideMark/>
          </w:tcPr>
          <w:p w14:paraId="61273F6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-1.146*</w:t>
            </w:r>
          </w:p>
        </w:tc>
        <w:tc>
          <w:tcPr>
            <w:tcW w:w="1480" w:type="dxa"/>
            <w:tcBorders>
              <w:top w:val="nil"/>
              <w:left w:val="nil"/>
              <w:bottom w:val="nil"/>
              <w:right w:val="nil"/>
            </w:tcBorders>
            <w:shd w:val="clear" w:color="auto" w:fill="auto"/>
            <w:hideMark/>
          </w:tcPr>
          <w:p w14:paraId="39B8F2D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-52.83***</w:t>
            </w:r>
          </w:p>
        </w:tc>
        <w:tc>
          <w:tcPr>
            <w:tcW w:w="1360" w:type="dxa"/>
            <w:tcBorders>
              <w:top w:val="nil"/>
              <w:left w:val="nil"/>
              <w:bottom w:val="nil"/>
              <w:right w:val="nil"/>
            </w:tcBorders>
            <w:shd w:val="clear" w:color="auto" w:fill="auto"/>
            <w:hideMark/>
          </w:tcPr>
          <w:p w14:paraId="07481AF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-7.615***</w:t>
            </w:r>
          </w:p>
        </w:tc>
      </w:tr>
      <w:tr w:rsidR="0092047F" w:rsidRPr="00156B53" w14:paraId="400CBCEB" w14:textId="77777777" w:rsidTr="0092047F">
        <w:trPr>
          <w:trHeight w:val="284"/>
        </w:trPr>
        <w:tc>
          <w:tcPr>
            <w:tcW w:w="2694" w:type="dxa"/>
            <w:vMerge/>
            <w:tcBorders>
              <w:top w:val="nil"/>
              <w:left w:val="nil"/>
              <w:bottom w:val="nil"/>
              <w:right w:val="nil"/>
            </w:tcBorders>
            <w:vAlign w:val="center"/>
            <w:hideMark/>
          </w:tcPr>
          <w:p w14:paraId="0FB5E239"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4FB4669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(3.170)</w:t>
            </w:r>
          </w:p>
        </w:tc>
        <w:tc>
          <w:tcPr>
            <w:tcW w:w="1760" w:type="dxa"/>
            <w:tcBorders>
              <w:top w:val="nil"/>
              <w:left w:val="nil"/>
              <w:bottom w:val="nil"/>
              <w:right w:val="nil"/>
            </w:tcBorders>
            <w:shd w:val="clear" w:color="auto" w:fill="auto"/>
            <w:hideMark/>
          </w:tcPr>
          <w:p w14:paraId="56CFBBE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(0.647)</w:t>
            </w:r>
          </w:p>
        </w:tc>
        <w:tc>
          <w:tcPr>
            <w:tcW w:w="1480" w:type="dxa"/>
            <w:tcBorders>
              <w:top w:val="nil"/>
              <w:left w:val="nil"/>
              <w:bottom w:val="nil"/>
              <w:right w:val="nil"/>
            </w:tcBorders>
            <w:shd w:val="clear" w:color="auto" w:fill="auto"/>
            <w:hideMark/>
          </w:tcPr>
          <w:p w14:paraId="7A68E7C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(3.292)</w:t>
            </w:r>
          </w:p>
        </w:tc>
        <w:tc>
          <w:tcPr>
            <w:tcW w:w="1360" w:type="dxa"/>
            <w:tcBorders>
              <w:top w:val="nil"/>
              <w:left w:val="nil"/>
              <w:bottom w:val="nil"/>
              <w:right w:val="nil"/>
            </w:tcBorders>
            <w:shd w:val="clear" w:color="auto" w:fill="auto"/>
            <w:hideMark/>
          </w:tcPr>
          <w:p w14:paraId="2590D37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(0.517)</w:t>
            </w:r>
          </w:p>
        </w:tc>
      </w:tr>
      <w:tr w:rsidR="0092047F" w:rsidRPr="00156B53" w14:paraId="18BDB42B" w14:textId="77777777" w:rsidTr="0092047F">
        <w:trPr>
          <w:trHeight w:val="284"/>
        </w:trPr>
        <w:tc>
          <w:tcPr>
            <w:tcW w:w="2694" w:type="dxa"/>
            <w:vMerge w:val="restart"/>
            <w:tcBorders>
              <w:top w:val="nil"/>
              <w:left w:val="nil"/>
              <w:bottom w:val="nil"/>
              <w:right w:val="nil"/>
            </w:tcBorders>
            <w:shd w:val="clear" w:color="auto" w:fill="auto"/>
            <w:vAlign w:val="center"/>
            <w:hideMark/>
          </w:tcPr>
          <w:p w14:paraId="43B84A8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Extra Committees</w:t>
            </w:r>
          </w:p>
        </w:tc>
        <w:tc>
          <w:tcPr>
            <w:tcW w:w="1500" w:type="dxa"/>
            <w:tcBorders>
              <w:top w:val="nil"/>
              <w:left w:val="nil"/>
              <w:bottom w:val="nil"/>
              <w:right w:val="nil"/>
            </w:tcBorders>
            <w:shd w:val="clear" w:color="auto" w:fill="auto"/>
            <w:hideMark/>
          </w:tcPr>
          <w:p w14:paraId="1010F27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-1.984</w:t>
            </w:r>
          </w:p>
        </w:tc>
        <w:tc>
          <w:tcPr>
            <w:tcW w:w="1760" w:type="dxa"/>
            <w:tcBorders>
              <w:top w:val="nil"/>
              <w:left w:val="nil"/>
              <w:bottom w:val="nil"/>
              <w:right w:val="nil"/>
            </w:tcBorders>
            <w:shd w:val="clear" w:color="auto" w:fill="auto"/>
            <w:hideMark/>
          </w:tcPr>
          <w:p w14:paraId="75339B7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-0.404</w:t>
            </w:r>
          </w:p>
        </w:tc>
        <w:tc>
          <w:tcPr>
            <w:tcW w:w="1480" w:type="dxa"/>
            <w:tcBorders>
              <w:top w:val="nil"/>
              <w:left w:val="nil"/>
              <w:bottom w:val="nil"/>
              <w:right w:val="nil"/>
            </w:tcBorders>
            <w:shd w:val="clear" w:color="auto" w:fill="auto"/>
            <w:hideMark/>
          </w:tcPr>
          <w:p w14:paraId="57E13B2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-2.253</w:t>
            </w:r>
          </w:p>
        </w:tc>
        <w:tc>
          <w:tcPr>
            <w:tcW w:w="1360" w:type="dxa"/>
            <w:tcBorders>
              <w:top w:val="nil"/>
              <w:left w:val="nil"/>
              <w:bottom w:val="nil"/>
              <w:right w:val="nil"/>
            </w:tcBorders>
            <w:shd w:val="clear" w:color="auto" w:fill="auto"/>
            <w:hideMark/>
          </w:tcPr>
          <w:p w14:paraId="76A7A6F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-1.565***</w:t>
            </w:r>
          </w:p>
        </w:tc>
      </w:tr>
      <w:tr w:rsidR="0092047F" w:rsidRPr="00156B53" w14:paraId="4E1DC8E4" w14:textId="77777777" w:rsidTr="0092047F">
        <w:trPr>
          <w:trHeight w:val="284"/>
        </w:trPr>
        <w:tc>
          <w:tcPr>
            <w:tcW w:w="2694" w:type="dxa"/>
            <w:vMerge/>
            <w:tcBorders>
              <w:top w:val="nil"/>
              <w:left w:val="nil"/>
              <w:bottom w:val="nil"/>
              <w:right w:val="nil"/>
            </w:tcBorders>
            <w:vAlign w:val="center"/>
            <w:hideMark/>
          </w:tcPr>
          <w:p w14:paraId="40B5861A"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0EE65AE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(1.804)</w:t>
            </w:r>
          </w:p>
        </w:tc>
        <w:tc>
          <w:tcPr>
            <w:tcW w:w="1760" w:type="dxa"/>
            <w:tcBorders>
              <w:top w:val="nil"/>
              <w:left w:val="nil"/>
              <w:bottom w:val="nil"/>
              <w:right w:val="nil"/>
            </w:tcBorders>
            <w:shd w:val="clear" w:color="auto" w:fill="auto"/>
            <w:hideMark/>
          </w:tcPr>
          <w:p w14:paraId="363B1AE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(0.309)</w:t>
            </w:r>
          </w:p>
        </w:tc>
        <w:tc>
          <w:tcPr>
            <w:tcW w:w="1480" w:type="dxa"/>
            <w:tcBorders>
              <w:top w:val="nil"/>
              <w:left w:val="nil"/>
              <w:bottom w:val="nil"/>
              <w:right w:val="nil"/>
            </w:tcBorders>
            <w:shd w:val="clear" w:color="auto" w:fill="auto"/>
            <w:hideMark/>
          </w:tcPr>
          <w:p w14:paraId="1482E8F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(1.598)</w:t>
            </w:r>
          </w:p>
        </w:tc>
        <w:tc>
          <w:tcPr>
            <w:tcW w:w="1360" w:type="dxa"/>
            <w:tcBorders>
              <w:top w:val="nil"/>
              <w:left w:val="nil"/>
              <w:bottom w:val="nil"/>
              <w:right w:val="nil"/>
            </w:tcBorders>
            <w:shd w:val="clear" w:color="auto" w:fill="auto"/>
            <w:hideMark/>
          </w:tcPr>
          <w:p w14:paraId="7D30A45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(0.178)</w:t>
            </w:r>
          </w:p>
        </w:tc>
      </w:tr>
      <w:tr w:rsidR="0092047F" w:rsidRPr="00156B53" w14:paraId="539BFC45" w14:textId="77777777" w:rsidTr="0092047F">
        <w:trPr>
          <w:trHeight w:val="284"/>
        </w:trPr>
        <w:tc>
          <w:tcPr>
            <w:tcW w:w="2694" w:type="dxa"/>
            <w:vMerge w:val="restart"/>
            <w:tcBorders>
              <w:top w:val="nil"/>
              <w:left w:val="nil"/>
              <w:bottom w:val="nil"/>
              <w:right w:val="nil"/>
            </w:tcBorders>
            <w:shd w:val="clear" w:color="auto" w:fill="auto"/>
            <w:vAlign w:val="center"/>
            <w:hideMark/>
          </w:tcPr>
          <w:p w14:paraId="67B0B5A8"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Internal Controls</w:t>
            </w:r>
          </w:p>
        </w:tc>
        <w:tc>
          <w:tcPr>
            <w:tcW w:w="1500" w:type="dxa"/>
            <w:tcBorders>
              <w:top w:val="nil"/>
              <w:left w:val="nil"/>
              <w:bottom w:val="nil"/>
              <w:right w:val="nil"/>
            </w:tcBorders>
            <w:shd w:val="clear" w:color="auto" w:fill="auto"/>
            <w:hideMark/>
          </w:tcPr>
          <w:p w14:paraId="0135DE4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3.006***</w:t>
            </w:r>
          </w:p>
        </w:tc>
        <w:tc>
          <w:tcPr>
            <w:tcW w:w="1760" w:type="dxa"/>
            <w:tcBorders>
              <w:top w:val="nil"/>
              <w:left w:val="nil"/>
              <w:bottom w:val="nil"/>
              <w:right w:val="nil"/>
            </w:tcBorders>
            <w:shd w:val="clear" w:color="auto" w:fill="auto"/>
            <w:hideMark/>
          </w:tcPr>
          <w:p w14:paraId="0A9D010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0.592***</w:t>
            </w:r>
          </w:p>
        </w:tc>
        <w:tc>
          <w:tcPr>
            <w:tcW w:w="1480" w:type="dxa"/>
            <w:tcBorders>
              <w:top w:val="nil"/>
              <w:left w:val="nil"/>
              <w:bottom w:val="nil"/>
              <w:right w:val="nil"/>
            </w:tcBorders>
            <w:shd w:val="clear" w:color="auto" w:fill="auto"/>
            <w:hideMark/>
          </w:tcPr>
          <w:p w14:paraId="443CCB4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4.567***</w:t>
            </w:r>
          </w:p>
        </w:tc>
        <w:tc>
          <w:tcPr>
            <w:tcW w:w="1360" w:type="dxa"/>
            <w:tcBorders>
              <w:top w:val="nil"/>
              <w:left w:val="nil"/>
              <w:bottom w:val="nil"/>
              <w:right w:val="nil"/>
            </w:tcBorders>
            <w:shd w:val="clear" w:color="auto" w:fill="auto"/>
            <w:hideMark/>
          </w:tcPr>
          <w:p w14:paraId="6B4F131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2.256***</w:t>
            </w:r>
          </w:p>
        </w:tc>
      </w:tr>
      <w:tr w:rsidR="0092047F" w:rsidRPr="00156B53" w14:paraId="5708FCCC" w14:textId="77777777" w:rsidTr="0092047F">
        <w:trPr>
          <w:trHeight w:val="284"/>
        </w:trPr>
        <w:tc>
          <w:tcPr>
            <w:tcW w:w="2694" w:type="dxa"/>
            <w:vMerge/>
            <w:tcBorders>
              <w:top w:val="nil"/>
              <w:left w:val="nil"/>
              <w:bottom w:val="nil"/>
              <w:right w:val="nil"/>
            </w:tcBorders>
            <w:vAlign w:val="center"/>
            <w:hideMark/>
          </w:tcPr>
          <w:p w14:paraId="2229D5C9"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39FB370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(0.642)</w:t>
            </w:r>
          </w:p>
        </w:tc>
        <w:tc>
          <w:tcPr>
            <w:tcW w:w="1760" w:type="dxa"/>
            <w:tcBorders>
              <w:top w:val="nil"/>
              <w:left w:val="nil"/>
              <w:bottom w:val="nil"/>
              <w:right w:val="nil"/>
            </w:tcBorders>
            <w:shd w:val="clear" w:color="auto" w:fill="auto"/>
            <w:hideMark/>
          </w:tcPr>
          <w:p w14:paraId="757A7AB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(0.188)</w:t>
            </w:r>
          </w:p>
        </w:tc>
        <w:tc>
          <w:tcPr>
            <w:tcW w:w="1480" w:type="dxa"/>
            <w:tcBorders>
              <w:top w:val="nil"/>
              <w:left w:val="nil"/>
              <w:bottom w:val="nil"/>
              <w:right w:val="nil"/>
            </w:tcBorders>
            <w:shd w:val="clear" w:color="auto" w:fill="auto"/>
            <w:hideMark/>
          </w:tcPr>
          <w:p w14:paraId="76C32F7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(0.701)</w:t>
            </w:r>
          </w:p>
        </w:tc>
        <w:tc>
          <w:tcPr>
            <w:tcW w:w="1360" w:type="dxa"/>
            <w:tcBorders>
              <w:top w:val="nil"/>
              <w:left w:val="nil"/>
              <w:bottom w:val="nil"/>
              <w:right w:val="nil"/>
            </w:tcBorders>
            <w:shd w:val="clear" w:color="auto" w:fill="auto"/>
            <w:hideMark/>
          </w:tcPr>
          <w:p w14:paraId="39002E9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(0.105)</w:t>
            </w:r>
          </w:p>
        </w:tc>
      </w:tr>
      <w:tr w:rsidR="0092047F" w:rsidRPr="00156B53" w14:paraId="20772560" w14:textId="77777777" w:rsidTr="0092047F">
        <w:trPr>
          <w:trHeight w:val="284"/>
        </w:trPr>
        <w:tc>
          <w:tcPr>
            <w:tcW w:w="2694" w:type="dxa"/>
            <w:tcBorders>
              <w:top w:val="nil"/>
              <w:left w:val="nil"/>
              <w:bottom w:val="nil"/>
              <w:right w:val="nil"/>
            </w:tcBorders>
            <w:shd w:val="clear" w:color="auto" w:fill="auto"/>
            <w:vAlign w:val="center"/>
            <w:hideMark/>
          </w:tcPr>
          <w:p w14:paraId="0ED70E0E" w14:textId="77777777" w:rsidR="0092047F" w:rsidRPr="00156B53" w:rsidRDefault="0092047F" w:rsidP="0092047F">
            <w:pPr>
              <w:spacing w:after="0" w:line="240" w:lineRule="auto"/>
              <w:ind w:firstLine="0"/>
              <w:jc w:val="left"/>
              <w:rPr>
                <w:rFonts w:eastAsia="Times New Roman" w:cs="Times New Roman"/>
                <w:b/>
                <w:color w:val="000000"/>
                <w:sz w:val="22"/>
                <w:lang w:eastAsia="en-GB"/>
              </w:rPr>
            </w:pPr>
            <w:r w:rsidRPr="00156B53">
              <w:rPr>
                <w:rFonts w:eastAsia="Times New Roman" w:cs="Times New Roman"/>
                <w:b/>
                <w:color w:val="000000"/>
                <w:sz w:val="22"/>
                <w:lang w:eastAsia="en-GB"/>
              </w:rPr>
              <w:t>Incentives variables</w:t>
            </w:r>
          </w:p>
        </w:tc>
        <w:tc>
          <w:tcPr>
            <w:tcW w:w="1500" w:type="dxa"/>
            <w:tcBorders>
              <w:top w:val="nil"/>
              <w:left w:val="nil"/>
              <w:bottom w:val="nil"/>
              <w:right w:val="nil"/>
            </w:tcBorders>
            <w:shd w:val="clear" w:color="auto" w:fill="auto"/>
            <w:noWrap/>
            <w:vAlign w:val="bottom"/>
            <w:hideMark/>
          </w:tcPr>
          <w:p w14:paraId="6B42F0CC"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760" w:type="dxa"/>
            <w:tcBorders>
              <w:top w:val="nil"/>
              <w:left w:val="nil"/>
              <w:bottom w:val="nil"/>
              <w:right w:val="nil"/>
            </w:tcBorders>
            <w:shd w:val="clear" w:color="auto" w:fill="auto"/>
            <w:noWrap/>
            <w:vAlign w:val="bottom"/>
            <w:hideMark/>
          </w:tcPr>
          <w:p w14:paraId="021CA76B"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04F572A"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1ECFAEF1"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r>
      <w:tr w:rsidR="0092047F" w:rsidRPr="00156B53" w14:paraId="7F9F667B" w14:textId="77777777" w:rsidTr="0092047F">
        <w:trPr>
          <w:trHeight w:val="284"/>
        </w:trPr>
        <w:tc>
          <w:tcPr>
            <w:tcW w:w="2694" w:type="dxa"/>
            <w:vMerge w:val="restart"/>
            <w:tcBorders>
              <w:top w:val="nil"/>
              <w:left w:val="nil"/>
              <w:bottom w:val="nil"/>
              <w:right w:val="nil"/>
            </w:tcBorders>
            <w:shd w:val="clear" w:color="auto" w:fill="auto"/>
            <w:vAlign w:val="center"/>
            <w:hideMark/>
          </w:tcPr>
          <w:p w14:paraId="15E194D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Directors' share ownership</w:t>
            </w:r>
          </w:p>
        </w:tc>
        <w:tc>
          <w:tcPr>
            <w:tcW w:w="1500" w:type="dxa"/>
            <w:tcBorders>
              <w:top w:val="nil"/>
              <w:left w:val="nil"/>
              <w:bottom w:val="nil"/>
              <w:right w:val="nil"/>
            </w:tcBorders>
            <w:shd w:val="clear" w:color="auto" w:fill="auto"/>
            <w:hideMark/>
          </w:tcPr>
          <w:p w14:paraId="0A17C21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0.416***</w:t>
            </w:r>
          </w:p>
        </w:tc>
        <w:tc>
          <w:tcPr>
            <w:tcW w:w="1760" w:type="dxa"/>
            <w:tcBorders>
              <w:top w:val="nil"/>
              <w:left w:val="nil"/>
              <w:bottom w:val="nil"/>
              <w:right w:val="nil"/>
            </w:tcBorders>
            <w:shd w:val="clear" w:color="auto" w:fill="auto"/>
            <w:hideMark/>
          </w:tcPr>
          <w:p w14:paraId="4C7DB8D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0.0604</w:t>
            </w:r>
          </w:p>
        </w:tc>
        <w:tc>
          <w:tcPr>
            <w:tcW w:w="1480" w:type="dxa"/>
            <w:tcBorders>
              <w:top w:val="nil"/>
              <w:left w:val="nil"/>
              <w:bottom w:val="nil"/>
              <w:right w:val="nil"/>
            </w:tcBorders>
            <w:shd w:val="clear" w:color="auto" w:fill="auto"/>
            <w:hideMark/>
          </w:tcPr>
          <w:p w14:paraId="0E2994D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0.380***</w:t>
            </w:r>
          </w:p>
        </w:tc>
        <w:tc>
          <w:tcPr>
            <w:tcW w:w="1360" w:type="dxa"/>
            <w:tcBorders>
              <w:top w:val="nil"/>
              <w:left w:val="nil"/>
              <w:bottom w:val="nil"/>
              <w:right w:val="nil"/>
            </w:tcBorders>
            <w:shd w:val="clear" w:color="auto" w:fill="auto"/>
            <w:hideMark/>
          </w:tcPr>
          <w:p w14:paraId="6C40739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0.0650*</w:t>
            </w:r>
          </w:p>
        </w:tc>
      </w:tr>
      <w:tr w:rsidR="0092047F" w:rsidRPr="00156B53" w14:paraId="2977DB85" w14:textId="77777777" w:rsidTr="0092047F">
        <w:trPr>
          <w:trHeight w:val="284"/>
        </w:trPr>
        <w:tc>
          <w:tcPr>
            <w:tcW w:w="2694" w:type="dxa"/>
            <w:vMerge/>
            <w:tcBorders>
              <w:top w:val="nil"/>
              <w:left w:val="nil"/>
              <w:bottom w:val="nil"/>
              <w:right w:val="nil"/>
            </w:tcBorders>
            <w:vAlign w:val="center"/>
            <w:hideMark/>
          </w:tcPr>
          <w:p w14:paraId="212B7BFD"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1C4063C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(0.140)</w:t>
            </w:r>
          </w:p>
        </w:tc>
        <w:tc>
          <w:tcPr>
            <w:tcW w:w="1760" w:type="dxa"/>
            <w:tcBorders>
              <w:top w:val="nil"/>
              <w:left w:val="nil"/>
              <w:bottom w:val="nil"/>
              <w:right w:val="nil"/>
            </w:tcBorders>
            <w:shd w:val="clear" w:color="auto" w:fill="auto"/>
            <w:hideMark/>
          </w:tcPr>
          <w:p w14:paraId="6D401B4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(0.098)</w:t>
            </w:r>
          </w:p>
        </w:tc>
        <w:tc>
          <w:tcPr>
            <w:tcW w:w="1480" w:type="dxa"/>
            <w:tcBorders>
              <w:top w:val="nil"/>
              <w:left w:val="nil"/>
              <w:bottom w:val="nil"/>
              <w:right w:val="nil"/>
            </w:tcBorders>
            <w:shd w:val="clear" w:color="auto" w:fill="auto"/>
            <w:hideMark/>
          </w:tcPr>
          <w:p w14:paraId="4F63AB7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(0.056)</w:t>
            </w:r>
          </w:p>
        </w:tc>
        <w:tc>
          <w:tcPr>
            <w:tcW w:w="1360" w:type="dxa"/>
            <w:tcBorders>
              <w:top w:val="nil"/>
              <w:left w:val="nil"/>
              <w:bottom w:val="nil"/>
              <w:right w:val="nil"/>
            </w:tcBorders>
            <w:shd w:val="clear" w:color="auto" w:fill="auto"/>
            <w:hideMark/>
          </w:tcPr>
          <w:p w14:paraId="3DB6D0D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(0.033)</w:t>
            </w:r>
          </w:p>
        </w:tc>
      </w:tr>
      <w:tr w:rsidR="0092047F" w:rsidRPr="00156B53" w14:paraId="33895FC3" w14:textId="77777777" w:rsidTr="0092047F">
        <w:trPr>
          <w:trHeight w:val="284"/>
        </w:trPr>
        <w:tc>
          <w:tcPr>
            <w:tcW w:w="2694" w:type="dxa"/>
            <w:vMerge w:val="restart"/>
            <w:tcBorders>
              <w:top w:val="nil"/>
              <w:left w:val="nil"/>
              <w:bottom w:val="nil"/>
              <w:right w:val="nil"/>
            </w:tcBorders>
            <w:shd w:val="clear" w:color="auto" w:fill="auto"/>
            <w:vAlign w:val="center"/>
            <w:hideMark/>
          </w:tcPr>
          <w:p w14:paraId="762D555B"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Remuneration</w:t>
            </w:r>
          </w:p>
        </w:tc>
        <w:tc>
          <w:tcPr>
            <w:tcW w:w="1500" w:type="dxa"/>
            <w:tcBorders>
              <w:top w:val="nil"/>
              <w:left w:val="nil"/>
              <w:bottom w:val="nil"/>
              <w:right w:val="nil"/>
            </w:tcBorders>
            <w:shd w:val="clear" w:color="auto" w:fill="auto"/>
            <w:hideMark/>
          </w:tcPr>
          <w:p w14:paraId="44306E4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-0.285</w:t>
            </w:r>
          </w:p>
        </w:tc>
        <w:tc>
          <w:tcPr>
            <w:tcW w:w="1760" w:type="dxa"/>
            <w:tcBorders>
              <w:top w:val="nil"/>
              <w:left w:val="nil"/>
              <w:bottom w:val="nil"/>
              <w:right w:val="nil"/>
            </w:tcBorders>
            <w:shd w:val="clear" w:color="auto" w:fill="auto"/>
            <w:hideMark/>
          </w:tcPr>
          <w:p w14:paraId="1104960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-0.115**</w:t>
            </w:r>
          </w:p>
        </w:tc>
        <w:tc>
          <w:tcPr>
            <w:tcW w:w="1480" w:type="dxa"/>
            <w:tcBorders>
              <w:top w:val="nil"/>
              <w:left w:val="nil"/>
              <w:bottom w:val="nil"/>
              <w:right w:val="nil"/>
            </w:tcBorders>
            <w:shd w:val="clear" w:color="auto" w:fill="auto"/>
            <w:hideMark/>
          </w:tcPr>
          <w:p w14:paraId="77FD6A4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-0.496***</w:t>
            </w:r>
          </w:p>
        </w:tc>
        <w:tc>
          <w:tcPr>
            <w:tcW w:w="1360" w:type="dxa"/>
            <w:tcBorders>
              <w:top w:val="nil"/>
              <w:left w:val="nil"/>
              <w:bottom w:val="nil"/>
              <w:right w:val="nil"/>
            </w:tcBorders>
            <w:shd w:val="clear" w:color="auto" w:fill="auto"/>
            <w:hideMark/>
          </w:tcPr>
          <w:p w14:paraId="4FE2314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-0.0691***</w:t>
            </w:r>
          </w:p>
        </w:tc>
      </w:tr>
      <w:tr w:rsidR="0092047F" w:rsidRPr="00156B53" w14:paraId="10717168" w14:textId="77777777" w:rsidTr="0092047F">
        <w:trPr>
          <w:trHeight w:val="284"/>
        </w:trPr>
        <w:tc>
          <w:tcPr>
            <w:tcW w:w="2694" w:type="dxa"/>
            <w:vMerge/>
            <w:tcBorders>
              <w:top w:val="nil"/>
              <w:left w:val="nil"/>
              <w:bottom w:val="nil"/>
              <w:right w:val="nil"/>
            </w:tcBorders>
            <w:vAlign w:val="center"/>
            <w:hideMark/>
          </w:tcPr>
          <w:p w14:paraId="382B960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7B28653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(0.266)</w:t>
            </w:r>
          </w:p>
        </w:tc>
        <w:tc>
          <w:tcPr>
            <w:tcW w:w="1760" w:type="dxa"/>
            <w:tcBorders>
              <w:top w:val="nil"/>
              <w:left w:val="nil"/>
              <w:bottom w:val="nil"/>
              <w:right w:val="nil"/>
            </w:tcBorders>
            <w:shd w:val="clear" w:color="auto" w:fill="auto"/>
            <w:hideMark/>
          </w:tcPr>
          <w:p w14:paraId="57C099F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(0.055)</w:t>
            </w:r>
          </w:p>
        </w:tc>
        <w:tc>
          <w:tcPr>
            <w:tcW w:w="1480" w:type="dxa"/>
            <w:tcBorders>
              <w:top w:val="nil"/>
              <w:left w:val="nil"/>
              <w:bottom w:val="nil"/>
              <w:right w:val="nil"/>
            </w:tcBorders>
            <w:shd w:val="clear" w:color="auto" w:fill="auto"/>
            <w:hideMark/>
          </w:tcPr>
          <w:p w14:paraId="12DEA92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(0.152)</w:t>
            </w:r>
          </w:p>
        </w:tc>
        <w:tc>
          <w:tcPr>
            <w:tcW w:w="1360" w:type="dxa"/>
            <w:tcBorders>
              <w:top w:val="nil"/>
              <w:left w:val="nil"/>
              <w:bottom w:val="nil"/>
              <w:right w:val="nil"/>
            </w:tcBorders>
            <w:shd w:val="clear" w:color="auto" w:fill="auto"/>
            <w:hideMark/>
          </w:tcPr>
          <w:p w14:paraId="030C785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(0.019)</w:t>
            </w:r>
          </w:p>
        </w:tc>
      </w:tr>
      <w:tr w:rsidR="0092047F" w:rsidRPr="00156B53" w14:paraId="020D085F" w14:textId="77777777" w:rsidTr="0092047F">
        <w:trPr>
          <w:trHeight w:val="284"/>
        </w:trPr>
        <w:tc>
          <w:tcPr>
            <w:tcW w:w="2694" w:type="dxa"/>
            <w:tcBorders>
              <w:top w:val="nil"/>
              <w:left w:val="nil"/>
              <w:bottom w:val="nil"/>
              <w:right w:val="nil"/>
            </w:tcBorders>
            <w:shd w:val="clear" w:color="auto" w:fill="auto"/>
            <w:vAlign w:val="center"/>
            <w:hideMark/>
          </w:tcPr>
          <w:p w14:paraId="6B18676A" w14:textId="77777777" w:rsidR="0092047F" w:rsidRPr="00156B53" w:rsidRDefault="0092047F" w:rsidP="0092047F">
            <w:pPr>
              <w:spacing w:after="0" w:line="240" w:lineRule="auto"/>
              <w:ind w:firstLine="0"/>
              <w:jc w:val="left"/>
              <w:rPr>
                <w:rFonts w:eastAsia="Times New Roman" w:cs="Times New Roman"/>
                <w:b/>
                <w:color w:val="000000"/>
                <w:sz w:val="22"/>
                <w:lang w:eastAsia="en-GB"/>
              </w:rPr>
            </w:pPr>
            <w:r w:rsidRPr="00156B53">
              <w:rPr>
                <w:rFonts w:eastAsia="Times New Roman" w:cs="Times New Roman"/>
                <w:b/>
                <w:color w:val="000000"/>
                <w:sz w:val="22"/>
                <w:lang w:eastAsia="en-GB"/>
              </w:rPr>
              <w:t>Control variables</w:t>
            </w:r>
          </w:p>
        </w:tc>
        <w:tc>
          <w:tcPr>
            <w:tcW w:w="1500" w:type="dxa"/>
            <w:tcBorders>
              <w:top w:val="nil"/>
              <w:left w:val="nil"/>
              <w:bottom w:val="nil"/>
              <w:right w:val="nil"/>
            </w:tcBorders>
            <w:shd w:val="clear" w:color="auto" w:fill="auto"/>
            <w:noWrap/>
            <w:vAlign w:val="bottom"/>
            <w:hideMark/>
          </w:tcPr>
          <w:p w14:paraId="22444D0A"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760" w:type="dxa"/>
            <w:tcBorders>
              <w:top w:val="nil"/>
              <w:left w:val="nil"/>
              <w:bottom w:val="nil"/>
              <w:right w:val="nil"/>
            </w:tcBorders>
            <w:shd w:val="clear" w:color="auto" w:fill="auto"/>
            <w:noWrap/>
            <w:vAlign w:val="bottom"/>
            <w:hideMark/>
          </w:tcPr>
          <w:p w14:paraId="314C321B"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532AF57F"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218F21D"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r>
      <w:tr w:rsidR="0092047F" w:rsidRPr="00156B53" w14:paraId="59E892A1" w14:textId="77777777" w:rsidTr="0092047F">
        <w:trPr>
          <w:trHeight w:val="284"/>
        </w:trPr>
        <w:tc>
          <w:tcPr>
            <w:tcW w:w="2694" w:type="dxa"/>
            <w:vMerge w:val="restart"/>
            <w:tcBorders>
              <w:top w:val="nil"/>
              <w:left w:val="nil"/>
              <w:bottom w:val="nil"/>
              <w:right w:val="nil"/>
            </w:tcBorders>
            <w:shd w:val="clear" w:color="auto" w:fill="auto"/>
            <w:vAlign w:val="center"/>
            <w:hideMark/>
          </w:tcPr>
          <w:p w14:paraId="4906E314"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Leverage</w:t>
            </w:r>
          </w:p>
        </w:tc>
        <w:tc>
          <w:tcPr>
            <w:tcW w:w="1500" w:type="dxa"/>
            <w:tcBorders>
              <w:top w:val="nil"/>
              <w:left w:val="nil"/>
              <w:bottom w:val="nil"/>
              <w:right w:val="nil"/>
            </w:tcBorders>
            <w:shd w:val="clear" w:color="auto" w:fill="auto"/>
            <w:hideMark/>
          </w:tcPr>
          <w:p w14:paraId="2842437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0.134*</w:t>
            </w:r>
          </w:p>
        </w:tc>
        <w:tc>
          <w:tcPr>
            <w:tcW w:w="1760" w:type="dxa"/>
            <w:tcBorders>
              <w:top w:val="nil"/>
              <w:left w:val="nil"/>
              <w:bottom w:val="nil"/>
              <w:right w:val="nil"/>
            </w:tcBorders>
            <w:shd w:val="clear" w:color="auto" w:fill="auto"/>
            <w:hideMark/>
          </w:tcPr>
          <w:p w14:paraId="11223A5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0.0367***</w:t>
            </w:r>
          </w:p>
        </w:tc>
        <w:tc>
          <w:tcPr>
            <w:tcW w:w="1480" w:type="dxa"/>
            <w:tcBorders>
              <w:top w:val="nil"/>
              <w:left w:val="nil"/>
              <w:bottom w:val="nil"/>
              <w:right w:val="nil"/>
            </w:tcBorders>
            <w:shd w:val="clear" w:color="auto" w:fill="auto"/>
            <w:hideMark/>
          </w:tcPr>
          <w:p w14:paraId="6924F1D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-0.960***</w:t>
            </w:r>
          </w:p>
        </w:tc>
        <w:tc>
          <w:tcPr>
            <w:tcW w:w="1360" w:type="dxa"/>
            <w:tcBorders>
              <w:top w:val="nil"/>
              <w:left w:val="nil"/>
              <w:bottom w:val="nil"/>
              <w:right w:val="nil"/>
            </w:tcBorders>
            <w:shd w:val="clear" w:color="auto" w:fill="auto"/>
            <w:hideMark/>
          </w:tcPr>
          <w:p w14:paraId="495EEE4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-0.0312***</w:t>
            </w:r>
          </w:p>
        </w:tc>
      </w:tr>
      <w:tr w:rsidR="0092047F" w:rsidRPr="00156B53" w14:paraId="4E983AD3" w14:textId="77777777" w:rsidTr="0092047F">
        <w:trPr>
          <w:trHeight w:val="284"/>
        </w:trPr>
        <w:tc>
          <w:tcPr>
            <w:tcW w:w="2694" w:type="dxa"/>
            <w:vMerge/>
            <w:tcBorders>
              <w:top w:val="nil"/>
              <w:left w:val="nil"/>
              <w:bottom w:val="nil"/>
              <w:right w:val="nil"/>
            </w:tcBorders>
            <w:vAlign w:val="center"/>
            <w:hideMark/>
          </w:tcPr>
          <w:p w14:paraId="4A4E0D18"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2F592D0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(0.079)</w:t>
            </w:r>
          </w:p>
        </w:tc>
        <w:tc>
          <w:tcPr>
            <w:tcW w:w="1760" w:type="dxa"/>
            <w:tcBorders>
              <w:top w:val="nil"/>
              <w:left w:val="nil"/>
              <w:bottom w:val="nil"/>
              <w:right w:val="nil"/>
            </w:tcBorders>
            <w:shd w:val="clear" w:color="auto" w:fill="auto"/>
            <w:hideMark/>
          </w:tcPr>
          <w:p w14:paraId="0B225C0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(0.011)</w:t>
            </w:r>
          </w:p>
        </w:tc>
        <w:tc>
          <w:tcPr>
            <w:tcW w:w="1480" w:type="dxa"/>
            <w:tcBorders>
              <w:top w:val="nil"/>
              <w:left w:val="nil"/>
              <w:bottom w:val="nil"/>
              <w:right w:val="nil"/>
            </w:tcBorders>
            <w:shd w:val="clear" w:color="auto" w:fill="auto"/>
            <w:hideMark/>
          </w:tcPr>
          <w:p w14:paraId="403198F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(0.049)</w:t>
            </w:r>
          </w:p>
        </w:tc>
        <w:tc>
          <w:tcPr>
            <w:tcW w:w="1360" w:type="dxa"/>
            <w:tcBorders>
              <w:top w:val="nil"/>
              <w:left w:val="nil"/>
              <w:bottom w:val="nil"/>
              <w:right w:val="nil"/>
            </w:tcBorders>
            <w:shd w:val="clear" w:color="auto" w:fill="auto"/>
            <w:hideMark/>
          </w:tcPr>
          <w:p w14:paraId="49C6117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(0.006)</w:t>
            </w:r>
          </w:p>
        </w:tc>
      </w:tr>
      <w:tr w:rsidR="0092047F" w:rsidRPr="00156B53" w14:paraId="1279D99D" w14:textId="77777777" w:rsidTr="0092047F">
        <w:trPr>
          <w:trHeight w:val="284"/>
        </w:trPr>
        <w:tc>
          <w:tcPr>
            <w:tcW w:w="2694" w:type="dxa"/>
            <w:vMerge w:val="restart"/>
            <w:tcBorders>
              <w:top w:val="nil"/>
              <w:left w:val="nil"/>
              <w:bottom w:val="nil"/>
              <w:right w:val="nil"/>
            </w:tcBorders>
            <w:shd w:val="clear" w:color="auto" w:fill="auto"/>
            <w:vAlign w:val="center"/>
            <w:hideMark/>
          </w:tcPr>
          <w:p w14:paraId="41158685"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Firm Size</w:t>
            </w:r>
          </w:p>
        </w:tc>
        <w:tc>
          <w:tcPr>
            <w:tcW w:w="1500" w:type="dxa"/>
            <w:tcBorders>
              <w:top w:val="nil"/>
              <w:left w:val="nil"/>
              <w:bottom w:val="nil"/>
              <w:right w:val="nil"/>
            </w:tcBorders>
            <w:shd w:val="clear" w:color="auto" w:fill="auto"/>
            <w:hideMark/>
          </w:tcPr>
          <w:p w14:paraId="71D67C4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-0.114</w:t>
            </w:r>
          </w:p>
        </w:tc>
        <w:tc>
          <w:tcPr>
            <w:tcW w:w="1760" w:type="dxa"/>
            <w:tcBorders>
              <w:top w:val="nil"/>
              <w:left w:val="nil"/>
              <w:bottom w:val="nil"/>
              <w:right w:val="nil"/>
            </w:tcBorders>
            <w:shd w:val="clear" w:color="auto" w:fill="auto"/>
            <w:hideMark/>
          </w:tcPr>
          <w:p w14:paraId="4C6B639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-0.0311*</w:t>
            </w:r>
          </w:p>
        </w:tc>
        <w:tc>
          <w:tcPr>
            <w:tcW w:w="1480" w:type="dxa"/>
            <w:tcBorders>
              <w:top w:val="nil"/>
              <w:left w:val="nil"/>
              <w:bottom w:val="nil"/>
              <w:right w:val="nil"/>
            </w:tcBorders>
            <w:shd w:val="clear" w:color="auto" w:fill="auto"/>
            <w:hideMark/>
          </w:tcPr>
          <w:p w14:paraId="4ED8C55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-0.126</w:t>
            </w:r>
          </w:p>
        </w:tc>
        <w:tc>
          <w:tcPr>
            <w:tcW w:w="1360" w:type="dxa"/>
            <w:tcBorders>
              <w:top w:val="nil"/>
              <w:left w:val="nil"/>
              <w:bottom w:val="nil"/>
              <w:right w:val="nil"/>
            </w:tcBorders>
            <w:shd w:val="clear" w:color="auto" w:fill="auto"/>
            <w:hideMark/>
          </w:tcPr>
          <w:p w14:paraId="6D167B0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-0.0439***</w:t>
            </w:r>
          </w:p>
        </w:tc>
      </w:tr>
      <w:tr w:rsidR="0092047F" w:rsidRPr="00156B53" w14:paraId="365A7EA7" w14:textId="77777777" w:rsidTr="0092047F">
        <w:trPr>
          <w:trHeight w:val="284"/>
        </w:trPr>
        <w:tc>
          <w:tcPr>
            <w:tcW w:w="2694" w:type="dxa"/>
            <w:vMerge/>
            <w:tcBorders>
              <w:top w:val="nil"/>
              <w:left w:val="nil"/>
              <w:bottom w:val="nil"/>
              <w:right w:val="nil"/>
            </w:tcBorders>
            <w:vAlign w:val="center"/>
            <w:hideMark/>
          </w:tcPr>
          <w:p w14:paraId="679E267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39357EB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(0.152)</w:t>
            </w:r>
          </w:p>
        </w:tc>
        <w:tc>
          <w:tcPr>
            <w:tcW w:w="1760" w:type="dxa"/>
            <w:tcBorders>
              <w:top w:val="nil"/>
              <w:left w:val="nil"/>
              <w:bottom w:val="nil"/>
              <w:right w:val="nil"/>
            </w:tcBorders>
            <w:shd w:val="clear" w:color="auto" w:fill="auto"/>
            <w:hideMark/>
          </w:tcPr>
          <w:p w14:paraId="544A044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(0.017)</w:t>
            </w:r>
          </w:p>
        </w:tc>
        <w:tc>
          <w:tcPr>
            <w:tcW w:w="1480" w:type="dxa"/>
            <w:tcBorders>
              <w:top w:val="nil"/>
              <w:left w:val="nil"/>
              <w:bottom w:val="nil"/>
              <w:right w:val="nil"/>
            </w:tcBorders>
            <w:shd w:val="clear" w:color="auto" w:fill="auto"/>
            <w:hideMark/>
          </w:tcPr>
          <w:p w14:paraId="3692BF3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(0.088)</w:t>
            </w:r>
          </w:p>
        </w:tc>
        <w:tc>
          <w:tcPr>
            <w:tcW w:w="1360" w:type="dxa"/>
            <w:tcBorders>
              <w:top w:val="nil"/>
              <w:left w:val="nil"/>
              <w:bottom w:val="nil"/>
              <w:right w:val="nil"/>
            </w:tcBorders>
            <w:shd w:val="clear" w:color="auto" w:fill="auto"/>
            <w:hideMark/>
          </w:tcPr>
          <w:p w14:paraId="36BE1C9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(0.014)</w:t>
            </w:r>
          </w:p>
        </w:tc>
      </w:tr>
      <w:tr w:rsidR="0092047F" w:rsidRPr="00156B53" w14:paraId="4F6F4D71" w14:textId="77777777" w:rsidTr="0092047F">
        <w:trPr>
          <w:trHeight w:val="284"/>
        </w:trPr>
        <w:tc>
          <w:tcPr>
            <w:tcW w:w="2694" w:type="dxa"/>
            <w:vMerge w:val="restart"/>
            <w:tcBorders>
              <w:top w:val="nil"/>
              <w:left w:val="nil"/>
              <w:bottom w:val="nil"/>
              <w:right w:val="nil"/>
            </w:tcBorders>
            <w:shd w:val="clear" w:color="auto" w:fill="auto"/>
            <w:vAlign w:val="center"/>
            <w:hideMark/>
          </w:tcPr>
          <w:p w14:paraId="48B9AB4D"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Board Size</w:t>
            </w:r>
          </w:p>
        </w:tc>
        <w:tc>
          <w:tcPr>
            <w:tcW w:w="1500" w:type="dxa"/>
            <w:tcBorders>
              <w:top w:val="nil"/>
              <w:left w:val="nil"/>
              <w:bottom w:val="nil"/>
              <w:right w:val="nil"/>
            </w:tcBorders>
            <w:shd w:val="clear" w:color="auto" w:fill="auto"/>
            <w:hideMark/>
          </w:tcPr>
          <w:p w14:paraId="15ED92A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-1.186**</w:t>
            </w:r>
          </w:p>
        </w:tc>
        <w:tc>
          <w:tcPr>
            <w:tcW w:w="1760" w:type="dxa"/>
            <w:tcBorders>
              <w:top w:val="nil"/>
              <w:left w:val="nil"/>
              <w:bottom w:val="nil"/>
              <w:right w:val="nil"/>
            </w:tcBorders>
            <w:shd w:val="clear" w:color="auto" w:fill="auto"/>
            <w:hideMark/>
          </w:tcPr>
          <w:p w14:paraId="561EBBF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-0.181</w:t>
            </w:r>
          </w:p>
        </w:tc>
        <w:tc>
          <w:tcPr>
            <w:tcW w:w="1480" w:type="dxa"/>
            <w:tcBorders>
              <w:top w:val="nil"/>
              <w:left w:val="nil"/>
              <w:bottom w:val="nil"/>
              <w:right w:val="nil"/>
            </w:tcBorders>
            <w:shd w:val="clear" w:color="auto" w:fill="auto"/>
            <w:hideMark/>
          </w:tcPr>
          <w:p w14:paraId="741D191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1.432***</w:t>
            </w:r>
          </w:p>
        </w:tc>
        <w:tc>
          <w:tcPr>
            <w:tcW w:w="1360" w:type="dxa"/>
            <w:tcBorders>
              <w:top w:val="nil"/>
              <w:left w:val="nil"/>
              <w:bottom w:val="nil"/>
              <w:right w:val="nil"/>
            </w:tcBorders>
            <w:shd w:val="clear" w:color="auto" w:fill="auto"/>
            <w:hideMark/>
          </w:tcPr>
          <w:p w14:paraId="1B59647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0.464***</w:t>
            </w:r>
          </w:p>
        </w:tc>
      </w:tr>
      <w:tr w:rsidR="0092047F" w:rsidRPr="00156B53" w14:paraId="776CCECD" w14:textId="77777777" w:rsidTr="0092047F">
        <w:trPr>
          <w:trHeight w:val="284"/>
        </w:trPr>
        <w:tc>
          <w:tcPr>
            <w:tcW w:w="2694" w:type="dxa"/>
            <w:vMerge/>
            <w:tcBorders>
              <w:top w:val="nil"/>
              <w:left w:val="nil"/>
              <w:bottom w:val="nil"/>
              <w:right w:val="nil"/>
            </w:tcBorders>
            <w:vAlign w:val="center"/>
            <w:hideMark/>
          </w:tcPr>
          <w:p w14:paraId="7BFAD4B2"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60BE990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(0.485)</w:t>
            </w:r>
          </w:p>
        </w:tc>
        <w:tc>
          <w:tcPr>
            <w:tcW w:w="1760" w:type="dxa"/>
            <w:tcBorders>
              <w:top w:val="nil"/>
              <w:left w:val="nil"/>
              <w:bottom w:val="nil"/>
              <w:right w:val="nil"/>
            </w:tcBorders>
            <w:shd w:val="clear" w:color="auto" w:fill="auto"/>
            <w:hideMark/>
          </w:tcPr>
          <w:p w14:paraId="0B01EF8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(0.119)</w:t>
            </w:r>
          </w:p>
        </w:tc>
        <w:tc>
          <w:tcPr>
            <w:tcW w:w="1480" w:type="dxa"/>
            <w:tcBorders>
              <w:top w:val="nil"/>
              <w:left w:val="nil"/>
              <w:bottom w:val="nil"/>
              <w:right w:val="nil"/>
            </w:tcBorders>
            <w:shd w:val="clear" w:color="auto" w:fill="auto"/>
            <w:hideMark/>
          </w:tcPr>
          <w:p w14:paraId="644EA7D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(0.321)</w:t>
            </w:r>
          </w:p>
        </w:tc>
        <w:tc>
          <w:tcPr>
            <w:tcW w:w="1360" w:type="dxa"/>
            <w:tcBorders>
              <w:top w:val="nil"/>
              <w:left w:val="nil"/>
              <w:bottom w:val="nil"/>
              <w:right w:val="nil"/>
            </w:tcBorders>
            <w:shd w:val="clear" w:color="auto" w:fill="auto"/>
            <w:hideMark/>
          </w:tcPr>
          <w:p w14:paraId="3888E95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(0.041)</w:t>
            </w:r>
          </w:p>
        </w:tc>
      </w:tr>
      <w:tr w:rsidR="0092047F" w:rsidRPr="00156B53" w14:paraId="3B40A3C9" w14:textId="77777777" w:rsidTr="0092047F">
        <w:trPr>
          <w:trHeight w:val="284"/>
        </w:trPr>
        <w:tc>
          <w:tcPr>
            <w:tcW w:w="2694" w:type="dxa"/>
            <w:vMerge w:val="restart"/>
            <w:tcBorders>
              <w:top w:val="nil"/>
              <w:left w:val="nil"/>
              <w:bottom w:val="nil"/>
              <w:right w:val="nil"/>
            </w:tcBorders>
            <w:shd w:val="clear" w:color="auto" w:fill="auto"/>
            <w:vAlign w:val="center"/>
            <w:hideMark/>
          </w:tcPr>
          <w:p w14:paraId="244675A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Capital</w:t>
            </w:r>
          </w:p>
        </w:tc>
        <w:tc>
          <w:tcPr>
            <w:tcW w:w="1500" w:type="dxa"/>
            <w:tcBorders>
              <w:top w:val="nil"/>
              <w:left w:val="nil"/>
              <w:bottom w:val="nil"/>
              <w:right w:val="nil"/>
            </w:tcBorders>
            <w:shd w:val="clear" w:color="auto" w:fill="auto"/>
            <w:hideMark/>
          </w:tcPr>
          <w:p w14:paraId="3E1C3FC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0.212***</w:t>
            </w:r>
          </w:p>
        </w:tc>
        <w:tc>
          <w:tcPr>
            <w:tcW w:w="1760" w:type="dxa"/>
            <w:tcBorders>
              <w:top w:val="nil"/>
              <w:left w:val="nil"/>
              <w:bottom w:val="nil"/>
              <w:right w:val="nil"/>
            </w:tcBorders>
            <w:shd w:val="clear" w:color="auto" w:fill="auto"/>
            <w:hideMark/>
          </w:tcPr>
          <w:p w14:paraId="5CC8041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0.0465***</w:t>
            </w:r>
          </w:p>
        </w:tc>
        <w:tc>
          <w:tcPr>
            <w:tcW w:w="1480" w:type="dxa"/>
            <w:tcBorders>
              <w:top w:val="nil"/>
              <w:left w:val="nil"/>
              <w:bottom w:val="nil"/>
              <w:right w:val="nil"/>
            </w:tcBorders>
            <w:shd w:val="clear" w:color="auto" w:fill="auto"/>
            <w:hideMark/>
          </w:tcPr>
          <w:p w14:paraId="0051F32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0.737***</w:t>
            </w:r>
          </w:p>
        </w:tc>
        <w:tc>
          <w:tcPr>
            <w:tcW w:w="1360" w:type="dxa"/>
            <w:tcBorders>
              <w:top w:val="nil"/>
              <w:left w:val="nil"/>
              <w:bottom w:val="nil"/>
              <w:right w:val="nil"/>
            </w:tcBorders>
            <w:shd w:val="clear" w:color="auto" w:fill="auto"/>
            <w:hideMark/>
          </w:tcPr>
          <w:p w14:paraId="62E9B7E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0.100***</w:t>
            </w:r>
          </w:p>
        </w:tc>
      </w:tr>
      <w:tr w:rsidR="0092047F" w:rsidRPr="00156B53" w14:paraId="7E75686D" w14:textId="77777777" w:rsidTr="0092047F">
        <w:trPr>
          <w:trHeight w:val="284"/>
        </w:trPr>
        <w:tc>
          <w:tcPr>
            <w:tcW w:w="2694" w:type="dxa"/>
            <w:vMerge/>
            <w:tcBorders>
              <w:top w:val="nil"/>
              <w:left w:val="nil"/>
              <w:bottom w:val="nil"/>
              <w:right w:val="nil"/>
            </w:tcBorders>
            <w:vAlign w:val="center"/>
            <w:hideMark/>
          </w:tcPr>
          <w:p w14:paraId="39D824D8"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340A4F9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(0.044)</w:t>
            </w:r>
          </w:p>
        </w:tc>
        <w:tc>
          <w:tcPr>
            <w:tcW w:w="1760" w:type="dxa"/>
            <w:tcBorders>
              <w:top w:val="nil"/>
              <w:left w:val="nil"/>
              <w:bottom w:val="nil"/>
              <w:right w:val="nil"/>
            </w:tcBorders>
            <w:shd w:val="clear" w:color="auto" w:fill="auto"/>
            <w:hideMark/>
          </w:tcPr>
          <w:p w14:paraId="0A9CBEA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(0.010)</w:t>
            </w:r>
          </w:p>
        </w:tc>
        <w:tc>
          <w:tcPr>
            <w:tcW w:w="1480" w:type="dxa"/>
            <w:tcBorders>
              <w:top w:val="nil"/>
              <w:left w:val="nil"/>
              <w:bottom w:val="nil"/>
              <w:right w:val="nil"/>
            </w:tcBorders>
            <w:shd w:val="clear" w:color="auto" w:fill="auto"/>
            <w:hideMark/>
          </w:tcPr>
          <w:p w14:paraId="3A4BFD1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(0.028)</w:t>
            </w:r>
          </w:p>
        </w:tc>
        <w:tc>
          <w:tcPr>
            <w:tcW w:w="1360" w:type="dxa"/>
            <w:tcBorders>
              <w:top w:val="nil"/>
              <w:left w:val="nil"/>
              <w:bottom w:val="nil"/>
              <w:right w:val="nil"/>
            </w:tcBorders>
            <w:shd w:val="clear" w:color="auto" w:fill="auto"/>
            <w:hideMark/>
          </w:tcPr>
          <w:p w14:paraId="10393A1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(0.007)</w:t>
            </w:r>
          </w:p>
        </w:tc>
      </w:tr>
      <w:tr w:rsidR="0092047F" w:rsidRPr="00156B53" w14:paraId="1094EB11" w14:textId="77777777" w:rsidTr="0092047F">
        <w:trPr>
          <w:trHeight w:val="284"/>
        </w:trPr>
        <w:tc>
          <w:tcPr>
            <w:tcW w:w="2694" w:type="dxa"/>
            <w:vMerge w:val="restart"/>
            <w:tcBorders>
              <w:top w:val="nil"/>
              <w:left w:val="nil"/>
              <w:bottom w:val="nil"/>
              <w:right w:val="nil"/>
            </w:tcBorders>
            <w:shd w:val="clear" w:color="auto" w:fill="auto"/>
            <w:vAlign w:val="center"/>
            <w:hideMark/>
          </w:tcPr>
          <w:p w14:paraId="79341E0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Beta</w:t>
            </w:r>
          </w:p>
        </w:tc>
        <w:tc>
          <w:tcPr>
            <w:tcW w:w="1500" w:type="dxa"/>
            <w:tcBorders>
              <w:top w:val="nil"/>
              <w:left w:val="nil"/>
              <w:bottom w:val="nil"/>
              <w:right w:val="nil"/>
            </w:tcBorders>
            <w:shd w:val="clear" w:color="auto" w:fill="auto"/>
            <w:hideMark/>
          </w:tcPr>
          <w:p w14:paraId="5F70B2E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-4.933</w:t>
            </w:r>
          </w:p>
        </w:tc>
        <w:tc>
          <w:tcPr>
            <w:tcW w:w="1760" w:type="dxa"/>
            <w:tcBorders>
              <w:top w:val="nil"/>
              <w:left w:val="nil"/>
              <w:bottom w:val="nil"/>
              <w:right w:val="nil"/>
            </w:tcBorders>
            <w:shd w:val="clear" w:color="auto" w:fill="auto"/>
            <w:hideMark/>
          </w:tcPr>
          <w:p w14:paraId="018C495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-0.791</w:t>
            </w:r>
          </w:p>
        </w:tc>
        <w:tc>
          <w:tcPr>
            <w:tcW w:w="1480" w:type="dxa"/>
            <w:tcBorders>
              <w:top w:val="nil"/>
              <w:left w:val="nil"/>
              <w:bottom w:val="nil"/>
              <w:right w:val="nil"/>
            </w:tcBorders>
            <w:shd w:val="clear" w:color="auto" w:fill="auto"/>
            <w:hideMark/>
          </w:tcPr>
          <w:p w14:paraId="7DE59CD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-8.879***</w:t>
            </w:r>
          </w:p>
        </w:tc>
        <w:tc>
          <w:tcPr>
            <w:tcW w:w="1360" w:type="dxa"/>
            <w:tcBorders>
              <w:top w:val="nil"/>
              <w:left w:val="nil"/>
              <w:bottom w:val="nil"/>
              <w:right w:val="nil"/>
            </w:tcBorders>
            <w:shd w:val="clear" w:color="auto" w:fill="auto"/>
            <w:hideMark/>
          </w:tcPr>
          <w:p w14:paraId="6CBFAE7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-2.994***</w:t>
            </w:r>
          </w:p>
        </w:tc>
      </w:tr>
      <w:tr w:rsidR="0092047F" w:rsidRPr="00156B53" w14:paraId="5FDF8578" w14:textId="77777777" w:rsidTr="0092047F">
        <w:trPr>
          <w:trHeight w:val="284"/>
        </w:trPr>
        <w:tc>
          <w:tcPr>
            <w:tcW w:w="2694" w:type="dxa"/>
            <w:vMerge/>
            <w:tcBorders>
              <w:top w:val="nil"/>
              <w:left w:val="nil"/>
              <w:bottom w:val="nil"/>
              <w:right w:val="nil"/>
            </w:tcBorders>
            <w:vAlign w:val="center"/>
            <w:hideMark/>
          </w:tcPr>
          <w:p w14:paraId="3C0AAAF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004CA92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(6.064)</w:t>
            </w:r>
          </w:p>
        </w:tc>
        <w:tc>
          <w:tcPr>
            <w:tcW w:w="1760" w:type="dxa"/>
            <w:tcBorders>
              <w:top w:val="nil"/>
              <w:left w:val="nil"/>
              <w:bottom w:val="nil"/>
              <w:right w:val="nil"/>
            </w:tcBorders>
            <w:shd w:val="clear" w:color="auto" w:fill="auto"/>
            <w:hideMark/>
          </w:tcPr>
          <w:p w14:paraId="18013F1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(0.839)</w:t>
            </w:r>
          </w:p>
        </w:tc>
        <w:tc>
          <w:tcPr>
            <w:tcW w:w="1480" w:type="dxa"/>
            <w:tcBorders>
              <w:top w:val="nil"/>
              <w:left w:val="nil"/>
              <w:bottom w:val="nil"/>
              <w:right w:val="nil"/>
            </w:tcBorders>
            <w:shd w:val="clear" w:color="auto" w:fill="auto"/>
            <w:hideMark/>
          </w:tcPr>
          <w:p w14:paraId="02DD2E1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(0.870)</w:t>
            </w:r>
          </w:p>
        </w:tc>
        <w:tc>
          <w:tcPr>
            <w:tcW w:w="1360" w:type="dxa"/>
            <w:tcBorders>
              <w:top w:val="nil"/>
              <w:left w:val="nil"/>
              <w:bottom w:val="nil"/>
              <w:right w:val="nil"/>
            </w:tcBorders>
            <w:shd w:val="clear" w:color="auto" w:fill="auto"/>
            <w:hideMark/>
          </w:tcPr>
          <w:p w14:paraId="7A3F0CE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(0.195)</w:t>
            </w:r>
          </w:p>
        </w:tc>
      </w:tr>
      <w:tr w:rsidR="0092047F" w:rsidRPr="00156B53" w14:paraId="6B0EA46F" w14:textId="77777777" w:rsidTr="0092047F">
        <w:trPr>
          <w:trHeight w:val="284"/>
        </w:trPr>
        <w:tc>
          <w:tcPr>
            <w:tcW w:w="2694" w:type="dxa"/>
            <w:vMerge w:val="restart"/>
            <w:tcBorders>
              <w:top w:val="nil"/>
              <w:left w:val="nil"/>
              <w:bottom w:val="nil"/>
              <w:right w:val="nil"/>
            </w:tcBorders>
            <w:shd w:val="clear" w:color="auto" w:fill="auto"/>
            <w:vAlign w:val="center"/>
            <w:hideMark/>
          </w:tcPr>
          <w:p w14:paraId="1D103785"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Liquidity</w:t>
            </w:r>
          </w:p>
        </w:tc>
        <w:tc>
          <w:tcPr>
            <w:tcW w:w="1500" w:type="dxa"/>
            <w:tcBorders>
              <w:top w:val="nil"/>
              <w:left w:val="nil"/>
              <w:bottom w:val="nil"/>
              <w:right w:val="nil"/>
            </w:tcBorders>
            <w:shd w:val="clear" w:color="auto" w:fill="auto"/>
            <w:hideMark/>
          </w:tcPr>
          <w:p w14:paraId="122EA48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0.0515</w:t>
            </w:r>
          </w:p>
        </w:tc>
        <w:tc>
          <w:tcPr>
            <w:tcW w:w="1760" w:type="dxa"/>
            <w:tcBorders>
              <w:top w:val="nil"/>
              <w:left w:val="nil"/>
              <w:bottom w:val="nil"/>
              <w:right w:val="nil"/>
            </w:tcBorders>
            <w:shd w:val="clear" w:color="auto" w:fill="auto"/>
            <w:hideMark/>
          </w:tcPr>
          <w:p w14:paraId="2269FC1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-0.142***</w:t>
            </w:r>
          </w:p>
        </w:tc>
        <w:tc>
          <w:tcPr>
            <w:tcW w:w="1480" w:type="dxa"/>
            <w:tcBorders>
              <w:top w:val="nil"/>
              <w:left w:val="nil"/>
              <w:bottom w:val="nil"/>
              <w:right w:val="nil"/>
            </w:tcBorders>
            <w:shd w:val="clear" w:color="auto" w:fill="auto"/>
            <w:hideMark/>
          </w:tcPr>
          <w:p w14:paraId="56F921F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0.196</w:t>
            </w:r>
          </w:p>
        </w:tc>
        <w:tc>
          <w:tcPr>
            <w:tcW w:w="1360" w:type="dxa"/>
            <w:tcBorders>
              <w:top w:val="nil"/>
              <w:left w:val="nil"/>
              <w:bottom w:val="nil"/>
              <w:right w:val="nil"/>
            </w:tcBorders>
            <w:shd w:val="clear" w:color="auto" w:fill="auto"/>
            <w:hideMark/>
          </w:tcPr>
          <w:p w14:paraId="2E9A287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-0.0353</w:t>
            </w:r>
          </w:p>
        </w:tc>
      </w:tr>
      <w:tr w:rsidR="0092047F" w:rsidRPr="00156B53" w14:paraId="1267F21A" w14:textId="77777777" w:rsidTr="0092047F">
        <w:trPr>
          <w:trHeight w:val="284"/>
        </w:trPr>
        <w:tc>
          <w:tcPr>
            <w:tcW w:w="2694" w:type="dxa"/>
            <w:vMerge/>
            <w:tcBorders>
              <w:top w:val="nil"/>
              <w:left w:val="nil"/>
              <w:bottom w:val="nil"/>
              <w:right w:val="nil"/>
            </w:tcBorders>
            <w:vAlign w:val="center"/>
            <w:hideMark/>
          </w:tcPr>
          <w:p w14:paraId="2BC71C4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1095980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(0.245)</w:t>
            </w:r>
          </w:p>
        </w:tc>
        <w:tc>
          <w:tcPr>
            <w:tcW w:w="1760" w:type="dxa"/>
            <w:tcBorders>
              <w:top w:val="nil"/>
              <w:left w:val="nil"/>
              <w:bottom w:val="nil"/>
              <w:right w:val="nil"/>
            </w:tcBorders>
            <w:shd w:val="clear" w:color="auto" w:fill="auto"/>
            <w:hideMark/>
          </w:tcPr>
          <w:p w14:paraId="55F7220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(0.047)</w:t>
            </w:r>
          </w:p>
        </w:tc>
        <w:tc>
          <w:tcPr>
            <w:tcW w:w="1480" w:type="dxa"/>
            <w:tcBorders>
              <w:top w:val="nil"/>
              <w:left w:val="nil"/>
              <w:bottom w:val="nil"/>
              <w:right w:val="nil"/>
            </w:tcBorders>
            <w:shd w:val="clear" w:color="auto" w:fill="auto"/>
            <w:hideMark/>
          </w:tcPr>
          <w:p w14:paraId="04E0872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(0.223)</w:t>
            </w:r>
          </w:p>
        </w:tc>
        <w:tc>
          <w:tcPr>
            <w:tcW w:w="1360" w:type="dxa"/>
            <w:tcBorders>
              <w:top w:val="nil"/>
              <w:left w:val="nil"/>
              <w:bottom w:val="nil"/>
              <w:right w:val="nil"/>
            </w:tcBorders>
            <w:shd w:val="clear" w:color="auto" w:fill="auto"/>
            <w:hideMark/>
          </w:tcPr>
          <w:p w14:paraId="34AE00F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(0.041)</w:t>
            </w:r>
          </w:p>
        </w:tc>
      </w:tr>
      <w:tr w:rsidR="0092047F" w:rsidRPr="00156B53" w14:paraId="0D0DF5D4" w14:textId="77777777" w:rsidTr="0092047F">
        <w:trPr>
          <w:trHeight w:val="284"/>
        </w:trPr>
        <w:tc>
          <w:tcPr>
            <w:tcW w:w="2694" w:type="dxa"/>
            <w:vMerge w:val="restart"/>
            <w:tcBorders>
              <w:top w:val="nil"/>
              <w:left w:val="nil"/>
              <w:bottom w:val="nil"/>
              <w:right w:val="nil"/>
            </w:tcBorders>
            <w:shd w:val="clear" w:color="auto" w:fill="auto"/>
            <w:vAlign w:val="center"/>
            <w:hideMark/>
          </w:tcPr>
          <w:p w14:paraId="38BF984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Constant</w:t>
            </w:r>
          </w:p>
        </w:tc>
        <w:tc>
          <w:tcPr>
            <w:tcW w:w="1500" w:type="dxa"/>
            <w:tcBorders>
              <w:top w:val="nil"/>
              <w:left w:val="nil"/>
              <w:bottom w:val="nil"/>
              <w:right w:val="nil"/>
            </w:tcBorders>
            <w:shd w:val="clear" w:color="auto" w:fill="auto"/>
            <w:hideMark/>
          </w:tcPr>
          <w:p w14:paraId="2941A48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7.383</w:t>
            </w:r>
          </w:p>
        </w:tc>
        <w:tc>
          <w:tcPr>
            <w:tcW w:w="1760" w:type="dxa"/>
            <w:tcBorders>
              <w:top w:val="nil"/>
              <w:left w:val="nil"/>
              <w:bottom w:val="nil"/>
              <w:right w:val="nil"/>
            </w:tcBorders>
            <w:shd w:val="clear" w:color="auto" w:fill="auto"/>
            <w:hideMark/>
          </w:tcPr>
          <w:p w14:paraId="5652770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7.050**</w:t>
            </w:r>
          </w:p>
        </w:tc>
        <w:tc>
          <w:tcPr>
            <w:tcW w:w="1480" w:type="dxa"/>
            <w:tcBorders>
              <w:top w:val="nil"/>
              <w:left w:val="nil"/>
              <w:bottom w:val="nil"/>
              <w:right w:val="nil"/>
            </w:tcBorders>
            <w:shd w:val="clear" w:color="auto" w:fill="auto"/>
            <w:hideMark/>
          </w:tcPr>
          <w:p w14:paraId="34AC740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41.31***</w:t>
            </w:r>
          </w:p>
        </w:tc>
        <w:tc>
          <w:tcPr>
            <w:tcW w:w="1360" w:type="dxa"/>
            <w:tcBorders>
              <w:top w:val="nil"/>
              <w:left w:val="nil"/>
              <w:bottom w:val="nil"/>
              <w:right w:val="nil"/>
            </w:tcBorders>
            <w:shd w:val="clear" w:color="auto" w:fill="auto"/>
            <w:hideMark/>
          </w:tcPr>
          <w:p w14:paraId="56EAE98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14.72***</w:t>
            </w:r>
          </w:p>
        </w:tc>
      </w:tr>
      <w:tr w:rsidR="0092047F" w:rsidRPr="00156B53" w14:paraId="5609E4D8" w14:textId="77777777" w:rsidTr="0092047F">
        <w:trPr>
          <w:trHeight w:val="284"/>
        </w:trPr>
        <w:tc>
          <w:tcPr>
            <w:tcW w:w="2694" w:type="dxa"/>
            <w:vMerge/>
            <w:tcBorders>
              <w:top w:val="nil"/>
              <w:left w:val="nil"/>
              <w:bottom w:val="nil"/>
              <w:right w:val="nil"/>
            </w:tcBorders>
            <w:vAlign w:val="center"/>
            <w:hideMark/>
          </w:tcPr>
          <w:p w14:paraId="6B9C7D4F"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1500" w:type="dxa"/>
            <w:tcBorders>
              <w:top w:val="nil"/>
              <w:left w:val="nil"/>
              <w:bottom w:val="nil"/>
              <w:right w:val="nil"/>
            </w:tcBorders>
            <w:shd w:val="clear" w:color="auto" w:fill="auto"/>
            <w:hideMark/>
          </w:tcPr>
          <w:p w14:paraId="6D8041D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(12.260)</w:t>
            </w:r>
          </w:p>
        </w:tc>
        <w:tc>
          <w:tcPr>
            <w:tcW w:w="1760" w:type="dxa"/>
            <w:tcBorders>
              <w:top w:val="nil"/>
              <w:left w:val="nil"/>
              <w:bottom w:val="nil"/>
              <w:right w:val="nil"/>
            </w:tcBorders>
            <w:shd w:val="clear" w:color="auto" w:fill="auto"/>
            <w:hideMark/>
          </w:tcPr>
          <w:p w14:paraId="6C6B0F4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(2.849)</w:t>
            </w:r>
          </w:p>
        </w:tc>
        <w:tc>
          <w:tcPr>
            <w:tcW w:w="1480" w:type="dxa"/>
            <w:tcBorders>
              <w:top w:val="nil"/>
              <w:left w:val="nil"/>
              <w:bottom w:val="nil"/>
              <w:right w:val="nil"/>
            </w:tcBorders>
            <w:shd w:val="clear" w:color="auto" w:fill="auto"/>
            <w:hideMark/>
          </w:tcPr>
          <w:p w14:paraId="6236E55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(8.179)</w:t>
            </w:r>
          </w:p>
        </w:tc>
        <w:tc>
          <w:tcPr>
            <w:tcW w:w="1360" w:type="dxa"/>
            <w:tcBorders>
              <w:top w:val="nil"/>
              <w:left w:val="nil"/>
              <w:bottom w:val="nil"/>
              <w:right w:val="nil"/>
            </w:tcBorders>
            <w:shd w:val="clear" w:color="auto" w:fill="auto"/>
            <w:hideMark/>
          </w:tcPr>
          <w:p w14:paraId="6F09623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(1.159)</w:t>
            </w:r>
          </w:p>
        </w:tc>
      </w:tr>
      <w:tr w:rsidR="0092047F" w:rsidRPr="00156B53" w14:paraId="178D2EF1" w14:textId="77777777" w:rsidTr="0092047F">
        <w:trPr>
          <w:trHeight w:val="284"/>
        </w:trPr>
        <w:tc>
          <w:tcPr>
            <w:tcW w:w="2694" w:type="dxa"/>
            <w:tcBorders>
              <w:top w:val="nil"/>
              <w:left w:val="nil"/>
              <w:bottom w:val="nil"/>
              <w:right w:val="nil"/>
            </w:tcBorders>
            <w:shd w:val="clear" w:color="auto" w:fill="auto"/>
            <w:hideMark/>
          </w:tcPr>
          <w:p w14:paraId="549D1EE4"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eastAsia="en-GB"/>
              </w:rPr>
              <w:t>J-test (p-value)</w:t>
            </w:r>
          </w:p>
        </w:tc>
        <w:tc>
          <w:tcPr>
            <w:tcW w:w="1500" w:type="dxa"/>
            <w:tcBorders>
              <w:top w:val="nil"/>
              <w:left w:val="nil"/>
              <w:bottom w:val="nil"/>
              <w:right w:val="nil"/>
            </w:tcBorders>
            <w:shd w:val="clear" w:color="auto" w:fill="auto"/>
            <w:hideMark/>
          </w:tcPr>
          <w:p w14:paraId="2AB6E44D"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33.72(0.142)</w:t>
            </w:r>
          </w:p>
        </w:tc>
        <w:tc>
          <w:tcPr>
            <w:tcW w:w="1760" w:type="dxa"/>
            <w:tcBorders>
              <w:top w:val="nil"/>
              <w:left w:val="nil"/>
              <w:bottom w:val="nil"/>
              <w:right w:val="nil"/>
            </w:tcBorders>
            <w:shd w:val="clear" w:color="auto" w:fill="auto"/>
            <w:hideMark/>
          </w:tcPr>
          <w:p w14:paraId="45611EC9"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75.45(1.00)</w:t>
            </w:r>
          </w:p>
        </w:tc>
        <w:tc>
          <w:tcPr>
            <w:tcW w:w="1480" w:type="dxa"/>
            <w:tcBorders>
              <w:top w:val="nil"/>
              <w:left w:val="nil"/>
              <w:bottom w:val="nil"/>
              <w:right w:val="nil"/>
            </w:tcBorders>
            <w:shd w:val="clear" w:color="auto" w:fill="auto"/>
            <w:hideMark/>
          </w:tcPr>
          <w:p w14:paraId="39E6E36E"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79.75(1.00)</w:t>
            </w:r>
          </w:p>
        </w:tc>
        <w:tc>
          <w:tcPr>
            <w:tcW w:w="1360" w:type="dxa"/>
            <w:tcBorders>
              <w:top w:val="nil"/>
              <w:left w:val="nil"/>
              <w:bottom w:val="nil"/>
              <w:right w:val="nil"/>
            </w:tcBorders>
            <w:shd w:val="clear" w:color="auto" w:fill="auto"/>
            <w:hideMark/>
          </w:tcPr>
          <w:p w14:paraId="69AFC7B4"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39.750(.22)</w:t>
            </w:r>
          </w:p>
        </w:tc>
      </w:tr>
      <w:tr w:rsidR="0092047F" w:rsidRPr="00156B53" w14:paraId="10E54E74" w14:textId="77777777" w:rsidTr="0092047F">
        <w:trPr>
          <w:trHeight w:val="284"/>
        </w:trPr>
        <w:tc>
          <w:tcPr>
            <w:tcW w:w="2694" w:type="dxa"/>
            <w:tcBorders>
              <w:top w:val="nil"/>
              <w:left w:val="nil"/>
              <w:bottom w:val="nil"/>
              <w:right w:val="nil"/>
            </w:tcBorders>
            <w:shd w:val="clear" w:color="auto" w:fill="auto"/>
            <w:hideMark/>
          </w:tcPr>
          <w:p w14:paraId="1E4E9245"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eastAsia="en-GB"/>
              </w:rPr>
              <w:t>AR (1) (p-value)</w:t>
            </w:r>
          </w:p>
        </w:tc>
        <w:tc>
          <w:tcPr>
            <w:tcW w:w="1500" w:type="dxa"/>
            <w:tcBorders>
              <w:top w:val="nil"/>
              <w:left w:val="nil"/>
              <w:bottom w:val="nil"/>
              <w:right w:val="nil"/>
            </w:tcBorders>
            <w:shd w:val="clear" w:color="auto" w:fill="auto"/>
            <w:hideMark/>
          </w:tcPr>
          <w:p w14:paraId="474E15D1"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-3.21(0.001)</w:t>
            </w:r>
          </w:p>
        </w:tc>
        <w:tc>
          <w:tcPr>
            <w:tcW w:w="1760" w:type="dxa"/>
            <w:tcBorders>
              <w:top w:val="nil"/>
              <w:left w:val="nil"/>
              <w:bottom w:val="nil"/>
              <w:right w:val="nil"/>
            </w:tcBorders>
            <w:shd w:val="clear" w:color="auto" w:fill="auto"/>
            <w:hideMark/>
          </w:tcPr>
          <w:p w14:paraId="19A7C7F9"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-3.04(0.002)</w:t>
            </w:r>
          </w:p>
        </w:tc>
        <w:tc>
          <w:tcPr>
            <w:tcW w:w="1480" w:type="dxa"/>
            <w:tcBorders>
              <w:top w:val="nil"/>
              <w:left w:val="nil"/>
              <w:bottom w:val="nil"/>
              <w:right w:val="nil"/>
            </w:tcBorders>
            <w:shd w:val="clear" w:color="auto" w:fill="auto"/>
            <w:hideMark/>
          </w:tcPr>
          <w:p w14:paraId="54AF5527"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-4.86(0.000)</w:t>
            </w:r>
          </w:p>
        </w:tc>
        <w:tc>
          <w:tcPr>
            <w:tcW w:w="1360" w:type="dxa"/>
            <w:tcBorders>
              <w:top w:val="nil"/>
              <w:left w:val="nil"/>
              <w:bottom w:val="nil"/>
              <w:right w:val="nil"/>
            </w:tcBorders>
            <w:shd w:val="clear" w:color="auto" w:fill="auto"/>
            <w:hideMark/>
          </w:tcPr>
          <w:p w14:paraId="65628DC3"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-2.84(0.004)</w:t>
            </w:r>
          </w:p>
        </w:tc>
      </w:tr>
      <w:tr w:rsidR="0092047F" w:rsidRPr="00156B53" w14:paraId="631A91F3" w14:textId="77777777" w:rsidTr="0092047F">
        <w:trPr>
          <w:trHeight w:val="284"/>
        </w:trPr>
        <w:tc>
          <w:tcPr>
            <w:tcW w:w="2694" w:type="dxa"/>
            <w:tcBorders>
              <w:top w:val="nil"/>
              <w:left w:val="nil"/>
              <w:bottom w:val="nil"/>
              <w:right w:val="nil"/>
            </w:tcBorders>
            <w:shd w:val="clear" w:color="auto" w:fill="auto"/>
            <w:hideMark/>
          </w:tcPr>
          <w:p w14:paraId="47FF7F19"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eastAsia="en-GB"/>
              </w:rPr>
              <w:t>AR (2) (p-value)</w:t>
            </w:r>
          </w:p>
        </w:tc>
        <w:tc>
          <w:tcPr>
            <w:tcW w:w="1500" w:type="dxa"/>
            <w:tcBorders>
              <w:top w:val="nil"/>
              <w:left w:val="nil"/>
              <w:bottom w:val="nil"/>
              <w:right w:val="nil"/>
            </w:tcBorders>
            <w:shd w:val="clear" w:color="auto" w:fill="auto"/>
            <w:hideMark/>
          </w:tcPr>
          <w:p w14:paraId="2FBBBC72"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-0.43(0.918)</w:t>
            </w:r>
          </w:p>
        </w:tc>
        <w:tc>
          <w:tcPr>
            <w:tcW w:w="1760" w:type="dxa"/>
            <w:tcBorders>
              <w:top w:val="nil"/>
              <w:left w:val="nil"/>
              <w:bottom w:val="nil"/>
              <w:right w:val="nil"/>
            </w:tcBorders>
            <w:shd w:val="clear" w:color="auto" w:fill="auto"/>
            <w:hideMark/>
          </w:tcPr>
          <w:p w14:paraId="50393D80"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0.18(0.85)</w:t>
            </w:r>
          </w:p>
        </w:tc>
        <w:tc>
          <w:tcPr>
            <w:tcW w:w="1480" w:type="dxa"/>
            <w:tcBorders>
              <w:top w:val="nil"/>
              <w:left w:val="nil"/>
              <w:bottom w:val="nil"/>
              <w:right w:val="nil"/>
            </w:tcBorders>
            <w:shd w:val="clear" w:color="auto" w:fill="auto"/>
            <w:hideMark/>
          </w:tcPr>
          <w:p w14:paraId="3EF93A68"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-1.53(0.125)</w:t>
            </w:r>
          </w:p>
        </w:tc>
        <w:tc>
          <w:tcPr>
            <w:tcW w:w="1360" w:type="dxa"/>
            <w:tcBorders>
              <w:top w:val="nil"/>
              <w:left w:val="nil"/>
              <w:bottom w:val="nil"/>
              <w:right w:val="nil"/>
            </w:tcBorders>
            <w:shd w:val="clear" w:color="auto" w:fill="auto"/>
            <w:hideMark/>
          </w:tcPr>
          <w:p w14:paraId="7A4278A0"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eastAsia="en-GB"/>
              </w:rPr>
              <w:t>-0.62(0.53)</w:t>
            </w:r>
          </w:p>
        </w:tc>
      </w:tr>
      <w:tr w:rsidR="0092047F" w:rsidRPr="00156B53" w14:paraId="7D9EC160" w14:textId="77777777" w:rsidTr="0092047F">
        <w:trPr>
          <w:trHeight w:val="284"/>
        </w:trPr>
        <w:tc>
          <w:tcPr>
            <w:tcW w:w="2694" w:type="dxa"/>
            <w:tcBorders>
              <w:top w:val="nil"/>
              <w:left w:val="nil"/>
              <w:bottom w:val="nil"/>
              <w:right w:val="nil"/>
            </w:tcBorders>
            <w:shd w:val="clear" w:color="auto" w:fill="auto"/>
            <w:hideMark/>
          </w:tcPr>
          <w:p w14:paraId="0D5E12FD"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Observations</w:t>
            </w:r>
          </w:p>
        </w:tc>
        <w:tc>
          <w:tcPr>
            <w:tcW w:w="1500" w:type="dxa"/>
            <w:tcBorders>
              <w:top w:val="nil"/>
              <w:left w:val="nil"/>
              <w:bottom w:val="nil"/>
              <w:right w:val="nil"/>
            </w:tcBorders>
            <w:shd w:val="clear" w:color="auto" w:fill="auto"/>
            <w:hideMark/>
          </w:tcPr>
          <w:p w14:paraId="6D0B231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258</w:t>
            </w:r>
          </w:p>
        </w:tc>
        <w:tc>
          <w:tcPr>
            <w:tcW w:w="1760" w:type="dxa"/>
            <w:tcBorders>
              <w:top w:val="nil"/>
              <w:left w:val="nil"/>
              <w:bottom w:val="nil"/>
              <w:right w:val="nil"/>
            </w:tcBorders>
            <w:shd w:val="clear" w:color="auto" w:fill="auto"/>
            <w:hideMark/>
          </w:tcPr>
          <w:p w14:paraId="5F4EFA0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258</w:t>
            </w:r>
          </w:p>
        </w:tc>
        <w:tc>
          <w:tcPr>
            <w:tcW w:w="1480" w:type="dxa"/>
            <w:tcBorders>
              <w:top w:val="nil"/>
              <w:left w:val="nil"/>
              <w:bottom w:val="nil"/>
              <w:right w:val="nil"/>
            </w:tcBorders>
            <w:shd w:val="clear" w:color="auto" w:fill="auto"/>
            <w:hideMark/>
          </w:tcPr>
          <w:p w14:paraId="73D9FCE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335</w:t>
            </w:r>
          </w:p>
        </w:tc>
        <w:tc>
          <w:tcPr>
            <w:tcW w:w="1360" w:type="dxa"/>
            <w:tcBorders>
              <w:top w:val="nil"/>
              <w:left w:val="nil"/>
              <w:bottom w:val="nil"/>
              <w:right w:val="nil"/>
            </w:tcBorders>
            <w:shd w:val="clear" w:color="auto" w:fill="auto"/>
            <w:hideMark/>
          </w:tcPr>
          <w:p w14:paraId="0CC85CD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335</w:t>
            </w:r>
          </w:p>
        </w:tc>
      </w:tr>
      <w:tr w:rsidR="0092047F" w:rsidRPr="00156B53" w14:paraId="3F912EA1" w14:textId="77777777" w:rsidTr="0092047F">
        <w:trPr>
          <w:trHeight w:val="284"/>
        </w:trPr>
        <w:tc>
          <w:tcPr>
            <w:tcW w:w="2694" w:type="dxa"/>
            <w:tcBorders>
              <w:top w:val="nil"/>
              <w:left w:val="nil"/>
              <w:bottom w:val="single" w:sz="8" w:space="0" w:color="auto"/>
              <w:right w:val="nil"/>
            </w:tcBorders>
            <w:shd w:val="clear" w:color="auto" w:fill="auto"/>
            <w:hideMark/>
          </w:tcPr>
          <w:p w14:paraId="4E6D8A3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eastAsia="en-GB"/>
              </w:rPr>
              <w:t>Number of firms</w:t>
            </w:r>
          </w:p>
        </w:tc>
        <w:tc>
          <w:tcPr>
            <w:tcW w:w="1500" w:type="dxa"/>
            <w:tcBorders>
              <w:top w:val="nil"/>
              <w:left w:val="nil"/>
              <w:bottom w:val="single" w:sz="8" w:space="0" w:color="auto"/>
              <w:right w:val="nil"/>
            </w:tcBorders>
            <w:shd w:val="clear" w:color="auto" w:fill="auto"/>
            <w:hideMark/>
          </w:tcPr>
          <w:p w14:paraId="5B5B5FA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86</w:t>
            </w:r>
          </w:p>
        </w:tc>
        <w:tc>
          <w:tcPr>
            <w:tcW w:w="1760" w:type="dxa"/>
            <w:tcBorders>
              <w:top w:val="nil"/>
              <w:left w:val="nil"/>
              <w:bottom w:val="single" w:sz="8" w:space="0" w:color="auto"/>
              <w:right w:val="nil"/>
            </w:tcBorders>
            <w:shd w:val="clear" w:color="auto" w:fill="auto"/>
            <w:hideMark/>
          </w:tcPr>
          <w:p w14:paraId="5B70778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86</w:t>
            </w:r>
          </w:p>
        </w:tc>
        <w:tc>
          <w:tcPr>
            <w:tcW w:w="1480" w:type="dxa"/>
            <w:tcBorders>
              <w:top w:val="nil"/>
              <w:left w:val="nil"/>
              <w:bottom w:val="single" w:sz="8" w:space="0" w:color="auto"/>
              <w:right w:val="nil"/>
            </w:tcBorders>
            <w:shd w:val="clear" w:color="auto" w:fill="auto"/>
            <w:hideMark/>
          </w:tcPr>
          <w:p w14:paraId="04A77B2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86</w:t>
            </w:r>
          </w:p>
        </w:tc>
        <w:tc>
          <w:tcPr>
            <w:tcW w:w="1360" w:type="dxa"/>
            <w:tcBorders>
              <w:top w:val="nil"/>
              <w:left w:val="nil"/>
              <w:bottom w:val="single" w:sz="8" w:space="0" w:color="auto"/>
              <w:right w:val="nil"/>
            </w:tcBorders>
            <w:shd w:val="clear" w:color="auto" w:fill="auto"/>
            <w:hideMark/>
          </w:tcPr>
          <w:p w14:paraId="282C1E3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eastAsia="en-GB"/>
              </w:rPr>
              <w:t>86</w:t>
            </w:r>
          </w:p>
        </w:tc>
      </w:tr>
    </w:tbl>
    <w:p w14:paraId="3FB6A4DD" w14:textId="77777777" w:rsidR="0092047F" w:rsidRDefault="0092047F" w:rsidP="0092047F">
      <w:pPr>
        <w:spacing w:line="240" w:lineRule="auto"/>
        <w:ind w:firstLine="0"/>
        <w:rPr>
          <w:rFonts w:eastAsia="Times New Roman" w:cs="Times New Roman"/>
          <w:noProof/>
          <w:sz w:val="18"/>
          <w:szCs w:val="18"/>
          <w:lang w:eastAsia="en-GB"/>
        </w:rPr>
      </w:pPr>
      <w:r>
        <w:rPr>
          <w:rFonts w:eastAsia="Times New Roman" w:cs="Times New Roman"/>
          <w:noProof/>
          <w:sz w:val="18"/>
          <w:szCs w:val="18"/>
          <w:lang w:eastAsia="en-GB"/>
        </w:rPr>
        <w:t>Table 4</w:t>
      </w:r>
      <w:r w:rsidRPr="00B30F72">
        <w:rPr>
          <w:rFonts w:eastAsia="Times New Roman" w:cs="Times New Roman"/>
          <w:noProof/>
          <w:sz w:val="18"/>
          <w:szCs w:val="18"/>
          <w:lang w:eastAsia="en-GB"/>
        </w:rPr>
        <w:t xml:space="preserve"> provides the results when the data is analysed for the pre-crisis period (i.e. 2003–2006) and crisis period (i.e. 2007–2010). TSR and ROE are dependent variables.</w:t>
      </w:r>
      <w:r w:rsidRPr="00B30F72">
        <w:rPr>
          <w:rFonts w:eastAsia="Times New Roman" w:cs="Times New Roman"/>
          <w:sz w:val="18"/>
          <w:szCs w:val="18"/>
          <w:lang w:eastAsia="en-GB"/>
        </w:rPr>
        <w:t xml:space="preserve"> </w:t>
      </w:r>
      <w:r w:rsidRPr="00B30F72">
        <w:rPr>
          <w:rFonts w:eastAsia="Times New Roman" w:cs="Times New Roman"/>
          <w:noProof/>
          <w:sz w:val="18"/>
          <w:szCs w:val="18"/>
          <w:lang w:eastAsia="en-GB"/>
        </w:rPr>
        <w:t>L.1 &amp; L.2 are lags 1and 2  respectively of the dependent variables The independent variables are NCI (level of non-compliance with the UK CGC), Board independence (the ratio of non-executive directors on board), Extra committees (the number of extra board committees in addition to nomination, audit, and remuneration committees), Internal controls (the number of internal control systems in place within the company)</w:t>
      </w:r>
      <w:r>
        <w:rPr>
          <w:rFonts w:eastAsia="Times New Roman" w:cs="Times New Roman"/>
          <w:noProof/>
          <w:sz w:val="18"/>
          <w:szCs w:val="18"/>
          <w:lang w:eastAsia="en-GB"/>
        </w:rPr>
        <w:t xml:space="preserve">, </w:t>
      </w:r>
      <w:r w:rsidRPr="00B30F72">
        <w:rPr>
          <w:rFonts w:eastAsia="Times New Roman" w:cs="Times New Roman"/>
          <w:noProof/>
          <w:sz w:val="18"/>
          <w:szCs w:val="18"/>
          <w:lang w:eastAsia="en-GB"/>
        </w:rPr>
        <w:t xml:space="preserve"> Directors’ share ownership (total percentage of shares held by the board of directors),</w:t>
      </w:r>
      <w:r>
        <w:rPr>
          <w:rFonts w:eastAsia="Times New Roman" w:cs="Times New Roman"/>
          <w:noProof/>
          <w:sz w:val="18"/>
          <w:szCs w:val="18"/>
          <w:lang w:eastAsia="en-GB"/>
        </w:rPr>
        <w:t xml:space="preserve">  </w:t>
      </w:r>
      <w:r w:rsidRPr="00B30F72">
        <w:rPr>
          <w:rFonts w:eastAsia="Times New Roman" w:cs="Times New Roman"/>
          <w:noProof/>
          <w:sz w:val="18"/>
          <w:szCs w:val="18"/>
          <w:lang w:eastAsia="en-GB"/>
        </w:rPr>
        <w:t>Remuneration (total remuneration of board members), Leverage (the ratio of total debt to assets), Firm size (log of total sales),</w:t>
      </w:r>
      <w:r w:rsidRPr="00907C67">
        <w:rPr>
          <w:rFonts w:eastAsia="Times New Roman" w:cs="Times New Roman"/>
          <w:noProof/>
          <w:sz w:val="18"/>
          <w:szCs w:val="18"/>
          <w:lang w:eastAsia="en-GB"/>
        </w:rPr>
        <w:t xml:space="preserve"> </w:t>
      </w:r>
      <w:r w:rsidRPr="00B30F72">
        <w:rPr>
          <w:rFonts w:eastAsia="Times New Roman" w:cs="Times New Roman"/>
          <w:noProof/>
          <w:sz w:val="18"/>
          <w:szCs w:val="18"/>
          <w:lang w:eastAsia="en-GB"/>
        </w:rPr>
        <w:t>Board size (</w:t>
      </w:r>
      <w:r>
        <w:rPr>
          <w:rFonts w:eastAsia="Times New Roman" w:cs="Times New Roman"/>
          <w:noProof/>
          <w:sz w:val="18"/>
          <w:szCs w:val="18"/>
          <w:lang w:eastAsia="en-GB"/>
        </w:rPr>
        <w:t xml:space="preserve">total number of board members), </w:t>
      </w:r>
      <w:r w:rsidRPr="00B30F72">
        <w:rPr>
          <w:rFonts w:eastAsia="Times New Roman" w:cs="Times New Roman"/>
          <w:noProof/>
          <w:sz w:val="18"/>
          <w:szCs w:val="18"/>
          <w:lang w:eastAsia="en-GB"/>
        </w:rPr>
        <w:t>Capital (the ratio of total equity to total assets).</w:t>
      </w:r>
      <w:r w:rsidRPr="00910FC5">
        <w:rPr>
          <w:rFonts w:eastAsia="Times New Roman" w:cs="Times New Roman"/>
          <w:noProof/>
          <w:sz w:val="18"/>
          <w:szCs w:val="18"/>
          <w:lang w:eastAsia="en-GB"/>
        </w:rPr>
        <w:t xml:space="preserve"> </w:t>
      </w:r>
      <w:r w:rsidRPr="00B30F72">
        <w:rPr>
          <w:rFonts w:eastAsia="Times New Roman" w:cs="Times New Roman"/>
          <w:noProof/>
          <w:sz w:val="18"/>
          <w:szCs w:val="18"/>
          <w:lang w:eastAsia="en-GB"/>
        </w:rPr>
        <w:t>Beta (a measure of systematic risk,  Liquidity (the ratio of current assets to current liabilities</w:t>
      </w:r>
      <w:r>
        <w:rPr>
          <w:rFonts w:eastAsia="Times New Roman" w:cs="Times New Roman"/>
          <w:noProof/>
          <w:sz w:val="18"/>
          <w:szCs w:val="18"/>
          <w:lang w:eastAsia="en-GB"/>
        </w:rPr>
        <w:t>).</w:t>
      </w:r>
      <w:r w:rsidRPr="00B30F72">
        <w:rPr>
          <w:rFonts w:eastAsia="Times New Roman" w:cs="Times New Roman"/>
          <w:noProof/>
          <w:sz w:val="18"/>
          <w:szCs w:val="18"/>
          <w:lang w:eastAsia="en-GB"/>
        </w:rPr>
        <w:t>*** significance at p&lt;0.01, ** significance at p&lt;0.05, * significance at p&lt;0.1. Standard errors in parentheses.</w:t>
      </w:r>
    </w:p>
    <w:tbl>
      <w:tblPr>
        <w:tblW w:w="9343" w:type="dxa"/>
        <w:tblLook w:val="04A0" w:firstRow="1" w:lastRow="0" w:firstColumn="1" w:lastColumn="0" w:noHBand="0" w:noVBand="1"/>
      </w:tblPr>
      <w:tblGrid>
        <w:gridCol w:w="1674"/>
        <w:gridCol w:w="2122"/>
        <w:gridCol w:w="2661"/>
        <w:gridCol w:w="1494"/>
        <w:gridCol w:w="1392"/>
      </w:tblGrid>
      <w:tr w:rsidR="0092047F" w:rsidRPr="00EE53FB" w14:paraId="43CB57D2" w14:textId="77777777" w:rsidTr="0092047F">
        <w:trPr>
          <w:trHeight w:val="290"/>
        </w:trPr>
        <w:tc>
          <w:tcPr>
            <w:tcW w:w="9343" w:type="dxa"/>
            <w:gridSpan w:val="5"/>
            <w:tcBorders>
              <w:top w:val="nil"/>
              <w:left w:val="nil"/>
              <w:bottom w:val="nil"/>
              <w:right w:val="nil"/>
            </w:tcBorders>
            <w:shd w:val="clear" w:color="auto" w:fill="auto"/>
            <w:noWrap/>
            <w:vAlign w:val="bottom"/>
            <w:hideMark/>
          </w:tcPr>
          <w:p w14:paraId="5CDF8BF9" w14:textId="77777777" w:rsidR="0092047F" w:rsidRDefault="0092047F" w:rsidP="0092047F">
            <w:pPr>
              <w:pStyle w:val="NoSpacing"/>
            </w:pPr>
            <w:r w:rsidRPr="00C15AD0">
              <w:rPr>
                <w:b/>
              </w:rPr>
              <w:lastRenderedPageBreak/>
              <w:t xml:space="preserve">Table </w:t>
            </w:r>
            <w:r>
              <w:rPr>
                <w:b/>
              </w:rPr>
              <w:t>5:</w:t>
            </w:r>
            <w:r w:rsidRPr="00C15AD0">
              <w:rPr>
                <w:b/>
              </w:rPr>
              <w:t xml:space="preserve"> </w:t>
            </w:r>
            <w:r w:rsidRPr="00F63B71">
              <w:t>NCI score and NED ratio comparison</w:t>
            </w:r>
            <w:r>
              <w:t xml:space="preserve"> during the crisis period</w:t>
            </w:r>
          </w:p>
          <w:p w14:paraId="0709B98F" w14:textId="77777777" w:rsidR="0092047F" w:rsidRPr="00C15AD0" w:rsidRDefault="0092047F" w:rsidP="0092047F">
            <w:pPr>
              <w:pStyle w:val="NoSpacing"/>
              <w:rPr>
                <w:b/>
              </w:rPr>
            </w:pPr>
          </w:p>
          <w:p w14:paraId="1B205E38" w14:textId="77777777" w:rsidR="0092047F" w:rsidRPr="00282750" w:rsidRDefault="0092047F" w:rsidP="0092047F">
            <w:pPr>
              <w:pStyle w:val="NoSpacing"/>
            </w:pPr>
          </w:p>
        </w:tc>
      </w:tr>
      <w:tr w:rsidR="0092047F" w:rsidRPr="00EE53FB" w14:paraId="3821275A" w14:textId="77777777" w:rsidTr="0092047F">
        <w:trPr>
          <w:trHeight w:val="290"/>
        </w:trPr>
        <w:tc>
          <w:tcPr>
            <w:tcW w:w="1674" w:type="dxa"/>
            <w:tcBorders>
              <w:top w:val="single" w:sz="4" w:space="0" w:color="auto"/>
              <w:left w:val="nil"/>
              <w:bottom w:val="single" w:sz="4" w:space="0" w:color="auto"/>
              <w:right w:val="nil"/>
            </w:tcBorders>
            <w:shd w:val="clear" w:color="auto" w:fill="auto"/>
            <w:noWrap/>
            <w:vAlign w:val="bottom"/>
            <w:hideMark/>
          </w:tcPr>
          <w:p w14:paraId="6AF4E615" w14:textId="77777777" w:rsidR="0092047F" w:rsidRPr="00EE53FB" w:rsidRDefault="0092047F" w:rsidP="0092047F">
            <w:pPr>
              <w:pStyle w:val="NoSpacing"/>
            </w:pPr>
            <w:r w:rsidRPr="00EE53FB">
              <w:t>Variables</w:t>
            </w:r>
          </w:p>
        </w:tc>
        <w:tc>
          <w:tcPr>
            <w:tcW w:w="2122" w:type="dxa"/>
            <w:tcBorders>
              <w:top w:val="single" w:sz="4" w:space="0" w:color="auto"/>
              <w:left w:val="nil"/>
              <w:bottom w:val="single" w:sz="4" w:space="0" w:color="auto"/>
              <w:right w:val="nil"/>
            </w:tcBorders>
            <w:shd w:val="clear" w:color="auto" w:fill="auto"/>
            <w:noWrap/>
            <w:vAlign w:val="bottom"/>
            <w:hideMark/>
          </w:tcPr>
          <w:p w14:paraId="502BA8D1" w14:textId="77777777" w:rsidR="0092047F" w:rsidRPr="00EE53FB" w:rsidRDefault="0092047F" w:rsidP="0092047F">
            <w:pPr>
              <w:pStyle w:val="NoSpacing"/>
              <w:rPr>
                <w:i/>
              </w:rPr>
            </w:pPr>
            <w:r w:rsidRPr="00EE53FB">
              <w:rPr>
                <w:i/>
              </w:rPr>
              <w:t>Compliant firms</w:t>
            </w:r>
          </w:p>
        </w:tc>
        <w:tc>
          <w:tcPr>
            <w:tcW w:w="2661" w:type="dxa"/>
            <w:tcBorders>
              <w:top w:val="single" w:sz="4" w:space="0" w:color="auto"/>
              <w:left w:val="nil"/>
              <w:bottom w:val="single" w:sz="4" w:space="0" w:color="auto"/>
              <w:right w:val="nil"/>
            </w:tcBorders>
            <w:shd w:val="clear" w:color="auto" w:fill="auto"/>
            <w:noWrap/>
            <w:vAlign w:val="bottom"/>
            <w:hideMark/>
          </w:tcPr>
          <w:p w14:paraId="35F83710" w14:textId="77777777" w:rsidR="0092047F" w:rsidRPr="00EE53FB" w:rsidRDefault="0092047F" w:rsidP="0092047F">
            <w:pPr>
              <w:pStyle w:val="NoSpacing"/>
              <w:rPr>
                <w:i/>
              </w:rPr>
            </w:pPr>
            <w:r w:rsidRPr="00EE53FB">
              <w:rPr>
                <w:i/>
              </w:rPr>
              <w:t>Non-compliant firms</w:t>
            </w:r>
          </w:p>
        </w:tc>
        <w:tc>
          <w:tcPr>
            <w:tcW w:w="1494" w:type="dxa"/>
            <w:tcBorders>
              <w:top w:val="single" w:sz="4" w:space="0" w:color="auto"/>
              <w:left w:val="nil"/>
              <w:bottom w:val="single" w:sz="4" w:space="0" w:color="auto"/>
              <w:right w:val="nil"/>
            </w:tcBorders>
            <w:shd w:val="clear" w:color="auto" w:fill="auto"/>
            <w:noWrap/>
            <w:vAlign w:val="bottom"/>
            <w:hideMark/>
          </w:tcPr>
          <w:p w14:paraId="0E653230" w14:textId="77777777" w:rsidR="0092047F" w:rsidRPr="000B6320" w:rsidRDefault="0092047F" w:rsidP="0092047F">
            <w:pPr>
              <w:pStyle w:val="NoSpacing"/>
              <w:rPr>
                <w:i/>
              </w:rPr>
            </w:pPr>
            <w:r w:rsidRPr="000B6320">
              <w:rPr>
                <w:i/>
              </w:rPr>
              <w:t>t</w:t>
            </w:r>
          </w:p>
        </w:tc>
        <w:tc>
          <w:tcPr>
            <w:tcW w:w="1392" w:type="dxa"/>
            <w:tcBorders>
              <w:top w:val="single" w:sz="4" w:space="0" w:color="auto"/>
              <w:left w:val="nil"/>
              <w:bottom w:val="single" w:sz="4" w:space="0" w:color="auto"/>
              <w:right w:val="nil"/>
            </w:tcBorders>
            <w:shd w:val="clear" w:color="auto" w:fill="auto"/>
            <w:noWrap/>
            <w:vAlign w:val="bottom"/>
            <w:hideMark/>
          </w:tcPr>
          <w:p w14:paraId="5B4318F4" w14:textId="77777777" w:rsidR="0092047F" w:rsidRPr="00EE53FB" w:rsidRDefault="0092047F" w:rsidP="0092047F">
            <w:pPr>
              <w:pStyle w:val="NoSpacing"/>
            </w:pPr>
            <w:r w:rsidRPr="00EE53FB">
              <w:t>p-value</w:t>
            </w:r>
          </w:p>
        </w:tc>
      </w:tr>
      <w:tr w:rsidR="0092047F" w:rsidRPr="00EE53FB" w14:paraId="361E2A98" w14:textId="77777777" w:rsidTr="0092047F">
        <w:trPr>
          <w:trHeight w:val="290"/>
        </w:trPr>
        <w:tc>
          <w:tcPr>
            <w:tcW w:w="1674" w:type="dxa"/>
            <w:tcBorders>
              <w:top w:val="single" w:sz="4" w:space="0" w:color="auto"/>
              <w:left w:val="nil"/>
              <w:bottom w:val="single" w:sz="4" w:space="0" w:color="auto"/>
              <w:right w:val="nil"/>
            </w:tcBorders>
            <w:shd w:val="clear" w:color="auto" w:fill="auto"/>
            <w:noWrap/>
            <w:vAlign w:val="bottom"/>
            <w:hideMark/>
          </w:tcPr>
          <w:p w14:paraId="6AEF71F2" w14:textId="77777777" w:rsidR="0092047F" w:rsidRPr="00EE53FB" w:rsidRDefault="0092047F" w:rsidP="0092047F">
            <w:pPr>
              <w:pStyle w:val="NoSpacing"/>
            </w:pPr>
            <w:r w:rsidRPr="00EE53FB">
              <w:t>Panel A</w:t>
            </w:r>
          </w:p>
        </w:tc>
        <w:tc>
          <w:tcPr>
            <w:tcW w:w="2122" w:type="dxa"/>
            <w:tcBorders>
              <w:top w:val="single" w:sz="4" w:space="0" w:color="auto"/>
              <w:left w:val="nil"/>
              <w:bottom w:val="single" w:sz="4" w:space="0" w:color="auto"/>
              <w:right w:val="nil"/>
            </w:tcBorders>
            <w:shd w:val="clear" w:color="auto" w:fill="auto"/>
            <w:noWrap/>
            <w:vAlign w:val="bottom"/>
            <w:hideMark/>
          </w:tcPr>
          <w:p w14:paraId="7EF35156" w14:textId="77777777" w:rsidR="0092047F" w:rsidRPr="00EE53FB" w:rsidRDefault="0092047F" w:rsidP="0092047F">
            <w:pPr>
              <w:pStyle w:val="NoSpacing"/>
            </w:pPr>
            <w:r w:rsidRPr="00EE53FB">
              <w:t>NCI&lt;7</w:t>
            </w:r>
          </w:p>
        </w:tc>
        <w:tc>
          <w:tcPr>
            <w:tcW w:w="2661" w:type="dxa"/>
            <w:tcBorders>
              <w:top w:val="single" w:sz="4" w:space="0" w:color="auto"/>
              <w:left w:val="nil"/>
              <w:bottom w:val="single" w:sz="4" w:space="0" w:color="auto"/>
              <w:right w:val="nil"/>
            </w:tcBorders>
            <w:shd w:val="clear" w:color="auto" w:fill="auto"/>
            <w:noWrap/>
            <w:vAlign w:val="bottom"/>
            <w:hideMark/>
          </w:tcPr>
          <w:p w14:paraId="57845D55" w14:textId="77777777" w:rsidR="0092047F" w:rsidRPr="00EE53FB" w:rsidRDefault="0092047F" w:rsidP="0092047F">
            <w:pPr>
              <w:pStyle w:val="NoSpacing"/>
            </w:pPr>
            <w:r w:rsidRPr="00EE53FB">
              <w:t>NCI&gt;=7</w:t>
            </w:r>
          </w:p>
        </w:tc>
        <w:tc>
          <w:tcPr>
            <w:tcW w:w="1494" w:type="dxa"/>
            <w:tcBorders>
              <w:top w:val="single" w:sz="4" w:space="0" w:color="auto"/>
              <w:left w:val="nil"/>
              <w:bottom w:val="single" w:sz="4" w:space="0" w:color="auto"/>
              <w:right w:val="nil"/>
            </w:tcBorders>
            <w:shd w:val="clear" w:color="auto" w:fill="auto"/>
            <w:noWrap/>
            <w:vAlign w:val="bottom"/>
            <w:hideMark/>
          </w:tcPr>
          <w:p w14:paraId="0BFD60EC" w14:textId="77777777" w:rsidR="0092047F" w:rsidRPr="00EE53FB" w:rsidRDefault="0092047F" w:rsidP="0092047F">
            <w:pPr>
              <w:pStyle w:val="NoSpacing"/>
            </w:pPr>
            <w:r w:rsidRPr="00EE53FB">
              <w:t> </w:t>
            </w:r>
          </w:p>
        </w:tc>
        <w:tc>
          <w:tcPr>
            <w:tcW w:w="1392" w:type="dxa"/>
            <w:tcBorders>
              <w:top w:val="single" w:sz="4" w:space="0" w:color="auto"/>
              <w:left w:val="nil"/>
              <w:bottom w:val="single" w:sz="4" w:space="0" w:color="auto"/>
              <w:right w:val="nil"/>
            </w:tcBorders>
            <w:shd w:val="clear" w:color="auto" w:fill="auto"/>
            <w:noWrap/>
            <w:vAlign w:val="bottom"/>
            <w:hideMark/>
          </w:tcPr>
          <w:p w14:paraId="127BE573" w14:textId="77777777" w:rsidR="0092047F" w:rsidRPr="00EE53FB" w:rsidRDefault="0092047F" w:rsidP="0092047F">
            <w:pPr>
              <w:pStyle w:val="NoSpacing"/>
            </w:pPr>
            <w:r w:rsidRPr="00EE53FB">
              <w:t> </w:t>
            </w:r>
          </w:p>
        </w:tc>
      </w:tr>
      <w:tr w:rsidR="0092047F" w:rsidRPr="00EE53FB" w14:paraId="55ED93E8" w14:textId="77777777" w:rsidTr="0092047F">
        <w:trPr>
          <w:trHeight w:val="290"/>
        </w:trPr>
        <w:tc>
          <w:tcPr>
            <w:tcW w:w="1674" w:type="dxa"/>
            <w:tcBorders>
              <w:top w:val="single" w:sz="4" w:space="0" w:color="auto"/>
              <w:left w:val="nil"/>
              <w:bottom w:val="nil"/>
              <w:right w:val="nil"/>
            </w:tcBorders>
            <w:shd w:val="clear" w:color="auto" w:fill="auto"/>
            <w:noWrap/>
            <w:hideMark/>
          </w:tcPr>
          <w:p w14:paraId="3E54DD70" w14:textId="77777777" w:rsidR="0092047F" w:rsidRPr="00EE53FB" w:rsidRDefault="0092047F" w:rsidP="0092047F">
            <w:pPr>
              <w:pStyle w:val="NoSpacing"/>
            </w:pPr>
            <w:r w:rsidRPr="00EE53FB">
              <w:t>TSR</w:t>
            </w:r>
          </w:p>
        </w:tc>
        <w:tc>
          <w:tcPr>
            <w:tcW w:w="2122" w:type="dxa"/>
            <w:tcBorders>
              <w:top w:val="single" w:sz="4" w:space="0" w:color="auto"/>
              <w:left w:val="nil"/>
              <w:bottom w:val="nil"/>
              <w:right w:val="nil"/>
            </w:tcBorders>
            <w:shd w:val="clear" w:color="auto" w:fill="auto"/>
            <w:noWrap/>
            <w:vAlign w:val="bottom"/>
            <w:hideMark/>
          </w:tcPr>
          <w:p w14:paraId="58BFF1D2" w14:textId="77777777" w:rsidR="0092047F" w:rsidRPr="00EE53FB" w:rsidRDefault="0092047F" w:rsidP="0092047F">
            <w:pPr>
              <w:pStyle w:val="NoSpacing"/>
            </w:pPr>
            <w:r w:rsidRPr="00EE53FB">
              <w:t>43.1631</w:t>
            </w:r>
          </w:p>
        </w:tc>
        <w:tc>
          <w:tcPr>
            <w:tcW w:w="2661" w:type="dxa"/>
            <w:tcBorders>
              <w:top w:val="single" w:sz="4" w:space="0" w:color="auto"/>
              <w:left w:val="nil"/>
              <w:bottom w:val="nil"/>
              <w:right w:val="nil"/>
            </w:tcBorders>
            <w:shd w:val="clear" w:color="auto" w:fill="auto"/>
            <w:noWrap/>
            <w:vAlign w:val="bottom"/>
            <w:hideMark/>
          </w:tcPr>
          <w:p w14:paraId="56ACE0DA" w14:textId="77777777" w:rsidR="0092047F" w:rsidRPr="00EE53FB" w:rsidRDefault="0092047F" w:rsidP="0092047F">
            <w:pPr>
              <w:pStyle w:val="NoSpacing"/>
            </w:pPr>
            <w:r w:rsidRPr="00EE53FB">
              <w:t>11.6600</w:t>
            </w:r>
          </w:p>
        </w:tc>
        <w:tc>
          <w:tcPr>
            <w:tcW w:w="1494" w:type="dxa"/>
            <w:tcBorders>
              <w:top w:val="single" w:sz="4" w:space="0" w:color="auto"/>
              <w:left w:val="nil"/>
              <w:bottom w:val="nil"/>
              <w:right w:val="nil"/>
            </w:tcBorders>
            <w:shd w:val="clear" w:color="auto" w:fill="auto"/>
            <w:noWrap/>
            <w:vAlign w:val="bottom"/>
            <w:hideMark/>
          </w:tcPr>
          <w:p w14:paraId="413AE3B0" w14:textId="77777777" w:rsidR="0092047F" w:rsidRPr="00EE53FB" w:rsidRDefault="0092047F" w:rsidP="0092047F">
            <w:pPr>
              <w:pStyle w:val="NoSpacing"/>
            </w:pPr>
            <w:r w:rsidRPr="00EE53FB">
              <w:t>0.3069</w:t>
            </w:r>
          </w:p>
        </w:tc>
        <w:tc>
          <w:tcPr>
            <w:tcW w:w="1392" w:type="dxa"/>
            <w:tcBorders>
              <w:top w:val="single" w:sz="4" w:space="0" w:color="auto"/>
              <w:left w:val="nil"/>
              <w:bottom w:val="nil"/>
              <w:right w:val="nil"/>
            </w:tcBorders>
            <w:shd w:val="clear" w:color="auto" w:fill="auto"/>
            <w:noWrap/>
            <w:vAlign w:val="bottom"/>
            <w:hideMark/>
          </w:tcPr>
          <w:p w14:paraId="0B3D9E46" w14:textId="77777777" w:rsidR="0092047F" w:rsidRPr="00EE53FB" w:rsidRDefault="0092047F" w:rsidP="0092047F">
            <w:pPr>
              <w:pStyle w:val="NoSpacing"/>
            </w:pPr>
            <w:r w:rsidRPr="00EE53FB">
              <w:t>0.759</w:t>
            </w:r>
          </w:p>
        </w:tc>
      </w:tr>
      <w:tr w:rsidR="0092047F" w:rsidRPr="00EE53FB" w14:paraId="25ED3EBA" w14:textId="77777777" w:rsidTr="0092047F">
        <w:trPr>
          <w:trHeight w:val="290"/>
        </w:trPr>
        <w:tc>
          <w:tcPr>
            <w:tcW w:w="1674" w:type="dxa"/>
            <w:tcBorders>
              <w:top w:val="nil"/>
              <w:left w:val="nil"/>
              <w:bottom w:val="single" w:sz="4" w:space="0" w:color="auto"/>
              <w:right w:val="nil"/>
            </w:tcBorders>
            <w:shd w:val="clear" w:color="auto" w:fill="auto"/>
            <w:noWrap/>
            <w:hideMark/>
          </w:tcPr>
          <w:p w14:paraId="16501921" w14:textId="77777777" w:rsidR="0092047F" w:rsidRPr="00EE53FB" w:rsidRDefault="0092047F" w:rsidP="0092047F">
            <w:pPr>
              <w:pStyle w:val="NoSpacing"/>
            </w:pPr>
            <w:r w:rsidRPr="00EE53FB">
              <w:t>ROE</w:t>
            </w:r>
          </w:p>
        </w:tc>
        <w:tc>
          <w:tcPr>
            <w:tcW w:w="2122" w:type="dxa"/>
            <w:tcBorders>
              <w:top w:val="nil"/>
              <w:left w:val="nil"/>
              <w:bottom w:val="single" w:sz="4" w:space="0" w:color="auto"/>
              <w:right w:val="nil"/>
            </w:tcBorders>
            <w:shd w:val="clear" w:color="auto" w:fill="auto"/>
            <w:noWrap/>
            <w:vAlign w:val="bottom"/>
            <w:hideMark/>
          </w:tcPr>
          <w:p w14:paraId="19E0C568" w14:textId="77777777" w:rsidR="0092047F" w:rsidRPr="00EE53FB" w:rsidRDefault="0092047F" w:rsidP="0092047F">
            <w:pPr>
              <w:pStyle w:val="NoSpacing"/>
            </w:pPr>
            <w:r w:rsidRPr="00EE53FB">
              <w:t>83.9753</w:t>
            </w:r>
          </w:p>
        </w:tc>
        <w:tc>
          <w:tcPr>
            <w:tcW w:w="2661" w:type="dxa"/>
            <w:tcBorders>
              <w:top w:val="nil"/>
              <w:left w:val="nil"/>
              <w:bottom w:val="single" w:sz="4" w:space="0" w:color="auto"/>
              <w:right w:val="nil"/>
            </w:tcBorders>
            <w:shd w:val="clear" w:color="auto" w:fill="auto"/>
            <w:noWrap/>
            <w:vAlign w:val="bottom"/>
            <w:hideMark/>
          </w:tcPr>
          <w:p w14:paraId="5F01E605" w14:textId="77777777" w:rsidR="0092047F" w:rsidRPr="00EE53FB" w:rsidRDefault="0092047F" w:rsidP="0092047F">
            <w:pPr>
              <w:pStyle w:val="NoSpacing"/>
            </w:pPr>
            <w:r w:rsidRPr="00EE53FB">
              <w:t>-148.1080</w:t>
            </w:r>
          </w:p>
        </w:tc>
        <w:tc>
          <w:tcPr>
            <w:tcW w:w="1494" w:type="dxa"/>
            <w:tcBorders>
              <w:top w:val="nil"/>
              <w:left w:val="nil"/>
              <w:bottom w:val="single" w:sz="4" w:space="0" w:color="auto"/>
              <w:right w:val="nil"/>
            </w:tcBorders>
            <w:shd w:val="clear" w:color="auto" w:fill="auto"/>
            <w:noWrap/>
            <w:vAlign w:val="bottom"/>
            <w:hideMark/>
          </w:tcPr>
          <w:p w14:paraId="66E23358" w14:textId="77777777" w:rsidR="0092047F" w:rsidRPr="00EE53FB" w:rsidRDefault="0092047F" w:rsidP="0092047F">
            <w:pPr>
              <w:pStyle w:val="NoSpacing"/>
            </w:pPr>
            <w:r w:rsidRPr="00EE53FB">
              <w:t>39.6115</w:t>
            </w:r>
          </w:p>
        </w:tc>
        <w:tc>
          <w:tcPr>
            <w:tcW w:w="1392" w:type="dxa"/>
            <w:tcBorders>
              <w:top w:val="nil"/>
              <w:left w:val="nil"/>
              <w:bottom w:val="single" w:sz="4" w:space="0" w:color="auto"/>
              <w:right w:val="nil"/>
            </w:tcBorders>
            <w:shd w:val="clear" w:color="auto" w:fill="auto"/>
            <w:noWrap/>
            <w:vAlign w:val="bottom"/>
            <w:hideMark/>
          </w:tcPr>
          <w:p w14:paraId="0ED89588" w14:textId="77777777" w:rsidR="0092047F" w:rsidRPr="00EE53FB" w:rsidRDefault="0092047F" w:rsidP="0092047F">
            <w:pPr>
              <w:pStyle w:val="NoSpacing"/>
            </w:pPr>
            <w:r w:rsidRPr="00EE53FB">
              <w:t>0.076</w:t>
            </w:r>
          </w:p>
        </w:tc>
      </w:tr>
      <w:tr w:rsidR="0092047F" w:rsidRPr="00EE53FB" w14:paraId="6DC25D7C" w14:textId="77777777" w:rsidTr="0092047F">
        <w:trPr>
          <w:trHeight w:val="290"/>
        </w:trPr>
        <w:tc>
          <w:tcPr>
            <w:tcW w:w="1674" w:type="dxa"/>
            <w:tcBorders>
              <w:top w:val="single" w:sz="4" w:space="0" w:color="auto"/>
              <w:left w:val="nil"/>
              <w:right w:val="nil"/>
            </w:tcBorders>
            <w:shd w:val="clear" w:color="auto" w:fill="auto"/>
            <w:noWrap/>
            <w:vAlign w:val="bottom"/>
            <w:hideMark/>
          </w:tcPr>
          <w:p w14:paraId="198C2184" w14:textId="77777777" w:rsidR="0092047F" w:rsidRPr="00EE53FB" w:rsidRDefault="0092047F" w:rsidP="0092047F">
            <w:pPr>
              <w:pStyle w:val="NoSpacing"/>
            </w:pPr>
            <w:r w:rsidRPr="00EE53FB">
              <w:t>Panel B</w:t>
            </w:r>
          </w:p>
        </w:tc>
        <w:tc>
          <w:tcPr>
            <w:tcW w:w="2122" w:type="dxa"/>
            <w:tcBorders>
              <w:top w:val="single" w:sz="4" w:space="0" w:color="auto"/>
              <w:left w:val="nil"/>
              <w:right w:val="nil"/>
            </w:tcBorders>
            <w:shd w:val="clear" w:color="auto" w:fill="auto"/>
            <w:noWrap/>
            <w:vAlign w:val="bottom"/>
            <w:hideMark/>
          </w:tcPr>
          <w:p w14:paraId="2FEE846B" w14:textId="77777777" w:rsidR="0092047F" w:rsidRPr="00EE53FB" w:rsidRDefault="0092047F" w:rsidP="0092047F">
            <w:pPr>
              <w:pStyle w:val="NoSpacing"/>
              <w:rPr>
                <w:i/>
              </w:rPr>
            </w:pPr>
            <w:r w:rsidRPr="00EE53FB">
              <w:rPr>
                <w:i/>
              </w:rPr>
              <w:t>Lower NED ratio</w:t>
            </w:r>
          </w:p>
        </w:tc>
        <w:tc>
          <w:tcPr>
            <w:tcW w:w="2661" w:type="dxa"/>
            <w:tcBorders>
              <w:top w:val="single" w:sz="4" w:space="0" w:color="auto"/>
              <w:left w:val="nil"/>
              <w:right w:val="nil"/>
            </w:tcBorders>
            <w:shd w:val="clear" w:color="auto" w:fill="auto"/>
            <w:noWrap/>
            <w:vAlign w:val="bottom"/>
            <w:hideMark/>
          </w:tcPr>
          <w:p w14:paraId="6C5AD0F0" w14:textId="77777777" w:rsidR="0092047F" w:rsidRPr="00EE53FB" w:rsidRDefault="0092047F" w:rsidP="0092047F">
            <w:pPr>
              <w:pStyle w:val="NoSpacing"/>
              <w:rPr>
                <w:i/>
              </w:rPr>
            </w:pPr>
            <w:r w:rsidRPr="00EE53FB">
              <w:rPr>
                <w:i/>
              </w:rPr>
              <w:t>Higher NED ratio</w:t>
            </w:r>
          </w:p>
        </w:tc>
        <w:tc>
          <w:tcPr>
            <w:tcW w:w="1494" w:type="dxa"/>
            <w:tcBorders>
              <w:top w:val="single" w:sz="4" w:space="0" w:color="auto"/>
              <w:left w:val="nil"/>
              <w:right w:val="nil"/>
            </w:tcBorders>
            <w:shd w:val="clear" w:color="auto" w:fill="auto"/>
            <w:noWrap/>
            <w:vAlign w:val="bottom"/>
            <w:hideMark/>
          </w:tcPr>
          <w:p w14:paraId="730E7FBF" w14:textId="77777777" w:rsidR="0092047F" w:rsidRPr="000B6320" w:rsidRDefault="0092047F" w:rsidP="0092047F">
            <w:pPr>
              <w:pStyle w:val="NoSpacing"/>
              <w:ind w:left="720" w:hanging="720"/>
              <w:rPr>
                <w:i/>
              </w:rPr>
            </w:pPr>
            <w:r w:rsidRPr="000B6320">
              <w:rPr>
                <w:i/>
              </w:rPr>
              <w:t>t</w:t>
            </w:r>
          </w:p>
        </w:tc>
        <w:tc>
          <w:tcPr>
            <w:tcW w:w="1392" w:type="dxa"/>
            <w:tcBorders>
              <w:top w:val="single" w:sz="4" w:space="0" w:color="auto"/>
              <w:left w:val="nil"/>
              <w:right w:val="nil"/>
            </w:tcBorders>
            <w:shd w:val="clear" w:color="auto" w:fill="auto"/>
            <w:noWrap/>
            <w:vAlign w:val="bottom"/>
            <w:hideMark/>
          </w:tcPr>
          <w:p w14:paraId="0E47A645" w14:textId="77777777" w:rsidR="0092047F" w:rsidRPr="00EE53FB" w:rsidRDefault="0092047F" w:rsidP="0092047F">
            <w:pPr>
              <w:pStyle w:val="NoSpacing"/>
            </w:pPr>
            <w:r w:rsidRPr="00EE53FB">
              <w:t>p-value</w:t>
            </w:r>
          </w:p>
        </w:tc>
      </w:tr>
      <w:tr w:rsidR="0092047F" w:rsidRPr="00EE53FB" w14:paraId="4B4F2804" w14:textId="77777777" w:rsidTr="0092047F">
        <w:trPr>
          <w:trHeight w:val="290"/>
        </w:trPr>
        <w:tc>
          <w:tcPr>
            <w:tcW w:w="1674" w:type="dxa"/>
            <w:tcBorders>
              <w:left w:val="nil"/>
              <w:bottom w:val="single" w:sz="4" w:space="0" w:color="auto"/>
              <w:right w:val="nil"/>
            </w:tcBorders>
            <w:shd w:val="clear" w:color="auto" w:fill="auto"/>
            <w:noWrap/>
            <w:vAlign w:val="bottom"/>
            <w:hideMark/>
          </w:tcPr>
          <w:p w14:paraId="548955A2" w14:textId="77777777" w:rsidR="0092047F" w:rsidRPr="00EE53FB" w:rsidRDefault="0092047F" w:rsidP="0092047F">
            <w:pPr>
              <w:pStyle w:val="NoSpacing"/>
            </w:pPr>
          </w:p>
        </w:tc>
        <w:tc>
          <w:tcPr>
            <w:tcW w:w="2122" w:type="dxa"/>
            <w:tcBorders>
              <w:left w:val="nil"/>
              <w:bottom w:val="single" w:sz="4" w:space="0" w:color="auto"/>
              <w:right w:val="nil"/>
            </w:tcBorders>
            <w:shd w:val="clear" w:color="auto" w:fill="auto"/>
            <w:noWrap/>
            <w:vAlign w:val="bottom"/>
            <w:hideMark/>
          </w:tcPr>
          <w:p w14:paraId="33A6FDCC" w14:textId="77777777" w:rsidR="0092047F" w:rsidRPr="00EE53FB" w:rsidRDefault="0092047F" w:rsidP="0092047F">
            <w:pPr>
              <w:pStyle w:val="NoSpacing"/>
            </w:pPr>
            <w:r>
              <w:t>NED ratio&lt;</w:t>
            </w:r>
            <w:r w:rsidRPr="00EE53FB">
              <w:t>0.50</w:t>
            </w:r>
          </w:p>
        </w:tc>
        <w:tc>
          <w:tcPr>
            <w:tcW w:w="2661" w:type="dxa"/>
            <w:tcBorders>
              <w:left w:val="nil"/>
              <w:bottom w:val="single" w:sz="4" w:space="0" w:color="auto"/>
              <w:right w:val="nil"/>
            </w:tcBorders>
            <w:shd w:val="clear" w:color="auto" w:fill="auto"/>
            <w:noWrap/>
            <w:vAlign w:val="bottom"/>
            <w:hideMark/>
          </w:tcPr>
          <w:p w14:paraId="28633BB3" w14:textId="77777777" w:rsidR="0092047F" w:rsidRPr="00EE53FB" w:rsidRDefault="0092047F" w:rsidP="0092047F">
            <w:pPr>
              <w:pStyle w:val="NoSpacing"/>
            </w:pPr>
            <w:r w:rsidRPr="00EE53FB">
              <w:t>NED ratio&gt;=0.50</w:t>
            </w:r>
          </w:p>
        </w:tc>
        <w:tc>
          <w:tcPr>
            <w:tcW w:w="1494" w:type="dxa"/>
            <w:tcBorders>
              <w:left w:val="nil"/>
              <w:bottom w:val="single" w:sz="4" w:space="0" w:color="auto"/>
              <w:right w:val="nil"/>
            </w:tcBorders>
            <w:shd w:val="clear" w:color="auto" w:fill="auto"/>
            <w:noWrap/>
            <w:vAlign w:val="bottom"/>
            <w:hideMark/>
          </w:tcPr>
          <w:p w14:paraId="01F60B89" w14:textId="77777777" w:rsidR="0092047F" w:rsidRPr="00EE53FB" w:rsidRDefault="0092047F" w:rsidP="0092047F">
            <w:pPr>
              <w:pStyle w:val="NoSpacing"/>
            </w:pPr>
          </w:p>
        </w:tc>
        <w:tc>
          <w:tcPr>
            <w:tcW w:w="1392" w:type="dxa"/>
            <w:tcBorders>
              <w:left w:val="nil"/>
              <w:bottom w:val="single" w:sz="4" w:space="0" w:color="auto"/>
              <w:right w:val="nil"/>
            </w:tcBorders>
            <w:shd w:val="clear" w:color="auto" w:fill="auto"/>
            <w:noWrap/>
            <w:vAlign w:val="bottom"/>
            <w:hideMark/>
          </w:tcPr>
          <w:p w14:paraId="57254183" w14:textId="77777777" w:rsidR="0092047F" w:rsidRPr="00EE53FB" w:rsidRDefault="0092047F" w:rsidP="0092047F">
            <w:pPr>
              <w:pStyle w:val="NoSpacing"/>
              <w:rPr>
                <w:sz w:val="20"/>
                <w:szCs w:val="20"/>
              </w:rPr>
            </w:pPr>
          </w:p>
        </w:tc>
      </w:tr>
      <w:tr w:rsidR="0092047F" w:rsidRPr="00EE53FB" w14:paraId="770A2764" w14:textId="77777777" w:rsidTr="0092047F">
        <w:trPr>
          <w:trHeight w:val="290"/>
        </w:trPr>
        <w:tc>
          <w:tcPr>
            <w:tcW w:w="1674" w:type="dxa"/>
            <w:tcBorders>
              <w:top w:val="single" w:sz="4" w:space="0" w:color="auto"/>
              <w:left w:val="nil"/>
              <w:bottom w:val="nil"/>
              <w:right w:val="nil"/>
            </w:tcBorders>
            <w:shd w:val="clear" w:color="auto" w:fill="auto"/>
            <w:noWrap/>
            <w:vAlign w:val="bottom"/>
            <w:hideMark/>
          </w:tcPr>
          <w:p w14:paraId="36BF01BD" w14:textId="77777777" w:rsidR="0092047F" w:rsidRPr="00EE53FB" w:rsidRDefault="0092047F" w:rsidP="0092047F">
            <w:pPr>
              <w:pStyle w:val="NoSpacing"/>
            </w:pPr>
            <w:r w:rsidRPr="00EE53FB">
              <w:t>TSR</w:t>
            </w:r>
          </w:p>
        </w:tc>
        <w:tc>
          <w:tcPr>
            <w:tcW w:w="2122" w:type="dxa"/>
            <w:tcBorders>
              <w:top w:val="single" w:sz="4" w:space="0" w:color="auto"/>
              <w:left w:val="nil"/>
              <w:bottom w:val="nil"/>
              <w:right w:val="nil"/>
            </w:tcBorders>
            <w:shd w:val="clear" w:color="auto" w:fill="auto"/>
            <w:noWrap/>
            <w:vAlign w:val="bottom"/>
            <w:hideMark/>
          </w:tcPr>
          <w:p w14:paraId="58B272CB" w14:textId="77777777" w:rsidR="0092047F" w:rsidRPr="00EE53FB" w:rsidRDefault="0092047F" w:rsidP="0092047F">
            <w:pPr>
              <w:pStyle w:val="NoSpacing"/>
            </w:pPr>
            <w:r w:rsidRPr="00EE53FB">
              <w:t>-79.8983</w:t>
            </w:r>
          </w:p>
        </w:tc>
        <w:tc>
          <w:tcPr>
            <w:tcW w:w="2661" w:type="dxa"/>
            <w:tcBorders>
              <w:top w:val="single" w:sz="4" w:space="0" w:color="auto"/>
              <w:left w:val="nil"/>
              <w:bottom w:val="nil"/>
              <w:right w:val="nil"/>
            </w:tcBorders>
            <w:shd w:val="clear" w:color="auto" w:fill="auto"/>
            <w:noWrap/>
            <w:vAlign w:val="bottom"/>
            <w:hideMark/>
          </w:tcPr>
          <w:p w14:paraId="50EACC5B" w14:textId="77777777" w:rsidR="0092047F" w:rsidRPr="00EE53FB" w:rsidRDefault="0092047F" w:rsidP="0092047F">
            <w:pPr>
              <w:pStyle w:val="NoSpacing"/>
            </w:pPr>
            <w:r w:rsidRPr="00EE53FB">
              <w:t>-271.4492</w:t>
            </w:r>
          </w:p>
        </w:tc>
        <w:tc>
          <w:tcPr>
            <w:tcW w:w="1494" w:type="dxa"/>
            <w:tcBorders>
              <w:top w:val="single" w:sz="4" w:space="0" w:color="auto"/>
              <w:left w:val="nil"/>
              <w:bottom w:val="nil"/>
              <w:right w:val="nil"/>
            </w:tcBorders>
            <w:shd w:val="clear" w:color="auto" w:fill="auto"/>
            <w:noWrap/>
            <w:vAlign w:val="bottom"/>
            <w:hideMark/>
          </w:tcPr>
          <w:p w14:paraId="5AAEAD80" w14:textId="77777777" w:rsidR="0092047F" w:rsidRPr="00EE53FB" w:rsidRDefault="0092047F" w:rsidP="0092047F">
            <w:pPr>
              <w:pStyle w:val="NoSpacing"/>
            </w:pPr>
            <w:r w:rsidRPr="00EE53FB">
              <w:t>-1.4002</w:t>
            </w:r>
          </w:p>
        </w:tc>
        <w:tc>
          <w:tcPr>
            <w:tcW w:w="1392" w:type="dxa"/>
            <w:tcBorders>
              <w:top w:val="single" w:sz="4" w:space="0" w:color="auto"/>
              <w:left w:val="nil"/>
              <w:bottom w:val="nil"/>
              <w:right w:val="nil"/>
            </w:tcBorders>
            <w:shd w:val="clear" w:color="auto" w:fill="auto"/>
            <w:noWrap/>
            <w:vAlign w:val="bottom"/>
            <w:hideMark/>
          </w:tcPr>
          <w:p w14:paraId="7A42FDA9" w14:textId="77777777" w:rsidR="0092047F" w:rsidRPr="00EE53FB" w:rsidRDefault="0092047F" w:rsidP="0092047F">
            <w:pPr>
              <w:pStyle w:val="NoSpacing"/>
            </w:pPr>
            <w:r w:rsidRPr="00EE53FB">
              <w:t>0.1624</w:t>
            </w:r>
          </w:p>
        </w:tc>
      </w:tr>
      <w:tr w:rsidR="0092047F" w:rsidRPr="00EE53FB" w14:paraId="7B3CAED7" w14:textId="77777777" w:rsidTr="0092047F">
        <w:trPr>
          <w:trHeight w:val="290"/>
        </w:trPr>
        <w:tc>
          <w:tcPr>
            <w:tcW w:w="1674" w:type="dxa"/>
            <w:tcBorders>
              <w:top w:val="nil"/>
              <w:left w:val="nil"/>
              <w:bottom w:val="single" w:sz="4" w:space="0" w:color="auto"/>
              <w:right w:val="nil"/>
            </w:tcBorders>
            <w:shd w:val="clear" w:color="auto" w:fill="auto"/>
            <w:noWrap/>
            <w:vAlign w:val="bottom"/>
            <w:hideMark/>
          </w:tcPr>
          <w:p w14:paraId="5B960FDA" w14:textId="77777777" w:rsidR="0092047F" w:rsidRPr="00EE53FB" w:rsidRDefault="0092047F" w:rsidP="0092047F">
            <w:pPr>
              <w:pStyle w:val="NoSpacing"/>
            </w:pPr>
            <w:r w:rsidRPr="00EE53FB">
              <w:t>ROE</w:t>
            </w:r>
          </w:p>
        </w:tc>
        <w:tc>
          <w:tcPr>
            <w:tcW w:w="2122" w:type="dxa"/>
            <w:tcBorders>
              <w:top w:val="nil"/>
              <w:left w:val="nil"/>
              <w:bottom w:val="single" w:sz="4" w:space="0" w:color="auto"/>
              <w:right w:val="nil"/>
            </w:tcBorders>
            <w:shd w:val="clear" w:color="auto" w:fill="auto"/>
            <w:noWrap/>
            <w:vAlign w:val="bottom"/>
            <w:hideMark/>
          </w:tcPr>
          <w:p w14:paraId="26EB0706" w14:textId="77777777" w:rsidR="0092047F" w:rsidRPr="00EE53FB" w:rsidRDefault="0092047F" w:rsidP="0092047F">
            <w:pPr>
              <w:pStyle w:val="NoSpacing"/>
            </w:pPr>
            <w:r w:rsidRPr="00EE53FB">
              <w:t>81.3297</w:t>
            </w:r>
          </w:p>
        </w:tc>
        <w:tc>
          <w:tcPr>
            <w:tcW w:w="2661" w:type="dxa"/>
            <w:tcBorders>
              <w:top w:val="nil"/>
              <w:left w:val="nil"/>
              <w:bottom w:val="single" w:sz="4" w:space="0" w:color="auto"/>
              <w:right w:val="nil"/>
            </w:tcBorders>
            <w:shd w:val="clear" w:color="auto" w:fill="auto"/>
            <w:noWrap/>
            <w:vAlign w:val="bottom"/>
            <w:hideMark/>
          </w:tcPr>
          <w:p w14:paraId="21792914" w14:textId="77777777" w:rsidR="0092047F" w:rsidRPr="00EE53FB" w:rsidRDefault="0092047F" w:rsidP="0092047F">
            <w:pPr>
              <w:pStyle w:val="NoSpacing"/>
            </w:pPr>
            <w:r w:rsidRPr="00EE53FB">
              <w:t>-67.7933</w:t>
            </w:r>
          </w:p>
        </w:tc>
        <w:tc>
          <w:tcPr>
            <w:tcW w:w="1494" w:type="dxa"/>
            <w:tcBorders>
              <w:top w:val="nil"/>
              <w:left w:val="nil"/>
              <w:bottom w:val="single" w:sz="4" w:space="0" w:color="auto"/>
              <w:right w:val="nil"/>
            </w:tcBorders>
            <w:shd w:val="clear" w:color="auto" w:fill="auto"/>
            <w:noWrap/>
            <w:vAlign w:val="bottom"/>
            <w:hideMark/>
          </w:tcPr>
          <w:p w14:paraId="4029AB13" w14:textId="77777777" w:rsidR="0092047F" w:rsidRPr="00EE53FB" w:rsidRDefault="0092047F" w:rsidP="0092047F">
            <w:pPr>
              <w:pStyle w:val="NoSpacing"/>
            </w:pPr>
            <w:r w:rsidRPr="00EE53FB">
              <w:t>-1.4976</w:t>
            </w:r>
          </w:p>
        </w:tc>
        <w:tc>
          <w:tcPr>
            <w:tcW w:w="1392" w:type="dxa"/>
            <w:tcBorders>
              <w:top w:val="nil"/>
              <w:left w:val="nil"/>
              <w:bottom w:val="single" w:sz="4" w:space="0" w:color="auto"/>
              <w:right w:val="nil"/>
            </w:tcBorders>
            <w:shd w:val="clear" w:color="auto" w:fill="auto"/>
            <w:noWrap/>
            <w:vAlign w:val="bottom"/>
            <w:hideMark/>
          </w:tcPr>
          <w:p w14:paraId="1994C455" w14:textId="77777777" w:rsidR="0092047F" w:rsidRPr="00EE53FB" w:rsidRDefault="0092047F" w:rsidP="0092047F">
            <w:pPr>
              <w:pStyle w:val="NoSpacing"/>
            </w:pPr>
            <w:r w:rsidRPr="00EE53FB">
              <w:t>0.0135</w:t>
            </w:r>
          </w:p>
        </w:tc>
      </w:tr>
    </w:tbl>
    <w:p w14:paraId="620C76A0" w14:textId="77777777" w:rsidR="0092047F" w:rsidRDefault="0092047F" w:rsidP="0092047F">
      <w:pPr>
        <w:ind w:firstLine="0"/>
        <w:rPr>
          <w:rFonts w:eastAsia="Calibri" w:cs="Times New Roman"/>
          <w:lang w:eastAsia="en-GB"/>
        </w:rPr>
      </w:pPr>
    </w:p>
    <w:p w14:paraId="132FB02B" w14:textId="77777777" w:rsidR="0092047F" w:rsidRDefault="0092047F" w:rsidP="0092047F">
      <w:pPr>
        <w:pStyle w:val="NoSpacing"/>
        <w:rPr>
          <w:b/>
        </w:rPr>
      </w:pPr>
    </w:p>
    <w:p w14:paraId="27862582" w14:textId="77777777" w:rsidR="0092047F" w:rsidRDefault="0092047F" w:rsidP="0092047F">
      <w:pPr>
        <w:pStyle w:val="NoSpacing"/>
        <w:rPr>
          <w:b/>
        </w:rPr>
      </w:pPr>
    </w:p>
    <w:p w14:paraId="6059B56E" w14:textId="77777777" w:rsidR="0092047F" w:rsidRDefault="0092047F" w:rsidP="0092047F">
      <w:pPr>
        <w:pStyle w:val="NoSpacing"/>
        <w:rPr>
          <w:b/>
        </w:rPr>
      </w:pPr>
    </w:p>
    <w:p w14:paraId="6C92288E" w14:textId="77777777" w:rsidR="0092047F" w:rsidRDefault="0092047F" w:rsidP="0092047F">
      <w:pPr>
        <w:pStyle w:val="NoSpacing"/>
        <w:rPr>
          <w:b/>
        </w:rPr>
      </w:pPr>
    </w:p>
    <w:p w14:paraId="3E2AC97F" w14:textId="77777777" w:rsidR="0092047F" w:rsidRDefault="0092047F" w:rsidP="0092047F">
      <w:pPr>
        <w:pStyle w:val="NoSpacing"/>
        <w:rPr>
          <w:b/>
        </w:rPr>
      </w:pPr>
    </w:p>
    <w:p w14:paraId="0A80D4FF" w14:textId="77777777" w:rsidR="0092047F" w:rsidRDefault="0092047F" w:rsidP="0092047F">
      <w:pPr>
        <w:pStyle w:val="NoSpacing"/>
        <w:rPr>
          <w:b/>
        </w:rPr>
      </w:pPr>
    </w:p>
    <w:p w14:paraId="0B77F589" w14:textId="77777777" w:rsidR="0092047F" w:rsidRDefault="0092047F" w:rsidP="0092047F">
      <w:pPr>
        <w:pStyle w:val="NoSpacing"/>
        <w:rPr>
          <w:b/>
        </w:rPr>
      </w:pPr>
    </w:p>
    <w:p w14:paraId="14133368" w14:textId="77777777" w:rsidR="0092047F" w:rsidRDefault="0092047F" w:rsidP="0092047F">
      <w:pPr>
        <w:pStyle w:val="NoSpacing"/>
        <w:rPr>
          <w:b/>
        </w:rPr>
      </w:pPr>
    </w:p>
    <w:p w14:paraId="3FA7DDD2" w14:textId="77777777" w:rsidR="0092047F" w:rsidRDefault="0092047F" w:rsidP="0092047F">
      <w:pPr>
        <w:pStyle w:val="NoSpacing"/>
        <w:rPr>
          <w:b/>
        </w:rPr>
      </w:pPr>
    </w:p>
    <w:p w14:paraId="25F58E3E" w14:textId="77777777" w:rsidR="0092047F" w:rsidRDefault="0092047F" w:rsidP="0092047F">
      <w:pPr>
        <w:pStyle w:val="NoSpacing"/>
        <w:rPr>
          <w:b/>
        </w:rPr>
      </w:pPr>
    </w:p>
    <w:p w14:paraId="585EA8E7" w14:textId="77777777" w:rsidR="0092047F" w:rsidRDefault="0092047F" w:rsidP="0092047F">
      <w:pPr>
        <w:pStyle w:val="NoSpacing"/>
        <w:rPr>
          <w:b/>
        </w:rPr>
      </w:pPr>
    </w:p>
    <w:p w14:paraId="42829197" w14:textId="77777777" w:rsidR="0092047F" w:rsidRDefault="0092047F" w:rsidP="0092047F">
      <w:pPr>
        <w:pStyle w:val="NoSpacing"/>
        <w:rPr>
          <w:b/>
        </w:rPr>
      </w:pPr>
    </w:p>
    <w:p w14:paraId="2618285F" w14:textId="77777777" w:rsidR="0092047F" w:rsidRDefault="0092047F" w:rsidP="0092047F">
      <w:pPr>
        <w:pStyle w:val="NoSpacing"/>
        <w:rPr>
          <w:b/>
        </w:rPr>
      </w:pPr>
    </w:p>
    <w:p w14:paraId="07D1882D" w14:textId="77777777" w:rsidR="0092047F" w:rsidRDefault="0092047F" w:rsidP="0092047F">
      <w:pPr>
        <w:pStyle w:val="NoSpacing"/>
        <w:rPr>
          <w:b/>
        </w:rPr>
      </w:pPr>
    </w:p>
    <w:p w14:paraId="0C61DAA7" w14:textId="77777777" w:rsidR="0092047F" w:rsidRDefault="0092047F" w:rsidP="0092047F">
      <w:pPr>
        <w:pStyle w:val="NoSpacing"/>
        <w:rPr>
          <w:b/>
        </w:rPr>
      </w:pPr>
    </w:p>
    <w:p w14:paraId="210DE3E7" w14:textId="77777777" w:rsidR="0092047F" w:rsidRDefault="0092047F" w:rsidP="0092047F">
      <w:pPr>
        <w:pStyle w:val="NoSpacing"/>
        <w:rPr>
          <w:b/>
        </w:rPr>
      </w:pPr>
    </w:p>
    <w:p w14:paraId="2CECE757" w14:textId="77777777" w:rsidR="0092047F" w:rsidRDefault="0092047F" w:rsidP="0092047F">
      <w:pPr>
        <w:pStyle w:val="NoSpacing"/>
        <w:rPr>
          <w:b/>
        </w:rPr>
      </w:pPr>
    </w:p>
    <w:p w14:paraId="1773C6F4" w14:textId="77777777" w:rsidR="0092047F" w:rsidRDefault="0092047F" w:rsidP="0092047F">
      <w:pPr>
        <w:pStyle w:val="NoSpacing"/>
        <w:rPr>
          <w:b/>
        </w:rPr>
      </w:pPr>
    </w:p>
    <w:p w14:paraId="4FA44A05" w14:textId="77777777" w:rsidR="0092047F" w:rsidRDefault="0092047F" w:rsidP="0092047F">
      <w:pPr>
        <w:pStyle w:val="NoSpacing"/>
        <w:rPr>
          <w:b/>
        </w:rPr>
      </w:pPr>
    </w:p>
    <w:p w14:paraId="6CB87150" w14:textId="77777777" w:rsidR="0092047F" w:rsidRDefault="0092047F" w:rsidP="0092047F">
      <w:pPr>
        <w:pStyle w:val="NoSpacing"/>
        <w:rPr>
          <w:b/>
        </w:rPr>
      </w:pPr>
    </w:p>
    <w:p w14:paraId="7ADFFF8C" w14:textId="77777777" w:rsidR="0092047F" w:rsidRDefault="0092047F" w:rsidP="0092047F">
      <w:pPr>
        <w:pStyle w:val="NoSpacing"/>
        <w:rPr>
          <w:b/>
        </w:rPr>
      </w:pPr>
    </w:p>
    <w:p w14:paraId="7E5B96DD" w14:textId="2310BB41" w:rsidR="00807C2C" w:rsidRDefault="00807C2C" w:rsidP="0092047F">
      <w:pPr>
        <w:pStyle w:val="NoSpacing"/>
        <w:rPr>
          <w:b/>
        </w:rPr>
      </w:pPr>
      <w:r>
        <w:rPr>
          <w:b/>
        </w:rPr>
        <w:br w:type="page"/>
      </w:r>
    </w:p>
    <w:p w14:paraId="7F6B149B" w14:textId="77777777" w:rsidR="0092047F" w:rsidRDefault="0092047F" w:rsidP="0092047F">
      <w:pPr>
        <w:pStyle w:val="NoSpacing"/>
        <w:rPr>
          <w:lang w:eastAsia="en-GB"/>
        </w:rPr>
      </w:pPr>
      <w:r>
        <w:rPr>
          <w:b/>
        </w:rPr>
        <w:lastRenderedPageBreak/>
        <w:t>Table 6</w:t>
      </w:r>
      <w:r w:rsidRPr="00D53FB7">
        <w:rPr>
          <w:lang w:eastAsia="en-GB"/>
        </w:rPr>
        <w:t xml:space="preserve"> Regression results for corporate governance and the </w:t>
      </w:r>
      <w:r>
        <w:rPr>
          <w:lang w:eastAsia="en-GB"/>
        </w:rPr>
        <w:t>shareholder value</w:t>
      </w:r>
      <w:r w:rsidRPr="00D53FB7">
        <w:rPr>
          <w:lang w:eastAsia="en-GB"/>
        </w:rPr>
        <w:t xml:space="preserve"> for the whole sample period (2003–2010)</w:t>
      </w:r>
    </w:p>
    <w:p w14:paraId="4A027B10" w14:textId="77777777" w:rsidR="0092047F" w:rsidRPr="00D53FB7" w:rsidRDefault="0092047F" w:rsidP="0092047F">
      <w:pPr>
        <w:pStyle w:val="NoSpacing"/>
        <w:rPr>
          <w:lang w:eastAsia="en-GB"/>
        </w:rPr>
      </w:pPr>
    </w:p>
    <w:tbl>
      <w:tblPr>
        <w:tblW w:w="8734" w:type="dxa"/>
        <w:tblLayout w:type="fixed"/>
        <w:tblLook w:val="04A0" w:firstRow="1" w:lastRow="0" w:firstColumn="1" w:lastColumn="0" w:noHBand="0" w:noVBand="1"/>
      </w:tblPr>
      <w:tblGrid>
        <w:gridCol w:w="2977"/>
        <w:gridCol w:w="2977"/>
        <w:gridCol w:w="2780"/>
      </w:tblGrid>
      <w:tr w:rsidR="0092047F" w:rsidRPr="00156B53" w14:paraId="3989E9F4" w14:textId="77777777" w:rsidTr="0092047F">
        <w:trPr>
          <w:trHeight w:val="284"/>
        </w:trPr>
        <w:tc>
          <w:tcPr>
            <w:tcW w:w="2977" w:type="dxa"/>
            <w:tcBorders>
              <w:top w:val="single" w:sz="8" w:space="0" w:color="auto"/>
              <w:left w:val="nil"/>
              <w:bottom w:val="nil"/>
              <w:right w:val="nil"/>
            </w:tcBorders>
            <w:shd w:val="clear" w:color="auto" w:fill="auto"/>
            <w:vAlign w:val="center"/>
            <w:hideMark/>
          </w:tcPr>
          <w:p w14:paraId="5C37FF49"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 </w:t>
            </w:r>
          </w:p>
        </w:tc>
        <w:tc>
          <w:tcPr>
            <w:tcW w:w="2977" w:type="dxa"/>
            <w:tcBorders>
              <w:top w:val="single" w:sz="8" w:space="0" w:color="auto"/>
              <w:left w:val="nil"/>
              <w:bottom w:val="nil"/>
              <w:right w:val="nil"/>
            </w:tcBorders>
            <w:shd w:val="clear" w:color="auto" w:fill="auto"/>
            <w:vAlign w:val="center"/>
            <w:hideMark/>
          </w:tcPr>
          <w:p w14:paraId="6B4971A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Whole period (2003-2010)</w:t>
            </w:r>
          </w:p>
        </w:tc>
        <w:tc>
          <w:tcPr>
            <w:tcW w:w="2780" w:type="dxa"/>
            <w:tcBorders>
              <w:top w:val="single" w:sz="8" w:space="0" w:color="auto"/>
              <w:left w:val="nil"/>
              <w:bottom w:val="nil"/>
              <w:right w:val="nil"/>
            </w:tcBorders>
            <w:shd w:val="clear" w:color="auto" w:fill="auto"/>
            <w:vAlign w:val="center"/>
            <w:hideMark/>
          </w:tcPr>
          <w:p w14:paraId="7B990CB8"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Whole period (2003-2010)</w:t>
            </w:r>
          </w:p>
        </w:tc>
      </w:tr>
      <w:tr w:rsidR="0092047F" w:rsidRPr="00156B53" w14:paraId="61372658" w14:textId="77777777" w:rsidTr="0092047F">
        <w:trPr>
          <w:trHeight w:val="284"/>
        </w:trPr>
        <w:tc>
          <w:tcPr>
            <w:tcW w:w="2977" w:type="dxa"/>
            <w:tcBorders>
              <w:top w:val="nil"/>
              <w:left w:val="nil"/>
              <w:bottom w:val="single" w:sz="8" w:space="0" w:color="auto"/>
              <w:right w:val="nil"/>
            </w:tcBorders>
            <w:shd w:val="clear" w:color="auto" w:fill="auto"/>
            <w:vAlign w:val="center"/>
            <w:hideMark/>
          </w:tcPr>
          <w:p w14:paraId="7AE0F9E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VARIABLES</w:t>
            </w:r>
          </w:p>
        </w:tc>
        <w:tc>
          <w:tcPr>
            <w:tcW w:w="2977" w:type="dxa"/>
            <w:tcBorders>
              <w:top w:val="nil"/>
              <w:left w:val="nil"/>
              <w:bottom w:val="single" w:sz="8" w:space="0" w:color="auto"/>
              <w:right w:val="nil"/>
            </w:tcBorders>
            <w:shd w:val="clear" w:color="auto" w:fill="auto"/>
            <w:vAlign w:val="center"/>
            <w:hideMark/>
          </w:tcPr>
          <w:p w14:paraId="23DFD89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TSR</w:t>
            </w:r>
          </w:p>
        </w:tc>
        <w:tc>
          <w:tcPr>
            <w:tcW w:w="2780" w:type="dxa"/>
            <w:tcBorders>
              <w:top w:val="nil"/>
              <w:left w:val="nil"/>
              <w:bottom w:val="single" w:sz="8" w:space="0" w:color="auto"/>
              <w:right w:val="nil"/>
            </w:tcBorders>
            <w:shd w:val="clear" w:color="auto" w:fill="auto"/>
            <w:vAlign w:val="center"/>
            <w:hideMark/>
          </w:tcPr>
          <w:p w14:paraId="5D85631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ROE</w:t>
            </w:r>
          </w:p>
        </w:tc>
      </w:tr>
      <w:tr w:rsidR="0092047F" w:rsidRPr="00156B53" w14:paraId="71D76374" w14:textId="77777777" w:rsidTr="0092047F">
        <w:trPr>
          <w:trHeight w:val="284"/>
        </w:trPr>
        <w:tc>
          <w:tcPr>
            <w:tcW w:w="2977" w:type="dxa"/>
            <w:vMerge w:val="restart"/>
            <w:tcBorders>
              <w:top w:val="nil"/>
              <w:left w:val="nil"/>
              <w:bottom w:val="nil"/>
              <w:right w:val="nil"/>
            </w:tcBorders>
            <w:shd w:val="clear" w:color="auto" w:fill="auto"/>
            <w:vAlign w:val="center"/>
            <w:hideMark/>
          </w:tcPr>
          <w:p w14:paraId="1BC6F8A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L.1</w:t>
            </w:r>
          </w:p>
        </w:tc>
        <w:tc>
          <w:tcPr>
            <w:tcW w:w="2977" w:type="dxa"/>
            <w:tcBorders>
              <w:top w:val="nil"/>
              <w:left w:val="nil"/>
              <w:bottom w:val="nil"/>
              <w:right w:val="nil"/>
            </w:tcBorders>
            <w:shd w:val="clear" w:color="auto" w:fill="auto"/>
            <w:vAlign w:val="center"/>
            <w:hideMark/>
          </w:tcPr>
          <w:p w14:paraId="3B3CF93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0.264***</w:t>
            </w:r>
          </w:p>
        </w:tc>
        <w:tc>
          <w:tcPr>
            <w:tcW w:w="2780" w:type="dxa"/>
            <w:tcBorders>
              <w:top w:val="nil"/>
              <w:left w:val="nil"/>
              <w:bottom w:val="nil"/>
              <w:right w:val="nil"/>
            </w:tcBorders>
            <w:shd w:val="clear" w:color="auto" w:fill="auto"/>
            <w:vAlign w:val="center"/>
            <w:hideMark/>
          </w:tcPr>
          <w:p w14:paraId="2D31FD8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0.195***</w:t>
            </w:r>
          </w:p>
        </w:tc>
      </w:tr>
      <w:tr w:rsidR="0092047F" w:rsidRPr="00156B53" w14:paraId="6773E877" w14:textId="77777777" w:rsidTr="0092047F">
        <w:trPr>
          <w:trHeight w:val="284"/>
        </w:trPr>
        <w:tc>
          <w:tcPr>
            <w:tcW w:w="2977" w:type="dxa"/>
            <w:vMerge/>
            <w:tcBorders>
              <w:top w:val="nil"/>
              <w:left w:val="nil"/>
              <w:bottom w:val="nil"/>
              <w:right w:val="nil"/>
            </w:tcBorders>
            <w:vAlign w:val="center"/>
            <w:hideMark/>
          </w:tcPr>
          <w:p w14:paraId="6F0F435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37963CB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(0.008)</w:t>
            </w:r>
          </w:p>
        </w:tc>
        <w:tc>
          <w:tcPr>
            <w:tcW w:w="2780" w:type="dxa"/>
            <w:tcBorders>
              <w:top w:val="nil"/>
              <w:left w:val="nil"/>
              <w:bottom w:val="nil"/>
              <w:right w:val="nil"/>
            </w:tcBorders>
            <w:shd w:val="clear" w:color="auto" w:fill="auto"/>
            <w:vAlign w:val="center"/>
            <w:hideMark/>
          </w:tcPr>
          <w:p w14:paraId="19A4EF1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(0.005)</w:t>
            </w:r>
          </w:p>
        </w:tc>
      </w:tr>
      <w:tr w:rsidR="0092047F" w:rsidRPr="00156B53" w14:paraId="063F154C" w14:textId="77777777" w:rsidTr="0092047F">
        <w:trPr>
          <w:trHeight w:val="284"/>
        </w:trPr>
        <w:tc>
          <w:tcPr>
            <w:tcW w:w="2977" w:type="dxa"/>
            <w:vMerge w:val="restart"/>
            <w:tcBorders>
              <w:top w:val="nil"/>
              <w:left w:val="nil"/>
              <w:bottom w:val="nil"/>
              <w:right w:val="nil"/>
            </w:tcBorders>
            <w:shd w:val="clear" w:color="auto" w:fill="auto"/>
            <w:vAlign w:val="center"/>
            <w:hideMark/>
          </w:tcPr>
          <w:p w14:paraId="64AA0B2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L.2</w:t>
            </w:r>
          </w:p>
        </w:tc>
        <w:tc>
          <w:tcPr>
            <w:tcW w:w="2977" w:type="dxa"/>
            <w:tcBorders>
              <w:top w:val="nil"/>
              <w:left w:val="nil"/>
              <w:bottom w:val="nil"/>
              <w:right w:val="nil"/>
            </w:tcBorders>
            <w:shd w:val="clear" w:color="auto" w:fill="auto"/>
            <w:vAlign w:val="center"/>
            <w:hideMark/>
          </w:tcPr>
          <w:p w14:paraId="6A7A9C8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0.406***</w:t>
            </w:r>
          </w:p>
        </w:tc>
        <w:tc>
          <w:tcPr>
            <w:tcW w:w="2780" w:type="dxa"/>
            <w:tcBorders>
              <w:top w:val="nil"/>
              <w:left w:val="nil"/>
              <w:bottom w:val="nil"/>
              <w:right w:val="nil"/>
            </w:tcBorders>
            <w:shd w:val="clear" w:color="auto" w:fill="auto"/>
            <w:vAlign w:val="center"/>
            <w:hideMark/>
          </w:tcPr>
          <w:p w14:paraId="7CD4AEB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0.758***</w:t>
            </w:r>
          </w:p>
        </w:tc>
      </w:tr>
      <w:tr w:rsidR="0092047F" w:rsidRPr="00156B53" w14:paraId="0E890747" w14:textId="77777777" w:rsidTr="0092047F">
        <w:trPr>
          <w:trHeight w:val="284"/>
        </w:trPr>
        <w:tc>
          <w:tcPr>
            <w:tcW w:w="2977" w:type="dxa"/>
            <w:vMerge/>
            <w:tcBorders>
              <w:top w:val="nil"/>
              <w:left w:val="nil"/>
              <w:bottom w:val="nil"/>
              <w:right w:val="nil"/>
            </w:tcBorders>
            <w:vAlign w:val="center"/>
            <w:hideMark/>
          </w:tcPr>
          <w:p w14:paraId="3D20B949"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2B70F39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(0.010)</w:t>
            </w:r>
          </w:p>
        </w:tc>
        <w:tc>
          <w:tcPr>
            <w:tcW w:w="2780" w:type="dxa"/>
            <w:tcBorders>
              <w:top w:val="nil"/>
              <w:left w:val="nil"/>
              <w:bottom w:val="nil"/>
              <w:right w:val="nil"/>
            </w:tcBorders>
            <w:shd w:val="clear" w:color="auto" w:fill="auto"/>
            <w:vAlign w:val="center"/>
            <w:hideMark/>
          </w:tcPr>
          <w:p w14:paraId="273DF26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(0.007)</w:t>
            </w:r>
          </w:p>
        </w:tc>
      </w:tr>
      <w:tr w:rsidR="0092047F" w:rsidRPr="00156B53" w14:paraId="3868DFFB" w14:textId="77777777" w:rsidTr="0092047F">
        <w:trPr>
          <w:trHeight w:val="284"/>
        </w:trPr>
        <w:tc>
          <w:tcPr>
            <w:tcW w:w="2977" w:type="dxa"/>
            <w:vMerge w:val="restart"/>
            <w:tcBorders>
              <w:top w:val="nil"/>
              <w:left w:val="nil"/>
              <w:bottom w:val="nil"/>
              <w:right w:val="nil"/>
            </w:tcBorders>
            <w:shd w:val="clear" w:color="auto" w:fill="auto"/>
            <w:vAlign w:val="center"/>
            <w:hideMark/>
          </w:tcPr>
          <w:p w14:paraId="39E8E89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L.3</w:t>
            </w:r>
          </w:p>
        </w:tc>
        <w:tc>
          <w:tcPr>
            <w:tcW w:w="2977" w:type="dxa"/>
            <w:tcBorders>
              <w:top w:val="nil"/>
              <w:left w:val="nil"/>
              <w:bottom w:val="nil"/>
              <w:right w:val="nil"/>
            </w:tcBorders>
            <w:shd w:val="clear" w:color="auto" w:fill="auto"/>
            <w:vAlign w:val="center"/>
            <w:hideMark/>
          </w:tcPr>
          <w:p w14:paraId="372EB7E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0.0788***</w:t>
            </w:r>
          </w:p>
        </w:tc>
        <w:tc>
          <w:tcPr>
            <w:tcW w:w="2780" w:type="dxa"/>
            <w:tcBorders>
              <w:top w:val="nil"/>
              <w:left w:val="nil"/>
              <w:bottom w:val="nil"/>
              <w:right w:val="nil"/>
            </w:tcBorders>
            <w:shd w:val="clear" w:color="auto" w:fill="auto"/>
            <w:vAlign w:val="center"/>
            <w:hideMark/>
          </w:tcPr>
          <w:p w14:paraId="1650E4D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w:t>
            </w:r>
          </w:p>
        </w:tc>
      </w:tr>
      <w:tr w:rsidR="0092047F" w:rsidRPr="00156B53" w14:paraId="4882C59B" w14:textId="77777777" w:rsidTr="0092047F">
        <w:trPr>
          <w:trHeight w:val="284"/>
        </w:trPr>
        <w:tc>
          <w:tcPr>
            <w:tcW w:w="2977" w:type="dxa"/>
            <w:vMerge/>
            <w:tcBorders>
              <w:top w:val="nil"/>
              <w:left w:val="nil"/>
              <w:bottom w:val="nil"/>
              <w:right w:val="nil"/>
            </w:tcBorders>
            <w:vAlign w:val="center"/>
            <w:hideMark/>
          </w:tcPr>
          <w:p w14:paraId="2A65770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11940F0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(0.015)</w:t>
            </w:r>
          </w:p>
        </w:tc>
        <w:tc>
          <w:tcPr>
            <w:tcW w:w="2780" w:type="dxa"/>
            <w:tcBorders>
              <w:top w:val="nil"/>
              <w:left w:val="nil"/>
              <w:bottom w:val="nil"/>
              <w:right w:val="nil"/>
            </w:tcBorders>
            <w:shd w:val="clear" w:color="auto" w:fill="auto"/>
            <w:vAlign w:val="center"/>
            <w:hideMark/>
          </w:tcPr>
          <w:p w14:paraId="78113DF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w:t>
            </w:r>
          </w:p>
        </w:tc>
      </w:tr>
      <w:tr w:rsidR="0092047F" w:rsidRPr="00156B53" w14:paraId="637804F9" w14:textId="77777777" w:rsidTr="0092047F">
        <w:trPr>
          <w:trHeight w:val="284"/>
        </w:trPr>
        <w:tc>
          <w:tcPr>
            <w:tcW w:w="2977" w:type="dxa"/>
            <w:vMerge w:val="restart"/>
            <w:tcBorders>
              <w:top w:val="nil"/>
              <w:left w:val="nil"/>
              <w:bottom w:val="nil"/>
              <w:right w:val="nil"/>
            </w:tcBorders>
            <w:shd w:val="clear" w:color="auto" w:fill="auto"/>
            <w:vAlign w:val="center"/>
            <w:hideMark/>
          </w:tcPr>
          <w:p w14:paraId="5BE3B0D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NCI</w:t>
            </w:r>
          </w:p>
        </w:tc>
        <w:tc>
          <w:tcPr>
            <w:tcW w:w="2977" w:type="dxa"/>
            <w:tcBorders>
              <w:top w:val="nil"/>
              <w:left w:val="nil"/>
              <w:bottom w:val="nil"/>
              <w:right w:val="nil"/>
            </w:tcBorders>
            <w:shd w:val="clear" w:color="auto" w:fill="auto"/>
            <w:vAlign w:val="center"/>
            <w:hideMark/>
          </w:tcPr>
          <w:p w14:paraId="4903E04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-1.830*</w:t>
            </w:r>
          </w:p>
        </w:tc>
        <w:tc>
          <w:tcPr>
            <w:tcW w:w="2780" w:type="dxa"/>
            <w:tcBorders>
              <w:top w:val="nil"/>
              <w:left w:val="nil"/>
              <w:bottom w:val="nil"/>
              <w:right w:val="nil"/>
            </w:tcBorders>
            <w:shd w:val="clear" w:color="auto" w:fill="auto"/>
            <w:vAlign w:val="center"/>
            <w:hideMark/>
          </w:tcPr>
          <w:p w14:paraId="34C0CCA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-0.368***</w:t>
            </w:r>
          </w:p>
        </w:tc>
      </w:tr>
      <w:tr w:rsidR="0092047F" w:rsidRPr="00156B53" w14:paraId="0A20D388" w14:textId="77777777" w:rsidTr="0092047F">
        <w:trPr>
          <w:trHeight w:val="284"/>
        </w:trPr>
        <w:tc>
          <w:tcPr>
            <w:tcW w:w="2977" w:type="dxa"/>
            <w:vMerge/>
            <w:tcBorders>
              <w:top w:val="nil"/>
              <w:left w:val="nil"/>
              <w:bottom w:val="nil"/>
              <w:right w:val="nil"/>
            </w:tcBorders>
            <w:vAlign w:val="center"/>
            <w:hideMark/>
          </w:tcPr>
          <w:p w14:paraId="0E63AA4A"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2088869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(1.054)</w:t>
            </w:r>
          </w:p>
        </w:tc>
        <w:tc>
          <w:tcPr>
            <w:tcW w:w="2780" w:type="dxa"/>
            <w:tcBorders>
              <w:top w:val="nil"/>
              <w:left w:val="nil"/>
              <w:bottom w:val="nil"/>
              <w:right w:val="nil"/>
            </w:tcBorders>
            <w:shd w:val="clear" w:color="auto" w:fill="auto"/>
            <w:vAlign w:val="center"/>
            <w:hideMark/>
          </w:tcPr>
          <w:p w14:paraId="30A0210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(0.075)</w:t>
            </w:r>
          </w:p>
        </w:tc>
      </w:tr>
      <w:tr w:rsidR="0092047F" w:rsidRPr="00156B53" w14:paraId="01C1B16A" w14:textId="77777777" w:rsidTr="0092047F">
        <w:trPr>
          <w:trHeight w:val="284"/>
        </w:trPr>
        <w:tc>
          <w:tcPr>
            <w:tcW w:w="2977" w:type="dxa"/>
            <w:tcBorders>
              <w:top w:val="nil"/>
              <w:left w:val="nil"/>
              <w:bottom w:val="nil"/>
              <w:right w:val="nil"/>
            </w:tcBorders>
            <w:shd w:val="clear" w:color="auto" w:fill="auto"/>
            <w:vAlign w:val="center"/>
            <w:hideMark/>
          </w:tcPr>
          <w:p w14:paraId="285FB9C9"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Monitoring variables</w:t>
            </w:r>
          </w:p>
        </w:tc>
        <w:tc>
          <w:tcPr>
            <w:tcW w:w="2977" w:type="dxa"/>
            <w:tcBorders>
              <w:top w:val="nil"/>
              <w:left w:val="nil"/>
              <w:bottom w:val="nil"/>
              <w:right w:val="nil"/>
            </w:tcBorders>
            <w:shd w:val="clear" w:color="auto" w:fill="auto"/>
            <w:vAlign w:val="center"/>
            <w:hideMark/>
          </w:tcPr>
          <w:p w14:paraId="7B672264"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780" w:type="dxa"/>
            <w:tcBorders>
              <w:top w:val="nil"/>
              <w:left w:val="nil"/>
              <w:bottom w:val="nil"/>
              <w:right w:val="nil"/>
            </w:tcBorders>
            <w:shd w:val="clear" w:color="auto" w:fill="auto"/>
            <w:vAlign w:val="center"/>
            <w:hideMark/>
          </w:tcPr>
          <w:p w14:paraId="3E9F5662" w14:textId="77777777" w:rsidR="0092047F" w:rsidRPr="00156B53" w:rsidRDefault="0092047F" w:rsidP="0092047F">
            <w:pPr>
              <w:spacing w:after="0" w:line="240" w:lineRule="auto"/>
              <w:ind w:firstLine="0"/>
              <w:jc w:val="center"/>
              <w:rPr>
                <w:rFonts w:eastAsia="Times New Roman" w:cs="Times New Roman"/>
                <w:sz w:val="20"/>
                <w:szCs w:val="20"/>
                <w:lang w:eastAsia="en-GB"/>
              </w:rPr>
            </w:pPr>
          </w:p>
        </w:tc>
      </w:tr>
      <w:tr w:rsidR="0092047F" w:rsidRPr="00156B53" w14:paraId="2C21BAC4" w14:textId="77777777" w:rsidTr="0092047F">
        <w:trPr>
          <w:trHeight w:val="284"/>
        </w:trPr>
        <w:tc>
          <w:tcPr>
            <w:tcW w:w="2977" w:type="dxa"/>
            <w:vMerge w:val="restart"/>
            <w:tcBorders>
              <w:top w:val="nil"/>
              <w:left w:val="nil"/>
              <w:bottom w:val="nil"/>
              <w:right w:val="nil"/>
            </w:tcBorders>
            <w:shd w:val="clear" w:color="auto" w:fill="auto"/>
            <w:vAlign w:val="center"/>
            <w:hideMark/>
          </w:tcPr>
          <w:p w14:paraId="7EBFF1B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Board Independence</w:t>
            </w:r>
          </w:p>
        </w:tc>
        <w:tc>
          <w:tcPr>
            <w:tcW w:w="2977" w:type="dxa"/>
            <w:tcBorders>
              <w:top w:val="nil"/>
              <w:left w:val="nil"/>
              <w:bottom w:val="nil"/>
              <w:right w:val="nil"/>
            </w:tcBorders>
            <w:shd w:val="clear" w:color="auto" w:fill="auto"/>
            <w:vAlign w:val="center"/>
            <w:hideMark/>
          </w:tcPr>
          <w:p w14:paraId="24A9F5B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-55.22***</w:t>
            </w:r>
          </w:p>
        </w:tc>
        <w:tc>
          <w:tcPr>
            <w:tcW w:w="2780" w:type="dxa"/>
            <w:tcBorders>
              <w:top w:val="nil"/>
              <w:left w:val="nil"/>
              <w:bottom w:val="nil"/>
              <w:right w:val="nil"/>
            </w:tcBorders>
            <w:shd w:val="clear" w:color="auto" w:fill="auto"/>
            <w:vAlign w:val="center"/>
            <w:hideMark/>
          </w:tcPr>
          <w:p w14:paraId="2745643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-6.166***</w:t>
            </w:r>
          </w:p>
        </w:tc>
      </w:tr>
      <w:tr w:rsidR="0092047F" w:rsidRPr="00156B53" w14:paraId="666BDE34" w14:textId="77777777" w:rsidTr="0092047F">
        <w:trPr>
          <w:trHeight w:val="284"/>
        </w:trPr>
        <w:tc>
          <w:tcPr>
            <w:tcW w:w="2977" w:type="dxa"/>
            <w:vMerge/>
            <w:tcBorders>
              <w:top w:val="nil"/>
              <w:left w:val="nil"/>
              <w:bottom w:val="nil"/>
              <w:right w:val="nil"/>
            </w:tcBorders>
            <w:vAlign w:val="center"/>
            <w:hideMark/>
          </w:tcPr>
          <w:p w14:paraId="2506BA8F"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0E2FD31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(3.426)</w:t>
            </w:r>
          </w:p>
        </w:tc>
        <w:tc>
          <w:tcPr>
            <w:tcW w:w="2780" w:type="dxa"/>
            <w:tcBorders>
              <w:top w:val="nil"/>
              <w:left w:val="nil"/>
              <w:bottom w:val="nil"/>
              <w:right w:val="nil"/>
            </w:tcBorders>
            <w:shd w:val="clear" w:color="auto" w:fill="auto"/>
            <w:vAlign w:val="center"/>
            <w:hideMark/>
          </w:tcPr>
          <w:p w14:paraId="5BC3179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(0.372)</w:t>
            </w:r>
          </w:p>
        </w:tc>
      </w:tr>
      <w:tr w:rsidR="0092047F" w:rsidRPr="00156B53" w14:paraId="432E9F3A" w14:textId="77777777" w:rsidTr="0092047F">
        <w:trPr>
          <w:trHeight w:val="284"/>
        </w:trPr>
        <w:tc>
          <w:tcPr>
            <w:tcW w:w="2977" w:type="dxa"/>
            <w:vMerge w:val="restart"/>
            <w:tcBorders>
              <w:top w:val="nil"/>
              <w:left w:val="nil"/>
              <w:bottom w:val="nil"/>
              <w:right w:val="nil"/>
            </w:tcBorders>
            <w:shd w:val="clear" w:color="auto" w:fill="auto"/>
            <w:vAlign w:val="center"/>
            <w:hideMark/>
          </w:tcPr>
          <w:p w14:paraId="53386A8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Extra Committees</w:t>
            </w:r>
          </w:p>
        </w:tc>
        <w:tc>
          <w:tcPr>
            <w:tcW w:w="2977" w:type="dxa"/>
            <w:tcBorders>
              <w:top w:val="nil"/>
              <w:left w:val="nil"/>
              <w:bottom w:val="nil"/>
              <w:right w:val="nil"/>
            </w:tcBorders>
            <w:shd w:val="clear" w:color="auto" w:fill="auto"/>
            <w:vAlign w:val="center"/>
            <w:hideMark/>
          </w:tcPr>
          <w:p w14:paraId="365A82C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-0.211</w:t>
            </w:r>
          </w:p>
        </w:tc>
        <w:tc>
          <w:tcPr>
            <w:tcW w:w="2780" w:type="dxa"/>
            <w:tcBorders>
              <w:top w:val="nil"/>
              <w:left w:val="nil"/>
              <w:bottom w:val="nil"/>
              <w:right w:val="nil"/>
            </w:tcBorders>
            <w:shd w:val="clear" w:color="auto" w:fill="auto"/>
            <w:vAlign w:val="center"/>
            <w:hideMark/>
          </w:tcPr>
          <w:p w14:paraId="4957AA5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-1.333***</w:t>
            </w:r>
          </w:p>
        </w:tc>
      </w:tr>
      <w:tr w:rsidR="0092047F" w:rsidRPr="00156B53" w14:paraId="2F1A2AF6" w14:textId="77777777" w:rsidTr="0092047F">
        <w:trPr>
          <w:trHeight w:val="284"/>
        </w:trPr>
        <w:tc>
          <w:tcPr>
            <w:tcW w:w="2977" w:type="dxa"/>
            <w:vMerge/>
            <w:tcBorders>
              <w:top w:val="nil"/>
              <w:left w:val="nil"/>
              <w:bottom w:val="nil"/>
              <w:right w:val="nil"/>
            </w:tcBorders>
            <w:vAlign w:val="center"/>
            <w:hideMark/>
          </w:tcPr>
          <w:p w14:paraId="6E9F42D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6ED3487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(2.073)</w:t>
            </w:r>
          </w:p>
        </w:tc>
        <w:tc>
          <w:tcPr>
            <w:tcW w:w="2780" w:type="dxa"/>
            <w:tcBorders>
              <w:top w:val="nil"/>
              <w:left w:val="nil"/>
              <w:bottom w:val="nil"/>
              <w:right w:val="nil"/>
            </w:tcBorders>
            <w:shd w:val="clear" w:color="auto" w:fill="auto"/>
            <w:vAlign w:val="center"/>
            <w:hideMark/>
          </w:tcPr>
          <w:p w14:paraId="3A8F862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(0.203)</w:t>
            </w:r>
          </w:p>
        </w:tc>
      </w:tr>
      <w:tr w:rsidR="0092047F" w:rsidRPr="00156B53" w14:paraId="0DE9DD16" w14:textId="77777777" w:rsidTr="0092047F">
        <w:trPr>
          <w:trHeight w:val="284"/>
        </w:trPr>
        <w:tc>
          <w:tcPr>
            <w:tcW w:w="2977" w:type="dxa"/>
            <w:vMerge w:val="restart"/>
            <w:tcBorders>
              <w:top w:val="nil"/>
              <w:left w:val="nil"/>
              <w:bottom w:val="nil"/>
              <w:right w:val="nil"/>
            </w:tcBorders>
            <w:shd w:val="clear" w:color="auto" w:fill="auto"/>
            <w:vAlign w:val="center"/>
            <w:hideMark/>
          </w:tcPr>
          <w:p w14:paraId="19EED9F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Internal Controls</w:t>
            </w:r>
          </w:p>
        </w:tc>
        <w:tc>
          <w:tcPr>
            <w:tcW w:w="2977" w:type="dxa"/>
            <w:tcBorders>
              <w:top w:val="nil"/>
              <w:left w:val="nil"/>
              <w:bottom w:val="nil"/>
              <w:right w:val="nil"/>
            </w:tcBorders>
            <w:shd w:val="clear" w:color="auto" w:fill="auto"/>
            <w:vAlign w:val="center"/>
            <w:hideMark/>
          </w:tcPr>
          <w:p w14:paraId="7B2C8DD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5.933***</w:t>
            </w:r>
          </w:p>
        </w:tc>
        <w:tc>
          <w:tcPr>
            <w:tcW w:w="2780" w:type="dxa"/>
            <w:tcBorders>
              <w:top w:val="nil"/>
              <w:left w:val="nil"/>
              <w:bottom w:val="nil"/>
              <w:right w:val="nil"/>
            </w:tcBorders>
            <w:shd w:val="clear" w:color="auto" w:fill="auto"/>
            <w:vAlign w:val="center"/>
            <w:hideMark/>
          </w:tcPr>
          <w:p w14:paraId="774ADC1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1.826***</w:t>
            </w:r>
          </w:p>
        </w:tc>
      </w:tr>
      <w:tr w:rsidR="0092047F" w:rsidRPr="00156B53" w14:paraId="0FB59D07" w14:textId="77777777" w:rsidTr="0092047F">
        <w:trPr>
          <w:trHeight w:val="284"/>
        </w:trPr>
        <w:tc>
          <w:tcPr>
            <w:tcW w:w="2977" w:type="dxa"/>
            <w:vMerge/>
            <w:tcBorders>
              <w:top w:val="nil"/>
              <w:left w:val="nil"/>
              <w:bottom w:val="nil"/>
              <w:right w:val="nil"/>
            </w:tcBorders>
            <w:vAlign w:val="center"/>
            <w:hideMark/>
          </w:tcPr>
          <w:p w14:paraId="5FD3452B"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47117AF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(0.951)</w:t>
            </w:r>
          </w:p>
        </w:tc>
        <w:tc>
          <w:tcPr>
            <w:tcW w:w="2780" w:type="dxa"/>
            <w:tcBorders>
              <w:top w:val="nil"/>
              <w:left w:val="nil"/>
              <w:bottom w:val="nil"/>
              <w:right w:val="nil"/>
            </w:tcBorders>
            <w:shd w:val="clear" w:color="auto" w:fill="auto"/>
            <w:vAlign w:val="center"/>
            <w:hideMark/>
          </w:tcPr>
          <w:p w14:paraId="04A6D7E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(0.088)</w:t>
            </w:r>
          </w:p>
        </w:tc>
      </w:tr>
      <w:tr w:rsidR="0092047F" w:rsidRPr="00156B53" w14:paraId="76F06EA1" w14:textId="77777777" w:rsidTr="0092047F">
        <w:trPr>
          <w:trHeight w:val="284"/>
        </w:trPr>
        <w:tc>
          <w:tcPr>
            <w:tcW w:w="2977" w:type="dxa"/>
            <w:tcBorders>
              <w:top w:val="nil"/>
              <w:left w:val="nil"/>
              <w:bottom w:val="nil"/>
              <w:right w:val="nil"/>
            </w:tcBorders>
            <w:shd w:val="clear" w:color="auto" w:fill="auto"/>
            <w:vAlign w:val="center"/>
            <w:hideMark/>
          </w:tcPr>
          <w:p w14:paraId="4555BC6E"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Incentives variables</w:t>
            </w:r>
          </w:p>
        </w:tc>
        <w:tc>
          <w:tcPr>
            <w:tcW w:w="2977" w:type="dxa"/>
            <w:tcBorders>
              <w:top w:val="nil"/>
              <w:left w:val="nil"/>
              <w:bottom w:val="nil"/>
              <w:right w:val="nil"/>
            </w:tcBorders>
            <w:shd w:val="clear" w:color="auto" w:fill="auto"/>
            <w:vAlign w:val="center"/>
            <w:hideMark/>
          </w:tcPr>
          <w:p w14:paraId="052AAC38"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780" w:type="dxa"/>
            <w:tcBorders>
              <w:top w:val="nil"/>
              <w:left w:val="nil"/>
              <w:bottom w:val="nil"/>
              <w:right w:val="nil"/>
            </w:tcBorders>
            <w:shd w:val="clear" w:color="auto" w:fill="auto"/>
            <w:vAlign w:val="center"/>
            <w:hideMark/>
          </w:tcPr>
          <w:p w14:paraId="511D952B" w14:textId="77777777" w:rsidR="0092047F" w:rsidRPr="00156B53" w:rsidRDefault="0092047F" w:rsidP="0092047F">
            <w:pPr>
              <w:spacing w:after="0" w:line="240" w:lineRule="auto"/>
              <w:ind w:firstLine="0"/>
              <w:jc w:val="center"/>
              <w:rPr>
                <w:rFonts w:eastAsia="Times New Roman" w:cs="Times New Roman"/>
                <w:sz w:val="20"/>
                <w:szCs w:val="20"/>
                <w:lang w:eastAsia="en-GB"/>
              </w:rPr>
            </w:pPr>
          </w:p>
        </w:tc>
      </w:tr>
      <w:tr w:rsidR="0092047F" w:rsidRPr="00156B53" w14:paraId="7E7F3029" w14:textId="77777777" w:rsidTr="0092047F">
        <w:trPr>
          <w:trHeight w:val="284"/>
        </w:trPr>
        <w:tc>
          <w:tcPr>
            <w:tcW w:w="2977" w:type="dxa"/>
            <w:vMerge w:val="restart"/>
            <w:tcBorders>
              <w:top w:val="nil"/>
              <w:left w:val="nil"/>
              <w:bottom w:val="nil"/>
              <w:right w:val="nil"/>
            </w:tcBorders>
            <w:shd w:val="clear" w:color="auto" w:fill="auto"/>
            <w:vAlign w:val="center"/>
            <w:hideMark/>
          </w:tcPr>
          <w:p w14:paraId="00D118CB"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Directors’ share ownership</w:t>
            </w:r>
          </w:p>
        </w:tc>
        <w:tc>
          <w:tcPr>
            <w:tcW w:w="2977" w:type="dxa"/>
            <w:tcBorders>
              <w:top w:val="nil"/>
              <w:left w:val="nil"/>
              <w:bottom w:val="nil"/>
              <w:right w:val="nil"/>
            </w:tcBorders>
            <w:shd w:val="clear" w:color="auto" w:fill="auto"/>
            <w:vAlign w:val="center"/>
            <w:hideMark/>
          </w:tcPr>
          <w:p w14:paraId="70B0D26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0.106**</w:t>
            </w:r>
          </w:p>
        </w:tc>
        <w:tc>
          <w:tcPr>
            <w:tcW w:w="2780" w:type="dxa"/>
            <w:tcBorders>
              <w:top w:val="nil"/>
              <w:left w:val="nil"/>
              <w:bottom w:val="nil"/>
              <w:right w:val="nil"/>
            </w:tcBorders>
            <w:shd w:val="clear" w:color="auto" w:fill="auto"/>
            <w:vAlign w:val="center"/>
            <w:hideMark/>
          </w:tcPr>
          <w:p w14:paraId="4A857FA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0.120***</w:t>
            </w:r>
          </w:p>
        </w:tc>
      </w:tr>
      <w:tr w:rsidR="0092047F" w:rsidRPr="00156B53" w14:paraId="2CB49568" w14:textId="77777777" w:rsidTr="0092047F">
        <w:trPr>
          <w:trHeight w:val="284"/>
        </w:trPr>
        <w:tc>
          <w:tcPr>
            <w:tcW w:w="2977" w:type="dxa"/>
            <w:vMerge/>
            <w:tcBorders>
              <w:top w:val="nil"/>
              <w:left w:val="nil"/>
              <w:bottom w:val="nil"/>
              <w:right w:val="nil"/>
            </w:tcBorders>
            <w:vAlign w:val="center"/>
            <w:hideMark/>
          </w:tcPr>
          <w:p w14:paraId="706796D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5111CEE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(0.047)</w:t>
            </w:r>
          </w:p>
        </w:tc>
        <w:tc>
          <w:tcPr>
            <w:tcW w:w="2780" w:type="dxa"/>
            <w:tcBorders>
              <w:top w:val="nil"/>
              <w:left w:val="nil"/>
              <w:bottom w:val="nil"/>
              <w:right w:val="nil"/>
            </w:tcBorders>
            <w:shd w:val="clear" w:color="auto" w:fill="auto"/>
            <w:vAlign w:val="center"/>
            <w:hideMark/>
          </w:tcPr>
          <w:p w14:paraId="333C55C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(0.031)</w:t>
            </w:r>
          </w:p>
        </w:tc>
      </w:tr>
      <w:tr w:rsidR="0092047F" w:rsidRPr="00156B53" w14:paraId="13EA6BE8" w14:textId="77777777" w:rsidTr="0092047F">
        <w:trPr>
          <w:trHeight w:val="284"/>
        </w:trPr>
        <w:tc>
          <w:tcPr>
            <w:tcW w:w="2977" w:type="dxa"/>
            <w:vMerge w:val="restart"/>
            <w:tcBorders>
              <w:top w:val="nil"/>
              <w:left w:val="nil"/>
              <w:bottom w:val="nil"/>
              <w:right w:val="nil"/>
            </w:tcBorders>
            <w:shd w:val="clear" w:color="auto" w:fill="auto"/>
            <w:vAlign w:val="center"/>
            <w:hideMark/>
          </w:tcPr>
          <w:p w14:paraId="26D47AE5"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Remuneration</w:t>
            </w:r>
          </w:p>
        </w:tc>
        <w:tc>
          <w:tcPr>
            <w:tcW w:w="2977" w:type="dxa"/>
            <w:tcBorders>
              <w:top w:val="nil"/>
              <w:left w:val="nil"/>
              <w:bottom w:val="nil"/>
              <w:right w:val="nil"/>
            </w:tcBorders>
            <w:shd w:val="clear" w:color="auto" w:fill="auto"/>
            <w:vAlign w:val="center"/>
            <w:hideMark/>
          </w:tcPr>
          <w:p w14:paraId="407B5AF0"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-1.600***</w:t>
            </w:r>
          </w:p>
        </w:tc>
        <w:tc>
          <w:tcPr>
            <w:tcW w:w="2780" w:type="dxa"/>
            <w:tcBorders>
              <w:top w:val="nil"/>
              <w:left w:val="nil"/>
              <w:bottom w:val="nil"/>
              <w:right w:val="nil"/>
            </w:tcBorders>
            <w:shd w:val="clear" w:color="auto" w:fill="auto"/>
            <w:vAlign w:val="center"/>
            <w:hideMark/>
          </w:tcPr>
          <w:p w14:paraId="575C886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-0.0535***</w:t>
            </w:r>
          </w:p>
        </w:tc>
      </w:tr>
      <w:tr w:rsidR="0092047F" w:rsidRPr="00156B53" w14:paraId="60BF37BF" w14:textId="77777777" w:rsidTr="0092047F">
        <w:trPr>
          <w:trHeight w:val="284"/>
        </w:trPr>
        <w:tc>
          <w:tcPr>
            <w:tcW w:w="2977" w:type="dxa"/>
            <w:vMerge/>
            <w:tcBorders>
              <w:top w:val="nil"/>
              <w:left w:val="nil"/>
              <w:bottom w:val="nil"/>
              <w:right w:val="nil"/>
            </w:tcBorders>
            <w:vAlign w:val="center"/>
            <w:hideMark/>
          </w:tcPr>
          <w:p w14:paraId="233A608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1194D15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(0.251)</w:t>
            </w:r>
          </w:p>
        </w:tc>
        <w:tc>
          <w:tcPr>
            <w:tcW w:w="2780" w:type="dxa"/>
            <w:tcBorders>
              <w:top w:val="nil"/>
              <w:left w:val="nil"/>
              <w:bottom w:val="nil"/>
              <w:right w:val="nil"/>
            </w:tcBorders>
            <w:shd w:val="clear" w:color="auto" w:fill="auto"/>
            <w:vAlign w:val="center"/>
            <w:hideMark/>
          </w:tcPr>
          <w:p w14:paraId="152FAAF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(0.014)</w:t>
            </w:r>
          </w:p>
        </w:tc>
      </w:tr>
      <w:tr w:rsidR="0092047F" w:rsidRPr="00156B53" w14:paraId="4F74F953" w14:textId="77777777" w:rsidTr="0092047F">
        <w:trPr>
          <w:trHeight w:val="284"/>
        </w:trPr>
        <w:tc>
          <w:tcPr>
            <w:tcW w:w="2977" w:type="dxa"/>
            <w:tcBorders>
              <w:top w:val="nil"/>
              <w:left w:val="nil"/>
              <w:bottom w:val="nil"/>
              <w:right w:val="nil"/>
            </w:tcBorders>
            <w:shd w:val="clear" w:color="auto" w:fill="auto"/>
            <w:vAlign w:val="center"/>
            <w:hideMark/>
          </w:tcPr>
          <w:p w14:paraId="22CA8F0D"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Control variables</w:t>
            </w:r>
          </w:p>
        </w:tc>
        <w:tc>
          <w:tcPr>
            <w:tcW w:w="2977" w:type="dxa"/>
            <w:tcBorders>
              <w:top w:val="nil"/>
              <w:left w:val="nil"/>
              <w:bottom w:val="nil"/>
              <w:right w:val="nil"/>
            </w:tcBorders>
            <w:shd w:val="clear" w:color="auto" w:fill="auto"/>
            <w:noWrap/>
            <w:vAlign w:val="bottom"/>
            <w:hideMark/>
          </w:tcPr>
          <w:p w14:paraId="4FDEB87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780" w:type="dxa"/>
            <w:tcBorders>
              <w:top w:val="nil"/>
              <w:left w:val="nil"/>
              <w:bottom w:val="nil"/>
              <w:right w:val="nil"/>
            </w:tcBorders>
            <w:shd w:val="clear" w:color="auto" w:fill="auto"/>
            <w:noWrap/>
            <w:vAlign w:val="bottom"/>
            <w:hideMark/>
          </w:tcPr>
          <w:p w14:paraId="2E56B546" w14:textId="77777777" w:rsidR="0092047F" w:rsidRPr="00156B53" w:rsidRDefault="0092047F" w:rsidP="0092047F">
            <w:pPr>
              <w:spacing w:after="0" w:line="240" w:lineRule="auto"/>
              <w:ind w:firstLine="0"/>
              <w:jc w:val="left"/>
              <w:rPr>
                <w:rFonts w:eastAsia="Times New Roman" w:cs="Times New Roman"/>
                <w:sz w:val="20"/>
                <w:szCs w:val="20"/>
                <w:lang w:eastAsia="en-GB"/>
              </w:rPr>
            </w:pPr>
          </w:p>
        </w:tc>
      </w:tr>
      <w:tr w:rsidR="0092047F" w:rsidRPr="00156B53" w14:paraId="0D556EA3" w14:textId="77777777" w:rsidTr="0092047F">
        <w:trPr>
          <w:trHeight w:val="284"/>
        </w:trPr>
        <w:tc>
          <w:tcPr>
            <w:tcW w:w="2977" w:type="dxa"/>
            <w:vMerge w:val="restart"/>
            <w:tcBorders>
              <w:top w:val="nil"/>
              <w:left w:val="nil"/>
              <w:bottom w:val="nil"/>
              <w:right w:val="nil"/>
            </w:tcBorders>
            <w:shd w:val="clear" w:color="auto" w:fill="auto"/>
            <w:vAlign w:val="center"/>
            <w:hideMark/>
          </w:tcPr>
          <w:p w14:paraId="558DB62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Leverage</w:t>
            </w:r>
          </w:p>
        </w:tc>
        <w:tc>
          <w:tcPr>
            <w:tcW w:w="2977" w:type="dxa"/>
            <w:tcBorders>
              <w:top w:val="nil"/>
              <w:left w:val="nil"/>
              <w:bottom w:val="nil"/>
              <w:right w:val="nil"/>
            </w:tcBorders>
            <w:shd w:val="clear" w:color="auto" w:fill="auto"/>
            <w:vAlign w:val="center"/>
            <w:hideMark/>
          </w:tcPr>
          <w:p w14:paraId="3891B73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-0.952***</w:t>
            </w:r>
          </w:p>
        </w:tc>
        <w:tc>
          <w:tcPr>
            <w:tcW w:w="2780" w:type="dxa"/>
            <w:tcBorders>
              <w:top w:val="nil"/>
              <w:left w:val="nil"/>
              <w:bottom w:val="nil"/>
              <w:right w:val="nil"/>
            </w:tcBorders>
            <w:shd w:val="clear" w:color="auto" w:fill="auto"/>
            <w:vAlign w:val="center"/>
            <w:hideMark/>
          </w:tcPr>
          <w:p w14:paraId="492E393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-0.0127***</w:t>
            </w:r>
          </w:p>
        </w:tc>
      </w:tr>
      <w:tr w:rsidR="0092047F" w:rsidRPr="00156B53" w14:paraId="30478551" w14:textId="77777777" w:rsidTr="0092047F">
        <w:trPr>
          <w:trHeight w:val="284"/>
        </w:trPr>
        <w:tc>
          <w:tcPr>
            <w:tcW w:w="2977" w:type="dxa"/>
            <w:vMerge/>
            <w:tcBorders>
              <w:top w:val="nil"/>
              <w:left w:val="nil"/>
              <w:bottom w:val="nil"/>
              <w:right w:val="nil"/>
            </w:tcBorders>
            <w:vAlign w:val="center"/>
            <w:hideMark/>
          </w:tcPr>
          <w:p w14:paraId="21822887"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1959773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(0.049)</w:t>
            </w:r>
          </w:p>
        </w:tc>
        <w:tc>
          <w:tcPr>
            <w:tcW w:w="2780" w:type="dxa"/>
            <w:tcBorders>
              <w:top w:val="nil"/>
              <w:left w:val="nil"/>
              <w:bottom w:val="nil"/>
              <w:right w:val="nil"/>
            </w:tcBorders>
            <w:shd w:val="clear" w:color="auto" w:fill="auto"/>
            <w:vAlign w:val="center"/>
            <w:hideMark/>
          </w:tcPr>
          <w:p w14:paraId="183E7CD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(0.002)</w:t>
            </w:r>
          </w:p>
        </w:tc>
      </w:tr>
      <w:tr w:rsidR="0092047F" w:rsidRPr="00156B53" w14:paraId="38AF6CA0" w14:textId="77777777" w:rsidTr="0092047F">
        <w:trPr>
          <w:trHeight w:val="284"/>
        </w:trPr>
        <w:tc>
          <w:tcPr>
            <w:tcW w:w="2977" w:type="dxa"/>
            <w:vMerge w:val="restart"/>
            <w:tcBorders>
              <w:top w:val="nil"/>
              <w:left w:val="nil"/>
              <w:bottom w:val="nil"/>
              <w:right w:val="nil"/>
            </w:tcBorders>
            <w:shd w:val="clear" w:color="auto" w:fill="auto"/>
            <w:vAlign w:val="center"/>
            <w:hideMark/>
          </w:tcPr>
          <w:p w14:paraId="42D2460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Firm Size</w:t>
            </w:r>
          </w:p>
        </w:tc>
        <w:tc>
          <w:tcPr>
            <w:tcW w:w="2977" w:type="dxa"/>
            <w:tcBorders>
              <w:top w:val="nil"/>
              <w:left w:val="nil"/>
              <w:bottom w:val="nil"/>
              <w:right w:val="nil"/>
            </w:tcBorders>
            <w:shd w:val="clear" w:color="auto" w:fill="auto"/>
            <w:vAlign w:val="center"/>
            <w:hideMark/>
          </w:tcPr>
          <w:p w14:paraId="17D5269B"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-0.0172</w:t>
            </w:r>
          </w:p>
        </w:tc>
        <w:tc>
          <w:tcPr>
            <w:tcW w:w="2780" w:type="dxa"/>
            <w:tcBorders>
              <w:top w:val="nil"/>
              <w:left w:val="nil"/>
              <w:bottom w:val="nil"/>
              <w:right w:val="nil"/>
            </w:tcBorders>
            <w:shd w:val="clear" w:color="auto" w:fill="auto"/>
            <w:vAlign w:val="center"/>
            <w:hideMark/>
          </w:tcPr>
          <w:p w14:paraId="6736B44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-0.0554***</w:t>
            </w:r>
          </w:p>
        </w:tc>
      </w:tr>
      <w:tr w:rsidR="0092047F" w:rsidRPr="00156B53" w14:paraId="009B4772" w14:textId="77777777" w:rsidTr="0092047F">
        <w:trPr>
          <w:trHeight w:val="284"/>
        </w:trPr>
        <w:tc>
          <w:tcPr>
            <w:tcW w:w="2977" w:type="dxa"/>
            <w:vMerge/>
            <w:tcBorders>
              <w:top w:val="nil"/>
              <w:left w:val="nil"/>
              <w:bottom w:val="nil"/>
              <w:right w:val="nil"/>
            </w:tcBorders>
            <w:vAlign w:val="center"/>
            <w:hideMark/>
          </w:tcPr>
          <w:p w14:paraId="3CE705A0"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05CF9A4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(0.149)</w:t>
            </w:r>
          </w:p>
        </w:tc>
        <w:tc>
          <w:tcPr>
            <w:tcW w:w="2780" w:type="dxa"/>
            <w:tcBorders>
              <w:top w:val="nil"/>
              <w:left w:val="nil"/>
              <w:bottom w:val="nil"/>
              <w:right w:val="nil"/>
            </w:tcBorders>
            <w:shd w:val="clear" w:color="auto" w:fill="auto"/>
            <w:vAlign w:val="center"/>
            <w:hideMark/>
          </w:tcPr>
          <w:p w14:paraId="085D5BE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(0.005)</w:t>
            </w:r>
          </w:p>
        </w:tc>
      </w:tr>
      <w:tr w:rsidR="0092047F" w:rsidRPr="00156B53" w14:paraId="3C964A7E" w14:textId="77777777" w:rsidTr="0092047F">
        <w:trPr>
          <w:trHeight w:val="284"/>
        </w:trPr>
        <w:tc>
          <w:tcPr>
            <w:tcW w:w="2977" w:type="dxa"/>
            <w:vMerge w:val="restart"/>
            <w:tcBorders>
              <w:top w:val="nil"/>
              <w:left w:val="nil"/>
              <w:bottom w:val="nil"/>
              <w:right w:val="nil"/>
            </w:tcBorders>
            <w:shd w:val="clear" w:color="auto" w:fill="auto"/>
            <w:vAlign w:val="center"/>
            <w:hideMark/>
          </w:tcPr>
          <w:p w14:paraId="60109F6D"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Board Size</w:t>
            </w:r>
          </w:p>
        </w:tc>
        <w:tc>
          <w:tcPr>
            <w:tcW w:w="2977" w:type="dxa"/>
            <w:tcBorders>
              <w:top w:val="nil"/>
              <w:left w:val="nil"/>
              <w:bottom w:val="nil"/>
              <w:right w:val="nil"/>
            </w:tcBorders>
            <w:shd w:val="clear" w:color="auto" w:fill="auto"/>
            <w:vAlign w:val="center"/>
            <w:hideMark/>
          </w:tcPr>
          <w:p w14:paraId="78C10F9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2.480***</w:t>
            </w:r>
          </w:p>
        </w:tc>
        <w:tc>
          <w:tcPr>
            <w:tcW w:w="2780" w:type="dxa"/>
            <w:tcBorders>
              <w:top w:val="nil"/>
              <w:left w:val="nil"/>
              <w:bottom w:val="nil"/>
              <w:right w:val="nil"/>
            </w:tcBorders>
            <w:shd w:val="clear" w:color="auto" w:fill="auto"/>
            <w:vAlign w:val="center"/>
            <w:hideMark/>
          </w:tcPr>
          <w:p w14:paraId="217FBD8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0.507***</w:t>
            </w:r>
          </w:p>
        </w:tc>
      </w:tr>
      <w:tr w:rsidR="0092047F" w:rsidRPr="00156B53" w14:paraId="3B7E8DD3" w14:textId="77777777" w:rsidTr="0092047F">
        <w:trPr>
          <w:trHeight w:val="284"/>
        </w:trPr>
        <w:tc>
          <w:tcPr>
            <w:tcW w:w="2977" w:type="dxa"/>
            <w:vMerge/>
            <w:tcBorders>
              <w:top w:val="nil"/>
              <w:left w:val="nil"/>
              <w:bottom w:val="nil"/>
              <w:right w:val="nil"/>
            </w:tcBorders>
            <w:vAlign w:val="center"/>
            <w:hideMark/>
          </w:tcPr>
          <w:p w14:paraId="6CB49FEF"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68687DB2"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(0.398)</w:t>
            </w:r>
          </w:p>
        </w:tc>
        <w:tc>
          <w:tcPr>
            <w:tcW w:w="2780" w:type="dxa"/>
            <w:tcBorders>
              <w:top w:val="nil"/>
              <w:left w:val="nil"/>
              <w:bottom w:val="nil"/>
              <w:right w:val="nil"/>
            </w:tcBorders>
            <w:shd w:val="clear" w:color="auto" w:fill="auto"/>
            <w:vAlign w:val="center"/>
            <w:hideMark/>
          </w:tcPr>
          <w:p w14:paraId="0BAB08D5"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(0.053)</w:t>
            </w:r>
          </w:p>
        </w:tc>
      </w:tr>
      <w:tr w:rsidR="0092047F" w:rsidRPr="00156B53" w14:paraId="5430CD45" w14:textId="77777777" w:rsidTr="0092047F">
        <w:trPr>
          <w:trHeight w:val="284"/>
        </w:trPr>
        <w:tc>
          <w:tcPr>
            <w:tcW w:w="2977" w:type="dxa"/>
            <w:vMerge w:val="restart"/>
            <w:tcBorders>
              <w:top w:val="nil"/>
              <w:left w:val="nil"/>
              <w:bottom w:val="nil"/>
              <w:right w:val="nil"/>
            </w:tcBorders>
            <w:shd w:val="clear" w:color="auto" w:fill="auto"/>
            <w:vAlign w:val="center"/>
            <w:hideMark/>
          </w:tcPr>
          <w:p w14:paraId="0113A535"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Capital</w:t>
            </w:r>
          </w:p>
        </w:tc>
        <w:tc>
          <w:tcPr>
            <w:tcW w:w="2977" w:type="dxa"/>
            <w:tcBorders>
              <w:top w:val="nil"/>
              <w:left w:val="nil"/>
              <w:bottom w:val="nil"/>
              <w:right w:val="nil"/>
            </w:tcBorders>
            <w:shd w:val="clear" w:color="auto" w:fill="auto"/>
            <w:vAlign w:val="center"/>
            <w:hideMark/>
          </w:tcPr>
          <w:p w14:paraId="69B595A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0.719***</w:t>
            </w:r>
          </w:p>
        </w:tc>
        <w:tc>
          <w:tcPr>
            <w:tcW w:w="2780" w:type="dxa"/>
            <w:tcBorders>
              <w:top w:val="nil"/>
              <w:left w:val="nil"/>
              <w:bottom w:val="nil"/>
              <w:right w:val="nil"/>
            </w:tcBorders>
            <w:shd w:val="clear" w:color="auto" w:fill="auto"/>
            <w:vAlign w:val="center"/>
            <w:hideMark/>
          </w:tcPr>
          <w:p w14:paraId="763B18BC"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0.0944***</w:t>
            </w:r>
          </w:p>
        </w:tc>
      </w:tr>
      <w:tr w:rsidR="0092047F" w:rsidRPr="00156B53" w14:paraId="54B5DF16" w14:textId="77777777" w:rsidTr="0092047F">
        <w:trPr>
          <w:trHeight w:val="284"/>
        </w:trPr>
        <w:tc>
          <w:tcPr>
            <w:tcW w:w="2977" w:type="dxa"/>
            <w:vMerge/>
            <w:tcBorders>
              <w:top w:val="nil"/>
              <w:left w:val="nil"/>
              <w:bottom w:val="nil"/>
              <w:right w:val="nil"/>
            </w:tcBorders>
            <w:vAlign w:val="center"/>
            <w:hideMark/>
          </w:tcPr>
          <w:p w14:paraId="6F3FBC56"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7B291B2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(0.039)</w:t>
            </w:r>
          </w:p>
        </w:tc>
        <w:tc>
          <w:tcPr>
            <w:tcW w:w="2780" w:type="dxa"/>
            <w:tcBorders>
              <w:top w:val="nil"/>
              <w:left w:val="nil"/>
              <w:bottom w:val="nil"/>
              <w:right w:val="nil"/>
            </w:tcBorders>
            <w:shd w:val="clear" w:color="auto" w:fill="auto"/>
            <w:vAlign w:val="center"/>
            <w:hideMark/>
          </w:tcPr>
          <w:p w14:paraId="7302FD21"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(0.005)</w:t>
            </w:r>
          </w:p>
        </w:tc>
      </w:tr>
      <w:tr w:rsidR="0092047F" w:rsidRPr="00156B53" w14:paraId="66950817" w14:textId="77777777" w:rsidTr="0092047F">
        <w:trPr>
          <w:trHeight w:val="284"/>
        </w:trPr>
        <w:tc>
          <w:tcPr>
            <w:tcW w:w="2977" w:type="dxa"/>
            <w:vMerge w:val="restart"/>
            <w:tcBorders>
              <w:top w:val="nil"/>
              <w:left w:val="nil"/>
              <w:bottom w:val="nil"/>
              <w:right w:val="nil"/>
            </w:tcBorders>
            <w:shd w:val="clear" w:color="auto" w:fill="auto"/>
            <w:vAlign w:val="center"/>
            <w:hideMark/>
          </w:tcPr>
          <w:p w14:paraId="603C31D2"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Beta</w:t>
            </w:r>
          </w:p>
        </w:tc>
        <w:tc>
          <w:tcPr>
            <w:tcW w:w="2977" w:type="dxa"/>
            <w:tcBorders>
              <w:top w:val="nil"/>
              <w:left w:val="nil"/>
              <w:bottom w:val="nil"/>
              <w:right w:val="nil"/>
            </w:tcBorders>
            <w:shd w:val="clear" w:color="auto" w:fill="auto"/>
            <w:vAlign w:val="center"/>
            <w:hideMark/>
          </w:tcPr>
          <w:p w14:paraId="00503589"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-2.180*</w:t>
            </w:r>
          </w:p>
        </w:tc>
        <w:tc>
          <w:tcPr>
            <w:tcW w:w="2780" w:type="dxa"/>
            <w:tcBorders>
              <w:top w:val="nil"/>
              <w:left w:val="nil"/>
              <w:bottom w:val="nil"/>
              <w:right w:val="nil"/>
            </w:tcBorders>
            <w:shd w:val="clear" w:color="auto" w:fill="auto"/>
            <w:vAlign w:val="center"/>
            <w:hideMark/>
          </w:tcPr>
          <w:p w14:paraId="20227FF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-2.592***</w:t>
            </w:r>
          </w:p>
        </w:tc>
      </w:tr>
      <w:tr w:rsidR="0092047F" w:rsidRPr="00156B53" w14:paraId="7F943765" w14:textId="77777777" w:rsidTr="0092047F">
        <w:trPr>
          <w:trHeight w:val="284"/>
        </w:trPr>
        <w:tc>
          <w:tcPr>
            <w:tcW w:w="2977" w:type="dxa"/>
            <w:vMerge/>
            <w:tcBorders>
              <w:top w:val="nil"/>
              <w:left w:val="nil"/>
              <w:bottom w:val="nil"/>
              <w:right w:val="nil"/>
            </w:tcBorders>
            <w:vAlign w:val="center"/>
            <w:hideMark/>
          </w:tcPr>
          <w:p w14:paraId="7E645A4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6AE7722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(1.201)</w:t>
            </w:r>
          </w:p>
        </w:tc>
        <w:tc>
          <w:tcPr>
            <w:tcW w:w="2780" w:type="dxa"/>
            <w:tcBorders>
              <w:top w:val="nil"/>
              <w:left w:val="nil"/>
              <w:bottom w:val="nil"/>
              <w:right w:val="nil"/>
            </w:tcBorders>
            <w:shd w:val="clear" w:color="auto" w:fill="auto"/>
            <w:vAlign w:val="center"/>
            <w:hideMark/>
          </w:tcPr>
          <w:p w14:paraId="4C1292BD"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(0.152)</w:t>
            </w:r>
          </w:p>
        </w:tc>
      </w:tr>
      <w:tr w:rsidR="0092047F" w:rsidRPr="00156B53" w14:paraId="265C1948" w14:textId="77777777" w:rsidTr="0092047F">
        <w:trPr>
          <w:trHeight w:val="284"/>
        </w:trPr>
        <w:tc>
          <w:tcPr>
            <w:tcW w:w="2977" w:type="dxa"/>
            <w:vMerge w:val="restart"/>
            <w:tcBorders>
              <w:top w:val="nil"/>
              <w:left w:val="nil"/>
              <w:bottom w:val="nil"/>
              <w:right w:val="nil"/>
            </w:tcBorders>
            <w:shd w:val="clear" w:color="auto" w:fill="auto"/>
            <w:vAlign w:val="center"/>
            <w:hideMark/>
          </w:tcPr>
          <w:p w14:paraId="741E1C9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Liquidity</w:t>
            </w:r>
          </w:p>
        </w:tc>
        <w:tc>
          <w:tcPr>
            <w:tcW w:w="2977" w:type="dxa"/>
            <w:tcBorders>
              <w:top w:val="nil"/>
              <w:left w:val="nil"/>
              <w:bottom w:val="nil"/>
              <w:right w:val="nil"/>
            </w:tcBorders>
            <w:shd w:val="clear" w:color="auto" w:fill="auto"/>
            <w:vAlign w:val="center"/>
            <w:hideMark/>
          </w:tcPr>
          <w:p w14:paraId="423CCE36"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0.484**</w:t>
            </w:r>
          </w:p>
        </w:tc>
        <w:tc>
          <w:tcPr>
            <w:tcW w:w="2780" w:type="dxa"/>
            <w:tcBorders>
              <w:top w:val="nil"/>
              <w:left w:val="nil"/>
              <w:bottom w:val="nil"/>
              <w:right w:val="nil"/>
            </w:tcBorders>
            <w:shd w:val="clear" w:color="auto" w:fill="auto"/>
            <w:vAlign w:val="center"/>
            <w:hideMark/>
          </w:tcPr>
          <w:p w14:paraId="31BFCE5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-0.0419</w:t>
            </w:r>
          </w:p>
        </w:tc>
      </w:tr>
      <w:tr w:rsidR="0092047F" w:rsidRPr="00156B53" w14:paraId="0DA793B8" w14:textId="77777777" w:rsidTr="0092047F">
        <w:trPr>
          <w:trHeight w:val="284"/>
        </w:trPr>
        <w:tc>
          <w:tcPr>
            <w:tcW w:w="2977" w:type="dxa"/>
            <w:vMerge/>
            <w:tcBorders>
              <w:top w:val="nil"/>
              <w:left w:val="nil"/>
              <w:bottom w:val="nil"/>
              <w:right w:val="nil"/>
            </w:tcBorders>
            <w:vAlign w:val="center"/>
            <w:hideMark/>
          </w:tcPr>
          <w:p w14:paraId="364296A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339B5B8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(0.198)</w:t>
            </w:r>
          </w:p>
        </w:tc>
        <w:tc>
          <w:tcPr>
            <w:tcW w:w="2780" w:type="dxa"/>
            <w:tcBorders>
              <w:top w:val="nil"/>
              <w:left w:val="nil"/>
              <w:bottom w:val="nil"/>
              <w:right w:val="nil"/>
            </w:tcBorders>
            <w:shd w:val="clear" w:color="auto" w:fill="auto"/>
            <w:vAlign w:val="center"/>
            <w:hideMark/>
          </w:tcPr>
          <w:p w14:paraId="6A139E2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(0.027)</w:t>
            </w:r>
          </w:p>
        </w:tc>
      </w:tr>
      <w:tr w:rsidR="0092047F" w:rsidRPr="00156B53" w14:paraId="70F4AC8A" w14:textId="77777777" w:rsidTr="0092047F">
        <w:trPr>
          <w:trHeight w:val="284"/>
        </w:trPr>
        <w:tc>
          <w:tcPr>
            <w:tcW w:w="2977" w:type="dxa"/>
            <w:vMerge w:val="restart"/>
            <w:tcBorders>
              <w:top w:val="nil"/>
              <w:left w:val="nil"/>
              <w:bottom w:val="nil"/>
              <w:right w:val="nil"/>
            </w:tcBorders>
            <w:shd w:val="clear" w:color="auto" w:fill="auto"/>
            <w:vAlign w:val="center"/>
            <w:hideMark/>
          </w:tcPr>
          <w:p w14:paraId="70DAA0E1"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Constant</w:t>
            </w:r>
          </w:p>
        </w:tc>
        <w:tc>
          <w:tcPr>
            <w:tcW w:w="2977" w:type="dxa"/>
            <w:tcBorders>
              <w:top w:val="nil"/>
              <w:left w:val="nil"/>
              <w:bottom w:val="nil"/>
              <w:right w:val="nil"/>
            </w:tcBorders>
            <w:shd w:val="clear" w:color="auto" w:fill="auto"/>
            <w:vAlign w:val="center"/>
            <w:hideMark/>
          </w:tcPr>
          <w:p w14:paraId="0E5AC9E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45.40***</w:t>
            </w:r>
          </w:p>
        </w:tc>
        <w:tc>
          <w:tcPr>
            <w:tcW w:w="2780" w:type="dxa"/>
            <w:tcBorders>
              <w:top w:val="nil"/>
              <w:left w:val="nil"/>
              <w:bottom w:val="nil"/>
              <w:right w:val="nil"/>
            </w:tcBorders>
            <w:shd w:val="clear" w:color="auto" w:fill="auto"/>
            <w:vAlign w:val="center"/>
            <w:hideMark/>
          </w:tcPr>
          <w:p w14:paraId="4C018268"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12.45***</w:t>
            </w:r>
          </w:p>
        </w:tc>
      </w:tr>
      <w:tr w:rsidR="0092047F" w:rsidRPr="00156B53" w14:paraId="247BDBA9" w14:textId="77777777" w:rsidTr="0092047F">
        <w:trPr>
          <w:trHeight w:val="284"/>
        </w:trPr>
        <w:tc>
          <w:tcPr>
            <w:tcW w:w="2977" w:type="dxa"/>
            <w:vMerge/>
            <w:tcBorders>
              <w:top w:val="nil"/>
              <w:left w:val="nil"/>
              <w:bottom w:val="nil"/>
              <w:right w:val="nil"/>
            </w:tcBorders>
            <w:vAlign w:val="center"/>
            <w:hideMark/>
          </w:tcPr>
          <w:p w14:paraId="758C2563"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p>
        </w:tc>
        <w:tc>
          <w:tcPr>
            <w:tcW w:w="2977" w:type="dxa"/>
            <w:tcBorders>
              <w:top w:val="nil"/>
              <w:left w:val="nil"/>
              <w:bottom w:val="nil"/>
              <w:right w:val="nil"/>
            </w:tcBorders>
            <w:shd w:val="clear" w:color="auto" w:fill="auto"/>
            <w:vAlign w:val="center"/>
            <w:hideMark/>
          </w:tcPr>
          <w:p w14:paraId="1C833F87"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(9.582)</w:t>
            </w:r>
          </w:p>
        </w:tc>
        <w:tc>
          <w:tcPr>
            <w:tcW w:w="2780" w:type="dxa"/>
            <w:tcBorders>
              <w:top w:val="nil"/>
              <w:left w:val="nil"/>
              <w:bottom w:val="nil"/>
              <w:right w:val="nil"/>
            </w:tcBorders>
            <w:shd w:val="clear" w:color="auto" w:fill="auto"/>
            <w:vAlign w:val="center"/>
            <w:hideMark/>
          </w:tcPr>
          <w:p w14:paraId="7228DB8E"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(0.952)</w:t>
            </w:r>
          </w:p>
        </w:tc>
      </w:tr>
      <w:tr w:rsidR="0092047F" w:rsidRPr="00156B53" w14:paraId="19F09E99" w14:textId="77777777" w:rsidTr="0092047F">
        <w:trPr>
          <w:trHeight w:val="284"/>
        </w:trPr>
        <w:tc>
          <w:tcPr>
            <w:tcW w:w="2977" w:type="dxa"/>
            <w:tcBorders>
              <w:top w:val="nil"/>
              <w:left w:val="nil"/>
              <w:bottom w:val="nil"/>
              <w:right w:val="nil"/>
            </w:tcBorders>
            <w:shd w:val="clear" w:color="auto" w:fill="auto"/>
            <w:vAlign w:val="center"/>
            <w:hideMark/>
          </w:tcPr>
          <w:p w14:paraId="3EA6ACA6"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val="en-US" w:eastAsia="en-GB"/>
              </w:rPr>
              <w:t>J-test (p-value)</w:t>
            </w:r>
          </w:p>
        </w:tc>
        <w:tc>
          <w:tcPr>
            <w:tcW w:w="2977" w:type="dxa"/>
            <w:tcBorders>
              <w:top w:val="nil"/>
              <w:left w:val="nil"/>
              <w:bottom w:val="nil"/>
              <w:right w:val="nil"/>
            </w:tcBorders>
            <w:shd w:val="clear" w:color="auto" w:fill="auto"/>
            <w:vAlign w:val="center"/>
            <w:hideMark/>
          </w:tcPr>
          <w:p w14:paraId="1B3A365F"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79.86(1.00)</w:t>
            </w:r>
          </w:p>
        </w:tc>
        <w:tc>
          <w:tcPr>
            <w:tcW w:w="2780" w:type="dxa"/>
            <w:tcBorders>
              <w:top w:val="nil"/>
              <w:left w:val="nil"/>
              <w:bottom w:val="nil"/>
              <w:right w:val="nil"/>
            </w:tcBorders>
            <w:shd w:val="clear" w:color="auto" w:fill="auto"/>
            <w:vAlign w:val="center"/>
            <w:hideMark/>
          </w:tcPr>
          <w:p w14:paraId="23449ABA"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44.96(1.00)</w:t>
            </w:r>
          </w:p>
        </w:tc>
      </w:tr>
      <w:tr w:rsidR="0092047F" w:rsidRPr="00156B53" w14:paraId="2EF7A253" w14:textId="77777777" w:rsidTr="0092047F">
        <w:trPr>
          <w:trHeight w:val="284"/>
        </w:trPr>
        <w:tc>
          <w:tcPr>
            <w:tcW w:w="2977" w:type="dxa"/>
            <w:tcBorders>
              <w:top w:val="nil"/>
              <w:left w:val="nil"/>
              <w:bottom w:val="nil"/>
              <w:right w:val="nil"/>
            </w:tcBorders>
            <w:shd w:val="clear" w:color="auto" w:fill="auto"/>
            <w:vAlign w:val="center"/>
            <w:hideMark/>
          </w:tcPr>
          <w:p w14:paraId="3F0122EE"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val="en-US" w:eastAsia="en-GB"/>
              </w:rPr>
              <w:t>AR (1) (p-value)</w:t>
            </w:r>
          </w:p>
        </w:tc>
        <w:tc>
          <w:tcPr>
            <w:tcW w:w="2977" w:type="dxa"/>
            <w:tcBorders>
              <w:top w:val="nil"/>
              <w:left w:val="nil"/>
              <w:bottom w:val="nil"/>
              <w:right w:val="nil"/>
            </w:tcBorders>
            <w:shd w:val="clear" w:color="auto" w:fill="auto"/>
            <w:vAlign w:val="center"/>
            <w:hideMark/>
          </w:tcPr>
          <w:p w14:paraId="29A5EC03"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-4.89(0.000)</w:t>
            </w:r>
          </w:p>
        </w:tc>
        <w:tc>
          <w:tcPr>
            <w:tcW w:w="2780" w:type="dxa"/>
            <w:tcBorders>
              <w:top w:val="nil"/>
              <w:left w:val="nil"/>
              <w:bottom w:val="nil"/>
              <w:right w:val="nil"/>
            </w:tcBorders>
            <w:shd w:val="clear" w:color="auto" w:fill="auto"/>
            <w:vAlign w:val="center"/>
            <w:hideMark/>
          </w:tcPr>
          <w:p w14:paraId="5D5C09FA"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-2.99(0.002)</w:t>
            </w:r>
          </w:p>
        </w:tc>
      </w:tr>
      <w:tr w:rsidR="0092047F" w:rsidRPr="00156B53" w14:paraId="578069C5" w14:textId="77777777" w:rsidTr="0092047F">
        <w:trPr>
          <w:trHeight w:val="284"/>
        </w:trPr>
        <w:tc>
          <w:tcPr>
            <w:tcW w:w="2977" w:type="dxa"/>
            <w:tcBorders>
              <w:top w:val="nil"/>
              <w:left w:val="nil"/>
              <w:bottom w:val="nil"/>
              <w:right w:val="nil"/>
            </w:tcBorders>
            <w:shd w:val="clear" w:color="auto" w:fill="auto"/>
            <w:vAlign w:val="center"/>
            <w:hideMark/>
          </w:tcPr>
          <w:p w14:paraId="6D1B1035" w14:textId="77777777" w:rsidR="0092047F" w:rsidRPr="00156B53" w:rsidRDefault="0092047F" w:rsidP="0092047F">
            <w:pPr>
              <w:spacing w:after="0" w:line="240" w:lineRule="auto"/>
              <w:ind w:firstLine="0"/>
              <w:jc w:val="left"/>
              <w:rPr>
                <w:rFonts w:eastAsia="Times New Roman" w:cs="Times New Roman"/>
                <w:i/>
                <w:iCs/>
                <w:color w:val="000000"/>
                <w:sz w:val="22"/>
                <w:lang w:eastAsia="en-GB"/>
              </w:rPr>
            </w:pPr>
            <w:r w:rsidRPr="00156B53">
              <w:rPr>
                <w:rFonts w:eastAsia="Times New Roman" w:cs="Times New Roman"/>
                <w:i/>
                <w:iCs/>
                <w:color w:val="000000"/>
                <w:sz w:val="22"/>
                <w:lang w:val="en-US" w:eastAsia="en-GB"/>
              </w:rPr>
              <w:t>AR (2) (p-value)</w:t>
            </w:r>
          </w:p>
        </w:tc>
        <w:tc>
          <w:tcPr>
            <w:tcW w:w="2977" w:type="dxa"/>
            <w:tcBorders>
              <w:top w:val="nil"/>
              <w:left w:val="nil"/>
              <w:bottom w:val="nil"/>
              <w:right w:val="nil"/>
            </w:tcBorders>
            <w:shd w:val="clear" w:color="auto" w:fill="auto"/>
            <w:vAlign w:val="center"/>
            <w:hideMark/>
          </w:tcPr>
          <w:p w14:paraId="4249BB16"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-1.62(0.1038)</w:t>
            </w:r>
          </w:p>
        </w:tc>
        <w:tc>
          <w:tcPr>
            <w:tcW w:w="2780" w:type="dxa"/>
            <w:tcBorders>
              <w:top w:val="nil"/>
              <w:left w:val="nil"/>
              <w:bottom w:val="nil"/>
              <w:right w:val="nil"/>
            </w:tcBorders>
            <w:shd w:val="clear" w:color="auto" w:fill="auto"/>
            <w:vAlign w:val="center"/>
            <w:hideMark/>
          </w:tcPr>
          <w:p w14:paraId="219B2252" w14:textId="77777777" w:rsidR="0092047F" w:rsidRPr="00156B53" w:rsidRDefault="0092047F" w:rsidP="0092047F">
            <w:pPr>
              <w:spacing w:after="0" w:line="240" w:lineRule="auto"/>
              <w:ind w:firstLine="0"/>
              <w:jc w:val="center"/>
              <w:rPr>
                <w:rFonts w:eastAsia="Times New Roman" w:cs="Times New Roman"/>
                <w:i/>
                <w:iCs/>
                <w:color w:val="000000"/>
                <w:sz w:val="22"/>
                <w:lang w:eastAsia="en-GB"/>
              </w:rPr>
            </w:pPr>
            <w:r w:rsidRPr="00156B53">
              <w:rPr>
                <w:rFonts w:eastAsia="Times New Roman" w:cs="Times New Roman"/>
                <w:i/>
                <w:iCs/>
                <w:color w:val="000000"/>
                <w:sz w:val="22"/>
                <w:lang w:val="en-US" w:eastAsia="en-GB"/>
              </w:rPr>
              <w:t>-0.38(0.69)</w:t>
            </w:r>
          </w:p>
        </w:tc>
      </w:tr>
      <w:tr w:rsidR="0092047F" w:rsidRPr="00156B53" w14:paraId="02E7B55C" w14:textId="77777777" w:rsidTr="0092047F">
        <w:trPr>
          <w:trHeight w:val="284"/>
        </w:trPr>
        <w:tc>
          <w:tcPr>
            <w:tcW w:w="2977" w:type="dxa"/>
            <w:tcBorders>
              <w:top w:val="nil"/>
              <w:left w:val="nil"/>
              <w:bottom w:val="nil"/>
              <w:right w:val="nil"/>
            </w:tcBorders>
            <w:shd w:val="clear" w:color="auto" w:fill="auto"/>
            <w:vAlign w:val="center"/>
            <w:hideMark/>
          </w:tcPr>
          <w:p w14:paraId="74669D6E"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Observations</w:t>
            </w:r>
          </w:p>
        </w:tc>
        <w:tc>
          <w:tcPr>
            <w:tcW w:w="2977" w:type="dxa"/>
            <w:tcBorders>
              <w:top w:val="nil"/>
              <w:left w:val="nil"/>
              <w:bottom w:val="nil"/>
              <w:right w:val="nil"/>
            </w:tcBorders>
            <w:shd w:val="clear" w:color="auto" w:fill="auto"/>
            <w:vAlign w:val="center"/>
            <w:hideMark/>
          </w:tcPr>
          <w:p w14:paraId="1FB27043"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421</w:t>
            </w:r>
          </w:p>
        </w:tc>
        <w:tc>
          <w:tcPr>
            <w:tcW w:w="2780" w:type="dxa"/>
            <w:tcBorders>
              <w:top w:val="nil"/>
              <w:left w:val="nil"/>
              <w:bottom w:val="nil"/>
              <w:right w:val="nil"/>
            </w:tcBorders>
            <w:shd w:val="clear" w:color="auto" w:fill="auto"/>
            <w:vAlign w:val="center"/>
            <w:hideMark/>
          </w:tcPr>
          <w:p w14:paraId="1B897204"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507</w:t>
            </w:r>
          </w:p>
        </w:tc>
      </w:tr>
      <w:tr w:rsidR="0092047F" w:rsidRPr="00156B53" w14:paraId="571B368D" w14:textId="77777777" w:rsidTr="0092047F">
        <w:trPr>
          <w:trHeight w:val="284"/>
        </w:trPr>
        <w:tc>
          <w:tcPr>
            <w:tcW w:w="2977" w:type="dxa"/>
            <w:tcBorders>
              <w:top w:val="nil"/>
              <w:left w:val="nil"/>
              <w:bottom w:val="single" w:sz="8" w:space="0" w:color="auto"/>
              <w:right w:val="nil"/>
            </w:tcBorders>
            <w:shd w:val="clear" w:color="auto" w:fill="auto"/>
            <w:vAlign w:val="center"/>
            <w:hideMark/>
          </w:tcPr>
          <w:p w14:paraId="0E253CDA" w14:textId="77777777" w:rsidR="0092047F" w:rsidRPr="00156B53" w:rsidRDefault="0092047F" w:rsidP="0092047F">
            <w:pPr>
              <w:spacing w:after="0" w:line="240" w:lineRule="auto"/>
              <w:ind w:firstLine="0"/>
              <w:jc w:val="left"/>
              <w:rPr>
                <w:rFonts w:eastAsia="Times New Roman" w:cs="Times New Roman"/>
                <w:color w:val="000000"/>
                <w:sz w:val="22"/>
                <w:lang w:eastAsia="en-GB"/>
              </w:rPr>
            </w:pPr>
            <w:r w:rsidRPr="00156B53">
              <w:rPr>
                <w:rFonts w:eastAsia="Times New Roman" w:cs="Times New Roman"/>
                <w:color w:val="000000"/>
                <w:sz w:val="22"/>
                <w:lang w:val="en-US" w:eastAsia="en-GB"/>
              </w:rPr>
              <w:t>Number of firms</w:t>
            </w:r>
          </w:p>
        </w:tc>
        <w:tc>
          <w:tcPr>
            <w:tcW w:w="2977" w:type="dxa"/>
            <w:tcBorders>
              <w:top w:val="nil"/>
              <w:left w:val="nil"/>
              <w:bottom w:val="single" w:sz="8" w:space="0" w:color="auto"/>
              <w:right w:val="nil"/>
            </w:tcBorders>
            <w:shd w:val="clear" w:color="auto" w:fill="auto"/>
            <w:vAlign w:val="center"/>
            <w:hideMark/>
          </w:tcPr>
          <w:p w14:paraId="459C340A"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86</w:t>
            </w:r>
          </w:p>
        </w:tc>
        <w:tc>
          <w:tcPr>
            <w:tcW w:w="2780" w:type="dxa"/>
            <w:tcBorders>
              <w:top w:val="nil"/>
              <w:left w:val="nil"/>
              <w:bottom w:val="single" w:sz="8" w:space="0" w:color="auto"/>
              <w:right w:val="nil"/>
            </w:tcBorders>
            <w:shd w:val="clear" w:color="auto" w:fill="auto"/>
            <w:vAlign w:val="center"/>
            <w:hideMark/>
          </w:tcPr>
          <w:p w14:paraId="148540FF" w14:textId="77777777" w:rsidR="0092047F" w:rsidRPr="00156B53" w:rsidRDefault="0092047F" w:rsidP="0092047F">
            <w:pPr>
              <w:spacing w:after="0" w:line="240" w:lineRule="auto"/>
              <w:ind w:firstLine="0"/>
              <w:jc w:val="center"/>
              <w:rPr>
                <w:rFonts w:eastAsia="Times New Roman" w:cs="Times New Roman"/>
                <w:color w:val="000000"/>
                <w:sz w:val="22"/>
                <w:lang w:eastAsia="en-GB"/>
              </w:rPr>
            </w:pPr>
            <w:r w:rsidRPr="00156B53">
              <w:rPr>
                <w:rFonts w:eastAsia="Times New Roman" w:cs="Times New Roman"/>
                <w:color w:val="000000"/>
                <w:sz w:val="22"/>
                <w:lang w:val="en-US" w:eastAsia="en-GB"/>
              </w:rPr>
              <w:t>86</w:t>
            </w:r>
          </w:p>
        </w:tc>
      </w:tr>
    </w:tbl>
    <w:p w14:paraId="4A0896BD" w14:textId="6B10688D" w:rsidR="00807C2C" w:rsidRDefault="0092047F" w:rsidP="0092047F">
      <w:pPr>
        <w:spacing w:line="240" w:lineRule="auto"/>
        <w:ind w:right="237" w:firstLine="0"/>
        <w:rPr>
          <w:rFonts w:eastAsia="Times New Roman" w:cs="Times New Roman"/>
          <w:noProof/>
          <w:sz w:val="20"/>
          <w:szCs w:val="20"/>
          <w:lang w:eastAsia="en-GB"/>
        </w:rPr>
      </w:pPr>
      <w:r>
        <w:rPr>
          <w:rFonts w:eastAsia="Times New Roman" w:cs="Times New Roman"/>
          <w:noProof/>
          <w:sz w:val="20"/>
          <w:szCs w:val="20"/>
          <w:lang w:eastAsia="en-GB"/>
        </w:rPr>
        <w:t xml:space="preserve">Table 6 </w:t>
      </w:r>
      <w:r w:rsidRPr="00467BF5">
        <w:rPr>
          <w:rFonts w:eastAsia="Times New Roman" w:cs="Times New Roman"/>
          <w:noProof/>
          <w:sz w:val="20"/>
          <w:szCs w:val="20"/>
          <w:lang w:eastAsia="en-GB"/>
        </w:rPr>
        <w:t xml:space="preserve">provides the results when the data is analysed for the </w:t>
      </w:r>
      <w:r>
        <w:rPr>
          <w:rFonts w:eastAsia="Times New Roman" w:cs="Times New Roman"/>
          <w:noProof/>
          <w:sz w:val="20"/>
          <w:szCs w:val="20"/>
          <w:lang w:eastAsia="en-GB"/>
        </w:rPr>
        <w:t>whole sample</w:t>
      </w:r>
      <w:r w:rsidRPr="00467BF5">
        <w:rPr>
          <w:rFonts w:eastAsia="Times New Roman" w:cs="Times New Roman"/>
          <w:noProof/>
          <w:sz w:val="20"/>
          <w:szCs w:val="20"/>
          <w:lang w:eastAsia="en-GB"/>
        </w:rPr>
        <w:t xml:space="preserve"> pe</w:t>
      </w:r>
      <w:r>
        <w:rPr>
          <w:rFonts w:eastAsia="Times New Roman" w:cs="Times New Roman"/>
          <w:noProof/>
          <w:sz w:val="20"/>
          <w:szCs w:val="20"/>
          <w:lang w:eastAsia="en-GB"/>
        </w:rPr>
        <w:t>riod (i.e. 2003–2010</w:t>
      </w:r>
      <w:r w:rsidRPr="00467BF5">
        <w:rPr>
          <w:rFonts w:eastAsia="Times New Roman" w:cs="Times New Roman"/>
          <w:noProof/>
          <w:sz w:val="20"/>
          <w:szCs w:val="20"/>
          <w:lang w:eastAsia="en-GB"/>
        </w:rPr>
        <w:t>)</w:t>
      </w:r>
      <w:r>
        <w:rPr>
          <w:rFonts w:eastAsia="Times New Roman" w:cs="Times New Roman"/>
          <w:noProof/>
          <w:sz w:val="20"/>
          <w:szCs w:val="20"/>
          <w:lang w:eastAsia="en-GB"/>
        </w:rPr>
        <w:t>. All variables are exactly the same as those used in Table 4. L.1, L.2 &amp; L.3 are lags 1, 2 and 3 respectively of the dependent variables</w:t>
      </w:r>
      <w:r w:rsidRPr="00467BF5">
        <w:rPr>
          <w:rFonts w:eastAsia="Times New Roman" w:cs="Times New Roman"/>
          <w:noProof/>
          <w:sz w:val="20"/>
          <w:szCs w:val="20"/>
          <w:lang w:eastAsia="en-GB"/>
        </w:rPr>
        <w:t>. *** significance at p&lt;0.01, ** significance at p&lt;0.05, * significance at p&lt;0.1. Standard errors in parentheses.</w:t>
      </w:r>
      <w:r w:rsidR="00807C2C">
        <w:rPr>
          <w:rFonts w:eastAsia="Times New Roman" w:cs="Times New Roman"/>
          <w:noProof/>
          <w:sz w:val="20"/>
          <w:szCs w:val="20"/>
          <w:lang w:eastAsia="en-GB"/>
        </w:rPr>
        <w:br w:type="page"/>
      </w:r>
    </w:p>
    <w:p w14:paraId="468BB07E" w14:textId="77777777" w:rsidR="0092047F" w:rsidRDefault="0092047F" w:rsidP="0092047F">
      <w:pPr>
        <w:pStyle w:val="NoSpacing"/>
        <w:rPr>
          <w:lang w:eastAsia="en-GB"/>
        </w:rPr>
      </w:pPr>
      <w:r>
        <w:rPr>
          <w:b/>
        </w:rPr>
        <w:lastRenderedPageBreak/>
        <w:t>Table 7</w:t>
      </w:r>
      <w:r w:rsidRPr="00D53FB7">
        <w:t xml:space="preserve"> </w:t>
      </w:r>
      <w:r w:rsidRPr="00D53FB7">
        <w:rPr>
          <w:lang w:eastAsia="en-GB"/>
        </w:rPr>
        <w:t xml:space="preserve">Regression results for corporate governance and the </w:t>
      </w:r>
      <w:r>
        <w:rPr>
          <w:lang w:eastAsia="en-GB"/>
        </w:rPr>
        <w:t>shareholder value</w:t>
      </w:r>
      <w:r w:rsidRPr="00D53FB7">
        <w:rPr>
          <w:lang w:eastAsia="en-GB"/>
        </w:rPr>
        <w:t xml:space="preserve"> using ROA as a measure of </w:t>
      </w:r>
      <w:r>
        <w:rPr>
          <w:lang w:eastAsia="en-GB"/>
        </w:rPr>
        <w:t>shareholder value</w:t>
      </w:r>
      <w:r w:rsidRPr="00D53FB7">
        <w:rPr>
          <w:lang w:eastAsia="en-GB"/>
        </w:rPr>
        <w:t>.</w:t>
      </w:r>
    </w:p>
    <w:p w14:paraId="77FEB7D3" w14:textId="77777777" w:rsidR="0092047F" w:rsidRPr="00D53FB7" w:rsidRDefault="0092047F" w:rsidP="0092047F">
      <w:pPr>
        <w:pStyle w:val="NoSpacing"/>
        <w:rPr>
          <w:rFonts w:eastAsiaTheme="minorEastAsia"/>
        </w:rPr>
      </w:pPr>
    </w:p>
    <w:tbl>
      <w:tblPr>
        <w:tblW w:w="8647" w:type="dxa"/>
        <w:tblLayout w:type="fixed"/>
        <w:tblLook w:val="04A0" w:firstRow="1" w:lastRow="0" w:firstColumn="1" w:lastColumn="0" w:noHBand="0" w:noVBand="1"/>
      </w:tblPr>
      <w:tblGrid>
        <w:gridCol w:w="3119"/>
        <w:gridCol w:w="1984"/>
        <w:gridCol w:w="1560"/>
        <w:gridCol w:w="1984"/>
      </w:tblGrid>
      <w:tr w:rsidR="0092047F" w:rsidRPr="008F05DC" w14:paraId="1BB9839B" w14:textId="77777777" w:rsidTr="0092047F">
        <w:trPr>
          <w:trHeight w:val="284"/>
        </w:trPr>
        <w:tc>
          <w:tcPr>
            <w:tcW w:w="3119" w:type="dxa"/>
            <w:tcBorders>
              <w:top w:val="single" w:sz="8" w:space="0" w:color="auto"/>
              <w:left w:val="nil"/>
              <w:bottom w:val="nil"/>
              <w:right w:val="nil"/>
            </w:tcBorders>
            <w:shd w:val="clear" w:color="auto" w:fill="auto"/>
            <w:vAlign w:val="center"/>
            <w:hideMark/>
          </w:tcPr>
          <w:p w14:paraId="01DF02A2"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 </w:t>
            </w:r>
          </w:p>
        </w:tc>
        <w:tc>
          <w:tcPr>
            <w:tcW w:w="1984" w:type="dxa"/>
            <w:tcBorders>
              <w:top w:val="single" w:sz="8" w:space="0" w:color="auto"/>
              <w:left w:val="nil"/>
              <w:bottom w:val="nil"/>
              <w:right w:val="nil"/>
            </w:tcBorders>
            <w:shd w:val="clear" w:color="auto" w:fill="auto"/>
            <w:vAlign w:val="center"/>
            <w:hideMark/>
          </w:tcPr>
          <w:p w14:paraId="6374A06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Whole period (2003-2010)</w:t>
            </w:r>
          </w:p>
        </w:tc>
        <w:tc>
          <w:tcPr>
            <w:tcW w:w="1560" w:type="dxa"/>
            <w:tcBorders>
              <w:top w:val="single" w:sz="8" w:space="0" w:color="auto"/>
              <w:left w:val="nil"/>
              <w:bottom w:val="nil"/>
              <w:right w:val="nil"/>
            </w:tcBorders>
            <w:shd w:val="clear" w:color="auto" w:fill="auto"/>
            <w:vAlign w:val="center"/>
            <w:hideMark/>
          </w:tcPr>
          <w:p w14:paraId="0C3A2E9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Pre-crisis (2003-2007)</w:t>
            </w:r>
          </w:p>
        </w:tc>
        <w:tc>
          <w:tcPr>
            <w:tcW w:w="1984" w:type="dxa"/>
            <w:tcBorders>
              <w:top w:val="single" w:sz="8" w:space="0" w:color="auto"/>
              <w:left w:val="nil"/>
              <w:bottom w:val="nil"/>
              <w:right w:val="nil"/>
            </w:tcBorders>
            <w:shd w:val="clear" w:color="auto" w:fill="auto"/>
            <w:vAlign w:val="center"/>
            <w:hideMark/>
          </w:tcPr>
          <w:p w14:paraId="2F1A36E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During crisis (2007-2010)</w:t>
            </w:r>
          </w:p>
        </w:tc>
      </w:tr>
      <w:tr w:rsidR="0092047F" w:rsidRPr="008F05DC" w14:paraId="1926B673" w14:textId="77777777" w:rsidTr="0092047F">
        <w:trPr>
          <w:trHeight w:val="284"/>
        </w:trPr>
        <w:tc>
          <w:tcPr>
            <w:tcW w:w="3119" w:type="dxa"/>
            <w:tcBorders>
              <w:top w:val="nil"/>
              <w:left w:val="nil"/>
              <w:bottom w:val="single" w:sz="8" w:space="0" w:color="auto"/>
              <w:right w:val="nil"/>
            </w:tcBorders>
            <w:shd w:val="clear" w:color="auto" w:fill="auto"/>
            <w:vAlign w:val="center"/>
            <w:hideMark/>
          </w:tcPr>
          <w:p w14:paraId="36FA878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VARIABLES</w:t>
            </w:r>
          </w:p>
        </w:tc>
        <w:tc>
          <w:tcPr>
            <w:tcW w:w="1984" w:type="dxa"/>
            <w:tcBorders>
              <w:top w:val="nil"/>
              <w:left w:val="nil"/>
              <w:bottom w:val="single" w:sz="8" w:space="0" w:color="auto"/>
              <w:right w:val="nil"/>
            </w:tcBorders>
            <w:shd w:val="clear" w:color="auto" w:fill="auto"/>
            <w:vAlign w:val="center"/>
            <w:hideMark/>
          </w:tcPr>
          <w:p w14:paraId="442F3FE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ROA</w:t>
            </w:r>
          </w:p>
        </w:tc>
        <w:tc>
          <w:tcPr>
            <w:tcW w:w="1560" w:type="dxa"/>
            <w:tcBorders>
              <w:top w:val="nil"/>
              <w:left w:val="nil"/>
              <w:bottom w:val="single" w:sz="8" w:space="0" w:color="auto"/>
              <w:right w:val="nil"/>
            </w:tcBorders>
            <w:shd w:val="clear" w:color="auto" w:fill="auto"/>
            <w:vAlign w:val="center"/>
            <w:hideMark/>
          </w:tcPr>
          <w:p w14:paraId="63B381A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ROA</w:t>
            </w:r>
          </w:p>
        </w:tc>
        <w:tc>
          <w:tcPr>
            <w:tcW w:w="1984" w:type="dxa"/>
            <w:tcBorders>
              <w:top w:val="nil"/>
              <w:left w:val="nil"/>
              <w:bottom w:val="single" w:sz="8" w:space="0" w:color="auto"/>
              <w:right w:val="nil"/>
            </w:tcBorders>
            <w:shd w:val="clear" w:color="auto" w:fill="auto"/>
            <w:vAlign w:val="center"/>
            <w:hideMark/>
          </w:tcPr>
          <w:p w14:paraId="7881730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ROA</w:t>
            </w:r>
          </w:p>
        </w:tc>
      </w:tr>
      <w:tr w:rsidR="0092047F" w:rsidRPr="008F05DC" w14:paraId="5CFCE431" w14:textId="77777777" w:rsidTr="0092047F">
        <w:trPr>
          <w:trHeight w:val="284"/>
        </w:trPr>
        <w:tc>
          <w:tcPr>
            <w:tcW w:w="3119" w:type="dxa"/>
            <w:vMerge w:val="restart"/>
            <w:tcBorders>
              <w:top w:val="nil"/>
              <w:left w:val="nil"/>
              <w:bottom w:val="nil"/>
              <w:right w:val="nil"/>
            </w:tcBorders>
            <w:shd w:val="clear" w:color="auto" w:fill="auto"/>
            <w:vAlign w:val="center"/>
            <w:hideMark/>
          </w:tcPr>
          <w:p w14:paraId="7D322A9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L.1</w:t>
            </w:r>
          </w:p>
        </w:tc>
        <w:tc>
          <w:tcPr>
            <w:tcW w:w="1984" w:type="dxa"/>
            <w:tcBorders>
              <w:top w:val="nil"/>
              <w:left w:val="nil"/>
              <w:bottom w:val="nil"/>
              <w:right w:val="nil"/>
            </w:tcBorders>
            <w:shd w:val="clear" w:color="auto" w:fill="auto"/>
            <w:vAlign w:val="center"/>
            <w:hideMark/>
          </w:tcPr>
          <w:p w14:paraId="089A159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0.651***</w:t>
            </w:r>
          </w:p>
        </w:tc>
        <w:tc>
          <w:tcPr>
            <w:tcW w:w="1560" w:type="dxa"/>
            <w:tcBorders>
              <w:top w:val="nil"/>
              <w:left w:val="nil"/>
              <w:bottom w:val="nil"/>
              <w:right w:val="nil"/>
            </w:tcBorders>
            <w:shd w:val="clear" w:color="auto" w:fill="auto"/>
            <w:vAlign w:val="center"/>
            <w:hideMark/>
          </w:tcPr>
          <w:p w14:paraId="1A3B173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0.529***</w:t>
            </w:r>
          </w:p>
        </w:tc>
        <w:tc>
          <w:tcPr>
            <w:tcW w:w="1984" w:type="dxa"/>
            <w:tcBorders>
              <w:top w:val="nil"/>
              <w:left w:val="nil"/>
              <w:bottom w:val="nil"/>
              <w:right w:val="nil"/>
            </w:tcBorders>
            <w:shd w:val="clear" w:color="auto" w:fill="auto"/>
            <w:vAlign w:val="center"/>
            <w:hideMark/>
          </w:tcPr>
          <w:p w14:paraId="67F5D51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0.632***</w:t>
            </w:r>
          </w:p>
        </w:tc>
      </w:tr>
      <w:tr w:rsidR="0092047F" w:rsidRPr="008F05DC" w14:paraId="6FEF4382" w14:textId="77777777" w:rsidTr="0092047F">
        <w:trPr>
          <w:trHeight w:val="284"/>
        </w:trPr>
        <w:tc>
          <w:tcPr>
            <w:tcW w:w="3119" w:type="dxa"/>
            <w:vMerge/>
            <w:tcBorders>
              <w:top w:val="nil"/>
              <w:left w:val="nil"/>
              <w:bottom w:val="nil"/>
              <w:right w:val="nil"/>
            </w:tcBorders>
            <w:vAlign w:val="center"/>
            <w:hideMark/>
          </w:tcPr>
          <w:p w14:paraId="6CCB09E9"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44480EE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(0.016)</w:t>
            </w:r>
          </w:p>
        </w:tc>
        <w:tc>
          <w:tcPr>
            <w:tcW w:w="1560" w:type="dxa"/>
            <w:tcBorders>
              <w:top w:val="nil"/>
              <w:left w:val="nil"/>
              <w:bottom w:val="nil"/>
              <w:right w:val="nil"/>
            </w:tcBorders>
            <w:shd w:val="clear" w:color="auto" w:fill="auto"/>
            <w:vAlign w:val="center"/>
            <w:hideMark/>
          </w:tcPr>
          <w:p w14:paraId="1B6FA27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(0.049)</w:t>
            </w:r>
          </w:p>
        </w:tc>
        <w:tc>
          <w:tcPr>
            <w:tcW w:w="1984" w:type="dxa"/>
            <w:tcBorders>
              <w:top w:val="nil"/>
              <w:left w:val="nil"/>
              <w:bottom w:val="nil"/>
              <w:right w:val="nil"/>
            </w:tcBorders>
            <w:shd w:val="clear" w:color="auto" w:fill="auto"/>
            <w:vAlign w:val="center"/>
            <w:hideMark/>
          </w:tcPr>
          <w:p w14:paraId="24B9333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(0.014)</w:t>
            </w:r>
          </w:p>
        </w:tc>
      </w:tr>
      <w:tr w:rsidR="0092047F" w:rsidRPr="008F05DC" w14:paraId="1CA5A9C8" w14:textId="77777777" w:rsidTr="0092047F">
        <w:trPr>
          <w:trHeight w:val="284"/>
        </w:trPr>
        <w:tc>
          <w:tcPr>
            <w:tcW w:w="3119" w:type="dxa"/>
            <w:vMerge w:val="restart"/>
            <w:tcBorders>
              <w:top w:val="nil"/>
              <w:left w:val="nil"/>
              <w:bottom w:val="nil"/>
              <w:right w:val="nil"/>
            </w:tcBorders>
            <w:shd w:val="clear" w:color="auto" w:fill="auto"/>
            <w:vAlign w:val="center"/>
            <w:hideMark/>
          </w:tcPr>
          <w:p w14:paraId="48FDD3B4"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L.2</w:t>
            </w:r>
          </w:p>
        </w:tc>
        <w:tc>
          <w:tcPr>
            <w:tcW w:w="1984" w:type="dxa"/>
            <w:tcBorders>
              <w:top w:val="nil"/>
              <w:left w:val="nil"/>
              <w:bottom w:val="nil"/>
              <w:right w:val="nil"/>
            </w:tcBorders>
            <w:shd w:val="clear" w:color="auto" w:fill="auto"/>
            <w:vAlign w:val="center"/>
            <w:hideMark/>
          </w:tcPr>
          <w:p w14:paraId="4CAF756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0.997***</w:t>
            </w:r>
          </w:p>
        </w:tc>
        <w:tc>
          <w:tcPr>
            <w:tcW w:w="1560" w:type="dxa"/>
            <w:tcBorders>
              <w:top w:val="nil"/>
              <w:left w:val="nil"/>
              <w:bottom w:val="nil"/>
              <w:right w:val="nil"/>
            </w:tcBorders>
            <w:shd w:val="clear" w:color="auto" w:fill="auto"/>
            <w:vAlign w:val="center"/>
            <w:hideMark/>
          </w:tcPr>
          <w:p w14:paraId="0239036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c>
          <w:tcPr>
            <w:tcW w:w="1984" w:type="dxa"/>
            <w:tcBorders>
              <w:top w:val="nil"/>
              <w:left w:val="nil"/>
              <w:bottom w:val="nil"/>
              <w:right w:val="nil"/>
            </w:tcBorders>
            <w:shd w:val="clear" w:color="auto" w:fill="auto"/>
            <w:vAlign w:val="center"/>
            <w:hideMark/>
          </w:tcPr>
          <w:p w14:paraId="60439B32"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1.059***</w:t>
            </w:r>
          </w:p>
        </w:tc>
      </w:tr>
      <w:tr w:rsidR="0092047F" w:rsidRPr="008F05DC" w14:paraId="36B43EC0" w14:textId="77777777" w:rsidTr="0092047F">
        <w:trPr>
          <w:trHeight w:val="284"/>
        </w:trPr>
        <w:tc>
          <w:tcPr>
            <w:tcW w:w="3119" w:type="dxa"/>
            <w:vMerge/>
            <w:tcBorders>
              <w:top w:val="nil"/>
              <w:left w:val="nil"/>
              <w:bottom w:val="nil"/>
              <w:right w:val="nil"/>
            </w:tcBorders>
            <w:vAlign w:val="center"/>
            <w:hideMark/>
          </w:tcPr>
          <w:p w14:paraId="1A6F1541"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328F2FE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(0.023)</w:t>
            </w:r>
          </w:p>
        </w:tc>
        <w:tc>
          <w:tcPr>
            <w:tcW w:w="1560" w:type="dxa"/>
            <w:tcBorders>
              <w:top w:val="nil"/>
              <w:left w:val="nil"/>
              <w:bottom w:val="nil"/>
              <w:right w:val="nil"/>
            </w:tcBorders>
            <w:shd w:val="clear" w:color="auto" w:fill="auto"/>
            <w:vAlign w:val="center"/>
            <w:hideMark/>
          </w:tcPr>
          <w:p w14:paraId="3A2DDA8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c>
          <w:tcPr>
            <w:tcW w:w="1984" w:type="dxa"/>
            <w:tcBorders>
              <w:top w:val="nil"/>
              <w:left w:val="nil"/>
              <w:bottom w:val="nil"/>
              <w:right w:val="nil"/>
            </w:tcBorders>
            <w:shd w:val="clear" w:color="auto" w:fill="auto"/>
            <w:vAlign w:val="center"/>
            <w:hideMark/>
          </w:tcPr>
          <w:p w14:paraId="0C265C6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(0.024)</w:t>
            </w:r>
          </w:p>
        </w:tc>
      </w:tr>
      <w:tr w:rsidR="0092047F" w:rsidRPr="008F05DC" w14:paraId="64B7B05E" w14:textId="77777777" w:rsidTr="0092047F">
        <w:trPr>
          <w:trHeight w:val="284"/>
        </w:trPr>
        <w:tc>
          <w:tcPr>
            <w:tcW w:w="3119" w:type="dxa"/>
            <w:vMerge w:val="restart"/>
            <w:tcBorders>
              <w:top w:val="nil"/>
              <w:left w:val="nil"/>
              <w:bottom w:val="nil"/>
              <w:right w:val="nil"/>
            </w:tcBorders>
            <w:shd w:val="clear" w:color="auto" w:fill="auto"/>
            <w:vAlign w:val="center"/>
            <w:hideMark/>
          </w:tcPr>
          <w:p w14:paraId="3BD82956"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L.3</w:t>
            </w:r>
          </w:p>
        </w:tc>
        <w:tc>
          <w:tcPr>
            <w:tcW w:w="1984" w:type="dxa"/>
            <w:tcBorders>
              <w:top w:val="nil"/>
              <w:left w:val="nil"/>
              <w:bottom w:val="nil"/>
              <w:right w:val="nil"/>
            </w:tcBorders>
            <w:shd w:val="clear" w:color="auto" w:fill="auto"/>
            <w:vAlign w:val="center"/>
            <w:hideMark/>
          </w:tcPr>
          <w:p w14:paraId="6EB69D0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0.0126</w:t>
            </w:r>
          </w:p>
        </w:tc>
        <w:tc>
          <w:tcPr>
            <w:tcW w:w="1560" w:type="dxa"/>
            <w:tcBorders>
              <w:top w:val="nil"/>
              <w:left w:val="nil"/>
              <w:bottom w:val="nil"/>
              <w:right w:val="nil"/>
            </w:tcBorders>
            <w:shd w:val="clear" w:color="auto" w:fill="auto"/>
            <w:vAlign w:val="center"/>
            <w:hideMark/>
          </w:tcPr>
          <w:p w14:paraId="6EB439F7"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c>
          <w:tcPr>
            <w:tcW w:w="1984" w:type="dxa"/>
            <w:tcBorders>
              <w:top w:val="nil"/>
              <w:left w:val="nil"/>
              <w:bottom w:val="nil"/>
              <w:right w:val="nil"/>
            </w:tcBorders>
            <w:shd w:val="clear" w:color="auto" w:fill="auto"/>
            <w:vAlign w:val="center"/>
            <w:hideMark/>
          </w:tcPr>
          <w:p w14:paraId="132099C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r>
      <w:tr w:rsidR="0092047F" w:rsidRPr="008F05DC" w14:paraId="5D6993FF" w14:textId="77777777" w:rsidTr="0092047F">
        <w:trPr>
          <w:trHeight w:val="284"/>
        </w:trPr>
        <w:tc>
          <w:tcPr>
            <w:tcW w:w="3119" w:type="dxa"/>
            <w:vMerge/>
            <w:tcBorders>
              <w:top w:val="nil"/>
              <w:left w:val="nil"/>
              <w:bottom w:val="nil"/>
              <w:right w:val="nil"/>
            </w:tcBorders>
            <w:vAlign w:val="center"/>
            <w:hideMark/>
          </w:tcPr>
          <w:p w14:paraId="75F600E1"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798CA5C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(0.020)</w:t>
            </w:r>
          </w:p>
        </w:tc>
        <w:tc>
          <w:tcPr>
            <w:tcW w:w="1560" w:type="dxa"/>
            <w:tcBorders>
              <w:top w:val="nil"/>
              <w:left w:val="nil"/>
              <w:bottom w:val="nil"/>
              <w:right w:val="nil"/>
            </w:tcBorders>
            <w:shd w:val="clear" w:color="auto" w:fill="auto"/>
            <w:vAlign w:val="center"/>
            <w:hideMark/>
          </w:tcPr>
          <w:p w14:paraId="23C1C99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c>
          <w:tcPr>
            <w:tcW w:w="1984" w:type="dxa"/>
            <w:tcBorders>
              <w:top w:val="nil"/>
              <w:left w:val="nil"/>
              <w:bottom w:val="nil"/>
              <w:right w:val="nil"/>
            </w:tcBorders>
            <w:shd w:val="clear" w:color="auto" w:fill="auto"/>
            <w:vAlign w:val="center"/>
            <w:hideMark/>
          </w:tcPr>
          <w:p w14:paraId="5C5FAC80"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w:t>
            </w:r>
          </w:p>
        </w:tc>
      </w:tr>
      <w:tr w:rsidR="0092047F" w:rsidRPr="008F05DC" w14:paraId="7AD9FCFE" w14:textId="77777777" w:rsidTr="0092047F">
        <w:trPr>
          <w:trHeight w:val="284"/>
        </w:trPr>
        <w:tc>
          <w:tcPr>
            <w:tcW w:w="3119" w:type="dxa"/>
            <w:vMerge w:val="restart"/>
            <w:tcBorders>
              <w:top w:val="nil"/>
              <w:left w:val="nil"/>
              <w:bottom w:val="nil"/>
              <w:right w:val="nil"/>
            </w:tcBorders>
            <w:shd w:val="clear" w:color="auto" w:fill="auto"/>
            <w:vAlign w:val="center"/>
            <w:hideMark/>
          </w:tcPr>
          <w:p w14:paraId="365F9440"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NCI</w:t>
            </w:r>
          </w:p>
        </w:tc>
        <w:tc>
          <w:tcPr>
            <w:tcW w:w="1984" w:type="dxa"/>
            <w:tcBorders>
              <w:top w:val="nil"/>
              <w:left w:val="nil"/>
              <w:bottom w:val="nil"/>
              <w:right w:val="nil"/>
            </w:tcBorders>
            <w:shd w:val="clear" w:color="auto" w:fill="auto"/>
            <w:vAlign w:val="center"/>
            <w:hideMark/>
          </w:tcPr>
          <w:p w14:paraId="0BC7235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-0.954***</w:t>
            </w:r>
          </w:p>
        </w:tc>
        <w:tc>
          <w:tcPr>
            <w:tcW w:w="1560" w:type="dxa"/>
            <w:tcBorders>
              <w:top w:val="nil"/>
              <w:left w:val="nil"/>
              <w:bottom w:val="nil"/>
              <w:right w:val="nil"/>
            </w:tcBorders>
            <w:shd w:val="clear" w:color="auto" w:fill="auto"/>
            <w:vAlign w:val="center"/>
            <w:hideMark/>
          </w:tcPr>
          <w:p w14:paraId="71A343A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-0.413***</w:t>
            </w:r>
          </w:p>
        </w:tc>
        <w:tc>
          <w:tcPr>
            <w:tcW w:w="1984" w:type="dxa"/>
            <w:tcBorders>
              <w:top w:val="nil"/>
              <w:left w:val="nil"/>
              <w:bottom w:val="nil"/>
              <w:right w:val="nil"/>
            </w:tcBorders>
            <w:shd w:val="clear" w:color="auto" w:fill="auto"/>
            <w:vAlign w:val="center"/>
            <w:hideMark/>
          </w:tcPr>
          <w:p w14:paraId="1F682ED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-0.826***</w:t>
            </w:r>
          </w:p>
        </w:tc>
      </w:tr>
      <w:tr w:rsidR="0092047F" w:rsidRPr="008F05DC" w14:paraId="21BB31F4" w14:textId="77777777" w:rsidTr="0092047F">
        <w:trPr>
          <w:trHeight w:val="284"/>
        </w:trPr>
        <w:tc>
          <w:tcPr>
            <w:tcW w:w="3119" w:type="dxa"/>
            <w:vMerge/>
            <w:tcBorders>
              <w:top w:val="nil"/>
              <w:left w:val="nil"/>
              <w:bottom w:val="nil"/>
              <w:right w:val="nil"/>
            </w:tcBorders>
            <w:vAlign w:val="center"/>
            <w:hideMark/>
          </w:tcPr>
          <w:p w14:paraId="17CB8507"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75BB0E9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(0.077)</w:t>
            </w:r>
          </w:p>
        </w:tc>
        <w:tc>
          <w:tcPr>
            <w:tcW w:w="1560" w:type="dxa"/>
            <w:tcBorders>
              <w:top w:val="nil"/>
              <w:left w:val="nil"/>
              <w:bottom w:val="nil"/>
              <w:right w:val="nil"/>
            </w:tcBorders>
            <w:shd w:val="clear" w:color="auto" w:fill="auto"/>
            <w:vAlign w:val="center"/>
            <w:hideMark/>
          </w:tcPr>
          <w:p w14:paraId="242CC2A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(0.124)</w:t>
            </w:r>
          </w:p>
        </w:tc>
        <w:tc>
          <w:tcPr>
            <w:tcW w:w="1984" w:type="dxa"/>
            <w:tcBorders>
              <w:top w:val="nil"/>
              <w:left w:val="nil"/>
              <w:bottom w:val="nil"/>
              <w:right w:val="nil"/>
            </w:tcBorders>
            <w:shd w:val="clear" w:color="auto" w:fill="auto"/>
            <w:vAlign w:val="center"/>
            <w:hideMark/>
          </w:tcPr>
          <w:p w14:paraId="64335E72"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(0.056)</w:t>
            </w:r>
          </w:p>
        </w:tc>
      </w:tr>
      <w:tr w:rsidR="0092047F" w:rsidRPr="008F05DC" w14:paraId="3F567759" w14:textId="77777777" w:rsidTr="0092047F">
        <w:trPr>
          <w:trHeight w:val="284"/>
        </w:trPr>
        <w:tc>
          <w:tcPr>
            <w:tcW w:w="3119" w:type="dxa"/>
            <w:tcBorders>
              <w:top w:val="nil"/>
              <w:left w:val="nil"/>
              <w:bottom w:val="nil"/>
              <w:right w:val="nil"/>
            </w:tcBorders>
            <w:shd w:val="clear" w:color="auto" w:fill="auto"/>
            <w:vAlign w:val="center"/>
            <w:hideMark/>
          </w:tcPr>
          <w:p w14:paraId="25781EC1"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Monitoring variables</w:t>
            </w:r>
          </w:p>
        </w:tc>
        <w:tc>
          <w:tcPr>
            <w:tcW w:w="1984" w:type="dxa"/>
            <w:tcBorders>
              <w:top w:val="nil"/>
              <w:left w:val="nil"/>
              <w:bottom w:val="nil"/>
              <w:right w:val="nil"/>
            </w:tcBorders>
            <w:shd w:val="clear" w:color="auto" w:fill="auto"/>
            <w:vAlign w:val="center"/>
            <w:hideMark/>
          </w:tcPr>
          <w:p w14:paraId="0C40A609"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560" w:type="dxa"/>
            <w:tcBorders>
              <w:top w:val="nil"/>
              <w:left w:val="nil"/>
              <w:bottom w:val="nil"/>
              <w:right w:val="nil"/>
            </w:tcBorders>
            <w:shd w:val="clear" w:color="auto" w:fill="auto"/>
            <w:vAlign w:val="center"/>
            <w:hideMark/>
          </w:tcPr>
          <w:p w14:paraId="272E6B88" w14:textId="77777777" w:rsidR="0092047F" w:rsidRPr="008F05DC" w:rsidRDefault="0092047F" w:rsidP="0092047F">
            <w:pPr>
              <w:spacing w:after="0" w:line="240" w:lineRule="auto"/>
              <w:ind w:firstLine="0"/>
              <w:jc w:val="center"/>
              <w:rPr>
                <w:rFonts w:eastAsia="Times New Roman" w:cs="Times New Roman"/>
                <w:sz w:val="20"/>
                <w:szCs w:val="20"/>
                <w:lang w:eastAsia="en-GB"/>
              </w:rPr>
            </w:pPr>
          </w:p>
        </w:tc>
        <w:tc>
          <w:tcPr>
            <w:tcW w:w="1984" w:type="dxa"/>
            <w:tcBorders>
              <w:top w:val="nil"/>
              <w:left w:val="nil"/>
              <w:bottom w:val="nil"/>
              <w:right w:val="nil"/>
            </w:tcBorders>
            <w:shd w:val="clear" w:color="auto" w:fill="auto"/>
            <w:vAlign w:val="center"/>
            <w:hideMark/>
          </w:tcPr>
          <w:p w14:paraId="3AE00617" w14:textId="77777777" w:rsidR="0092047F" w:rsidRPr="008F05DC" w:rsidRDefault="0092047F" w:rsidP="0092047F">
            <w:pPr>
              <w:spacing w:after="0" w:line="240" w:lineRule="auto"/>
              <w:ind w:firstLine="0"/>
              <w:jc w:val="center"/>
              <w:rPr>
                <w:rFonts w:eastAsia="Times New Roman" w:cs="Times New Roman"/>
                <w:sz w:val="20"/>
                <w:szCs w:val="20"/>
                <w:lang w:eastAsia="en-GB"/>
              </w:rPr>
            </w:pPr>
          </w:p>
        </w:tc>
      </w:tr>
      <w:tr w:rsidR="0092047F" w:rsidRPr="008F05DC" w14:paraId="713C48BD" w14:textId="77777777" w:rsidTr="0092047F">
        <w:trPr>
          <w:trHeight w:val="284"/>
        </w:trPr>
        <w:tc>
          <w:tcPr>
            <w:tcW w:w="3119" w:type="dxa"/>
            <w:vMerge w:val="restart"/>
            <w:tcBorders>
              <w:top w:val="nil"/>
              <w:left w:val="nil"/>
              <w:bottom w:val="nil"/>
              <w:right w:val="nil"/>
            </w:tcBorders>
            <w:shd w:val="clear" w:color="auto" w:fill="auto"/>
            <w:vAlign w:val="center"/>
            <w:hideMark/>
          </w:tcPr>
          <w:p w14:paraId="732D66B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Board Independence</w:t>
            </w:r>
          </w:p>
        </w:tc>
        <w:tc>
          <w:tcPr>
            <w:tcW w:w="1984" w:type="dxa"/>
            <w:tcBorders>
              <w:top w:val="nil"/>
              <w:left w:val="nil"/>
              <w:bottom w:val="nil"/>
              <w:right w:val="nil"/>
            </w:tcBorders>
            <w:shd w:val="clear" w:color="auto" w:fill="auto"/>
            <w:vAlign w:val="center"/>
            <w:hideMark/>
          </w:tcPr>
          <w:p w14:paraId="2FCBB04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-8.312***</w:t>
            </w:r>
          </w:p>
        </w:tc>
        <w:tc>
          <w:tcPr>
            <w:tcW w:w="1560" w:type="dxa"/>
            <w:tcBorders>
              <w:top w:val="nil"/>
              <w:left w:val="nil"/>
              <w:bottom w:val="nil"/>
              <w:right w:val="nil"/>
            </w:tcBorders>
            <w:shd w:val="clear" w:color="auto" w:fill="auto"/>
            <w:vAlign w:val="center"/>
            <w:hideMark/>
          </w:tcPr>
          <w:p w14:paraId="3436C6F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-0.237</w:t>
            </w:r>
          </w:p>
        </w:tc>
        <w:tc>
          <w:tcPr>
            <w:tcW w:w="1984" w:type="dxa"/>
            <w:tcBorders>
              <w:top w:val="nil"/>
              <w:left w:val="nil"/>
              <w:bottom w:val="nil"/>
              <w:right w:val="nil"/>
            </w:tcBorders>
            <w:shd w:val="clear" w:color="auto" w:fill="auto"/>
            <w:vAlign w:val="center"/>
            <w:hideMark/>
          </w:tcPr>
          <w:p w14:paraId="347B175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-7.947***</w:t>
            </w:r>
          </w:p>
        </w:tc>
      </w:tr>
      <w:tr w:rsidR="0092047F" w:rsidRPr="008F05DC" w14:paraId="3239561C" w14:textId="77777777" w:rsidTr="0092047F">
        <w:trPr>
          <w:trHeight w:val="284"/>
        </w:trPr>
        <w:tc>
          <w:tcPr>
            <w:tcW w:w="3119" w:type="dxa"/>
            <w:vMerge/>
            <w:tcBorders>
              <w:top w:val="nil"/>
              <w:left w:val="nil"/>
              <w:bottom w:val="nil"/>
              <w:right w:val="nil"/>
            </w:tcBorders>
            <w:vAlign w:val="center"/>
            <w:hideMark/>
          </w:tcPr>
          <w:p w14:paraId="30BF6177"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390ACDC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(0.607)</w:t>
            </w:r>
          </w:p>
        </w:tc>
        <w:tc>
          <w:tcPr>
            <w:tcW w:w="1560" w:type="dxa"/>
            <w:tcBorders>
              <w:top w:val="nil"/>
              <w:left w:val="nil"/>
              <w:bottom w:val="nil"/>
              <w:right w:val="nil"/>
            </w:tcBorders>
            <w:shd w:val="clear" w:color="auto" w:fill="auto"/>
            <w:vAlign w:val="center"/>
            <w:hideMark/>
          </w:tcPr>
          <w:p w14:paraId="6E85F47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(0.429)</w:t>
            </w:r>
          </w:p>
        </w:tc>
        <w:tc>
          <w:tcPr>
            <w:tcW w:w="1984" w:type="dxa"/>
            <w:tcBorders>
              <w:top w:val="nil"/>
              <w:left w:val="nil"/>
              <w:bottom w:val="nil"/>
              <w:right w:val="nil"/>
            </w:tcBorders>
            <w:shd w:val="clear" w:color="auto" w:fill="auto"/>
            <w:vAlign w:val="center"/>
            <w:hideMark/>
          </w:tcPr>
          <w:p w14:paraId="2400152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(0.489)</w:t>
            </w:r>
          </w:p>
        </w:tc>
      </w:tr>
      <w:tr w:rsidR="0092047F" w:rsidRPr="008F05DC" w14:paraId="1B260855" w14:textId="77777777" w:rsidTr="0092047F">
        <w:trPr>
          <w:trHeight w:val="284"/>
        </w:trPr>
        <w:tc>
          <w:tcPr>
            <w:tcW w:w="3119" w:type="dxa"/>
            <w:vMerge w:val="restart"/>
            <w:tcBorders>
              <w:top w:val="nil"/>
              <w:left w:val="nil"/>
              <w:bottom w:val="nil"/>
              <w:right w:val="nil"/>
            </w:tcBorders>
            <w:shd w:val="clear" w:color="auto" w:fill="auto"/>
            <w:vAlign w:val="center"/>
            <w:hideMark/>
          </w:tcPr>
          <w:p w14:paraId="5CA94630"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Extra Committees</w:t>
            </w:r>
          </w:p>
        </w:tc>
        <w:tc>
          <w:tcPr>
            <w:tcW w:w="1984" w:type="dxa"/>
            <w:tcBorders>
              <w:top w:val="nil"/>
              <w:left w:val="nil"/>
              <w:bottom w:val="nil"/>
              <w:right w:val="nil"/>
            </w:tcBorders>
            <w:shd w:val="clear" w:color="auto" w:fill="auto"/>
            <w:vAlign w:val="center"/>
            <w:hideMark/>
          </w:tcPr>
          <w:p w14:paraId="64F68D5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-0.395</w:t>
            </w:r>
          </w:p>
        </w:tc>
        <w:tc>
          <w:tcPr>
            <w:tcW w:w="1560" w:type="dxa"/>
            <w:tcBorders>
              <w:top w:val="nil"/>
              <w:left w:val="nil"/>
              <w:bottom w:val="nil"/>
              <w:right w:val="nil"/>
            </w:tcBorders>
            <w:shd w:val="clear" w:color="auto" w:fill="auto"/>
            <w:vAlign w:val="center"/>
            <w:hideMark/>
          </w:tcPr>
          <w:p w14:paraId="6199C7C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-0.423</w:t>
            </w:r>
          </w:p>
        </w:tc>
        <w:tc>
          <w:tcPr>
            <w:tcW w:w="1984" w:type="dxa"/>
            <w:tcBorders>
              <w:top w:val="nil"/>
              <w:left w:val="nil"/>
              <w:bottom w:val="nil"/>
              <w:right w:val="nil"/>
            </w:tcBorders>
            <w:shd w:val="clear" w:color="auto" w:fill="auto"/>
            <w:vAlign w:val="center"/>
            <w:hideMark/>
          </w:tcPr>
          <w:p w14:paraId="63930B5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-0.505</w:t>
            </w:r>
          </w:p>
        </w:tc>
      </w:tr>
      <w:tr w:rsidR="0092047F" w:rsidRPr="008F05DC" w14:paraId="275083E6" w14:textId="77777777" w:rsidTr="0092047F">
        <w:trPr>
          <w:trHeight w:val="284"/>
        </w:trPr>
        <w:tc>
          <w:tcPr>
            <w:tcW w:w="3119" w:type="dxa"/>
            <w:vMerge/>
            <w:tcBorders>
              <w:top w:val="nil"/>
              <w:left w:val="nil"/>
              <w:bottom w:val="nil"/>
              <w:right w:val="nil"/>
            </w:tcBorders>
            <w:vAlign w:val="center"/>
            <w:hideMark/>
          </w:tcPr>
          <w:p w14:paraId="1D1A598E"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16EA6AA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(0.287)</w:t>
            </w:r>
          </w:p>
        </w:tc>
        <w:tc>
          <w:tcPr>
            <w:tcW w:w="1560" w:type="dxa"/>
            <w:tcBorders>
              <w:top w:val="nil"/>
              <w:left w:val="nil"/>
              <w:bottom w:val="nil"/>
              <w:right w:val="nil"/>
            </w:tcBorders>
            <w:shd w:val="clear" w:color="auto" w:fill="auto"/>
            <w:vAlign w:val="center"/>
            <w:hideMark/>
          </w:tcPr>
          <w:p w14:paraId="3A0AB99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(0.311)</w:t>
            </w:r>
          </w:p>
        </w:tc>
        <w:tc>
          <w:tcPr>
            <w:tcW w:w="1984" w:type="dxa"/>
            <w:tcBorders>
              <w:top w:val="nil"/>
              <w:left w:val="nil"/>
              <w:bottom w:val="nil"/>
              <w:right w:val="nil"/>
            </w:tcBorders>
            <w:shd w:val="clear" w:color="auto" w:fill="auto"/>
            <w:vAlign w:val="center"/>
            <w:hideMark/>
          </w:tcPr>
          <w:p w14:paraId="487E109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(0.313)</w:t>
            </w:r>
          </w:p>
        </w:tc>
      </w:tr>
      <w:tr w:rsidR="0092047F" w:rsidRPr="008F05DC" w14:paraId="195748B8" w14:textId="77777777" w:rsidTr="0092047F">
        <w:trPr>
          <w:trHeight w:val="284"/>
        </w:trPr>
        <w:tc>
          <w:tcPr>
            <w:tcW w:w="3119" w:type="dxa"/>
            <w:vMerge w:val="restart"/>
            <w:tcBorders>
              <w:top w:val="nil"/>
              <w:left w:val="nil"/>
              <w:bottom w:val="nil"/>
              <w:right w:val="nil"/>
            </w:tcBorders>
            <w:shd w:val="clear" w:color="auto" w:fill="auto"/>
            <w:vAlign w:val="center"/>
            <w:hideMark/>
          </w:tcPr>
          <w:p w14:paraId="56E0C3C1"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Internal Controls</w:t>
            </w:r>
          </w:p>
        </w:tc>
        <w:tc>
          <w:tcPr>
            <w:tcW w:w="1984" w:type="dxa"/>
            <w:tcBorders>
              <w:top w:val="nil"/>
              <w:left w:val="nil"/>
              <w:bottom w:val="nil"/>
              <w:right w:val="nil"/>
            </w:tcBorders>
            <w:shd w:val="clear" w:color="auto" w:fill="auto"/>
            <w:vAlign w:val="center"/>
            <w:hideMark/>
          </w:tcPr>
          <w:p w14:paraId="07C29B9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1.182***</w:t>
            </w:r>
          </w:p>
        </w:tc>
        <w:tc>
          <w:tcPr>
            <w:tcW w:w="1560" w:type="dxa"/>
            <w:tcBorders>
              <w:top w:val="nil"/>
              <w:left w:val="nil"/>
              <w:bottom w:val="nil"/>
              <w:right w:val="nil"/>
            </w:tcBorders>
            <w:shd w:val="clear" w:color="auto" w:fill="auto"/>
            <w:vAlign w:val="center"/>
            <w:hideMark/>
          </w:tcPr>
          <w:p w14:paraId="4FD850A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0.300**</w:t>
            </w:r>
          </w:p>
        </w:tc>
        <w:tc>
          <w:tcPr>
            <w:tcW w:w="1984" w:type="dxa"/>
            <w:tcBorders>
              <w:top w:val="nil"/>
              <w:left w:val="nil"/>
              <w:bottom w:val="nil"/>
              <w:right w:val="nil"/>
            </w:tcBorders>
            <w:shd w:val="clear" w:color="auto" w:fill="auto"/>
            <w:vAlign w:val="center"/>
            <w:hideMark/>
          </w:tcPr>
          <w:p w14:paraId="389A7A6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1.343***</w:t>
            </w:r>
          </w:p>
        </w:tc>
      </w:tr>
      <w:tr w:rsidR="0092047F" w:rsidRPr="008F05DC" w14:paraId="6A294884" w14:textId="77777777" w:rsidTr="0092047F">
        <w:trPr>
          <w:trHeight w:val="284"/>
        </w:trPr>
        <w:tc>
          <w:tcPr>
            <w:tcW w:w="3119" w:type="dxa"/>
            <w:vMerge/>
            <w:tcBorders>
              <w:top w:val="nil"/>
              <w:left w:val="nil"/>
              <w:bottom w:val="nil"/>
              <w:right w:val="nil"/>
            </w:tcBorders>
            <w:vAlign w:val="center"/>
            <w:hideMark/>
          </w:tcPr>
          <w:p w14:paraId="448D7942"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0271BE9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(0.102)</w:t>
            </w:r>
          </w:p>
        </w:tc>
        <w:tc>
          <w:tcPr>
            <w:tcW w:w="1560" w:type="dxa"/>
            <w:tcBorders>
              <w:top w:val="nil"/>
              <w:left w:val="nil"/>
              <w:bottom w:val="nil"/>
              <w:right w:val="nil"/>
            </w:tcBorders>
            <w:shd w:val="clear" w:color="auto" w:fill="auto"/>
            <w:vAlign w:val="center"/>
            <w:hideMark/>
          </w:tcPr>
          <w:p w14:paraId="60A9194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(0.125)</w:t>
            </w:r>
          </w:p>
        </w:tc>
        <w:tc>
          <w:tcPr>
            <w:tcW w:w="1984" w:type="dxa"/>
            <w:tcBorders>
              <w:top w:val="nil"/>
              <w:left w:val="nil"/>
              <w:bottom w:val="nil"/>
              <w:right w:val="nil"/>
            </w:tcBorders>
            <w:shd w:val="clear" w:color="auto" w:fill="auto"/>
            <w:vAlign w:val="center"/>
            <w:hideMark/>
          </w:tcPr>
          <w:p w14:paraId="523C30C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(0.116)</w:t>
            </w:r>
          </w:p>
        </w:tc>
      </w:tr>
      <w:tr w:rsidR="0092047F" w:rsidRPr="008F05DC" w14:paraId="23B0BC67" w14:textId="77777777" w:rsidTr="0092047F">
        <w:trPr>
          <w:trHeight w:val="284"/>
        </w:trPr>
        <w:tc>
          <w:tcPr>
            <w:tcW w:w="3119" w:type="dxa"/>
            <w:tcBorders>
              <w:top w:val="nil"/>
              <w:left w:val="nil"/>
              <w:bottom w:val="nil"/>
              <w:right w:val="nil"/>
            </w:tcBorders>
            <w:shd w:val="clear" w:color="auto" w:fill="auto"/>
            <w:vAlign w:val="center"/>
            <w:hideMark/>
          </w:tcPr>
          <w:p w14:paraId="4CCFEF8E"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Incentives variables</w:t>
            </w:r>
          </w:p>
        </w:tc>
        <w:tc>
          <w:tcPr>
            <w:tcW w:w="1984" w:type="dxa"/>
            <w:tcBorders>
              <w:top w:val="nil"/>
              <w:left w:val="nil"/>
              <w:bottom w:val="nil"/>
              <w:right w:val="nil"/>
            </w:tcBorders>
            <w:shd w:val="clear" w:color="auto" w:fill="auto"/>
            <w:vAlign w:val="center"/>
            <w:hideMark/>
          </w:tcPr>
          <w:p w14:paraId="6026013C"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560" w:type="dxa"/>
            <w:tcBorders>
              <w:top w:val="nil"/>
              <w:left w:val="nil"/>
              <w:bottom w:val="nil"/>
              <w:right w:val="nil"/>
            </w:tcBorders>
            <w:shd w:val="clear" w:color="auto" w:fill="auto"/>
            <w:vAlign w:val="center"/>
            <w:hideMark/>
          </w:tcPr>
          <w:p w14:paraId="2D0A5528" w14:textId="77777777" w:rsidR="0092047F" w:rsidRPr="008F05DC" w:rsidRDefault="0092047F" w:rsidP="0092047F">
            <w:pPr>
              <w:spacing w:after="0" w:line="240" w:lineRule="auto"/>
              <w:ind w:firstLine="0"/>
              <w:jc w:val="center"/>
              <w:rPr>
                <w:rFonts w:eastAsia="Times New Roman" w:cs="Times New Roman"/>
                <w:sz w:val="20"/>
                <w:szCs w:val="20"/>
                <w:lang w:eastAsia="en-GB"/>
              </w:rPr>
            </w:pPr>
          </w:p>
        </w:tc>
        <w:tc>
          <w:tcPr>
            <w:tcW w:w="1984" w:type="dxa"/>
            <w:tcBorders>
              <w:top w:val="nil"/>
              <w:left w:val="nil"/>
              <w:bottom w:val="nil"/>
              <w:right w:val="nil"/>
            </w:tcBorders>
            <w:shd w:val="clear" w:color="auto" w:fill="auto"/>
            <w:vAlign w:val="center"/>
            <w:hideMark/>
          </w:tcPr>
          <w:p w14:paraId="0071AAC3" w14:textId="77777777" w:rsidR="0092047F" w:rsidRPr="008F05DC" w:rsidRDefault="0092047F" w:rsidP="0092047F">
            <w:pPr>
              <w:spacing w:after="0" w:line="240" w:lineRule="auto"/>
              <w:ind w:firstLine="0"/>
              <w:jc w:val="center"/>
              <w:rPr>
                <w:rFonts w:eastAsia="Times New Roman" w:cs="Times New Roman"/>
                <w:sz w:val="20"/>
                <w:szCs w:val="20"/>
                <w:lang w:eastAsia="en-GB"/>
              </w:rPr>
            </w:pPr>
          </w:p>
        </w:tc>
      </w:tr>
      <w:tr w:rsidR="0092047F" w:rsidRPr="008F05DC" w14:paraId="507D408C" w14:textId="77777777" w:rsidTr="0092047F">
        <w:trPr>
          <w:trHeight w:val="284"/>
        </w:trPr>
        <w:tc>
          <w:tcPr>
            <w:tcW w:w="3119" w:type="dxa"/>
            <w:vMerge w:val="restart"/>
            <w:tcBorders>
              <w:top w:val="nil"/>
              <w:left w:val="nil"/>
              <w:bottom w:val="nil"/>
              <w:right w:val="nil"/>
            </w:tcBorders>
            <w:shd w:val="clear" w:color="auto" w:fill="auto"/>
            <w:vAlign w:val="center"/>
            <w:hideMark/>
          </w:tcPr>
          <w:p w14:paraId="4E3892C9"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Directors’ share ownership</w:t>
            </w:r>
          </w:p>
        </w:tc>
        <w:tc>
          <w:tcPr>
            <w:tcW w:w="1984" w:type="dxa"/>
            <w:tcBorders>
              <w:top w:val="nil"/>
              <w:left w:val="nil"/>
              <w:bottom w:val="nil"/>
              <w:right w:val="nil"/>
            </w:tcBorders>
            <w:shd w:val="clear" w:color="auto" w:fill="auto"/>
            <w:vAlign w:val="center"/>
            <w:hideMark/>
          </w:tcPr>
          <w:p w14:paraId="6B64066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0.0199</w:t>
            </w:r>
          </w:p>
        </w:tc>
        <w:tc>
          <w:tcPr>
            <w:tcW w:w="1560" w:type="dxa"/>
            <w:tcBorders>
              <w:top w:val="nil"/>
              <w:left w:val="nil"/>
              <w:bottom w:val="nil"/>
              <w:right w:val="nil"/>
            </w:tcBorders>
            <w:shd w:val="clear" w:color="auto" w:fill="auto"/>
            <w:vAlign w:val="center"/>
            <w:hideMark/>
          </w:tcPr>
          <w:p w14:paraId="77570D7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0.142**</w:t>
            </w:r>
          </w:p>
        </w:tc>
        <w:tc>
          <w:tcPr>
            <w:tcW w:w="1984" w:type="dxa"/>
            <w:tcBorders>
              <w:top w:val="nil"/>
              <w:left w:val="nil"/>
              <w:bottom w:val="nil"/>
              <w:right w:val="nil"/>
            </w:tcBorders>
            <w:shd w:val="clear" w:color="auto" w:fill="auto"/>
            <w:vAlign w:val="center"/>
            <w:hideMark/>
          </w:tcPr>
          <w:p w14:paraId="61AD4D5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0.0122</w:t>
            </w:r>
          </w:p>
        </w:tc>
      </w:tr>
      <w:tr w:rsidR="0092047F" w:rsidRPr="008F05DC" w14:paraId="1E475771" w14:textId="77777777" w:rsidTr="0092047F">
        <w:trPr>
          <w:trHeight w:val="284"/>
        </w:trPr>
        <w:tc>
          <w:tcPr>
            <w:tcW w:w="3119" w:type="dxa"/>
            <w:vMerge/>
            <w:tcBorders>
              <w:top w:val="nil"/>
              <w:left w:val="nil"/>
              <w:bottom w:val="nil"/>
              <w:right w:val="nil"/>
            </w:tcBorders>
            <w:vAlign w:val="center"/>
            <w:hideMark/>
          </w:tcPr>
          <w:p w14:paraId="7022264E"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69246A4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(0.015)</w:t>
            </w:r>
          </w:p>
        </w:tc>
        <w:tc>
          <w:tcPr>
            <w:tcW w:w="1560" w:type="dxa"/>
            <w:tcBorders>
              <w:top w:val="nil"/>
              <w:left w:val="nil"/>
              <w:bottom w:val="nil"/>
              <w:right w:val="nil"/>
            </w:tcBorders>
            <w:shd w:val="clear" w:color="auto" w:fill="auto"/>
            <w:vAlign w:val="center"/>
            <w:hideMark/>
          </w:tcPr>
          <w:p w14:paraId="350F28C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(0.056)</w:t>
            </w:r>
          </w:p>
        </w:tc>
        <w:tc>
          <w:tcPr>
            <w:tcW w:w="1984" w:type="dxa"/>
            <w:tcBorders>
              <w:top w:val="nil"/>
              <w:left w:val="nil"/>
              <w:bottom w:val="nil"/>
              <w:right w:val="nil"/>
            </w:tcBorders>
            <w:shd w:val="clear" w:color="auto" w:fill="auto"/>
            <w:vAlign w:val="center"/>
            <w:hideMark/>
          </w:tcPr>
          <w:p w14:paraId="219CFA9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(0.011)</w:t>
            </w:r>
          </w:p>
        </w:tc>
      </w:tr>
      <w:tr w:rsidR="0092047F" w:rsidRPr="008F05DC" w14:paraId="25D218BA" w14:textId="77777777" w:rsidTr="0092047F">
        <w:trPr>
          <w:trHeight w:val="284"/>
        </w:trPr>
        <w:tc>
          <w:tcPr>
            <w:tcW w:w="3119" w:type="dxa"/>
            <w:vMerge w:val="restart"/>
            <w:tcBorders>
              <w:top w:val="nil"/>
              <w:left w:val="nil"/>
              <w:bottom w:val="nil"/>
              <w:right w:val="nil"/>
            </w:tcBorders>
            <w:shd w:val="clear" w:color="auto" w:fill="auto"/>
            <w:vAlign w:val="center"/>
            <w:hideMark/>
          </w:tcPr>
          <w:p w14:paraId="31F24DF0"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Remuneration</w:t>
            </w:r>
          </w:p>
        </w:tc>
        <w:tc>
          <w:tcPr>
            <w:tcW w:w="1984" w:type="dxa"/>
            <w:tcBorders>
              <w:top w:val="nil"/>
              <w:left w:val="nil"/>
              <w:bottom w:val="nil"/>
              <w:right w:val="nil"/>
            </w:tcBorders>
            <w:shd w:val="clear" w:color="auto" w:fill="auto"/>
            <w:vAlign w:val="center"/>
            <w:hideMark/>
          </w:tcPr>
          <w:p w14:paraId="37A4B96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-0.168***</w:t>
            </w:r>
          </w:p>
        </w:tc>
        <w:tc>
          <w:tcPr>
            <w:tcW w:w="1560" w:type="dxa"/>
            <w:tcBorders>
              <w:top w:val="nil"/>
              <w:left w:val="nil"/>
              <w:bottom w:val="nil"/>
              <w:right w:val="nil"/>
            </w:tcBorders>
            <w:shd w:val="clear" w:color="auto" w:fill="auto"/>
            <w:vAlign w:val="center"/>
            <w:hideMark/>
          </w:tcPr>
          <w:p w14:paraId="45691CE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-0.164**</w:t>
            </w:r>
          </w:p>
        </w:tc>
        <w:tc>
          <w:tcPr>
            <w:tcW w:w="1984" w:type="dxa"/>
            <w:tcBorders>
              <w:top w:val="nil"/>
              <w:left w:val="nil"/>
              <w:bottom w:val="nil"/>
              <w:right w:val="nil"/>
            </w:tcBorders>
            <w:shd w:val="clear" w:color="auto" w:fill="auto"/>
            <w:vAlign w:val="center"/>
            <w:hideMark/>
          </w:tcPr>
          <w:p w14:paraId="6C8783A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-0.166***</w:t>
            </w:r>
          </w:p>
        </w:tc>
      </w:tr>
      <w:tr w:rsidR="0092047F" w:rsidRPr="008F05DC" w14:paraId="79452272" w14:textId="77777777" w:rsidTr="0092047F">
        <w:trPr>
          <w:trHeight w:val="284"/>
        </w:trPr>
        <w:tc>
          <w:tcPr>
            <w:tcW w:w="3119" w:type="dxa"/>
            <w:vMerge/>
            <w:tcBorders>
              <w:top w:val="nil"/>
              <w:left w:val="nil"/>
              <w:bottom w:val="nil"/>
              <w:right w:val="nil"/>
            </w:tcBorders>
            <w:vAlign w:val="center"/>
            <w:hideMark/>
          </w:tcPr>
          <w:p w14:paraId="080B4BA6"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3461DBF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(0.022)</w:t>
            </w:r>
          </w:p>
        </w:tc>
        <w:tc>
          <w:tcPr>
            <w:tcW w:w="1560" w:type="dxa"/>
            <w:tcBorders>
              <w:top w:val="nil"/>
              <w:left w:val="nil"/>
              <w:bottom w:val="nil"/>
              <w:right w:val="nil"/>
            </w:tcBorders>
            <w:shd w:val="clear" w:color="auto" w:fill="auto"/>
            <w:vAlign w:val="center"/>
            <w:hideMark/>
          </w:tcPr>
          <w:p w14:paraId="2941A46C"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(0.065)</w:t>
            </w:r>
          </w:p>
        </w:tc>
        <w:tc>
          <w:tcPr>
            <w:tcW w:w="1984" w:type="dxa"/>
            <w:tcBorders>
              <w:top w:val="nil"/>
              <w:left w:val="nil"/>
              <w:bottom w:val="nil"/>
              <w:right w:val="nil"/>
            </w:tcBorders>
            <w:shd w:val="clear" w:color="auto" w:fill="auto"/>
            <w:vAlign w:val="center"/>
            <w:hideMark/>
          </w:tcPr>
          <w:p w14:paraId="564D947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(0.013)</w:t>
            </w:r>
          </w:p>
        </w:tc>
      </w:tr>
      <w:tr w:rsidR="0092047F" w:rsidRPr="008F05DC" w14:paraId="127287A3" w14:textId="77777777" w:rsidTr="0092047F">
        <w:trPr>
          <w:trHeight w:val="284"/>
        </w:trPr>
        <w:tc>
          <w:tcPr>
            <w:tcW w:w="3119" w:type="dxa"/>
            <w:tcBorders>
              <w:top w:val="nil"/>
              <w:left w:val="nil"/>
              <w:bottom w:val="nil"/>
              <w:right w:val="nil"/>
            </w:tcBorders>
            <w:shd w:val="clear" w:color="auto" w:fill="auto"/>
            <w:vAlign w:val="center"/>
            <w:hideMark/>
          </w:tcPr>
          <w:p w14:paraId="6C47565D" w14:textId="77777777" w:rsidR="0092047F" w:rsidRPr="008F05DC" w:rsidRDefault="0092047F" w:rsidP="0092047F">
            <w:pPr>
              <w:spacing w:after="0" w:line="240" w:lineRule="auto"/>
              <w:ind w:firstLine="0"/>
              <w:jc w:val="left"/>
              <w:rPr>
                <w:rFonts w:eastAsia="Times New Roman" w:cs="Times New Roman"/>
                <w:b/>
                <w:color w:val="000000"/>
                <w:sz w:val="22"/>
                <w:lang w:eastAsia="en-GB"/>
              </w:rPr>
            </w:pPr>
            <w:r w:rsidRPr="008F05DC">
              <w:rPr>
                <w:rFonts w:eastAsia="Times New Roman" w:cs="Times New Roman"/>
                <w:b/>
                <w:color w:val="000000"/>
                <w:sz w:val="22"/>
                <w:lang w:eastAsia="en-GB"/>
              </w:rPr>
              <w:t>Control variables</w:t>
            </w:r>
          </w:p>
        </w:tc>
        <w:tc>
          <w:tcPr>
            <w:tcW w:w="1984" w:type="dxa"/>
            <w:tcBorders>
              <w:top w:val="nil"/>
              <w:left w:val="nil"/>
              <w:bottom w:val="nil"/>
              <w:right w:val="nil"/>
            </w:tcBorders>
            <w:shd w:val="clear" w:color="auto" w:fill="auto"/>
            <w:noWrap/>
            <w:vAlign w:val="bottom"/>
            <w:hideMark/>
          </w:tcPr>
          <w:p w14:paraId="07C91DC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560" w:type="dxa"/>
            <w:tcBorders>
              <w:top w:val="nil"/>
              <w:left w:val="nil"/>
              <w:bottom w:val="nil"/>
              <w:right w:val="nil"/>
            </w:tcBorders>
            <w:shd w:val="clear" w:color="auto" w:fill="auto"/>
            <w:noWrap/>
            <w:vAlign w:val="bottom"/>
            <w:hideMark/>
          </w:tcPr>
          <w:p w14:paraId="49893097" w14:textId="77777777" w:rsidR="0092047F" w:rsidRPr="008F05DC" w:rsidRDefault="0092047F" w:rsidP="0092047F">
            <w:pPr>
              <w:spacing w:after="0" w:line="240" w:lineRule="auto"/>
              <w:ind w:firstLine="0"/>
              <w:jc w:val="left"/>
              <w:rPr>
                <w:rFonts w:eastAsia="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2F19F902" w14:textId="77777777" w:rsidR="0092047F" w:rsidRPr="008F05DC" w:rsidRDefault="0092047F" w:rsidP="0092047F">
            <w:pPr>
              <w:spacing w:after="0" w:line="240" w:lineRule="auto"/>
              <w:ind w:firstLine="0"/>
              <w:jc w:val="left"/>
              <w:rPr>
                <w:rFonts w:eastAsia="Times New Roman" w:cs="Times New Roman"/>
                <w:sz w:val="20"/>
                <w:szCs w:val="20"/>
                <w:lang w:eastAsia="en-GB"/>
              </w:rPr>
            </w:pPr>
          </w:p>
        </w:tc>
      </w:tr>
      <w:tr w:rsidR="0092047F" w:rsidRPr="008F05DC" w14:paraId="6F00F121" w14:textId="77777777" w:rsidTr="0092047F">
        <w:trPr>
          <w:trHeight w:val="284"/>
        </w:trPr>
        <w:tc>
          <w:tcPr>
            <w:tcW w:w="3119" w:type="dxa"/>
            <w:vMerge w:val="restart"/>
            <w:tcBorders>
              <w:top w:val="nil"/>
              <w:left w:val="nil"/>
              <w:bottom w:val="nil"/>
              <w:right w:val="nil"/>
            </w:tcBorders>
            <w:shd w:val="clear" w:color="auto" w:fill="auto"/>
            <w:vAlign w:val="center"/>
            <w:hideMark/>
          </w:tcPr>
          <w:p w14:paraId="4ECA3DB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Leverage</w:t>
            </w:r>
          </w:p>
        </w:tc>
        <w:tc>
          <w:tcPr>
            <w:tcW w:w="1984" w:type="dxa"/>
            <w:tcBorders>
              <w:top w:val="nil"/>
              <w:left w:val="nil"/>
              <w:bottom w:val="nil"/>
              <w:right w:val="nil"/>
            </w:tcBorders>
            <w:shd w:val="clear" w:color="auto" w:fill="auto"/>
            <w:vAlign w:val="center"/>
            <w:hideMark/>
          </w:tcPr>
          <w:p w14:paraId="3FAFB7C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-0.0859***</w:t>
            </w:r>
          </w:p>
        </w:tc>
        <w:tc>
          <w:tcPr>
            <w:tcW w:w="1560" w:type="dxa"/>
            <w:tcBorders>
              <w:top w:val="nil"/>
              <w:left w:val="nil"/>
              <w:bottom w:val="nil"/>
              <w:right w:val="nil"/>
            </w:tcBorders>
            <w:shd w:val="clear" w:color="auto" w:fill="auto"/>
            <w:vAlign w:val="center"/>
            <w:hideMark/>
          </w:tcPr>
          <w:p w14:paraId="532B377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-0.0132</w:t>
            </w:r>
          </w:p>
        </w:tc>
        <w:tc>
          <w:tcPr>
            <w:tcW w:w="1984" w:type="dxa"/>
            <w:tcBorders>
              <w:top w:val="nil"/>
              <w:left w:val="nil"/>
              <w:bottom w:val="nil"/>
              <w:right w:val="nil"/>
            </w:tcBorders>
            <w:shd w:val="clear" w:color="auto" w:fill="auto"/>
            <w:vAlign w:val="center"/>
            <w:hideMark/>
          </w:tcPr>
          <w:p w14:paraId="3BFCDEE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-0.0797***</w:t>
            </w:r>
          </w:p>
        </w:tc>
      </w:tr>
      <w:tr w:rsidR="0092047F" w:rsidRPr="008F05DC" w14:paraId="045990E2" w14:textId="77777777" w:rsidTr="0092047F">
        <w:trPr>
          <w:trHeight w:val="284"/>
        </w:trPr>
        <w:tc>
          <w:tcPr>
            <w:tcW w:w="3119" w:type="dxa"/>
            <w:vMerge/>
            <w:tcBorders>
              <w:top w:val="nil"/>
              <w:left w:val="nil"/>
              <w:bottom w:val="nil"/>
              <w:right w:val="nil"/>
            </w:tcBorders>
            <w:vAlign w:val="center"/>
            <w:hideMark/>
          </w:tcPr>
          <w:p w14:paraId="122F6053"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3E8F01D5"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(0.005)</w:t>
            </w:r>
          </w:p>
        </w:tc>
        <w:tc>
          <w:tcPr>
            <w:tcW w:w="1560" w:type="dxa"/>
            <w:tcBorders>
              <w:top w:val="nil"/>
              <w:left w:val="nil"/>
              <w:bottom w:val="nil"/>
              <w:right w:val="nil"/>
            </w:tcBorders>
            <w:shd w:val="clear" w:color="auto" w:fill="auto"/>
            <w:vAlign w:val="center"/>
            <w:hideMark/>
          </w:tcPr>
          <w:p w14:paraId="0F460C4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(0.010)</w:t>
            </w:r>
          </w:p>
        </w:tc>
        <w:tc>
          <w:tcPr>
            <w:tcW w:w="1984" w:type="dxa"/>
            <w:tcBorders>
              <w:top w:val="nil"/>
              <w:left w:val="nil"/>
              <w:bottom w:val="nil"/>
              <w:right w:val="nil"/>
            </w:tcBorders>
            <w:shd w:val="clear" w:color="auto" w:fill="auto"/>
            <w:vAlign w:val="center"/>
            <w:hideMark/>
          </w:tcPr>
          <w:p w14:paraId="0D5155E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(0.006)</w:t>
            </w:r>
          </w:p>
        </w:tc>
      </w:tr>
      <w:tr w:rsidR="0092047F" w:rsidRPr="008F05DC" w14:paraId="46DC2D50" w14:textId="77777777" w:rsidTr="0092047F">
        <w:trPr>
          <w:trHeight w:val="284"/>
        </w:trPr>
        <w:tc>
          <w:tcPr>
            <w:tcW w:w="3119" w:type="dxa"/>
            <w:vMerge w:val="restart"/>
            <w:tcBorders>
              <w:top w:val="nil"/>
              <w:left w:val="nil"/>
              <w:bottom w:val="nil"/>
              <w:right w:val="nil"/>
            </w:tcBorders>
            <w:shd w:val="clear" w:color="auto" w:fill="auto"/>
            <w:vAlign w:val="center"/>
            <w:hideMark/>
          </w:tcPr>
          <w:p w14:paraId="7B17DB48"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Firm Size</w:t>
            </w:r>
          </w:p>
        </w:tc>
        <w:tc>
          <w:tcPr>
            <w:tcW w:w="1984" w:type="dxa"/>
            <w:tcBorders>
              <w:top w:val="nil"/>
              <w:left w:val="nil"/>
              <w:bottom w:val="nil"/>
              <w:right w:val="nil"/>
            </w:tcBorders>
            <w:shd w:val="clear" w:color="auto" w:fill="auto"/>
            <w:vAlign w:val="center"/>
            <w:hideMark/>
          </w:tcPr>
          <w:p w14:paraId="5D44474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-0.0519***</w:t>
            </w:r>
          </w:p>
        </w:tc>
        <w:tc>
          <w:tcPr>
            <w:tcW w:w="1560" w:type="dxa"/>
            <w:tcBorders>
              <w:top w:val="nil"/>
              <w:left w:val="nil"/>
              <w:bottom w:val="nil"/>
              <w:right w:val="nil"/>
            </w:tcBorders>
            <w:shd w:val="clear" w:color="auto" w:fill="auto"/>
            <w:vAlign w:val="center"/>
            <w:hideMark/>
          </w:tcPr>
          <w:p w14:paraId="1F702F6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-0.0287*</w:t>
            </w:r>
          </w:p>
        </w:tc>
        <w:tc>
          <w:tcPr>
            <w:tcW w:w="1984" w:type="dxa"/>
            <w:tcBorders>
              <w:top w:val="nil"/>
              <w:left w:val="nil"/>
              <w:bottom w:val="nil"/>
              <w:right w:val="nil"/>
            </w:tcBorders>
            <w:shd w:val="clear" w:color="auto" w:fill="auto"/>
            <w:vAlign w:val="center"/>
            <w:hideMark/>
          </w:tcPr>
          <w:p w14:paraId="2DD7B23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-0.0573***</w:t>
            </w:r>
          </w:p>
        </w:tc>
      </w:tr>
      <w:tr w:rsidR="0092047F" w:rsidRPr="008F05DC" w14:paraId="1D139BDB" w14:textId="77777777" w:rsidTr="0092047F">
        <w:trPr>
          <w:trHeight w:val="284"/>
        </w:trPr>
        <w:tc>
          <w:tcPr>
            <w:tcW w:w="3119" w:type="dxa"/>
            <w:vMerge/>
            <w:tcBorders>
              <w:top w:val="nil"/>
              <w:left w:val="nil"/>
              <w:bottom w:val="nil"/>
              <w:right w:val="nil"/>
            </w:tcBorders>
            <w:vAlign w:val="center"/>
            <w:hideMark/>
          </w:tcPr>
          <w:p w14:paraId="07C3274A"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64C6F17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(0.009)</w:t>
            </w:r>
          </w:p>
        </w:tc>
        <w:tc>
          <w:tcPr>
            <w:tcW w:w="1560" w:type="dxa"/>
            <w:tcBorders>
              <w:top w:val="nil"/>
              <w:left w:val="nil"/>
              <w:bottom w:val="nil"/>
              <w:right w:val="nil"/>
            </w:tcBorders>
            <w:shd w:val="clear" w:color="auto" w:fill="auto"/>
            <w:vAlign w:val="center"/>
            <w:hideMark/>
          </w:tcPr>
          <w:p w14:paraId="3F2A22D2"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(0.015)</w:t>
            </w:r>
          </w:p>
        </w:tc>
        <w:tc>
          <w:tcPr>
            <w:tcW w:w="1984" w:type="dxa"/>
            <w:tcBorders>
              <w:top w:val="nil"/>
              <w:left w:val="nil"/>
              <w:bottom w:val="nil"/>
              <w:right w:val="nil"/>
            </w:tcBorders>
            <w:shd w:val="clear" w:color="auto" w:fill="auto"/>
            <w:vAlign w:val="center"/>
            <w:hideMark/>
          </w:tcPr>
          <w:p w14:paraId="4E869BC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(0.015)</w:t>
            </w:r>
          </w:p>
        </w:tc>
      </w:tr>
      <w:tr w:rsidR="0092047F" w:rsidRPr="008F05DC" w14:paraId="2C4E05CC" w14:textId="77777777" w:rsidTr="0092047F">
        <w:trPr>
          <w:trHeight w:val="284"/>
        </w:trPr>
        <w:tc>
          <w:tcPr>
            <w:tcW w:w="3119" w:type="dxa"/>
            <w:vMerge w:val="restart"/>
            <w:tcBorders>
              <w:top w:val="nil"/>
              <w:left w:val="nil"/>
              <w:bottom w:val="nil"/>
              <w:right w:val="nil"/>
            </w:tcBorders>
            <w:shd w:val="clear" w:color="auto" w:fill="auto"/>
            <w:vAlign w:val="center"/>
            <w:hideMark/>
          </w:tcPr>
          <w:p w14:paraId="144EE39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Board Size</w:t>
            </w:r>
          </w:p>
        </w:tc>
        <w:tc>
          <w:tcPr>
            <w:tcW w:w="1984" w:type="dxa"/>
            <w:tcBorders>
              <w:top w:val="nil"/>
              <w:left w:val="nil"/>
              <w:bottom w:val="nil"/>
              <w:right w:val="nil"/>
            </w:tcBorders>
            <w:shd w:val="clear" w:color="auto" w:fill="auto"/>
            <w:vAlign w:val="center"/>
            <w:hideMark/>
          </w:tcPr>
          <w:p w14:paraId="317F140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-0.612***</w:t>
            </w:r>
          </w:p>
        </w:tc>
        <w:tc>
          <w:tcPr>
            <w:tcW w:w="1560" w:type="dxa"/>
            <w:tcBorders>
              <w:top w:val="nil"/>
              <w:left w:val="nil"/>
              <w:bottom w:val="nil"/>
              <w:right w:val="nil"/>
            </w:tcBorders>
            <w:shd w:val="clear" w:color="auto" w:fill="auto"/>
            <w:vAlign w:val="center"/>
            <w:hideMark/>
          </w:tcPr>
          <w:p w14:paraId="7330B632"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-0.109</w:t>
            </w:r>
          </w:p>
        </w:tc>
        <w:tc>
          <w:tcPr>
            <w:tcW w:w="1984" w:type="dxa"/>
            <w:tcBorders>
              <w:top w:val="nil"/>
              <w:left w:val="nil"/>
              <w:bottom w:val="nil"/>
              <w:right w:val="nil"/>
            </w:tcBorders>
            <w:shd w:val="clear" w:color="auto" w:fill="auto"/>
            <w:vAlign w:val="center"/>
            <w:hideMark/>
          </w:tcPr>
          <w:p w14:paraId="2ECA91F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0.532***</w:t>
            </w:r>
          </w:p>
        </w:tc>
      </w:tr>
      <w:tr w:rsidR="0092047F" w:rsidRPr="008F05DC" w14:paraId="2D3A57F5" w14:textId="77777777" w:rsidTr="0092047F">
        <w:trPr>
          <w:trHeight w:val="284"/>
        </w:trPr>
        <w:tc>
          <w:tcPr>
            <w:tcW w:w="3119" w:type="dxa"/>
            <w:vMerge/>
            <w:tcBorders>
              <w:top w:val="nil"/>
              <w:left w:val="nil"/>
              <w:bottom w:val="nil"/>
              <w:right w:val="nil"/>
            </w:tcBorders>
            <w:vAlign w:val="center"/>
            <w:hideMark/>
          </w:tcPr>
          <w:p w14:paraId="484139E0"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09562D4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(0.039)</w:t>
            </w:r>
          </w:p>
        </w:tc>
        <w:tc>
          <w:tcPr>
            <w:tcW w:w="1560" w:type="dxa"/>
            <w:tcBorders>
              <w:top w:val="nil"/>
              <w:left w:val="nil"/>
              <w:bottom w:val="nil"/>
              <w:right w:val="nil"/>
            </w:tcBorders>
            <w:shd w:val="clear" w:color="auto" w:fill="auto"/>
            <w:vAlign w:val="center"/>
            <w:hideMark/>
          </w:tcPr>
          <w:p w14:paraId="4A12D92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(0.073)</w:t>
            </w:r>
          </w:p>
        </w:tc>
        <w:tc>
          <w:tcPr>
            <w:tcW w:w="1984" w:type="dxa"/>
            <w:tcBorders>
              <w:top w:val="nil"/>
              <w:left w:val="nil"/>
              <w:bottom w:val="nil"/>
              <w:right w:val="nil"/>
            </w:tcBorders>
            <w:shd w:val="clear" w:color="auto" w:fill="auto"/>
            <w:vAlign w:val="center"/>
            <w:hideMark/>
          </w:tcPr>
          <w:p w14:paraId="50216C0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(0.027)</w:t>
            </w:r>
          </w:p>
        </w:tc>
      </w:tr>
      <w:tr w:rsidR="0092047F" w:rsidRPr="008F05DC" w14:paraId="63A69FD6" w14:textId="77777777" w:rsidTr="0092047F">
        <w:trPr>
          <w:trHeight w:val="284"/>
        </w:trPr>
        <w:tc>
          <w:tcPr>
            <w:tcW w:w="3119" w:type="dxa"/>
            <w:vMerge w:val="restart"/>
            <w:tcBorders>
              <w:top w:val="nil"/>
              <w:left w:val="nil"/>
              <w:bottom w:val="nil"/>
              <w:right w:val="nil"/>
            </w:tcBorders>
            <w:shd w:val="clear" w:color="auto" w:fill="auto"/>
            <w:vAlign w:val="center"/>
            <w:hideMark/>
          </w:tcPr>
          <w:p w14:paraId="324D1ECE"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Capital</w:t>
            </w:r>
          </w:p>
        </w:tc>
        <w:tc>
          <w:tcPr>
            <w:tcW w:w="1984" w:type="dxa"/>
            <w:tcBorders>
              <w:top w:val="nil"/>
              <w:left w:val="nil"/>
              <w:bottom w:val="nil"/>
              <w:right w:val="nil"/>
            </w:tcBorders>
            <w:shd w:val="clear" w:color="auto" w:fill="auto"/>
            <w:vAlign w:val="center"/>
            <w:hideMark/>
          </w:tcPr>
          <w:p w14:paraId="53A3A5A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0.0443***</w:t>
            </w:r>
          </w:p>
        </w:tc>
        <w:tc>
          <w:tcPr>
            <w:tcW w:w="1560" w:type="dxa"/>
            <w:tcBorders>
              <w:top w:val="nil"/>
              <w:left w:val="nil"/>
              <w:bottom w:val="nil"/>
              <w:right w:val="nil"/>
            </w:tcBorders>
            <w:shd w:val="clear" w:color="auto" w:fill="auto"/>
            <w:vAlign w:val="center"/>
            <w:hideMark/>
          </w:tcPr>
          <w:p w14:paraId="4816787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0.0284***</w:t>
            </w:r>
          </w:p>
        </w:tc>
        <w:tc>
          <w:tcPr>
            <w:tcW w:w="1984" w:type="dxa"/>
            <w:tcBorders>
              <w:top w:val="nil"/>
              <w:left w:val="nil"/>
              <w:bottom w:val="nil"/>
              <w:right w:val="nil"/>
            </w:tcBorders>
            <w:shd w:val="clear" w:color="auto" w:fill="auto"/>
            <w:vAlign w:val="center"/>
            <w:hideMark/>
          </w:tcPr>
          <w:p w14:paraId="2119538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0.0337***</w:t>
            </w:r>
          </w:p>
        </w:tc>
      </w:tr>
      <w:tr w:rsidR="0092047F" w:rsidRPr="008F05DC" w14:paraId="0CB8026D" w14:textId="77777777" w:rsidTr="0092047F">
        <w:trPr>
          <w:trHeight w:val="284"/>
        </w:trPr>
        <w:tc>
          <w:tcPr>
            <w:tcW w:w="3119" w:type="dxa"/>
            <w:vMerge/>
            <w:tcBorders>
              <w:top w:val="nil"/>
              <w:left w:val="nil"/>
              <w:bottom w:val="nil"/>
              <w:right w:val="nil"/>
            </w:tcBorders>
            <w:vAlign w:val="center"/>
            <w:hideMark/>
          </w:tcPr>
          <w:p w14:paraId="0A4EB242"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0819357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(0.003)</w:t>
            </w:r>
          </w:p>
        </w:tc>
        <w:tc>
          <w:tcPr>
            <w:tcW w:w="1560" w:type="dxa"/>
            <w:tcBorders>
              <w:top w:val="nil"/>
              <w:left w:val="nil"/>
              <w:bottom w:val="nil"/>
              <w:right w:val="nil"/>
            </w:tcBorders>
            <w:shd w:val="clear" w:color="auto" w:fill="auto"/>
            <w:vAlign w:val="center"/>
            <w:hideMark/>
          </w:tcPr>
          <w:p w14:paraId="4A24E58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(0.009)</w:t>
            </w:r>
          </w:p>
        </w:tc>
        <w:tc>
          <w:tcPr>
            <w:tcW w:w="1984" w:type="dxa"/>
            <w:tcBorders>
              <w:top w:val="nil"/>
              <w:left w:val="nil"/>
              <w:bottom w:val="nil"/>
              <w:right w:val="nil"/>
            </w:tcBorders>
            <w:shd w:val="clear" w:color="auto" w:fill="auto"/>
            <w:vAlign w:val="center"/>
            <w:hideMark/>
          </w:tcPr>
          <w:p w14:paraId="0485667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(0.003)</w:t>
            </w:r>
          </w:p>
        </w:tc>
      </w:tr>
      <w:tr w:rsidR="0092047F" w:rsidRPr="008F05DC" w14:paraId="686B2EB9" w14:textId="77777777" w:rsidTr="0092047F">
        <w:trPr>
          <w:trHeight w:val="284"/>
        </w:trPr>
        <w:tc>
          <w:tcPr>
            <w:tcW w:w="3119" w:type="dxa"/>
            <w:vMerge w:val="restart"/>
            <w:tcBorders>
              <w:top w:val="nil"/>
              <w:left w:val="nil"/>
              <w:bottom w:val="nil"/>
              <w:right w:val="nil"/>
            </w:tcBorders>
            <w:shd w:val="clear" w:color="auto" w:fill="auto"/>
            <w:vAlign w:val="center"/>
            <w:hideMark/>
          </w:tcPr>
          <w:p w14:paraId="0A41CF5E"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Beta</w:t>
            </w:r>
          </w:p>
        </w:tc>
        <w:tc>
          <w:tcPr>
            <w:tcW w:w="1984" w:type="dxa"/>
            <w:tcBorders>
              <w:top w:val="nil"/>
              <w:left w:val="nil"/>
              <w:bottom w:val="nil"/>
              <w:right w:val="nil"/>
            </w:tcBorders>
            <w:shd w:val="clear" w:color="auto" w:fill="auto"/>
            <w:vAlign w:val="center"/>
            <w:hideMark/>
          </w:tcPr>
          <w:p w14:paraId="19BCEC5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-3.918***</w:t>
            </w:r>
          </w:p>
        </w:tc>
        <w:tc>
          <w:tcPr>
            <w:tcW w:w="1560" w:type="dxa"/>
            <w:tcBorders>
              <w:top w:val="nil"/>
              <w:left w:val="nil"/>
              <w:bottom w:val="nil"/>
              <w:right w:val="nil"/>
            </w:tcBorders>
            <w:shd w:val="clear" w:color="auto" w:fill="auto"/>
            <w:vAlign w:val="center"/>
            <w:hideMark/>
          </w:tcPr>
          <w:p w14:paraId="7FC493D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-2.554***</w:t>
            </w:r>
          </w:p>
        </w:tc>
        <w:tc>
          <w:tcPr>
            <w:tcW w:w="1984" w:type="dxa"/>
            <w:tcBorders>
              <w:top w:val="nil"/>
              <w:left w:val="nil"/>
              <w:bottom w:val="nil"/>
              <w:right w:val="nil"/>
            </w:tcBorders>
            <w:shd w:val="clear" w:color="auto" w:fill="auto"/>
            <w:vAlign w:val="center"/>
            <w:hideMark/>
          </w:tcPr>
          <w:p w14:paraId="3369443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-3.799***</w:t>
            </w:r>
          </w:p>
        </w:tc>
      </w:tr>
      <w:tr w:rsidR="0092047F" w:rsidRPr="008F05DC" w14:paraId="0E3724AF" w14:textId="77777777" w:rsidTr="0092047F">
        <w:trPr>
          <w:trHeight w:val="284"/>
        </w:trPr>
        <w:tc>
          <w:tcPr>
            <w:tcW w:w="3119" w:type="dxa"/>
            <w:vMerge/>
            <w:tcBorders>
              <w:top w:val="nil"/>
              <w:left w:val="nil"/>
              <w:bottom w:val="nil"/>
              <w:right w:val="nil"/>
            </w:tcBorders>
            <w:vAlign w:val="center"/>
            <w:hideMark/>
          </w:tcPr>
          <w:p w14:paraId="72EC5E3F"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70E89E6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(0.179)</w:t>
            </w:r>
          </w:p>
        </w:tc>
        <w:tc>
          <w:tcPr>
            <w:tcW w:w="1560" w:type="dxa"/>
            <w:tcBorders>
              <w:top w:val="nil"/>
              <w:left w:val="nil"/>
              <w:bottom w:val="nil"/>
              <w:right w:val="nil"/>
            </w:tcBorders>
            <w:shd w:val="clear" w:color="auto" w:fill="auto"/>
            <w:vAlign w:val="center"/>
            <w:hideMark/>
          </w:tcPr>
          <w:p w14:paraId="2712D26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(0.651)</w:t>
            </w:r>
          </w:p>
        </w:tc>
        <w:tc>
          <w:tcPr>
            <w:tcW w:w="1984" w:type="dxa"/>
            <w:tcBorders>
              <w:top w:val="nil"/>
              <w:left w:val="nil"/>
              <w:bottom w:val="nil"/>
              <w:right w:val="nil"/>
            </w:tcBorders>
            <w:shd w:val="clear" w:color="auto" w:fill="auto"/>
            <w:vAlign w:val="center"/>
            <w:hideMark/>
          </w:tcPr>
          <w:p w14:paraId="181F922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(0.153)</w:t>
            </w:r>
          </w:p>
        </w:tc>
      </w:tr>
      <w:tr w:rsidR="0092047F" w:rsidRPr="008F05DC" w14:paraId="76104AE1" w14:textId="77777777" w:rsidTr="0092047F">
        <w:trPr>
          <w:trHeight w:val="284"/>
        </w:trPr>
        <w:tc>
          <w:tcPr>
            <w:tcW w:w="3119" w:type="dxa"/>
            <w:vMerge w:val="restart"/>
            <w:tcBorders>
              <w:top w:val="nil"/>
              <w:left w:val="nil"/>
              <w:bottom w:val="nil"/>
              <w:right w:val="nil"/>
            </w:tcBorders>
            <w:shd w:val="clear" w:color="auto" w:fill="auto"/>
            <w:vAlign w:val="center"/>
            <w:hideMark/>
          </w:tcPr>
          <w:p w14:paraId="748715BA"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Liquidity</w:t>
            </w:r>
          </w:p>
        </w:tc>
        <w:tc>
          <w:tcPr>
            <w:tcW w:w="1984" w:type="dxa"/>
            <w:tcBorders>
              <w:top w:val="nil"/>
              <w:left w:val="nil"/>
              <w:bottom w:val="nil"/>
              <w:right w:val="nil"/>
            </w:tcBorders>
            <w:shd w:val="clear" w:color="auto" w:fill="auto"/>
            <w:vAlign w:val="center"/>
            <w:hideMark/>
          </w:tcPr>
          <w:p w14:paraId="7D597DB2"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-0.0185</w:t>
            </w:r>
          </w:p>
        </w:tc>
        <w:tc>
          <w:tcPr>
            <w:tcW w:w="1560" w:type="dxa"/>
            <w:tcBorders>
              <w:top w:val="nil"/>
              <w:left w:val="nil"/>
              <w:bottom w:val="nil"/>
              <w:right w:val="nil"/>
            </w:tcBorders>
            <w:shd w:val="clear" w:color="auto" w:fill="auto"/>
            <w:vAlign w:val="center"/>
            <w:hideMark/>
          </w:tcPr>
          <w:p w14:paraId="6D38230D"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0.0552*</w:t>
            </w:r>
          </w:p>
        </w:tc>
        <w:tc>
          <w:tcPr>
            <w:tcW w:w="1984" w:type="dxa"/>
            <w:tcBorders>
              <w:top w:val="nil"/>
              <w:left w:val="nil"/>
              <w:bottom w:val="nil"/>
              <w:right w:val="nil"/>
            </w:tcBorders>
            <w:shd w:val="clear" w:color="auto" w:fill="auto"/>
            <w:vAlign w:val="center"/>
            <w:hideMark/>
          </w:tcPr>
          <w:p w14:paraId="1DA5A0A3"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0.0284</w:t>
            </w:r>
          </w:p>
        </w:tc>
      </w:tr>
      <w:tr w:rsidR="0092047F" w:rsidRPr="008F05DC" w14:paraId="0024008E" w14:textId="77777777" w:rsidTr="0092047F">
        <w:trPr>
          <w:trHeight w:val="284"/>
        </w:trPr>
        <w:tc>
          <w:tcPr>
            <w:tcW w:w="3119" w:type="dxa"/>
            <w:vMerge/>
            <w:tcBorders>
              <w:top w:val="nil"/>
              <w:left w:val="nil"/>
              <w:bottom w:val="nil"/>
              <w:right w:val="nil"/>
            </w:tcBorders>
            <w:vAlign w:val="center"/>
            <w:hideMark/>
          </w:tcPr>
          <w:p w14:paraId="6A158662"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56D14620"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(0.022)</w:t>
            </w:r>
          </w:p>
        </w:tc>
        <w:tc>
          <w:tcPr>
            <w:tcW w:w="1560" w:type="dxa"/>
            <w:tcBorders>
              <w:top w:val="nil"/>
              <w:left w:val="nil"/>
              <w:bottom w:val="nil"/>
              <w:right w:val="nil"/>
            </w:tcBorders>
            <w:shd w:val="clear" w:color="auto" w:fill="auto"/>
            <w:vAlign w:val="center"/>
            <w:hideMark/>
          </w:tcPr>
          <w:p w14:paraId="357C2260"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(0.031)</w:t>
            </w:r>
          </w:p>
        </w:tc>
        <w:tc>
          <w:tcPr>
            <w:tcW w:w="1984" w:type="dxa"/>
            <w:tcBorders>
              <w:top w:val="nil"/>
              <w:left w:val="nil"/>
              <w:bottom w:val="nil"/>
              <w:right w:val="nil"/>
            </w:tcBorders>
            <w:shd w:val="clear" w:color="auto" w:fill="auto"/>
            <w:vAlign w:val="center"/>
            <w:hideMark/>
          </w:tcPr>
          <w:p w14:paraId="763F942A"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(0.019)</w:t>
            </w:r>
          </w:p>
        </w:tc>
      </w:tr>
      <w:tr w:rsidR="0092047F" w:rsidRPr="008F05DC" w14:paraId="4D861651" w14:textId="77777777" w:rsidTr="0092047F">
        <w:trPr>
          <w:trHeight w:val="284"/>
        </w:trPr>
        <w:tc>
          <w:tcPr>
            <w:tcW w:w="3119" w:type="dxa"/>
            <w:vMerge w:val="restart"/>
            <w:tcBorders>
              <w:top w:val="nil"/>
              <w:left w:val="nil"/>
              <w:bottom w:val="nil"/>
              <w:right w:val="nil"/>
            </w:tcBorders>
            <w:shd w:val="clear" w:color="auto" w:fill="auto"/>
            <w:vAlign w:val="center"/>
            <w:hideMark/>
          </w:tcPr>
          <w:p w14:paraId="0035ED47"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Constant</w:t>
            </w:r>
          </w:p>
        </w:tc>
        <w:tc>
          <w:tcPr>
            <w:tcW w:w="1984" w:type="dxa"/>
            <w:tcBorders>
              <w:top w:val="nil"/>
              <w:left w:val="nil"/>
              <w:bottom w:val="nil"/>
              <w:right w:val="nil"/>
            </w:tcBorders>
            <w:shd w:val="clear" w:color="auto" w:fill="auto"/>
            <w:vAlign w:val="center"/>
            <w:hideMark/>
          </w:tcPr>
          <w:p w14:paraId="2FDC7E4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11.30***</w:t>
            </w:r>
          </w:p>
        </w:tc>
        <w:tc>
          <w:tcPr>
            <w:tcW w:w="1560" w:type="dxa"/>
            <w:tcBorders>
              <w:top w:val="nil"/>
              <w:left w:val="nil"/>
              <w:bottom w:val="nil"/>
              <w:right w:val="nil"/>
            </w:tcBorders>
            <w:shd w:val="clear" w:color="auto" w:fill="auto"/>
            <w:vAlign w:val="center"/>
            <w:hideMark/>
          </w:tcPr>
          <w:p w14:paraId="38E56EEE"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0.239</w:t>
            </w:r>
          </w:p>
        </w:tc>
        <w:tc>
          <w:tcPr>
            <w:tcW w:w="1984" w:type="dxa"/>
            <w:tcBorders>
              <w:top w:val="nil"/>
              <w:left w:val="nil"/>
              <w:bottom w:val="nil"/>
              <w:right w:val="nil"/>
            </w:tcBorders>
            <w:shd w:val="clear" w:color="auto" w:fill="auto"/>
            <w:vAlign w:val="center"/>
            <w:hideMark/>
          </w:tcPr>
          <w:p w14:paraId="54DD6C0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8.798***</w:t>
            </w:r>
          </w:p>
        </w:tc>
      </w:tr>
      <w:tr w:rsidR="0092047F" w:rsidRPr="008F05DC" w14:paraId="5C188DAA" w14:textId="77777777" w:rsidTr="0092047F">
        <w:trPr>
          <w:trHeight w:val="284"/>
        </w:trPr>
        <w:tc>
          <w:tcPr>
            <w:tcW w:w="3119" w:type="dxa"/>
            <w:vMerge/>
            <w:tcBorders>
              <w:top w:val="nil"/>
              <w:left w:val="nil"/>
              <w:bottom w:val="nil"/>
              <w:right w:val="nil"/>
            </w:tcBorders>
            <w:vAlign w:val="center"/>
            <w:hideMark/>
          </w:tcPr>
          <w:p w14:paraId="2C131019"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p>
        </w:tc>
        <w:tc>
          <w:tcPr>
            <w:tcW w:w="1984" w:type="dxa"/>
            <w:tcBorders>
              <w:top w:val="nil"/>
              <w:left w:val="nil"/>
              <w:bottom w:val="nil"/>
              <w:right w:val="nil"/>
            </w:tcBorders>
            <w:shd w:val="clear" w:color="auto" w:fill="auto"/>
            <w:vAlign w:val="center"/>
            <w:hideMark/>
          </w:tcPr>
          <w:p w14:paraId="725D4D6B"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(0.963)</w:t>
            </w:r>
          </w:p>
        </w:tc>
        <w:tc>
          <w:tcPr>
            <w:tcW w:w="1560" w:type="dxa"/>
            <w:tcBorders>
              <w:top w:val="nil"/>
              <w:left w:val="nil"/>
              <w:bottom w:val="nil"/>
              <w:right w:val="nil"/>
            </w:tcBorders>
            <w:shd w:val="clear" w:color="auto" w:fill="auto"/>
            <w:vAlign w:val="center"/>
            <w:hideMark/>
          </w:tcPr>
          <w:p w14:paraId="007006D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(1.934)</w:t>
            </w:r>
          </w:p>
        </w:tc>
        <w:tc>
          <w:tcPr>
            <w:tcW w:w="1984" w:type="dxa"/>
            <w:tcBorders>
              <w:top w:val="nil"/>
              <w:left w:val="nil"/>
              <w:bottom w:val="nil"/>
              <w:right w:val="nil"/>
            </w:tcBorders>
            <w:shd w:val="clear" w:color="auto" w:fill="auto"/>
            <w:vAlign w:val="center"/>
            <w:hideMark/>
          </w:tcPr>
          <w:p w14:paraId="64C45C5F"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(1.144)</w:t>
            </w:r>
          </w:p>
        </w:tc>
      </w:tr>
      <w:tr w:rsidR="0092047F" w:rsidRPr="008F05DC" w14:paraId="3D64E8A8" w14:textId="77777777" w:rsidTr="0092047F">
        <w:trPr>
          <w:trHeight w:val="284"/>
        </w:trPr>
        <w:tc>
          <w:tcPr>
            <w:tcW w:w="3119" w:type="dxa"/>
            <w:tcBorders>
              <w:top w:val="nil"/>
              <w:left w:val="nil"/>
              <w:bottom w:val="nil"/>
              <w:right w:val="nil"/>
            </w:tcBorders>
            <w:shd w:val="clear" w:color="auto" w:fill="auto"/>
            <w:vAlign w:val="center"/>
            <w:hideMark/>
          </w:tcPr>
          <w:p w14:paraId="34FFA04E" w14:textId="77777777" w:rsidR="0092047F" w:rsidRPr="008F05DC" w:rsidRDefault="0092047F" w:rsidP="0092047F">
            <w:pPr>
              <w:spacing w:after="0" w:line="240" w:lineRule="auto"/>
              <w:ind w:firstLine="0"/>
              <w:jc w:val="left"/>
              <w:rPr>
                <w:rFonts w:eastAsia="Times New Roman" w:cs="Times New Roman"/>
                <w:i/>
                <w:iCs/>
                <w:color w:val="000000"/>
                <w:sz w:val="22"/>
                <w:lang w:eastAsia="en-GB"/>
              </w:rPr>
            </w:pPr>
            <w:r w:rsidRPr="008F05DC">
              <w:rPr>
                <w:rFonts w:eastAsia="Times New Roman" w:cs="Times New Roman"/>
                <w:i/>
                <w:iCs/>
                <w:color w:val="000000"/>
                <w:sz w:val="22"/>
                <w:lang w:val="en-US" w:eastAsia="en-GB"/>
              </w:rPr>
              <w:t>J-test (p-value)</w:t>
            </w:r>
          </w:p>
        </w:tc>
        <w:tc>
          <w:tcPr>
            <w:tcW w:w="1984" w:type="dxa"/>
            <w:tcBorders>
              <w:top w:val="nil"/>
              <w:left w:val="nil"/>
              <w:bottom w:val="nil"/>
              <w:right w:val="nil"/>
            </w:tcBorders>
            <w:shd w:val="clear" w:color="auto" w:fill="auto"/>
            <w:vAlign w:val="center"/>
            <w:hideMark/>
          </w:tcPr>
          <w:p w14:paraId="4DB5993E"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76.57(1.00)</w:t>
            </w:r>
          </w:p>
        </w:tc>
        <w:tc>
          <w:tcPr>
            <w:tcW w:w="1560" w:type="dxa"/>
            <w:tcBorders>
              <w:top w:val="nil"/>
              <w:left w:val="nil"/>
              <w:bottom w:val="nil"/>
              <w:right w:val="nil"/>
            </w:tcBorders>
            <w:shd w:val="clear" w:color="auto" w:fill="auto"/>
            <w:vAlign w:val="center"/>
            <w:hideMark/>
          </w:tcPr>
          <w:p w14:paraId="4AC4AF3F"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37.92(0.29)</w:t>
            </w:r>
          </w:p>
        </w:tc>
        <w:tc>
          <w:tcPr>
            <w:tcW w:w="1984" w:type="dxa"/>
            <w:tcBorders>
              <w:top w:val="nil"/>
              <w:left w:val="nil"/>
              <w:bottom w:val="nil"/>
              <w:right w:val="nil"/>
            </w:tcBorders>
            <w:shd w:val="clear" w:color="auto" w:fill="auto"/>
            <w:vAlign w:val="center"/>
            <w:hideMark/>
          </w:tcPr>
          <w:p w14:paraId="7683E7EA"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73.34(1.00)</w:t>
            </w:r>
          </w:p>
        </w:tc>
      </w:tr>
      <w:tr w:rsidR="0092047F" w:rsidRPr="008F05DC" w14:paraId="3CC49328" w14:textId="77777777" w:rsidTr="0092047F">
        <w:trPr>
          <w:trHeight w:val="284"/>
        </w:trPr>
        <w:tc>
          <w:tcPr>
            <w:tcW w:w="3119" w:type="dxa"/>
            <w:tcBorders>
              <w:top w:val="nil"/>
              <w:left w:val="nil"/>
              <w:bottom w:val="nil"/>
              <w:right w:val="nil"/>
            </w:tcBorders>
            <w:shd w:val="clear" w:color="auto" w:fill="auto"/>
            <w:vAlign w:val="center"/>
            <w:hideMark/>
          </w:tcPr>
          <w:p w14:paraId="633E3731" w14:textId="77777777" w:rsidR="0092047F" w:rsidRPr="008F05DC" w:rsidRDefault="0092047F" w:rsidP="0092047F">
            <w:pPr>
              <w:spacing w:after="0" w:line="240" w:lineRule="auto"/>
              <w:ind w:firstLine="0"/>
              <w:jc w:val="left"/>
              <w:rPr>
                <w:rFonts w:eastAsia="Times New Roman" w:cs="Times New Roman"/>
                <w:i/>
                <w:iCs/>
                <w:color w:val="000000"/>
                <w:sz w:val="22"/>
                <w:lang w:eastAsia="en-GB"/>
              </w:rPr>
            </w:pPr>
            <w:r w:rsidRPr="008F05DC">
              <w:rPr>
                <w:rFonts w:eastAsia="Times New Roman" w:cs="Times New Roman"/>
                <w:i/>
                <w:iCs/>
                <w:color w:val="000000"/>
                <w:sz w:val="22"/>
                <w:lang w:val="en-US" w:eastAsia="en-GB"/>
              </w:rPr>
              <w:t>AR (1) (p-value)</w:t>
            </w:r>
          </w:p>
        </w:tc>
        <w:tc>
          <w:tcPr>
            <w:tcW w:w="1984" w:type="dxa"/>
            <w:tcBorders>
              <w:top w:val="nil"/>
              <w:left w:val="nil"/>
              <w:bottom w:val="nil"/>
              <w:right w:val="nil"/>
            </w:tcBorders>
            <w:shd w:val="clear" w:color="auto" w:fill="auto"/>
            <w:vAlign w:val="center"/>
            <w:hideMark/>
          </w:tcPr>
          <w:p w14:paraId="64D83B8C"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-2.86(0.004)</w:t>
            </w:r>
          </w:p>
        </w:tc>
        <w:tc>
          <w:tcPr>
            <w:tcW w:w="1560" w:type="dxa"/>
            <w:tcBorders>
              <w:top w:val="nil"/>
              <w:left w:val="nil"/>
              <w:bottom w:val="nil"/>
              <w:right w:val="nil"/>
            </w:tcBorders>
            <w:shd w:val="clear" w:color="auto" w:fill="auto"/>
            <w:vAlign w:val="center"/>
            <w:hideMark/>
          </w:tcPr>
          <w:p w14:paraId="56716783"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-1.45(0.146)</w:t>
            </w:r>
          </w:p>
        </w:tc>
        <w:tc>
          <w:tcPr>
            <w:tcW w:w="1984" w:type="dxa"/>
            <w:tcBorders>
              <w:top w:val="nil"/>
              <w:left w:val="nil"/>
              <w:bottom w:val="nil"/>
              <w:right w:val="nil"/>
            </w:tcBorders>
            <w:shd w:val="clear" w:color="auto" w:fill="auto"/>
            <w:vAlign w:val="center"/>
            <w:hideMark/>
          </w:tcPr>
          <w:p w14:paraId="579CFDE1"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-2.84(0.004)</w:t>
            </w:r>
          </w:p>
        </w:tc>
      </w:tr>
      <w:tr w:rsidR="0092047F" w:rsidRPr="008F05DC" w14:paraId="10E3D956" w14:textId="77777777" w:rsidTr="0092047F">
        <w:trPr>
          <w:trHeight w:val="284"/>
        </w:trPr>
        <w:tc>
          <w:tcPr>
            <w:tcW w:w="3119" w:type="dxa"/>
            <w:tcBorders>
              <w:top w:val="nil"/>
              <w:left w:val="nil"/>
              <w:bottom w:val="nil"/>
              <w:right w:val="nil"/>
            </w:tcBorders>
            <w:shd w:val="clear" w:color="auto" w:fill="auto"/>
            <w:vAlign w:val="center"/>
            <w:hideMark/>
          </w:tcPr>
          <w:p w14:paraId="5C4E2704" w14:textId="77777777" w:rsidR="0092047F" w:rsidRPr="008F05DC" w:rsidRDefault="0092047F" w:rsidP="0092047F">
            <w:pPr>
              <w:spacing w:after="0" w:line="240" w:lineRule="auto"/>
              <w:ind w:firstLine="0"/>
              <w:jc w:val="left"/>
              <w:rPr>
                <w:rFonts w:eastAsia="Times New Roman" w:cs="Times New Roman"/>
                <w:i/>
                <w:iCs/>
                <w:color w:val="000000"/>
                <w:sz w:val="22"/>
                <w:lang w:eastAsia="en-GB"/>
              </w:rPr>
            </w:pPr>
            <w:r w:rsidRPr="008F05DC">
              <w:rPr>
                <w:rFonts w:eastAsia="Times New Roman" w:cs="Times New Roman"/>
                <w:i/>
                <w:iCs/>
                <w:color w:val="000000"/>
                <w:sz w:val="22"/>
                <w:lang w:val="en-US" w:eastAsia="en-GB"/>
              </w:rPr>
              <w:t>AR (2) (p-value)</w:t>
            </w:r>
          </w:p>
        </w:tc>
        <w:tc>
          <w:tcPr>
            <w:tcW w:w="1984" w:type="dxa"/>
            <w:tcBorders>
              <w:top w:val="nil"/>
              <w:left w:val="nil"/>
              <w:bottom w:val="nil"/>
              <w:right w:val="nil"/>
            </w:tcBorders>
            <w:shd w:val="clear" w:color="auto" w:fill="auto"/>
            <w:vAlign w:val="center"/>
            <w:hideMark/>
          </w:tcPr>
          <w:p w14:paraId="3D3BBB37"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-0.92(0.354)</w:t>
            </w:r>
          </w:p>
        </w:tc>
        <w:tc>
          <w:tcPr>
            <w:tcW w:w="1560" w:type="dxa"/>
            <w:tcBorders>
              <w:top w:val="nil"/>
              <w:left w:val="nil"/>
              <w:bottom w:val="nil"/>
              <w:right w:val="nil"/>
            </w:tcBorders>
            <w:shd w:val="clear" w:color="auto" w:fill="auto"/>
            <w:vAlign w:val="center"/>
            <w:hideMark/>
          </w:tcPr>
          <w:p w14:paraId="378A0300"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p>
        </w:tc>
        <w:tc>
          <w:tcPr>
            <w:tcW w:w="1984" w:type="dxa"/>
            <w:tcBorders>
              <w:top w:val="nil"/>
              <w:left w:val="nil"/>
              <w:bottom w:val="nil"/>
              <w:right w:val="nil"/>
            </w:tcBorders>
            <w:shd w:val="clear" w:color="auto" w:fill="auto"/>
            <w:vAlign w:val="center"/>
            <w:hideMark/>
          </w:tcPr>
          <w:p w14:paraId="44A1DE8E" w14:textId="77777777" w:rsidR="0092047F" w:rsidRPr="008F05DC" w:rsidRDefault="0092047F" w:rsidP="0092047F">
            <w:pPr>
              <w:spacing w:after="0" w:line="240" w:lineRule="auto"/>
              <w:ind w:firstLine="0"/>
              <w:jc w:val="center"/>
              <w:rPr>
                <w:rFonts w:eastAsia="Times New Roman" w:cs="Times New Roman"/>
                <w:i/>
                <w:iCs/>
                <w:color w:val="000000"/>
                <w:sz w:val="22"/>
                <w:lang w:eastAsia="en-GB"/>
              </w:rPr>
            </w:pPr>
            <w:r w:rsidRPr="008F05DC">
              <w:rPr>
                <w:rFonts w:eastAsia="Times New Roman" w:cs="Times New Roman"/>
                <w:i/>
                <w:iCs/>
                <w:color w:val="000000"/>
                <w:sz w:val="22"/>
                <w:lang w:val="en-US" w:eastAsia="en-GB"/>
              </w:rPr>
              <w:t>-0.89(0.369)</w:t>
            </w:r>
          </w:p>
        </w:tc>
      </w:tr>
      <w:tr w:rsidR="0092047F" w:rsidRPr="008F05DC" w14:paraId="173E178F" w14:textId="77777777" w:rsidTr="0092047F">
        <w:trPr>
          <w:trHeight w:val="284"/>
        </w:trPr>
        <w:tc>
          <w:tcPr>
            <w:tcW w:w="3119" w:type="dxa"/>
            <w:tcBorders>
              <w:top w:val="nil"/>
              <w:left w:val="nil"/>
              <w:bottom w:val="nil"/>
              <w:right w:val="nil"/>
            </w:tcBorders>
            <w:shd w:val="clear" w:color="auto" w:fill="auto"/>
            <w:vAlign w:val="center"/>
            <w:hideMark/>
          </w:tcPr>
          <w:p w14:paraId="1015735D"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Observations</w:t>
            </w:r>
          </w:p>
        </w:tc>
        <w:tc>
          <w:tcPr>
            <w:tcW w:w="1984" w:type="dxa"/>
            <w:tcBorders>
              <w:top w:val="nil"/>
              <w:left w:val="nil"/>
              <w:bottom w:val="nil"/>
              <w:right w:val="nil"/>
            </w:tcBorders>
            <w:shd w:val="clear" w:color="auto" w:fill="auto"/>
            <w:vAlign w:val="center"/>
            <w:hideMark/>
          </w:tcPr>
          <w:p w14:paraId="21F77654"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421</w:t>
            </w:r>
          </w:p>
        </w:tc>
        <w:tc>
          <w:tcPr>
            <w:tcW w:w="1560" w:type="dxa"/>
            <w:tcBorders>
              <w:top w:val="nil"/>
              <w:left w:val="nil"/>
              <w:bottom w:val="nil"/>
              <w:right w:val="nil"/>
            </w:tcBorders>
            <w:shd w:val="clear" w:color="auto" w:fill="auto"/>
            <w:vAlign w:val="center"/>
            <w:hideMark/>
          </w:tcPr>
          <w:p w14:paraId="2D83293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258</w:t>
            </w:r>
          </w:p>
        </w:tc>
        <w:tc>
          <w:tcPr>
            <w:tcW w:w="1984" w:type="dxa"/>
            <w:tcBorders>
              <w:top w:val="nil"/>
              <w:left w:val="nil"/>
              <w:bottom w:val="nil"/>
              <w:right w:val="nil"/>
            </w:tcBorders>
            <w:shd w:val="clear" w:color="auto" w:fill="auto"/>
            <w:vAlign w:val="center"/>
            <w:hideMark/>
          </w:tcPr>
          <w:p w14:paraId="1BD00AE1"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335</w:t>
            </w:r>
          </w:p>
        </w:tc>
      </w:tr>
      <w:tr w:rsidR="0092047F" w:rsidRPr="008F05DC" w14:paraId="6D04A602" w14:textId="77777777" w:rsidTr="0092047F">
        <w:trPr>
          <w:trHeight w:val="284"/>
        </w:trPr>
        <w:tc>
          <w:tcPr>
            <w:tcW w:w="3119" w:type="dxa"/>
            <w:tcBorders>
              <w:top w:val="nil"/>
              <w:left w:val="nil"/>
              <w:bottom w:val="single" w:sz="8" w:space="0" w:color="auto"/>
              <w:right w:val="nil"/>
            </w:tcBorders>
            <w:shd w:val="clear" w:color="auto" w:fill="auto"/>
            <w:vAlign w:val="center"/>
            <w:hideMark/>
          </w:tcPr>
          <w:p w14:paraId="441A76CE" w14:textId="77777777" w:rsidR="0092047F" w:rsidRPr="008F05DC" w:rsidRDefault="0092047F" w:rsidP="0092047F">
            <w:pPr>
              <w:spacing w:after="0" w:line="240" w:lineRule="auto"/>
              <w:ind w:firstLine="0"/>
              <w:jc w:val="left"/>
              <w:rPr>
                <w:rFonts w:eastAsia="Times New Roman" w:cs="Times New Roman"/>
                <w:color w:val="000000"/>
                <w:sz w:val="22"/>
                <w:lang w:eastAsia="en-GB"/>
              </w:rPr>
            </w:pPr>
            <w:r w:rsidRPr="008F05DC">
              <w:rPr>
                <w:rFonts w:eastAsia="Times New Roman" w:cs="Times New Roman"/>
                <w:color w:val="000000"/>
                <w:sz w:val="22"/>
                <w:lang w:val="en-US" w:eastAsia="en-GB"/>
              </w:rPr>
              <w:t>Number of firms</w:t>
            </w:r>
          </w:p>
        </w:tc>
        <w:tc>
          <w:tcPr>
            <w:tcW w:w="1984" w:type="dxa"/>
            <w:tcBorders>
              <w:top w:val="nil"/>
              <w:left w:val="nil"/>
              <w:bottom w:val="single" w:sz="8" w:space="0" w:color="auto"/>
              <w:right w:val="nil"/>
            </w:tcBorders>
            <w:shd w:val="clear" w:color="auto" w:fill="auto"/>
            <w:vAlign w:val="center"/>
            <w:hideMark/>
          </w:tcPr>
          <w:p w14:paraId="464C9CF8"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86</w:t>
            </w:r>
          </w:p>
        </w:tc>
        <w:tc>
          <w:tcPr>
            <w:tcW w:w="1560" w:type="dxa"/>
            <w:tcBorders>
              <w:top w:val="nil"/>
              <w:left w:val="nil"/>
              <w:bottom w:val="single" w:sz="8" w:space="0" w:color="auto"/>
              <w:right w:val="nil"/>
            </w:tcBorders>
            <w:shd w:val="clear" w:color="auto" w:fill="auto"/>
            <w:vAlign w:val="center"/>
            <w:hideMark/>
          </w:tcPr>
          <w:p w14:paraId="042EB1A9"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86</w:t>
            </w:r>
          </w:p>
        </w:tc>
        <w:tc>
          <w:tcPr>
            <w:tcW w:w="1984" w:type="dxa"/>
            <w:tcBorders>
              <w:top w:val="nil"/>
              <w:left w:val="nil"/>
              <w:bottom w:val="single" w:sz="8" w:space="0" w:color="auto"/>
              <w:right w:val="nil"/>
            </w:tcBorders>
            <w:shd w:val="clear" w:color="auto" w:fill="auto"/>
            <w:vAlign w:val="center"/>
            <w:hideMark/>
          </w:tcPr>
          <w:p w14:paraId="0E625286" w14:textId="77777777" w:rsidR="0092047F" w:rsidRPr="008F05DC" w:rsidRDefault="0092047F" w:rsidP="0092047F">
            <w:pPr>
              <w:spacing w:after="0" w:line="240" w:lineRule="auto"/>
              <w:ind w:firstLine="0"/>
              <w:jc w:val="center"/>
              <w:rPr>
                <w:rFonts w:eastAsia="Times New Roman" w:cs="Times New Roman"/>
                <w:color w:val="000000"/>
                <w:sz w:val="22"/>
                <w:lang w:eastAsia="en-GB"/>
              </w:rPr>
            </w:pPr>
            <w:r w:rsidRPr="008F05DC">
              <w:rPr>
                <w:rFonts w:eastAsia="Times New Roman" w:cs="Times New Roman"/>
                <w:color w:val="000000"/>
                <w:sz w:val="22"/>
                <w:lang w:val="en-US" w:eastAsia="en-GB"/>
              </w:rPr>
              <w:t>86</w:t>
            </w:r>
          </w:p>
        </w:tc>
      </w:tr>
    </w:tbl>
    <w:p w14:paraId="666197EE" w14:textId="408557E2" w:rsidR="00BC3083" w:rsidRDefault="0092047F" w:rsidP="0092047F">
      <w:pPr>
        <w:spacing w:line="240" w:lineRule="auto"/>
        <w:ind w:right="379" w:firstLine="0"/>
        <w:rPr>
          <w:rFonts w:eastAsia="Times New Roman" w:cs="Times New Roman"/>
          <w:noProof/>
          <w:sz w:val="20"/>
          <w:szCs w:val="20"/>
          <w:lang w:eastAsia="en-GB"/>
        </w:rPr>
      </w:pPr>
      <w:r>
        <w:rPr>
          <w:rFonts w:eastAsia="Times New Roman" w:cs="Times New Roman"/>
          <w:noProof/>
          <w:sz w:val="20"/>
          <w:szCs w:val="20"/>
          <w:lang w:eastAsia="en-GB"/>
        </w:rPr>
        <w:t xml:space="preserve">Table 7 </w:t>
      </w:r>
      <w:r w:rsidRPr="00467BF5">
        <w:rPr>
          <w:rFonts w:eastAsia="Times New Roman" w:cs="Times New Roman"/>
          <w:noProof/>
          <w:sz w:val="20"/>
          <w:szCs w:val="20"/>
          <w:lang w:eastAsia="en-GB"/>
        </w:rPr>
        <w:t xml:space="preserve">provides the results when the data is analysed for the </w:t>
      </w:r>
      <w:r>
        <w:rPr>
          <w:rFonts w:eastAsia="Times New Roman" w:cs="Times New Roman"/>
          <w:noProof/>
          <w:sz w:val="20"/>
          <w:szCs w:val="20"/>
          <w:lang w:eastAsia="en-GB"/>
        </w:rPr>
        <w:t>three time</w:t>
      </w:r>
      <w:r w:rsidRPr="00467BF5">
        <w:rPr>
          <w:rFonts w:eastAsia="Times New Roman" w:cs="Times New Roman"/>
          <w:noProof/>
          <w:sz w:val="20"/>
          <w:szCs w:val="20"/>
          <w:lang w:eastAsia="en-GB"/>
        </w:rPr>
        <w:t xml:space="preserve"> pe</w:t>
      </w:r>
      <w:r>
        <w:rPr>
          <w:rFonts w:eastAsia="Times New Roman" w:cs="Times New Roman"/>
          <w:noProof/>
          <w:sz w:val="20"/>
          <w:szCs w:val="20"/>
          <w:lang w:eastAsia="en-GB"/>
        </w:rPr>
        <w:t>riods using ROA as dependent variable to proxy shareholder value. All independent variables are exactly the same as those used in Table 4. L.1, L.2 &amp; L.3 are  lags 1, 2 and 3 respectively of the dependent variables</w:t>
      </w:r>
      <w:r w:rsidRPr="00467BF5">
        <w:rPr>
          <w:rFonts w:eastAsia="Times New Roman" w:cs="Times New Roman"/>
          <w:noProof/>
          <w:sz w:val="20"/>
          <w:szCs w:val="20"/>
          <w:lang w:eastAsia="en-GB"/>
        </w:rPr>
        <w:t>. *** significance at p&lt;0.01, ** significance at p&lt;0.05, * significance at p&lt;0.1. Standard errors in parentheses.</w:t>
      </w:r>
      <w:r w:rsidR="00BC3083">
        <w:rPr>
          <w:rFonts w:eastAsia="Times New Roman" w:cs="Times New Roman"/>
          <w:noProof/>
          <w:sz w:val="20"/>
          <w:szCs w:val="20"/>
          <w:lang w:eastAsia="en-GB"/>
        </w:rPr>
        <w:br w:type="page"/>
      </w:r>
    </w:p>
    <w:p w14:paraId="5E4A0705" w14:textId="0806F71F" w:rsidR="00BC3083" w:rsidRDefault="0092047F" w:rsidP="0092047F">
      <w:pPr>
        <w:pStyle w:val="NoSpacing"/>
        <w:rPr>
          <w:sz w:val="20"/>
          <w:szCs w:val="20"/>
          <w:lang w:eastAsia="en-GB"/>
        </w:rPr>
      </w:pPr>
      <w:r w:rsidRPr="006D6DF8">
        <w:rPr>
          <w:rFonts w:eastAsia="Calibri"/>
          <w:b/>
          <w:sz w:val="20"/>
          <w:szCs w:val="20"/>
        </w:rPr>
        <w:lastRenderedPageBreak/>
        <w:t xml:space="preserve">Appendix </w:t>
      </w:r>
      <w:r w:rsidRPr="00D27E77">
        <w:rPr>
          <w:rFonts w:eastAsia="Calibri"/>
          <w:sz w:val="20"/>
          <w:szCs w:val="20"/>
        </w:rPr>
        <w:t>1</w:t>
      </w:r>
      <w:r>
        <w:rPr>
          <w:rFonts w:eastAsia="Calibri"/>
          <w:sz w:val="20"/>
          <w:szCs w:val="20"/>
        </w:rPr>
        <w:t xml:space="preserve"> </w:t>
      </w:r>
      <w:r w:rsidRPr="00D27E77">
        <w:rPr>
          <w:sz w:val="20"/>
          <w:szCs w:val="20"/>
          <w:lang w:eastAsia="en-GB"/>
        </w:rPr>
        <w:t xml:space="preserve">Provisions from the </w:t>
      </w:r>
      <w:r w:rsidRPr="00D27E77">
        <w:rPr>
          <w:color w:val="000000"/>
          <w:sz w:val="20"/>
          <w:szCs w:val="20"/>
        </w:rPr>
        <w:t>UK Corporate Governance Code</w:t>
      </w:r>
      <w:r w:rsidRPr="00D27E77">
        <w:rPr>
          <w:sz w:val="20"/>
          <w:szCs w:val="20"/>
          <w:lang w:eastAsia="en-GB"/>
        </w:rPr>
        <w:t xml:space="preserve"> which are included in developing the Non-Compliance Index (NCI).</w:t>
      </w:r>
    </w:p>
    <w:tbl>
      <w:tblPr>
        <w:tblStyle w:val="TableGrid111"/>
        <w:tblpPr w:leftFromText="180" w:rightFromText="180" w:vertAnchor="text" w:horzAnchor="margin" w:tblpY="62"/>
        <w:tblW w:w="91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59"/>
      </w:tblGrid>
      <w:tr w:rsidR="00BC3083" w:rsidRPr="00D064DD" w14:paraId="62109D43" w14:textId="77777777" w:rsidTr="00BC3083">
        <w:trPr>
          <w:trHeight w:val="337"/>
        </w:trPr>
        <w:tc>
          <w:tcPr>
            <w:tcW w:w="537" w:type="dxa"/>
            <w:noWrap/>
          </w:tcPr>
          <w:p w14:paraId="7519C71A" w14:textId="77777777" w:rsidR="00BC3083" w:rsidRPr="00D064DD" w:rsidRDefault="00BC3083" w:rsidP="001B79DA">
            <w:pPr>
              <w:pStyle w:val="NoSpacing"/>
              <w:rPr>
                <w:sz w:val="20"/>
                <w:szCs w:val="20"/>
              </w:rPr>
            </w:pPr>
            <w:r>
              <w:rPr>
                <w:sz w:val="20"/>
                <w:szCs w:val="20"/>
              </w:rPr>
              <w:t>P1</w:t>
            </w:r>
          </w:p>
        </w:tc>
        <w:tc>
          <w:tcPr>
            <w:tcW w:w="8659" w:type="dxa"/>
            <w:noWrap/>
          </w:tcPr>
          <w:p w14:paraId="78F820D6" w14:textId="77777777" w:rsidR="00BC3083" w:rsidRPr="00D064DD" w:rsidRDefault="00BC3083" w:rsidP="001B79DA">
            <w:pPr>
              <w:pStyle w:val="NoSpacing"/>
              <w:rPr>
                <w:sz w:val="20"/>
                <w:szCs w:val="20"/>
              </w:rPr>
            </w:pPr>
            <w:r w:rsidRPr="0024423C">
              <w:rPr>
                <w:sz w:val="20"/>
                <w:szCs w:val="20"/>
                <w:lang w:val="en-GB"/>
              </w:rPr>
              <w:t>Principle A.2 of the Code states that there should be a clear division of responsibilities at the head of the company between the running of the board and the executive responsibility for the running of the company’s business. No one individual should have unfettered powers of decision.</w:t>
            </w:r>
          </w:p>
        </w:tc>
      </w:tr>
      <w:tr w:rsidR="00BC3083" w:rsidRPr="00D064DD" w14:paraId="2DFBB741" w14:textId="77777777" w:rsidTr="00BC3083">
        <w:trPr>
          <w:trHeight w:val="337"/>
        </w:trPr>
        <w:tc>
          <w:tcPr>
            <w:tcW w:w="537" w:type="dxa"/>
            <w:noWrap/>
          </w:tcPr>
          <w:p w14:paraId="326E065B" w14:textId="77777777" w:rsidR="00BC3083" w:rsidRPr="00D064DD" w:rsidRDefault="00BC3083" w:rsidP="001B79DA">
            <w:pPr>
              <w:pStyle w:val="NoSpacing"/>
              <w:rPr>
                <w:sz w:val="20"/>
                <w:szCs w:val="20"/>
              </w:rPr>
            </w:pPr>
            <w:r>
              <w:rPr>
                <w:sz w:val="20"/>
                <w:szCs w:val="20"/>
              </w:rPr>
              <w:t>P2</w:t>
            </w:r>
          </w:p>
        </w:tc>
        <w:tc>
          <w:tcPr>
            <w:tcW w:w="8659" w:type="dxa"/>
            <w:noWrap/>
          </w:tcPr>
          <w:p w14:paraId="41F6A3EE" w14:textId="77777777" w:rsidR="00BC3083" w:rsidRPr="00D064DD" w:rsidRDefault="00BC3083" w:rsidP="001B79DA">
            <w:pPr>
              <w:pStyle w:val="NoSpacing"/>
              <w:rPr>
                <w:sz w:val="20"/>
                <w:szCs w:val="20"/>
              </w:rPr>
            </w:pPr>
            <w:r w:rsidRPr="0024423C">
              <w:rPr>
                <w:sz w:val="20"/>
                <w:szCs w:val="20"/>
              </w:rPr>
              <w:t>Principle A.2.2 of the Code states that the chairman should, on appointment, meet the independence criteria set out in Section A.3.1 of the UK Corporate Governance Code.</w:t>
            </w:r>
          </w:p>
        </w:tc>
      </w:tr>
      <w:tr w:rsidR="00BC3083" w:rsidRPr="00D064DD" w14:paraId="30CA2128" w14:textId="77777777" w:rsidTr="00BC3083">
        <w:trPr>
          <w:trHeight w:val="337"/>
        </w:trPr>
        <w:tc>
          <w:tcPr>
            <w:tcW w:w="537" w:type="dxa"/>
            <w:noWrap/>
          </w:tcPr>
          <w:p w14:paraId="2CB211A1" w14:textId="77777777" w:rsidR="00BC3083" w:rsidRPr="00D064DD" w:rsidRDefault="00BC3083" w:rsidP="001B79DA">
            <w:pPr>
              <w:pStyle w:val="NoSpacing"/>
              <w:rPr>
                <w:sz w:val="20"/>
                <w:szCs w:val="20"/>
              </w:rPr>
            </w:pPr>
            <w:r>
              <w:rPr>
                <w:sz w:val="20"/>
                <w:szCs w:val="20"/>
              </w:rPr>
              <w:t>P3</w:t>
            </w:r>
          </w:p>
        </w:tc>
        <w:tc>
          <w:tcPr>
            <w:tcW w:w="8659" w:type="dxa"/>
            <w:noWrap/>
          </w:tcPr>
          <w:p w14:paraId="465B1F3C" w14:textId="77777777" w:rsidR="00BC3083" w:rsidRPr="00D064DD" w:rsidRDefault="00BC3083" w:rsidP="001B79DA">
            <w:pPr>
              <w:pStyle w:val="NoSpacing"/>
              <w:rPr>
                <w:sz w:val="20"/>
                <w:szCs w:val="20"/>
              </w:rPr>
            </w:pPr>
            <w:r w:rsidRPr="0024423C">
              <w:rPr>
                <w:sz w:val="20"/>
                <w:szCs w:val="20"/>
              </w:rPr>
              <w:t>Principle A.3.3 states that the board should appoint one of the independent non-executive directors to be the senior independent director.</w:t>
            </w:r>
          </w:p>
        </w:tc>
      </w:tr>
      <w:tr w:rsidR="00BC3083" w:rsidRPr="00D064DD" w14:paraId="66375A6C" w14:textId="77777777" w:rsidTr="00BC3083">
        <w:trPr>
          <w:trHeight w:val="337"/>
        </w:trPr>
        <w:tc>
          <w:tcPr>
            <w:tcW w:w="537" w:type="dxa"/>
            <w:noWrap/>
            <w:hideMark/>
          </w:tcPr>
          <w:p w14:paraId="5566C5A2" w14:textId="77777777" w:rsidR="00BC3083" w:rsidRPr="00D064DD" w:rsidRDefault="00BC3083" w:rsidP="001B79DA">
            <w:pPr>
              <w:pStyle w:val="NoSpacing"/>
              <w:rPr>
                <w:sz w:val="20"/>
                <w:szCs w:val="20"/>
              </w:rPr>
            </w:pPr>
            <w:r w:rsidRPr="00D064DD">
              <w:rPr>
                <w:sz w:val="20"/>
                <w:szCs w:val="20"/>
              </w:rPr>
              <w:t>P4</w:t>
            </w:r>
          </w:p>
        </w:tc>
        <w:tc>
          <w:tcPr>
            <w:tcW w:w="8659" w:type="dxa"/>
            <w:noWrap/>
            <w:hideMark/>
          </w:tcPr>
          <w:p w14:paraId="62B8CA57" w14:textId="77777777" w:rsidR="00BC3083" w:rsidRPr="00D064DD" w:rsidRDefault="00BC3083" w:rsidP="001B79DA">
            <w:pPr>
              <w:pStyle w:val="NoSpacing"/>
              <w:rPr>
                <w:sz w:val="20"/>
                <w:szCs w:val="20"/>
              </w:rPr>
            </w:pPr>
            <w:r w:rsidRPr="00D064DD">
              <w:rPr>
                <w:sz w:val="20"/>
                <w:szCs w:val="20"/>
              </w:rPr>
              <w:t>Principle A.3.2 states that except for smaller companies</w:t>
            </w:r>
            <w:r>
              <w:rPr>
                <w:rStyle w:val="EndnoteReference"/>
                <w:sz w:val="20"/>
                <w:szCs w:val="20"/>
              </w:rPr>
              <w:endnoteReference w:id="16"/>
            </w:r>
            <w:r w:rsidRPr="00D064DD">
              <w:rPr>
                <w:sz w:val="20"/>
                <w:szCs w:val="20"/>
              </w:rPr>
              <w:t xml:space="preserve"> at least half of the board excluding the chairman should be Independent non-executive directors (INEDs).</w:t>
            </w:r>
          </w:p>
        </w:tc>
      </w:tr>
      <w:tr w:rsidR="00BC3083" w:rsidRPr="00D064DD" w14:paraId="33F05FAD" w14:textId="77777777" w:rsidTr="00BC3083">
        <w:trPr>
          <w:trHeight w:val="337"/>
        </w:trPr>
        <w:tc>
          <w:tcPr>
            <w:tcW w:w="537" w:type="dxa"/>
            <w:noWrap/>
            <w:hideMark/>
          </w:tcPr>
          <w:p w14:paraId="7494D3DF" w14:textId="77777777" w:rsidR="00BC3083" w:rsidRPr="00D064DD" w:rsidRDefault="00BC3083" w:rsidP="001B79DA">
            <w:pPr>
              <w:pStyle w:val="NoSpacing"/>
              <w:rPr>
                <w:sz w:val="20"/>
                <w:szCs w:val="20"/>
              </w:rPr>
            </w:pPr>
            <w:r w:rsidRPr="00D064DD">
              <w:rPr>
                <w:sz w:val="20"/>
                <w:szCs w:val="20"/>
              </w:rPr>
              <w:t>P5</w:t>
            </w:r>
          </w:p>
        </w:tc>
        <w:tc>
          <w:tcPr>
            <w:tcW w:w="8659" w:type="dxa"/>
            <w:noWrap/>
            <w:hideMark/>
          </w:tcPr>
          <w:p w14:paraId="0C910EC5" w14:textId="77777777" w:rsidR="00BC3083" w:rsidRPr="00D064DD" w:rsidRDefault="00BC3083" w:rsidP="001B79DA">
            <w:pPr>
              <w:pStyle w:val="NoSpacing"/>
              <w:rPr>
                <w:sz w:val="20"/>
                <w:szCs w:val="20"/>
              </w:rPr>
            </w:pPr>
            <w:r w:rsidRPr="00D064DD">
              <w:rPr>
                <w:sz w:val="20"/>
                <w:szCs w:val="20"/>
              </w:rPr>
              <w:t>Principle A.3.2 states that the majority of non-executive directors (NEDs) should be Independent.</w:t>
            </w:r>
          </w:p>
        </w:tc>
      </w:tr>
      <w:tr w:rsidR="00BC3083" w:rsidRPr="00D064DD" w14:paraId="1DDDEBD5" w14:textId="77777777" w:rsidTr="00BC3083">
        <w:trPr>
          <w:trHeight w:val="337"/>
        </w:trPr>
        <w:tc>
          <w:tcPr>
            <w:tcW w:w="537" w:type="dxa"/>
            <w:noWrap/>
            <w:hideMark/>
          </w:tcPr>
          <w:p w14:paraId="27934DF6" w14:textId="77777777" w:rsidR="00BC3083" w:rsidRPr="00D064DD" w:rsidRDefault="00BC3083" w:rsidP="001B79DA">
            <w:pPr>
              <w:pStyle w:val="NoSpacing"/>
              <w:rPr>
                <w:sz w:val="20"/>
                <w:szCs w:val="20"/>
              </w:rPr>
            </w:pPr>
            <w:r w:rsidRPr="00D064DD">
              <w:rPr>
                <w:sz w:val="20"/>
                <w:szCs w:val="20"/>
              </w:rPr>
              <w:t>P6</w:t>
            </w:r>
          </w:p>
        </w:tc>
        <w:tc>
          <w:tcPr>
            <w:tcW w:w="8659" w:type="dxa"/>
            <w:noWrap/>
            <w:hideMark/>
          </w:tcPr>
          <w:p w14:paraId="59228F3D" w14:textId="77777777" w:rsidR="00BC3083" w:rsidRPr="00D064DD" w:rsidRDefault="00BC3083" w:rsidP="001B79DA">
            <w:pPr>
              <w:pStyle w:val="NoSpacing"/>
              <w:rPr>
                <w:sz w:val="20"/>
                <w:szCs w:val="20"/>
              </w:rPr>
            </w:pPr>
            <w:r w:rsidRPr="00D064DD">
              <w:rPr>
                <w:sz w:val="20"/>
                <w:szCs w:val="20"/>
              </w:rPr>
              <w:t>Principles A.4.1, C.3.1, and B.2.1 state that the board should establish nomination, audit and remuneration committees.</w:t>
            </w:r>
          </w:p>
        </w:tc>
      </w:tr>
      <w:tr w:rsidR="00BC3083" w:rsidRPr="00D064DD" w14:paraId="0F39529D" w14:textId="77777777" w:rsidTr="00BC3083">
        <w:trPr>
          <w:trHeight w:val="337"/>
        </w:trPr>
        <w:tc>
          <w:tcPr>
            <w:tcW w:w="537" w:type="dxa"/>
            <w:noWrap/>
            <w:hideMark/>
          </w:tcPr>
          <w:p w14:paraId="65AD0798" w14:textId="77777777" w:rsidR="00BC3083" w:rsidRPr="00D064DD" w:rsidRDefault="00BC3083" w:rsidP="001B79DA">
            <w:pPr>
              <w:pStyle w:val="NoSpacing"/>
              <w:rPr>
                <w:sz w:val="20"/>
                <w:szCs w:val="20"/>
              </w:rPr>
            </w:pPr>
            <w:r w:rsidRPr="00D064DD">
              <w:rPr>
                <w:sz w:val="20"/>
                <w:szCs w:val="20"/>
              </w:rPr>
              <w:t>P7</w:t>
            </w:r>
          </w:p>
        </w:tc>
        <w:tc>
          <w:tcPr>
            <w:tcW w:w="8659" w:type="dxa"/>
            <w:noWrap/>
            <w:hideMark/>
          </w:tcPr>
          <w:p w14:paraId="3A093B6B" w14:textId="77777777" w:rsidR="00BC3083" w:rsidRPr="00D064DD" w:rsidRDefault="00BC3083" w:rsidP="001B79DA">
            <w:pPr>
              <w:pStyle w:val="NoSpacing"/>
              <w:rPr>
                <w:sz w:val="20"/>
                <w:szCs w:val="20"/>
              </w:rPr>
            </w:pPr>
            <w:r w:rsidRPr="00D064DD">
              <w:rPr>
                <w:sz w:val="20"/>
                <w:szCs w:val="20"/>
              </w:rPr>
              <w:t>Principle A.4.6 states that a separate section of the annual report should describe the work of the nomination committee, including the process it has used in relation to board appointments.</w:t>
            </w:r>
          </w:p>
        </w:tc>
      </w:tr>
      <w:tr w:rsidR="00BC3083" w:rsidRPr="00D064DD" w14:paraId="72B7C696" w14:textId="77777777" w:rsidTr="00BC3083">
        <w:trPr>
          <w:trHeight w:val="337"/>
        </w:trPr>
        <w:tc>
          <w:tcPr>
            <w:tcW w:w="537" w:type="dxa"/>
            <w:noWrap/>
            <w:hideMark/>
          </w:tcPr>
          <w:p w14:paraId="2523033D" w14:textId="77777777" w:rsidR="00BC3083" w:rsidRPr="00D064DD" w:rsidRDefault="00BC3083" w:rsidP="001B79DA">
            <w:pPr>
              <w:pStyle w:val="NoSpacing"/>
              <w:rPr>
                <w:sz w:val="20"/>
                <w:szCs w:val="20"/>
              </w:rPr>
            </w:pPr>
            <w:r w:rsidRPr="00D064DD">
              <w:rPr>
                <w:sz w:val="20"/>
                <w:szCs w:val="20"/>
              </w:rPr>
              <w:t>P8</w:t>
            </w:r>
          </w:p>
        </w:tc>
        <w:tc>
          <w:tcPr>
            <w:tcW w:w="8659" w:type="dxa"/>
            <w:noWrap/>
            <w:hideMark/>
          </w:tcPr>
          <w:p w14:paraId="4B400976" w14:textId="77777777" w:rsidR="00BC3083" w:rsidRPr="00D064DD" w:rsidRDefault="00BC3083" w:rsidP="001B79DA">
            <w:pPr>
              <w:pStyle w:val="NoSpacing"/>
              <w:rPr>
                <w:sz w:val="20"/>
                <w:szCs w:val="20"/>
              </w:rPr>
            </w:pPr>
            <w:r w:rsidRPr="00D064DD">
              <w:rPr>
                <w:sz w:val="20"/>
                <w:szCs w:val="20"/>
              </w:rPr>
              <w:t>Principles A.4.1, C.3.1, and B.2 state that the audit, nomination, and remuneration committees should be headed by independent non-executive directors (INEDS).</w:t>
            </w:r>
          </w:p>
        </w:tc>
      </w:tr>
      <w:tr w:rsidR="00BC3083" w:rsidRPr="00D064DD" w14:paraId="7B59C4BD" w14:textId="77777777" w:rsidTr="00BC3083">
        <w:trPr>
          <w:trHeight w:val="337"/>
        </w:trPr>
        <w:tc>
          <w:tcPr>
            <w:tcW w:w="537" w:type="dxa"/>
            <w:noWrap/>
            <w:hideMark/>
          </w:tcPr>
          <w:p w14:paraId="0F4A56B7" w14:textId="77777777" w:rsidR="00BC3083" w:rsidRPr="00D064DD" w:rsidRDefault="00BC3083" w:rsidP="001B79DA">
            <w:pPr>
              <w:pStyle w:val="NoSpacing"/>
              <w:rPr>
                <w:sz w:val="20"/>
                <w:szCs w:val="20"/>
              </w:rPr>
            </w:pPr>
            <w:r w:rsidRPr="00D064DD">
              <w:rPr>
                <w:sz w:val="20"/>
                <w:szCs w:val="20"/>
              </w:rPr>
              <w:t>P9</w:t>
            </w:r>
          </w:p>
        </w:tc>
        <w:tc>
          <w:tcPr>
            <w:tcW w:w="8659" w:type="dxa"/>
            <w:noWrap/>
            <w:hideMark/>
          </w:tcPr>
          <w:p w14:paraId="31ED6573" w14:textId="77777777" w:rsidR="00BC3083" w:rsidRPr="00D064DD" w:rsidRDefault="00BC3083" w:rsidP="001B79DA">
            <w:pPr>
              <w:pStyle w:val="NoSpacing"/>
              <w:rPr>
                <w:sz w:val="20"/>
                <w:szCs w:val="20"/>
              </w:rPr>
            </w:pPr>
            <w:r w:rsidRPr="00D064DD">
              <w:rPr>
                <w:sz w:val="20"/>
                <w:szCs w:val="20"/>
              </w:rPr>
              <w:t>Principle A.4.5 states that executive directors should not take more than one non-executive directorship in a FTSE 100 company nor the chairmanship of such a company.</w:t>
            </w:r>
          </w:p>
        </w:tc>
      </w:tr>
      <w:tr w:rsidR="00BC3083" w:rsidRPr="00D064DD" w14:paraId="2BE2977D" w14:textId="77777777" w:rsidTr="00BC3083">
        <w:trPr>
          <w:trHeight w:val="337"/>
        </w:trPr>
        <w:tc>
          <w:tcPr>
            <w:tcW w:w="537" w:type="dxa"/>
            <w:noWrap/>
            <w:hideMark/>
          </w:tcPr>
          <w:p w14:paraId="3DDD904E" w14:textId="77777777" w:rsidR="00BC3083" w:rsidRPr="00D064DD" w:rsidRDefault="00BC3083" w:rsidP="001B79DA">
            <w:pPr>
              <w:pStyle w:val="NoSpacing"/>
              <w:rPr>
                <w:sz w:val="20"/>
                <w:szCs w:val="20"/>
              </w:rPr>
            </w:pPr>
            <w:r w:rsidRPr="00D064DD">
              <w:rPr>
                <w:sz w:val="20"/>
                <w:szCs w:val="20"/>
              </w:rPr>
              <w:t>P10</w:t>
            </w:r>
          </w:p>
        </w:tc>
        <w:tc>
          <w:tcPr>
            <w:tcW w:w="8659" w:type="dxa"/>
            <w:noWrap/>
            <w:hideMark/>
          </w:tcPr>
          <w:p w14:paraId="77F5CDBC" w14:textId="77777777" w:rsidR="00BC3083" w:rsidRPr="00D064DD" w:rsidRDefault="00BC3083" w:rsidP="001B79DA">
            <w:pPr>
              <w:pStyle w:val="NoSpacing"/>
              <w:rPr>
                <w:sz w:val="20"/>
                <w:szCs w:val="20"/>
              </w:rPr>
            </w:pPr>
            <w:r w:rsidRPr="00D064DD">
              <w:rPr>
                <w:sz w:val="20"/>
                <w:szCs w:val="20"/>
              </w:rPr>
              <w:t xml:space="preserve">Principle A.6.1 states that the board should report in the annual report how performance evaluation of the board, its committees and its individual directors has been conducted. </w:t>
            </w:r>
          </w:p>
        </w:tc>
      </w:tr>
      <w:tr w:rsidR="00BC3083" w:rsidRPr="00D064DD" w14:paraId="42A7E12F" w14:textId="77777777" w:rsidTr="00BC3083">
        <w:trPr>
          <w:trHeight w:val="337"/>
        </w:trPr>
        <w:tc>
          <w:tcPr>
            <w:tcW w:w="537" w:type="dxa"/>
            <w:noWrap/>
            <w:hideMark/>
          </w:tcPr>
          <w:p w14:paraId="2EDA695B" w14:textId="77777777" w:rsidR="00BC3083" w:rsidRPr="00D064DD" w:rsidRDefault="00BC3083" w:rsidP="001B79DA">
            <w:pPr>
              <w:pStyle w:val="NoSpacing"/>
              <w:rPr>
                <w:sz w:val="20"/>
                <w:szCs w:val="20"/>
              </w:rPr>
            </w:pPr>
            <w:r w:rsidRPr="00D064DD">
              <w:rPr>
                <w:sz w:val="20"/>
                <w:szCs w:val="20"/>
              </w:rPr>
              <w:t>P11</w:t>
            </w:r>
          </w:p>
        </w:tc>
        <w:tc>
          <w:tcPr>
            <w:tcW w:w="8659" w:type="dxa"/>
            <w:noWrap/>
            <w:hideMark/>
          </w:tcPr>
          <w:p w14:paraId="0C08A4D3" w14:textId="77777777" w:rsidR="00BC3083" w:rsidRPr="00D064DD" w:rsidRDefault="00BC3083" w:rsidP="001B79DA">
            <w:pPr>
              <w:pStyle w:val="NoSpacing"/>
              <w:rPr>
                <w:sz w:val="20"/>
                <w:szCs w:val="20"/>
              </w:rPr>
            </w:pPr>
            <w:r w:rsidRPr="00D064DD">
              <w:rPr>
                <w:sz w:val="20"/>
                <w:szCs w:val="20"/>
              </w:rPr>
              <w:t>Principle A.6.1 states that independent non-executive directors led by senior independent director should be responsible for performance evaluation of the chairman, taking into account the views of executive directors.</w:t>
            </w:r>
          </w:p>
        </w:tc>
      </w:tr>
      <w:tr w:rsidR="00BC3083" w:rsidRPr="00D064DD" w14:paraId="2EC4D4DD" w14:textId="77777777" w:rsidTr="00BC3083">
        <w:trPr>
          <w:trHeight w:val="337"/>
        </w:trPr>
        <w:tc>
          <w:tcPr>
            <w:tcW w:w="537" w:type="dxa"/>
            <w:noWrap/>
            <w:hideMark/>
          </w:tcPr>
          <w:p w14:paraId="3D769A32" w14:textId="77777777" w:rsidR="00BC3083" w:rsidRPr="00D064DD" w:rsidRDefault="00BC3083" w:rsidP="001B79DA">
            <w:pPr>
              <w:pStyle w:val="NoSpacing"/>
              <w:rPr>
                <w:sz w:val="20"/>
                <w:szCs w:val="20"/>
              </w:rPr>
            </w:pPr>
            <w:r w:rsidRPr="00D064DD">
              <w:rPr>
                <w:sz w:val="20"/>
                <w:szCs w:val="20"/>
              </w:rPr>
              <w:t>P12</w:t>
            </w:r>
          </w:p>
        </w:tc>
        <w:tc>
          <w:tcPr>
            <w:tcW w:w="8659" w:type="dxa"/>
            <w:noWrap/>
            <w:hideMark/>
          </w:tcPr>
          <w:p w14:paraId="0A064D01" w14:textId="77777777" w:rsidR="00BC3083" w:rsidRPr="00D064DD" w:rsidRDefault="00BC3083" w:rsidP="001B79DA">
            <w:pPr>
              <w:pStyle w:val="NoSpacing"/>
              <w:rPr>
                <w:sz w:val="20"/>
                <w:szCs w:val="20"/>
              </w:rPr>
            </w:pPr>
            <w:r w:rsidRPr="00D064DD">
              <w:rPr>
                <w:sz w:val="20"/>
                <w:szCs w:val="20"/>
              </w:rPr>
              <w:t>Principle A.7.1 states that all directors should be subject to election at their first AGM, and re-election every three years.</w:t>
            </w:r>
          </w:p>
        </w:tc>
      </w:tr>
      <w:tr w:rsidR="00BC3083" w:rsidRPr="00D064DD" w14:paraId="38FEC746" w14:textId="77777777" w:rsidTr="00BC3083">
        <w:trPr>
          <w:trHeight w:val="337"/>
        </w:trPr>
        <w:tc>
          <w:tcPr>
            <w:tcW w:w="537" w:type="dxa"/>
            <w:noWrap/>
            <w:hideMark/>
          </w:tcPr>
          <w:p w14:paraId="5026F049" w14:textId="77777777" w:rsidR="00BC3083" w:rsidRPr="00D064DD" w:rsidRDefault="00BC3083" w:rsidP="001B79DA">
            <w:pPr>
              <w:pStyle w:val="NoSpacing"/>
              <w:rPr>
                <w:sz w:val="20"/>
                <w:szCs w:val="20"/>
              </w:rPr>
            </w:pPr>
            <w:r w:rsidRPr="00D064DD">
              <w:rPr>
                <w:sz w:val="20"/>
                <w:szCs w:val="20"/>
              </w:rPr>
              <w:t>P13</w:t>
            </w:r>
          </w:p>
        </w:tc>
        <w:tc>
          <w:tcPr>
            <w:tcW w:w="8659" w:type="dxa"/>
            <w:noWrap/>
            <w:hideMark/>
          </w:tcPr>
          <w:p w14:paraId="00DCFDBC" w14:textId="77777777" w:rsidR="00BC3083" w:rsidRPr="00D064DD" w:rsidRDefault="00BC3083" w:rsidP="001B79DA">
            <w:pPr>
              <w:pStyle w:val="NoSpacing"/>
              <w:rPr>
                <w:sz w:val="20"/>
                <w:szCs w:val="20"/>
              </w:rPr>
            </w:pPr>
            <w:r w:rsidRPr="00D064DD">
              <w:rPr>
                <w:sz w:val="20"/>
                <w:szCs w:val="20"/>
              </w:rPr>
              <w:t xml:space="preserve">Principle B.1.1 states that performance-related elements of remuneration should form a significant proportion of the total remuneration package of executive directors and should be designed to align their interests with those of shareholders and to give these directors keen incentives to perform at the highest levels. </w:t>
            </w:r>
          </w:p>
        </w:tc>
      </w:tr>
      <w:tr w:rsidR="00BC3083" w:rsidRPr="00D064DD" w14:paraId="02F55FA1" w14:textId="77777777" w:rsidTr="00BC3083">
        <w:trPr>
          <w:trHeight w:val="337"/>
        </w:trPr>
        <w:tc>
          <w:tcPr>
            <w:tcW w:w="537" w:type="dxa"/>
            <w:noWrap/>
            <w:hideMark/>
          </w:tcPr>
          <w:p w14:paraId="212FA831" w14:textId="77777777" w:rsidR="00BC3083" w:rsidRPr="00D064DD" w:rsidRDefault="00BC3083" w:rsidP="001B79DA">
            <w:pPr>
              <w:pStyle w:val="NoSpacing"/>
              <w:rPr>
                <w:sz w:val="20"/>
                <w:szCs w:val="20"/>
              </w:rPr>
            </w:pPr>
            <w:r w:rsidRPr="00D064DD">
              <w:rPr>
                <w:sz w:val="20"/>
                <w:szCs w:val="20"/>
              </w:rPr>
              <w:t>P14</w:t>
            </w:r>
          </w:p>
        </w:tc>
        <w:tc>
          <w:tcPr>
            <w:tcW w:w="8659" w:type="dxa"/>
            <w:noWrap/>
            <w:hideMark/>
          </w:tcPr>
          <w:p w14:paraId="3C5423FC" w14:textId="77777777" w:rsidR="00BC3083" w:rsidRPr="00D064DD" w:rsidRDefault="00BC3083" w:rsidP="001B79DA">
            <w:pPr>
              <w:pStyle w:val="NoSpacing"/>
              <w:rPr>
                <w:sz w:val="20"/>
                <w:szCs w:val="20"/>
              </w:rPr>
            </w:pPr>
            <w:r w:rsidRPr="00D064DD">
              <w:rPr>
                <w:sz w:val="20"/>
                <w:szCs w:val="20"/>
              </w:rPr>
              <w:t>Principle B.1.2 states that remuneration for NEDs should not include share options.</w:t>
            </w:r>
          </w:p>
        </w:tc>
      </w:tr>
      <w:tr w:rsidR="00BC3083" w:rsidRPr="00D064DD" w14:paraId="2F354EF4" w14:textId="77777777" w:rsidTr="00BC3083">
        <w:trPr>
          <w:trHeight w:val="337"/>
        </w:trPr>
        <w:tc>
          <w:tcPr>
            <w:tcW w:w="537" w:type="dxa"/>
            <w:noWrap/>
            <w:hideMark/>
          </w:tcPr>
          <w:p w14:paraId="1A62583E" w14:textId="77777777" w:rsidR="00BC3083" w:rsidRPr="00D064DD" w:rsidRDefault="00BC3083" w:rsidP="001B79DA">
            <w:pPr>
              <w:pStyle w:val="NoSpacing"/>
              <w:rPr>
                <w:sz w:val="20"/>
                <w:szCs w:val="20"/>
              </w:rPr>
            </w:pPr>
            <w:r w:rsidRPr="00D064DD">
              <w:rPr>
                <w:sz w:val="20"/>
                <w:szCs w:val="20"/>
              </w:rPr>
              <w:t>P15</w:t>
            </w:r>
          </w:p>
        </w:tc>
        <w:tc>
          <w:tcPr>
            <w:tcW w:w="8659" w:type="dxa"/>
            <w:noWrap/>
            <w:hideMark/>
          </w:tcPr>
          <w:p w14:paraId="49DFF135" w14:textId="77777777" w:rsidR="00BC3083" w:rsidRPr="00D064DD" w:rsidRDefault="00BC3083" w:rsidP="001B79DA">
            <w:pPr>
              <w:pStyle w:val="NoSpacing"/>
              <w:rPr>
                <w:sz w:val="20"/>
                <w:szCs w:val="20"/>
              </w:rPr>
            </w:pPr>
            <w:r w:rsidRPr="00D064DD">
              <w:rPr>
                <w:sz w:val="20"/>
                <w:szCs w:val="20"/>
              </w:rPr>
              <w:t>Principle B.2.1 states that remuneration committee should be entirely composed of independent non-executive directors.</w:t>
            </w:r>
          </w:p>
        </w:tc>
      </w:tr>
      <w:tr w:rsidR="00BC3083" w:rsidRPr="00D064DD" w14:paraId="18747B56" w14:textId="77777777" w:rsidTr="00BC3083">
        <w:trPr>
          <w:trHeight w:val="337"/>
        </w:trPr>
        <w:tc>
          <w:tcPr>
            <w:tcW w:w="537" w:type="dxa"/>
            <w:noWrap/>
            <w:hideMark/>
          </w:tcPr>
          <w:p w14:paraId="2B22B22C" w14:textId="77777777" w:rsidR="00BC3083" w:rsidRPr="00D064DD" w:rsidRDefault="00BC3083" w:rsidP="001B79DA">
            <w:pPr>
              <w:pStyle w:val="NoSpacing"/>
              <w:rPr>
                <w:sz w:val="20"/>
                <w:szCs w:val="20"/>
              </w:rPr>
            </w:pPr>
            <w:r w:rsidRPr="00D064DD">
              <w:rPr>
                <w:sz w:val="20"/>
                <w:szCs w:val="20"/>
              </w:rPr>
              <w:t>P16</w:t>
            </w:r>
          </w:p>
        </w:tc>
        <w:tc>
          <w:tcPr>
            <w:tcW w:w="8659" w:type="dxa"/>
            <w:noWrap/>
            <w:hideMark/>
          </w:tcPr>
          <w:p w14:paraId="6D19F90E" w14:textId="77777777" w:rsidR="00BC3083" w:rsidRPr="00D064DD" w:rsidRDefault="00BC3083" w:rsidP="001B79DA">
            <w:pPr>
              <w:pStyle w:val="NoSpacing"/>
              <w:rPr>
                <w:sz w:val="20"/>
                <w:szCs w:val="20"/>
              </w:rPr>
            </w:pPr>
            <w:r w:rsidRPr="00D064DD">
              <w:rPr>
                <w:sz w:val="20"/>
                <w:szCs w:val="20"/>
              </w:rPr>
              <w:t>Principle C.2 states that the board should maintain a sound system of internal controls to safeguard shareholders’ investments and the company’s assets.</w:t>
            </w:r>
          </w:p>
        </w:tc>
      </w:tr>
      <w:tr w:rsidR="00BC3083" w:rsidRPr="00D064DD" w14:paraId="38BD6387" w14:textId="77777777" w:rsidTr="00BC3083">
        <w:trPr>
          <w:trHeight w:val="337"/>
        </w:trPr>
        <w:tc>
          <w:tcPr>
            <w:tcW w:w="537" w:type="dxa"/>
            <w:noWrap/>
            <w:hideMark/>
          </w:tcPr>
          <w:p w14:paraId="47AC3F6C" w14:textId="77777777" w:rsidR="00BC3083" w:rsidRPr="00D064DD" w:rsidRDefault="00BC3083" w:rsidP="001B79DA">
            <w:pPr>
              <w:pStyle w:val="NoSpacing"/>
              <w:rPr>
                <w:sz w:val="20"/>
                <w:szCs w:val="20"/>
              </w:rPr>
            </w:pPr>
            <w:r w:rsidRPr="00D064DD">
              <w:rPr>
                <w:sz w:val="20"/>
                <w:szCs w:val="20"/>
              </w:rPr>
              <w:t>P17</w:t>
            </w:r>
          </w:p>
        </w:tc>
        <w:tc>
          <w:tcPr>
            <w:tcW w:w="8659" w:type="dxa"/>
            <w:noWrap/>
            <w:hideMark/>
          </w:tcPr>
          <w:p w14:paraId="360A0061" w14:textId="77777777" w:rsidR="00BC3083" w:rsidRPr="00D064DD" w:rsidRDefault="00BC3083" w:rsidP="001B79DA">
            <w:pPr>
              <w:pStyle w:val="NoSpacing"/>
              <w:rPr>
                <w:sz w:val="20"/>
                <w:szCs w:val="20"/>
              </w:rPr>
            </w:pPr>
            <w:r w:rsidRPr="00D064DD">
              <w:rPr>
                <w:sz w:val="20"/>
                <w:szCs w:val="20"/>
              </w:rPr>
              <w:t>Principle C.2.1 states that the board should, at least annually, conduct a review of the effectiveness of the company’s system of internal controls and should report to shareholders that they have done so.</w:t>
            </w:r>
          </w:p>
        </w:tc>
      </w:tr>
      <w:tr w:rsidR="00BC3083" w:rsidRPr="00D064DD" w14:paraId="148DAC36" w14:textId="77777777" w:rsidTr="00BC3083">
        <w:trPr>
          <w:trHeight w:val="337"/>
        </w:trPr>
        <w:tc>
          <w:tcPr>
            <w:tcW w:w="537" w:type="dxa"/>
            <w:noWrap/>
            <w:hideMark/>
          </w:tcPr>
          <w:p w14:paraId="54A00729" w14:textId="77777777" w:rsidR="00BC3083" w:rsidRPr="00D064DD" w:rsidRDefault="00BC3083" w:rsidP="001B79DA">
            <w:pPr>
              <w:pStyle w:val="NoSpacing"/>
              <w:rPr>
                <w:sz w:val="20"/>
                <w:szCs w:val="20"/>
              </w:rPr>
            </w:pPr>
            <w:r w:rsidRPr="00D064DD">
              <w:rPr>
                <w:sz w:val="20"/>
                <w:szCs w:val="20"/>
              </w:rPr>
              <w:t>P18</w:t>
            </w:r>
          </w:p>
        </w:tc>
        <w:tc>
          <w:tcPr>
            <w:tcW w:w="8659" w:type="dxa"/>
            <w:noWrap/>
            <w:hideMark/>
          </w:tcPr>
          <w:p w14:paraId="1A3F96EC" w14:textId="77777777" w:rsidR="00BC3083" w:rsidRPr="00D064DD" w:rsidRDefault="00BC3083" w:rsidP="001B79DA">
            <w:pPr>
              <w:pStyle w:val="NoSpacing"/>
              <w:rPr>
                <w:sz w:val="20"/>
                <w:szCs w:val="20"/>
              </w:rPr>
            </w:pPr>
            <w:r w:rsidRPr="00D064DD">
              <w:rPr>
                <w:sz w:val="20"/>
                <w:szCs w:val="20"/>
              </w:rPr>
              <w:t>Principle C.3.1 states that at least three members of the audit committee should be independent non-executive directors.</w:t>
            </w:r>
          </w:p>
        </w:tc>
      </w:tr>
      <w:tr w:rsidR="00BC3083" w:rsidRPr="00D064DD" w14:paraId="62B27620" w14:textId="77777777" w:rsidTr="00BC3083">
        <w:trPr>
          <w:trHeight w:val="337"/>
        </w:trPr>
        <w:tc>
          <w:tcPr>
            <w:tcW w:w="537" w:type="dxa"/>
            <w:noWrap/>
            <w:hideMark/>
          </w:tcPr>
          <w:p w14:paraId="1A144A3E" w14:textId="77777777" w:rsidR="00BC3083" w:rsidRPr="00D064DD" w:rsidRDefault="00BC3083" w:rsidP="001B79DA">
            <w:pPr>
              <w:pStyle w:val="NoSpacing"/>
              <w:rPr>
                <w:sz w:val="20"/>
                <w:szCs w:val="20"/>
              </w:rPr>
            </w:pPr>
            <w:r w:rsidRPr="00D064DD">
              <w:rPr>
                <w:sz w:val="20"/>
                <w:szCs w:val="20"/>
              </w:rPr>
              <w:t>P19</w:t>
            </w:r>
          </w:p>
        </w:tc>
        <w:tc>
          <w:tcPr>
            <w:tcW w:w="8659" w:type="dxa"/>
            <w:noWrap/>
            <w:hideMark/>
          </w:tcPr>
          <w:p w14:paraId="1770EFF6" w14:textId="77777777" w:rsidR="00BC3083" w:rsidRPr="00D064DD" w:rsidRDefault="00BC3083" w:rsidP="001B79DA">
            <w:pPr>
              <w:pStyle w:val="NoSpacing"/>
              <w:rPr>
                <w:sz w:val="20"/>
                <w:szCs w:val="20"/>
              </w:rPr>
            </w:pPr>
            <w:r w:rsidRPr="00D064DD">
              <w:rPr>
                <w:sz w:val="20"/>
                <w:szCs w:val="20"/>
              </w:rPr>
              <w:t>Principle C.3.1 states that the board should satisfy itself that at least one member of the audit committee has recent and relevant financial experience.</w:t>
            </w:r>
          </w:p>
        </w:tc>
      </w:tr>
      <w:tr w:rsidR="00BC3083" w:rsidRPr="00D064DD" w14:paraId="316E605F" w14:textId="77777777" w:rsidTr="00BC3083">
        <w:trPr>
          <w:trHeight w:val="337"/>
        </w:trPr>
        <w:tc>
          <w:tcPr>
            <w:tcW w:w="537" w:type="dxa"/>
            <w:noWrap/>
            <w:hideMark/>
          </w:tcPr>
          <w:p w14:paraId="736A8795" w14:textId="77777777" w:rsidR="00BC3083" w:rsidRPr="00D064DD" w:rsidRDefault="00BC3083" w:rsidP="001B79DA">
            <w:pPr>
              <w:pStyle w:val="NoSpacing"/>
              <w:rPr>
                <w:sz w:val="20"/>
                <w:szCs w:val="20"/>
              </w:rPr>
            </w:pPr>
            <w:r w:rsidRPr="00D064DD">
              <w:rPr>
                <w:sz w:val="20"/>
                <w:szCs w:val="20"/>
              </w:rPr>
              <w:t>P20</w:t>
            </w:r>
          </w:p>
        </w:tc>
        <w:tc>
          <w:tcPr>
            <w:tcW w:w="8659" w:type="dxa"/>
            <w:noWrap/>
            <w:hideMark/>
          </w:tcPr>
          <w:p w14:paraId="58E056CA" w14:textId="77777777" w:rsidR="00BC3083" w:rsidRPr="00D064DD" w:rsidRDefault="00BC3083" w:rsidP="001B79DA">
            <w:pPr>
              <w:pStyle w:val="NoSpacing"/>
              <w:rPr>
                <w:sz w:val="20"/>
                <w:szCs w:val="20"/>
              </w:rPr>
            </w:pPr>
            <w:r w:rsidRPr="00D064DD">
              <w:rPr>
                <w:sz w:val="20"/>
                <w:szCs w:val="20"/>
              </w:rPr>
              <w:t>Principle D.1.2 states that the board should report in the annual report the steps taken to ensure that the board, including the NEDs, has developed an understanding of the views of major shareholders of the company.</w:t>
            </w:r>
          </w:p>
        </w:tc>
      </w:tr>
      <w:tr w:rsidR="00BC3083" w:rsidRPr="00D064DD" w14:paraId="12A9BE4F" w14:textId="77777777" w:rsidTr="00BC3083">
        <w:trPr>
          <w:trHeight w:val="337"/>
        </w:trPr>
        <w:tc>
          <w:tcPr>
            <w:tcW w:w="537" w:type="dxa"/>
            <w:noWrap/>
            <w:hideMark/>
          </w:tcPr>
          <w:p w14:paraId="7273DFF2" w14:textId="77777777" w:rsidR="00BC3083" w:rsidRPr="00D064DD" w:rsidRDefault="00BC3083" w:rsidP="001B79DA">
            <w:pPr>
              <w:pStyle w:val="NoSpacing"/>
              <w:rPr>
                <w:sz w:val="20"/>
                <w:szCs w:val="20"/>
              </w:rPr>
            </w:pPr>
            <w:r w:rsidRPr="00D064DD">
              <w:rPr>
                <w:sz w:val="20"/>
                <w:szCs w:val="20"/>
              </w:rPr>
              <w:t>P21</w:t>
            </w:r>
          </w:p>
        </w:tc>
        <w:tc>
          <w:tcPr>
            <w:tcW w:w="8659" w:type="dxa"/>
            <w:noWrap/>
            <w:hideMark/>
          </w:tcPr>
          <w:p w14:paraId="62633309" w14:textId="77777777" w:rsidR="00BC3083" w:rsidRPr="00D064DD" w:rsidRDefault="00BC3083" w:rsidP="001B79DA">
            <w:pPr>
              <w:pStyle w:val="NoSpacing"/>
              <w:rPr>
                <w:sz w:val="20"/>
                <w:szCs w:val="20"/>
              </w:rPr>
            </w:pPr>
            <w:r w:rsidRPr="00D064DD">
              <w:rPr>
                <w:sz w:val="20"/>
                <w:szCs w:val="20"/>
              </w:rPr>
              <w:t>Principle B.1.6 states that notice or contract periods should be set at one year or less.</w:t>
            </w:r>
          </w:p>
        </w:tc>
      </w:tr>
      <w:tr w:rsidR="00BC3083" w:rsidRPr="00D064DD" w14:paraId="3AA94981" w14:textId="77777777" w:rsidTr="00BC3083">
        <w:trPr>
          <w:trHeight w:val="337"/>
        </w:trPr>
        <w:tc>
          <w:tcPr>
            <w:tcW w:w="537" w:type="dxa"/>
            <w:noWrap/>
            <w:hideMark/>
          </w:tcPr>
          <w:p w14:paraId="14F68E9B" w14:textId="77777777" w:rsidR="00BC3083" w:rsidRPr="00D064DD" w:rsidRDefault="00BC3083" w:rsidP="001B79DA">
            <w:pPr>
              <w:pStyle w:val="NoSpacing"/>
              <w:rPr>
                <w:sz w:val="20"/>
                <w:szCs w:val="20"/>
              </w:rPr>
            </w:pPr>
            <w:r w:rsidRPr="00D064DD">
              <w:rPr>
                <w:sz w:val="20"/>
                <w:szCs w:val="20"/>
              </w:rPr>
              <w:t>P22</w:t>
            </w:r>
          </w:p>
        </w:tc>
        <w:tc>
          <w:tcPr>
            <w:tcW w:w="8659" w:type="dxa"/>
            <w:noWrap/>
            <w:hideMark/>
          </w:tcPr>
          <w:p w14:paraId="51C982BC" w14:textId="77777777" w:rsidR="00BC3083" w:rsidRPr="00D064DD" w:rsidRDefault="00BC3083" w:rsidP="001B79DA">
            <w:pPr>
              <w:pStyle w:val="NoSpacing"/>
              <w:rPr>
                <w:sz w:val="20"/>
                <w:szCs w:val="20"/>
              </w:rPr>
            </w:pPr>
            <w:r w:rsidRPr="00D064DD">
              <w:rPr>
                <w:sz w:val="20"/>
                <w:szCs w:val="20"/>
              </w:rPr>
              <w:t>Principle C.3.2 states that the main role and responsibilities of the audit committee should be set out in written terms of reference.</w:t>
            </w:r>
          </w:p>
        </w:tc>
      </w:tr>
    </w:tbl>
    <w:p w14:paraId="0E431BC2" w14:textId="77777777" w:rsidR="00BC3083" w:rsidRDefault="00BC3083" w:rsidP="0092047F">
      <w:pPr>
        <w:pStyle w:val="NoSpacing"/>
        <w:rPr>
          <w:sz w:val="20"/>
          <w:szCs w:val="20"/>
          <w:lang w:eastAsia="en-GB"/>
        </w:rPr>
      </w:pPr>
    </w:p>
    <w:p w14:paraId="0F838AE3" w14:textId="36656567" w:rsidR="00BC3083" w:rsidRDefault="00BC3083" w:rsidP="00BC3083">
      <w:pPr>
        <w:ind w:firstLine="0"/>
      </w:pPr>
      <w:r>
        <w:br w:type="page"/>
      </w:r>
    </w:p>
    <w:p w14:paraId="6AEFE92C" w14:textId="35717D18" w:rsidR="00341428" w:rsidRDefault="00BC3083" w:rsidP="00BC3083">
      <w:pPr>
        <w:ind w:firstLine="0"/>
      </w:pPr>
      <w:r>
        <w:lastRenderedPageBreak/>
        <w:t xml:space="preserve">Endnotes </w:t>
      </w:r>
    </w:p>
    <w:sectPr w:rsidR="00341428" w:rsidSect="0024423C">
      <w:footerReference w:type="default" r:id="rId17"/>
      <w:footnotePr>
        <w:numStart w:val="14"/>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7DA1" w14:textId="77777777" w:rsidR="00651132" w:rsidRPr="00341428" w:rsidRDefault="00651132" w:rsidP="00341428">
      <w:pPr>
        <w:pStyle w:val="Footer"/>
      </w:pPr>
    </w:p>
  </w:endnote>
  <w:endnote w:type="continuationSeparator" w:id="0">
    <w:p w14:paraId="471203EA" w14:textId="77777777" w:rsidR="00651132" w:rsidRDefault="00651132" w:rsidP="0092047F">
      <w:pPr>
        <w:spacing w:after="0" w:line="240" w:lineRule="auto"/>
      </w:pPr>
      <w:r>
        <w:continuationSeparator/>
      </w:r>
    </w:p>
  </w:endnote>
  <w:endnote w:id="1">
    <w:p w14:paraId="5D641077" w14:textId="3FA556D1" w:rsidR="00E637C1" w:rsidRPr="001A04AA" w:rsidRDefault="00E637C1" w:rsidP="001A04AA">
      <w:pPr>
        <w:pStyle w:val="EndnoteText"/>
        <w:rPr>
          <w:rFonts w:cs="Times New Roman"/>
        </w:rPr>
      </w:pPr>
      <w:r w:rsidRPr="001A04AA">
        <w:rPr>
          <w:rStyle w:val="EndnoteReference"/>
          <w:rFonts w:cs="Times New Roman"/>
        </w:rPr>
        <w:endnoteRef/>
      </w:r>
      <w:r>
        <w:rPr>
          <w:rFonts w:cs="Times New Roman"/>
        </w:rPr>
        <w:t xml:space="preserve"> Other studies </w:t>
      </w:r>
      <w:r w:rsidRPr="00CD0E84">
        <w:rPr>
          <w:rFonts w:cs="Times New Roman"/>
        </w:rPr>
        <w:t>that a series of policy errors in the US and relaxation of regulatory conditions were to blame for the financial crisis</w:t>
      </w:r>
      <w:r w:rsidRPr="001A04AA">
        <w:rPr>
          <w:rFonts w:cs="Times New Roman"/>
        </w:rPr>
        <w:t xml:space="preserve"> </w:t>
      </w:r>
      <w:r>
        <w:rPr>
          <w:rFonts w:cs="Times New Roman"/>
        </w:rPr>
        <w:fldChar w:fldCharType="begin"/>
      </w:r>
      <w:r>
        <w:rPr>
          <w:rFonts w:cs="Times New Roman"/>
        </w:rPr>
        <w:instrText xml:space="preserve"> ADDIN EN.CITE &lt;EndNote&gt;&lt;Cite&gt;&lt;Author&gt;Heilpern&lt;/Author&gt;&lt;Year&gt;2009&lt;/Year&gt;&lt;RecNum&gt;1205&lt;/RecNum&gt;&lt;DisplayText&gt;(Heilpern, Haslam, &amp;amp; Andersson, 2009; Lewis, 2009)&lt;/DisplayText&gt;&lt;record&gt;&lt;rec-number&gt;1205&lt;/rec-number&gt;&lt;foreign-keys&gt;&lt;key app="EN" db-id="s00xzp50xdvx90ea0ravv2dxzr2pdvrrzaff" timestamp="1587996469" guid="439cf6be-f708-4659-afe0-cb387b7df33f"&gt;1205&lt;/key&gt;&lt;/foreign-keys&gt;&lt;ref-type name="Conference Proceedings"&gt;10&lt;/ref-type&gt;&lt;contributors&gt;&lt;authors&gt;&lt;author&gt;Heilpern, Eliot&lt;/author&gt;&lt;author&gt;Haslam, Colin&lt;/author&gt;&lt;author&gt;Andersson, Tord&lt;/author&gt;&lt;/authors&gt;&lt;/contributors&gt;&lt;titles&gt;&lt;title&gt;When it comes to the crunch: What are the drivers of the US banking crisis?&lt;/title&gt;&lt;secondary-title&gt;Accounting Forum&lt;/secondary-title&gt;&lt;/titles&gt;&lt;periodical&gt;&lt;full-title&gt;Accounting Forum&lt;/full-title&gt;&lt;/periodical&gt;&lt;pages&gt;99-113&lt;/pages&gt;&lt;volume&gt;33&lt;/volume&gt;&lt;number&gt;2&lt;/number&gt;&lt;dates&gt;&lt;year&gt;2009&lt;/year&gt;&lt;/dates&gt;&lt;publisher&gt;Taylor &amp;amp; Francis&lt;/publisher&gt;&lt;isbn&gt;0155-9982&lt;/isbn&gt;&lt;urls&gt;&lt;/urls&gt;&lt;/record&gt;&lt;/Cite&gt;&lt;Cite&gt;&lt;Author&gt;Lewis&lt;/Author&gt;&lt;Year&gt;2009&lt;/Year&gt;&lt;RecNum&gt;1208&lt;/RecNum&gt;&lt;record&gt;&lt;rec-number&gt;1208&lt;/rec-number&gt;&lt;foreign-keys&gt;&lt;key app="EN" db-id="s00xzp50xdvx90ea0ravv2dxzr2pdvrrzaff" timestamp="1588005565" guid="3c5fe370-2a76-4135-8c8e-807e85abb283"&gt;1208&lt;/key&gt;&lt;/foreign-keys&gt;&lt;ref-type name="Conference Proceedings"&gt;10&lt;/ref-type&gt;&lt;contributors&gt;&lt;authors&gt;&lt;author&gt;Lewis, Mervyn K&lt;/author&gt;&lt;/authors&gt;&lt;/contributors&gt;&lt;titles&gt;&lt;title&gt;The origins of the sub-prime crisis: Inappropriate policies, regulations, or both?&lt;/title&gt;&lt;secondary-title&gt;Accounting Forum&lt;/secondary-title&gt;&lt;/titles&gt;&lt;periodical&gt;&lt;full-title&gt;Accounting Forum&lt;/full-title&gt;&lt;/periodical&gt;&lt;pages&gt;114-126&lt;/pages&gt;&lt;volume&gt;33&lt;/volume&gt;&lt;number&gt;2&lt;/number&gt;&lt;dates&gt;&lt;year&gt;2009&lt;/year&gt;&lt;/dates&gt;&lt;publisher&gt;Taylor &amp;amp; Francis&lt;/publisher&gt;&lt;isbn&gt;0155-9982&lt;/isbn&gt;&lt;urls&gt;&lt;/urls&gt;&lt;/record&gt;&lt;/Cite&gt;&lt;/EndNote&gt;</w:instrText>
      </w:r>
      <w:r>
        <w:rPr>
          <w:rFonts w:cs="Times New Roman"/>
        </w:rPr>
        <w:fldChar w:fldCharType="separate"/>
      </w:r>
      <w:r>
        <w:rPr>
          <w:rFonts w:cs="Times New Roman"/>
          <w:noProof/>
        </w:rPr>
        <w:t>(Heilpern, Haslam, &amp; Andersson, 2009; Lewis, 2009)</w:t>
      </w:r>
      <w:r>
        <w:rPr>
          <w:rFonts w:cs="Times New Roman"/>
        </w:rPr>
        <w:fldChar w:fldCharType="end"/>
      </w:r>
      <w:r w:rsidRPr="001A04AA">
        <w:rPr>
          <w:rFonts w:cs="Times New Roman"/>
        </w:rPr>
        <w:t xml:space="preserve">. </w:t>
      </w:r>
    </w:p>
  </w:endnote>
  <w:endnote w:id="2">
    <w:p w14:paraId="37A58613" w14:textId="0BC2F567" w:rsidR="00E637C1" w:rsidRDefault="00E637C1" w:rsidP="001A04AA">
      <w:pPr>
        <w:pStyle w:val="EndnoteText"/>
      </w:pPr>
      <w:r w:rsidRPr="001A04AA">
        <w:rPr>
          <w:rStyle w:val="EndnoteReference"/>
          <w:rFonts w:cs="Times New Roman"/>
        </w:rPr>
        <w:endnoteRef/>
      </w:r>
      <w:r w:rsidRPr="001A04AA">
        <w:rPr>
          <w:rFonts w:cs="Times New Roman"/>
        </w:rPr>
        <w:t xml:space="preserve"> Studies have also investigated the level of compliance with mandatory disclosure requirements. For example, </w:t>
      </w:r>
      <w:r>
        <w:rPr>
          <w:rFonts w:cs="Times New Roman"/>
        </w:rPr>
        <w:fldChar w:fldCharType="begin"/>
      </w:r>
      <w:r>
        <w:rPr>
          <w:rFonts w:cs="Times New Roman"/>
        </w:rPr>
        <w:instrText xml:space="preserve"> ADDIN EN.CITE &lt;EndNote&gt;&lt;Cite AuthorYear="1"&gt;&lt;Author&gt;Day&lt;/Author&gt;&lt;Year&gt;2004&lt;/Year&gt;&lt;RecNum&gt;1207&lt;/RecNum&gt;&lt;DisplayText&gt;Day and Woodward (2004)&lt;/DisplayText&gt;&lt;record&gt;&lt;rec-number&gt;1207&lt;/rec-number&gt;&lt;foreign-keys&gt;&lt;key app="EN" db-id="s00xzp50xdvx90ea0ravv2dxzr2pdvrrzaff" timestamp="1588005531" guid="c32b2fa8-db79-4137-96d6-6cc8e282062d"&gt;1207&lt;/key&gt;&lt;/foreign-keys&gt;&lt;ref-type name="Conference Proceedings"&gt;10&lt;/ref-type&gt;&lt;contributors&gt;&lt;authors&gt;&lt;author&gt;Day, Robert&lt;/author&gt;&lt;author&gt;Woodward, Therese&lt;/author&gt;&lt;/authors&gt;&lt;/contributors&gt;&lt;titles&gt;&lt;title&gt;Disclosure of information about employees in the Directors’ report of UK published financial statements: substantive or symbolic?&lt;/title&gt;&lt;secondary-title&gt;Accounting Forum&lt;/secondary-title&gt;&lt;/titles&gt;&lt;periodical&gt;&lt;full-title&gt;Accounting Forum&lt;/full-title&gt;&lt;/periodical&gt;&lt;pages&gt;43-59&lt;/pages&gt;&lt;volume&gt;28&lt;/volume&gt;&lt;number&gt;1&lt;/number&gt;&lt;dates&gt;&lt;year&gt;2004&lt;/year&gt;&lt;/dates&gt;&lt;publisher&gt;Taylor &amp;amp; Francis&lt;/publisher&gt;&lt;isbn&gt;0155-9982&lt;/isbn&gt;&lt;urls&gt;&lt;/urls&gt;&lt;/record&gt;&lt;/Cite&gt;&lt;/EndNote&gt;</w:instrText>
      </w:r>
      <w:r>
        <w:rPr>
          <w:rFonts w:cs="Times New Roman"/>
        </w:rPr>
        <w:fldChar w:fldCharType="separate"/>
      </w:r>
      <w:r>
        <w:rPr>
          <w:rFonts w:cs="Times New Roman"/>
          <w:noProof/>
        </w:rPr>
        <w:t>Day and Woodward (2004)</w:t>
      </w:r>
      <w:r>
        <w:rPr>
          <w:rFonts w:cs="Times New Roman"/>
        </w:rPr>
        <w:fldChar w:fldCharType="end"/>
      </w:r>
      <w:r>
        <w:rPr>
          <w:rFonts w:cs="Times New Roman"/>
        </w:rPr>
        <w:t xml:space="preserve"> </w:t>
      </w:r>
      <w:r w:rsidRPr="001A04AA">
        <w:rPr>
          <w:rFonts w:cs="Times New Roman"/>
        </w:rPr>
        <w:t xml:space="preserve">analysed the extent of </w:t>
      </w:r>
      <w:r w:rsidRPr="00AB2C24">
        <w:rPr>
          <w:rFonts w:cs="Times New Roman"/>
        </w:rPr>
        <w:t xml:space="preserve">compliance </w:t>
      </w:r>
      <w:r>
        <w:rPr>
          <w:rFonts w:cs="Times New Roman"/>
        </w:rPr>
        <w:t xml:space="preserve">of </w:t>
      </w:r>
      <w:r w:rsidRPr="00AB2C24">
        <w:rPr>
          <w:rFonts w:cs="Times New Roman"/>
        </w:rPr>
        <w:t>FTSE 100 companies</w:t>
      </w:r>
      <w:r w:rsidRPr="00383B4B">
        <w:rPr>
          <w:rFonts w:cs="Times New Roman"/>
        </w:rPr>
        <w:t xml:space="preserve"> </w:t>
      </w:r>
      <w:r w:rsidRPr="00027059">
        <w:rPr>
          <w:rFonts w:cs="Times New Roman"/>
        </w:rPr>
        <w:t>with</w:t>
      </w:r>
      <w:r w:rsidRPr="001A04AA">
        <w:rPr>
          <w:rFonts w:cs="Times New Roman"/>
        </w:rPr>
        <w:t xml:space="preserve"> the UK Companies Act </w:t>
      </w:r>
      <w:r>
        <w:rPr>
          <w:rFonts w:cs="Times New Roman"/>
        </w:rPr>
        <w:t xml:space="preserve">(1985) </w:t>
      </w:r>
      <w:r w:rsidRPr="001A04AA">
        <w:rPr>
          <w:rFonts w:cs="Times New Roman"/>
        </w:rPr>
        <w:t xml:space="preserve">and found a lack of compliance </w:t>
      </w:r>
      <w:r w:rsidRPr="00982E52">
        <w:rPr>
          <w:rFonts w:cs="Times New Roman"/>
        </w:rPr>
        <w:t>with disclosure of information required under the Companies Act</w:t>
      </w:r>
      <w:r w:rsidRPr="001A04AA">
        <w:rPr>
          <w:rFonts w:cs="Times New Roman"/>
        </w:rPr>
        <w:t>.</w:t>
      </w:r>
      <w:r>
        <w:t xml:space="preserve"> </w:t>
      </w:r>
    </w:p>
  </w:endnote>
  <w:endnote w:id="3">
    <w:p w14:paraId="63A5D856" w14:textId="77777777" w:rsidR="00E637C1" w:rsidRPr="00216C30" w:rsidRDefault="00E637C1" w:rsidP="00216C30">
      <w:pPr>
        <w:pStyle w:val="EndnoteText"/>
        <w:rPr>
          <w:rFonts w:cs="Times New Roman"/>
        </w:rPr>
      </w:pPr>
      <w:r w:rsidRPr="00216C30">
        <w:rPr>
          <w:rStyle w:val="EndnoteReference"/>
          <w:rFonts w:cs="Times New Roman"/>
        </w:rPr>
        <w:endnoteRef/>
      </w:r>
      <w:r w:rsidRPr="00216C30">
        <w:rPr>
          <w:rFonts w:cs="Times New Roman"/>
        </w:rPr>
        <w:t xml:space="preserve"> The Dodd-Frank Wall Street Reform and Consumer Protection Act and Basel III are examples of such initiatives.  </w:t>
      </w:r>
    </w:p>
  </w:endnote>
  <w:endnote w:id="4">
    <w:p w14:paraId="6C694EDB" w14:textId="77777777" w:rsidR="00E637C1" w:rsidRPr="00216C30" w:rsidRDefault="00E637C1" w:rsidP="00216C30">
      <w:pPr>
        <w:pStyle w:val="EndnoteText"/>
        <w:rPr>
          <w:rFonts w:cs="Times New Roman"/>
        </w:rPr>
      </w:pPr>
      <w:r w:rsidRPr="00216C30">
        <w:rPr>
          <w:rStyle w:val="EndnoteReference"/>
          <w:rFonts w:cs="Times New Roman"/>
        </w:rPr>
        <w:endnoteRef/>
      </w:r>
      <w:r w:rsidRPr="00216C30">
        <w:rPr>
          <w:rFonts w:cs="Times New Roman"/>
        </w:rPr>
        <w:t xml:space="preserve"> </w:t>
      </w:r>
      <w:r w:rsidRPr="00216C30">
        <w:rPr>
          <w:rFonts w:eastAsia="Calibri" w:cs="Times New Roman"/>
        </w:rPr>
        <w:t>The Financial Reporting Council is the UK’s independent regulator responsible for promoting high quality corporate governance and reporting mechanisms.</w:t>
      </w:r>
    </w:p>
  </w:endnote>
  <w:endnote w:id="5">
    <w:p w14:paraId="025E74D7" w14:textId="06B1DC93" w:rsidR="00E637C1" w:rsidRDefault="00E637C1" w:rsidP="00216C30">
      <w:pPr>
        <w:pStyle w:val="EndnoteText"/>
      </w:pPr>
      <w:r w:rsidRPr="00216C30">
        <w:rPr>
          <w:rStyle w:val="EndnoteReference"/>
          <w:rFonts w:cs="Times New Roman"/>
        </w:rPr>
        <w:endnoteRef/>
      </w:r>
      <w:r w:rsidRPr="00216C30">
        <w:rPr>
          <w:rFonts w:cs="Times New Roman"/>
        </w:rPr>
        <w:t xml:space="preserve"> Discussing the importance of financial institutions, a report published in 2019 by TheCityUK  shows that the UK financial services sector is worth over £190 billion, it accounts for 10.9% of the total tax revenue and employs 2.3 million people  in the UK</w:t>
      </w:r>
      <w:r>
        <w:rPr>
          <w:rFonts w:cs="Times New Roman"/>
        </w:rPr>
        <w:t xml:space="preserve">. </w:t>
      </w:r>
      <w:hyperlink r:id="rId1" w:history="1">
        <w:r w:rsidRPr="0089589A">
          <w:rPr>
            <w:rStyle w:val="Hyperlink"/>
            <w:rFonts w:cs="Times New Roman"/>
          </w:rPr>
          <w:t>https://www.thecityuk.com/assets/2019/Report-PDFs/b258573748/Key-facts-about-UK-based-financial-and-related-professional-services-2019.pdf</w:t>
        </w:r>
      </w:hyperlink>
      <w:r>
        <w:rPr>
          <w:rFonts w:cs="Times New Roman"/>
        </w:rPr>
        <w:t xml:space="preserve"> </w:t>
      </w:r>
    </w:p>
  </w:endnote>
  <w:endnote w:id="6">
    <w:p w14:paraId="50943281" w14:textId="7246DA90" w:rsidR="00E637C1" w:rsidRPr="00361041" w:rsidRDefault="00E637C1" w:rsidP="0092047F">
      <w:pPr>
        <w:pStyle w:val="EndnoteText"/>
        <w:rPr>
          <w:rFonts w:cs="Times New Roman"/>
        </w:rPr>
      </w:pPr>
      <w:r w:rsidRPr="00361041">
        <w:rPr>
          <w:rStyle w:val="EndnoteReference"/>
          <w:rFonts w:cs="Times New Roman"/>
        </w:rPr>
        <w:endnoteRef/>
      </w:r>
      <w:r w:rsidRPr="00361041">
        <w:rPr>
          <w:rFonts w:cs="Times New Roman"/>
        </w:rPr>
        <w:t xml:space="preserve"> Financial firms are all those firms for which Industry Classification Benchmark (ICB) is 8000. It includes banks, insurance, investment companies, life assurance, real estate and speciality and other finance.</w:t>
      </w:r>
    </w:p>
  </w:endnote>
  <w:endnote w:id="7">
    <w:p w14:paraId="6062528E" w14:textId="77777777" w:rsidR="00E637C1" w:rsidRPr="00B553ED" w:rsidRDefault="00E637C1" w:rsidP="0092047F">
      <w:pPr>
        <w:pStyle w:val="EndnoteText"/>
        <w:rPr>
          <w:rFonts w:cs="Times New Roman"/>
        </w:rPr>
      </w:pPr>
      <w:r w:rsidRPr="00B553ED">
        <w:rPr>
          <w:rStyle w:val="EndnoteReference"/>
          <w:rFonts w:cs="Times New Roman"/>
        </w:rPr>
        <w:endnoteRef/>
      </w:r>
      <w:r w:rsidRPr="00B553ED">
        <w:rPr>
          <w:rFonts w:cs="Times New Roman"/>
        </w:rPr>
        <w:t xml:space="preserve"> An additional advantage of this approach is that GMM estimates are robust to dynamic endogeneity, firm fixed effects, endogenous regressors, heteroscedasticity and serial correlation (Schultz et al., 2010).</w:t>
      </w:r>
    </w:p>
  </w:endnote>
  <w:endnote w:id="8">
    <w:p w14:paraId="37060DAB" w14:textId="77777777" w:rsidR="00E637C1" w:rsidRPr="00061612" w:rsidRDefault="00E637C1" w:rsidP="0092047F">
      <w:pPr>
        <w:pStyle w:val="EndnoteText"/>
        <w:rPr>
          <w:rFonts w:cs="Times New Roman"/>
        </w:rPr>
      </w:pPr>
      <w:r w:rsidRPr="00061612">
        <w:rPr>
          <w:rStyle w:val="EndnoteReference"/>
          <w:rFonts w:cs="Times New Roman"/>
        </w:rPr>
        <w:endnoteRef/>
      </w:r>
      <w:r w:rsidRPr="00061612">
        <w:rPr>
          <w:rFonts w:cs="Times New Roman"/>
        </w:rPr>
        <w:t xml:space="preserve"> Our non-compliance index is based on the 2003, 2006 and 2008 versions of the UK CGC.</w:t>
      </w:r>
    </w:p>
  </w:endnote>
  <w:endnote w:id="9">
    <w:p w14:paraId="7E472B2A" w14:textId="77777777" w:rsidR="00E637C1" w:rsidRDefault="00E637C1" w:rsidP="0092047F">
      <w:pPr>
        <w:pStyle w:val="NoSpacing"/>
      </w:pPr>
      <w:r w:rsidRPr="000F5DEC">
        <w:rPr>
          <w:rStyle w:val="EndnoteReference"/>
          <w:sz w:val="20"/>
          <w:szCs w:val="20"/>
        </w:rPr>
        <w:endnoteRef/>
      </w:r>
      <w:r w:rsidRPr="000F5DEC">
        <w:rPr>
          <w:sz w:val="20"/>
          <w:szCs w:val="20"/>
        </w:rPr>
        <w:t xml:space="preserve"> </w:t>
      </w:r>
      <w:r w:rsidRPr="002E5ADD">
        <w:rPr>
          <w:sz w:val="20"/>
          <w:szCs w:val="20"/>
          <w:lang w:val="en-GB"/>
        </w:rPr>
        <w:t>To conserve space these results are not reported but are available on request from the authors.</w:t>
      </w:r>
    </w:p>
  </w:endnote>
  <w:endnote w:id="10">
    <w:p w14:paraId="0B4FE67E" w14:textId="77777777" w:rsidR="00E637C1" w:rsidRPr="00E74753" w:rsidRDefault="00E637C1" w:rsidP="0092047F">
      <w:pPr>
        <w:pStyle w:val="EndnoteText"/>
        <w:rPr>
          <w:rFonts w:cs="Times New Roman"/>
        </w:rPr>
      </w:pPr>
      <w:r w:rsidRPr="006B405D">
        <w:rPr>
          <w:rStyle w:val="EndnoteReference"/>
          <w:rFonts w:cs="Times New Roman"/>
        </w:rPr>
        <w:endnoteRef/>
      </w:r>
      <w:r w:rsidRPr="006B405D">
        <w:rPr>
          <w:rFonts w:cs="Times New Roman"/>
        </w:rPr>
        <w:t xml:space="preserve"> We initially divided our Complaint firms based on an NCI score of less than 11 (indicating non-compliance with 50% or more provisions). However, we found that only 2% of the firms documented an NCI score of 11 or more. For the purposes of a meaningful comparison, we then decided to divide the sample on the basis of an NCI score of less than 7. This decision is vindicated by the fact that an NCI score of 7 is almost two times the sample mean </w:t>
      </w:r>
      <w:r w:rsidRPr="00E74753">
        <w:rPr>
          <w:rFonts w:cs="Times New Roman"/>
        </w:rPr>
        <w:t>NCI of 3.57, indicating a relatively higher level of non-compliance as compared with the other firms in the sample.</w:t>
      </w:r>
    </w:p>
  </w:endnote>
  <w:endnote w:id="11">
    <w:p w14:paraId="134A298C" w14:textId="77777777" w:rsidR="00E637C1" w:rsidRPr="003A1BD7" w:rsidRDefault="00E637C1" w:rsidP="0092047F">
      <w:pPr>
        <w:pStyle w:val="EndnoteText"/>
      </w:pPr>
      <w:r>
        <w:rPr>
          <w:rStyle w:val="EndnoteReference"/>
        </w:rPr>
        <w:endnoteRef/>
      </w:r>
      <w:r>
        <w:t xml:space="preserve"> Known as </w:t>
      </w:r>
      <w:r>
        <w:rPr>
          <w:i/>
        </w:rPr>
        <w:t xml:space="preserve">Combined Code </w:t>
      </w:r>
      <w:r>
        <w:t>at the time</w:t>
      </w:r>
    </w:p>
  </w:endnote>
  <w:endnote w:id="12">
    <w:p w14:paraId="1F289510" w14:textId="77777777" w:rsidR="00E637C1" w:rsidRPr="002E5ADD" w:rsidRDefault="00E637C1" w:rsidP="0092047F">
      <w:pPr>
        <w:pStyle w:val="NoSpacing"/>
        <w:rPr>
          <w:sz w:val="20"/>
          <w:szCs w:val="20"/>
        </w:rPr>
      </w:pPr>
      <w:r w:rsidRPr="002E5ADD">
        <w:rPr>
          <w:rStyle w:val="EndnoteReference"/>
          <w:sz w:val="20"/>
          <w:szCs w:val="20"/>
        </w:rPr>
        <w:endnoteRef/>
      </w:r>
      <w:r w:rsidRPr="002E5ADD">
        <w:rPr>
          <w:sz w:val="20"/>
          <w:szCs w:val="20"/>
        </w:rPr>
        <w:t xml:space="preserve"> Principle A 3.3 of the 2003 code states that except for smaller companies at least half of the board excluding the chairman should be independent non-executive directors. Therefore, 0.50 is </w:t>
      </w:r>
      <w:r>
        <w:rPr>
          <w:sz w:val="20"/>
          <w:szCs w:val="20"/>
        </w:rPr>
        <w:t>deemed to be a</w:t>
      </w:r>
      <w:r w:rsidRPr="002E5ADD">
        <w:rPr>
          <w:sz w:val="20"/>
          <w:szCs w:val="20"/>
        </w:rPr>
        <w:t xml:space="preserve"> suitable ratio to distinguish between independent and non-independent boards.</w:t>
      </w:r>
    </w:p>
  </w:endnote>
  <w:endnote w:id="13">
    <w:p w14:paraId="72EB38F0" w14:textId="77777777" w:rsidR="00E637C1" w:rsidRPr="00035FB8" w:rsidRDefault="00E637C1" w:rsidP="0092047F">
      <w:pPr>
        <w:pStyle w:val="EndnoteText"/>
        <w:rPr>
          <w:rFonts w:cs="Times New Roman"/>
        </w:rPr>
      </w:pPr>
      <w:r w:rsidRPr="00035FB8">
        <w:rPr>
          <w:rStyle w:val="EndnoteReference"/>
          <w:rFonts w:cs="Times New Roman"/>
        </w:rPr>
        <w:endnoteRef/>
      </w:r>
      <w:r w:rsidRPr="00035FB8">
        <w:rPr>
          <w:rFonts w:cs="Times New Roman"/>
        </w:rPr>
        <w:t xml:space="preserve"> To conserve space these results are not reported but are available on request from the authors.</w:t>
      </w:r>
    </w:p>
  </w:endnote>
  <w:endnote w:id="14">
    <w:p w14:paraId="44F43CE2" w14:textId="77777777" w:rsidR="00E637C1" w:rsidRDefault="00E637C1" w:rsidP="0092047F">
      <w:pPr>
        <w:pStyle w:val="EndnoteText"/>
      </w:pPr>
      <w:r w:rsidRPr="00E74753">
        <w:rPr>
          <w:rStyle w:val="EndnoteReference"/>
          <w:rFonts w:cs="Times New Roman"/>
        </w:rPr>
        <w:endnoteRef/>
      </w:r>
      <w:r w:rsidRPr="00E74753">
        <w:rPr>
          <w:rFonts w:cs="Times New Roman"/>
        </w:rPr>
        <w:t xml:space="preserve"> These two provisions relate to compliance with the number of independent non-executive directors on remuneration, and audit committees.</w:t>
      </w:r>
    </w:p>
  </w:endnote>
  <w:endnote w:id="15">
    <w:p w14:paraId="68D080F1" w14:textId="77777777" w:rsidR="00E637C1" w:rsidRDefault="00E637C1" w:rsidP="0092047F">
      <w:pPr>
        <w:pStyle w:val="EndnoteText"/>
      </w:pPr>
      <w:r w:rsidRPr="006B405D">
        <w:rPr>
          <w:rStyle w:val="EndnoteReference"/>
          <w:rFonts w:cs="Times New Roman"/>
        </w:rPr>
        <w:endnoteRef/>
      </w:r>
      <w:r w:rsidRPr="006B405D">
        <w:rPr>
          <w:rFonts w:cs="Times New Roman"/>
        </w:rPr>
        <w:t xml:space="preserve"> To conserve space the PCA results are not reported in the paper but are available from the authors.</w:t>
      </w:r>
      <w:r>
        <w:t xml:space="preserve"> </w:t>
      </w:r>
    </w:p>
  </w:endnote>
  <w:endnote w:id="16">
    <w:p w14:paraId="0B75A039" w14:textId="77777777" w:rsidR="00E637C1" w:rsidRDefault="00E637C1" w:rsidP="00BC3083">
      <w:pPr>
        <w:pStyle w:val="EndnoteText"/>
      </w:pPr>
      <w:r>
        <w:rPr>
          <w:rStyle w:val="EndnoteReference"/>
        </w:rPr>
        <w:endnoteRef/>
      </w:r>
      <w:r>
        <w:t xml:space="preserve"> </w:t>
      </w:r>
      <w:r w:rsidRPr="0024423C">
        <w:t>A smaller company is one that is outside the FTSE 350 throughout the year immediately prior to the reporting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71029"/>
      <w:docPartObj>
        <w:docPartGallery w:val="Page Numbers (Bottom of Page)"/>
        <w:docPartUnique/>
      </w:docPartObj>
    </w:sdtPr>
    <w:sdtEndPr>
      <w:rPr>
        <w:noProof/>
      </w:rPr>
    </w:sdtEndPr>
    <w:sdtContent>
      <w:p w14:paraId="249CD896" w14:textId="369916B4" w:rsidR="00E637C1" w:rsidRDefault="00E637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DC909" w14:textId="77777777" w:rsidR="00E637C1" w:rsidRDefault="00E6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255B" w14:textId="77777777" w:rsidR="00651132" w:rsidRDefault="00651132" w:rsidP="0092047F">
      <w:pPr>
        <w:spacing w:after="0" w:line="240" w:lineRule="auto"/>
      </w:pPr>
      <w:r>
        <w:separator/>
      </w:r>
    </w:p>
  </w:footnote>
  <w:footnote w:type="continuationSeparator" w:id="0">
    <w:p w14:paraId="57A96EA4" w14:textId="77777777" w:rsidR="00651132" w:rsidRDefault="00651132" w:rsidP="0092047F">
      <w:pPr>
        <w:spacing w:after="0" w:line="240" w:lineRule="auto"/>
      </w:pPr>
      <w:r>
        <w:continuationSeparator/>
      </w:r>
    </w:p>
  </w:footnote>
  <w:footnote w:id="1">
    <w:p w14:paraId="551956E2" w14:textId="77777777" w:rsidR="00E637C1" w:rsidRDefault="00E637C1" w:rsidP="00CA730A">
      <w:pPr>
        <w:pStyle w:val="FootnoteText"/>
      </w:pPr>
      <w:r>
        <w:rPr>
          <w:rStyle w:val="FootnoteReference"/>
        </w:rPr>
        <w:footnoteRef/>
      </w:r>
      <w:r>
        <w:t xml:space="preserve"> with remuneration committee chairmen, NEDs, company secretaries, company chairmen, pay consultants, and CEOs</w:t>
      </w:r>
    </w:p>
  </w:footnote>
  <w:footnote w:id="2">
    <w:p w14:paraId="43B2A5F7" w14:textId="056BFC1D" w:rsidR="00772341" w:rsidRDefault="00772341">
      <w:pPr>
        <w:pStyle w:val="FootnoteText"/>
      </w:pPr>
      <w:r>
        <w:rPr>
          <w:rStyle w:val="FootnoteReference"/>
        </w:rPr>
        <w:footnoteRef/>
      </w:r>
      <w:r>
        <w:t xml:space="preserve"> P</w:t>
      </w:r>
      <w:r w:rsidRPr="00772341">
        <w:t xml:space="preserve">reviously known as </w:t>
      </w:r>
      <w:proofErr w:type="spellStart"/>
      <w:r w:rsidRPr="00772341">
        <w:t>Hemscott</w:t>
      </w:r>
      <w:proofErr w:type="spellEnd"/>
      <w:r w:rsidRPr="00772341">
        <w:t xml:space="preserve"> Guru 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03C5"/>
    <w:multiLevelType w:val="multilevel"/>
    <w:tmpl w:val="42227F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B034340"/>
    <w:multiLevelType w:val="hybridMultilevel"/>
    <w:tmpl w:val="E7425A42"/>
    <w:lvl w:ilvl="0" w:tplc="B4FA6D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Start w:val="1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0xzp50xdvx90ea0ravv2dxzr2pdvrrzaff&quot;&gt;Papers Library&lt;record-ids&gt;&lt;item&gt;85&lt;/item&gt;&lt;item&gt;89&lt;/item&gt;&lt;item&gt;97&lt;/item&gt;&lt;item&gt;117&lt;/item&gt;&lt;item&gt;164&lt;/item&gt;&lt;item&gt;205&lt;/item&gt;&lt;item&gt;207&lt;/item&gt;&lt;item&gt;216&lt;/item&gt;&lt;item&gt;253&lt;/item&gt;&lt;item&gt;256&lt;/item&gt;&lt;item&gt;271&lt;/item&gt;&lt;item&gt;282&lt;/item&gt;&lt;item&gt;283&lt;/item&gt;&lt;item&gt;284&lt;/item&gt;&lt;item&gt;285&lt;/item&gt;&lt;item&gt;286&lt;/item&gt;&lt;item&gt;290&lt;/item&gt;&lt;item&gt;292&lt;/item&gt;&lt;item&gt;303&lt;/item&gt;&lt;item&gt;320&lt;/item&gt;&lt;item&gt;321&lt;/item&gt;&lt;item&gt;346&lt;/item&gt;&lt;item&gt;349&lt;/item&gt;&lt;item&gt;351&lt;/item&gt;&lt;item&gt;367&lt;/item&gt;&lt;item&gt;370&lt;/item&gt;&lt;item&gt;373&lt;/item&gt;&lt;item&gt;374&lt;/item&gt;&lt;item&gt;377&lt;/item&gt;&lt;item&gt;390&lt;/item&gt;&lt;item&gt;397&lt;/item&gt;&lt;item&gt;400&lt;/item&gt;&lt;item&gt;410&lt;/item&gt;&lt;item&gt;424&lt;/item&gt;&lt;item&gt;426&lt;/item&gt;&lt;item&gt;447&lt;/item&gt;&lt;item&gt;456&lt;/item&gt;&lt;item&gt;473&lt;/item&gt;&lt;item&gt;475&lt;/item&gt;&lt;item&gt;486&lt;/item&gt;&lt;item&gt;489&lt;/item&gt;&lt;item&gt;491&lt;/item&gt;&lt;item&gt;507&lt;/item&gt;&lt;item&gt;517&lt;/item&gt;&lt;item&gt;534&lt;/item&gt;&lt;item&gt;539&lt;/item&gt;&lt;item&gt;540&lt;/item&gt;&lt;item&gt;552&lt;/item&gt;&lt;item&gt;558&lt;/item&gt;&lt;item&gt;559&lt;/item&gt;&lt;item&gt;560&lt;/item&gt;&lt;item&gt;561&lt;/item&gt;&lt;item&gt;566&lt;/item&gt;&lt;item&gt;575&lt;/item&gt;&lt;item&gt;582&lt;/item&gt;&lt;item&gt;654&lt;/item&gt;&lt;item&gt;678&lt;/item&gt;&lt;item&gt;744&lt;/item&gt;&lt;item&gt;820&lt;/item&gt;&lt;item&gt;823&lt;/item&gt;&lt;item&gt;825&lt;/item&gt;&lt;item&gt;867&lt;/item&gt;&lt;item&gt;873&lt;/item&gt;&lt;item&gt;883&lt;/item&gt;&lt;item&gt;890&lt;/item&gt;&lt;item&gt;894&lt;/item&gt;&lt;item&gt;1029&lt;/item&gt;&lt;item&gt;1037&lt;/item&gt;&lt;item&gt;1047&lt;/item&gt;&lt;item&gt;1075&lt;/item&gt;&lt;item&gt;1081&lt;/item&gt;&lt;item&gt;1143&lt;/item&gt;&lt;item&gt;1144&lt;/item&gt;&lt;item&gt;1147&lt;/item&gt;&lt;item&gt;1172&lt;/item&gt;&lt;item&gt;1196&lt;/item&gt;&lt;item&gt;1204&lt;/item&gt;&lt;item&gt;1205&lt;/item&gt;&lt;item&gt;1207&lt;/item&gt;&lt;item&gt;1208&lt;/item&gt;&lt;item&gt;1215&lt;/item&gt;&lt;item&gt;1216&lt;/item&gt;&lt;item&gt;1217&lt;/item&gt;&lt;item&gt;1219&lt;/item&gt;&lt;item&gt;1698&lt;/item&gt;&lt;item&gt;1740&lt;/item&gt;&lt;/record-ids&gt;&lt;/item&gt;&lt;/Libraries&gt;"/>
  </w:docVars>
  <w:rsids>
    <w:rsidRoot w:val="0092047F"/>
    <w:rsid w:val="00003D87"/>
    <w:rsid w:val="00004B63"/>
    <w:rsid w:val="00010AD7"/>
    <w:rsid w:val="00027059"/>
    <w:rsid w:val="000273B5"/>
    <w:rsid w:val="0003149C"/>
    <w:rsid w:val="000334E3"/>
    <w:rsid w:val="00035A04"/>
    <w:rsid w:val="00037123"/>
    <w:rsid w:val="00041A6B"/>
    <w:rsid w:val="00044A43"/>
    <w:rsid w:val="00045FC8"/>
    <w:rsid w:val="000548EB"/>
    <w:rsid w:val="00055821"/>
    <w:rsid w:val="00055D28"/>
    <w:rsid w:val="00055F37"/>
    <w:rsid w:val="000611C4"/>
    <w:rsid w:val="00061C50"/>
    <w:rsid w:val="00066F04"/>
    <w:rsid w:val="0007115C"/>
    <w:rsid w:val="00082DC8"/>
    <w:rsid w:val="00084BAD"/>
    <w:rsid w:val="00087CC0"/>
    <w:rsid w:val="00096A70"/>
    <w:rsid w:val="000A1360"/>
    <w:rsid w:val="000A259B"/>
    <w:rsid w:val="000A7F09"/>
    <w:rsid w:val="000B0BDF"/>
    <w:rsid w:val="000B0F9E"/>
    <w:rsid w:val="000C1F38"/>
    <w:rsid w:val="000C7E63"/>
    <w:rsid w:val="000D1EFE"/>
    <w:rsid w:val="000D3F5F"/>
    <w:rsid w:val="000E5573"/>
    <w:rsid w:val="00103E67"/>
    <w:rsid w:val="00106456"/>
    <w:rsid w:val="00107D57"/>
    <w:rsid w:val="001159B5"/>
    <w:rsid w:val="001316AC"/>
    <w:rsid w:val="0013513E"/>
    <w:rsid w:val="00143263"/>
    <w:rsid w:val="00145168"/>
    <w:rsid w:val="00145843"/>
    <w:rsid w:val="00154E23"/>
    <w:rsid w:val="00163EFB"/>
    <w:rsid w:val="00170C42"/>
    <w:rsid w:val="001728CD"/>
    <w:rsid w:val="001856CB"/>
    <w:rsid w:val="00195410"/>
    <w:rsid w:val="001A04AA"/>
    <w:rsid w:val="001A35B4"/>
    <w:rsid w:val="001A3D2B"/>
    <w:rsid w:val="001A516B"/>
    <w:rsid w:val="001A6AD3"/>
    <w:rsid w:val="001B015B"/>
    <w:rsid w:val="001B411C"/>
    <w:rsid w:val="001B79DA"/>
    <w:rsid w:val="001C066A"/>
    <w:rsid w:val="001C395E"/>
    <w:rsid w:val="001D5BF4"/>
    <w:rsid w:val="001E688B"/>
    <w:rsid w:val="001F1E45"/>
    <w:rsid w:val="00203F6F"/>
    <w:rsid w:val="00205529"/>
    <w:rsid w:val="0021039F"/>
    <w:rsid w:val="00216C30"/>
    <w:rsid w:val="00217AB9"/>
    <w:rsid w:val="00231A9E"/>
    <w:rsid w:val="0023415D"/>
    <w:rsid w:val="0024423C"/>
    <w:rsid w:val="00247E92"/>
    <w:rsid w:val="002524F3"/>
    <w:rsid w:val="00252B40"/>
    <w:rsid w:val="00260168"/>
    <w:rsid w:val="002635E0"/>
    <w:rsid w:val="00264720"/>
    <w:rsid w:val="00273BB8"/>
    <w:rsid w:val="002750E5"/>
    <w:rsid w:val="00277EDA"/>
    <w:rsid w:val="002806A5"/>
    <w:rsid w:val="00280D42"/>
    <w:rsid w:val="0028334E"/>
    <w:rsid w:val="00284AF0"/>
    <w:rsid w:val="00293EF9"/>
    <w:rsid w:val="002953CC"/>
    <w:rsid w:val="00296761"/>
    <w:rsid w:val="002A11DF"/>
    <w:rsid w:val="002A31EC"/>
    <w:rsid w:val="002A4336"/>
    <w:rsid w:val="002B3A06"/>
    <w:rsid w:val="002B5335"/>
    <w:rsid w:val="002B7947"/>
    <w:rsid w:val="002C05F9"/>
    <w:rsid w:val="002C7C6F"/>
    <w:rsid w:val="002D2F38"/>
    <w:rsid w:val="002D6C89"/>
    <w:rsid w:val="002E120F"/>
    <w:rsid w:val="002E5732"/>
    <w:rsid w:val="002E5B48"/>
    <w:rsid w:val="002E62CC"/>
    <w:rsid w:val="002E6EA6"/>
    <w:rsid w:val="002F13F7"/>
    <w:rsid w:val="002F7762"/>
    <w:rsid w:val="00300D1A"/>
    <w:rsid w:val="0031192C"/>
    <w:rsid w:val="003205A3"/>
    <w:rsid w:val="0032152F"/>
    <w:rsid w:val="00324F54"/>
    <w:rsid w:val="00327CEC"/>
    <w:rsid w:val="00330DFA"/>
    <w:rsid w:val="003316BF"/>
    <w:rsid w:val="00336845"/>
    <w:rsid w:val="00336CC1"/>
    <w:rsid w:val="00341428"/>
    <w:rsid w:val="00353B92"/>
    <w:rsid w:val="0037207F"/>
    <w:rsid w:val="0037454E"/>
    <w:rsid w:val="0037755A"/>
    <w:rsid w:val="00383B4B"/>
    <w:rsid w:val="00386AD0"/>
    <w:rsid w:val="00393A72"/>
    <w:rsid w:val="00395E40"/>
    <w:rsid w:val="003A09A0"/>
    <w:rsid w:val="003A3316"/>
    <w:rsid w:val="003C224D"/>
    <w:rsid w:val="003C572A"/>
    <w:rsid w:val="003D09AC"/>
    <w:rsid w:val="003D2C76"/>
    <w:rsid w:val="003D308E"/>
    <w:rsid w:val="003D6A11"/>
    <w:rsid w:val="003D703B"/>
    <w:rsid w:val="003E11FC"/>
    <w:rsid w:val="003E1278"/>
    <w:rsid w:val="003E4FCE"/>
    <w:rsid w:val="003E73EB"/>
    <w:rsid w:val="003E7404"/>
    <w:rsid w:val="003F5EE2"/>
    <w:rsid w:val="004019E0"/>
    <w:rsid w:val="004044CC"/>
    <w:rsid w:val="00405E71"/>
    <w:rsid w:val="00411BAB"/>
    <w:rsid w:val="004155DC"/>
    <w:rsid w:val="004208FB"/>
    <w:rsid w:val="00425E5E"/>
    <w:rsid w:val="00427B84"/>
    <w:rsid w:val="00433B5A"/>
    <w:rsid w:val="0043594A"/>
    <w:rsid w:val="0044344C"/>
    <w:rsid w:val="00444771"/>
    <w:rsid w:val="00446F71"/>
    <w:rsid w:val="00447CA1"/>
    <w:rsid w:val="00452B34"/>
    <w:rsid w:val="00453476"/>
    <w:rsid w:val="004568CE"/>
    <w:rsid w:val="00456E47"/>
    <w:rsid w:val="00460D8A"/>
    <w:rsid w:val="00461E0C"/>
    <w:rsid w:val="004624D5"/>
    <w:rsid w:val="0049314D"/>
    <w:rsid w:val="00496EAE"/>
    <w:rsid w:val="004A5707"/>
    <w:rsid w:val="004B1EDD"/>
    <w:rsid w:val="004B253E"/>
    <w:rsid w:val="004B335E"/>
    <w:rsid w:val="004B4BCB"/>
    <w:rsid w:val="004B669A"/>
    <w:rsid w:val="004C0BC8"/>
    <w:rsid w:val="004C1E64"/>
    <w:rsid w:val="004D17CD"/>
    <w:rsid w:val="004D7965"/>
    <w:rsid w:val="004E1ABC"/>
    <w:rsid w:val="004E4E4D"/>
    <w:rsid w:val="004F7997"/>
    <w:rsid w:val="00505A9B"/>
    <w:rsid w:val="00521AC0"/>
    <w:rsid w:val="005232C5"/>
    <w:rsid w:val="0052350D"/>
    <w:rsid w:val="00534304"/>
    <w:rsid w:val="00537227"/>
    <w:rsid w:val="0055016D"/>
    <w:rsid w:val="005520B5"/>
    <w:rsid w:val="005540AF"/>
    <w:rsid w:val="0055637D"/>
    <w:rsid w:val="0056396C"/>
    <w:rsid w:val="00565100"/>
    <w:rsid w:val="00574C50"/>
    <w:rsid w:val="00575583"/>
    <w:rsid w:val="005829C1"/>
    <w:rsid w:val="00595761"/>
    <w:rsid w:val="005957B2"/>
    <w:rsid w:val="005C2F41"/>
    <w:rsid w:val="005C41B4"/>
    <w:rsid w:val="005C4524"/>
    <w:rsid w:val="005C46A5"/>
    <w:rsid w:val="005C7D60"/>
    <w:rsid w:val="005D1C73"/>
    <w:rsid w:val="005D6399"/>
    <w:rsid w:val="005F0B58"/>
    <w:rsid w:val="005F340B"/>
    <w:rsid w:val="005F4146"/>
    <w:rsid w:val="005F6349"/>
    <w:rsid w:val="00601A04"/>
    <w:rsid w:val="00605031"/>
    <w:rsid w:val="00607611"/>
    <w:rsid w:val="006078E2"/>
    <w:rsid w:val="00610B84"/>
    <w:rsid w:val="00611F3C"/>
    <w:rsid w:val="00612B30"/>
    <w:rsid w:val="00614514"/>
    <w:rsid w:val="00615719"/>
    <w:rsid w:val="00615E9F"/>
    <w:rsid w:val="00624A30"/>
    <w:rsid w:val="00633008"/>
    <w:rsid w:val="00633EC5"/>
    <w:rsid w:val="00634D54"/>
    <w:rsid w:val="00637E14"/>
    <w:rsid w:val="00643EA8"/>
    <w:rsid w:val="00651132"/>
    <w:rsid w:val="00651F0E"/>
    <w:rsid w:val="00654698"/>
    <w:rsid w:val="00663CEA"/>
    <w:rsid w:val="00666A76"/>
    <w:rsid w:val="00667A7D"/>
    <w:rsid w:val="00671981"/>
    <w:rsid w:val="0067535A"/>
    <w:rsid w:val="00681981"/>
    <w:rsid w:val="0068321B"/>
    <w:rsid w:val="00684E48"/>
    <w:rsid w:val="00691980"/>
    <w:rsid w:val="00694D76"/>
    <w:rsid w:val="006A6BBA"/>
    <w:rsid w:val="006A7AA2"/>
    <w:rsid w:val="006B0F5B"/>
    <w:rsid w:val="006B70D8"/>
    <w:rsid w:val="006D5BC6"/>
    <w:rsid w:val="006F2302"/>
    <w:rsid w:val="006F5975"/>
    <w:rsid w:val="006F7D66"/>
    <w:rsid w:val="00706FF8"/>
    <w:rsid w:val="00715FA7"/>
    <w:rsid w:val="0071754D"/>
    <w:rsid w:val="00717751"/>
    <w:rsid w:val="00726610"/>
    <w:rsid w:val="00732482"/>
    <w:rsid w:val="00735FF8"/>
    <w:rsid w:val="00736ABC"/>
    <w:rsid w:val="0074096F"/>
    <w:rsid w:val="00741140"/>
    <w:rsid w:val="00744885"/>
    <w:rsid w:val="00750452"/>
    <w:rsid w:val="007649ED"/>
    <w:rsid w:val="0076664C"/>
    <w:rsid w:val="007702F3"/>
    <w:rsid w:val="00772341"/>
    <w:rsid w:val="00777993"/>
    <w:rsid w:val="00781778"/>
    <w:rsid w:val="00784187"/>
    <w:rsid w:val="00785828"/>
    <w:rsid w:val="00787673"/>
    <w:rsid w:val="00790BE3"/>
    <w:rsid w:val="00790CC7"/>
    <w:rsid w:val="00793010"/>
    <w:rsid w:val="007931BA"/>
    <w:rsid w:val="007A21F7"/>
    <w:rsid w:val="007A25E3"/>
    <w:rsid w:val="007A5FDF"/>
    <w:rsid w:val="007A7B1E"/>
    <w:rsid w:val="007B0488"/>
    <w:rsid w:val="007B0D43"/>
    <w:rsid w:val="007B4D7E"/>
    <w:rsid w:val="007D0E43"/>
    <w:rsid w:val="007D41EB"/>
    <w:rsid w:val="007D614B"/>
    <w:rsid w:val="007D6487"/>
    <w:rsid w:val="007E04FD"/>
    <w:rsid w:val="007E3AD1"/>
    <w:rsid w:val="007E41C8"/>
    <w:rsid w:val="007F066B"/>
    <w:rsid w:val="007F0A04"/>
    <w:rsid w:val="00807223"/>
    <w:rsid w:val="00807C2C"/>
    <w:rsid w:val="00810E2F"/>
    <w:rsid w:val="008117E9"/>
    <w:rsid w:val="0081400D"/>
    <w:rsid w:val="00815CC4"/>
    <w:rsid w:val="0083407E"/>
    <w:rsid w:val="008349F9"/>
    <w:rsid w:val="00835611"/>
    <w:rsid w:val="008366ED"/>
    <w:rsid w:val="00841AC6"/>
    <w:rsid w:val="00842FC7"/>
    <w:rsid w:val="00847FCD"/>
    <w:rsid w:val="00850D7D"/>
    <w:rsid w:val="0086046B"/>
    <w:rsid w:val="0086081B"/>
    <w:rsid w:val="00862E5D"/>
    <w:rsid w:val="0087577F"/>
    <w:rsid w:val="008765D6"/>
    <w:rsid w:val="008826C3"/>
    <w:rsid w:val="00883782"/>
    <w:rsid w:val="00891EBD"/>
    <w:rsid w:val="008926C3"/>
    <w:rsid w:val="008944F3"/>
    <w:rsid w:val="0089668B"/>
    <w:rsid w:val="00897037"/>
    <w:rsid w:val="008A42B2"/>
    <w:rsid w:val="008A5A1D"/>
    <w:rsid w:val="008A7D21"/>
    <w:rsid w:val="008B5E92"/>
    <w:rsid w:val="008B7C78"/>
    <w:rsid w:val="008B7F45"/>
    <w:rsid w:val="008C2DCA"/>
    <w:rsid w:val="008C62A1"/>
    <w:rsid w:val="008C795A"/>
    <w:rsid w:val="008D0175"/>
    <w:rsid w:val="008E31E4"/>
    <w:rsid w:val="00901490"/>
    <w:rsid w:val="009032B6"/>
    <w:rsid w:val="009046A5"/>
    <w:rsid w:val="009118F4"/>
    <w:rsid w:val="00913279"/>
    <w:rsid w:val="0092047F"/>
    <w:rsid w:val="009207C5"/>
    <w:rsid w:val="00924E79"/>
    <w:rsid w:val="00925F74"/>
    <w:rsid w:val="0093452B"/>
    <w:rsid w:val="00934878"/>
    <w:rsid w:val="0094047F"/>
    <w:rsid w:val="00940F0D"/>
    <w:rsid w:val="009422E9"/>
    <w:rsid w:val="00942CE8"/>
    <w:rsid w:val="00943047"/>
    <w:rsid w:val="009517F4"/>
    <w:rsid w:val="00952716"/>
    <w:rsid w:val="0095436C"/>
    <w:rsid w:val="00954BCD"/>
    <w:rsid w:val="00954C27"/>
    <w:rsid w:val="00955994"/>
    <w:rsid w:val="00956B95"/>
    <w:rsid w:val="009609C0"/>
    <w:rsid w:val="0096143F"/>
    <w:rsid w:val="00962163"/>
    <w:rsid w:val="0096522E"/>
    <w:rsid w:val="00965CD2"/>
    <w:rsid w:val="00965D46"/>
    <w:rsid w:val="009715FE"/>
    <w:rsid w:val="009742CD"/>
    <w:rsid w:val="009766AC"/>
    <w:rsid w:val="0098083F"/>
    <w:rsid w:val="00982E52"/>
    <w:rsid w:val="00984CF0"/>
    <w:rsid w:val="00984F1E"/>
    <w:rsid w:val="00997FF6"/>
    <w:rsid w:val="009A6172"/>
    <w:rsid w:val="009B5160"/>
    <w:rsid w:val="009C0535"/>
    <w:rsid w:val="009C4F04"/>
    <w:rsid w:val="009D0BBF"/>
    <w:rsid w:val="009D4452"/>
    <w:rsid w:val="009F29F6"/>
    <w:rsid w:val="00A00041"/>
    <w:rsid w:val="00A03BAF"/>
    <w:rsid w:val="00A05CE0"/>
    <w:rsid w:val="00A06F49"/>
    <w:rsid w:val="00A21CA2"/>
    <w:rsid w:val="00A24EB8"/>
    <w:rsid w:val="00A41AAC"/>
    <w:rsid w:val="00A45E6F"/>
    <w:rsid w:val="00A5325C"/>
    <w:rsid w:val="00A66692"/>
    <w:rsid w:val="00A70B90"/>
    <w:rsid w:val="00A76E53"/>
    <w:rsid w:val="00A93710"/>
    <w:rsid w:val="00A9479C"/>
    <w:rsid w:val="00AA05B2"/>
    <w:rsid w:val="00AA3407"/>
    <w:rsid w:val="00AB1B2E"/>
    <w:rsid w:val="00AB67AF"/>
    <w:rsid w:val="00AB792F"/>
    <w:rsid w:val="00AC3DA7"/>
    <w:rsid w:val="00AD49FD"/>
    <w:rsid w:val="00AD5253"/>
    <w:rsid w:val="00AD6DD8"/>
    <w:rsid w:val="00AE345F"/>
    <w:rsid w:val="00AF0FFC"/>
    <w:rsid w:val="00AF3623"/>
    <w:rsid w:val="00B16AF2"/>
    <w:rsid w:val="00B20279"/>
    <w:rsid w:val="00B2267E"/>
    <w:rsid w:val="00B226A7"/>
    <w:rsid w:val="00B23ECB"/>
    <w:rsid w:val="00B27DEE"/>
    <w:rsid w:val="00B324C8"/>
    <w:rsid w:val="00B327CC"/>
    <w:rsid w:val="00B367BE"/>
    <w:rsid w:val="00B37BF9"/>
    <w:rsid w:val="00B44EBB"/>
    <w:rsid w:val="00B47A73"/>
    <w:rsid w:val="00B53426"/>
    <w:rsid w:val="00B62D9C"/>
    <w:rsid w:val="00B634B3"/>
    <w:rsid w:val="00B67A3F"/>
    <w:rsid w:val="00B7144A"/>
    <w:rsid w:val="00B72B90"/>
    <w:rsid w:val="00B75D80"/>
    <w:rsid w:val="00B83A19"/>
    <w:rsid w:val="00B83E6C"/>
    <w:rsid w:val="00B87AA5"/>
    <w:rsid w:val="00B97766"/>
    <w:rsid w:val="00BB7006"/>
    <w:rsid w:val="00BC068F"/>
    <w:rsid w:val="00BC3083"/>
    <w:rsid w:val="00BC5DFC"/>
    <w:rsid w:val="00BC7D32"/>
    <w:rsid w:val="00BD2B40"/>
    <w:rsid w:val="00BF132C"/>
    <w:rsid w:val="00BF5B41"/>
    <w:rsid w:val="00C02608"/>
    <w:rsid w:val="00C04537"/>
    <w:rsid w:val="00C04725"/>
    <w:rsid w:val="00C04F2F"/>
    <w:rsid w:val="00C0760C"/>
    <w:rsid w:val="00C07ECD"/>
    <w:rsid w:val="00C12128"/>
    <w:rsid w:val="00C149D2"/>
    <w:rsid w:val="00C209A7"/>
    <w:rsid w:val="00C302B6"/>
    <w:rsid w:val="00C32862"/>
    <w:rsid w:val="00C37D55"/>
    <w:rsid w:val="00C4280B"/>
    <w:rsid w:val="00C42D89"/>
    <w:rsid w:val="00C44822"/>
    <w:rsid w:val="00C458A0"/>
    <w:rsid w:val="00C5359D"/>
    <w:rsid w:val="00C740D3"/>
    <w:rsid w:val="00C865ED"/>
    <w:rsid w:val="00CA3A39"/>
    <w:rsid w:val="00CA730A"/>
    <w:rsid w:val="00CB5B31"/>
    <w:rsid w:val="00CC35BB"/>
    <w:rsid w:val="00CD03BC"/>
    <w:rsid w:val="00CD0A53"/>
    <w:rsid w:val="00CD0E84"/>
    <w:rsid w:val="00CD3C69"/>
    <w:rsid w:val="00CD742D"/>
    <w:rsid w:val="00CE08B5"/>
    <w:rsid w:val="00CE4EAE"/>
    <w:rsid w:val="00CE571A"/>
    <w:rsid w:val="00CE5B5B"/>
    <w:rsid w:val="00CF68F2"/>
    <w:rsid w:val="00D16355"/>
    <w:rsid w:val="00D170F8"/>
    <w:rsid w:val="00D201FD"/>
    <w:rsid w:val="00D227E8"/>
    <w:rsid w:val="00D22C87"/>
    <w:rsid w:val="00D23848"/>
    <w:rsid w:val="00D26755"/>
    <w:rsid w:val="00D27961"/>
    <w:rsid w:val="00D3400A"/>
    <w:rsid w:val="00D34524"/>
    <w:rsid w:val="00D40075"/>
    <w:rsid w:val="00D429FA"/>
    <w:rsid w:val="00D43711"/>
    <w:rsid w:val="00D50B26"/>
    <w:rsid w:val="00D6101F"/>
    <w:rsid w:val="00D63B18"/>
    <w:rsid w:val="00D66BBC"/>
    <w:rsid w:val="00D6765C"/>
    <w:rsid w:val="00D738B1"/>
    <w:rsid w:val="00D77D2C"/>
    <w:rsid w:val="00D80976"/>
    <w:rsid w:val="00D8164B"/>
    <w:rsid w:val="00D8228E"/>
    <w:rsid w:val="00D832DA"/>
    <w:rsid w:val="00D8690F"/>
    <w:rsid w:val="00D87018"/>
    <w:rsid w:val="00D93108"/>
    <w:rsid w:val="00DA2827"/>
    <w:rsid w:val="00DA4272"/>
    <w:rsid w:val="00DA61B2"/>
    <w:rsid w:val="00DB3FE3"/>
    <w:rsid w:val="00DB46CB"/>
    <w:rsid w:val="00DC6089"/>
    <w:rsid w:val="00DD2EAB"/>
    <w:rsid w:val="00DD3E5F"/>
    <w:rsid w:val="00DD7C14"/>
    <w:rsid w:val="00DF1ED1"/>
    <w:rsid w:val="00E07798"/>
    <w:rsid w:val="00E11651"/>
    <w:rsid w:val="00E21404"/>
    <w:rsid w:val="00E225B6"/>
    <w:rsid w:val="00E2684D"/>
    <w:rsid w:val="00E26990"/>
    <w:rsid w:val="00E31208"/>
    <w:rsid w:val="00E33BC2"/>
    <w:rsid w:val="00E37534"/>
    <w:rsid w:val="00E40323"/>
    <w:rsid w:val="00E41123"/>
    <w:rsid w:val="00E47F14"/>
    <w:rsid w:val="00E54FB0"/>
    <w:rsid w:val="00E637C1"/>
    <w:rsid w:val="00E65BA0"/>
    <w:rsid w:val="00E71EA7"/>
    <w:rsid w:val="00E7200F"/>
    <w:rsid w:val="00E754E8"/>
    <w:rsid w:val="00E76170"/>
    <w:rsid w:val="00E77C3D"/>
    <w:rsid w:val="00E856C9"/>
    <w:rsid w:val="00E87D8F"/>
    <w:rsid w:val="00E94208"/>
    <w:rsid w:val="00E97444"/>
    <w:rsid w:val="00E97696"/>
    <w:rsid w:val="00EA6EDE"/>
    <w:rsid w:val="00EB4339"/>
    <w:rsid w:val="00EB4614"/>
    <w:rsid w:val="00EC06AC"/>
    <w:rsid w:val="00EC2E99"/>
    <w:rsid w:val="00ED5281"/>
    <w:rsid w:val="00ED5949"/>
    <w:rsid w:val="00ED6A66"/>
    <w:rsid w:val="00EE01EA"/>
    <w:rsid w:val="00EE0967"/>
    <w:rsid w:val="00EE235A"/>
    <w:rsid w:val="00EE59D4"/>
    <w:rsid w:val="00EE67B1"/>
    <w:rsid w:val="00EE7BF6"/>
    <w:rsid w:val="00EF38D2"/>
    <w:rsid w:val="00F06280"/>
    <w:rsid w:val="00F11D19"/>
    <w:rsid w:val="00F12237"/>
    <w:rsid w:val="00F17DF3"/>
    <w:rsid w:val="00F20422"/>
    <w:rsid w:val="00F24A04"/>
    <w:rsid w:val="00F2724D"/>
    <w:rsid w:val="00F30BB9"/>
    <w:rsid w:val="00F33883"/>
    <w:rsid w:val="00F36638"/>
    <w:rsid w:val="00F43E8D"/>
    <w:rsid w:val="00F4428A"/>
    <w:rsid w:val="00F47691"/>
    <w:rsid w:val="00F51569"/>
    <w:rsid w:val="00F57A0A"/>
    <w:rsid w:val="00F649D9"/>
    <w:rsid w:val="00F670B6"/>
    <w:rsid w:val="00F705F6"/>
    <w:rsid w:val="00F80589"/>
    <w:rsid w:val="00F94ADE"/>
    <w:rsid w:val="00FA0238"/>
    <w:rsid w:val="00FA03B3"/>
    <w:rsid w:val="00FA5300"/>
    <w:rsid w:val="00FB06C1"/>
    <w:rsid w:val="00FB57AA"/>
    <w:rsid w:val="00FB58FA"/>
    <w:rsid w:val="00FC4BEE"/>
    <w:rsid w:val="00FD1DC0"/>
    <w:rsid w:val="00FD44D3"/>
    <w:rsid w:val="00FD7103"/>
    <w:rsid w:val="00FE0070"/>
    <w:rsid w:val="00FE02E9"/>
    <w:rsid w:val="00FE5DCA"/>
    <w:rsid w:val="00FF06B6"/>
    <w:rsid w:val="00FF1559"/>
    <w:rsid w:val="00FF3FC2"/>
    <w:rsid w:val="00FF6328"/>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0B4D"/>
  <w15:chartTrackingRefBased/>
  <w15:docId w15:val="{10EEF1D6-56F7-4AEE-BAA3-B5B82E87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47F"/>
    <w:pPr>
      <w:spacing w:after="240" w:line="48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92047F"/>
    <w:pPr>
      <w:keepNext/>
      <w:keepLines/>
      <w:numPr>
        <w:numId w:val="1"/>
      </w:numPr>
      <w:spacing w:before="24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92047F"/>
    <w:pPr>
      <w:keepNext/>
      <w:keepLines/>
      <w:numPr>
        <w:ilvl w:val="1"/>
        <w:numId w:val="1"/>
      </w:numPr>
      <w:outlineLvl w:val="1"/>
    </w:pPr>
    <w:rPr>
      <w:rFonts w:eastAsiaTheme="majorEastAsia" w:cstheme="majorBidi"/>
      <w:b/>
      <w:bCs/>
      <w:i/>
      <w:szCs w:val="26"/>
      <w:lang w:eastAsia="en-GB"/>
    </w:rPr>
  </w:style>
  <w:style w:type="paragraph" w:styleId="Heading3">
    <w:name w:val="heading 3"/>
    <w:basedOn w:val="Normal"/>
    <w:next w:val="Normal"/>
    <w:link w:val="Heading3Char"/>
    <w:autoRedefine/>
    <w:uiPriority w:val="9"/>
    <w:unhideWhenUsed/>
    <w:qFormat/>
    <w:rsid w:val="0092047F"/>
    <w:pPr>
      <w:keepNext/>
      <w:keepLines/>
      <w:numPr>
        <w:ilvl w:val="2"/>
        <w:numId w:val="1"/>
      </w:numPr>
      <w:outlineLvl w:val="2"/>
    </w:pPr>
    <w:rPr>
      <w:rFonts w:eastAsiaTheme="majorEastAsia" w:cstheme="majorBidi"/>
      <w:b/>
      <w:bCs/>
      <w:i/>
      <w:lang w:eastAsia="en-GB"/>
    </w:rPr>
  </w:style>
  <w:style w:type="paragraph" w:styleId="Heading4">
    <w:name w:val="heading 4"/>
    <w:basedOn w:val="Normal"/>
    <w:next w:val="Normal"/>
    <w:link w:val="Heading4Char"/>
    <w:uiPriority w:val="9"/>
    <w:unhideWhenUsed/>
    <w:qFormat/>
    <w:rsid w:val="0092047F"/>
    <w:pPr>
      <w:keepNext/>
      <w:keepLines/>
      <w:numPr>
        <w:ilvl w:val="3"/>
        <w:numId w:val="1"/>
      </w:numPr>
      <w:spacing w:before="200" w:line="240" w:lineRule="auto"/>
      <w:outlineLvl w:val="3"/>
    </w:pPr>
    <w:rPr>
      <w:rFonts w:asciiTheme="majorHAnsi" w:eastAsiaTheme="majorEastAsia" w:hAnsiTheme="majorHAnsi" w:cstheme="majorBidi"/>
      <w:b/>
      <w:bCs/>
      <w:i/>
      <w:iCs/>
      <w:szCs w:val="24"/>
      <w:lang w:eastAsia="en-GB"/>
    </w:rPr>
  </w:style>
  <w:style w:type="paragraph" w:styleId="Heading5">
    <w:name w:val="heading 5"/>
    <w:basedOn w:val="Normal"/>
    <w:next w:val="Normal"/>
    <w:link w:val="Heading5Char"/>
    <w:semiHidden/>
    <w:unhideWhenUsed/>
    <w:qFormat/>
    <w:rsid w:val="0092047F"/>
    <w:pPr>
      <w:keepNext/>
      <w:keepLines/>
      <w:numPr>
        <w:ilvl w:val="4"/>
        <w:numId w:val="1"/>
      </w:numPr>
      <w:spacing w:before="200" w:line="240" w:lineRule="auto"/>
      <w:outlineLvl w:val="4"/>
    </w:pPr>
    <w:rPr>
      <w:rFonts w:asciiTheme="majorHAnsi" w:eastAsiaTheme="majorEastAsia" w:hAnsiTheme="majorHAnsi" w:cstheme="majorBidi"/>
      <w:color w:val="1F3763" w:themeColor="accent1" w:themeShade="7F"/>
      <w:szCs w:val="24"/>
      <w:lang w:eastAsia="en-GB"/>
    </w:rPr>
  </w:style>
  <w:style w:type="paragraph" w:styleId="Heading6">
    <w:name w:val="heading 6"/>
    <w:basedOn w:val="Normal"/>
    <w:next w:val="Normal"/>
    <w:link w:val="Heading6Char"/>
    <w:semiHidden/>
    <w:unhideWhenUsed/>
    <w:qFormat/>
    <w:rsid w:val="0092047F"/>
    <w:pPr>
      <w:keepNext/>
      <w:keepLines/>
      <w:numPr>
        <w:ilvl w:val="5"/>
        <w:numId w:val="1"/>
      </w:numPr>
      <w:spacing w:before="200" w:line="240" w:lineRule="auto"/>
      <w:outlineLvl w:val="5"/>
    </w:pPr>
    <w:rPr>
      <w:rFonts w:asciiTheme="majorHAnsi" w:eastAsiaTheme="majorEastAsia" w:hAnsiTheme="majorHAnsi" w:cstheme="majorBidi"/>
      <w:i/>
      <w:iCs/>
      <w:color w:val="1F3763" w:themeColor="accent1" w:themeShade="7F"/>
      <w:szCs w:val="24"/>
      <w:lang w:eastAsia="en-GB"/>
    </w:rPr>
  </w:style>
  <w:style w:type="paragraph" w:styleId="Heading7">
    <w:name w:val="heading 7"/>
    <w:basedOn w:val="Normal"/>
    <w:next w:val="Normal"/>
    <w:link w:val="Heading7Char"/>
    <w:semiHidden/>
    <w:unhideWhenUsed/>
    <w:qFormat/>
    <w:rsid w:val="0092047F"/>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szCs w:val="24"/>
      <w:lang w:eastAsia="en-GB"/>
    </w:rPr>
  </w:style>
  <w:style w:type="paragraph" w:styleId="Heading8">
    <w:name w:val="heading 8"/>
    <w:basedOn w:val="Normal"/>
    <w:next w:val="Normal"/>
    <w:link w:val="Heading8Char"/>
    <w:semiHidden/>
    <w:unhideWhenUsed/>
    <w:qFormat/>
    <w:rsid w:val="0092047F"/>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92047F"/>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47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2047F"/>
    <w:rPr>
      <w:rFonts w:ascii="Times New Roman" w:eastAsiaTheme="majorEastAsia" w:hAnsi="Times New Roman" w:cstheme="majorBidi"/>
      <w:b/>
      <w:bCs/>
      <w:i/>
      <w:sz w:val="24"/>
      <w:szCs w:val="26"/>
      <w:lang w:eastAsia="en-GB"/>
    </w:rPr>
  </w:style>
  <w:style w:type="character" w:customStyle="1" w:styleId="Heading3Char">
    <w:name w:val="Heading 3 Char"/>
    <w:basedOn w:val="DefaultParagraphFont"/>
    <w:link w:val="Heading3"/>
    <w:uiPriority w:val="9"/>
    <w:rsid w:val="0092047F"/>
    <w:rPr>
      <w:rFonts w:ascii="Times New Roman" w:eastAsiaTheme="majorEastAsia" w:hAnsi="Times New Roman" w:cstheme="majorBidi"/>
      <w:b/>
      <w:bCs/>
      <w:i/>
      <w:sz w:val="24"/>
      <w:lang w:eastAsia="en-GB"/>
    </w:rPr>
  </w:style>
  <w:style w:type="character" w:customStyle="1" w:styleId="Heading4Char">
    <w:name w:val="Heading 4 Char"/>
    <w:basedOn w:val="DefaultParagraphFont"/>
    <w:link w:val="Heading4"/>
    <w:uiPriority w:val="9"/>
    <w:rsid w:val="0092047F"/>
    <w:rPr>
      <w:rFonts w:asciiTheme="majorHAnsi" w:eastAsiaTheme="majorEastAsia" w:hAnsiTheme="majorHAnsi" w:cstheme="majorBidi"/>
      <w:b/>
      <w:bCs/>
      <w:i/>
      <w:iCs/>
      <w:sz w:val="24"/>
      <w:szCs w:val="24"/>
      <w:lang w:eastAsia="en-GB"/>
    </w:rPr>
  </w:style>
  <w:style w:type="character" w:customStyle="1" w:styleId="Heading5Char">
    <w:name w:val="Heading 5 Char"/>
    <w:basedOn w:val="DefaultParagraphFont"/>
    <w:link w:val="Heading5"/>
    <w:semiHidden/>
    <w:rsid w:val="0092047F"/>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semiHidden/>
    <w:rsid w:val="0092047F"/>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semiHidden/>
    <w:rsid w:val="0092047F"/>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92047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92047F"/>
    <w:rPr>
      <w:rFonts w:asciiTheme="majorHAnsi" w:eastAsiaTheme="majorEastAsia" w:hAnsiTheme="majorHAnsi" w:cstheme="majorBidi"/>
      <w:i/>
      <w:iCs/>
      <w:color w:val="404040" w:themeColor="text1" w:themeTint="BF"/>
      <w:sz w:val="20"/>
      <w:szCs w:val="20"/>
      <w:lang w:eastAsia="en-GB"/>
    </w:rPr>
  </w:style>
  <w:style w:type="paragraph" w:styleId="FootnoteText">
    <w:name w:val="footnote text"/>
    <w:basedOn w:val="Normal"/>
    <w:link w:val="FootnoteTextChar"/>
    <w:uiPriority w:val="99"/>
    <w:semiHidden/>
    <w:unhideWhenUsed/>
    <w:rsid w:val="0092047F"/>
    <w:pPr>
      <w:spacing w:after="0" w:line="240" w:lineRule="auto"/>
      <w:ind w:firstLine="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2047F"/>
    <w:rPr>
      <w:sz w:val="20"/>
      <w:szCs w:val="20"/>
    </w:rPr>
  </w:style>
  <w:style w:type="character" w:styleId="FootnoteReference">
    <w:name w:val="footnote reference"/>
    <w:basedOn w:val="DefaultParagraphFont"/>
    <w:unhideWhenUsed/>
    <w:rsid w:val="0092047F"/>
    <w:rPr>
      <w:vertAlign w:val="superscript"/>
    </w:rPr>
  </w:style>
  <w:style w:type="character" w:styleId="Hyperlink">
    <w:name w:val="Hyperlink"/>
    <w:basedOn w:val="DefaultParagraphFont"/>
    <w:uiPriority w:val="99"/>
    <w:unhideWhenUsed/>
    <w:rsid w:val="0092047F"/>
    <w:rPr>
      <w:color w:val="0000FF"/>
      <w:u w:val="single"/>
    </w:rPr>
  </w:style>
  <w:style w:type="paragraph" w:styleId="NoSpacing">
    <w:name w:val="No Spacing"/>
    <w:uiPriority w:val="1"/>
    <w:qFormat/>
    <w:rsid w:val="0092047F"/>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92047F"/>
    <w:rPr>
      <w:sz w:val="16"/>
      <w:szCs w:val="16"/>
    </w:rPr>
  </w:style>
  <w:style w:type="paragraph" w:styleId="CommentText">
    <w:name w:val="annotation text"/>
    <w:basedOn w:val="Normal"/>
    <w:link w:val="CommentTextChar"/>
    <w:uiPriority w:val="99"/>
    <w:semiHidden/>
    <w:unhideWhenUsed/>
    <w:rsid w:val="0092047F"/>
    <w:pPr>
      <w:spacing w:line="240" w:lineRule="auto"/>
    </w:pPr>
    <w:rPr>
      <w:sz w:val="20"/>
      <w:szCs w:val="20"/>
    </w:rPr>
  </w:style>
  <w:style w:type="character" w:customStyle="1" w:styleId="CommentTextChar">
    <w:name w:val="Comment Text Char"/>
    <w:basedOn w:val="DefaultParagraphFont"/>
    <w:link w:val="CommentText"/>
    <w:uiPriority w:val="99"/>
    <w:semiHidden/>
    <w:rsid w:val="0092047F"/>
    <w:rPr>
      <w:rFonts w:ascii="Times New Roman" w:hAnsi="Times New Roman"/>
      <w:sz w:val="20"/>
      <w:szCs w:val="20"/>
    </w:rPr>
  </w:style>
  <w:style w:type="paragraph" w:styleId="BalloonText">
    <w:name w:val="Balloon Text"/>
    <w:basedOn w:val="Normal"/>
    <w:link w:val="BalloonTextChar"/>
    <w:uiPriority w:val="99"/>
    <w:semiHidden/>
    <w:unhideWhenUsed/>
    <w:rsid w:val="00920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47F"/>
    <w:rPr>
      <w:rFonts w:ascii="Segoe UI" w:hAnsi="Segoe UI" w:cs="Segoe UI"/>
      <w:sz w:val="18"/>
      <w:szCs w:val="18"/>
    </w:rPr>
  </w:style>
  <w:style w:type="character" w:styleId="EndnoteReference">
    <w:name w:val="endnote reference"/>
    <w:basedOn w:val="DefaultParagraphFont"/>
    <w:uiPriority w:val="99"/>
    <w:semiHidden/>
    <w:unhideWhenUsed/>
    <w:rsid w:val="0092047F"/>
    <w:rPr>
      <w:vertAlign w:val="superscript"/>
    </w:rPr>
  </w:style>
  <w:style w:type="table" w:customStyle="1" w:styleId="TableGrid111">
    <w:name w:val="Table Grid111"/>
    <w:basedOn w:val="TableNormal"/>
    <w:next w:val="TableGrid"/>
    <w:rsid w:val="0092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2047F"/>
    <w:pPr>
      <w:spacing w:line="240" w:lineRule="auto"/>
    </w:pPr>
    <w:rPr>
      <w:rFonts w:cs="Times New Roman"/>
      <w:noProof/>
    </w:rPr>
  </w:style>
  <w:style w:type="character" w:customStyle="1" w:styleId="EndNoteBibliographyChar">
    <w:name w:val="EndNote Bibliography Char"/>
    <w:basedOn w:val="DefaultParagraphFont"/>
    <w:link w:val="EndNoteBibliography"/>
    <w:rsid w:val="0092047F"/>
    <w:rPr>
      <w:rFonts w:ascii="Times New Roman" w:hAnsi="Times New Roman" w:cs="Times New Roman"/>
      <w:noProof/>
      <w:sz w:val="24"/>
    </w:rPr>
  </w:style>
  <w:style w:type="paragraph" w:styleId="Header">
    <w:name w:val="header"/>
    <w:basedOn w:val="Normal"/>
    <w:link w:val="HeaderChar"/>
    <w:uiPriority w:val="99"/>
    <w:unhideWhenUsed/>
    <w:rsid w:val="00920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7F"/>
    <w:rPr>
      <w:rFonts w:ascii="Times New Roman" w:hAnsi="Times New Roman"/>
      <w:sz w:val="24"/>
    </w:rPr>
  </w:style>
  <w:style w:type="paragraph" w:styleId="Footer">
    <w:name w:val="footer"/>
    <w:basedOn w:val="Normal"/>
    <w:link w:val="FooterChar"/>
    <w:uiPriority w:val="99"/>
    <w:unhideWhenUsed/>
    <w:rsid w:val="00920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7F"/>
    <w:rPr>
      <w:rFonts w:ascii="Times New Roman" w:hAnsi="Times New Roman"/>
      <w:sz w:val="24"/>
    </w:rPr>
  </w:style>
  <w:style w:type="character" w:styleId="FollowedHyperlink">
    <w:name w:val="FollowedHyperlink"/>
    <w:basedOn w:val="DefaultParagraphFont"/>
    <w:uiPriority w:val="99"/>
    <w:semiHidden/>
    <w:unhideWhenUsed/>
    <w:rsid w:val="0092047F"/>
    <w:rPr>
      <w:color w:val="954F72" w:themeColor="followedHyperlink"/>
      <w:u w:val="single"/>
    </w:rPr>
  </w:style>
  <w:style w:type="character" w:customStyle="1" w:styleId="UnresolvedMention1">
    <w:name w:val="Unresolved Mention1"/>
    <w:basedOn w:val="DefaultParagraphFont"/>
    <w:uiPriority w:val="99"/>
    <w:semiHidden/>
    <w:unhideWhenUsed/>
    <w:rsid w:val="0052350D"/>
    <w:rPr>
      <w:color w:val="605E5C"/>
      <w:shd w:val="clear" w:color="auto" w:fill="E1DFDD"/>
    </w:rPr>
  </w:style>
  <w:style w:type="paragraph" w:customStyle="1" w:styleId="EndNoteBibliographyTitle">
    <w:name w:val="EndNote Bibliography Title"/>
    <w:basedOn w:val="Normal"/>
    <w:link w:val="EndNoteBibliographyTitleChar"/>
    <w:rsid w:val="006D5BC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D5BC6"/>
    <w:rPr>
      <w:rFonts w:ascii="Times New Roman" w:hAnsi="Times New Roman" w:cs="Times New Roman"/>
      <w:noProof/>
      <w:sz w:val="24"/>
      <w:lang w:val="en-US"/>
    </w:rPr>
  </w:style>
  <w:style w:type="paragraph" w:styleId="EndnoteText">
    <w:name w:val="endnote text"/>
    <w:basedOn w:val="Normal"/>
    <w:link w:val="EndnoteTextChar"/>
    <w:uiPriority w:val="99"/>
    <w:semiHidden/>
    <w:unhideWhenUsed/>
    <w:rsid w:val="00DC6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60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066A"/>
    <w:rPr>
      <w:b/>
      <w:bCs/>
    </w:rPr>
  </w:style>
  <w:style w:type="character" w:customStyle="1" w:styleId="CommentSubjectChar">
    <w:name w:val="Comment Subject Char"/>
    <w:basedOn w:val="CommentTextChar"/>
    <w:link w:val="CommentSubject"/>
    <w:uiPriority w:val="99"/>
    <w:semiHidden/>
    <w:rsid w:val="001C066A"/>
    <w:rPr>
      <w:rFonts w:ascii="Times New Roman" w:hAnsi="Times New Roman"/>
      <w:b/>
      <w:bCs/>
      <w:sz w:val="20"/>
      <w:szCs w:val="20"/>
    </w:rPr>
  </w:style>
  <w:style w:type="character" w:styleId="UnresolvedMention">
    <w:name w:val="Unresolved Mention"/>
    <w:basedOn w:val="DefaultParagraphFont"/>
    <w:uiPriority w:val="99"/>
    <w:semiHidden/>
    <w:unhideWhenUsed/>
    <w:rsid w:val="00327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pers.ssrn.com/sol3/papers.cfm?abstract_id=6252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jcorpfin.2018.08.0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oi.org/10.1016/j.bar.2012.07.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i.org/10.1016/j.bar.2016.08.001" TargetMode="External"/><Relationship Id="rId5" Type="http://schemas.openxmlformats.org/officeDocument/2006/relationships/numbering" Target="numbering.xml"/><Relationship Id="rId15" Type="http://schemas.openxmlformats.org/officeDocument/2006/relationships/hyperlink" Target="http://webarchive.nationalarchives.gov.uk/+/http:/www.hm-treasury.gov.uk/d/walker_review_261109.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i.org/10.1016/j.bar.2014.08.00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hecityuk.com/assets/2019/Report-PDFs/b258573748/Key-facts-about-UK-based-financial-and-related-professional-servic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FABBF84FE644393A2DF24433D02FB" ma:contentTypeVersion="8" ma:contentTypeDescription="Create a new document." ma:contentTypeScope="" ma:versionID="096c148e2623cacd64d54d32044f0d2b">
  <xsd:schema xmlns:xsd="http://www.w3.org/2001/XMLSchema" xmlns:xs="http://www.w3.org/2001/XMLSchema" xmlns:p="http://schemas.microsoft.com/office/2006/metadata/properties" xmlns:ns3="642cb7e5-80c9-483b-85a4-70df391dc543" targetNamespace="http://schemas.microsoft.com/office/2006/metadata/properties" ma:root="true" ma:fieldsID="99f40813e78f14ab9ed19cdc01275951" ns3:_="">
    <xsd:import namespace="642cb7e5-80c9-483b-85a4-70df391dc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b7e5-80c9-483b-85a4-70df391dc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B15A-F7E6-4ED4-86D2-432526D33337}">
  <ds:schemaRefs>
    <ds:schemaRef ds:uri="http://schemas.microsoft.com/sharepoint/v3/contenttype/forms"/>
  </ds:schemaRefs>
</ds:datastoreItem>
</file>

<file path=customXml/itemProps2.xml><?xml version="1.0" encoding="utf-8"?>
<ds:datastoreItem xmlns:ds="http://schemas.openxmlformats.org/officeDocument/2006/customXml" ds:itemID="{FFF9549C-A0D9-4418-8735-E3D4CD4D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b7e5-80c9-483b-85a4-70df391dc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3D85A-FB2A-409A-865C-A9A7E1F95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8F282-D956-4E0C-81D9-6AD4478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42</Pages>
  <Words>25128</Words>
  <Characters>143235</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Anwar.Halari</dc:creator>
  <cp:keywords/>
  <dc:description/>
  <cp:lastModifiedBy>Ahmad, Sardar</cp:lastModifiedBy>
  <cp:revision>235</cp:revision>
  <cp:lastPrinted>2020-07-21T12:23:00Z</cp:lastPrinted>
  <dcterms:created xsi:type="dcterms:W3CDTF">2020-06-22T13:38:00Z</dcterms:created>
  <dcterms:modified xsi:type="dcterms:W3CDTF">2021-01-15T20:18:00Z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0x0101007BAFABBF84FE644393A2DF24433D02FB</vt:lpwstr>
  </property>
</Properties>
</file>