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C8455" w14:textId="6B8FA2D0" w:rsidR="000150B5" w:rsidRDefault="000150B5" w:rsidP="009632F1">
      <w:pPr>
        <w:jc w:val="both"/>
      </w:pPr>
      <w:r w:rsidRPr="000150B5">
        <w:t>Barriers to Sexual Harassment Bystander Intervention in Ecuadorian Universities</w:t>
      </w:r>
    </w:p>
    <w:p w14:paraId="0065F12A" w14:textId="3CF87180" w:rsidR="000150B5" w:rsidRDefault="000150B5" w:rsidP="009632F1">
      <w:pPr>
        <w:jc w:val="both"/>
      </w:pPr>
    </w:p>
    <w:p w14:paraId="3D7850D5" w14:textId="6B7F1765" w:rsidR="000150B5" w:rsidRPr="000150B5" w:rsidRDefault="000150B5" w:rsidP="009632F1">
      <w:pPr>
        <w:jc w:val="both"/>
      </w:pPr>
      <w:r w:rsidRPr="000150B5">
        <w:rPr>
          <w:vertAlign w:val="superscript"/>
        </w:rPr>
        <w:t>1</w:t>
      </w:r>
      <w:r>
        <w:t xml:space="preserve">Minna Lyons, </w:t>
      </w:r>
      <w:r w:rsidRPr="000150B5">
        <w:rPr>
          <w:vertAlign w:val="superscript"/>
        </w:rPr>
        <w:t>1</w:t>
      </w:r>
      <w:r>
        <w:t xml:space="preserve">Gayle Brewer, </w:t>
      </w:r>
      <w:r>
        <w:rPr>
          <w:vertAlign w:val="superscript"/>
        </w:rPr>
        <w:t>1</w:t>
      </w:r>
      <w:r>
        <w:t xml:space="preserve">Jorge Castro, </w:t>
      </w:r>
      <w:r w:rsidRPr="000150B5">
        <w:rPr>
          <w:vertAlign w:val="superscript"/>
        </w:rPr>
        <w:t>2</w:t>
      </w:r>
      <w:r>
        <w:t xml:space="preserve">Mabel Andrade, </w:t>
      </w:r>
      <w:r>
        <w:rPr>
          <w:vertAlign w:val="superscript"/>
        </w:rPr>
        <w:t>2</w:t>
      </w:r>
      <w:r>
        <w:t xml:space="preserve">Marcela Morales, </w:t>
      </w:r>
      <w:r w:rsidRPr="000150B5">
        <w:rPr>
          <w:vertAlign w:val="superscript"/>
        </w:rPr>
        <w:t>1</w:t>
      </w:r>
      <w:r>
        <w:t xml:space="preserve">Luna Centifanti </w:t>
      </w:r>
    </w:p>
    <w:p w14:paraId="1615FFAB" w14:textId="2060CB90" w:rsidR="000150B5" w:rsidRDefault="000150B5" w:rsidP="009632F1">
      <w:pPr>
        <w:jc w:val="both"/>
        <w:rPr>
          <w:color w:val="000000"/>
        </w:rPr>
      </w:pPr>
    </w:p>
    <w:p w14:paraId="3C6E0D4F" w14:textId="1A32196F" w:rsidR="000150B5" w:rsidRDefault="000150B5" w:rsidP="009632F1">
      <w:pPr>
        <w:jc w:val="both"/>
        <w:rPr>
          <w:color w:val="000000"/>
        </w:rPr>
      </w:pPr>
      <w:r w:rsidRPr="000150B5">
        <w:rPr>
          <w:color w:val="000000"/>
          <w:vertAlign w:val="superscript"/>
        </w:rPr>
        <w:t>1</w:t>
      </w:r>
      <w:r>
        <w:rPr>
          <w:color w:val="000000"/>
        </w:rPr>
        <w:t xml:space="preserve"> University of Liverpool, United Kingdom</w:t>
      </w:r>
    </w:p>
    <w:p w14:paraId="0F066F39" w14:textId="1D8C3684" w:rsidR="000150B5" w:rsidRDefault="000150B5" w:rsidP="009632F1">
      <w:pPr>
        <w:jc w:val="both"/>
        <w:rPr>
          <w:color w:val="000000"/>
        </w:rPr>
      </w:pPr>
      <w:r w:rsidRPr="000150B5">
        <w:rPr>
          <w:color w:val="000000"/>
          <w:vertAlign w:val="superscript"/>
        </w:rPr>
        <w:t>2</w:t>
      </w:r>
      <w:r>
        <w:rPr>
          <w:color w:val="000000"/>
        </w:rPr>
        <w:t xml:space="preserve"> REMCI (</w:t>
      </w:r>
      <w:r w:rsidRPr="000150B5">
        <w:rPr>
          <w:color w:val="000000"/>
        </w:rPr>
        <w:t xml:space="preserve">Red </w:t>
      </w:r>
      <w:proofErr w:type="spellStart"/>
      <w:r w:rsidRPr="000150B5">
        <w:rPr>
          <w:color w:val="000000"/>
        </w:rPr>
        <w:t>Ecuatoriana</w:t>
      </w:r>
      <w:proofErr w:type="spellEnd"/>
      <w:r w:rsidRPr="000150B5">
        <w:rPr>
          <w:color w:val="000000"/>
        </w:rPr>
        <w:t xml:space="preserve"> de </w:t>
      </w:r>
      <w:proofErr w:type="spellStart"/>
      <w:r w:rsidRPr="000150B5">
        <w:rPr>
          <w:color w:val="000000"/>
        </w:rPr>
        <w:t>Mujeres</w:t>
      </w:r>
      <w:proofErr w:type="spellEnd"/>
      <w:r w:rsidRPr="000150B5">
        <w:rPr>
          <w:color w:val="000000"/>
        </w:rPr>
        <w:t xml:space="preserve"> </w:t>
      </w:r>
      <w:proofErr w:type="spellStart"/>
      <w:r w:rsidRPr="000150B5">
        <w:rPr>
          <w:color w:val="000000"/>
        </w:rPr>
        <w:t>Científicas</w:t>
      </w:r>
      <w:proofErr w:type="spellEnd"/>
      <w:r>
        <w:rPr>
          <w:color w:val="000000"/>
        </w:rPr>
        <w:t>)</w:t>
      </w:r>
    </w:p>
    <w:p w14:paraId="76E31D63" w14:textId="77777777" w:rsidR="000150B5" w:rsidRDefault="000150B5" w:rsidP="009632F1">
      <w:pPr>
        <w:jc w:val="both"/>
        <w:rPr>
          <w:color w:val="000000"/>
        </w:rPr>
      </w:pPr>
    </w:p>
    <w:p w14:paraId="0000001C" w14:textId="4CDB59EF" w:rsidR="00BF1871" w:rsidRDefault="003B18AD" w:rsidP="009632F1">
      <w:pPr>
        <w:jc w:val="both"/>
        <w:rPr>
          <w:b/>
        </w:rPr>
      </w:pPr>
      <w:r>
        <w:rPr>
          <w:b/>
        </w:rPr>
        <w:t xml:space="preserve">Abstract </w:t>
      </w:r>
    </w:p>
    <w:p w14:paraId="0000001E" w14:textId="0FCFBF0D" w:rsidR="00BF1871" w:rsidRPr="002C22AC" w:rsidRDefault="002C22AC" w:rsidP="003A7D48">
      <w:pPr>
        <w:spacing w:line="480" w:lineRule="auto"/>
      </w:pPr>
      <w:r w:rsidRPr="002C22AC">
        <w:rPr>
          <w:color w:val="000000"/>
        </w:rPr>
        <w:t>Previous research</w:t>
      </w:r>
      <w:r w:rsidR="00F821A1">
        <w:rPr>
          <w:color w:val="000000"/>
        </w:rPr>
        <w:t xml:space="preserve">, </w:t>
      </w:r>
      <w:r w:rsidR="000471C6">
        <w:rPr>
          <w:color w:val="000000"/>
        </w:rPr>
        <w:t>mainly in the United States</w:t>
      </w:r>
      <w:r w:rsidR="00F821A1">
        <w:rPr>
          <w:color w:val="000000"/>
        </w:rPr>
        <w:t>,</w:t>
      </w:r>
      <w:r w:rsidRPr="002C22AC">
        <w:rPr>
          <w:color w:val="000000"/>
        </w:rPr>
        <w:t xml:space="preserve"> has identified several barriers to acting as a bystander in sexual harassment at university campuses. Despite the high frequency of harassment in </w:t>
      </w:r>
      <w:r w:rsidR="000471C6">
        <w:rPr>
          <w:color w:val="000000"/>
        </w:rPr>
        <w:t>Latin America</w:t>
      </w:r>
      <w:r w:rsidRPr="002C22AC">
        <w:rPr>
          <w:color w:val="000000"/>
        </w:rPr>
        <w:t xml:space="preserve">, there is a dearth of </w:t>
      </w:r>
      <w:r w:rsidR="00FF06CB">
        <w:rPr>
          <w:color w:val="000000"/>
        </w:rPr>
        <w:t>studies</w:t>
      </w:r>
      <w:r w:rsidRPr="002C22AC">
        <w:rPr>
          <w:color w:val="000000"/>
        </w:rPr>
        <w:t xml:space="preserve"> investigating barriers to bystander behaviour in this context. </w:t>
      </w:r>
      <w:r w:rsidR="00FE5471">
        <w:rPr>
          <w:color w:val="000000"/>
        </w:rPr>
        <w:t>In this pilot study,</w:t>
      </w:r>
      <w:r w:rsidRPr="002C22AC">
        <w:rPr>
          <w:color w:val="000000"/>
        </w:rPr>
        <w:t xml:space="preserve"> we report findings exploring harassment and bystander behaviour in university staff and students in Ecuador, a Latin American country </w:t>
      </w:r>
      <w:r w:rsidR="000471C6">
        <w:rPr>
          <w:color w:val="000000"/>
        </w:rPr>
        <w:t>characterised by</w:t>
      </w:r>
      <w:r w:rsidR="000471C6" w:rsidRPr="002C22AC">
        <w:rPr>
          <w:color w:val="000000"/>
        </w:rPr>
        <w:t xml:space="preserve"> </w:t>
      </w:r>
      <w:r w:rsidRPr="002C22AC">
        <w:rPr>
          <w:color w:val="000000"/>
        </w:rPr>
        <w:t xml:space="preserve">masculine social norms and high levels of gender-based harassment. In an on-line survey, </w:t>
      </w:r>
      <w:r w:rsidR="000471C6" w:rsidRPr="002C22AC">
        <w:rPr>
          <w:color w:val="000000"/>
        </w:rPr>
        <w:t>1</w:t>
      </w:r>
      <w:r w:rsidR="000471C6">
        <w:rPr>
          <w:color w:val="000000"/>
        </w:rPr>
        <w:t>29</w:t>
      </w:r>
      <w:r w:rsidR="000471C6" w:rsidRPr="002C22AC">
        <w:rPr>
          <w:color w:val="000000"/>
        </w:rPr>
        <w:t xml:space="preserve"> </w:t>
      </w:r>
      <w:r w:rsidRPr="002C22AC">
        <w:rPr>
          <w:color w:val="000000"/>
        </w:rPr>
        <w:t xml:space="preserve">staff and students from universities in different regions of Ecuador answered questions about perceptions of seriousness of harassment, rape myth acceptance, actual incidences of being a perpetrator, victim, or a bystander, and </w:t>
      </w:r>
      <w:r w:rsidR="00FE5471">
        <w:rPr>
          <w:color w:val="000000"/>
        </w:rPr>
        <w:t xml:space="preserve">the </w:t>
      </w:r>
      <w:r w:rsidRPr="002C22AC">
        <w:rPr>
          <w:color w:val="000000"/>
        </w:rPr>
        <w:t>likelihood</w:t>
      </w:r>
      <w:r w:rsidR="00FE5471">
        <w:rPr>
          <w:color w:val="000000"/>
        </w:rPr>
        <w:t xml:space="preserve"> and difficulties of </w:t>
      </w:r>
      <w:r w:rsidRPr="002C22AC">
        <w:rPr>
          <w:color w:val="000000"/>
        </w:rPr>
        <w:t xml:space="preserve">bystander action. </w:t>
      </w:r>
      <w:r w:rsidR="00FF06CB">
        <w:rPr>
          <w:color w:val="000000"/>
        </w:rPr>
        <w:t>W</w:t>
      </w:r>
      <w:r w:rsidR="00FE5471">
        <w:rPr>
          <w:color w:val="000000"/>
        </w:rPr>
        <w:t>omen</w:t>
      </w:r>
      <w:r w:rsidR="00FF06CB">
        <w:rPr>
          <w:color w:val="000000"/>
        </w:rPr>
        <w:t xml:space="preserve"> </w:t>
      </w:r>
      <w:r w:rsidR="00FE5471">
        <w:rPr>
          <w:color w:val="000000"/>
        </w:rPr>
        <w:t>and those who scored higher in rape myth acceptance</w:t>
      </w:r>
      <w:r w:rsidR="00FF06CB">
        <w:rPr>
          <w:color w:val="000000"/>
        </w:rPr>
        <w:t xml:space="preserve"> reported more intervention difficulties</w:t>
      </w:r>
      <w:r w:rsidR="00FE5471">
        <w:rPr>
          <w:color w:val="000000"/>
        </w:rPr>
        <w:t>. In addition,</w:t>
      </w:r>
      <w:r w:rsidR="00482621">
        <w:rPr>
          <w:color w:val="000000"/>
        </w:rPr>
        <w:t xml:space="preserve"> women and those who had previously perpetrated harassment rated their</w:t>
      </w:r>
      <w:r w:rsidR="00FE5471">
        <w:rPr>
          <w:color w:val="000000"/>
        </w:rPr>
        <w:t xml:space="preserve"> likelihood of intervenin</w:t>
      </w:r>
      <w:r w:rsidR="00482621">
        <w:rPr>
          <w:color w:val="000000"/>
        </w:rPr>
        <w:t xml:space="preserve">g lower. </w:t>
      </w:r>
      <w:r w:rsidR="00FF06CB">
        <w:rPr>
          <w:color w:val="000000"/>
        </w:rPr>
        <w:t>Finally,</w:t>
      </w:r>
      <w:r w:rsidR="00482621">
        <w:rPr>
          <w:color w:val="000000"/>
        </w:rPr>
        <w:t xml:space="preserve"> </w:t>
      </w:r>
      <w:r w:rsidR="00FF06CB">
        <w:rPr>
          <w:color w:val="000000"/>
        </w:rPr>
        <w:t xml:space="preserve">perceptions of </w:t>
      </w:r>
      <w:r w:rsidR="00482621">
        <w:rPr>
          <w:color w:val="000000"/>
        </w:rPr>
        <w:t xml:space="preserve">harassment as a serious problem in campuses </w:t>
      </w:r>
      <w:r w:rsidR="00FF06CB">
        <w:rPr>
          <w:color w:val="000000"/>
        </w:rPr>
        <w:t>related to a</w:t>
      </w:r>
      <w:r w:rsidR="00482621">
        <w:rPr>
          <w:color w:val="000000"/>
        </w:rPr>
        <w:t xml:space="preserve"> higher likelihood of intervening as a bystander. </w:t>
      </w:r>
      <w:r w:rsidRPr="002C22AC">
        <w:rPr>
          <w:color w:val="000000"/>
        </w:rPr>
        <w:t xml:space="preserve">We discuss </w:t>
      </w:r>
      <w:r w:rsidR="00FF06CB">
        <w:rPr>
          <w:color w:val="000000"/>
        </w:rPr>
        <w:t xml:space="preserve">the </w:t>
      </w:r>
      <w:r w:rsidRPr="002C22AC">
        <w:rPr>
          <w:color w:val="000000"/>
        </w:rPr>
        <w:t>results in terms of practical applications in devising culturally appropriate bystander intervention workshops.</w:t>
      </w:r>
    </w:p>
    <w:p w14:paraId="0000001F" w14:textId="77777777" w:rsidR="00BF1871" w:rsidRDefault="00BF1871">
      <w:pPr>
        <w:ind w:firstLine="720"/>
        <w:jc w:val="both"/>
        <w:rPr>
          <w:b/>
        </w:rPr>
      </w:pPr>
    </w:p>
    <w:p w14:paraId="00000020" w14:textId="77777777" w:rsidR="00BF1871" w:rsidRDefault="00BF1871">
      <w:pPr>
        <w:ind w:firstLine="720"/>
        <w:jc w:val="both"/>
        <w:rPr>
          <w:b/>
        </w:rPr>
      </w:pPr>
    </w:p>
    <w:p w14:paraId="00000021" w14:textId="77777777" w:rsidR="00BF1871" w:rsidRDefault="00BF1871">
      <w:pPr>
        <w:ind w:firstLine="720"/>
        <w:jc w:val="both"/>
        <w:rPr>
          <w:b/>
        </w:rPr>
      </w:pPr>
    </w:p>
    <w:p w14:paraId="00000022" w14:textId="77777777" w:rsidR="00BF1871" w:rsidRDefault="00BF1871">
      <w:pPr>
        <w:ind w:firstLine="720"/>
        <w:jc w:val="both"/>
        <w:rPr>
          <w:b/>
        </w:rPr>
      </w:pPr>
    </w:p>
    <w:p w14:paraId="00000025" w14:textId="069BB78B" w:rsidR="00BF1871" w:rsidRDefault="003B18AD">
      <w:pPr>
        <w:jc w:val="both"/>
        <w:rPr>
          <w:b/>
        </w:rPr>
      </w:pPr>
      <w:r>
        <w:rPr>
          <w:b/>
        </w:rPr>
        <w:t xml:space="preserve">Key words: Sexual harassment, bystander </w:t>
      </w:r>
      <w:r w:rsidR="0013416A">
        <w:rPr>
          <w:b/>
        </w:rPr>
        <w:t>intervention</w:t>
      </w:r>
      <w:r w:rsidR="00BF2007">
        <w:rPr>
          <w:b/>
        </w:rPr>
        <w:t xml:space="preserve"> barriers</w:t>
      </w:r>
      <w:r>
        <w:rPr>
          <w:b/>
        </w:rPr>
        <w:t>, rape myth acceptance, Ecuador</w:t>
      </w:r>
      <w:r w:rsidR="007B2E46">
        <w:rPr>
          <w:b/>
        </w:rPr>
        <w:t xml:space="preserve">, </w:t>
      </w:r>
      <w:r w:rsidR="0013416A">
        <w:rPr>
          <w:b/>
        </w:rPr>
        <w:t>Latin America</w:t>
      </w:r>
    </w:p>
    <w:p w14:paraId="3053F336" w14:textId="77777777" w:rsidR="007B2E46" w:rsidRDefault="007B2E46">
      <w:pPr>
        <w:ind w:firstLine="720"/>
        <w:jc w:val="both"/>
        <w:rPr>
          <w:b/>
        </w:rPr>
      </w:pPr>
    </w:p>
    <w:p w14:paraId="773CF2DE" w14:textId="77777777" w:rsidR="002C22AC" w:rsidRDefault="002C22AC">
      <w:pPr>
        <w:ind w:firstLine="720"/>
        <w:jc w:val="both"/>
        <w:rPr>
          <w:b/>
        </w:rPr>
      </w:pPr>
    </w:p>
    <w:p w14:paraId="783E2E79" w14:textId="77777777" w:rsidR="002C22AC" w:rsidRDefault="002C22AC">
      <w:pPr>
        <w:ind w:firstLine="720"/>
        <w:jc w:val="both"/>
        <w:rPr>
          <w:b/>
        </w:rPr>
      </w:pPr>
    </w:p>
    <w:p w14:paraId="0489D385" w14:textId="77FAF0E6" w:rsidR="00FF06CB" w:rsidRDefault="00FF06CB">
      <w:pPr>
        <w:spacing w:after="200" w:line="276" w:lineRule="auto"/>
        <w:rPr>
          <w:b/>
        </w:rPr>
      </w:pPr>
      <w:r>
        <w:rPr>
          <w:b/>
        </w:rPr>
        <w:br w:type="page"/>
      </w:r>
    </w:p>
    <w:p w14:paraId="70F88FC7" w14:textId="77777777" w:rsidR="002C22AC" w:rsidRDefault="002C22AC">
      <w:pPr>
        <w:ind w:firstLine="720"/>
        <w:jc w:val="both"/>
        <w:rPr>
          <w:b/>
        </w:rPr>
      </w:pPr>
    </w:p>
    <w:p w14:paraId="00000026" w14:textId="77777777" w:rsidR="00BF1871" w:rsidRDefault="003B18AD" w:rsidP="009632F1">
      <w:pPr>
        <w:jc w:val="both"/>
        <w:rPr>
          <w:b/>
        </w:rPr>
      </w:pPr>
      <w:r>
        <w:rPr>
          <w:b/>
        </w:rPr>
        <w:t>Introduction</w:t>
      </w:r>
    </w:p>
    <w:p w14:paraId="00000028" w14:textId="307E9E84" w:rsidR="00BF1871" w:rsidRDefault="003B18AD" w:rsidP="003A7D48">
      <w:pPr>
        <w:spacing w:line="480" w:lineRule="auto"/>
        <w:ind w:firstLine="720"/>
        <w:contextualSpacing/>
      </w:pPr>
      <w:r>
        <w:t>Gender-based harassment in universities is a serious global problem and has been identified as the “single most widespread educational hazard” (Rudman</w:t>
      </w:r>
      <w:r w:rsidR="00A13179">
        <w:t xml:space="preserve"> et al.</w:t>
      </w:r>
      <w:r>
        <w:t>, 1995, p. 519)</w:t>
      </w:r>
      <w:r w:rsidR="007322F5">
        <w:t>, affecting approximately one in four female students (</w:t>
      </w:r>
      <w:proofErr w:type="spellStart"/>
      <w:r w:rsidR="00C9520F">
        <w:rPr>
          <w:highlight w:val="white"/>
        </w:rPr>
        <w:t>Bondestam</w:t>
      </w:r>
      <w:proofErr w:type="spellEnd"/>
      <w:r w:rsidR="007322F5">
        <w:rPr>
          <w:highlight w:val="white"/>
        </w:rPr>
        <w:t xml:space="preserve"> &amp; Lundqvist,</w:t>
      </w:r>
      <w:r w:rsidR="007720F1">
        <w:rPr>
          <w:highlight w:val="white"/>
        </w:rPr>
        <w:t xml:space="preserve"> </w:t>
      </w:r>
      <w:r w:rsidR="007322F5">
        <w:rPr>
          <w:highlight w:val="white"/>
        </w:rPr>
        <w:t>2020)</w:t>
      </w:r>
      <w:r w:rsidR="007322F5">
        <w:t xml:space="preserve">. </w:t>
      </w:r>
      <w:r w:rsidR="006452CA">
        <w:t xml:space="preserve">Harassment </w:t>
      </w:r>
      <w:r w:rsidR="00C9520F">
        <w:t>in higher education takes different forms</w:t>
      </w:r>
      <w:r w:rsidR="006452CA">
        <w:t xml:space="preserve">, </w:t>
      </w:r>
      <w:r w:rsidR="00C9520F">
        <w:t xml:space="preserve">ranging from </w:t>
      </w:r>
      <w:r w:rsidR="006452CA">
        <w:t>sex</w:t>
      </w:r>
      <w:r w:rsidR="00072CE2">
        <w:t>ualised comments to blackmail</w:t>
      </w:r>
      <w:r w:rsidR="006452CA">
        <w:t xml:space="preserve"> and rape</w:t>
      </w:r>
      <w:r w:rsidR="007720F1">
        <w:t xml:space="preserve"> </w:t>
      </w:r>
      <w:r w:rsidR="007322F5">
        <w:t>(</w:t>
      </w:r>
      <w:proofErr w:type="spellStart"/>
      <w:r w:rsidR="007720F1">
        <w:t>Bondestam</w:t>
      </w:r>
      <w:proofErr w:type="spellEnd"/>
      <w:r w:rsidR="007720F1">
        <w:t xml:space="preserve"> &amp; Lundqvist, 2020; </w:t>
      </w:r>
      <w:proofErr w:type="spellStart"/>
      <w:r w:rsidR="002F3E18">
        <w:t>Fedina</w:t>
      </w:r>
      <w:proofErr w:type="spellEnd"/>
      <w:r w:rsidR="00A13179">
        <w:t xml:space="preserve"> et al.</w:t>
      </w:r>
      <w:r w:rsidR="002F3E18">
        <w:t>, 2018), with serious</w:t>
      </w:r>
      <w:r w:rsidR="007720F1">
        <w:t xml:space="preserve"> negative</w:t>
      </w:r>
      <w:r w:rsidR="002F3E18">
        <w:t xml:space="preserve"> mental health consequences for the victims (McGinley et al., 2016)</w:t>
      </w:r>
      <w:r w:rsidR="006452CA">
        <w:t>. Although the prevalence rates and characteristics of victims and perpetrators vary from one study to another, it is safe to say that women (intersecting with sexual orientation, age, race, disability, and social class) are at the highest risk of being harassed</w:t>
      </w:r>
      <w:r w:rsidR="007720F1">
        <w:t xml:space="preserve"> (</w:t>
      </w:r>
      <w:proofErr w:type="spellStart"/>
      <w:r w:rsidR="007720F1">
        <w:t>Bondestam</w:t>
      </w:r>
      <w:proofErr w:type="spellEnd"/>
      <w:r w:rsidR="007720F1">
        <w:t xml:space="preserve"> &amp; Lundqvist, 2020; </w:t>
      </w:r>
      <w:proofErr w:type="spellStart"/>
      <w:r w:rsidR="007720F1">
        <w:t>Fedina</w:t>
      </w:r>
      <w:proofErr w:type="spellEnd"/>
      <w:r w:rsidR="007720F1">
        <w:t xml:space="preserve"> et al., 2018).</w:t>
      </w:r>
      <w:r w:rsidR="00C9520F">
        <w:t xml:space="preserve"> </w:t>
      </w:r>
      <w:r w:rsidR="003C3C8E">
        <w:t>To</w:t>
      </w:r>
      <w:r w:rsidR="001A2DA6">
        <w:t xml:space="preserve"> </w:t>
      </w:r>
      <w:r w:rsidR="003A682E">
        <w:t xml:space="preserve">address </w:t>
      </w:r>
      <w:r>
        <w:t>the problem, many institutions  have adopted bystander intervention workshops as a primary prevention strategy</w:t>
      </w:r>
      <w:r w:rsidR="001A2DA6">
        <w:t xml:space="preserve">, </w:t>
      </w:r>
      <w:r w:rsidR="007B2E46">
        <w:t xml:space="preserve">based on the premise that harassment </w:t>
      </w:r>
      <w:r w:rsidR="001A2DA6">
        <w:t xml:space="preserve">is </w:t>
      </w:r>
      <w:r>
        <w:t>often witnessed by others who have the power to intervene before, during, or after the event</w:t>
      </w:r>
      <w:r w:rsidR="001A2DA6">
        <w:t xml:space="preserve"> (e.g., </w:t>
      </w:r>
      <w:proofErr w:type="spellStart"/>
      <w:r w:rsidR="001A2DA6">
        <w:rPr>
          <w:color w:val="222222"/>
          <w:highlight w:val="white"/>
        </w:rPr>
        <w:t>Labhardt</w:t>
      </w:r>
      <w:proofErr w:type="spellEnd"/>
      <w:r w:rsidR="00A13179">
        <w:rPr>
          <w:color w:val="222222"/>
          <w:highlight w:val="white"/>
        </w:rPr>
        <w:t xml:space="preserve"> et al.</w:t>
      </w:r>
      <w:r w:rsidR="001A2DA6">
        <w:rPr>
          <w:color w:val="222222"/>
          <w:highlight w:val="white"/>
        </w:rPr>
        <w:t>, 2017</w:t>
      </w:r>
      <w:r w:rsidR="001A2DA6">
        <w:rPr>
          <w:color w:val="222222"/>
        </w:rPr>
        <w:t>)</w:t>
      </w:r>
      <w:r w:rsidR="00C9520F">
        <w:t xml:space="preserve">. </w:t>
      </w:r>
      <w:r>
        <w:t xml:space="preserve"> To date</w:t>
      </w:r>
      <w:r w:rsidR="001A2DA6">
        <w:t xml:space="preserve">, </w:t>
      </w:r>
      <w:r>
        <w:t xml:space="preserve">most of the work has been conducted in </w:t>
      </w:r>
      <w:r w:rsidR="003A682E">
        <w:t>North America</w:t>
      </w:r>
      <w:r>
        <w:t xml:space="preserve"> </w:t>
      </w:r>
      <w:r>
        <w:rPr>
          <w:color w:val="222222"/>
          <w:highlight w:val="white"/>
        </w:rPr>
        <w:t xml:space="preserve">with a </w:t>
      </w:r>
      <w:r w:rsidR="003A682E">
        <w:rPr>
          <w:color w:val="222222"/>
          <w:highlight w:val="white"/>
        </w:rPr>
        <w:t xml:space="preserve">paucity </w:t>
      </w:r>
      <w:r>
        <w:rPr>
          <w:color w:val="222222"/>
          <w:highlight w:val="white"/>
        </w:rPr>
        <w:t xml:space="preserve">of data from </w:t>
      </w:r>
      <w:r w:rsidR="000471C6">
        <w:rPr>
          <w:color w:val="222222"/>
          <w:highlight w:val="white"/>
        </w:rPr>
        <w:t>other regions</w:t>
      </w:r>
      <w:r w:rsidR="001A2DA6">
        <w:rPr>
          <w:color w:val="222222"/>
          <w:highlight w:val="white"/>
        </w:rPr>
        <w:t xml:space="preserve"> of the world</w:t>
      </w:r>
      <w:r w:rsidR="000471C6">
        <w:rPr>
          <w:color w:val="222222"/>
          <w:highlight w:val="white"/>
        </w:rPr>
        <w:t>.</w:t>
      </w:r>
      <w:r w:rsidR="003C3C8E">
        <w:rPr>
          <w:color w:val="222222"/>
          <w:highlight w:val="white"/>
        </w:rPr>
        <w:t xml:space="preserve"> Of importance, the barriers and enablers may be different in other parts of the world based on the culture of gender violence. </w:t>
      </w:r>
      <w:r>
        <w:rPr>
          <w:color w:val="222222"/>
          <w:highlight w:val="white"/>
        </w:rPr>
        <w:t xml:space="preserve"> </w:t>
      </w:r>
    </w:p>
    <w:p w14:paraId="48388BE5" w14:textId="48B3834F" w:rsidR="00307704" w:rsidRDefault="00D13B92" w:rsidP="003A7D48">
      <w:pPr>
        <w:spacing w:line="480" w:lineRule="auto"/>
        <w:ind w:firstLine="720"/>
        <w:contextualSpacing/>
        <w:rPr>
          <w:color w:val="222222"/>
          <w:highlight w:val="white"/>
        </w:rPr>
      </w:pPr>
      <w:r>
        <w:t>In order t</w:t>
      </w:r>
      <w:r w:rsidR="00FF5349">
        <w:t>o</w:t>
      </w:r>
      <w:r w:rsidR="003B18AD">
        <w:t xml:space="preserve"> develop culturally sensitive bystander intervention workshops, we need to know more about the context</w:t>
      </w:r>
      <w:r w:rsidR="006F2926">
        <w:t xml:space="preserve"> in which harassment and </w:t>
      </w:r>
      <w:r w:rsidR="005E4783">
        <w:t xml:space="preserve">bystander behaviour </w:t>
      </w:r>
      <w:r w:rsidR="006F2926">
        <w:t>occur</w:t>
      </w:r>
      <w:r w:rsidR="005E4783">
        <w:t>s</w:t>
      </w:r>
      <w:r w:rsidR="00BE7823">
        <w:t xml:space="preserve"> (</w:t>
      </w:r>
      <w:proofErr w:type="spellStart"/>
      <w:r w:rsidR="00BE7823">
        <w:t>Banyard</w:t>
      </w:r>
      <w:proofErr w:type="spellEnd"/>
      <w:r w:rsidR="00BE7823">
        <w:t>, 2011)</w:t>
      </w:r>
      <w:r w:rsidR="003B18AD">
        <w:t xml:space="preserve">. Each culture has different norms around </w:t>
      </w:r>
      <w:r w:rsidR="00FF5349">
        <w:t xml:space="preserve">helping </w:t>
      </w:r>
      <w:r w:rsidR="003B18AD">
        <w:t>behaviour</w:t>
      </w:r>
      <w:r w:rsidR="00FF5349">
        <w:t>s</w:t>
      </w:r>
      <w:r w:rsidR="00995429">
        <w:t>, masculinity,</w:t>
      </w:r>
      <w:r w:rsidR="003B18AD">
        <w:t xml:space="preserve"> and</w:t>
      </w:r>
      <w:r w:rsidR="00FF5349">
        <w:t xml:space="preserve"> the</w:t>
      </w:r>
      <w:r w:rsidR="003B18AD">
        <w:t xml:space="preserve"> acceptability </w:t>
      </w:r>
      <w:r w:rsidR="00FF5349">
        <w:t xml:space="preserve">of </w:t>
      </w:r>
      <w:r w:rsidR="003B18AD">
        <w:t xml:space="preserve">harassment, which </w:t>
      </w:r>
      <w:r w:rsidR="00FF5349">
        <w:t>together influence</w:t>
      </w:r>
      <w:r w:rsidR="003B18AD">
        <w:t xml:space="preserve"> the likelihood of </w:t>
      </w:r>
      <w:r w:rsidR="00FF5349">
        <w:t xml:space="preserve">being an </w:t>
      </w:r>
      <w:r w:rsidR="003B18AD">
        <w:t>acti</w:t>
      </w:r>
      <w:r w:rsidR="00FF5349">
        <w:t>ve</w:t>
      </w:r>
      <w:r w:rsidR="003B18AD">
        <w:t xml:space="preserve"> bystander</w:t>
      </w:r>
      <w:r w:rsidR="00995429">
        <w:t xml:space="preserve"> (e.g., </w:t>
      </w:r>
      <w:proofErr w:type="spellStart"/>
      <w:r w:rsidR="00995429">
        <w:t>Kamimura</w:t>
      </w:r>
      <w:proofErr w:type="spellEnd"/>
      <w:r w:rsidR="00995429">
        <w:t xml:space="preserve"> et al., 2016; </w:t>
      </w:r>
      <w:proofErr w:type="spellStart"/>
      <w:r w:rsidR="003B18AD">
        <w:rPr>
          <w:color w:val="222222"/>
          <w:highlight w:val="white"/>
        </w:rPr>
        <w:t>Zietz</w:t>
      </w:r>
      <w:proofErr w:type="spellEnd"/>
      <w:r w:rsidR="003B18AD">
        <w:rPr>
          <w:color w:val="222222"/>
          <w:highlight w:val="white"/>
        </w:rPr>
        <w:t xml:space="preserve"> &amp; Das, 2018)</w:t>
      </w:r>
      <w:r w:rsidR="003B18AD">
        <w:t xml:space="preserve">. We currently have </w:t>
      </w:r>
      <w:r w:rsidR="00995429">
        <w:t xml:space="preserve">very little </w:t>
      </w:r>
      <w:r w:rsidR="003B18AD">
        <w:t>knowledge of bystander behaviours and attitudes in Latin American cultures</w:t>
      </w:r>
      <w:r w:rsidR="003C3C8E">
        <w:t xml:space="preserve">. </w:t>
      </w:r>
      <w:r w:rsidR="00FF06CB">
        <w:t>These</w:t>
      </w:r>
      <w:r w:rsidR="003C3C8E">
        <w:t xml:space="preserve"> cultures are </w:t>
      </w:r>
      <w:r w:rsidR="003B18AD">
        <w:t>characterised</w:t>
      </w:r>
      <w:r w:rsidR="0077227B">
        <w:t xml:space="preserve"> by </w:t>
      </w:r>
      <w:r w:rsidR="003C3C8E">
        <w:t>relatively inflexible</w:t>
      </w:r>
      <w:r w:rsidR="003B18AD">
        <w:t xml:space="preserve"> gender norms</w:t>
      </w:r>
      <w:r w:rsidR="003C3C8E">
        <w:t>, strong patriarchal orientations,</w:t>
      </w:r>
      <w:r w:rsidR="003B18AD">
        <w:t xml:space="preserve"> and high levels of violence towards women and girls (Janos &amp; Espinosa, 201</w:t>
      </w:r>
      <w:r w:rsidR="00A13179">
        <w:t>5</w:t>
      </w:r>
      <w:r w:rsidR="003B18AD">
        <w:t xml:space="preserve">; </w:t>
      </w:r>
      <w:r w:rsidR="003B18AD">
        <w:rPr>
          <w:color w:val="222222"/>
          <w:highlight w:val="white"/>
        </w:rPr>
        <w:t>Maldonado-</w:t>
      </w:r>
      <w:r w:rsidR="003B18AD">
        <w:rPr>
          <w:color w:val="222222"/>
          <w:highlight w:val="white"/>
        </w:rPr>
        <w:lastRenderedPageBreak/>
        <w:t xml:space="preserve">Maldonado &amp; Acosta, 2018; </w:t>
      </w:r>
      <w:r w:rsidR="003B18AD">
        <w:t>UN women, 2013)</w:t>
      </w:r>
      <w:r w:rsidR="00FF06CB">
        <w:t xml:space="preserve">. </w:t>
      </w:r>
      <w:r w:rsidR="003B18AD">
        <w:t xml:space="preserve">Indeed, </w:t>
      </w:r>
      <w:r w:rsidR="00307704">
        <w:t>masculine gender norms</w:t>
      </w:r>
      <w:r w:rsidR="003C3C8E">
        <w:t xml:space="preserve"> </w:t>
      </w:r>
      <w:r>
        <w:t xml:space="preserve">in </w:t>
      </w:r>
      <w:r w:rsidR="003B18AD">
        <w:t xml:space="preserve">the Latin American region </w:t>
      </w:r>
      <w:r w:rsidR="00FA7DBB">
        <w:t>may</w:t>
      </w:r>
      <w:r w:rsidR="003B18AD">
        <w:t xml:space="preserve"> perpetuate gender inequality, and “downplay the duty of bystanders to intervene in situations of abuse, with wide variations both among and within individual countries” (</w:t>
      </w:r>
      <w:r w:rsidR="003B18AD">
        <w:rPr>
          <w:color w:val="222222"/>
          <w:highlight w:val="white"/>
        </w:rPr>
        <w:t>Bott</w:t>
      </w:r>
      <w:r w:rsidR="00A13179">
        <w:rPr>
          <w:color w:val="222222"/>
          <w:highlight w:val="white"/>
        </w:rPr>
        <w:t xml:space="preserve"> et al.</w:t>
      </w:r>
      <w:r w:rsidR="003B18AD">
        <w:rPr>
          <w:color w:val="222222"/>
          <w:highlight w:val="white"/>
        </w:rPr>
        <w:t xml:space="preserve">, 2012, p. </w:t>
      </w:r>
      <w:r w:rsidR="007B2E46">
        <w:rPr>
          <w:color w:val="222222"/>
          <w:highlight w:val="white"/>
        </w:rPr>
        <w:t>114</w:t>
      </w:r>
      <w:r w:rsidR="003B18AD">
        <w:rPr>
          <w:color w:val="222222"/>
          <w:highlight w:val="white"/>
        </w:rPr>
        <w:t>).</w:t>
      </w:r>
      <w:r w:rsidR="00E03265">
        <w:rPr>
          <w:color w:val="222222"/>
          <w:highlight w:val="white"/>
        </w:rPr>
        <w:t xml:space="preserve"> </w:t>
      </w:r>
      <w:r w:rsidR="00FF06CB">
        <w:rPr>
          <w:color w:val="222222"/>
        </w:rPr>
        <w:t xml:space="preserve">In order </w:t>
      </w:r>
      <w:r w:rsidR="00FF06CB">
        <w:t>t</w:t>
      </w:r>
      <w:r w:rsidR="003C3C8E">
        <w:t>o</w:t>
      </w:r>
      <w:r w:rsidR="00E03265">
        <w:t xml:space="preserve"> develop culturally appropriate bystander intervention workshops, it is important to investigate</w:t>
      </w:r>
      <w:r w:rsidR="00AF7CD0">
        <w:t xml:space="preserve"> </w:t>
      </w:r>
      <w:r w:rsidR="00E03265">
        <w:rPr>
          <w:color w:val="222222"/>
          <w:highlight w:val="white"/>
        </w:rPr>
        <w:t xml:space="preserve">bystander barriers </w:t>
      </w:r>
      <w:r w:rsidR="00AF7CD0">
        <w:rPr>
          <w:color w:val="222222"/>
          <w:highlight w:val="white"/>
        </w:rPr>
        <w:t>that</w:t>
      </w:r>
      <w:r w:rsidR="00E03265">
        <w:rPr>
          <w:color w:val="222222"/>
          <w:highlight w:val="white"/>
        </w:rPr>
        <w:t xml:space="preserve"> individuals in Latin American countries </w:t>
      </w:r>
      <w:r w:rsidR="00AF7CD0">
        <w:rPr>
          <w:color w:val="222222"/>
          <w:highlight w:val="white"/>
        </w:rPr>
        <w:t xml:space="preserve">may </w:t>
      </w:r>
      <w:r w:rsidR="00E03265">
        <w:rPr>
          <w:color w:val="222222"/>
          <w:highlight w:val="white"/>
        </w:rPr>
        <w:t>face</w:t>
      </w:r>
      <w:r w:rsidR="00AF7CD0">
        <w:rPr>
          <w:color w:val="222222"/>
          <w:highlight w:val="white"/>
        </w:rPr>
        <w:t>.</w:t>
      </w:r>
    </w:p>
    <w:p w14:paraId="0000002B" w14:textId="07A904B6" w:rsidR="00BF1871" w:rsidRDefault="003B18AD" w:rsidP="003A7D48">
      <w:pPr>
        <w:spacing w:line="480" w:lineRule="auto"/>
        <w:ind w:firstLine="720"/>
        <w:contextualSpacing/>
        <w:rPr>
          <w:color w:val="222222"/>
          <w:highlight w:val="white"/>
        </w:rPr>
      </w:pPr>
      <w:r>
        <w:rPr>
          <w:color w:val="222222"/>
          <w:highlight w:val="white"/>
        </w:rPr>
        <w:t xml:space="preserve"> </w:t>
      </w:r>
      <w:r>
        <w:t xml:space="preserve">Masculine gender norms could be a barrier for bystander action for several reasons. For example, endorsement of masculine gender norms relates to the acceptance of several </w:t>
      </w:r>
      <w:r w:rsidR="00BE7823">
        <w:t xml:space="preserve">inaccurate </w:t>
      </w:r>
      <w:r>
        <w:t xml:space="preserve">myths around rape (e.g., blaming the victim rather than the perpetrator), which could impede bystander </w:t>
      </w:r>
      <w:r w:rsidR="007105BA">
        <w:t xml:space="preserve">intervention </w:t>
      </w:r>
      <w:r>
        <w:t>(</w:t>
      </w:r>
      <w:proofErr w:type="spellStart"/>
      <w:r w:rsidR="00BE7823">
        <w:rPr>
          <w:color w:val="222222"/>
          <w:highlight w:val="white"/>
        </w:rPr>
        <w:t>Labhardt</w:t>
      </w:r>
      <w:proofErr w:type="spellEnd"/>
      <w:r w:rsidR="00BE7823">
        <w:rPr>
          <w:color w:val="222222"/>
          <w:highlight w:val="white"/>
        </w:rPr>
        <w:t xml:space="preserve"> et al., 2017</w:t>
      </w:r>
      <w:r w:rsidR="00BE7823">
        <w:rPr>
          <w:color w:val="222222"/>
        </w:rPr>
        <w:t xml:space="preserve">; </w:t>
      </w:r>
      <w:r>
        <w:t>Leone</w:t>
      </w:r>
      <w:r w:rsidR="00A13179">
        <w:t xml:space="preserve"> et al.</w:t>
      </w:r>
      <w:r>
        <w:t xml:space="preserve">, 2020; Martini &amp; De </w:t>
      </w:r>
      <w:proofErr w:type="spellStart"/>
      <w:r>
        <w:t>Piccoli</w:t>
      </w:r>
      <w:proofErr w:type="spellEnd"/>
      <w:r>
        <w:t xml:space="preserve">, 2020). </w:t>
      </w:r>
      <w:r>
        <w:rPr>
          <w:color w:val="222222"/>
          <w:highlight w:val="white"/>
        </w:rPr>
        <w:t>Those who endorse rape myths may fail to take responsibility for intervening (Yule</w:t>
      </w:r>
      <w:r w:rsidR="001910AF">
        <w:rPr>
          <w:color w:val="222222"/>
          <w:highlight w:val="white"/>
        </w:rPr>
        <w:t xml:space="preserve"> et al.</w:t>
      </w:r>
      <w:r>
        <w:rPr>
          <w:color w:val="222222"/>
          <w:highlight w:val="white"/>
        </w:rPr>
        <w:t>, 2020), and downplay the seriousness of sexual assault (</w:t>
      </w:r>
      <w:proofErr w:type="spellStart"/>
      <w:r>
        <w:rPr>
          <w:color w:val="222222"/>
          <w:highlight w:val="white"/>
        </w:rPr>
        <w:t>LeMaire</w:t>
      </w:r>
      <w:proofErr w:type="spellEnd"/>
      <w:r w:rsidR="00A13179">
        <w:rPr>
          <w:color w:val="222222"/>
          <w:highlight w:val="white"/>
        </w:rPr>
        <w:t xml:space="preserve"> et al.</w:t>
      </w:r>
      <w:r>
        <w:rPr>
          <w:color w:val="222222"/>
          <w:highlight w:val="white"/>
        </w:rPr>
        <w:t xml:space="preserve">, 2016). </w:t>
      </w:r>
      <w:r w:rsidR="001A3E18">
        <w:rPr>
          <w:color w:val="222222"/>
          <w:highlight w:val="white"/>
        </w:rPr>
        <w:t xml:space="preserve">There is a </w:t>
      </w:r>
      <w:r w:rsidR="004714EC">
        <w:rPr>
          <w:color w:val="222222"/>
          <w:highlight w:val="white"/>
        </w:rPr>
        <w:t>notable lack</w:t>
      </w:r>
      <w:r w:rsidR="001A3E18">
        <w:rPr>
          <w:color w:val="222222"/>
          <w:highlight w:val="white"/>
        </w:rPr>
        <w:t xml:space="preserve"> of research </w:t>
      </w:r>
      <w:r w:rsidR="004714EC">
        <w:rPr>
          <w:color w:val="222222"/>
          <w:highlight w:val="white"/>
        </w:rPr>
        <w:t>investigating</w:t>
      </w:r>
      <w:r w:rsidR="001A3E18">
        <w:rPr>
          <w:color w:val="222222"/>
          <w:highlight w:val="white"/>
        </w:rPr>
        <w:t xml:space="preserve"> rape myth acceptance</w:t>
      </w:r>
      <w:r w:rsidR="004714EC">
        <w:rPr>
          <w:color w:val="222222"/>
          <w:highlight w:val="white"/>
        </w:rPr>
        <w:t xml:space="preserve"> outside the U.S (</w:t>
      </w:r>
      <w:proofErr w:type="spellStart"/>
      <w:r w:rsidR="00963079">
        <w:rPr>
          <w:color w:val="222222"/>
          <w:highlight w:val="white"/>
        </w:rPr>
        <w:t>Lab</w:t>
      </w:r>
      <w:r w:rsidR="00A13179">
        <w:rPr>
          <w:color w:val="222222"/>
          <w:highlight w:val="white"/>
        </w:rPr>
        <w:t>h</w:t>
      </w:r>
      <w:r w:rsidR="00963079">
        <w:rPr>
          <w:color w:val="222222"/>
          <w:highlight w:val="white"/>
        </w:rPr>
        <w:t>ardt</w:t>
      </w:r>
      <w:proofErr w:type="spellEnd"/>
      <w:r w:rsidR="00963079">
        <w:rPr>
          <w:color w:val="222222"/>
          <w:highlight w:val="white"/>
        </w:rPr>
        <w:t xml:space="preserve"> et al., 2017; </w:t>
      </w:r>
      <w:r w:rsidR="004714EC">
        <w:rPr>
          <w:color w:val="222222"/>
          <w:highlight w:val="white"/>
        </w:rPr>
        <w:t xml:space="preserve">Yapp &amp; Quayle, 2018), with a paucity of studies </w:t>
      </w:r>
      <w:r w:rsidR="00963079">
        <w:rPr>
          <w:color w:val="222222"/>
          <w:highlight w:val="white"/>
        </w:rPr>
        <w:t>from</w:t>
      </w:r>
      <w:r w:rsidR="001A3E18">
        <w:rPr>
          <w:color w:val="222222"/>
          <w:highlight w:val="white"/>
        </w:rPr>
        <w:t xml:space="preserve"> Latin America</w:t>
      </w:r>
      <w:r w:rsidR="004714EC">
        <w:rPr>
          <w:color w:val="222222"/>
          <w:highlight w:val="white"/>
        </w:rPr>
        <w:t xml:space="preserve"> too</w:t>
      </w:r>
      <w:r w:rsidR="001A3E18">
        <w:rPr>
          <w:color w:val="222222"/>
          <w:highlight w:val="white"/>
        </w:rPr>
        <w:t xml:space="preserve"> (</w:t>
      </w:r>
      <w:r w:rsidR="001A3E18">
        <w:rPr>
          <w:color w:val="222222"/>
        </w:rPr>
        <w:t>although see</w:t>
      </w:r>
      <w:r w:rsidR="001A3E18" w:rsidRPr="003A7D48">
        <w:rPr>
          <w:color w:val="222222"/>
          <w:shd w:val="clear" w:color="auto" w:fill="FFFFFF"/>
        </w:rPr>
        <w:t xml:space="preserve"> </w:t>
      </w:r>
      <w:r w:rsidR="001A3E18">
        <w:rPr>
          <w:color w:val="222222"/>
          <w:shd w:val="clear" w:color="auto" w:fill="FFFFFF"/>
        </w:rPr>
        <w:t>Hernández</w:t>
      </w:r>
      <w:r w:rsidR="00A13179">
        <w:rPr>
          <w:color w:val="222222"/>
          <w:shd w:val="clear" w:color="auto" w:fill="FFFFFF"/>
        </w:rPr>
        <w:t xml:space="preserve"> et al.</w:t>
      </w:r>
      <w:r w:rsidR="001A3E18">
        <w:rPr>
          <w:color w:val="222222"/>
          <w:shd w:val="clear" w:color="auto" w:fill="FFFFFF"/>
        </w:rPr>
        <w:t>, 2015; Janos &amp; Espinosa, 2015</w:t>
      </w:r>
      <w:r w:rsidR="004714EC">
        <w:rPr>
          <w:color w:val="222222"/>
          <w:shd w:val="clear" w:color="auto" w:fill="FFFFFF"/>
        </w:rPr>
        <w:t>).</w:t>
      </w:r>
      <w:r w:rsidR="00963079">
        <w:rPr>
          <w:color w:val="222222"/>
          <w:shd w:val="clear" w:color="auto" w:fill="FFFFFF"/>
        </w:rPr>
        <w:t xml:space="preserve"> Moreover, we could not find any studies </w:t>
      </w:r>
      <w:r w:rsidR="00FF06CB">
        <w:rPr>
          <w:color w:val="222222"/>
          <w:shd w:val="clear" w:color="auto" w:fill="FFFFFF"/>
        </w:rPr>
        <w:t xml:space="preserve">focusing </w:t>
      </w:r>
      <w:r w:rsidR="00963079">
        <w:rPr>
          <w:color w:val="222222"/>
          <w:shd w:val="clear" w:color="auto" w:fill="FFFFFF"/>
        </w:rPr>
        <w:t>on the relationships between r</w:t>
      </w:r>
      <w:r w:rsidR="004C086C">
        <w:rPr>
          <w:color w:val="222222"/>
          <w:shd w:val="clear" w:color="auto" w:fill="FFFFFF"/>
        </w:rPr>
        <w:t>ape myths and bystander behaviour</w:t>
      </w:r>
      <w:r w:rsidR="00963079">
        <w:rPr>
          <w:color w:val="222222"/>
          <w:shd w:val="clear" w:color="auto" w:fill="FFFFFF"/>
        </w:rPr>
        <w:t xml:space="preserve"> in Latin America. As rape myth acceptance is one</w:t>
      </w:r>
      <w:r w:rsidR="001D2412">
        <w:rPr>
          <w:color w:val="222222"/>
          <w:shd w:val="clear" w:color="auto" w:fill="FFFFFF"/>
        </w:rPr>
        <w:t xml:space="preserve"> of the</w:t>
      </w:r>
      <w:r w:rsidR="00963079">
        <w:rPr>
          <w:color w:val="222222"/>
          <w:shd w:val="clear" w:color="auto" w:fill="FFFFFF"/>
        </w:rPr>
        <w:t xml:space="preserve"> largest barrier to bystander behaviour in sexual harassment, it is important to widen the </w:t>
      </w:r>
      <w:r w:rsidR="008B2A62">
        <w:rPr>
          <w:color w:val="222222"/>
          <w:shd w:val="clear" w:color="auto" w:fill="FFFFFF"/>
        </w:rPr>
        <w:t>research</w:t>
      </w:r>
      <w:r w:rsidR="00963079">
        <w:rPr>
          <w:color w:val="222222"/>
          <w:shd w:val="clear" w:color="auto" w:fill="FFFFFF"/>
        </w:rPr>
        <w:t xml:space="preserve"> to the Latin American context. </w:t>
      </w:r>
    </w:p>
    <w:p w14:paraId="215E938B" w14:textId="2B5A2F88" w:rsidR="00EF20A5" w:rsidRDefault="003B18AD" w:rsidP="003A7D48">
      <w:pPr>
        <w:spacing w:line="480" w:lineRule="auto"/>
        <w:ind w:firstLine="720"/>
        <w:contextualSpacing/>
        <w:rPr>
          <w:color w:val="222222"/>
        </w:rPr>
      </w:pPr>
      <w:r>
        <w:t xml:space="preserve">In the present </w:t>
      </w:r>
      <w:r w:rsidR="00B00C77">
        <w:t>study</w:t>
      </w:r>
      <w:r>
        <w:t>, we aim</w:t>
      </w:r>
      <w:r w:rsidR="00EF20A5">
        <w:t xml:space="preserve"> </w:t>
      </w:r>
      <w:r>
        <w:t xml:space="preserve">to add to the sparse literature by investigating bystander </w:t>
      </w:r>
      <w:r w:rsidR="00EF20A5">
        <w:t xml:space="preserve">barriers </w:t>
      </w:r>
      <w:r>
        <w:t xml:space="preserve">in universities in Ecuador, a </w:t>
      </w:r>
      <w:r w:rsidR="00B61DA6">
        <w:t>country in South America in the Andean region.</w:t>
      </w:r>
      <w:r>
        <w:t xml:space="preserve"> Although several women's movements are fighting for a social change to promote gender equality (Glidden &amp; Shaffer-</w:t>
      </w:r>
      <w:proofErr w:type="spellStart"/>
      <w:r>
        <w:t>Cutillo</w:t>
      </w:r>
      <w:proofErr w:type="spellEnd"/>
      <w:r>
        <w:t xml:space="preserve">, 2017), both men and women in Ecuador </w:t>
      </w:r>
      <w:r w:rsidR="007105BA">
        <w:t xml:space="preserve">often </w:t>
      </w:r>
      <w:r>
        <w:t>endorse machismo and traditional gender norms (Morris, 201</w:t>
      </w:r>
      <w:r w:rsidR="00A13179">
        <w:t>9</w:t>
      </w:r>
      <w:r>
        <w:t xml:space="preserve">). The </w:t>
      </w:r>
      <w:r w:rsidR="007102AA">
        <w:t xml:space="preserve">high </w:t>
      </w:r>
      <w:r w:rsidR="00F974D9">
        <w:t xml:space="preserve">prevalence </w:t>
      </w:r>
      <w:r>
        <w:t xml:space="preserve">of sexual harassment in </w:t>
      </w:r>
      <w:r w:rsidR="00D21958">
        <w:t xml:space="preserve">diverse faculties </w:t>
      </w:r>
      <w:r>
        <w:t>in</w:t>
      </w:r>
      <w:r w:rsidR="007102AA">
        <w:t xml:space="preserve"> various regions of</w:t>
      </w:r>
      <w:r>
        <w:t xml:space="preserve"> Ecuador has been well established (</w:t>
      </w:r>
      <w:r w:rsidR="007B2823">
        <w:t xml:space="preserve">Altamirano </w:t>
      </w:r>
      <w:proofErr w:type="spellStart"/>
      <w:r w:rsidR="007B2823">
        <w:t>Zabala</w:t>
      </w:r>
      <w:proofErr w:type="spellEnd"/>
      <w:r w:rsidR="007B2823">
        <w:t xml:space="preserve">, 2020; </w:t>
      </w:r>
      <w:r w:rsidR="00037AF8" w:rsidRPr="00037AF8">
        <w:rPr>
          <w:lang w:val="es-ES"/>
        </w:rPr>
        <w:t>Agustín</w:t>
      </w:r>
      <w:r w:rsidR="001C3069">
        <w:rPr>
          <w:lang w:val="es-ES"/>
        </w:rPr>
        <w:t xml:space="preserve"> </w:t>
      </w:r>
      <w:r w:rsidR="007102AA">
        <w:t xml:space="preserve">Bosch, 2018; </w:t>
      </w:r>
      <w:proofErr w:type="spellStart"/>
      <w:r>
        <w:t>Guarderas</w:t>
      </w:r>
      <w:proofErr w:type="spellEnd"/>
      <w:r>
        <w:t xml:space="preserve"> et al., 2018; </w:t>
      </w:r>
      <w:r>
        <w:rPr>
          <w:color w:val="222222"/>
          <w:highlight w:val="white"/>
        </w:rPr>
        <w:t xml:space="preserve">Morales </w:t>
      </w:r>
      <w:proofErr w:type="spellStart"/>
      <w:r w:rsidR="00A13179">
        <w:rPr>
          <w:color w:val="222222"/>
          <w:highlight w:val="white"/>
        </w:rPr>
        <w:t>Cobos</w:t>
      </w:r>
      <w:proofErr w:type="spellEnd"/>
      <w:r w:rsidR="00A13179">
        <w:rPr>
          <w:color w:val="222222"/>
          <w:highlight w:val="white"/>
        </w:rPr>
        <w:t xml:space="preserve"> </w:t>
      </w:r>
      <w:r w:rsidR="001910AF">
        <w:rPr>
          <w:color w:val="222222"/>
          <w:highlight w:val="white"/>
        </w:rPr>
        <w:t>et al.</w:t>
      </w:r>
      <w:r>
        <w:rPr>
          <w:color w:val="222222"/>
          <w:highlight w:val="white"/>
        </w:rPr>
        <w:t xml:space="preserve">, </w:t>
      </w:r>
      <w:r>
        <w:rPr>
          <w:color w:val="222222"/>
          <w:highlight w:val="white"/>
        </w:rPr>
        <w:lastRenderedPageBreak/>
        <w:t xml:space="preserve">2020; </w:t>
      </w:r>
      <w:r w:rsidRPr="00D21958">
        <w:rPr>
          <w:color w:val="222222"/>
          <w:highlight w:val="white"/>
        </w:rPr>
        <w:t>Villar</w:t>
      </w:r>
      <w:r w:rsidR="008F5D58">
        <w:rPr>
          <w:color w:val="222222"/>
          <w:highlight w:val="white"/>
        </w:rPr>
        <w:t>r</w:t>
      </w:r>
      <w:r w:rsidRPr="00D21958">
        <w:rPr>
          <w:color w:val="222222"/>
          <w:highlight w:val="white"/>
        </w:rPr>
        <w:t>eal Cueva, 2019)</w:t>
      </w:r>
      <w:r w:rsidR="00EF20A5">
        <w:rPr>
          <w:color w:val="222222"/>
          <w:highlight w:val="white"/>
        </w:rPr>
        <w:t xml:space="preserve">. </w:t>
      </w:r>
      <w:r w:rsidR="004C086C">
        <w:rPr>
          <w:color w:val="222222"/>
          <w:highlight w:val="white"/>
        </w:rPr>
        <w:t>In the University context in Ecuador, h</w:t>
      </w:r>
      <w:r w:rsidR="00EF20A5">
        <w:rPr>
          <w:color w:val="222222"/>
          <w:highlight w:val="white"/>
        </w:rPr>
        <w:t xml:space="preserve">arassment </w:t>
      </w:r>
      <w:r w:rsidR="00482621">
        <w:rPr>
          <w:color w:val="222222"/>
          <w:highlight w:val="white"/>
        </w:rPr>
        <w:t>is often not reported further</w:t>
      </w:r>
      <w:r w:rsidR="00EF20A5">
        <w:rPr>
          <w:color w:val="222222"/>
          <w:highlight w:val="white"/>
        </w:rPr>
        <w:t xml:space="preserve"> because</w:t>
      </w:r>
      <w:r w:rsidR="00271460">
        <w:rPr>
          <w:color w:val="222222"/>
          <w:highlight w:val="white"/>
        </w:rPr>
        <w:t xml:space="preserve"> </w:t>
      </w:r>
      <w:r w:rsidR="00EF20A5">
        <w:rPr>
          <w:color w:val="222222"/>
          <w:highlight w:val="white"/>
        </w:rPr>
        <w:t xml:space="preserve">victims </w:t>
      </w:r>
      <w:r w:rsidR="00D21958">
        <w:rPr>
          <w:color w:val="222222"/>
          <w:highlight w:val="white"/>
        </w:rPr>
        <w:t xml:space="preserve">lack knowledge of </w:t>
      </w:r>
      <w:r w:rsidR="004C086C">
        <w:rPr>
          <w:color w:val="222222"/>
          <w:highlight w:val="white"/>
        </w:rPr>
        <w:t xml:space="preserve">their </w:t>
      </w:r>
      <w:r w:rsidR="00D21958">
        <w:rPr>
          <w:color w:val="222222"/>
          <w:highlight w:val="white"/>
        </w:rPr>
        <w:t xml:space="preserve">legal rights (Arias </w:t>
      </w:r>
      <w:proofErr w:type="spellStart"/>
      <w:r w:rsidR="00D21958">
        <w:rPr>
          <w:color w:val="222222"/>
          <w:highlight w:val="white"/>
        </w:rPr>
        <w:t>Saa</w:t>
      </w:r>
      <w:proofErr w:type="spellEnd"/>
      <w:r w:rsidR="004652DA">
        <w:rPr>
          <w:color w:val="222222"/>
          <w:highlight w:val="white"/>
        </w:rPr>
        <w:t xml:space="preserve"> &amp;</w:t>
      </w:r>
      <w:r w:rsidR="00D21958">
        <w:rPr>
          <w:color w:val="222222"/>
          <w:highlight w:val="white"/>
        </w:rPr>
        <w:t xml:space="preserve"> </w:t>
      </w:r>
      <w:r w:rsidR="00D21958" w:rsidRPr="00FA2B3F">
        <w:rPr>
          <w:color w:val="222222"/>
          <w:shd w:val="clear" w:color="auto" w:fill="FFFFFF"/>
        </w:rPr>
        <w:t xml:space="preserve">López </w:t>
      </w:r>
      <w:proofErr w:type="spellStart"/>
      <w:r w:rsidR="00D21958" w:rsidRPr="00FA2B3F">
        <w:rPr>
          <w:color w:val="222222"/>
          <w:shd w:val="clear" w:color="auto" w:fill="FFFFFF"/>
        </w:rPr>
        <w:t>Acero</w:t>
      </w:r>
      <w:proofErr w:type="spellEnd"/>
      <w:r w:rsidR="00D21958" w:rsidRPr="00FA2B3F">
        <w:rPr>
          <w:color w:val="222222"/>
          <w:shd w:val="clear" w:color="auto" w:fill="FFFFFF"/>
        </w:rPr>
        <w:t>, 2018</w:t>
      </w:r>
      <w:r w:rsidR="00271460">
        <w:rPr>
          <w:color w:val="222222"/>
          <w:shd w:val="clear" w:color="auto" w:fill="FFFFFF"/>
        </w:rPr>
        <w:t>; Gordillo Ipiales, 2020</w:t>
      </w:r>
      <w:r w:rsidR="00D21958">
        <w:rPr>
          <w:color w:val="222222"/>
          <w:shd w:val="clear" w:color="auto" w:fill="FFFFFF"/>
        </w:rPr>
        <w:t>)</w:t>
      </w:r>
      <w:r w:rsidR="0077227B">
        <w:rPr>
          <w:color w:val="222222"/>
          <w:shd w:val="clear" w:color="auto" w:fill="FFFFFF"/>
        </w:rPr>
        <w:t>, perpetuating the culture of harassment</w:t>
      </w:r>
      <w:r w:rsidR="001E6CA5">
        <w:rPr>
          <w:color w:val="222222"/>
          <w:shd w:val="clear" w:color="auto" w:fill="FFFFFF"/>
        </w:rPr>
        <w:t xml:space="preserve">. Alternatively, victims may </w:t>
      </w:r>
      <w:r w:rsidR="004C086C">
        <w:rPr>
          <w:color w:val="222222"/>
          <w:shd w:val="clear" w:color="auto" w:fill="FFFFFF"/>
        </w:rPr>
        <w:t>fear</w:t>
      </w:r>
      <w:r w:rsidR="00482621">
        <w:rPr>
          <w:color w:val="222222"/>
          <w:shd w:val="clear" w:color="auto" w:fill="FFFFFF"/>
        </w:rPr>
        <w:t xml:space="preserve"> </w:t>
      </w:r>
      <w:r w:rsidR="00D21958">
        <w:rPr>
          <w:color w:val="222222"/>
          <w:shd w:val="clear" w:color="auto" w:fill="FFFFFF"/>
        </w:rPr>
        <w:t>adverse co</w:t>
      </w:r>
      <w:r w:rsidR="00271460">
        <w:rPr>
          <w:color w:val="222222"/>
          <w:shd w:val="clear" w:color="auto" w:fill="FFFFFF"/>
        </w:rPr>
        <w:t xml:space="preserve">nsequences if they report </w:t>
      </w:r>
      <w:r w:rsidR="00271460" w:rsidRPr="00271460">
        <w:rPr>
          <w:color w:val="222222"/>
          <w:shd w:val="clear" w:color="auto" w:fill="FFFFFF"/>
        </w:rPr>
        <w:t>abuse (</w:t>
      </w:r>
      <w:r w:rsidR="00271460" w:rsidRPr="003A7D48">
        <w:rPr>
          <w:color w:val="222222"/>
          <w:shd w:val="clear" w:color="auto" w:fill="FFFFFF"/>
        </w:rPr>
        <w:t xml:space="preserve">López </w:t>
      </w:r>
      <w:proofErr w:type="spellStart"/>
      <w:r w:rsidR="00271460" w:rsidRPr="003A7D48">
        <w:rPr>
          <w:color w:val="222222"/>
          <w:shd w:val="clear" w:color="auto" w:fill="FFFFFF"/>
        </w:rPr>
        <w:t>Baño</w:t>
      </w:r>
      <w:proofErr w:type="spellEnd"/>
      <w:r w:rsidR="00271460" w:rsidRPr="003A7D48">
        <w:rPr>
          <w:color w:val="222222"/>
          <w:shd w:val="clear" w:color="auto" w:fill="FFFFFF"/>
        </w:rPr>
        <w:t>, 2019</w:t>
      </w:r>
      <w:r w:rsidR="00271460">
        <w:rPr>
          <w:color w:val="222222"/>
          <w:shd w:val="clear" w:color="auto" w:fill="FFFFFF"/>
        </w:rPr>
        <w:t xml:space="preserve">; </w:t>
      </w:r>
      <w:r w:rsidR="00271460">
        <w:rPr>
          <w:highlight w:val="white"/>
        </w:rPr>
        <w:t xml:space="preserve">Morales </w:t>
      </w:r>
      <w:proofErr w:type="spellStart"/>
      <w:r w:rsidR="00271460">
        <w:rPr>
          <w:highlight w:val="white"/>
        </w:rPr>
        <w:t>Cobos</w:t>
      </w:r>
      <w:proofErr w:type="spellEnd"/>
      <w:r w:rsidR="00271460">
        <w:rPr>
          <w:highlight w:val="white"/>
        </w:rPr>
        <w:t xml:space="preserve"> et al., </w:t>
      </w:r>
      <w:r w:rsidR="00271460" w:rsidRPr="00FA2B3F">
        <w:rPr>
          <w:highlight w:val="white"/>
        </w:rPr>
        <w:t>2020</w:t>
      </w:r>
      <w:r w:rsidR="00271460" w:rsidRPr="003A7D48">
        <w:rPr>
          <w:color w:val="222222"/>
          <w:shd w:val="clear" w:color="auto" w:fill="FFFFFF"/>
        </w:rPr>
        <w:t>), </w:t>
      </w:r>
      <w:r w:rsidR="00D21958" w:rsidRPr="00271460">
        <w:rPr>
          <w:color w:val="222222"/>
          <w:shd w:val="clear" w:color="auto" w:fill="FFFFFF"/>
        </w:rPr>
        <w:t>especially</w:t>
      </w:r>
      <w:r w:rsidR="00D21958">
        <w:rPr>
          <w:color w:val="222222"/>
          <w:shd w:val="clear" w:color="auto" w:fill="FFFFFF"/>
        </w:rPr>
        <w:t xml:space="preserve"> when the perpetrator </w:t>
      </w:r>
      <w:r w:rsidR="001E6CA5">
        <w:rPr>
          <w:color w:val="222222"/>
          <w:shd w:val="clear" w:color="auto" w:fill="FFFFFF"/>
        </w:rPr>
        <w:t>is a member of</w:t>
      </w:r>
      <w:r w:rsidR="00D21958">
        <w:rPr>
          <w:color w:val="222222"/>
          <w:shd w:val="clear" w:color="auto" w:fill="FFFFFF"/>
        </w:rPr>
        <w:t xml:space="preserve"> staff</w:t>
      </w:r>
      <w:r w:rsidR="00A60713">
        <w:rPr>
          <w:color w:val="222222"/>
          <w:shd w:val="clear" w:color="auto" w:fill="FFFFFF"/>
        </w:rPr>
        <w:t xml:space="preserve"> and </w:t>
      </w:r>
      <w:r w:rsidR="001E6CA5">
        <w:rPr>
          <w:color w:val="222222"/>
          <w:shd w:val="clear" w:color="auto" w:fill="FFFFFF"/>
        </w:rPr>
        <w:t xml:space="preserve">the </w:t>
      </w:r>
      <w:r w:rsidR="00A60713">
        <w:rPr>
          <w:color w:val="222222"/>
          <w:shd w:val="clear" w:color="auto" w:fill="FFFFFF"/>
        </w:rPr>
        <w:t xml:space="preserve">victim </w:t>
      </w:r>
      <w:r w:rsidR="001E6CA5">
        <w:rPr>
          <w:color w:val="222222"/>
          <w:shd w:val="clear" w:color="auto" w:fill="FFFFFF"/>
        </w:rPr>
        <w:t>is a</w:t>
      </w:r>
      <w:r w:rsidR="00A60713">
        <w:rPr>
          <w:color w:val="222222"/>
          <w:shd w:val="clear" w:color="auto" w:fill="FFFFFF"/>
        </w:rPr>
        <w:t xml:space="preserve"> student</w:t>
      </w:r>
      <w:r w:rsidR="00D21958">
        <w:rPr>
          <w:color w:val="222222"/>
          <w:shd w:val="clear" w:color="auto" w:fill="FFFFFF"/>
        </w:rPr>
        <w:t xml:space="preserve"> (</w:t>
      </w:r>
      <w:r w:rsidR="00D21958">
        <w:rPr>
          <w:highlight w:val="white"/>
        </w:rPr>
        <w:t xml:space="preserve">Morales </w:t>
      </w:r>
      <w:proofErr w:type="spellStart"/>
      <w:r w:rsidR="00D21958">
        <w:rPr>
          <w:highlight w:val="white"/>
        </w:rPr>
        <w:t>Cobos</w:t>
      </w:r>
      <w:proofErr w:type="spellEnd"/>
      <w:r w:rsidR="00D21958">
        <w:rPr>
          <w:highlight w:val="white"/>
        </w:rPr>
        <w:t xml:space="preserve"> et al., </w:t>
      </w:r>
      <w:r w:rsidR="00D21958" w:rsidRPr="00FA2B3F">
        <w:rPr>
          <w:highlight w:val="white"/>
        </w:rPr>
        <w:t>2020).</w:t>
      </w:r>
      <w:r w:rsidR="000840ED">
        <w:rPr>
          <w:color w:val="222222"/>
          <w:highlight w:val="white"/>
        </w:rPr>
        <w:t xml:space="preserve"> </w:t>
      </w:r>
      <w:r>
        <w:rPr>
          <w:color w:val="222222"/>
          <w:highlight w:val="white"/>
        </w:rPr>
        <w:t xml:space="preserve">However, less is known about the </w:t>
      </w:r>
      <w:r w:rsidR="000840ED">
        <w:rPr>
          <w:color w:val="222222"/>
          <w:highlight w:val="white"/>
        </w:rPr>
        <w:t xml:space="preserve">factors </w:t>
      </w:r>
      <w:r>
        <w:rPr>
          <w:color w:val="222222"/>
          <w:highlight w:val="white"/>
        </w:rPr>
        <w:t>that present a</w:t>
      </w:r>
      <w:r w:rsidR="000840ED">
        <w:rPr>
          <w:color w:val="222222"/>
          <w:highlight w:val="white"/>
        </w:rPr>
        <w:t>s a possible</w:t>
      </w:r>
      <w:r>
        <w:rPr>
          <w:color w:val="222222"/>
          <w:highlight w:val="white"/>
        </w:rPr>
        <w:t xml:space="preserve"> barrier</w:t>
      </w:r>
      <w:r w:rsidR="000840ED">
        <w:rPr>
          <w:color w:val="222222"/>
          <w:highlight w:val="white"/>
        </w:rPr>
        <w:t xml:space="preserve"> or enabler</w:t>
      </w:r>
      <w:r>
        <w:rPr>
          <w:color w:val="222222"/>
          <w:highlight w:val="white"/>
        </w:rPr>
        <w:t xml:space="preserve"> for bystander</w:t>
      </w:r>
      <w:r w:rsidR="000840ED">
        <w:rPr>
          <w:color w:val="222222"/>
          <w:highlight w:val="white"/>
        </w:rPr>
        <w:t xml:space="preserve"> action</w:t>
      </w:r>
      <w:r>
        <w:rPr>
          <w:color w:val="222222"/>
          <w:highlight w:val="white"/>
        </w:rPr>
        <w:t xml:space="preserve">. </w:t>
      </w:r>
    </w:p>
    <w:p w14:paraId="520742D5" w14:textId="3482F46C" w:rsidR="00D200E5" w:rsidRPr="003A7D48" w:rsidRDefault="003B18AD" w:rsidP="003A7D48">
      <w:pPr>
        <w:spacing w:line="480" w:lineRule="auto"/>
        <w:ind w:firstLine="720"/>
        <w:contextualSpacing/>
        <w:rPr>
          <w:color w:val="222222"/>
          <w:highlight w:val="white"/>
        </w:rPr>
      </w:pPr>
      <w:r>
        <w:rPr>
          <w:color w:val="222222"/>
        </w:rPr>
        <w:t>In this study, we investigate some of the</w:t>
      </w:r>
      <w:r w:rsidR="00216742">
        <w:rPr>
          <w:color w:val="222222"/>
        </w:rPr>
        <w:t xml:space="preserve"> known</w:t>
      </w:r>
      <w:r>
        <w:rPr>
          <w:color w:val="222222"/>
        </w:rPr>
        <w:t xml:space="preserve"> factors</w:t>
      </w:r>
      <w:r w:rsidR="00216742">
        <w:rPr>
          <w:color w:val="222222"/>
        </w:rPr>
        <w:t xml:space="preserve"> from prior research</w:t>
      </w:r>
      <w:r w:rsidR="00EF20A5">
        <w:rPr>
          <w:color w:val="222222"/>
        </w:rPr>
        <w:t xml:space="preserve"> in the U.S</w:t>
      </w:r>
      <w:r>
        <w:rPr>
          <w:color w:val="222222"/>
        </w:rPr>
        <w:t xml:space="preserve"> that might </w:t>
      </w:r>
      <w:r w:rsidR="00216742">
        <w:rPr>
          <w:color w:val="222222"/>
        </w:rPr>
        <w:t xml:space="preserve">explain </w:t>
      </w:r>
      <w:r>
        <w:rPr>
          <w:color w:val="222222"/>
        </w:rPr>
        <w:t xml:space="preserve">bystander behaviour in Ecuador. </w:t>
      </w:r>
      <w:r w:rsidR="00C61866">
        <w:rPr>
          <w:color w:val="222222"/>
          <w:highlight w:val="white"/>
        </w:rPr>
        <w:t xml:space="preserve">As well as </w:t>
      </w:r>
      <w:r w:rsidR="00BE2334">
        <w:rPr>
          <w:color w:val="222222"/>
          <w:highlight w:val="white"/>
        </w:rPr>
        <w:t xml:space="preserve">rape myth acceptance, there may be </w:t>
      </w:r>
      <w:r w:rsidR="00C61866">
        <w:rPr>
          <w:color w:val="222222"/>
          <w:highlight w:val="white"/>
        </w:rPr>
        <w:t>other</w:t>
      </w:r>
      <w:r w:rsidR="000D7097">
        <w:rPr>
          <w:color w:val="222222"/>
          <w:highlight w:val="white"/>
        </w:rPr>
        <w:t xml:space="preserve"> potential</w:t>
      </w:r>
      <w:r w:rsidR="00BE2334">
        <w:rPr>
          <w:color w:val="222222"/>
          <w:highlight w:val="white"/>
        </w:rPr>
        <w:t xml:space="preserve"> barriers (e.g., </w:t>
      </w:r>
      <w:r w:rsidR="000D7097">
        <w:rPr>
          <w:color w:val="222222"/>
          <w:highlight w:val="white"/>
        </w:rPr>
        <w:t>perpetration of sexual violence</w:t>
      </w:r>
      <w:r w:rsidR="00BE2334">
        <w:rPr>
          <w:color w:val="222222"/>
          <w:highlight w:val="white"/>
        </w:rPr>
        <w:t xml:space="preserve">; </w:t>
      </w:r>
      <w:r w:rsidR="000D7097">
        <w:rPr>
          <w:color w:val="222222"/>
          <w:highlight w:val="white"/>
        </w:rPr>
        <w:t>Yapp &amp; Quayle, 2018)</w:t>
      </w:r>
      <w:r w:rsidR="00BE2334">
        <w:rPr>
          <w:color w:val="222222"/>
          <w:highlight w:val="white"/>
        </w:rPr>
        <w:t xml:space="preserve"> and facilitators (e.g., victimisation in sexual violence; Kim et al., 2019) </w:t>
      </w:r>
      <w:r w:rsidR="004C086C">
        <w:rPr>
          <w:color w:val="222222"/>
          <w:highlight w:val="white"/>
        </w:rPr>
        <w:t>that aid or prevent</w:t>
      </w:r>
      <w:r w:rsidR="00BE2334">
        <w:rPr>
          <w:color w:val="222222"/>
          <w:highlight w:val="white"/>
        </w:rPr>
        <w:t xml:space="preserve"> bystander action. We </w:t>
      </w:r>
      <w:r w:rsidR="000840ED">
        <w:rPr>
          <w:color w:val="222222"/>
          <w:highlight w:val="white"/>
        </w:rPr>
        <w:t>expect</w:t>
      </w:r>
      <w:r w:rsidR="00BE2334">
        <w:rPr>
          <w:color w:val="222222"/>
          <w:highlight w:val="white"/>
        </w:rPr>
        <w:t xml:space="preserve"> this pilot study will </w:t>
      </w:r>
      <w:r w:rsidR="000840ED">
        <w:rPr>
          <w:color w:val="222222"/>
          <w:highlight w:val="white"/>
        </w:rPr>
        <w:t>shed light on</w:t>
      </w:r>
      <w:r w:rsidR="004652DA">
        <w:rPr>
          <w:color w:val="222222"/>
          <w:highlight w:val="white"/>
        </w:rPr>
        <w:t xml:space="preserve"> an important issue, </w:t>
      </w:r>
      <w:r w:rsidR="000840ED">
        <w:rPr>
          <w:color w:val="222222"/>
          <w:highlight w:val="white"/>
        </w:rPr>
        <w:t>providing</w:t>
      </w:r>
      <w:r w:rsidR="004652DA">
        <w:rPr>
          <w:color w:val="222222"/>
          <w:highlight w:val="white"/>
        </w:rPr>
        <w:t xml:space="preserve"> future research </w:t>
      </w:r>
      <w:r w:rsidR="000840ED">
        <w:rPr>
          <w:color w:val="222222"/>
          <w:highlight w:val="white"/>
        </w:rPr>
        <w:t xml:space="preserve">directions for </w:t>
      </w:r>
      <w:r w:rsidR="004652DA">
        <w:rPr>
          <w:color w:val="222222"/>
          <w:highlight w:val="white"/>
        </w:rPr>
        <w:t>bystander behaviour in this cultural context.</w:t>
      </w:r>
    </w:p>
    <w:p w14:paraId="0000002D" w14:textId="77777777" w:rsidR="00BF1871" w:rsidRDefault="003B18AD">
      <w:pPr>
        <w:spacing w:line="480" w:lineRule="auto"/>
        <w:jc w:val="both"/>
        <w:rPr>
          <w:b/>
        </w:rPr>
      </w:pPr>
      <w:r>
        <w:rPr>
          <w:b/>
        </w:rPr>
        <w:t>Methods</w:t>
      </w:r>
    </w:p>
    <w:p w14:paraId="0000002E" w14:textId="77777777" w:rsidR="00BF1871" w:rsidRDefault="003B18AD">
      <w:pPr>
        <w:spacing w:line="480" w:lineRule="auto"/>
        <w:jc w:val="both"/>
        <w:rPr>
          <w:i/>
        </w:rPr>
      </w:pPr>
      <w:r>
        <w:rPr>
          <w:i/>
        </w:rPr>
        <w:t>Participants</w:t>
      </w:r>
    </w:p>
    <w:p w14:paraId="0000002F" w14:textId="51427BCD" w:rsidR="00BF1871" w:rsidRDefault="003B18AD" w:rsidP="003A7D48">
      <w:pPr>
        <w:spacing w:line="480" w:lineRule="auto"/>
        <w:ind w:firstLine="720"/>
      </w:pPr>
      <w:r>
        <w:t>Participants were 1</w:t>
      </w:r>
      <w:r w:rsidR="00B44ECE">
        <w:t>29</w:t>
      </w:r>
      <w:r>
        <w:t xml:space="preserve"> (</w:t>
      </w:r>
      <w:r w:rsidR="00B44ECE">
        <w:t>90</w:t>
      </w:r>
      <w:r w:rsidR="004652DA">
        <w:t xml:space="preserve"> </w:t>
      </w:r>
      <w:r>
        <w:t xml:space="preserve">women, </w:t>
      </w:r>
      <w:r w:rsidR="00B44ECE">
        <w:t xml:space="preserve">39 </w:t>
      </w:r>
      <w:r>
        <w:t xml:space="preserve">men) staff and students from eleven universities in Ecuador who </w:t>
      </w:r>
      <w:r w:rsidR="004173F8">
        <w:t xml:space="preserve">completed </w:t>
      </w:r>
      <w:r>
        <w:t xml:space="preserve">an on-line survey advertised through the </w:t>
      </w:r>
      <w:r w:rsidR="00B44ECE">
        <w:t xml:space="preserve">Ecuadorian </w:t>
      </w:r>
      <w:r>
        <w:t>research</w:t>
      </w:r>
      <w:r w:rsidR="00B44ECE">
        <w:t xml:space="preserve"> teams</w:t>
      </w:r>
      <w:r w:rsidR="000840ED">
        <w:t>’</w:t>
      </w:r>
      <w:r>
        <w:t xml:space="preserve"> social networks</w:t>
      </w:r>
      <w:r w:rsidR="00B44ECE">
        <w:t xml:space="preserve"> and via e-mails to </w:t>
      </w:r>
      <w:r w:rsidR="000840ED">
        <w:t>u</w:t>
      </w:r>
      <w:r w:rsidR="00B44ECE">
        <w:t>niversities</w:t>
      </w:r>
      <w:r>
        <w:t>.</w:t>
      </w:r>
      <w:r w:rsidR="00BF4D08">
        <w:t xml:space="preserve"> We </w:t>
      </w:r>
      <w:r w:rsidR="000840ED">
        <w:t>used</w:t>
      </w:r>
      <w:r w:rsidR="00BF4D08">
        <w:t xml:space="preserve"> non-probability convenience and </w:t>
      </w:r>
      <w:r w:rsidR="00B44ECE">
        <w:t xml:space="preserve">snowball sampling, which </w:t>
      </w:r>
      <w:r w:rsidR="00BF4D08">
        <w:t>are</w:t>
      </w:r>
      <w:r w:rsidR="00B44ECE">
        <w:t xml:space="preserve"> commonly used in investigations of sexual harassment experiences in academia (e.g., </w:t>
      </w:r>
      <w:r w:rsidR="00B44ECE">
        <w:rPr>
          <w:color w:val="222222"/>
          <w:shd w:val="clear" w:color="auto" w:fill="FFFFFF"/>
        </w:rPr>
        <w:t>Clancy</w:t>
      </w:r>
      <w:r w:rsidR="00F440E1">
        <w:rPr>
          <w:color w:val="222222"/>
          <w:shd w:val="clear" w:color="auto" w:fill="FFFFFF"/>
        </w:rPr>
        <w:t xml:space="preserve"> et al.</w:t>
      </w:r>
      <w:r w:rsidR="00B44ECE" w:rsidRPr="00783B38">
        <w:rPr>
          <w:color w:val="222222"/>
          <w:shd w:val="clear" w:color="auto" w:fill="FFFFFF"/>
        </w:rPr>
        <w:t xml:space="preserve">, 2014). </w:t>
      </w:r>
      <w:r>
        <w:t>Twenty-</w:t>
      </w:r>
      <w:r w:rsidR="00B44ECE">
        <w:t xml:space="preserve">seven </w:t>
      </w:r>
      <w:r>
        <w:t>participants were staff members and 10</w:t>
      </w:r>
      <w:r w:rsidR="00B44ECE">
        <w:t>2</w:t>
      </w:r>
      <w:r>
        <w:t xml:space="preserve"> were students. Sixty participants studied or worked in the coastal region of Ecuador and</w:t>
      </w:r>
      <w:r w:rsidR="004652DA">
        <w:t xml:space="preserve"> 69 </w:t>
      </w:r>
      <w:r>
        <w:t xml:space="preserve">in the mountains/highland region. The mean age of the participants was </w:t>
      </w:r>
      <w:r w:rsidR="00B44ECE">
        <w:t>27.90</w:t>
      </w:r>
      <w:r>
        <w:t xml:space="preserve"> years (</w:t>
      </w:r>
      <w:r>
        <w:rPr>
          <w:i/>
        </w:rPr>
        <w:t>SD</w:t>
      </w:r>
      <w:r>
        <w:t xml:space="preserve"> = 10.</w:t>
      </w:r>
      <w:r w:rsidR="00B44ECE">
        <w:t>30</w:t>
      </w:r>
      <w:r>
        <w:t>).</w:t>
      </w:r>
    </w:p>
    <w:p w14:paraId="00000030" w14:textId="77777777" w:rsidR="00BF1871" w:rsidRDefault="003B18AD">
      <w:pPr>
        <w:spacing w:line="480" w:lineRule="auto"/>
        <w:jc w:val="both"/>
        <w:rPr>
          <w:i/>
        </w:rPr>
      </w:pPr>
      <w:r>
        <w:rPr>
          <w:i/>
        </w:rPr>
        <w:t xml:space="preserve">Materials and procedure </w:t>
      </w:r>
    </w:p>
    <w:p w14:paraId="00000031" w14:textId="4B966E05" w:rsidR="00BF1871" w:rsidRPr="00F072BF" w:rsidRDefault="003B18AD" w:rsidP="003A7D48">
      <w:pPr>
        <w:pBdr>
          <w:top w:val="nil"/>
          <w:left w:val="nil"/>
          <w:bottom w:val="nil"/>
          <w:right w:val="nil"/>
          <w:between w:val="nil"/>
        </w:pBdr>
        <w:shd w:val="clear" w:color="auto" w:fill="FFFFFF"/>
        <w:spacing w:line="480" w:lineRule="auto"/>
        <w:ind w:firstLine="720"/>
        <w:contextualSpacing/>
        <w:rPr>
          <w:color w:val="000000"/>
        </w:rPr>
      </w:pPr>
      <w:r w:rsidRPr="00F072BF">
        <w:rPr>
          <w:color w:val="000000"/>
        </w:rPr>
        <w:lastRenderedPageBreak/>
        <w:t>All materials were back-translated from English to Spanish by three members of the research team</w:t>
      </w:r>
      <w:r w:rsidR="004173F8" w:rsidRPr="00F072BF">
        <w:rPr>
          <w:color w:val="000000"/>
        </w:rPr>
        <w:t xml:space="preserve">, </w:t>
      </w:r>
      <w:r w:rsidR="00146553" w:rsidRPr="00F072BF">
        <w:rPr>
          <w:color w:val="000000"/>
        </w:rPr>
        <w:t xml:space="preserve">all </w:t>
      </w:r>
      <w:r w:rsidR="004173F8" w:rsidRPr="00F072BF">
        <w:rPr>
          <w:color w:val="000000"/>
        </w:rPr>
        <w:t>fluent in both languages</w:t>
      </w:r>
      <w:r w:rsidRPr="00F072BF">
        <w:rPr>
          <w:color w:val="000000"/>
        </w:rPr>
        <w:t>.</w:t>
      </w:r>
      <w:r w:rsidR="00BF2007">
        <w:rPr>
          <w:color w:val="000000"/>
        </w:rPr>
        <w:t xml:space="preserve"> </w:t>
      </w:r>
      <w:r w:rsidR="00F83AEB">
        <w:rPr>
          <w:color w:val="000000"/>
        </w:rPr>
        <w:t>In addition, two team members (MM and MA) have</w:t>
      </w:r>
      <w:r w:rsidR="00BF2007">
        <w:rPr>
          <w:color w:val="000000"/>
        </w:rPr>
        <w:t xml:space="preserve"> extensive experience of gender issues in Ecuador via their work in the</w:t>
      </w:r>
      <w:r w:rsidR="00F83AEB">
        <w:rPr>
          <w:color w:val="000000"/>
        </w:rPr>
        <w:t xml:space="preserve"> Women’s science network.</w:t>
      </w:r>
      <w:r w:rsidRPr="00F072BF">
        <w:rPr>
          <w:color w:val="000000"/>
        </w:rPr>
        <w:t xml:space="preserve"> In order to investigate the incidence and perception</w:t>
      </w:r>
      <w:r w:rsidR="00B203A9" w:rsidRPr="00F072BF">
        <w:rPr>
          <w:color w:val="000000"/>
        </w:rPr>
        <w:t xml:space="preserve"> of harassment, we devised a 28</w:t>
      </w:r>
      <w:r w:rsidRPr="00F072BF">
        <w:rPr>
          <w:color w:val="000000"/>
        </w:rPr>
        <w:t xml:space="preserve">-item questionnaire using questions adapted from </w:t>
      </w:r>
      <w:proofErr w:type="spellStart"/>
      <w:r w:rsidRPr="00F072BF">
        <w:rPr>
          <w:color w:val="000000"/>
        </w:rPr>
        <w:t>Espelage</w:t>
      </w:r>
      <w:proofErr w:type="spellEnd"/>
      <w:r w:rsidRPr="00F072BF">
        <w:rPr>
          <w:color w:val="000000"/>
        </w:rPr>
        <w:t xml:space="preserve"> et al. (2014), Fi</w:t>
      </w:r>
      <w:r w:rsidR="00F440E1">
        <w:rPr>
          <w:color w:val="000000"/>
        </w:rPr>
        <w:t>t</w:t>
      </w:r>
      <w:r w:rsidRPr="00F072BF">
        <w:rPr>
          <w:color w:val="000000"/>
        </w:rPr>
        <w:t xml:space="preserve">zgerald et al. (1995) and </w:t>
      </w:r>
      <w:proofErr w:type="spellStart"/>
      <w:r w:rsidRPr="00F072BF">
        <w:rPr>
          <w:color w:val="000000"/>
        </w:rPr>
        <w:t>Jagsi</w:t>
      </w:r>
      <w:proofErr w:type="spellEnd"/>
      <w:r w:rsidRPr="00F072BF">
        <w:rPr>
          <w:color w:val="000000"/>
        </w:rPr>
        <w:t xml:space="preserve"> et al. (2016). </w:t>
      </w:r>
      <w:r w:rsidR="00FB5B12" w:rsidRPr="00F072BF">
        <w:rPr>
          <w:color w:val="000000"/>
        </w:rPr>
        <w:t xml:space="preserve">The three Ecuadorian </w:t>
      </w:r>
      <w:r w:rsidR="00482621" w:rsidRPr="00F072BF">
        <w:rPr>
          <w:color w:val="000000"/>
        </w:rPr>
        <w:t xml:space="preserve">team </w:t>
      </w:r>
      <w:r w:rsidR="00FB5B12" w:rsidRPr="00F072BF">
        <w:rPr>
          <w:color w:val="000000"/>
        </w:rPr>
        <w:t xml:space="preserve">members, familiar with the University context, reviewed the questions to ensure that only those that were relevant were chosen. </w:t>
      </w:r>
      <w:r w:rsidRPr="00F072BF">
        <w:rPr>
          <w:color w:val="000000"/>
        </w:rPr>
        <w:t xml:space="preserve">Participants were asked about their </w:t>
      </w:r>
      <w:r w:rsidR="00725FFE" w:rsidRPr="00F072BF">
        <w:rPr>
          <w:color w:val="000000"/>
        </w:rPr>
        <w:t xml:space="preserve">direct </w:t>
      </w:r>
      <w:r w:rsidRPr="00F072BF">
        <w:rPr>
          <w:color w:val="000000"/>
        </w:rPr>
        <w:t xml:space="preserve">experiences </w:t>
      </w:r>
      <w:r w:rsidR="00725FFE" w:rsidRPr="00F072BF">
        <w:rPr>
          <w:color w:val="000000"/>
        </w:rPr>
        <w:t>in</w:t>
      </w:r>
      <w:r w:rsidRPr="00F072BF">
        <w:rPr>
          <w:color w:val="000000"/>
        </w:rPr>
        <w:t xml:space="preserve"> perpetrat</w:t>
      </w:r>
      <w:r w:rsidR="00725FFE" w:rsidRPr="00F072BF">
        <w:rPr>
          <w:color w:val="000000"/>
        </w:rPr>
        <w:t>ing sexual harassment</w:t>
      </w:r>
      <w:r w:rsidRPr="00F072BF">
        <w:rPr>
          <w:color w:val="000000"/>
        </w:rPr>
        <w:t xml:space="preserve">, </w:t>
      </w:r>
      <w:r w:rsidR="00725FFE" w:rsidRPr="00F072BF">
        <w:rPr>
          <w:color w:val="000000"/>
        </w:rPr>
        <w:t xml:space="preserve">being a </w:t>
      </w:r>
      <w:r w:rsidRPr="00F072BF">
        <w:rPr>
          <w:color w:val="000000"/>
        </w:rPr>
        <w:t>victim, and</w:t>
      </w:r>
      <w:r w:rsidR="00725FFE" w:rsidRPr="00F072BF">
        <w:rPr>
          <w:color w:val="000000"/>
        </w:rPr>
        <w:t xml:space="preserve"> being a</w:t>
      </w:r>
      <w:r w:rsidRPr="00F072BF">
        <w:rPr>
          <w:color w:val="000000"/>
        </w:rPr>
        <w:t xml:space="preserve"> bystander in </w:t>
      </w:r>
      <w:r w:rsidR="00725FFE" w:rsidRPr="00F072BF">
        <w:rPr>
          <w:color w:val="000000"/>
        </w:rPr>
        <w:t xml:space="preserve">various </w:t>
      </w:r>
      <w:r w:rsidRPr="00F072BF">
        <w:rPr>
          <w:color w:val="000000"/>
        </w:rPr>
        <w:t>scenarios</w:t>
      </w:r>
      <w:r w:rsidR="00725FFE" w:rsidRPr="00F072BF">
        <w:rPr>
          <w:color w:val="000000"/>
        </w:rPr>
        <w:t xml:space="preserve">. The </w:t>
      </w:r>
      <w:r w:rsidR="00846678">
        <w:rPr>
          <w:color w:val="000000"/>
        </w:rPr>
        <w:t xml:space="preserve">questions </w:t>
      </w:r>
      <w:r w:rsidR="00725FFE" w:rsidRPr="00F072BF">
        <w:rPr>
          <w:color w:val="000000"/>
        </w:rPr>
        <w:t>ranged</w:t>
      </w:r>
      <w:r w:rsidRPr="00F072BF">
        <w:rPr>
          <w:color w:val="000000"/>
        </w:rPr>
        <w:t xml:space="preserve"> in severity from sexist jokes and comments to sexual coercion (see Appendix 1). </w:t>
      </w:r>
      <w:r w:rsidRPr="00F072BF">
        <w:t xml:space="preserve">Example items include “Commenting </w:t>
      </w:r>
      <w:r w:rsidR="004173F8" w:rsidRPr="00F072BF">
        <w:t>i</w:t>
      </w:r>
      <w:r w:rsidRPr="00F072BF">
        <w:t>n a sexual manner about the way somebody looks; Making inappropriate sexual gestures; Spreading sexual rumours about somebody; Forcing someone to kiss him or her; Forcing someone to do something sexual other tha</w:t>
      </w:r>
      <w:r w:rsidR="00B203A9" w:rsidRPr="00F072BF">
        <w:t>n kissing”. After each of the 28</w:t>
      </w:r>
      <w:r w:rsidRPr="00F072BF">
        <w:t xml:space="preserve"> acts, participants answered the following questions: Have you ever done this?; Has someone ever done this to you?; Have you ever observed/heard anybody doing this to somebody? (Yes/No/Not sure). For analytical purposes, the Yes answers were coded as 1, and the No/Not sure answers as 0. The questions were summed together to form an index of (</w:t>
      </w:r>
      <w:proofErr w:type="spellStart"/>
      <w:r w:rsidRPr="00F072BF">
        <w:t>i</w:t>
      </w:r>
      <w:proofErr w:type="spellEnd"/>
      <w:r w:rsidRPr="00F072BF">
        <w:t>) perpetration, (ii) victimisation, and (iii) bystander opportunity. In addition, after each question</w:t>
      </w:r>
      <w:r w:rsidR="004173F8" w:rsidRPr="00F072BF">
        <w:t>,</w:t>
      </w:r>
      <w:r w:rsidRPr="00F072BF">
        <w:t xml:space="preserve"> we asked about perceived seriousness (How serious </w:t>
      </w:r>
      <w:r w:rsidR="004173F8" w:rsidRPr="00F072BF">
        <w:t xml:space="preserve">a </w:t>
      </w:r>
      <w:r w:rsidRPr="00F072BF">
        <w:t>problem do you think this is in University campuses? 1</w:t>
      </w:r>
      <w:r w:rsidR="004173F8" w:rsidRPr="00F072BF">
        <w:t xml:space="preserve"> </w:t>
      </w:r>
      <w:r w:rsidRPr="00F072BF">
        <w:t>= Not serious at all, 7 = Extremely serious) and likelihood of intervening as a bystander (How likely is it that you would intervene if you observed this happening to another person? 1 = Not likely at all, 7 = Extremely likely). These items we</w:t>
      </w:r>
      <w:r w:rsidR="00B203A9" w:rsidRPr="00F072BF">
        <w:t>re summed together across the 28</w:t>
      </w:r>
      <w:r w:rsidRPr="00F072BF">
        <w:t xml:space="preserve"> questions to form an index of perceived seriousness and bystander likelihood. </w:t>
      </w:r>
    </w:p>
    <w:p w14:paraId="00000032" w14:textId="5133B5B5" w:rsidR="00BF1871" w:rsidRPr="00F072BF" w:rsidRDefault="000840ED" w:rsidP="003A7D48">
      <w:pPr>
        <w:spacing w:line="480" w:lineRule="auto"/>
        <w:ind w:firstLine="720"/>
        <w:contextualSpacing/>
      </w:pPr>
      <w:r w:rsidRPr="00F072BF">
        <w:lastRenderedPageBreak/>
        <w:t>To</w:t>
      </w:r>
      <w:r w:rsidR="003B18AD" w:rsidRPr="00F072BF">
        <w:t xml:space="preserve"> investigate</w:t>
      </w:r>
      <w:r w:rsidRPr="00F072BF">
        <w:t xml:space="preserve"> the extent that participants endorsed</w:t>
      </w:r>
      <w:r w:rsidR="003B18AD" w:rsidRPr="00F072BF">
        <w:t xml:space="preserve"> rape myths, we used the 20-item version of the Illinois Rape Myth Acceptance </w:t>
      </w:r>
      <w:r w:rsidR="008241B3" w:rsidRPr="00F072BF">
        <w:t xml:space="preserve">Scale </w:t>
      </w:r>
      <w:r w:rsidR="003B18AD" w:rsidRPr="00F072BF">
        <w:t>(IRMA; Payne et al., 1999). The questionnaire consist</w:t>
      </w:r>
      <w:r w:rsidRPr="00F072BF">
        <w:t>ed</w:t>
      </w:r>
      <w:r w:rsidR="003B18AD" w:rsidRPr="00F072BF">
        <w:t xml:space="preserve"> of 20 </w:t>
      </w:r>
      <w:r w:rsidR="00B816E1" w:rsidRPr="00F072BF">
        <w:t xml:space="preserve">items </w:t>
      </w:r>
      <w:r w:rsidR="003B18AD" w:rsidRPr="00F072BF">
        <w:t xml:space="preserve">(example item; </w:t>
      </w:r>
      <w:r w:rsidR="008241B3" w:rsidRPr="00F072BF">
        <w:t>“A</w:t>
      </w:r>
      <w:r w:rsidR="003B18AD" w:rsidRPr="00F072BF">
        <w:t xml:space="preserve"> woman who dresses in skimpy clothes should not be surprised if a man tries to force her to have sex</w:t>
      </w:r>
      <w:r w:rsidR="008241B3" w:rsidRPr="00F072BF">
        <w:t>”</w:t>
      </w:r>
      <w:r w:rsidR="003B18AD" w:rsidRPr="00F072BF">
        <w:t>; 1 = Not at all agree, 7 = Very much agree). IRMA is a widely used, validated psychometric measure</w:t>
      </w:r>
      <w:r w:rsidRPr="00F072BF">
        <w:t xml:space="preserve"> to gauge participants’ attitudes around rape. In the present study, we used the Spanish translation of IRMA (</w:t>
      </w:r>
      <w:proofErr w:type="spellStart"/>
      <w:r w:rsidRPr="00F072BF">
        <w:t>Exp</w:t>
      </w:r>
      <w:r w:rsidR="00F440E1">
        <w:t>ó</w:t>
      </w:r>
      <w:r w:rsidRPr="00F072BF">
        <w:t>sito</w:t>
      </w:r>
      <w:proofErr w:type="spellEnd"/>
      <w:r w:rsidRPr="00F072BF">
        <w:t xml:space="preserve"> et al., 2014), and this showed</w:t>
      </w:r>
      <w:r w:rsidR="003B18AD" w:rsidRPr="00F072BF">
        <w:t xml:space="preserve"> good internal consistency </w:t>
      </w:r>
      <w:r w:rsidR="00B203A9" w:rsidRPr="00F072BF">
        <w:rPr>
          <w:rFonts w:eastAsia="Symbol"/>
        </w:rPr>
        <w:t xml:space="preserve">(Cronbach’s </w:t>
      </w:r>
      <w:r w:rsidR="003B455F" w:rsidRPr="00F072BF">
        <w:t>α</w:t>
      </w:r>
      <w:r w:rsidR="003B18AD" w:rsidRPr="00F072BF">
        <w:t xml:space="preserve"> = .89). </w:t>
      </w:r>
    </w:p>
    <w:p w14:paraId="0BF34671" w14:textId="600D1412" w:rsidR="004D64F8" w:rsidRPr="00F072BF" w:rsidRDefault="003B18AD" w:rsidP="003A7D48">
      <w:pPr>
        <w:spacing w:line="480" w:lineRule="auto"/>
        <w:ind w:firstLine="720"/>
        <w:contextualSpacing/>
      </w:pPr>
      <w:r w:rsidRPr="00F072BF">
        <w:t>For bystander difficulty, we used 12 items from a 51-item measure (</w:t>
      </w:r>
      <w:proofErr w:type="spellStart"/>
      <w:r w:rsidRPr="00F072BF">
        <w:t>Banyard</w:t>
      </w:r>
      <w:proofErr w:type="spellEnd"/>
      <w:r w:rsidR="00331945">
        <w:t xml:space="preserve"> et al.</w:t>
      </w:r>
      <w:r w:rsidRPr="00F072BF">
        <w:t xml:space="preserve">, 2005) asking about difficulty </w:t>
      </w:r>
      <w:r w:rsidR="000840ED" w:rsidRPr="00F072BF">
        <w:t xml:space="preserve">in </w:t>
      </w:r>
      <w:r w:rsidRPr="00F072BF">
        <w:t xml:space="preserve">acting as a bystander (1 </w:t>
      </w:r>
      <w:r w:rsidR="003B455F" w:rsidRPr="00F072BF">
        <w:t>=</w:t>
      </w:r>
      <w:r w:rsidRPr="00F072BF">
        <w:t xml:space="preserve"> very difficult, 7 </w:t>
      </w:r>
      <w:r w:rsidR="003B455F" w:rsidRPr="00F072BF">
        <w:t>=</w:t>
      </w:r>
      <w:r w:rsidRPr="00F072BF">
        <w:t xml:space="preserve"> not difficult at all) in scenarios such as “</w:t>
      </w:r>
      <w:r w:rsidR="003B455F" w:rsidRPr="00F072BF">
        <w:t>C</w:t>
      </w:r>
      <w:r w:rsidRPr="00F072BF">
        <w:t>onfront your friend who says he plans to get a girl drunk to have sex”, or “</w:t>
      </w:r>
      <w:r w:rsidR="003B455F" w:rsidRPr="00F072BF">
        <w:t>C</w:t>
      </w:r>
      <w:r w:rsidRPr="00F072BF">
        <w:t xml:space="preserve">ooperate with the police or campus security in an investigation of sexual assault that your friend committed.” The items were summed together to form an index of bystander difficulty, with higher scores indicating less difficulties in being a bystander. The scale had excellent internal consistency </w:t>
      </w:r>
      <w:r w:rsidR="00F072BF">
        <w:rPr>
          <w:rFonts w:eastAsia="Symbol"/>
        </w:rPr>
        <w:t>(</w:t>
      </w:r>
      <w:r w:rsidR="00B203A9" w:rsidRPr="00F072BF">
        <w:rPr>
          <w:rFonts w:eastAsia="Symbol"/>
        </w:rPr>
        <w:t xml:space="preserve">Cronbach’s </w:t>
      </w:r>
      <w:r w:rsidR="003B455F" w:rsidRPr="00F072BF">
        <w:t>α</w:t>
      </w:r>
      <w:r w:rsidRPr="00F072BF">
        <w:t xml:space="preserve"> = .96).</w:t>
      </w:r>
    </w:p>
    <w:p w14:paraId="33D26EC3" w14:textId="56056752" w:rsidR="0003684F" w:rsidRDefault="0003684F" w:rsidP="003A7D48">
      <w:pPr>
        <w:spacing w:line="480" w:lineRule="auto"/>
        <w:jc w:val="both"/>
        <w:rPr>
          <w:i/>
        </w:rPr>
      </w:pPr>
      <w:r>
        <w:rPr>
          <w:i/>
        </w:rPr>
        <w:t>Ethics approval</w:t>
      </w:r>
    </w:p>
    <w:p w14:paraId="4970639E" w14:textId="14D3B62E" w:rsidR="004D64F8" w:rsidRPr="0003684F" w:rsidRDefault="0003684F" w:rsidP="003A7D48">
      <w:pPr>
        <w:spacing w:line="480" w:lineRule="auto"/>
        <w:ind w:firstLine="720"/>
        <w:contextualSpacing/>
      </w:pPr>
      <w:r>
        <w:t>The ethical approval for the study was granted by the University of Liverpool Central Ethics Research Committee (</w:t>
      </w:r>
      <w:r w:rsidR="00482621">
        <w:t>REF:</w:t>
      </w:r>
      <w:r>
        <w:t xml:space="preserve"> 5886). </w:t>
      </w:r>
    </w:p>
    <w:p w14:paraId="354180F4" w14:textId="44435FB2" w:rsidR="004D64F8" w:rsidRPr="003A7D48" w:rsidRDefault="003B18AD" w:rsidP="004D64F8">
      <w:pPr>
        <w:spacing w:before="240" w:after="240" w:line="480" w:lineRule="auto"/>
        <w:jc w:val="both"/>
        <w:rPr>
          <w:i/>
        </w:rPr>
      </w:pPr>
      <w:r w:rsidRPr="003A7D48">
        <w:rPr>
          <w:i/>
        </w:rPr>
        <w:t>Data Analysis Plan</w:t>
      </w:r>
    </w:p>
    <w:p w14:paraId="00000035" w14:textId="401B622C" w:rsidR="00BF1871" w:rsidRDefault="003B18AD" w:rsidP="003A7D48">
      <w:pPr>
        <w:spacing w:before="240" w:after="240" w:line="480" w:lineRule="auto"/>
        <w:contextualSpacing/>
      </w:pPr>
      <w:r>
        <w:t xml:space="preserve">        </w:t>
      </w:r>
      <w:r>
        <w:tab/>
        <w:t xml:space="preserve">First, we examined the distribution of </w:t>
      </w:r>
      <w:r w:rsidR="003B455F">
        <w:t xml:space="preserve">responses </w:t>
      </w:r>
      <w:r>
        <w:t>and performed data checks to ensure the data were normally distributed with no outliers. Next, we performed zero-order correlations among the main measures</w:t>
      </w:r>
      <w:r w:rsidR="00BA76DD">
        <w:t xml:space="preserve">. </w:t>
      </w:r>
      <w:r>
        <w:t xml:space="preserve">Spearman’s rank correlations </w:t>
      </w:r>
      <w:r w:rsidR="00BA76DD">
        <w:t xml:space="preserve">were conducted </w:t>
      </w:r>
      <w:r>
        <w:t>for categorical measures to determine if measures of gender, location (highlands versus coast), or status (student or staff)</w:t>
      </w:r>
      <w:r w:rsidR="003B455F">
        <w:t>,</w:t>
      </w:r>
      <w:r>
        <w:t xml:space="preserve"> were related to </w:t>
      </w:r>
      <w:r w:rsidR="001405F4">
        <w:t xml:space="preserve">the </w:t>
      </w:r>
      <w:r>
        <w:t xml:space="preserve">main </w:t>
      </w:r>
      <w:r w:rsidR="00BA76DD">
        <w:t xml:space="preserve">continuous </w:t>
      </w:r>
      <w:r>
        <w:t>measures.</w:t>
      </w:r>
      <w:r w:rsidR="00FB5B12">
        <w:t xml:space="preserve"> Only gender had consistent, significant relationships with the continuous variables. Location was unrelated to </w:t>
      </w:r>
      <w:r w:rsidR="00FB5B12">
        <w:lastRenderedPageBreak/>
        <w:t xml:space="preserve">the other variables. Status was correlated only with perpetration of harassment, to the effect that students were more likely to report perpetration than staff were (Spearman’s </w:t>
      </w:r>
      <w:r w:rsidR="00FB5B12" w:rsidRPr="003A7D48">
        <w:rPr>
          <w:i/>
        </w:rPr>
        <w:t>R</w:t>
      </w:r>
      <w:r w:rsidR="00FB5B12">
        <w:t xml:space="preserve"> = .20, </w:t>
      </w:r>
      <w:r w:rsidR="00FB5B12" w:rsidRPr="003A7D48">
        <w:rPr>
          <w:i/>
        </w:rPr>
        <w:t>p</w:t>
      </w:r>
      <w:r w:rsidR="00FB5B12">
        <w:t xml:space="preserve"> = .02). </w:t>
      </w:r>
      <w:r w:rsidR="00482621">
        <w:t>Out of the categorical variables, w</w:t>
      </w:r>
      <w:r w:rsidR="00FB5B12">
        <w:t>e decided to include only gender in further analyses.</w:t>
      </w:r>
    </w:p>
    <w:p w14:paraId="64850EAA" w14:textId="4AF11B16" w:rsidR="00F072BF" w:rsidRPr="003A7D48" w:rsidRDefault="003B18AD" w:rsidP="003A7D48">
      <w:pPr>
        <w:spacing w:line="480" w:lineRule="auto"/>
        <w:contextualSpacing/>
        <w:rPr>
          <w:rFonts w:eastAsia="Calibri"/>
        </w:rPr>
      </w:pPr>
      <w:r>
        <w:t xml:space="preserve">        </w:t>
      </w:r>
      <w:r>
        <w:tab/>
      </w:r>
      <w:r w:rsidR="003B455F">
        <w:t>We then</w:t>
      </w:r>
      <w:r>
        <w:t xml:space="preserve"> </w:t>
      </w:r>
      <w:r w:rsidR="003B455F">
        <w:t xml:space="preserve">analysed </w:t>
      </w:r>
      <w:r>
        <w:t xml:space="preserve">if </w:t>
      </w:r>
      <w:r w:rsidR="001405F4">
        <w:t xml:space="preserve">variance in </w:t>
      </w:r>
      <w:r>
        <w:t xml:space="preserve">bystander difficulty was </w:t>
      </w:r>
      <w:r w:rsidR="001405F4">
        <w:t xml:space="preserve">statistically </w:t>
      </w:r>
      <w:r>
        <w:t>explained by several predictor variables (i.e., having previous experience of sexual coercion as a perpetrator or a victim, bystander opportunity, rape myth acceptance, perceived seriousness of sexual harassment)</w:t>
      </w:r>
      <w:r w:rsidR="003B455F">
        <w:t xml:space="preserve"> via multiple regression</w:t>
      </w:r>
      <w:r>
        <w:t>. For bystander likelihood, we performed another regression in the same way, but includ</w:t>
      </w:r>
      <w:r w:rsidR="003B455F">
        <w:t>ed</w:t>
      </w:r>
      <w:r>
        <w:t xml:space="preserve"> bystander difficulty as an additional predictor since the perceived </w:t>
      </w:r>
      <w:r w:rsidRPr="0077227B">
        <w:t>ease of intervening might relate to one’s likelihood to intervene. We performed a series of data checks and transformations (see Appendix 2).</w:t>
      </w:r>
      <w:r w:rsidR="00FB5B12" w:rsidRPr="0077227B">
        <w:t xml:space="preserve"> </w:t>
      </w:r>
      <w:r w:rsidR="0077227B" w:rsidRPr="0077227B">
        <w:t>T</w:t>
      </w:r>
      <w:r w:rsidR="0077227B" w:rsidRPr="004C01C6">
        <w:t>he transformations resulted in a reflection of the likelihood and difficulty variables, so that higher values were indicative of less likelihood and more difficulty.</w:t>
      </w:r>
    </w:p>
    <w:p w14:paraId="00000037" w14:textId="77777777" w:rsidR="00BF1871" w:rsidRDefault="003B18AD" w:rsidP="004D64F8">
      <w:pPr>
        <w:rPr>
          <w:b/>
          <w:color w:val="222222"/>
          <w:highlight w:val="white"/>
        </w:rPr>
      </w:pPr>
      <w:r>
        <w:rPr>
          <w:b/>
          <w:color w:val="222222"/>
          <w:highlight w:val="white"/>
        </w:rPr>
        <w:t xml:space="preserve">Results </w:t>
      </w:r>
    </w:p>
    <w:p w14:paraId="00000038" w14:textId="77777777" w:rsidR="00BF1871" w:rsidRDefault="003B18AD">
      <w:pPr>
        <w:spacing w:line="480" w:lineRule="auto"/>
        <w:ind w:firstLine="720"/>
        <w:rPr>
          <w:color w:val="222222"/>
          <w:highlight w:val="white"/>
        </w:rPr>
      </w:pPr>
      <w:r>
        <w:rPr>
          <w:color w:val="222222"/>
          <w:highlight w:val="white"/>
        </w:rPr>
        <w:t>In Table 1, we present the descriptive statistics for the study variables.  Table 2 shows the zero-order correlations.</w:t>
      </w:r>
    </w:p>
    <w:p w14:paraId="1D1299FA" w14:textId="6DA9C211" w:rsidR="008A6E5D" w:rsidRDefault="008A6E5D">
      <w:pPr>
        <w:spacing w:line="480" w:lineRule="auto"/>
        <w:ind w:firstLine="720"/>
        <w:rPr>
          <w:rFonts w:ascii="Arial" w:eastAsia="Arial" w:hAnsi="Arial" w:cs="Arial"/>
          <w:color w:val="222222"/>
          <w:sz w:val="20"/>
          <w:szCs w:val="20"/>
          <w:highlight w:val="white"/>
        </w:rPr>
      </w:pPr>
      <w:r>
        <w:rPr>
          <w:color w:val="222222"/>
          <w:highlight w:val="white"/>
        </w:rPr>
        <w:t>Table 1 here</w:t>
      </w:r>
    </w:p>
    <w:p w14:paraId="2486F380" w14:textId="63475A1F" w:rsidR="008A6E5D" w:rsidRDefault="003B18AD" w:rsidP="003A7D48">
      <w:pPr>
        <w:spacing w:before="240" w:after="240" w:line="480" w:lineRule="auto"/>
      </w:pPr>
      <w:r>
        <w:t xml:space="preserve">        Bystander difficulty was significantly correlated with rape myth acceptance, such that those with higher rape myth acceptance were l</w:t>
      </w:r>
      <w:r w:rsidR="00EF6874">
        <w:t>ess likely to</w:t>
      </w:r>
      <w:r>
        <w:t xml:space="preserve"> percei</w:t>
      </w:r>
      <w:r w:rsidR="00EF6874">
        <w:t>ve</w:t>
      </w:r>
      <w:r>
        <w:t xml:space="preserve"> bystander intervention as easy. In addition, rape myth acceptance ha</w:t>
      </w:r>
      <w:r w:rsidR="002516D6">
        <w:t>d</w:t>
      </w:r>
      <w:r>
        <w:t xml:space="preserve"> a significant </w:t>
      </w:r>
      <w:r w:rsidR="001405F4">
        <w:t xml:space="preserve">and </w:t>
      </w:r>
      <w:r>
        <w:t xml:space="preserve">negative correlation with bystander likelihood, indicating that those higher in rape myth acceptance were less likely to </w:t>
      </w:r>
      <w:r w:rsidR="00EF6874">
        <w:t xml:space="preserve">report </w:t>
      </w:r>
      <w:r>
        <w:t>that they would intervene. There was a moderately strong</w:t>
      </w:r>
      <w:r w:rsidR="002516D6">
        <w:t xml:space="preserve"> and positive</w:t>
      </w:r>
      <w:r>
        <w:t xml:space="preserve"> correlation between perceived seriousness and bystander likelihood, suggesting perceived seriousness of sexual harassment relates to a greater likelihood of intervening as a bystander. Finally, we found a positive correlation between bystander difficulty and bystander likelihood, indicating </w:t>
      </w:r>
      <w:r>
        <w:lastRenderedPageBreak/>
        <w:t xml:space="preserve">that the ease of intervening relates to a higher </w:t>
      </w:r>
      <w:r w:rsidR="002516D6">
        <w:t xml:space="preserve">reporting </w:t>
      </w:r>
      <w:r>
        <w:t>of doing so. Bystander opportunity was unrelated to the</w:t>
      </w:r>
      <w:r w:rsidR="002516D6">
        <w:t>se</w:t>
      </w:r>
      <w:r>
        <w:t xml:space="preserve"> measures. </w:t>
      </w:r>
    </w:p>
    <w:p w14:paraId="4D9FCF75" w14:textId="06E69A4B" w:rsidR="008A6E5D" w:rsidRDefault="008A6E5D">
      <w:pPr>
        <w:spacing w:before="240" w:after="240" w:line="480" w:lineRule="auto"/>
        <w:jc w:val="both"/>
      </w:pPr>
      <w:r>
        <w:t>Table 2 here</w:t>
      </w:r>
    </w:p>
    <w:p w14:paraId="00000039" w14:textId="1018BEF2" w:rsidR="00BF1871" w:rsidRDefault="003B18AD" w:rsidP="003A7D48">
      <w:pPr>
        <w:spacing w:before="240" w:after="240" w:line="480" w:lineRule="auto"/>
        <w:ind w:firstLine="720"/>
      </w:pPr>
      <w:r>
        <w:t>As for perpetration of sexual coercion, Table 3 shows that people who perpetrated sexual coercion held accepting views toward rape myths</w:t>
      </w:r>
      <w:r w:rsidR="002516D6">
        <w:t xml:space="preserve">. People who </w:t>
      </w:r>
      <w:r w:rsidR="001405F4">
        <w:t xml:space="preserve">reported greater </w:t>
      </w:r>
      <w:r w:rsidR="002516D6">
        <w:t>perpetrat</w:t>
      </w:r>
      <w:r w:rsidR="001405F4">
        <w:t>ion</w:t>
      </w:r>
      <w:r w:rsidR="002516D6">
        <w:t xml:space="preserve"> </w:t>
      </w:r>
      <w:r>
        <w:t>also reported more opportunities to intervene as a bystander</w:t>
      </w:r>
      <w:r w:rsidR="007E3712">
        <w:t xml:space="preserve"> (i.e., were more likely to witness inappropriate behaviour)</w:t>
      </w:r>
      <w:r>
        <w:t>. People who experienced sexual coercion as a victim also reported more opportunities to intervene as a bystander</w:t>
      </w:r>
      <w:r w:rsidR="002516D6">
        <w:t>; again, they were more likely to witness inappropriate behaviour</w:t>
      </w:r>
      <w:r>
        <w:t>. Correlations with gender showed that women were less likely to hold accepting views of rape myths and were less likely to feel at ease in intervening as a bystander. Thus, gender was controlled in subsequent analyses.</w:t>
      </w:r>
      <w:r w:rsidR="002516D6">
        <w:t xml:space="preserve"> Age was unrelated to all measures, so it was not considered further in the regressions.</w:t>
      </w:r>
    </w:p>
    <w:p w14:paraId="57B9DA1B" w14:textId="0FF113C1" w:rsidR="008A6E5D" w:rsidRDefault="008A6E5D">
      <w:pPr>
        <w:spacing w:before="240" w:after="240" w:line="480" w:lineRule="auto"/>
        <w:jc w:val="both"/>
      </w:pPr>
      <w:r>
        <w:t>Table 3 here</w:t>
      </w:r>
    </w:p>
    <w:p w14:paraId="0000003A" w14:textId="2061F467" w:rsidR="00BF1871" w:rsidRDefault="003B18AD" w:rsidP="003A7D48">
      <w:pPr>
        <w:spacing w:before="240" w:after="240" w:line="480" w:lineRule="auto"/>
      </w:pPr>
      <w:r>
        <w:t xml:space="preserve">        </w:t>
      </w:r>
      <w:r>
        <w:tab/>
      </w:r>
      <w:r w:rsidR="002516D6">
        <w:t>To</w:t>
      </w:r>
      <w:r>
        <w:t xml:space="preserve"> investigate how the predictor variables related to bystander difficulty, we </w:t>
      </w:r>
      <w:r w:rsidR="00BE028B">
        <w:t xml:space="preserve">conducted </w:t>
      </w:r>
      <w:r>
        <w:t>a simultaneous multiple regression with gender, rape myth acceptance, seriousness of sexual harassment, perpetration, victimisation, and bystander opportunity as the predictor variables. Together, the</w:t>
      </w:r>
      <w:r w:rsidR="00BE028B">
        <w:t xml:space="preserve">se </w:t>
      </w:r>
      <w:r>
        <w:t xml:space="preserve">variables </w:t>
      </w:r>
      <w:r w:rsidR="002516D6">
        <w:t xml:space="preserve">explained </w:t>
      </w:r>
      <w:r>
        <w:t xml:space="preserve">15% of the variance, which was significant, </w:t>
      </w:r>
      <w:r>
        <w:rPr>
          <w:i/>
        </w:rPr>
        <w:t>R</w:t>
      </w:r>
      <w:r>
        <w:t xml:space="preserve"> = .3</w:t>
      </w:r>
      <w:r w:rsidR="00365C9F">
        <w:t>9</w:t>
      </w:r>
      <w:r>
        <w:t xml:space="preserve">, </w:t>
      </w:r>
      <w:r>
        <w:rPr>
          <w:i/>
        </w:rPr>
        <w:t>F</w:t>
      </w:r>
      <w:r>
        <w:t xml:space="preserve"> (6, 107) = 3.16, </w:t>
      </w:r>
      <w:r>
        <w:rPr>
          <w:i/>
        </w:rPr>
        <w:t>p</w:t>
      </w:r>
      <w:r>
        <w:t xml:space="preserve"> = .007. The unstandardized and standardized coefficients along with the standard errors are shown in Table 4. Gender and rape myth acceptance were significant predictors, such that men and those low in rape myth acceptance </w:t>
      </w:r>
      <w:r w:rsidR="00BE028B">
        <w:t xml:space="preserve">reported </w:t>
      </w:r>
      <w:r>
        <w:t xml:space="preserve">less bystander difficulties.  </w:t>
      </w:r>
    </w:p>
    <w:p w14:paraId="5904ABD8" w14:textId="234162B3" w:rsidR="008A6E5D" w:rsidRDefault="008A6E5D">
      <w:pPr>
        <w:spacing w:before="240" w:after="240" w:line="480" w:lineRule="auto"/>
        <w:jc w:val="both"/>
      </w:pPr>
      <w:r>
        <w:t>Table 4 here</w:t>
      </w:r>
    </w:p>
    <w:p w14:paraId="0000003B" w14:textId="68E9C684" w:rsidR="00BF1871" w:rsidRDefault="003B18AD" w:rsidP="003A7D48">
      <w:pPr>
        <w:spacing w:before="240" w:after="240" w:line="480" w:lineRule="auto"/>
      </w:pPr>
      <w:r>
        <w:lastRenderedPageBreak/>
        <w:t xml:space="preserve">        </w:t>
      </w:r>
      <w:r>
        <w:tab/>
        <w:t xml:space="preserve">To </w:t>
      </w:r>
      <w:r w:rsidR="00BE028B">
        <w:t xml:space="preserve">identify </w:t>
      </w:r>
      <w:r>
        <w:t>the predictors that were most important for explaining bystander likelihood</w:t>
      </w:r>
      <w:r w:rsidR="002516D6">
        <w:t xml:space="preserve"> (i.e., likelihood of intervening)</w:t>
      </w:r>
      <w:r>
        <w:t xml:space="preserve">, we conducted another regression with the same predictor variables as above, with the addition of bystander difficulty. Together, the predictors explained 31% of the variance. The full model was significant, </w:t>
      </w:r>
      <w:r>
        <w:rPr>
          <w:i/>
        </w:rPr>
        <w:t>R</w:t>
      </w:r>
      <w:r>
        <w:t xml:space="preserve"> = .55, </w:t>
      </w:r>
      <w:r>
        <w:rPr>
          <w:i/>
        </w:rPr>
        <w:t>F</w:t>
      </w:r>
      <w:r>
        <w:t xml:space="preserve"> (7, 106) = 6.70, </w:t>
      </w:r>
      <w:r>
        <w:rPr>
          <w:i/>
        </w:rPr>
        <w:t>p</w:t>
      </w:r>
      <w:r>
        <w:t xml:space="preserve"> &lt; .001. Women and those who reported higher previous perpetration were less likely to intervene. Those who perceived sexual harassment as a serious problem report</w:t>
      </w:r>
      <w:r w:rsidR="002516D6">
        <w:t>ed greater</w:t>
      </w:r>
      <w:r>
        <w:t xml:space="preserve"> likelihood </w:t>
      </w:r>
      <w:r w:rsidR="002516D6">
        <w:t xml:space="preserve">of </w:t>
      </w:r>
      <w:r>
        <w:t>interven</w:t>
      </w:r>
      <w:r w:rsidR="002516D6">
        <w:t>ing</w:t>
      </w:r>
      <w:r>
        <w:t xml:space="preserve"> as a bystander. This unique effect was significant over and above rape myth acceptance, bystander difficulty, and having </w:t>
      </w:r>
      <w:r w:rsidR="002516D6">
        <w:t xml:space="preserve">prior </w:t>
      </w:r>
      <w:r>
        <w:t xml:space="preserve">opportunities to be an active bystander. </w:t>
      </w:r>
    </w:p>
    <w:p w14:paraId="0000003C" w14:textId="77777777" w:rsidR="00BF1871" w:rsidRDefault="003B18AD">
      <w:pPr>
        <w:spacing w:before="240" w:after="240" w:line="480" w:lineRule="auto"/>
        <w:jc w:val="both"/>
        <w:rPr>
          <w:b/>
        </w:rPr>
      </w:pPr>
      <w:r>
        <w:rPr>
          <w:b/>
        </w:rPr>
        <w:t xml:space="preserve"> Discussion</w:t>
      </w:r>
    </w:p>
    <w:p w14:paraId="0000003D" w14:textId="700102E0" w:rsidR="00BF1871" w:rsidRPr="00C40793" w:rsidRDefault="003B18AD" w:rsidP="003A7D48">
      <w:pPr>
        <w:spacing w:before="240" w:line="480" w:lineRule="auto"/>
        <w:ind w:firstLine="720"/>
        <w:contextualSpacing/>
        <w:rPr>
          <w:color w:val="000000" w:themeColor="text1"/>
        </w:rPr>
      </w:pPr>
      <w:r w:rsidRPr="00C40793">
        <w:rPr>
          <w:color w:val="000000" w:themeColor="text1"/>
        </w:rPr>
        <w:t>To our knowledge, this is</w:t>
      </w:r>
      <w:r w:rsidR="00072CE2" w:rsidRPr="00C40793">
        <w:rPr>
          <w:color w:val="000000" w:themeColor="text1"/>
        </w:rPr>
        <w:t xml:space="preserve"> one of</w:t>
      </w:r>
      <w:r w:rsidRPr="00C40793">
        <w:rPr>
          <w:color w:val="000000" w:themeColor="text1"/>
        </w:rPr>
        <w:t xml:space="preserve"> the first stud</w:t>
      </w:r>
      <w:r w:rsidR="00072CE2" w:rsidRPr="00C40793">
        <w:rPr>
          <w:color w:val="000000" w:themeColor="text1"/>
        </w:rPr>
        <w:t>ies</w:t>
      </w:r>
      <w:r w:rsidRPr="00C40793">
        <w:rPr>
          <w:color w:val="000000" w:themeColor="text1"/>
        </w:rPr>
        <w:t xml:space="preserve"> </w:t>
      </w:r>
      <w:r w:rsidR="002516D6" w:rsidRPr="00C40793">
        <w:rPr>
          <w:color w:val="000000" w:themeColor="text1"/>
        </w:rPr>
        <w:t xml:space="preserve">to </w:t>
      </w:r>
      <w:r w:rsidRPr="00C40793">
        <w:rPr>
          <w:color w:val="000000" w:themeColor="text1"/>
        </w:rPr>
        <w:t>examine</w:t>
      </w:r>
      <w:r w:rsidR="002516D6" w:rsidRPr="00C40793">
        <w:rPr>
          <w:color w:val="000000" w:themeColor="text1"/>
        </w:rPr>
        <w:t xml:space="preserve"> </w:t>
      </w:r>
      <w:r w:rsidRPr="00C40793">
        <w:rPr>
          <w:color w:val="000000" w:themeColor="text1"/>
        </w:rPr>
        <w:t xml:space="preserve">bystander behaviour in </w:t>
      </w:r>
      <w:r w:rsidR="00064940" w:rsidRPr="00C40793">
        <w:rPr>
          <w:color w:val="000000" w:themeColor="text1"/>
        </w:rPr>
        <w:t xml:space="preserve">relation </w:t>
      </w:r>
      <w:r w:rsidR="00925886" w:rsidRPr="00C40793">
        <w:rPr>
          <w:color w:val="000000" w:themeColor="text1"/>
        </w:rPr>
        <w:t xml:space="preserve">to </w:t>
      </w:r>
      <w:r w:rsidRPr="00C40793">
        <w:rPr>
          <w:color w:val="000000" w:themeColor="text1"/>
        </w:rPr>
        <w:t xml:space="preserve">sexual harassment in the Latin American context. We found that amongst university staff and students in Ecuador, rape myth acceptance </w:t>
      </w:r>
      <w:r w:rsidR="002516D6" w:rsidRPr="00C40793">
        <w:rPr>
          <w:color w:val="000000" w:themeColor="text1"/>
        </w:rPr>
        <w:t>was associated with</w:t>
      </w:r>
      <w:r w:rsidRPr="00C40793">
        <w:rPr>
          <w:color w:val="000000" w:themeColor="text1"/>
        </w:rPr>
        <w:t xml:space="preserve"> perce</w:t>
      </w:r>
      <w:r w:rsidR="002516D6" w:rsidRPr="00C40793">
        <w:rPr>
          <w:color w:val="000000" w:themeColor="text1"/>
        </w:rPr>
        <w:t>ptions that</w:t>
      </w:r>
      <w:r w:rsidR="0030624D" w:rsidRPr="00C40793">
        <w:rPr>
          <w:color w:val="000000" w:themeColor="text1"/>
        </w:rPr>
        <w:t xml:space="preserve"> </w:t>
      </w:r>
      <w:r w:rsidRPr="00C40793">
        <w:rPr>
          <w:color w:val="000000" w:themeColor="text1"/>
        </w:rPr>
        <w:t xml:space="preserve">bystander actions </w:t>
      </w:r>
      <w:r w:rsidR="002516D6" w:rsidRPr="00C40793">
        <w:rPr>
          <w:color w:val="000000" w:themeColor="text1"/>
        </w:rPr>
        <w:t xml:space="preserve">are </w:t>
      </w:r>
      <w:r w:rsidRPr="00C40793">
        <w:rPr>
          <w:color w:val="000000" w:themeColor="text1"/>
        </w:rPr>
        <w:t xml:space="preserve">difficult to perform. </w:t>
      </w:r>
      <w:r w:rsidR="00422616" w:rsidRPr="00C40793">
        <w:rPr>
          <w:color w:val="000000" w:themeColor="text1"/>
        </w:rPr>
        <w:t>Further</w:t>
      </w:r>
      <w:r w:rsidRPr="00C40793">
        <w:rPr>
          <w:color w:val="000000" w:themeColor="text1"/>
        </w:rPr>
        <w:t xml:space="preserve">, </w:t>
      </w:r>
      <w:r w:rsidR="00D91447" w:rsidRPr="00C40793">
        <w:rPr>
          <w:color w:val="000000" w:themeColor="text1"/>
        </w:rPr>
        <w:t xml:space="preserve">perceiving </w:t>
      </w:r>
      <w:r w:rsidR="00422616" w:rsidRPr="00C40793">
        <w:rPr>
          <w:color w:val="000000" w:themeColor="text1"/>
        </w:rPr>
        <w:t xml:space="preserve">sexual </w:t>
      </w:r>
      <w:r w:rsidR="00D91447" w:rsidRPr="00C40793">
        <w:rPr>
          <w:color w:val="000000" w:themeColor="text1"/>
        </w:rPr>
        <w:t xml:space="preserve">harassment as </w:t>
      </w:r>
      <w:r w:rsidR="002C5566" w:rsidRPr="00C40793">
        <w:rPr>
          <w:color w:val="000000" w:themeColor="text1"/>
        </w:rPr>
        <w:t xml:space="preserve">a </w:t>
      </w:r>
      <w:r w:rsidR="00D91447" w:rsidRPr="00C40793">
        <w:rPr>
          <w:color w:val="000000" w:themeColor="text1"/>
        </w:rPr>
        <w:t xml:space="preserve">serious problem </w:t>
      </w:r>
      <w:r w:rsidR="00365C9F" w:rsidRPr="00C40793">
        <w:rPr>
          <w:color w:val="000000" w:themeColor="text1"/>
        </w:rPr>
        <w:t xml:space="preserve">related to </w:t>
      </w:r>
      <w:r w:rsidR="00422616" w:rsidRPr="00C40793">
        <w:rPr>
          <w:color w:val="000000" w:themeColor="text1"/>
        </w:rPr>
        <w:t xml:space="preserve">greater </w:t>
      </w:r>
      <w:r w:rsidR="00D91447" w:rsidRPr="00C40793">
        <w:rPr>
          <w:color w:val="000000" w:themeColor="text1"/>
        </w:rPr>
        <w:t>self-reported likelihood of intervening in various harassment scenarios.</w:t>
      </w:r>
      <w:r w:rsidR="00422616" w:rsidRPr="00C40793">
        <w:rPr>
          <w:color w:val="000000" w:themeColor="text1"/>
        </w:rPr>
        <w:t xml:space="preserve"> Yet, those who reported greater perpetration sexual harassment themselves</w:t>
      </w:r>
      <w:r w:rsidR="00D91447" w:rsidRPr="00C40793">
        <w:rPr>
          <w:color w:val="000000" w:themeColor="text1"/>
        </w:rPr>
        <w:t xml:space="preserve"> </w:t>
      </w:r>
      <w:r w:rsidR="00422616" w:rsidRPr="00C40793">
        <w:rPr>
          <w:color w:val="000000" w:themeColor="text1"/>
        </w:rPr>
        <w:t xml:space="preserve">reported less likelihood of intervening. </w:t>
      </w:r>
      <w:r w:rsidR="00D91447" w:rsidRPr="00C40793">
        <w:rPr>
          <w:color w:val="000000" w:themeColor="text1"/>
        </w:rPr>
        <w:t>Finally, in this sample, gender influenced bystander behaviour to the effect that w</w:t>
      </w:r>
      <w:r w:rsidRPr="00C40793">
        <w:rPr>
          <w:color w:val="000000" w:themeColor="text1"/>
        </w:rPr>
        <w:t>omen perceived intervention as more difficult</w:t>
      </w:r>
      <w:r w:rsidR="00D91447" w:rsidRPr="00C40793">
        <w:rPr>
          <w:color w:val="000000" w:themeColor="text1"/>
        </w:rPr>
        <w:t>,</w:t>
      </w:r>
      <w:r w:rsidRPr="00C40793">
        <w:rPr>
          <w:color w:val="000000" w:themeColor="text1"/>
        </w:rPr>
        <w:t xml:space="preserve"> and </w:t>
      </w:r>
      <w:r w:rsidR="00F33706" w:rsidRPr="00C40793">
        <w:rPr>
          <w:color w:val="000000" w:themeColor="text1"/>
        </w:rPr>
        <w:t>were</w:t>
      </w:r>
      <w:r w:rsidR="00D91447" w:rsidRPr="00C40793">
        <w:rPr>
          <w:color w:val="000000" w:themeColor="text1"/>
        </w:rPr>
        <w:t xml:space="preserve"> also</w:t>
      </w:r>
      <w:r w:rsidRPr="00C40793">
        <w:rPr>
          <w:color w:val="000000" w:themeColor="text1"/>
        </w:rPr>
        <w:t xml:space="preserve"> less likely to intervene</w:t>
      </w:r>
      <w:r w:rsidR="00D91447" w:rsidRPr="00C40793">
        <w:rPr>
          <w:color w:val="000000" w:themeColor="text1"/>
        </w:rPr>
        <w:t>.</w:t>
      </w:r>
    </w:p>
    <w:p w14:paraId="0000003E" w14:textId="1CAACF35" w:rsidR="00BF1871" w:rsidRPr="00C40793" w:rsidRDefault="003B18AD" w:rsidP="003A7D48">
      <w:pPr>
        <w:spacing w:before="240" w:line="480" w:lineRule="auto"/>
        <w:ind w:firstLine="720"/>
        <w:contextualSpacing/>
        <w:rPr>
          <w:color w:val="000000" w:themeColor="text1"/>
        </w:rPr>
      </w:pPr>
      <w:r w:rsidRPr="00C40793">
        <w:rPr>
          <w:color w:val="000000" w:themeColor="text1"/>
        </w:rPr>
        <w:t xml:space="preserve">Consistent with previous research assessing rape myth acceptance and </w:t>
      </w:r>
      <w:r w:rsidR="00642F7F" w:rsidRPr="00C40793">
        <w:rPr>
          <w:color w:val="000000" w:themeColor="text1"/>
        </w:rPr>
        <w:t>bystander behaviour</w:t>
      </w:r>
      <w:r w:rsidRPr="00C40793">
        <w:rPr>
          <w:color w:val="000000" w:themeColor="text1"/>
        </w:rPr>
        <w:t xml:space="preserve"> in the U</w:t>
      </w:r>
      <w:r w:rsidR="00146553" w:rsidRPr="00C40793">
        <w:rPr>
          <w:color w:val="000000" w:themeColor="text1"/>
        </w:rPr>
        <w:t>.S</w:t>
      </w:r>
      <w:r w:rsidR="001F6590" w:rsidRPr="00C40793">
        <w:rPr>
          <w:color w:val="000000" w:themeColor="text1"/>
        </w:rPr>
        <w:t xml:space="preserve"> </w:t>
      </w:r>
      <w:r w:rsidRPr="00C40793">
        <w:rPr>
          <w:color w:val="000000" w:themeColor="text1"/>
        </w:rPr>
        <w:t>(Ortiz &amp; Thompson, 2017), rape myths</w:t>
      </w:r>
      <w:r w:rsidR="00642F7F" w:rsidRPr="00C40793">
        <w:rPr>
          <w:color w:val="000000" w:themeColor="text1"/>
        </w:rPr>
        <w:t xml:space="preserve"> related to</w:t>
      </w:r>
      <w:r w:rsidRPr="00C40793">
        <w:rPr>
          <w:color w:val="000000" w:themeColor="text1"/>
        </w:rPr>
        <w:t xml:space="preserve"> </w:t>
      </w:r>
      <w:r w:rsidR="00642F7F" w:rsidRPr="00C40793">
        <w:rPr>
          <w:color w:val="000000" w:themeColor="text1"/>
        </w:rPr>
        <w:t xml:space="preserve">bystander difficulties in Ecuadorian participants too. </w:t>
      </w:r>
      <w:r w:rsidR="00C34C11" w:rsidRPr="00C40793">
        <w:rPr>
          <w:color w:val="000000" w:themeColor="text1"/>
        </w:rPr>
        <w:t>Beliefs in rape myths may result in intervention difficulties for several reasons. For instance, those who blame the victim may have lower empathy towards them</w:t>
      </w:r>
      <w:r w:rsidR="00AB6464" w:rsidRPr="00C40793">
        <w:rPr>
          <w:color w:val="000000" w:themeColor="text1"/>
        </w:rPr>
        <w:t xml:space="preserve">, resulting in a perception </w:t>
      </w:r>
      <w:r w:rsidR="00C34C11" w:rsidRPr="00C40793">
        <w:rPr>
          <w:color w:val="000000" w:themeColor="text1"/>
        </w:rPr>
        <w:t>that intervention is not their responsibility</w:t>
      </w:r>
      <w:r w:rsidR="00806DEE" w:rsidRPr="00C40793">
        <w:rPr>
          <w:color w:val="000000" w:themeColor="text1"/>
        </w:rPr>
        <w:t xml:space="preserve">. Further still, they </w:t>
      </w:r>
      <w:r w:rsidR="00806DEE" w:rsidRPr="00C40793">
        <w:rPr>
          <w:color w:val="000000" w:themeColor="text1"/>
        </w:rPr>
        <w:lastRenderedPageBreak/>
        <w:t xml:space="preserve">may </w:t>
      </w:r>
      <w:r w:rsidR="00C34C11" w:rsidRPr="00C40793">
        <w:rPr>
          <w:color w:val="000000" w:themeColor="text1"/>
        </w:rPr>
        <w:t xml:space="preserve">perceive harassment as </w:t>
      </w:r>
      <w:r w:rsidR="00806DEE" w:rsidRPr="00C40793">
        <w:rPr>
          <w:color w:val="000000" w:themeColor="text1"/>
        </w:rPr>
        <w:t>causing minimal</w:t>
      </w:r>
      <w:r w:rsidR="00C34C11" w:rsidRPr="00C40793">
        <w:rPr>
          <w:color w:val="000000" w:themeColor="text1"/>
        </w:rPr>
        <w:t xml:space="preserve"> </w:t>
      </w:r>
      <w:r w:rsidR="00806DEE" w:rsidRPr="00C40793">
        <w:rPr>
          <w:color w:val="000000" w:themeColor="text1"/>
        </w:rPr>
        <w:t xml:space="preserve">negative </w:t>
      </w:r>
      <w:r w:rsidR="00C34C11" w:rsidRPr="00C40793">
        <w:rPr>
          <w:color w:val="000000" w:themeColor="text1"/>
        </w:rPr>
        <w:t>consequences for the victim (</w:t>
      </w:r>
      <w:proofErr w:type="spellStart"/>
      <w:r w:rsidR="00C34C11" w:rsidRPr="00C40793">
        <w:rPr>
          <w:color w:val="000000" w:themeColor="text1"/>
        </w:rPr>
        <w:t>Banyard</w:t>
      </w:r>
      <w:proofErr w:type="spellEnd"/>
      <w:r w:rsidR="00C34C11" w:rsidRPr="00C40793">
        <w:rPr>
          <w:color w:val="000000" w:themeColor="text1"/>
        </w:rPr>
        <w:t>, 2011).</w:t>
      </w:r>
      <w:r w:rsidR="00064940" w:rsidRPr="00C40793">
        <w:rPr>
          <w:color w:val="000000" w:themeColor="text1"/>
        </w:rPr>
        <w:t xml:space="preserve"> </w:t>
      </w:r>
      <w:r w:rsidR="00C34C11" w:rsidRPr="00C40793">
        <w:rPr>
          <w:color w:val="000000" w:themeColor="text1"/>
        </w:rPr>
        <w:t xml:space="preserve">Future research should investigate </w:t>
      </w:r>
      <w:r w:rsidR="00806DEE" w:rsidRPr="00C40793">
        <w:rPr>
          <w:color w:val="000000" w:themeColor="text1"/>
        </w:rPr>
        <w:t>the mechanisms by which</w:t>
      </w:r>
      <w:r w:rsidR="00C34C11" w:rsidRPr="00C40793">
        <w:rPr>
          <w:color w:val="000000" w:themeColor="text1"/>
        </w:rPr>
        <w:t xml:space="preserve"> rape myth acceptance function</w:t>
      </w:r>
      <w:r w:rsidR="00AB6464" w:rsidRPr="00C40793">
        <w:rPr>
          <w:color w:val="000000" w:themeColor="text1"/>
        </w:rPr>
        <w:t>s</w:t>
      </w:r>
      <w:r w:rsidR="00C34C11" w:rsidRPr="00C40793">
        <w:rPr>
          <w:color w:val="000000" w:themeColor="text1"/>
        </w:rPr>
        <w:t xml:space="preserve"> as a barrier in Ecuador. </w:t>
      </w:r>
    </w:p>
    <w:p w14:paraId="0000003F" w14:textId="6652E9A4" w:rsidR="00BF1871" w:rsidRPr="00C40793" w:rsidRDefault="00C34C11" w:rsidP="003A7D48">
      <w:pPr>
        <w:spacing w:before="240" w:line="480" w:lineRule="auto"/>
        <w:ind w:firstLine="720"/>
        <w:contextualSpacing/>
        <w:rPr>
          <w:color w:val="000000" w:themeColor="text1"/>
        </w:rPr>
      </w:pPr>
      <w:r w:rsidRPr="00C40793">
        <w:rPr>
          <w:color w:val="000000" w:themeColor="text1"/>
        </w:rPr>
        <w:t>Our f</w:t>
      </w:r>
      <w:r w:rsidR="003B18AD" w:rsidRPr="00C40793">
        <w:rPr>
          <w:color w:val="000000" w:themeColor="text1"/>
        </w:rPr>
        <w:t>indings also indicated that those who perceived specific acts of harassment as a serious problem</w:t>
      </w:r>
      <w:r w:rsidRPr="00C40793">
        <w:rPr>
          <w:color w:val="000000" w:themeColor="text1"/>
        </w:rPr>
        <w:t xml:space="preserve"> </w:t>
      </w:r>
      <w:r w:rsidR="003B18AD" w:rsidRPr="00C40793">
        <w:rPr>
          <w:color w:val="000000" w:themeColor="text1"/>
        </w:rPr>
        <w:t>reported</w:t>
      </w:r>
      <w:r w:rsidR="00806DEE" w:rsidRPr="00C40793">
        <w:rPr>
          <w:color w:val="000000" w:themeColor="text1"/>
        </w:rPr>
        <w:t xml:space="preserve"> greater likelihood of intervening as a bystander, while those</w:t>
      </w:r>
      <w:r w:rsidR="00064940" w:rsidRPr="00C40793">
        <w:rPr>
          <w:color w:val="000000" w:themeColor="text1"/>
        </w:rPr>
        <w:t xml:space="preserve"> who had perpetrated harassment reported </w:t>
      </w:r>
      <w:r w:rsidR="00806DEE" w:rsidRPr="00C40793">
        <w:rPr>
          <w:color w:val="000000" w:themeColor="text1"/>
        </w:rPr>
        <w:t xml:space="preserve">less of </w:t>
      </w:r>
      <w:r w:rsidR="00064940" w:rsidRPr="00C40793">
        <w:rPr>
          <w:color w:val="000000" w:themeColor="text1"/>
        </w:rPr>
        <w:t xml:space="preserve">a </w:t>
      </w:r>
      <w:r w:rsidR="003B18AD" w:rsidRPr="00C40793">
        <w:rPr>
          <w:color w:val="000000" w:themeColor="text1"/>
        </w:rPr>
        <w:t xml:space="preserve">likelihood </w:t>
      </w:r>
      <w:r w:rsidR="00AA6271" w:rsidRPr="00C40793">
        <w:rPr>
          <w:color w:val="000000" w:themeColor="text1"/>
        </w:rPr>
        <w:t>of</w:t>
      </w:r>
      <w:r w:rsidR="003B18AD" w:rsidRPr="00C40793">
        <w:rPr>
          <w:color w:val="000000" w:themeColor="text1"/>
        </w:rPr>
        <w:t xml:space="preserve"> interven</w:t>
      </w:r>
      <w:r w:rsidR="00382F69" w:rsidRPr="00C40793">
        <w:rPr>
          <w:color w:val="000000" w:themeColor="text1"/>
        </w:rPr>
        <w:t>ing</w:t>
      </w:r>
      <w:r w:rsidR="003B18AD" w:rsidRPr="00C40793">
        <w:rPr>
          <w:color w:val="000000" w:themeColor="text1"/>
        </w:rPr>
        <w:t xml:space="preserve">. </w:t>
      </w:r>
      <w:r w:rsidR="0003684F" w:rsidRPr="00C40793">
        <w:rPr>
          <w:color w:val="000000" w:themeColor="text1"/>
        </w:rPr>
        <w:t>Failing to perceive harassment as serious has been identified as a</w:t>
      </w:r>
      <w:r w:rsidR="00064940" w:rsidRPr="00C40793">
        <w:rPr>
          <w:color w:val="000000" w:themeColor="text1"/>
        </w:rPr>
        <w:t xml:space="preserve"> bystander</w:t>
      </w:r>
      <w:r w:rsidR="0003684F" w:rsidRPr="00C40793">
        <w:rPr>
          <w:color w:val="000000" w:themeColor="text1"/>
        </w:rPr>
        <w:t xml:space="preserve"> barrier in U.S. studies (</w:t>
      </w:r>
      <w:proofErr w:type="spellStart"/>
      <w:r w:rsidR="0003684F" w:rsidRPr="00C40793">
        <w:rPr>
          <w:color w:val="000000" w:themeColor="text1"/>
        </w:rPr>
        <w:t>Banyard</w:t>
      </w:r>
      <w:proofErr w:type="spellEnd"/>
      <w:r w:rsidR="0003684F" w:rsidRPr="00C40793">
        <w:rPr>
          <w:color w:val="000000" w:themeColor="text1"/>
        </w:rPr>
        <w:t>, 20</w:t>
      </w:r>
      <w:r w:rsidR="00064940" w:rsidRPr="00C40793">
        <w:rPr>
          <w:color w:val="000000" w:themeColor="text1"/>
        </w:rPr>
        <w:t>11), and the same patterns applied</w:t>
      </w:r>
      <w:r w:rsidR="0003684F" w:rsidRPr="00C40793">
        <w:rPr>
          <w:color w:val="000000" w:themeColor="text1"/>
        </w:rPr>
        <w:t xml:space="preserve"> in </w:t>
      </w:r>
      <w:r w:rsidR="00064940" w:rsidRPr="00C40793">
        <w:rPr>
          <w:color w:val="000000" w:themeColor="text1"/>
        </w:rPr>
        <w:t xml:space="preserve">our </w:t>
      </w:r>
      <w:r w:rsidR="0003684F" w:rsidRPr="00C40793">
        <w:rPr>
          <w:color w:val="000000" w:themeColor="text1"/>
        </w:rPr>
        <w:t xml:space="preserve">Ecuadorian sample. </w:t>
      </w:r>
      <w:r w:rsidR="0080537D" w:rsidRPr="00C40793">
        <w:rPr>
          <w:color w:val="000000" w:themeColor="text1"/>
        </w:rPr>
        <w:t>P</w:t>
      </w:r>
      <w:r w:rsidR="00064940" w:rsidRPr="00C40793">
        <w:rPr>
          <w:color w:val="000000" w:themeColor="text1"/>
        </w:rPr>
        <w:t>lay</w:t>
      </w:r>
      <w:r w:rsidR="0080537D" w:rsidRPr="00C40793">
        <w:rPr>
          <w:color w:val="000000" w:themeColor="text1"/>
        </w:rPr>
        <w:t xml:space="preserve">ing </w:t>
      </w:r>
      <w:r w:rsidR="00064940" w:rsidRPr="00C40793">
        <w:rPr>
          <w:color w:val="000000" w:themeColor="text1"/>
        </w:rPr>
        <w:t xml:space="preserve">down the consequences </w:t>
      </w:r>
      <w:r w:rsidR="0080537D" w:rsidRPr="00C40793">
        <w:rPr>
          <w:color w:val="000000" w:themeColor="text1"/>
        </w:rPr>
        <w:t>of harassment has also been related to perpetration</w:t>
      </w:r>
      <w:r w:rsidR="00064940" w:rsidRPr="00C40793">
        <w:rPr>
          <w:color w:val="000000" w:themeColor="text1"/>
        </w:rPr>
        <w:t xml:space="preserve"> (Moore &amp; </w:t>
      </w:r>
      <w:proofErr w:type="spellStart"/>
      <w:r w:rsidR="00064940" w:rsidRPr="00C40793">
        <w:rPr>
          <w:color w:val="000000" w:themeColor="text1"/>
        </w:rPr>
        <w:t>Mennicke</w:t>
      </w:r>
      <w:proofErr w:type="spellEnd"/>
      <w:r w:rsidR="00064940" w:rsidRPr="00C40793">
        <w:rPr>
          <w:color w:val="000000" w:themeColor="text1"/>
        </w:rPr>
        <w:t>, 2020),</w:t>
      </w:r>
      <w:r w:rsidR="0080537D" w:rsidRPr="00C40793">
        <w:rPr>
          <w:color w:val="000000" w:themeColor="text1"/>
        </w:rPr>
        <w:t xml:space="preserve"> which speaks for the importance of </w:t>
      </w:r>
      <w:r w:rsidR="00DB5A2D" w:rsidRPr="00C40793">
        <w:rPr>
          <w:color w:val="000000" w:themeColor="text1"/>
        </w:rPr>
        <w:t>bystander</w:t>
      </w:r>
      <w:r w:rsidR="0003684F" w:rsidRPr="00C40793">
        <w:rPr>
          <w:color w:val="000000" w:themeColor="text1"/>
        </w:rPr>
        <w:t xml:space="preserve"> </w:t>
      </w:r>
      <w:r w:rsidR="003B18AD" w:rsidRPr="00C40793">
        <w:rPr>
          <w:color w:val="000000" w:themeColor="text1"/>
        </w:rPr>
        <w:t xml:space="preserve">interventions </w:t>
      </w:r>
      <w:r w:rsidR="0003684F" w:rsidRPr="00C40793">
        <w:rPr>
          <w:color w:val="000000" w:themeColor="text1"/>
        </w:rPr>
        <w:t xml:space="preserve">that </w:t>
      </w:r>
      <w:r w:rsidR="003B18AD" w:rsidRPr="00C40793">
        <w:rPr>
          <w:color w:val="000000" w:themeColor="text1"/>
        </w:rPr>
        <w:t>emphasise the seriousness of sexual harassment on</w:t>
      </w:r>
      <w:r w:rsidR="0003684F" w:rsidRPr="00C40793">
        <w:rPr>
          <w:color w:val="000000" w:themeColor="text1"/>
        </w:rPr>
        <w:t xml:space="preserve"> the</w:t>
      </w:r>
      <w:r w:rsidR="003B18AD" w:rsidRPr="00C40793">
        <w:rPr>
          <w:color w:val="000000" w:themeColor="text1"/>
        </w:rPr>
        <w:t xml:space="preserve"> victims.</w:t>
      </w:r>
      <w:r w:rsidR="00806DEE" w:rsidRPr="00C40793">
        <w:rPr>
          <w:color w:val="000000" w:themeColor="text1"/>
        </w:rPr>
        <w:t xml:space="preserve"> Tackling</w:t>
      </w:r>
      <w:r w:rsidR="00A16E68">
        <w:rPr>
          <w:color w:val="000000" w:themeColor="text1"/>
        </w:rPr>
        <w:t xml:space="preserve"> the perceptions that play down the seriousness of harassment could be one of the</w:t>
      </w:r>
      <w:r w:rsidR="000A73C1">
        <w:rPr>
          <w:color w:val="000000" w:themeColor="text1"/>
        </w:rPr>
        <w:t xml:space="preserve"> first important steps towards </w:t>
      </w:r>
      <w:r w:rsidR="00A16E68">
        <w:rPr>
          <w:color w:val="000000" w:themeColor="text1"/>
        </w:rPr>
        <w:t>changing the culture of misogyny</w:t>
      </w:r>
      <w:r w:rsidR="00806DEE" w:rsidRPr="00C40793">
        <w:rPr>
          <w:color w:val="000000" w:themeColor="text1"/>
        </w:rPr>
        <w:t xml:space="preserve"> </w:t>
      </w:r>
      <w:r w:rsidR="00676E98" w:rsidRPr="00C40793">
        <w:rPr>
          <w:color w:val="000000" w:themeColor="text1"/>
        </w:rPr>
        <w:t>(Aguayo &amp; Nascimento, 2016)</w:t>
      </w:r>
      <w:r w:rsidR="00806DEE" w:rsidRPr="00C40793">
        <w:rPr>
          <w:color w:val="000000" w:themeColor="text1"/>
        </w:rPr>
        <w:t>.</w:t>
      </w:r>
    </w:p>
    <w:p w14:paraId="650FEC88" w14:textId="282AA77F" w:rsidR="00DB39DA" w:rsidRPr="00C40793" w:rsidRDefault="00E86ED7" w:rsidP="003A7D48">
      <w:pPr>
        <w:spacing w:before="240" w:line="480" w:lineRule="auto"/>
        <w:ind w:firstLine="720"/>
        <w:contextualSpacing/>
        <w:rPr>
          <w:color w:val="000000" w:themeColor="text1"/>
        </w:rPr>
      </w:pPr>
      <w:r w:rsidRPr="00C40793">
        <w:rPr>
          <w:color w:val="000000" w:themeColor="text1"/>
        </w:rPr>
        <w:t xml:space="preserve">In addition to </w:t>
      </w:r>
      <w:r w:rsidR="00642F7F" w:rsidRPr="00C40793">
        <w:rPr>
          <w:color w:val="000000" w:themeColor="text1"/>
        </w:rPr>
        <w:t>the variables discussed above,</w:t>
      </w:r>
      <w:r w:rsidRPr="00C40793">
        <w:rPr>
          <w:color w:val="000000" w:themeColor="text1"/>
        </w:rPr>
        <w:t xml:space="preserve"> we found gender differences </w:t>
      </w:r>
      <w:r w:rsidR="00BB065E" w:rsidRPr="00C40793">
        <w:rPr>
          <w:color w:val="000000" w:themeColor="text1"/>
        </w:rPr>
        <w:t xml:space="preserve">in bystander behaviours, to the effect that women </w:t>
      </w:r>
      <w:r w:rsidR="003B18AD" w:rsidRPr="00C40793">
        <w:rPr>
          <w:color w:val="000000" w:themeColor="text1"/>
        </w:rPr>
        <w:t>reported lower</w:t>
      </w:r>
      <w:r w:rsidR="00BB065E" w:rsidRPr="00C40793">
        <w:rPr>
          <w:color w:val="000000" w:themeColor="text1"/>
        </w:rPr>
        <w:t xml:space="preserve"> </w:t>
      </w:r>
      <w:r w:rsidR="003B18AD" w:rsidRPr="00C40793">
        <w:rPr>
          <w:color w:val="000000" w:themeColor="text1"/>
        </w:rPr>
        <w:t>bystander efficacy</w:t>
      </w:r>
      <w:r w:rsidR="00BB065E" w:rsidRPr="00C40793">
        <w:rPr>
          <w:color w:val="000000" w:themeColor="text1"/>
        </w:rPr>
        <w:t xml:space="preserve"> and </w:t>
      </w:r>
      <w:r w:rsidR="00A44441" w:rsidRPr="00C40793">
        <w:rPr>
          <w:color w:val="000000" w:themeColor="text1"/>
        </w:rPr>
        <w:t xml:space="preserve">less </w:t>
      </w:r>
      <w:r w:rsidR="003B18AD" w:rsidRPr="00C40793">
        <w:rPr>
          <w:color w:val="000000" w:themeColor="text1"/>
        </w:rPr>
        <w:t xml:space="preserve">likelihood of </w:t>
      </w:r>
      <w:r w:rsidR="00A44441" w:rsidRPr="00C40793">
        <w:rPr>
          <w:color w:val="000000" w:themeColor="text1"/>
        </w:rPr>
        <w:t xml:space="preserve">being an active </w:t>
      </w:r>
      <w:r w:rsidR="003B18AD" w:rsidRPr="00C40793">
        <w:rPr>
          <w:color w:val="000000" w:themeColor="text1"/>
        </w:rPr>
        <w:t xml:space="preserve">bystander </w:t>
      </w:r>
      <w:r w:rsidR="00BB065E" w:rsidRPr="00C40793">
        <w:rPr>
          <w:color w:val="000000" w:themeColor="text1"/>
        </w:rPr>
        <w:t xml:space="preserve">than </w:t>
      </w:r>
      <w:r w:rsidR="00A44441" w:rsidRPr="00C40793">
        <w:rPr>
          <w:color w:val="000000" w:themeColor="text1"/>
        </w:rPr>
        <w:t xml:space="preserve">did </w:t>
      </w:r>
      <w:r w:rsidR="00BB065E" w:rsidRPr="00C40793">
        <w:rPr>
          <w:color w:val="000000" w:themeColor="text1"/>
        </w:rPr>
        <w:t>men</w:t>
      </w:r>
      <w:r w:rsidR="003B18AD" w:rsidRPr="00C40793">
        <w:rPr>
          <w:color w:val="000000" w:themeColor="text1"/>
        </w:rPr>
        <w:t xml:space="preserve">. </w:t>
      </w:r>
      <w:r w:rsidR="00BB065E" w:rsidRPr="00C40793">
        <w:rPr>
          <w:color w:val="000000" w:themeColor="text1"/>
        </w:rPr>
        <w:t xml:space="preserve">There could be several explanations for this finding. For example, U.S studies have suggested that men’s bystander action may stem from benevolent sexism, the perception that women need </w:t>
      </w:r>
      <w:r w:rsidR="00A16E68">
        <w:rPr>
          <w:color w:val="000000" w:themeColor="text1"/>
        </w:rPr>
        <w:t>protection</w:t>
      </w:r>
      <w:r w:rsidR="00BB065E" w:rsidRPr="00C40793">
        <w:rPr>
          <w:color w:val="000000" w:themeColor="text1"/>
        </w:rPr>
        <w:t xml:space="preserve"> (</w:t>
      </w:r>
      <w:r w:rsidR="00DB39DA" w:rsidRPr="00C40793">
        <w:rPr>
          <w:color w:val="000000" w:themeColor="text1"/>
        </w:rPr>
        <w:t xml:space="preserve">Burns et al., 2019; </w:t>
      </w:r>
      <w:proofErr w:type="spellStart"/>
      <w:r w:rsidR="00BB065E" w:rsidRPr="00C40793">
        <w:rPr>
          <w:color w:val="000000" w:themeColor="text1"/>
        </w:rPr>
        <w:t>Hoxmeier</w:t>
      </w:r>
      <w:proofErr w:type="spellEnd"/>
      <w:r w:rsidR="0018780E" w:rsidRPr="00C40793">
        <w:rPr>
          <w:color w:val="000000" w:themeColor="text1"/>
        </w:rPr>
        <w:t xml:space="preserve"> et al.</w:t>
      </w:r>
      <w:r w:rsidR="00BB065E" w:rsidRPr="00C40793">
        <w:rPr>
          <w:color w:val="000000" w:themeColor="text1"/>
        </w:rPr>
        <w:t xml:space="preserve">, 2020). </w:t>
      </w:r>
      <w:r w:rsidR="003A5FDE" w:rsidRPr="00C40793">
        <w:rPr>
          <w:color w:val="000000" w:themeColor="text1"/>
        </w:rPr>
        <w:t>Latin American cultures are characterised by embracement of benevolent sexism (</w:t>
      </w:r>
      <w:r w:rsidR="00186018" w:rsidRPr="00C40793">
        <w:rPr>
          <w:color w:val="000000" w:themeColor="text1"/>
        </w:rPr>
        <w:t xml:space="preserve">Aguayo &amp; Nascimento, 2016), </w:t>
      </w:r>
      <w:r w:rsidR="003A5FDE" w:rsidRPr="00C40793">
        <w:rPr>
          <w:color w:val="000000" w:themeColor="text1"/>
        </w:rPr>
        <w:t xml:space="preserve">men typically </w:t>
      </w:r>
      <w:r w:rsidR="000A73C1">
        <w:rPr>
          <w:color w:val="000000" w:themeColor="text1"/>
        </w:rPr>
        <w:t>supporting</w:t>
      </w:r>
      <w:r w:rsidR="003A5FDE" w:rsidRPr="00C40793">
        <w:rPr>
          <w:color w:val="000000" w:themeColor="text1"/>
        </w:rPr>
        <w:t xml:space="preserve"> these views more than women (</w:t>
      </w:r>
      <w:r w:rsidR="003A5FDE" w:rsidRPr="003A7D48">
        <w:rPr>
          <w:color w:val="000000" w:themeColor="text1"/>
          <w:shd w:val="clear" w:color="auto" w:fill="FFFFFF"/>
        </w:rPr>
        <w:t>Cárdenas et al., 2010).</w:t>
      </w:r>
      <w:r w:rsidR="003A5FDE" w:rsidRPr="00C40793">
        <w:rPr>
          <w:color w:val="000000" w:themeColor="text1"/>
          <w:shd w:val="clear" w:color="auto" w:fill="FFFFFF"/>
        </w:rPr>
        <w:t xml:space="preserve"> In order to </w:t>
      </w:r>
      <w:r w:rsidR="00CC5E4B" w:rsidRPr="00C40793">
        <w:rPr>
          <w:color w:val="000000" w:themeColor="text1"/>
          <w:shd w:val="clear" w:color="auto" w:fill="FFFFFF"/>
        </w:rPr>
        <w:t xml:space="preserve">discover </w:t>
      </w:r>
      <w:r w:rsidR="003A5FDE" w:rsidRPr="00C40793">
        <w:rPr>
          <w:color w:val="000000" w:themeColor="text1"/>
          <w:shd w:val="clear" w:color="auto" w:fill="FFFFFF"/>
        </w:rPr>
        <w:t>whether bystander behaviour stems from chivalry or from</w:t>
      </w:r>
      <w:r w:rsidR="00186018" w:rsidRPr="00C40793">
        <w:rPr>
          <w:color w:val="000000" w:themeColor="text1"/>
          <w:shd w:val="clear" w:color="auto" w:fill="FFFFFF"/>
        </w:rPr>
        <w:t xml:space="preserve"> </w:t>
      </w:r>
      <w:r w:rsidR="00CC5E4B" w:rsidRPr="00C40793">
        <w:rPr>
          <w:color w:val="000000" w:themeColor="text1"/>
          <w:shd w:val="clear" w:color="auto" w:fill="FFFFFF"/>
        </w:rPr>
        <w:t>striv</w:t>
      </w:r>
      <w:r w:rsidR="00A16E68">
        <w:rPr>
          <w:color w:val="000000" w:themeColor="text1"/>
          <w:shd w:val="clear" w:color="auto" w:fill="FFFFFF"/>
        </w:rPr>
        <w:t>e</w:t>
      </w:r>
      <w:r w:rsidR="00CC5E4B" w:rsidRPr="00C40793">
        <w:rPr>
          <w:color w:val="000000" w:themeColor="text1"/>
          <w:shd w:val="clear" w:color="auto" w:fill="FFFFFF"/>
        </w:rPr>
        <w:t xml:space="preserve"> to increase </w:t>
      </w:r>
      <w:r w:rsidR="003A5FDE" w:rsidRPr="00C40793">
        <w:rPr>
          <w:color w:val="000000" w:themeColor="text1"/>
          <w:shd w:val="clear" w:color="auto" w:fill="FFFFFF"/>
        </w:rPr>
        <w:t>social justice, future research should investigate men’s motivations to act as</w:t>
      </w:r>
      <w:r w:rsidR="00186018" w:rsidRPr="00C40793">
        <w:rPr>
          <w:color w:val="000000" w:themeColor="text1"/>
          <w:shd w:val="clear" w:color="auto" w:fill="FFFFFF"/>
        </w:rPr>
        <w:t xml:space="preserve"> positive</w:t>
      </w:r>
      <w:r w:rsidR="003A5FDE" w:rsidRPr="00C40793">
        <w:rPr>
          <w:color w:val="000000" w:themeColor="text1"/>
          <w:shd w:val="clear" w:color="auto" w:fill="FFFFFF"/>
        </w:rPr>
        <w:t xml:space="preserve"> bystander</w:t>
      </w:r>
      <w:r w:rsidR="00186018" w:rsidRPr="00C40793">
        <w:rPr>
          <w:color w:val="000000" w:themeColor="text1"/>
          <w:shd w:val="clear" w:color="auto" w:fill="FFFFFF"/>
        </w:rPr>
        <w:t xml:space="preserve">s </w:t>
      </w:r>
      <w:r w:rsidR="00CC5E4B" w:rsidRPr="00C40793">
        <w:rPr>
          <w:color w:val="000000" w:themeColor="text1"/>
          <w:shd w:val="clear" w:color="auto" w:fill="FFFFFF"/>
        </w:rPr>
        <w:t xml:space="preserve">in the context of Ecuador. </w:t>
      </w:r>
    </w:p>
    <w:p w14:paraId="089D5CA1" w14:textId="592FAAAC" w:rsidR="00BB065E" w:rsidRPr="00C40793" w:rsidRDefault="00CC5E4B" w:rsidP="003A7D48">
      <w:pPr>
        <w:spacing w:before="240" w:line="480" w:lineRule="auto"/>
        <w:ind w:firstLine="720"/>
        <w:contextualSpacing/>
        <w:rPr>
          <w:color w:val="000000" w:themeColor="text1"/>
        </w:rPr>
      </w:pPr>
      <w:r w:rsidRPr="00C40793">
        <w:rPr>
          <w:color w:val="000000" w:themeColor="text1"/>
        </w:rPr>
        <w:t>Women, in turn, may be prevented from intervening due to high perceived</w:t>
      </w:r>
      <w:r w:rsidR="003B18AD" w:rsidRPr="00C40793">
        <w:rPr>
          <w:color w:val="000000" w:themeColor="text1"/>
        </w:rPr>
        <w:t xml:space="preserve"> risk of injury</w:t>
      </w:r>
      <w:r w:rsidRPr="00C40793">
        <w:rPr>
          <w:color w:val="000000" w:themeColor="text1"/>
        </w:rPr>
        <w:t xml:space="preserve"> </w:t>
      </w:r>
      <w:r w:rsidR="003B18AD" w:rsidRPr="00C40793">
        <w:rPr>
          <w:color w:val="000000" w:themeColor="text1"/>
        </w:rPr>
        <w:t>(Witte et al., 2017)</w:t>
      </w:r>
      <w:r w:rsidRPr="00C40793">
        <w:rPr>
          <w:color w:val="000000" w:themeColor="text1"/>
        </w:rPr>
        <w:t>, or skills-deficits (</w:t>
      </w:r>
      <w:r w:rsidRPr="003A7D48">
        <w:rPr>
          <w:color w:val="000000" w:themeColor="text1"/>
          <w:shd w:val="clear" w:color="auto" w:fill="FFFFFF"/>
        </w:rPr>
        <w:t xml:space="preserve">Yule &amp; </w:t>
      </w:r>
      <w:proofErr w:type="spellStart"/>
      <w:r w:rsidRPr="003A7D48">
        <w:rPr>
          <w:color w:val="000000" w:themeColor="text1"/>
          <w:shd w:val="clear" w:color="auto" w:fill="FFFFFF"/>
        </w:rPr>
        <w:t>Grych</w:t>
      </w:r>
      <w:proofErr w:type="spellEnd"/>
      <w:r w:rsidRPr="003A7D48">
        <w:rPr>
          <w:color w:val="000000" w:themeColor="text1"/>
          <w:shd w:val="clear" w:color="auto" w:fill="FFFFFF"/>
        </w:rPr>
        <w:t>, 2020)</w:t>
      </w:r>
      <w:r w:rsidRPr="00C40793">
        <w:rPr>
          <w:color w:val="000000" w:themeColor="text1"/>
        </w:rPr>
        <w:t xml:space="preserve">. The perceptions of risk </w:t>
      </w:r>
      <w:r w:rsidR="003B18AD" w:rsidRPr="00C40793">
        <w:rPr>
          <w:color w:val="000000" w:themeColor="text1"/>
        </w:rPr>
        <w:lastRenderedPageBreak/>
        <w:t xml:space="preserve">may be even more prevalent in cultures such as Ecuador, where violence against women is </w:t>
      </w:r>
      <w:r w:rsidR="00AA6271" w:rsidRPr="00C40793">
        <w:rPr>
          <w:color w:val="000000" w:themeColor="text1"/>
        </w:rPr>
        <w:t xml:space="preserve">relatively </w:t>
      </w:r>
      <w:r w:rsidR="003B18AD" w:rsidRPr="00C40793">
        <w:rPr>
          <w:color w:val="000000" w:themeColor="text1"/>
        </w:rPr>
        <w:t>common (</w:t>
      </w:r>
      <w:r w:rsidR="003B18AD" w:rsidRPr="00C40793">
        <w:rPr>
          <w:color w:val="000000" w:themeColor="text1"/>
          <w:highlight w:val="white"/>
        </w:rPr>
        <w:t>Ibáñez</w:t>
      </w:r>
      <w:r w:rsidR="003B18AD" w:rsidRPr="00C40793">
        <w:rPr>
          <w:color w:val="000000" w:themeColor="text1"/>
        </w:rPr>
        <w:t xml:space="preserve">, 2017). In the </w:t>
      </w:r>
      <w:r w:rsidR="006B7CC9" w:rsidRPr="00C40793">
        <w:rPr>
          <w:color w:val="000000" w:themeColor="text1"/>
        </w:rPr>
        <w:t>U.S context,</w:t>
      </w:r>
      <w:r w:rsidR="003B18AD" w:rsidRPr="00C40793">
        <w:rPr>
          <w:color w:val="000000" w:themeColor="text1"/>
        </w:rPr>
        <w:t xml:space="preserve"> intervention programmes targeted at women have successfully increased bystander efficacy and willingness to intervene (e.g., </w:t>
      </w:r>
      <w:proofErr w:type="spellStart"/>
      <w:r w:rsidR="003B18AD" w:rsidRPr="00C40793">
        <w:rPr>
          <w:color w:val="000000" w:themeColor="text1"/>
        </w:rPr>
        <w:t>Foubert</w:t>
      </w:r>
      <w:proofErr w:type="spellEnd"/>
      <w:r w:rsidR="003B18AD" w:rsidRPr="00C40793">
        <w:rPr>
          <w:color w:val="000000" w:themeColor="text1"/>
        </w:rPr>
        <w:t xml:space="preserve"> et al., 2010). </w:t>
      </w:r>
      <w:r w:rsidR="00382F69" w:rsidRPr="00C40793">
        <w:rPr>
          <w:color w:val="000000" w:themeColor="text1"/>
        </w:rPr>
        <w:t xml:space="preserve">Interventions adapted for Latin America may need to rely more heavily on </w:t>
      </w:r>
      <w:r w:rsidR="007B7BDC" w:rsidRPr="00C40793">
        <w:rPr>
          <w:color w:val="000000" w:themeColor="text1"/>
        </w:rPr>
        <w:t>promoting</w:t>
      </w:r>
      <w:r w:rsidR="00382F69" w:rsidRPr="00C40793">
        <w:rPr>
          <w:color w:val="000000" w:themeColor="text1"/>
        </w:rPr>
        <w:t xml:space="preserve"> </w:t>
      </w:r>
      <w:r w:rsidR="003B18AD" w:rsidRPr="00C40793">
        <w:rPr>
          <w:color w:val="000000" w:themeColor="text1"/>
        </w:rPr>
        <w:t>less direct forms of bystander intervention</w:t>
      </w:r>
      <w:r w:rsidR="007B7BDC" w:rsidRPr="00C40793">
        <w:rPr>
          <w:color w:val="000000" w:themeColor="text1"/>
        </w:rPr>
        <w:t>.</w:t>
      </w:r>
      <w:r w:rsidR="003B18AD" w:rsidRPr="00C40793">
        <w:rPr>
          <w:color w:val="000000" w:themeColor="text1"/>
        </w:rPr>
        <w:t xml:space="preserve"> </w:t>
      </w:r>
      <w:r w:rsidR="002C5566" w:rsidRPr="00C40793">
        <w:rPr>
          <w:color w:val="000000" w:themeColor="text1"/>
        </w:rPr>
        <w:t>These</w:t>
      </w:r>
      <w:r w:rsidR="007B7BDC" w:rsidRPr="00C40793">
        <w:rPr>
          <w:color w:val="000000" w:themeColor="text1"/>
        </w:rPr>
        <w:t xml:space="preserve"> include </w:t>
      </w:r>
      <w:r w:rsidR="003B18AD" w:rsidRPr="00C40793">
        <w:rPr>
          <w:color w:val="000000" w:themeColor="text1"/>
        </w:rPr>
        <w:t>alerting someone with perceived authority (e.g., bar manager or professor)</w:t>
      </w:r>
      <w:r w:rsidR="007B7BDC" w:rsidRPr="00C40793">
        <w:rPr>
          <w:color w:val="000000" w:themeColor="text1"/>
        </w:rPr>
        <w:t xml:space="preserve"> so they can intervene</w:t>
      </w:r>
      <w:r w:rsidR="003B18AD" w:rsidRPr="00C40793">
        <w:rPr>
          <w:color w:val="000000" w:themeColor="text1"/>
        </w:rPr>
        <w:t xml:space="preserve">, or offering support to the victim </w:t>
      </w:r>
      <w:r w:rsidR="007B7BDC" w:rsidRPr="00C40793">
        <w:rPr>
          <w:color w:val="000000" w:themeColor="text1"/>
        </w:rPr>
        <w:t xml:space="preserve">after the </w:t>
      </w:r>
      <w:r w:rsidR="006B7CC9" w:rsidRPr="00C40793">
        <w:rPr>
          <w:color w:val="000000" w:themeColor="text1"/>
        </w:rPr>
        <w:t>event</w:t>
      </w:r>
      <w:r w:rsidR="003B18AD" w:rsidRPr="00C40793">
        <w:rPr>
          <w:color w:val="000000" w:themeColor="text1"/>
        </w:rPr>
        <w:t>. Our results suggest that</w:t>
      </w:r>
      <w:r w:rsidR="006B7CC9" w:rsidRPr="00C40793">
        <w:rPr>
          <w:color w:val="000000" w:themeColor="text1"/>
        </w:rPr>
        <w:t xml:space="preserve"> interventions that increase awareness</w:t>
      </w:r>
      <w:r w:rsidR="003B18AD" w:rsidRPr="00C40793">
        <w:rPr>
          <w:color w:val="000000" w:themeColor="text1"/>
        </w:rPr>
        <w:t xml:space="preserve"> </w:t>
      </w:r>
      <w:r w:rsidR="006B7CC9" w:rsidRPr="00C40793">
        <w:rPr>
          <w:color w:val="000000" w:themeColor="text1"/>
        </w:rPr>
        <w:t xml:space="preserve">of </w:t>
      </w:r>
      <w:r w:rsidR="003B18AD" w:rsidRPr="00C40793">
        <w:rPr>
          <w:color w:val="000000" w:themeColor="text1"/>
        </w:rPr>
        <w:t xml:space="preserve">the existence of indirect bystander methods would </w:t>
      </w:r>
      <w:r w:rsidR="00C53D9E" w:rsidRPr="00C40793">
        <w:rPr>
          <w:color w:val="000000" w:themeColor="text1"/>
        </w:rPr>
        <w:t xml:space="preserve">also </w:t>
      </w:r>
      <w:r w:rsidR="003B18AD" w:rsidRPr="00C40793">
        <w:rPr>
          <w:color w:val="000000" w:themeColor="text1"/>
        </w:rPr>
        <w:t xml:space="preserve">be beneficial in Ecuador. </w:t>
      </w:r>
    </w:p>
    <w:p w14:paraId="00000041" w14:textId="77777777" w:rsidR="00BF1871" w:rsidRPr="00C40793" w:rsidRDefault="003B18AD" w:rsidP="003A7D48">
      <w:pPr>
        <w:spacing w:before="240" w:line="480" w:lineRule="auto"/>
        <w:contextualSpacing/>
        <w:rPr>
          <w:i/>
          <w:color w:val="000000" w:themeColor="text1"/>
        </w:rPr>
      </w:pPr>
      <w:r w:rsidRPr="00C40793">
        <w:rPr>
          <w:i/>
          <w:color w:val="000000" w:themeColor="text1"/>
        </w:rPr>
        <w:t>Limitations and Future Research</w:t>
      </w:r>
    </w:p>
    <w:p w14:paraId="00000042" w14:textId="3C3D752A" w:rsidR="00BF1871" w:rsidRPr="00C40793" w:rsidRDefault="00BF4D08" w:rsidP="003A7D48">
      <w:pPr>
        <w:spacing w:before="240" w:line="480" w:lineRule="auto"/>
        <w:ind w:firstLine="720"/>
        <w:contextualSpacing/>
        <w:rPr>
          <w:color w:val="000000" w:themeColor="text1"/>
        </w:rPr>
      </w:pPr>
      <w:r w:rsidRPr="00C40793">
        <w:rPr>
          <w:color w:val="000000" w:themeColor="text1"/>
        </w:rPr>
        <w:t xml:space="preserve">Although the present </w:t>
      </w:r>
      <w:r w:rsidR="004E5C65" w:rsidRPr="00C40793">
        <w:rPr>
          <w:color w:val="000000" w:themeColor="text1"/>
        </w:rPr>
        <w:t>findings</w:t>
      </w:r>
      <w:r w:rsidRPr="00C40793">
        <w:rPr>
          <w:color w:val="000000" w:themeColor="text1"/>
        </w:rPr>
        <w:t xml:space="preserve"> provide useful data for </w:t>
      </w:r>
      <w:r w:rsidR="004E5C65" w:rsidRPr="00C40793">
        <w:rPr>
          <w:color w:val="000000" w:themeColor="text1"/>
        </w:rPr>
        <w:t xml:space="preserve">the </w:t>
      </w:r>
      <w:r w:rsidRPr="00C40793">
        <w:rPr>
          <w:color w:val="000000" w:themeColor="text1"/>
        </w:rPr>
        <w:t xml:space="preserve">development of future studies, our research has several limitations. Firstly, </w:t>
      </w:r>
      <w:r w:rsidR="003B18AD" w:rsidRPr="00C40793">
        <w:rPr>
          <w:color w:val="000000" w:themeColor="text1"/>
        </w:rPr>
        <w:t xml:space="preserve">we used positivist, quantitative questionnaires that have previously been used mainly in </w:t>
      </w:r>
      <w:r w:rsidRPr="00C40793">
        <w:rPr>
          <w:color w:val="000000" w:themeColor="text1"/>
        </w:rPr>
        <w:t>Western cultures</w:t>
      </w:r>
      <w:r w:rsidR="003B18AD" w:rsidRPr="00C40793">
        <w:rPr>
          <w:color w:val="000000" w:themeColor="text1"/>
        </w:rPr>
        <w:t xml:space="preserve">. </w:t>
      </w:r>
      <w:r w:rsidR="007B7BDC" w:rsidRPr="00C40793">
        <w:rPr>
          <w:color w:val="000000" w:themeColor="text1"/>
        </w:rPr>
        <w:t>To</w:t>
      </w:r>
      <w:r w:rsidR="003B18AD" w:rsidRPr="00C40793">
        <w:rPr>
          <w:color w:val="000000" w:themeColor="text1"/>
        </w:rPr>
        <w:t xml:space="preserve"> understand cultural scripts around experiences relating to harassment and bystander behaviour, </w:t>
      </w:r>
      <w:r w:rsidR="00CF6F20" w:rsidRPr="00C40793">
        <w:rPr>
          <w:color w:val="000000" w:themeColor="text1"/>
        </w:rPr>
        <w:t xml:space="preserve">further </w:t>
      </w:r>
      <w:r w:rsidR="003B18AD" w:rsidRPr="00C40793">
        <w:rPr>
          <w:color w:val="000000" w:themeColor="text1"/>
        </w:rPr>
        <w:t xml:space="preserve">qualitative </w:t>
      </w:r>
      <w:r w:rsidR="00CF6F20" w:rsidRPr="00C40793">
        <w:rPr>
          <w:color w:val="000000" w:themeColor="text1"/>
        </w:rPr>
        <w:t xml:space="preserve">research </w:t>
      </w:r>
      <w:r w:rsidR="003B18AD" w:rsidRPr="00C40793">
        <w:rPr>
          <w:color w:val="000000" w:themeColor="text1"/>
        </w:rPr>
        <w:t xml:space="preserve">is necessary (Madriz, 1998). </w:t>
      </w:r>
      <w:r w:rsidR="0030624D" w:rsidRPr="00C40793">
        <w:rPr>
          <w:color w:val="000000" w:themeColor="text1"/>
        </w:rPr>
        <w:t xml:space="preserve">Qualitative research gives more nuanced ideas about the specific barriers that bystanders face (e.g., </w:t>
      </w:r>
      <w:proofErr w:type="spellStart"/>
      <w:r w:rsidR="0030624D" w:rsidRPr="003A7D48">
        <w:rPr>
          <w:color w:val="000000" w:themeColor="text1"/>
          <w:shd w:val="clear" w:color="auto" w:fill="FFFFFF"/>
        </w:rPr>
        <w:t>Hoxmeier</w:t>
      </w:r>
      <w:proofErr w:type="spellEnd"/>
      <w:r w:rsidR="0018780E" w:rsidRPr="00C40793">
        <w:rPr>
          <w:color w:val="000000" w:themeColor="text1"/>
          <w:shd w:val="clear" w:color="auto" w:fill="FFFFFF"/>
        </w:rPr>
        <w:t xml:space="preserve"> et al.</w:t>
      </w:r>
      <w:r w:rsidR="0030624D" w:rsidRPr="003A7D48">
        <w:rPr>
          <w:color w:val="000000" w:themeColor="text1"/>
          <w:shd w:val="clear" w:color="auto" w:fill="FFFFFF"/>
        </w:rPr>
        <w:t>, 2019)</w:t>
      </w:r>
      <w:r w:rsidR="002362D9" w:rsidRPr="00C40793">
        <w:rPr>
          <w:color w:val="000000" w:themeColor="text1"/>
          <w:shd w:val="clear" w:color="auto" w:fill="FFFFFF"/>
        </w:rPr>
        <w:t>, which is especially important in new contexts of investigation (e.g., see Hennelly et al., 2019, for a study in the UK)</w:t>
      </w:r>
      <w:r w:rsidR="002362D9" w:rsidRPr="00C40793">
        <w:rPr>
          <w:color w:val="000000" w:themeColor="text1"/>
        </w:rPr>
        <w:t xml:space="preserve">. </w:t>
      </w:r>
      <w:r w:rsidR="004E5C65" w:rsidRPr="00C40793">
        <w:rPr>
          <w:color w:val="000000" w:themeColor="text1"/>
        </w:rPr>
        <w:t>To</w:t>
      </w:r>
      <w:r w:rsidR="002362D9" w:rsidRPr="00C40793">
        <w:rPr>
          <w:color w:val="000000" w:themeColor="text1"/>
        </w:rPr>
        <w:t xml:space="preserve"> understand the bystander barriers in Ecuador, it </w:t>
      </w:r>
      <w:r w:rsidR="000A73C1">
        <w:rPr>
          <w:color w:val="000000" w:themeColor="text1"/>
        </w:rPr>
        <w:t>is</w:t>
      </w:r>
      <w:r w:rsidR="002362D9" w:rsidRPr="00C40793">
        <w:rPr>
          <w:color w:val="000000" w:themeColor="text1"/>
        </w:rPr>
        <w:t xml:space="preserve"> important to </w:t>
      </w:r>
      <w:r w:rsidR="003B18AD" w:rsidRPr="00C40793">
        <w:rPr>
          <w:color w:val="000000" w:themeColor="text1"/>
        </w:rPr>
        <w:t xml:space="preserve">focus on participatory qualitative </w:t>
      </w:r>
      <w:r w:rsidR="001910AF" w:rsidRPr="00C40793">
        <w:rPr>
          <w:color w:val="000000" w:themeColor="text1"/>
        </w:rPr>
        <w:t>research and</w:t>
      </w:r>
      <w:r w:rsidR="003B18AD" w:rsidRPr="00C40793">
        <w:rPr>
          <w:color w:val="000000" w:themeColor="text1"/>
        </w:rPr>
        <w:t xml:space="preserve"> use the results to design and validate quantitative tools that may be more appropriate in the Ecuadorian and Latin American </w:t>
      </w:r>
      <w:r w:rsidR="004E5C65" w:rsidRPr="00C40793">
        <w:rPr>
          <w:color w:val="000000" w:themeColor="text1"/>
        </w:rPr>
        <w:t xml:space="preserve">context </w:t>
      </w:r>
      <w:r w:rsidR="003B18AD" w:rsidRPr="00C40793">
        <w:rPr>
          <w:color w:val="000000" w:themeColor="text1"/>
        </w:rPr>
        <w:t xml:space="preserve">(see also Liamputtong, 2010). </w:t>
      </w:r>
    </w:p>
    <w:p w14:paraId="00000043" w14:textId="693AD6EC" w:rsidR="00BF1871" w:rsidRPr="00C40793" w:rsidRDefault="002C5566" w:rsidP="003A7D48">
      <w:pPr>
        <w:spacing w:before="240" w:line="480" w:lineRule="auto"/>
        <w:ind w:firstLine="720"/>
        <w:contextualSpacing/>
        <w:rPr>
          <w:color w:val="000000" w:themeColor="text1"/>
          <w:highlight w:val="white"/>
        </w:rPr>
      </w:pPr>
      <w:r w:rsidRPr="00C40793">
        <w:rPr>
          <w:color w:val="000000" w:themeColor="text1"/>
        </w:rPr>
        <w:t>Second, r</w:t>
      </w:r>
      <w:r w:rsidR="003B18AD" w:rsidRPr="00C40793">
        <w:rPr>
          <w:color w:val="000000" w:themeColor="text1"/>
        </w:rPr>
        <w:t xml:space="preserve">eflecting the prevalence of sexual harassment that occurs in academia (e.g., </w:t>
      </w:r>
      <w:proofErr w:type="spellStart"/>
      <w:r w:rsidR="003B18AD" w:rsidRPr="00C40793">
        <w:rPr>
          <w:color w:val="000000" w:themeColor="text1"/>
        </w:rPr>
        <w:t>Guarderas</w:t>
      </w:r>
      <w:proofErr w:type="spellEnd"/>
      <w:r w:rsidR="003B18AD" w:rsidRPr="00C40793">
        <w:rPr>
          <w:color w:val="000000" w:themeColor="text1"/>
        </w:rPr>
        <w:t xml:space="preserve"> et al., 2018; Klein &amp; Martin, 2019), the present study focused on bystander behaviour in the context of Higher Education i</w:t>
      </w:r>
      <w:r w:rsidR="00BF4D08" w:rsidRPr="00C40793">
        <w:rPr>
          <w:color w:val="000000" w:themeColor="text1"/>
        </w:rPr>
        <w:t xml:space="preserve">n Ecuador. </w:t>
      </w:r>
      <w:r w:rsidR="003B18AD" w:rsidRPr="00C40793">
        <w:rPr>
          <w:color w:val="000000" w:themeColor="text1"/>
        </w:rPr>
        <w:t xml:space="preserve">However, other contexts are </w:t>
      </w:r>
      <w:r w:rsidR="00CF6F20" w:rsidRPr="00C40793">
        <w:rPr>
          <w:color w:val="000000" w:themeColor="text1"/>
        </w:rPr>
        <w:t xml:space="preserve">also </w:t>
      </w:r>
      <w:r w:rsidR="003B18AD" w:rsidRPr="00C40793">
        <w:rPr>
          <w:color w:val="000000" w:themeColor="text1"/>
        </w:rPr>
        <w:t>important, and may present different barriers to bystander</w:t>
      </w:r>
      <w:r w:rsidR="00CF6F20" w:rsidRPr="00C40793">
        <w:rPr>
          <w:color w:val="000000" w:themeColor="text1"/>
        </w:rPr>
        <w:t xml:space="preserve"> intervention</w:t>
      </w:r>
      <w:r w:rsidR="003B18AD" w:rsidRPr="00C40793">
        <w:rPr>
          <w:color w:val="000000" w:themeColor="text1"/>
        </w:rPr>
        <w:t xml:space="preserve">. For example, sexual harassment in public spaces, streets, and public transport (see </w:t>
      </w:r>
      <w:r w:rsidR="003B18AD" w:rsidRPr="00C40793">
        <w:rPr>
          <w:color w:val="000000" w:themeColor="text1"/>
          <w:highlight w:val="white"/>
        </w:rPr>
        <w:t>López</w:t>
      </w:r>
      <w:r w:rsidR="001910AF" w:rsidRPr="00C40793">
        <w:rPr>
          <w:color w:val="000000" w:themeColor="text1"/>
          <w:highlight w:val="white"/>
        </w:rPr>
        <w:t xml:space="preserve"> et al.</w:t>
      </w:r>
      <w:r w:rsidR="003B18AD" w:rsidRPr="00C40793">
        <w:rPr>
          <w:color w:val="000000" w:themeColor="text1"/>
          <w:highlight w:val="white"/>
        </w:rPr>
        <w:t>, 2020 for “</w:t>
      </w:r>
      <w:proofErr w:type="spellStart"/>
      <w:r w:rsidR="003B18AD" w:rsidRPr="00C40793">
        <w:rPr>
          <w:color w:val="000000" w:themeColor="text1"/>
          <w:highlight w:val="white"/>
        </w:rPr>
        <w:t>acoso</w:t>
      </w:r>
      <w:proofErr w:type="spellEnd"/>
      <w:r w:rsidR="003B18AD" w:rsidRPr="00C40793">
        <w:rPr>
          <w:color w:val="000000" w:themeColor="text1"/>
          <w:highlight w:val="white"/>
        </w:rPr>
        <w:t xml:space="preserve"> </w:t>
      </w:r>
      <w:proofErr w:type="spellStart"/>
      <w:r w:rsidR="003B18AD" w:rsidRPr="00C40793">
        <w:rPr>
          <w:color w:val="000000" w:themeColor="text1"/>
          <w:highlight w:val="white"/>
        </w:rPr>
        <w:lastRenderedPageBreak/>
        <w:t>callejero</w:t>
      </w:r>
      <w:proofErr w:type="spellEnd"/>
      <w:r w:rsidR="003B18AD" w:rsidRPr="00C40793">
        <w:rPr>
          <w:color w:val="000000" w:themeColor="text1"/>
          <w:highlight w:val="white"/>
        </w:rPr>
        <w:t>”) are problematic in Ecuador. The barriers and facilitators for intervening as a bystander in these contexts should be investigated in future research</w:t>
      </w:r>
      <w:r w:rsidR="00DC33C0" w:rsidRPr="00C40793">
        <w:rPr>
          <w:color w:val="000000" w:themeColor="text1"/>
          <w:highlight w:val="white"/>
        </w:rPr>
        <w:t xml:space="preserve"> since they may have an effect on community life more generally</w:t>
      </w:r>
      <w:r w:rsidR="003B18AD" w:rsidRPr="00C40793">
        <w:rPr>
          <w:color w:val="000000" w:themeColor="text1"/>
          <w:highlight w:val="white"/>
        </w:rPr>
        <w:t>.</w:t>
      </w:r>
    </w:p>
    <w:p w14:paraId="5F7A793A" w14:textId="185313A6" w:rsidR="002C5566" w:rsidRPr="00C40793" w:rsidRDefault="002C5566" w:rsidP="003A7D48">
      <w:pPr>
        <w:spacing w:before="240" w:line="480" w:lineRule="auto"/>
        <w:ind w:firstLine="720"/>
        <w:contextualSpacing/>
        <w:rPr>
          <w:color w:val="000000" w:themeColor="text1"/>
          <w:highlight w:val="white"/>
        </w:rPr>
      </w:pPr>
      <w:r w:rsidRPr="00C40793">
        <w:rPr>
          <w:color w:val="000000" w:themeColor="text1"/>
          <w:highlight w:val="white"/>
        </w:rPr>
        <w:t>Third</w:t>
      </w:r>
      <w:r w:rsidR="002362D9" w:rsidRPr="00C40793">
        <w:rPr>
          <w:color w:val="000000" w:themeColor="text1"/>
          <w:highlight w:val="white"/>
        </w:rPr>
        <w:t xml:space="preserve">, our pilot study had </w:t>
      </w:r>
      <w:r w:rsidR="00AB6464" w:rsidRPr="00C40793">
        <w:rPr>
          <w:color w:val="000000" w:themeColor="text1"/>
          <w:highlight w:val="white"/>
        </w:rPr>
        <w:t>small</w:t>
      </w:r>
      <w:r w:rsidR="00BF4D08" w:rsidRPr="00C40793">
        <w:rPr>
          <w:color w:val="000000" w:themeColor="text1"/>
          <w:highlight w:val="white"/>
        </w:rPr>
        <w:t xml:space="preserve">, self-selected </w:t>
      </w:r>
      <w:r w:rsidR="003B18AD" w:rsidRPr="00C40793">
        <w:rPr>
          <w:color w:val="000000" w:themeColor="text1"/>
          <w:highlight w:val="white"/>
        </w:rPr>
        <w:t>sample</w:t>
      </w:r>
      <w:r w:rsidR="00BF4D08" w:rsidRPr="00C40793">
        <w:rPr>
          <w:color w:val="000000" w:themeColor="text1"/>
          <w:highlight w:val="white"/>
        </w:rPr>
        <w:t xml:space="preserve">, which is not representative of the </w:t>
      </w:r>
      <w:r w:rsidR="00214DC2" w:rsidRPr="00C40793">
        <w:rPr>
          <w:color w:val="000000" w:themeColor="text1"/>
          <w:highlight w:val="white"/>
        </w:rPr>
        <w:t xml:space="preserve">wider </w:t>
      </w:r>
      <w:r w:rsidR="00BF4D08" w:rsidRPr="00C40793">
        <w:rPr>
          <w:color w:val="000000" w:themeColor="text1"/>
          <w:highlight w:val="white"/>
        </w:rPr>
        <w:t>University population in Ecuador</w:t>
      </w:r>
      <w:r w:rsidR="007B7BDC" w:rsidRPr="00C40793">
        <w:rPr>
          <w:color w:val="000000" w:themeColor="text1"/>
          <w:highlight w:val="white"/>
        </w:rPr>
        <w:t xml:space="preserve">. </w:t>
      </w:r>
      <w:r w:rsidR="00BF4D08" w:rsidRPr="00C40793">
        <w:rPr>
          <w:color w:val="000000" w:themeColor="text1"/>
          <w:highlight w:val="white"/>
        </w:rPr>
        <w:t xml:space="preserve">Although convenience and snowball sampling are an easy way </w:t>
      </w:r>
      <w:r w:rsidR="002362D9" w:rsidRPr="00C40793">
        <w:rPr>
          <w:color w:val="000000" w:themeColor="text1"/>
          <w:highlight w:val="white"/>
        </w:rPr>
        <w:t>to obtain</w:t>
      </w:r>
      <w:r w:rsidR="00BF4D08" w:rsidRPr="00C40793">
        <w:rPr>
          <w:color w:val="000000" w:themeColor="text1"/>
          <w:highlight w:val="white"/>
        </w:rPr>
        <w:t xml:space="preserve"> pilot data, this sampling method</w:t>
      </w:r>
      <w:r w:rsidR="000A73C1">
        <w:rPr>
          <w:color w:val="000000" w:themeColor="text1"/>
          <w:highlight w:val="white"/>
        </w:rPr>
        <w:t xml:space="preserve"> limits generalis</w:t>
      </w:r>
      <w:r w:rsidR="007B7BDC" w:rsidRPr="00C40793">
        <w:rPr>
          <w:color w:val="000000" w:themeColor="text1"/>
          <w:highlight w:val="white"/>
        </w:rPr>
        <w:t>ability</w:t>
      </w:r>
      <w:r w:rsidR="00BF4D08" w:rsidRPr="00C40793">
        <w:rPr>
          <w:color w:val="000000" w:themeColor="text1"/>
          <w:highlight w:val="white"/>
        </w:rPr>
        <w:t xml:space="preserve"> of the </w:t>
      </w:r>
      <w:r w:rsidR="00214DC2" w:rsidRPr="00C40793">
        <w:rPr>
          <w:color w:val="000000" w:themeColor="text1"/>
          <w:highlight w:val="white"/>
        </w:rPr>
        <w:t>findings</w:t>
      </w:r>
      <w:r w:rsidR="00BF4D08" w:rsidRPr="00C40793">
        <w:rPr>
          <w:color w:val="000000" w:themeColor="text1"/>
          <w:highlight w:val="white"/>
        </w:rPr>
        <w:t xml:space="preserve"> (</w:t>
      </w:r>
      <w:proofErr w:type="spellStart"/>
      <w:r w:rsidR="00BF4D08" w:rsidRPr="00C40793">
        <w:rPr>
          <w:color w:val="000000" w:themeColor="text1"/>
          <w:highlight w:val="white"/>
        </w:rPr>
        <w:t>Tyrer</w:t>
      </w:r>
      <w:proofErr w:type="spellEnd"/>
      <w:r w:rsidR="00BF4D08" w:rsidRPr="00C40793">
        <w:rPr>
          <w:color w:val="000000" w:themeColor="text1"/>
          <w:highlight w:val="white"/>
        </w:rPr>
        <w:t xml:space="preserve"> &amp; Heyman, 2016).</w:t>
      </w:r>
      <w:r w:rsidR="002362D9" w:rsidRPr="00C40793">
        <w:rPr>
          <w:color w:val="000000" w:themeColor="text1"/>
          <w:highlight w:val="white"/>
        </w:rPr>
        <w:t xml:space="preserve"> Future research should focus on obtaining a more </w:t>
      </w:r>
      <w:r w:rsidR="00214DC2" w:rsidRPr="00C40793">
        <w:rPr>
          <w:color w:val="000000" w:themeColor="text1"/>
          <w:highlight w:val="white"/>
        </w:rPr>
        <w:t>representative</w:t>
      </w:r>
      <w:r w:rsidR="002362D9" w:rsidRPr="00C40793">
        <w:rPr>
          <w:color w:val="000000" w:themeColor="text1"/>
          <w:highlight w:val="white"/>
        </w:rPr>
        <w:t xml:space="preserve"> sample of staff and students in Ecuador. </w:t>
      </w:r>
      <w:r w:rsidRPr="00C40793">
        <w:rPr>
          <w:color w:val="000000" w:themeColor="text1"/>
          <w:highlight w:val="white"/>
        </w:rPr>
        <w:t>Fourth</w:t>
      </w:r>
      <w:r w:rsidR="002362D9" w:rsidRPr="00C40793">
        <w:rPr>
          <w:color w:val="000000" w:themeColor="text1"/>
          <w:highlight w:val="white"/>
        </w:rPr>
        <w:t>, the small sample size</w:t>
      </w:r>
      <w:r w:rsidR="007B7BDC" w:rsidRPr="00C40793">
        <w:rPr>
          <w:color w:val="000000" w:themeColor="text1"/>
          <w:highlight w:val="white"/>
        </w:rPr>
        <w:t xml:space="preserve"> also</w:t>
      </w:r>
      <w:r w:rsidR="003B18AD" w:rsidRPr="00C40793">
        <w:rPr>
          <w:color w:val="000000" w:themeColor="text1"/>
          <w:highlight w:val="white"/>
        </w:rPr>
        <w:t xml:space="preserve"> meant we could not investigate differences between academic disciplines</w:t>
      </w:r>
      <w:r w:rsidR="002362D9" w:rsidRPr="00C40793">
        <w:rPr>
          <w:color w:val="000000" w:themeColor="text1"/>
          <w:highlight w:val="white"/>
        </w:rPr>
        <w:t>.</w:t>
      </w:r>
      <w:r w:rsidR="003B18AD" w:rsidRPr="00C40793">
        <w:rPr>
          <w:color w:val="000000" w:themeColor="text1"/>
          <w:highlight w:val="white"/>
        </w:rPr>
        <w:t xml:space="preserve"> For instance, medical students may experience harassment from patients or patients’ families (Vargas et al., 2020), which may result in different barriers for bystanders. </w:t>
      </w:r>
      <w:r w:rsidR="00D5738C" w:rsidRPr="00C40793">
        <w:rPr>
          <w:color w:val="000000" w:themeColor="text1"/>
          <w:highlight w:val="white"/>
        </w:rPr>
        <w:t xml:space="preserve">The issues </w:t>
      </w:r>
      <w:r w:rsidR="00214DC2" w:rsidRPr="00C40793">
        <w:rPr>
          <w:color w:val="000000" w:themeColor="text1"/>
          <w:highlight w:val="white"/>
        </w:rPr>
        <w:t>could</w:t>
      </w:r>
      <w:r w:rsidR="00D5738C" w:rsidRPr="00C40793">
        <w:rPr>
          <w:color w:val="000000" w:themeColor="text1"/>
          <w:highlight w:val="white"/>
        </w:rPr>
        <w:t xml:space="preserve"> be rectified </w:t>
      </w:r>
      <w:r w:rsidR="000A73C1">
        <w:rPr>
          <w:color w:val="000000" w:themeColor="text1"/>
          <w:highlight w:val="white"/>
        </w:rPr>
        <w:t xml:space="preserve">in future studies </w:t>
      </w:r>
      <w:r w:rsidR="00214DC2" w:rsidRPr="00C40793">
        <w:rPr>
          <w:color w:val="000000" w:themeColor="text1"/>
          <w:highlight w:val="white"/>
        </w:rPr>
        <w:t>by</w:t>
      </w:r>
      <w:r w:rsidR="00D5738C" w:rsidRPr="00C40793">
        <w:rPr>
          <w:color w:val="000000" w:themeColor="text1"/>
          <w:highlight w:val="white"/>
        </w:rPr>
        <w:t xml:space="preserve"> utilis</w:t>
      </w:r>
      <w:r w:rsidR="00214DC2" w:rsidRPr="00C40793">
        <w:rPr>
          <w:color w:val="000000" w:themeColor="text1"/>
          <w:highlight w:val="white"/>
        </w:rPr>
        <w:t>ing</w:t>
      </w:r>
      <w:r w:rsidR="00D5738C" w:rsidRPr="00C40793">
        <w:rPr>
          <w:color w:val="000000" w:themeColor="text1"/>
          <w:highlight w:val="white"/>
        </w:rPr>
        <w:t xml:space="preserve"> random sampling and comparisons between disciplines</w:t>
      </w:r>
      <w:r w:rsidR="000A73C1">
        <w:rPr>
          <w:color w:val="000000" w:themeColor="text1"/>
          <w:highlight w:val="white"/>
        </w:rPr>
        <w:t>.</w:t>
      </w:r>
    </w:p>
    <w:p w14:paraId="10C56997" w14:textId="2275ADEA" w:rsidR="002C5566" w:rsidRPr="00C40793" w:rsidRDefault="002C5566" w:rsidP="003A7D48">
      <w:pPr>
        <w:spacing w:before="240" w:line="480" w:lineRule="auto"/>
        <w:ind w:firstLine="720"/>
        <w:contextualSpacing/>
        <w:rPr>
          <w:color w:val="000000" w:themeColor="text1"/>
          <w:highlight w:val="white"/>
        </w:rPr>
      </w:pPr>
      <w:r w:rsidRPr="00C40793">
        <w:rPr>
          <w:color w:val="000000" w:themeColor="text1"/>
          <w:highlight w:val="white"/>
        </w:rPr>
        <w:t>Fifth</w:t>
      </w:r>
      <w:r w:rsidR="002362D9" w:rsidRPr="00C40793">
        <w:rPr>
          <w:color w:val="000000" w:themeColor="text1"/>
          <w:highlight w:val="white"/>
        </w:rPr>
        <w:t>,</w:t>
      </w:r>
      <w:r w:rsidR="003B18AD" w:rsidRPr="00C40793">
        <w:rPr>
          <w:color w:val="000000" w:themeColor="text1"/>
          <w:highlight w:val="white"/>
        </w:rPr>
        <w:t xml:space="preserve"> we did not consider how </w:t>
      </w:r>
      <w:r w:rsidR="003E66FA" w:rsidRPr="00C40793">
        <w:rPr>
          <w:color w:val="000000" w:themeColor="text1"/>
          <w:highlight w:val="white"/>
        </w:rPr>
        <w:t xml:space="preserve">intragroup dynamics and social </w:t>
      </w:r>
      <w:r w:rsidR="003B18AD" w:rsidRPr="00C40793">
        <w:rPr>
          <w:color w:val="000000" w:themeColor="text1"/>
          <w:highlight w:val="white"/>
        </w:rPr>
        <w:t xml:space="preserve">hierarchies influence the difficulty and likelihood </w:t>
      </w:r>
      <w:r w:rsidR="00211310" w:rsidRPr="00C40793">
        <w:rPr>
          <w:color w:val="000000" w:themeColor="text1"/>
          <w:highlight w:val="white"/>
        </w:rPr>
        <w:t xml:space="preserve">of </w:t>
      </w:r>
      <w:r w:rsidR="003B18AD" w:rsidRPr="00C40793">
        <w:rPr>
          <w:color w:val="000000" w:themeColor="text1"/>
          <w:highlight w:val="white"/>
        </w:rPr>
        <w:t>act</w:t>
      </w:r>
      <w:r w:rsidR="00211310" w:rsidRPr="00C40793">
        <w:rPr>
          <w:color w:val="000000" w:themeColor="text1"/>
          <w:highlight w:val="white"/>
        </w:rPr>
        <w:t>ing</w:t>
      </w:r>
      <w:r w:rsidR="003B18AD" w:rsidRPr="00C40793">
        <w:rPr>
          <w:color w:val="000000" w:themeColor="text1"/>
          <w:highlight w:val="white"/>
        </w:rPr>
        <w:t xml:space="preserve"> as a bystander. Bystander behaviours </w:t>
      </w:r>
      <w:r w:rsidR="00C554EA" w:rsidRPr="00C40793">
        <w:rPr>
          <w:color w:val="000000" w:themeColor="text1"/>
          <w:highlight w:val="white"/>
        </w:rPr>
        <w:t xml:space="preserve">are more </w:t>
      </w:r>
      <w:r w:rsidR="00AB6464" w:rsidRPr="00C40793">
        <w:rPr>
          <w:color w:val="000000" w:themeColor="text1"/>
          <w:highlight w:val="white"/>
        </w:rPr>
        <w:t>challenging</w:t>
      </w:r>
      <w:r w:rsidR="00C554EA" w:rsidRPr="00C40793">
        <w:rPr>
          <w:color w:val="000000" w:themeColor="text1"/>
          <w:highlight w:val="white"/>
        </w:rPr>
        <w:t xml:space="preserve"> to perform when the perpetrator</w:t>
      </w:r>
      <w:r w:rsidR="00211310" w:rsidRPr="00C40793">
        <w:rPr>
          <w:color w:val="000000" w:themeColor="text1"/>
          <w:highlight w:val="white"/>
        </w:rPr>
        <w:t xml:space="preserve"> has more </w:t>
      </w:r>
      <w:r w:rsidR="00331945" w:rsidRPr="00C40793">
        <w:rPr>
          <w:color w:val="000000" w:themeColor="text1"/>
          <w:highlight w:val="white"/>
        </w:rPr>
        <w:t>power</w:t>
      </w:r>
      <w:r w:rsidR="00211310" w:rsidRPr="00C40793">
        <w:rPr>
          <w:color w:val="000000" w:themeColor="text1"/>
          <w:highlight w:val="white"/>
        </w:rPr>
        <w:t xml:space="preserve"> in the social hierarchy </w:t>
      </w:r>
      <w:r w:rsidR="003B18AD" w:rsidRPr="00C40793">
        <w:rPr>
          <w:color w:val="000000" w:themeColor="text1"/>
          <w:highlight w:val="white"/>
        </w:rPr>
        <w:t>(</w:t>
      </w:r>
      <w:r w:rsidR="00C554EA" w:rsidRPr="00C40793">
        <w:rPr>
          <w:color w:val="000000" w:themeColor="text1"/>
          <w:highlight w:val="white"/>
        </w:rPr>
        <w:t xml:space="preserve">see </w:t>
      </w:r>
      <w:proofErr w:type="spellStart"/>
      <w:r w:rsidR="003B18AD" w:rsidRPr="00C40793">
        <w:rPr>
          <w:color w:val="000000" w:themeColor="text1"/>
          <w:highlight w:val="white"/>
        </w:rPr>
        <w:t>Wamboldt</w:t>
      </w:r>
      <w:proofErr w:type="spellEnd"/>
      <w:r w:rsidR="001910AF" w:rsidRPr="00C40793">
        <w:rPr>
          <w:color w:val="000000" w:themeColor="text1"/>
          <w:highlight w:val="white"/>
        </w:rPr>
        <w:t xml:space="preserve"> et al.</w:t>
      </w:r>
      <w:r w:rsidR="003B18AD" w:rsidRPr="00C40793">
        <w:rPr>
          <w:color w:val="000000" w:themeColor="text1"/>
          <w:highlight w:val="white"/>
        </w:rPr>
        <w:t>, 2019)</w:t>
      </w:r>
      <w:r w:rsidR="00A60713" w:rsidRPr="00C40793">
        <w:rPr>
          <w:color w:val="000000" w:themeColor="text1"/>
          <w:highlight w:val="white"/>
        </w:rPr>
        <w:t>.</w:t>
      </w:r>
      <w:r w:rsidR="00AF295F" w:rsidRPr="00C40793">
        <w:rPr>
          <w:color w:val="000000" w:themeColor="text1"/>
          <w:highlight w:val="white"/>
        </w:rPr>
        <w:t xml:space="preserve"> Although Ecuadorian law prohibits the use of social position in soliciting sexual favours (Article 166; </w:t>
      </w:r>
      <w:proofErr w:type="spellStart"/>
      <w:r w:rsidR="00AF295F" w:rsidRPr="00C40793">
        <w:rPr>
          <w:color w:val="000000" w:themeColor="text1"/>
          <w:highlight w:val="white"/>
        </w:rPr>
        <w:t>Secretaria</w:t>
      </w:r>
      <w:proofErr w:type="spellEnd"/>
      <w:r w:rsidR="00AF295F" w:rsidRPr="00C40793">
        <w:rPr>
          <w:color w:val="000000" w:themeColor="text1"/>
          <w:highlight w:val="white"/>
        </w:rPr>
        <w:t xml:space="preserve"> de Education Superior, </w:t>
      </w:r>
      <w:proofErr w:type="spellStart"/>
      <w:r w:rsidR="00AF295F" w:rsidRPr="00C40793">
        <w:rPr>
          <w:color w:val="000000" w:themeColor="text1"/>
          <w:highlight w:val="white"/>
        </w:rPr>
        <w:t>Ciencia</w:t>
      </w:r>
      <w:proofErr w:type="spellEnd"/>
      <w:r w:rsidR="00AF295F" w:rsidRPr="00C40793">
        <w:rPr>
          <w:color w:val="000000" w:themeColor="text1"/>
          <w:highlight w:val="white"/>
        </w:rPr>
        <w:t xml:space="preserve">, </w:t>
      </w:r>
      <w:proofErr w:type="spellStart"/>
      <w:r w:rsidR="00AF295F" w:rsidRPr="00C40793">
        <w:rPr>
          <w:color w:val="000000" w:themeColor="text1"/>
          <w:highlight w:val="white"/>
        </w:rPr>
        <w:t>Tecnologia</w:t>
      </w:r>
      <w:proofErr w:type="spellEnd"/>
      <w:r w:rsidR="00AF295F" w:rsidRPr="00C40793">
        <w:rPr>
          <w:color w:val="000000" w:themeColor="text1"/>
          <w:highlight w:val="white"/>
        </w:rPr>
        <w:t xml:space="preserve">, e </w:t>
      </w:r>
      <w:proofErr w:type="spellStart"/>
      <w:r w:rsidR="00AF295F" w:rsidRPr="00C40793">
        <w:rPr>
          <w:color w:val="000000" w:themeColor="text1"/>
          <w:highlight w:val="white"/>
        </w:rPr>
        <w:t>Innovacion</w:t>
      </w:r>
      <w:proofErr w:type="spellEnd"/>
      <w:r w:rsidR="00AF295F" w:rsidRPr="00C40793">
        <w:rPr>
          <w:color w:val="000000" w:themeColor="text1"/>
          <w:highlight w:val="white"/>
        </w:rPr>
        <w:t xml:space="preserve">, 2018), the use of power imbalance as a tool for harassment is sadly not uncommon among professors (see Morales </w:t>
      </w:r>
      <w:proofErr w:type="spellStart"/>
      <w:r w:rsidR="00AF295F" w:rsidRPr="00C40793">
        <w:rPr>
          <w:color w:val="000000" w:themeColor="text1"/>
          <w:highlight w:val="white"/>
        </w:rPr>
        <w:t>Cobos</w:t>
      </w:r>
      <w:proofErr w:type="spellEnd"/>
      <w:r w:rsidR="00AF295F" w:rsidRPr="00C40793">
        <w:rPr>
          <w:color w:val="000000" w:themeColor="text1"/>
          <w:highlight w:val="white"/>
        </w:rPr>
        <w:t xml:space="preserve"> et al., 2020). </w:t>
      </w:r>
      <w:r w:rsidR="00C554EA" w:rsidRPr="00C40793">
        <w:rPr>
          <w:color w:val="000000" w:themeColor="text1"/>
          <w:highlight w:val="white"/>
        </w:rPr>
        <w:t>The risks for the bystander can be especially pronounced when the perpetrator holds power over the bystander.</w:t>
      </w:r>
      <w:r w:rsidR="00B05A61" w:rsidRPr="00C40793">
        <w:rPr>
          <w:color w:val="000000" w:themeColor="text1"/>
          <w:highlight w:val="white"/>
        </w:rPr>
        <w:t xml:space="preserve"> For example, a female professor in Mexico was recently </w:t>
      </w:r>
      <w:r w:rsidR="00817CD0">
        <w:rPr>
          <w:color w:val="000000" w:themeColor="text1"/>
          <w:highlight w:val="white"/>
        </w:rPr>
        <w:t>dismissed</w:t>
      </w:r>
      <w:r w:rsidR="00B05A61" w:rsidRPr="00C40793">
        <w:rPr>
          <w:color w:val="000000" w:themeColor="text1"/>
          <w:highlight w:val="white"/>
        </w:rPr>
        <w:t xml:space="preserve"> for helping her students to report harassment </w:t>
      </w:r>
      <w:r w:rsidR="00211310" w:rsidRPr="00C40793">
        <w:rPr>
          <w:color w:val="000000" w:themeColor="text1"/>
          <w:highlight w:val="white"/>
        </w:rPr>
        <w:t xml:space="preserve">from a male member of staff </w:t>
      </w:r>
      <w:r w:rsidR="00B05A61" w:rsidRPr="00C40793">
        <w:rPr>
          <w:color w:val="000000" w:themeColor="text1"/>
          <w:highlight w:val="white"/>
        </w:rPr>
        <w:t>(Matias, 2020)</w:t>
      </w:r>
      <w:r w:rsidR="00AB6464" w:rsidRPr="00C40793">
        <w:rPr>
          <w:color w:val="000000" w:themeColor="text1"/>
          <w:highlight w:val="white"/>
        </w:rPr>
        <w:t xml:space="preserve">. This does not only </w:t>
      </w:r>
      <w:r w:rsidR="00A60713" w:rsidRPr="00C40793">
        <w:rPr>
          <w:color w:val="000000" w:themeColor="text1"/>
          <w:highlight w:val="white"/>
        </w:rPr>
        <w:t>demonstrate that staff may face repercussions from university administration</w:t>
      </w:r>
      <w:r w:rsidR="00211310" w:rsidRPr="00C40793">
        <w:rPr>
          <w:color w:val="000000" w:themeColor="text1"/>
          <w:highlight w:val="white"/>
        </w:rPr>
        <w:t>, but also shows that power imbalances exist even in horizontal hierarchies – that among peers</w:t>
      </w:r>
      <w:r w:rsidR="00A60713" w:rsidRPr="00C40793">
        <w:rPr>
          <w:color w:val="000000" w:themeColor="text1"/>
          <w:highlight w:val="white"/>
        </w:rPr>
        <w:t xml:space="preserve">. In addition, professors have the power over student grades (e.g., Morales </w:t>
      </w:r>
      <w:proofErr w:type="spellStart"/>
      <w:r w:rsidR="00A60713" w:rsidRPr="00C40793">
        <w:rPr>
          <w:color w:val="000000" w:themeColor="text1"/>
          <w:highlight w:val="white"/>
        </w:rPr>
        <w:t>Cobos</w:t>
      </w:r>
      <w:proofErr w:type="spellEnd"/>
      <w:r w:rsidR="00A60713" w:rsidRPr="00C40793">
        <w:rPr>
          <w:color w:val="000000" w:themeColor="text1"/>
          <w:highlight w:val="white"/>
        </w:rPr>
        <w:t xml:space="preserve"> et al., 2020), which could </w:t>
      </w:r>
      <w:r w:rsidR="00A60713" w:rsidRPr="00C40793">
        <w:rPr>
          <w:color w:val="000000" w:themeColor="text1"/>
          <w:highlight w:val="white"/>
        </w:rPr>
        <w:lastRenderedPageBreak/>
        <w:t xml:space="preserve">risk the future </w:t>
      </w:r>
      <w:r w:rsidR="00211310" w:rsidRPr="00C40793">
        <w:rPr>
          <w:color w:val="000000" w:themeColor="text1"/>
          <w:highlight w:val="white"/>
        </w:rPr>
        <w:t xml:space="preserve">academic success </w:t>
      </w:r>
      <w:r w:rsidR="00A60713" w:rsidRPr="00C40793">
        <w:rPr>
          <w:color w:val="000000" w:themeColor="text1"/>
          <w:highlight w:val="white"/>
        </w:rPr>
        <w:t xml:space="preserve">of </w:t>
      </w:r>
      <w:r w:rsidR="00AB6464" w:rsidRPr="00C40793">
        <w:rPr>
          <w:color w:val="000000" w:themeColor="text1"/>
          <w:highlight w:val="white"/>
        </w:rPr>
        <w:t xml:space="preserve">those </w:t>
      </w:r>
      <w:r w:rsidR="00A60713" w:rsidRPr="00C40793">
        <w:rPr>
          <w:color w:val="000000" w:themeColor="text1"/>
          <w:highlight w:val="white"/>
        </w:rPr>
        <w:t xml:space="preserve">who take a stance as a bystander on behalf of a fellow student. </w:t>
      </w:r>
      <w:r w:rsidR="00AF295F" w:rsidRPr="00C40793">
        <w:rPr>
          <w:color w:val="000000" w:themeColor="text1"/>
          <w:highlight w:val="white"/>
        </w:rPr>
        <w:t>D</w:t>
      </w:r>
      <w:r w:rsidR="003B18AD" w:rsidRPr="00C40793">
        <w:rPr>
          <w:color w:val="000000" w:themeColor="text1"/>
          <w:highlight w:val="white"/>
        </w:rPr>
        <w:t xml:space="preserve">eeper knowledge of how </w:t>
      </w:r>
      <w:r w:rsidR="00211310" w:rsidRPr="00C40793">
        <w:rPr>
          <w:color w:val="000000" w:themeColor="text1"/>
          <w:highlight w:val="white"/>
        </w:rPr>
        <w:t xml:space="preserve">vertical and horizontal </w:t>
      </w:r>
      <w:r w:rsidR="003B18AD" w:rsidRPr="00C40793">
        <w:rPr>
          <w:color w:val="000000" w:themeColor="text1"/>
          <w:highlight w:val="white"/>
        </w:rPr>
        <w:t xml:space="preserve">hierarchies influence behaviours in Latin America would be beneficial for future interventions. </w:t>
      </w:r>
    </w:p>
    <w:p w14:paraId="00000044" w14:textId="15082B7F" w:rsidR="00BF1871" w:rsidRPr="00C40793" w:rsidRDefault="003B18AD" w:rsidP="003A7D48">
      <w:pPr>
        <w:spacing w:before="240" w:line="480" w:lineRule="auto"/>
        <w:ind w:firstLine="720"/>
        <w:contextualSpacing/>
        <w:rPr>
          <w:color w:val="000000" w:themeColor="text1"/>
          <w:highlight w:val="white"/>
        </w:rPr>
      </w:pPr>
      <w:r w:rsidRPr="00C40793">
        <w:rPr>
          <w:color w:val="000000" w:themeColor="text1"/>
          <w:highlight w:val="white"/>
        </w:rPr>
        <w:t>Finally, our research did not consider</w:t>
      </w:r>
      <w:r w:rsidR="002362D9" w:rsidRPr="00C40793">
        <w:rPr>
          <w:color w:val="000000" w:themeColor="text1"/>
          <w:highlight w:val="white"/>
        </w:rPr>
        <w:t xml:space="preserve"> </w:t>
      </w:r>
      <w:r w:rsidRPr="00C40793">
        <w:rPr>
          <w:color w:val="000000" w:themeColor="text1"/>
          <w:highlight w:val="white"/>
        </w:rPr>
        <w:t>sexual orientation</w:t>
      </w:r>
      <w:r w:rsidR="00AB6464" w:rsidRPr="00C40793">
        <w:rPr>
          <w:color w:val="000000" w:themeColor="text1"/>
          <w:highlight w:val="white"/>
        </w:rPr>
        <w:t xml:space="preserve"> </w:t>
      </w:r>
      <w:r w:rsidR="002362D9" w:rsidRPr="00C40793">
        <w:rPr>
          <w:color w:val="000000" w:themeColor="text1"/>
          <w:highlight w:val="white"/>
        </w:rPr>
        <w:t>or gender identity</w:t>
      </w:r>
      <w:r w:rsidRPr="00C40793">
        <w:rPr>
          <w:color w:val="000000" w:themeColor="text1"/>
          <w:highlight w:val="white"/>
        </w:rPr>
        <w:t>. Bystander action in sexual harassment situations involving individuals from the LGBTQ+ communities may depend on attitudes and social contact (</w:t>
      </w:r>
      <w:proofErr w:type="spellStart"/>
      <w:r w:rsidRPr="00C40793">
        <w:rPr>
          <w:color w:val="000000" w:themeColor="text1"/>
          <w:highlight w:val="white"/>
        </w:rPr>
        <w:t>Dessel</w:t>
      </w:r>
      <w:proofErr w:type="spellEnd"/>
      <w:r w:rsidR="001910AF" w:rsidRPr="00C40793">
        <w:rPr>
          <w:color w:val="000000" w:themeColor="text1"/>
          <w:highlight w:val="white"/>
        </w:rPr>
        <w:t xml:space="preserve"> et al.</w:t>
      </w:r>
      <w:r w:rsidRPr="00C40793">
        <w:rPr>
          <w:color w:val="000000" w:themeColor="text1"/>
          <w:highlight w:val="white"/>
        </w:rPr>
        <w:t xml:space="preserve">, 2017).  Although globally, Ecuador is a </w:t>
      </w:r>
      <w:r w:rsidR="00CF6F20" w:rsidRPr="00C40793">
        <w:rPr>
          <w:color w:val="000000" w:themeColor="text1"/>
          <w:highlight w:val="white"/>
        </w:rPr>
        <w:t>relatively inclusive</w:t>
      </w:r>
      <w:r w:rsidRPr="00C40793">
        <w:rPr>
          <w:color w:val="000000" w:themeColor="text1"/>
          <w:highlight w:val="white"/>
        </w:rPr>
        <w:t xml:space="preserve"> country (Lamontagne et al., 2018), discrimination and violence is still part of the lived experiences of individuals in the LGBTQ+ communities (</w:t>
      </w:r>
      <w:proofErr w:type="spellStart"/>
      <w:r w:rsidRPr="00C40793">
        <w:rPr>
          <w:color w:val="000000" w:themeColor="text1"/>
          <w:highlight w:val="white"/>
        </w:rPr>
        <w:t>Zúñiga</w:t>
      </w:r>
      <w:proofErr w:type="spellEnd"/>
      <w:r w:rsidRPr="00C40793">
        <w:rPr>
          <w:color w:val="000000" w:themeColor="text1"/>
          <w:highlight w:val="white"/>
        </w:rPr>
        <w:t xml:space="preserve">-Salazar &amp; </w:t>
      </w:r>
      <w:proofErr w:type="spellStart"/>
      <w:r w:rsidRPr="00C40793">
        <w:rPr>
          <w:color w:val="000000" w:themeColor="text1"/>
          <w:highlight w:val="white"/>
        </w:rPr>
        <w:t>Pillajo</w:t>
      </w:r>
      <w:proofErr w:type="spellEnd"/>
      <w:r w:rsidRPr="00C40793">
        <w:rPr>
          <w:color w:val="000000" w:themeColor="text1"/>
          <w:highlight w:val="white"/>
        </w:rPr>
        <w:t xml:space="preserve">, 2017). We currently have no empirical knowledge of how sexual orientation of the victims and perpetrators influence bystander behaviour in Latin American context. This is an important gap that future research should aim to target. </w:t>
      </w:r>
    </w:p>
    <w:p w14:paraId="00000045" w14:textId="0CA8781D" w:rsidR="00BF1871" w:rsidRPr="00C40793" w:rsidRDefault="003B18AD" w:rsidP="003A7D48">
      <w:pPr>
        <w:spacing w:before="240" w:after="240" w:line="480" w:lineRule="auto"/>
        <w:ind w:firstLine="720"/>
        <w:contextualSpacing/>
        <w:rPr>
          <w:b/>
          <w:color w:val="000000" w:themeColor="text1"/>
        </w:rPr>
      </w:pPr>
      <w:r w:rsidRPr="00C40793">
        <w:rPr>
          <w:color w:val="000000" w:themeColor="text1"/>
        </w:rPr>
        <w:t xml:space="preserve">In summary, sexual harassment remains an important issue in </w:t>
      </w:r>
      <w:r w:rsidR="00AB6464" w:rsidRPr="00C40793">
        <w:rPr>
          <w:color w:val="000000" w:themeColor="text1"/>
        </w:rPr>
        <w:t xml:space="preserve">the </w:t>
      </w:r>
      <w:r w:rsidRPr="00C40793">
        <w:rPr>
          <w:color w:val="000000" w:themeColor="text1"/>
        </w:rPr>
        <w:t xml:space="preserve">Higher Education, with significant consequences for the health and wellbeing of survivors of such behaviour (e.g., </w:t>
      </w:r>
      <w:proofErr w:type="spellStart"/>
      <w:r w:rsidRPr="00C40793">
        <w:rPr>
          <w:color w:val="000000" w:themeColor="text1"/>
        </w:rPr>
        <w:t>Bastiani</w:t>
      </w:r>
      <w:proofErr w:type="spellEnd"/>
      <w:r w:rsidRPr="00C40793">
        <w:rPr>
          <w:color w:val="000000" w:themeColor="text1"/>
        </w:rPr>
        <w:t xml:space="preserve"> et al. 2019). Although there is a large body of knowledge of bystander behaviour in </w:t>
      </w:r>
      <w:r w:rsidR="00025CE6" w:rsidRPr="00C40793">
        <w:rPr>
          <w:color w:val="000000" w:themeColor="text1"/>
        </w:rPr>
        <w:t>the U.S,</w:t>
      </w:r>
      <w:r w:rsidRPr="00C40793">
        <w:rPr>
          <w:color w:val="000000" w:themeColor="text1"/>
        </w:rPr>
        <w:t xml:space="preserve"> </w:t>
      </w:r>
      <w:r w:rsidR="00F95C9A" w:rsidRPr="00C40793">
        <w:rPr>
          <w:color w:val="000000" w:themeColor="text1"/>
        </w:rPr>
        <w:t xml:space="preserve">a </w:t>
      </w:r>
      <w:r w:rsidRPr="00C40793">
        <w:rPr>
          <w:color w:val="000000" w:themeColor="text1"/>
        </w:rPr>
        <w:t xml:space="preserve">lack of research in Ecuador and elsewhere in Latin America prevents the design of culturally sensitive interventions.  Our results suggest that in the context of Higher Education in Ecuador, women may have less confidence to intervene. In addition, those who consider harassment as a serious issue, and those who have low levels of rape-myth acceptance may be more likely to intervene as active bystanders. These results present the first step towards understanding the context of bystander behaviour in gender-based harassment in Latin </w:t>
      </w:r>
      <w:r w:rsidR="00331945" w:rsidRPr="00C40793">
        <w:rPr>
          <w:color w:val="000000" w:themeColor="text1"/>
        </w:rPr>
        <w:t>America and</w:t>
      </w:r>
      <w:r w:rsidRPr="00C40793">
        <w:rPr>
          <w:color w:val="000000" w:themeColor="text1"/>
        </w:rPr>
        <w:t xml:space="preserve"> could be used to give directions for future research and intervention development. </w:t>
      </w:r>
    </w:p>
    <w:p w14:paraId="0000004E" w14:textId="77777777" w:rsidR="00BF1871" w:rsidRDefault="00BF1871" w:rsidP="00523CAC">
      <w:pPr>
        <w:spacing w:line="360" w:lineRule="auto"/>
        <w:jc w:val="both"/>
      </w:pPr>
    </w:p>
    <w:p w14:paraId="00000051" w14:textId="77777777" w:rsidR="00BF1871" w:rsidRDefault="00BF1871" w:rsidP="00C06ED2">
      <w:pPr>
        <w:spacing w:line="360" w:lineRule="auto"/>
        <w:jc w:val="both"/>
      </w:pPr>
    </w:p>
    <w:p w14:paraId="32466B4B" w14:textId="77777777" w:rsidR="00461E72" w:rsidRDefault="00461E72" w:rsidP="00C06ED2">
      <w:pPr>
        <w:spacing w:line="360" w:lineRule="auto"/>
        <w:jc w:val="both"/>
      </w:pPr>
    </w:p>
    <w:p w14:paraId="0B286358" w14:textId="77777777" w:rsidR="00461E72" w:rsidRDefault="00461E72" w:rsidP="00C06ED2">
      <w:pPr>
        <w:spacing w:line="360" w:lineRule="auto"/>
        <w:jc w:val="both"/>
      </w:pPr>
    </w:p>
    <w:p w14:paraId="00000052" w14:textId="601B1CB0" w:rsidR="00BF1871" w:rsidRDefault="00C06ED2" w:rsidP="00C06ED2">
      <w:pPr>
        <w:spacing w:line="360" w:lineRule="auto"/>
        <w:jc w:val="both"/>
      </w:pPr>
      <w:r>
        <w:lastRenderedPageBreak/>
        <w:t>Acknowledgements:</w:t>
      </w:r>
    </w:p>
    <w:p w14:paraId="7F472917" w14:textId="539D8E61" w:rsidR="00C06ED2" w:rsidRDefault="00C06ED2" w:rsidP="003A7D48">
      <w:pPr>
        <w:spacing w:line="360" w:lineRule="auto"/>
      </w:pPr>
      <w:r>
        <w:t xml:space="preserve">We would like to thank Anna Forrest-Redfern for her research assistance at early stages of the project, and British Embassy in Quito for funding the project. </w:t>
      </w:r>
    </w:p>
    <w:p w14:paraId="00000053" w14:textId="70DA5371" w:rsidR="00BF1871" w:rsidRDefault="00C06ED2" w:rsidP="003A7D48">
      <w:pPr>
        <w:spacing w:line="360" w:lineRule="auto"/>
      </w:pPr>
      <w:r>
        <w:t>Declaration of interest statement:</w:t>
      </w:r>
    </w:p>
    <w:p w14:paraId="5E6C03CA" w14:textId="1BFD85FD" w:rsidR="00C06ED2" w:rsidRDefault="00C06ED2" w:rsidP="003A7D48">
      <w:pPr>
        <w:spacing w:line="360" w:lineRule="auto"/>
      </w:pPr>
      <w:r>
        <w:t>We declare no conflict of interest in this research</w:t>
      </w:r>
    </w:p>
    <w:p w14:paraId="7C8B6431" w14:textId="0A8FAB08" w:rsidR="00C06ED2" w:rsidRDefault="00C06ED2" w:rsidP="003A7D48">
      <w:pPr>
        <w:spacing w:line="360" w:lineRule="auto"/>
      </w:pPr>
      <w:r>
        <w:t xml:space="preserve">Funding statement: </w:t>
      </w:r>
    </w:p>
    <w:p w14:paraId="44A115B7" w14:textId="4E2409A8" w:rsidR="00C06ED2" w:rsidRDefault="00C06ED2" w:rsidP="003A7D48">
      <w:pPr>
        <w:spacing w:line="360" w:lineRule="auto"/>
      </w:pPr>
      <w:r>
        <w:t xml:space="preserve">This work was supported by the British Embassy in Quito under </w:t>
      </w:r>
      <w:r w:rsidR="003E6DE1">
        <w:t>Bilateral Cooperation Grant</w:t>
      </w:r>
      <w:r>
        <w:t xml:space="preserve"> </w:t>
      </w:r>
    </w:p>
    <w:p w14:paraId="00000054" w14:textId="77777777" w:rsidR="00BF1871" w:rsidRDefault="00BF1871">
      <w:pPr>
        <w:spacing w:line="360" w:lineRule="auto"/>
        <w:ind w:left="1440" w:hanging="720"/>
        <w:jc w:val="both"/>
      </w:pPr>
    </w:p>
    <w:p w14:paraId="00000060" w14:textId="77777777" w:rsidR="00BF1871" w:rsidRDefault="00BF1871">
      <w:pPr>
        <w:spacing w:before="240" w:after="240" w:line="480" w:lineRule="auto"/>
        <w:jc w:val="both"/>
      </w:pPr>
    </w:p>
    <w:p w14:paraId="00000061" w14:textId="77777777" w:rsidR="00BF1871" w:rsidRDefault="003B18AD">
      <w:pPr>
        <w:spacing w:line="480" w:lineRule="auto"/>
        <w:ind w:left="720" w:hanging="720"/>
        <w:jc w:val="both"/>
        <w:rPr>
          <w:b/>
          <w:color w:val="000000"/>
          <w:lang w:val="es-ES"/>
        </w:rPr>
      </w:pPr>
      <w:proofErr w:type="spellStart"/>
      <w:r w:rsidRPr="003A7D48">
        <w:rPr>
          <w:b/>
          <w:color w:val="000000"/>
          <w:lang w:val="es-ES"/>
        </w:rPr>
        <w:t>References</w:t>
      </w:r>
      <w:proofErr w:type="spellEnd"/>
      <w:r w:rsidRPr="003A7D48">
        <w:rPr>
          <w:b/>
          <w:color w:val="000000"/>
          <w:lang w:val="es-ES"/>
        </w:rPr>
        <w:t>:</w:t>
      </w:r>
    </w:p>
    <w:p w14:paraId="3C072EB8" w14:textId="4F746679" w:rsidR="00676E98" w:rsidRPr="00C40793" w:rsidRDefault="00676E98" w:rsidP="00C703BD">
      <w:pPr>
        <w:spacing w:line="480" w:lineRule="auto"/>
        <w:ind w:left="720" w:hanging="720"/>
        <w:contextualSpacing/>
        <w:rPr>
          <w:color w:val="000000" w:themeColor="text1"/>
          <w:shd w:val="clear" w:color="auto" w:fill="FFFFFF"/>
          <w:lang w:val="es-ES"/>
        </w:rPr>
      </w:pPr>
      <w:r w:rsidRPr="003A7D48">
        <w:rPr>
          <w:color w:val="000000" w:themeColor="text1"/>
          <w:shd w:val="clear" w:color="auto" w:fill="FFFFFF"/>
          <w:lang w:val="es-ES"/>
        </w:rPr>
        <w:t>Aguayo, F</w:t>
      </w:r>
      <w:r w:rsidR="00186018" w:rsidRPr="003A7D48">
        <w:rPr>
          <w:color w:val="000000" w:themeColor="text1"/>
          <w:shd w:val="clear" w:color="auto" w:fill="FFFFFF"/>
          <w:lang w:val="es-ES"/>
        </w:rPr>
        <w:t>.</w:t>
      </w:r>
      <w:r w:rsidR="0016274D" w:rsidRPr="00C40793">
        <w:rPr>
          <w:color w:val="000000" w:themeColor="text1"/>
          <w:shd w:val="clear" w:color="auto" w:fill="FFFFFF"/>
          <w:lang w:val="es-ES"/>
        </w:rPr>
        <w:t>,</w:t>
      </w:r>
      <w:r w:rsidR="00186018" w:rsidRPr="003A7D48">
        <w:rPr>
          <w:color w:val="000000" w:themeColor="text1"/>
          <w:shd w:val="clear" w:color="auto" w:fill="FFFFFF"/>
          <w:lang w:val="es-ES"/>
        </w:rPr>
        <w:t xml:space="preserve"> </w:t>
      </w:r>
      <w:r w:rsidR="0016274D" w:rsidRPr="00C40793">
        <w:rPr>
          <w:color w:val="000000" w:themeColor="text1"/>
          <w:shd w:val="clear" w:color="auto" w:fill="FFFFFF"/>
          <w:lang w:val="es-ES"/>
        </w:rPr>
        <w:t>&amp; Nascimento</w:t>
      </w:r>
      <w:r w:rsidRPr="003A7D48">
        <w:rPr>
          <w:color w:val="000000" w:themeColor="text1"/>
          <w:shd w:val="clear" w:color="auto" w:fill="FFFFFF"/>
          <w:lang w:val="es-ES"/>
        </w:rPr>
        <w:t xml:space="preserve">, M. (2016). Dos décadas de Estudios de Hombres y Masculinidades en América Latina: avances y desafíos. Sexualidad, Salud y Sociedad (Rio de Janeiro), (22), 207-220. </w:t>
      </w:r>
      <w:hyperlink r:id="rId8" w:history="1">
        <w:r w:rsidRPr="003A7D48">
          <w:rPr>
            <w:rStyle w:val="Hyperlink"/>
            <w:color w:val="000000" w:themeColor="text1"/>
            <w:u w:val="none"/>
            <w:shd w:val="clear" w:color="auto" w:fill="FFFFFF"/>
            <w:lang w:val="es-ES"/>
          </w:rPr>
          <w:t>https://doi.org/10.1590/1984-6487.sess.2016.22.09.a</w:t>
        </w:r>
      </w:hyperlink>
    </w:p>
    <w:p w14:paraId="3F8C0C88" w14:textId="1FA566DB" w:rsidR="0057073C" w:rsidRPr="003A7D48" w:rsidRDefault="0057073C" w:rsidP="00C703BD">
      <w:pPr>
        <w:spacing w:line="480" w:lineRule="auto"/>
        <w:ind w:left="720" w:hanging="720"/>
        <w:contextualSpacing/>
        <w:rPr>
          <w:color w:val="000000" w:themeColor="text1"/>
          <w:shd w:val="clear" w:color="auto" w:fill="FFFFFF"/>
        </w:rPr>
      </w:pPr>
      <w:r w:rsidRPr="00C40793">
        <w:rPr>
          <w:color w:val="000000" w:themeColor="text1"/>
          <w:shd w:val="clear" w:color="auto" w:fill="FFFFFF"/>
          <w:lang w:val="es-ES"/>
        </w:rPr>
        <w:t>Agustín</w:t>
      </w:r>
      <w:r w:rsidR="00D67BA7" w:rsidRPr="00C40793">
        <w:rPr>
          <w:color w:val="000000" w:themeColor="text1"/>
          <w:shd w:val="clear" w:color="auto" w:fill="FFFFFF"/>
          <w:lang w:val="es-ES"/>
        </w:rPr>
        <w:t xml:space="preserve"> </w:t>
      </w:r>
      <w:r w:rsidRPr="003A7D48">
        <w:rPr>
          <w:color w:val="000000" w:themeColor="text1"/>
          <w:shd w:val="clear" w:color="auto" w:fill="FFFFFF"/>
          <w:lang w:val="es-ES"/>
        </w:rPr>
        <w:t>Bosch, C.</w:t>
      </w:r>
      <w:r w:rsidRPr="00C40793">
        <w:rPr>
          <w:color w:val="000000" w:themeColor="text1"/>
          <w:shd w:val="clear" w:color="auto" w:fill="FFFFFF"/>
          <w:lang w:val="es-ES"/>
        </w:rPr>
        <w:t xml:space="preserve"> (2018).</w:t>
      </w:r>
      <w:r w:rsidRPr="003A7D48">
        <w:rPr>
          <w:color w:val="000000" w:themeColor="text1"/>
          <w:shd w:val="clear" w:color="auto" w:fill="FFFFFF"/>
          <w:lang w:val="es-ES"/>
        </w:rPr>
        <w:t xml:space="preserve"> </w:t>
      </w:r>
      <w:r w:rsidRPr="00D8063A">
        <w:rPr>
          <w:color w:val="000000" w:themeColor="text1"/>
          <w:shd w:val="clear" w:color="auto" w:fill="FFFFFF"/>
          <w:lang w:val="es-ES"/>
        </w:rPr>
        <w:t xml:space="preserve">Percepción </w:t>
      </w:r>
      <w:r w:rsidRPr="00C40793">
        <w:rPr>
          <w:color w:val="000000" w:themeColor="text1"/>
          <w:shd w:val="clear" w:color="auto" w:fill="FFFFFF"/>
          <w:lang w:val="es-ES"/>
        </w:rPr>
        <w:t>y</w:t>
      </w:r>
      <w:r w:rsidRPr="00D8063A">
        <w:rPr>
          <w:color w:val="000000" w:themeColor="text1"/>
          <w:shd w:val="clear" w:color="auto" w:fill="FFFFFF"/>
          <w:lang w:val="es-ES"/>
        </w:rPr>
        <w:t xml:space="preserve"> Prevalencia </w:t>
      </w:r>
      <w:r w:rsidRPr="00C40793">
        <w:rPr>
          <w:color w:val="000000" w:themeColor="text1"/>
          <w:shd w:val="clear" w:color="auto" w:fill="FFFFFF"/>
          <w:lang w:val="es-ES"/>
        </w:rPr>
        <w:t>d</w:t>
      </w:r>
      <w:r w:rsidRPr="00D8063A">
        <w:rPr>
          <w:color w:val="000000" w:themeColor="text1"/>
          <w:shd w:val="clear" w:color="auto" w:fill="FFFFFF"/>
          <w:lang w:val="es-ES"/>
        </w:rPr>
        <w:t xml:space="preserve">el Acoso Sexual </w:t>
      </w:r>
      <w:r w:rsidRPr="00C40793">
        <w:rPr>
          <w:color w:val="000000" w:themeColor="text1"/>
          <w:shd w:val="clear" w:color="auto" w:fill="FFFFFF"/>
          <w:lang w:val="es-ES"/>
        </w:rPr>
        <w:t>e</w:t>
      </w:r>
      <w:r w:rsidRPr="00D8063A">
        <w:rPr>
          <w:color w:val="000000" w:themeColor="text1"/>
          <w:shd w:val="clear" w:color="auto" w:fill="FFFFFF"/>
          <w:lang w:val="es-ES"/>
        </w:rPr>
        <w:t xml:space="preserve">n Mujeres </w:t>
      </w:r>
      <w:r w:rsidRPr="00C40793">
        <w:rPr>
          <w:color w:val="000000" w:themeColor="text1"/>
          <w:shd w:val="clear" w:color="auto" w:fill="FFFFFF"/>
          <w:lang w:val="es-ES"/>
        </w:rPr>
        <w:t>y</w:t>
      </w:r>
      <w:r w:rsidRPr="00D8063A">
        <w:rPr>
          <w:color w:val="000000" w:themeColor="text1"/>
          <w:shd w:val="clear" w:color="auto" w:fill="FFFFFF"/>
          <w:lang w:val="es-ES"/>
        </w:rPr>
        <w:t xml:space="preserve"> Varones Universitarios </w:t>
      </w:r>
      <w:r w:rsidRPr="00C40793">
        <w:rPr>
          <w:color w:val="000000" w:themeColor="text1"/>
          <w:shd w:val="clear" w:color="auto" w:fill="FFFFFF"/>
          <w:lang w:val="es-ES"/>
        </w:rPr>
        <w:t>e</w:t>
      </w:r>
      <w:r w:rsidRPr="00D8063A">
        <w:rPr>
          <w:color w:val="000000" w:themeColor="text1"/>
          <w:shd w:val="clear" w:color="auto" w:fill="FFFFFF"/>
          <w:lang w:val="es-ES"/>
        </w:rPr>
        <w:t xml:space="preserve">n </w:t>
      </w:r>
      <w:r w:rsidRPr="00C40793">
        <w:rPr>
          <w:color w:val="000000" w:themeColor="text1"/>
          <w:shd w:val="clear" w:color="auto" w:fill="FFFFFF"/>
          <w:lang w:val="es-ES"/>
        </w:rPr>
        <w:t>l</w:t>
      </w:r>
      <w:r w:rsidRPr="00D8063A">
        <w:rPr>
          <w:color w:val="000000" w:themeColor="text1"/>
          <w:shd w:val="clear" w:color="auto" w:fill="FFFFFF"/>
          <w:lang w:val="es-ES"/>
        </w:rPr>
        <w:t xml:space="preserve">a Pontificia Universidad Católica </w:t>
      </w:r>
      <w:r w:rsidRPr="00C40793">
        <w:rPr>
          <w:color w:val="000000" w:themeColor="text1"/>
          <w:shd w:val="clear" w:color="auto" w:fill="FFFFFF"/>
          <w:lang w:val="es-ES"/>
        </w:rPr>
        <w:t>d</w:t>
      </w:r>
      <w:r w:rsidRPr="00D8063A">
        <w:rPr>
          <w:color w:val="000000" w:themeColor="text1"/>
          <w:shd w:val="clear" w:color="auto" w:fill="FFFFFF"/>
          <w:lang w:val="es-ES"/>
        </w:rPr>
        <w:t>e Ecu</w:t>
      </w:r>
      <w:r w:rsidRPr="00C703BD">
        <w:rPr>
          <w:color w:val="000000" w:themeColor="text1"/>
          <w:shd w:val="clear" w:color="auto" w:fill="FFFFFF"/>
          <w:lang w:val="es-ES"/>
        </w:rPr>
        <w:t>ador Sede Esmeraldas</w:t>
      </w:r>
      <w:r w:rsidRPr="003A7D48">
        <w:rPr>
          <w:color w:val="000000" w:themeColor="text1"/>
          <w:shd w:val="clear" w:color="auto" w:fill="FFFFFF"/>
          <w:lang w:val="es-ES"/>
        </w:rPr>
        <w:t>. </w:t>
      </w:r>
      <w:proofErr w:type="spellStart"/>
      <w:r w:rsidRPr="00D8063A">
        <w:rPr>
          <w:i/>
          <w:iCs/>
          <w:color w:val="000000" w:themeColor="text1"/>
          <w:shd w:val="clear" w:color="auto" w:fill="FFFFFF"/>
        </w:rPr>
        <w:t>Reflexiones</w:t>
      </w:r>
      <w:proofErr w:type="spellEnd"/>
      <w:r w:rsidRPr="00D8063A">
        <w:rPr>
          <w:i/>
          <w:iCs/>
          <w:color w:val="000000" w:themeColor="text1"/>
          <w:shd w:val="clear" w:color="auto" w:fill="FFFFFF"/>
        </w:rPr>
        <w:t xml:space="preserve"> </w:t>
      </w:r>
      <w:proofErr w:type="spellStart"/>
      <w:r w:rsidRPr="00D8063A">
        <w:rPr>
          <w:i/>
          <w:iCs/>
          <w:color w:val="000000" w:themeColor="text1"/>
          <w:shd w:val="clear" w:color="auto" w:fill="FFFFFF"/>
        </w:rPr>
        <w:t>Universitarias</w:t>
      </w:r>
      <w:proofErr w:type="spellEnd"/>
      <w:r w:rsidRPr="003A7D48">
        <w:rPr>
          <w:color w:val="000000" w:themeColor="text1"/>
          <w:shd w:val="clear" w:color="auto" w:fill="FFFFFF"/>
        </w:rPr>
        <w:t>, 73</w:t>
      </w:r>
      <w:r w:rsidRPr="00C40793">
        <w:rPr>
          <w:color w:val="000000" w:themeColor="text1"/>
          <w:shd w:val="clear" w:color="auto" w:fill="FFFFFF"/>
        </w:rPr>
        <w:t>-101</w:t>
      </w:r>
      <w:r w:rsidRPr="003A7D48">
        <w:rPr>
          <w:color w:val="000000" w:themeColor="text1"/>
          <w:shd w:val="clear" w:color="auto" w:fill="FFFFFF"/>
        </w:rPr>
        <w:t>.</w:t>
      </w:r>
      <w:r w:rsidRPr="00C40793">
        <w:rPr>
          <w:color w:val="000000" w:themeColor="text1"/>
          <w:shd w:val="clear" w:color="auto" w:fill="FFFFFF"/>
        </w:rPr>
        <w:t xml:space="preserve"> Disponible </w:t>
      </w:r>
      <w:proofErr w:type="spellStart"/>
      <w:r w:rsidRPr="00C40793">
        <w:rPr>
          <w:color w:val="000000" w:themeColor="text1"/>
          <w:shd w:val="clear" w:color="auto" w:fill="FFFFFF"/>
        </w:rPr>
        <w:t>en</w:t>
      </w:r>
      <w:proofErr w:type="spellEnd"/>
      <w:r w:rsidRPr="00C40793">
        <w:rPr>
          <w:color w:val="000000" w:themeColor="text1"/>
          <w:shd w:val="clear" w:color="auto" w:fill="FFFFFF"/>
        </w:rPr>
        <w:t xml:space="preserve">: </w:t>
      </w:r>
      <w:hyperlink r:id="rId9" w:history="1">
        <w:r w:rsidRPr="00C40793">
          <w:rPr>
            <w:rStyle w:val="Hyperlink"/>
            <w:color w:val="000000" w:themeColor="text1"/>
            <w:u w:val="none"/>
            <w:shd w:val="clear" w:color="auto" w:fill="FFFFFF"/>
          </w:rPr>
          <w:t>https://www.alianzaporlasolidaridad.org/casos/los-derechos-de-las-mujeres-migrantes-y-del-sur</w:t>
        </w:r>
      </w:hyperlink>
    </w:p>
    <w:p w14:paraId="6C4DB190" w14:textId="7BA1C7BC" w:rsidR="00026DC9" w:rsidRPr="003A7D48" w:rsidRDefault="007B2823" w:rsidP="00C703BD">
      <w:pPr>
        <w:spacing w:line="480" w:lineRule="auto"/>
        <w:ind w:left="720" w:hanging="720"/>
        <w:contextualSpacing/>
        <w:rPr>
          <w:color w:val="000000" w:themeColor="text1"/>
          <w:shd w:val="clear" w:color="auto" w:fill="FFFFFF"/>
        </w:rPr>
      </w:pPr>
      <w:r w:rsidRPr="003A7D48">
        <w:rPr>
          <w:color w:val="000000" w:themeColor="text1"/>
          <w:shd w:val="clear" w:color="auto" w:fill="FFFFFF"/>
          <w:lang w:val="es-ES"/>
        </w:rPr>
        <w:t>Altamirano Zabala, G. N. D. J. (2020). </w:t>
      </w:r>
      <w:r w:rsidRPr="003A7D48">
        <w:rPr>
          <w:i/>
          <w:iCs/>
          <w:color w:val="000000" w:themeColor="text1"/>
          <w:shd w:val="clear" w:color="auto" w:fill="FFFFFF"/>
          <w:lang w:val="es-ES"/>
        </w:rPr>
        <w:t>Violencia de género en estudiantes universitarios: una mirada desde la determinación social</w:t>
      </w:r>
      <w:r w:rsidRPr="003A7D48">
        <w:rPr>
          <w:color w:val="000000" w:themeColor="text1"/>
          <w:shd w:val="clear" w:color="auto" w:fill="FFFFFF"/>
          <w:lang w:val="es-ES"/>
        </w:rPr>
        <w:t> (</w:t>
      </w:r>
      <w:proofErr w:type="spellStart"/>
      <w:r w:rsidRPr="003A7D48">
        <w:rPr>
          <w:color w:val="000000" w:themeColor="text1"/>
          <w:shd w:val="clear" w:color="auto" w:fill="FFFFFF"/>
          <w:lang w:val="es-ES"/>
        </w:rPr>
        <w:t>Master's</w:t>
      </w:r>
      <w:proofErr w:type="spellEnd"/>
      <w:r w:rsidRPr="003A7D48">
        <w:rPr>
          <w:color w:val="000000" w:themeColor="text1"/>
          <w:shd w:val="clear" w:color="auto" w:fill="FFFFFF"/>
          <w:lang w:val="es-ES"/>
        </w:rPr>
        <w:t xml:space="preserve"> </w:t>
      </w:r>
      <w:proofErr w:type="spellStart"/>
      <w:r w:rsidRPr="003A7D48">
        <w:rPr>
          <w:color w:val="000000" w:themeColor="text1"/>
          <w:shd w:val="clear" w:color="auto" w:fill="FFFFFF"/>
          <w:lang w:val="es-ES"/>
        </w:rPr>
        <w:t>thesis</w:t>
      </w:r>
      <w:proofErr w:type="spellEnd"/>
      <w:r w:rsidRPr="003A7D48">
        <w:rPr>
          <w:color w:val="000000" w:themeColor="text1"/>
          <w:shd w:val="clear" w:color="auto" w:fill="FFFFFF"/>
          <w:lang w:val="es-ES"/>
        </w:rPr>
        <w:t>, Quito, EC: Universidad Andina Simón Bolívar, Sede Ecuador).</w:t>
      </w:r>
      <w:r w:rsidR="00026DC9" w:rsidRPr="00C40793">
        <w:rPr>
          <w:color w:val="000000" w:themeColor="text1"/>
          <w:shd w:val="clear" w:color="auto" w:fill="FFFFFF"/>
          <w:lang w:val="es-ES"/>
        </w:rPr>
        <w:t xml:space="preserve"> </w:t>
      </w:r>
      <w:hyperlink r:id="rId10" w:history="1">
        <w:r w:rsidR="00026DC9" w:rsidRPr="00C40793">
          <w:rPr>
            <w:rStyle w:val="Hyperlink"/>
            <w:color w:val="000000" w:themeColor="text1"/>
            <w:u w:val="none"/>
            <w:shd w:val="clear" w:color="auto" w:fill="FFFFFF"/>
          </w:rPr>
          <w:t>http://hdl.handle.net/10644/7582</w:t>
        </w:r>
      </w:hyperlink>
    </w:p>
    <w:p w14:paraId="60837224" w14:textId="2DBEB223" w:rsidR="00026DC9" w:rsidRPr="003A7D48" w:rsidRDefault="007102AA" w:rsidP="00C703BD">
      <w:pPr>
        <w:spacing w:line="480" w:lineRule="auto"/>
        <w:ind w:left="720" w:hanging="720"/>
        <w:contextualSpacing/>
        <w:rPr>
          <w:color w:val="000000" w:themeColor="text1"/>
          <w:shd w:val="clear" w:color="auto" w:fill="FFFFFF"/>
          <w:lang w:val="es-ES"/>
        </w:rPr>
      </w:pPr>
      <w:r w:rsidRPr="003A7D48">
        <w:rPr>
          <w:color w:val="000000" w:themeColor="text1"/>
          <w:shd w:val="clear" w:color="auto" w:fill="FFFFFF"/>
          <w:lang w:val="es-ES"/>
        </w:rPr>
        <w:t xml:space="preserve">Arias </w:t>
      </w:r>
      <w:proofErr w:type="spellStart"/>
      <w:r w:rsidRPr="003A7D48">
        <w:rPr>
          <w:color w:val="000000" w:themeColor="text1"/>
          <w:shd w:val="clear" w:color="auto" w:fill="FFFFFF"/>
          <w:lang w:val="es-ES"/>
        </w:rPr>
        <w:t>Saa</w:t>
      </w:r>
      <w:proofErr w:type="spellEnd"/>
      <w:r w:rsidRPr="003A7D48">
        <w:rPr>
          <w:color w:val="000000" w:themeColor="text1"/>
          <w:shd w:val="clear" w:color="auto" w:fill="FFFFFF"/>
          <w:lang w:val="es-ES"/>
        </w:rPr>
        <w:t>, E. S., &amp; López Acero, M. A. (2018). </w:t>
      </w:r>
      <w:r w:rsidRPr="003A7D48">
        <w:rPr>
          <w:i/>
          <w:iCs/>
          <w:color w:val="000000" w:themeColor="text1"/>
          <w:shd w:val="clear" w:color="auto" w:fill="FFFFFF"/>
          <w:lang w:val="es-ES"/>
        </w:rPr>
        <w:t>Acoso en estudiantes de pregrado y postgrado de la Facultad De Medicina de la Universidad Católica del Ecuador</w:t>
      </w:r>
      <w:r w:rsidRPr="003A7D48">
        <w:rPr>
          <w:color w:val="000000" w:themeColor="text1"/>
          <w:shd w:val="clear" w:color="auto" w:fill="FFFFFF"/>
          <w:lang w:val="es-ES"/>
        </w:rPr>
        <w:t> (</w:t>
      </w:r>
      <w:proofErr w:type="spellStart"/>
      <w:r w:rsidRPr="003A7D48">
        <w:rPr>
          <w:color w:val="000000" w:themeColor="text1"/>
          <w:shd w:val="clear" w:color="auto" w:fill="FFFFFF"/>
          <w:lang w:val="es-ES"/>
        </w:rPr>
        <w:t>Bachelor's</w:t>
      </w:r>
      <w:proofErr w:type="spellEnd"/>
      <w:r w:rsidRPr="003A7D48">
        <w:rPr>
          <w:color w:val="000000" w:themeColor="text1"/>
          <w:shd w:val="clear" w:color="auto" w:fill="FFFFFF"/>
          <w:lang w:val="es-ES"/>
        </w:rPr>
        <w:t xml:space="preserve"> </w:t>
      </w:r>
      <w:proofErr w:type="spellStart"/>
      <w:r w:rsidRPr="003A7D48">
        <w:rPr>
          <w:color w:val="000000" w:themeColor="text1"/>
          <w:shd w:val="clear" w:color="auto" w:fill="FFFFFF"/>
          <w:lang w:val="es-ES"/>
        </w:rPr>
        <w:t>thesis</w:t>
      </w:r>
      <w:proofErr w:type="spellEnd"/>
      <w:r w:rsidRPr="003A7D48">
        <w:rPr>
          <w:color w:val="000000" w:themeColor="text1"/>
          <w:shd w:val="clear" w:color="auto" w:fill="FFFFFF"/>
          <w:lang w:val="es-ES"/>
        </w:rPr>
        <w:t>, PUCE-Quito).</w:t>
      </w:r>
      <w:r w:rsidR="00026DC9" w:rsidRPr="00C40793">
        <w:rPr>
          <w:color w:val="000000" w:themeColor="text1"/>
          <w:shd w:val="clear" w:color="auto" w:fill="FFFFFF"/>
          <w:lang w:val="es-ES"/>
        </w:rPr>
        <w:t xml:space="preserve"> </w:t>
      </w:r>
      <w:hyperlink r:id="rId11" w:history="1">
        <w:r w:rsidR="00026DC9" w:rsidRPr="00C40793">
          <w:rPr>
            <w:rStyle w:val="Hyperlink"/>
            <w:color w:val="000000" w:themeColor="text1"/>
            <w:u w:val="none"/>
            <w:shd w:val="clear" w:color="auto" w:fill="FFFFFF"/>
            <w:lang w:val="es-ES"/>
          </w:rPr>
          <w:t>http://repositorio.puce.edu.ec/handle/22000/15412</w:t>
        </w:r>
      </w:hyperlink>
    </w:p>
    <w:p w14:paraId="00000066" w14:textId="7E78C13E" w:rsidR="00BF1871" w:rsidRPr="00C40793" w:rsidRDefault="003B18AD" w:rsidP="003A7D48">
      <w:pPr>
        <w:spacing w:line="480" w:lineRule="auto"/>
        <w:ind w:left="720" w:hanging="720"/>
        <w:contextualSpacing/>
        <w:rPr>
          <w:color w:val="000000" w:themeColor="text1"/>
          <w:highlight w:val="white"/>
        </w:rPr>
      </w:pPr>
      <w:proofErr w:type="spellStart"/>
      <w:r w:rsidRPr="00C40793">
        <w:rPr>
          <w:color w:val="000000" w:themeColor="text1"/>
          <w:highlight w:val="white"/>
        </w:rPr>
        <w:lastRenderedPageBreak/>
        <w:t>Banyard</w:t>
      </w:r>
      <w:proofErr w:type="spellEnd"/>
      <w:r w:rsidRPr="00C40793">
        <w:rPr>
          <w:color w:val="000000" w:themeColor="text1"/>
          <w:highlight w:val="white"/>
        </w:rPr>
        <w:t xml:space="preserve">, V. L., Plante, E. G., &amp; Moynihan, M. M. (2005). Rape prevention through bystander education: </w:t>
      </w:r>
      <w:r w:rsidRPr="00C40793">
        <w:rPr>
          <w:i/>
          <w:color w:val="000000" w:themeColor="text1"/>
          <w:highlight w:val="white"/>
        </w:rPr>
        <w:t>Final report to NIJ for grant 2002-WG-BX-0009</w:t>
      </w:r>
      <w:r w:rsidRPr="00C40793">
        <w:rPr>
          <w:color w:val="000000" w:themeColor="text1"/>
          <w:highlight w:val="white"/>
        </w:rPr>
        <w:t>. Retrieved February 27, 2019, from</w:t>
      </w:r>
      <w:hyperlink r:id="rId12">
        <w:r w:rsidRPr="00C40793">
          <w:rPr>
            <w:color w:val="000000" w:themeColor="text1"/>
            <w:highlight w:val="white"/>
          </w:rPr>
          <w:t xml:space="preserve"> www.ncjrs.org0pdffiles10nij0grants0208701.pdf</w:t>
        </w:r>
      </w:hyperlink>
      <w:r w:rsidRPr="00C40793">
        <w:rPr>
          <w:color w:val="000000" w:themeColor="text1"/>
          <w:highlight w:val="white"/>
        </w:rPr>
        <w:t xml:space="preserve"> </w:t>
      </w:r>
    </w:p>
    <w:p w14:paraId="00000068" w14:textId="799A65ED" w:rsidR="00BF1871" w:rsidRPr="00C40793" w:rsidRDefault="003B18AD" w:rsidP="003A7D48">
      <w:pPr>
        <w:spacing w:line="480" w:lineRule="auto"/>
        <w:ind w:left="720" w:hanging="720"/>
        <w:contextualSpacing/>
        <w:rPr>
          <w:color w:val="000000" w:themeColor="text1"/>
          <w:highlight w:val="white"/>
        </w:rPr>
      </w:pPr>
      <w:proofErr w:type="spellStart"/>
      <w:r w:rsidRPr="00C40793">
        <w:rPr>
          <w:color w:val="000000" w:themeColor="text1"/>
          <w:highlight w:val="white"/>
        </w:rPr>
        <w:t>Banyard</w:t>
      </w:r>
      <w:proofErr w:type="spellEnd"/>
      <w:r w:rsidRPr="00C40793">
        <w:rPr>
          <w:color w:val="000000" w:themeColor="text1"/>
          <w:highlight w:val="white"/>
        </w:rPr>
        <w:t xml:space="preserve">, V. L. (2011). Who will help prevent sexual violence: Creating an ecological model of bystander intervention. </w:t>
      </w:r>
      <w:r w:rsidRPr="00C40793">
        <w:rPr>
          <w:i/>
          <w:color w:val="000000" w:themeColor="text1"/>
          <w:highlight w:val="white"/>
        </w:rPr>
        <w:t>Psychology of Violence, 1</w:t>
      </w:r>
      <w:r w:rsidRPr="00C40793">
        <w:rPr>
          <w:color w:val="000000" w:themeColor="text1"/>
          <w:highlight w:val="white"/>
        </w:rPr>
        <w:t>(3), 216–229.</w:t>
      </w:r>
      <w:hyperlink r:id="rId13">
        <w:r w:rsidRPr="00C40793">
          <w:rPr>
            <w:color w:val="000000" w:themeColor="text1"/>
            <w:highlight w:val="white"/>
          </w:rPr>
          <w:t xml:space="preserve"> https://doi.org/10.1037/a0023739</w:t>
        </w:r>
      </w:hyperlink>
      <w:r w:rsidRPr="00C40793">
        <w:rPr>
          <w:color w:val="000000" w:themeColor="text1"/>
          <w:highlight w:val="white"/>
        </w:rPr>
        <w:t xml:space="preserve"> </w:t>
      </w:r>
    </w:p>
    <w:p w14:paraId="0000006C" w14:textId="4ECFB0CC" w:rsidR="00BF1871" w:rsidRPr="00C40793" w:rsidRDefault="003B18AD" w:rsidP="003A7D48">
      <w:pPr>
        <w:spacing w:line="480" w:lineRule="auto"/>
        <w:ind w:left="720" w:hanging="720"/>
        <w:contextualSpacing/>
        <w:rPr>
          <w:color w:val="000000" w:themeColor="text1"/>
          <w:shd w:val="clear" w:color="auto" w:fill="FCFCFC"/>
        </w:rPr>
      </w:pPr>
      <w:proofErr w:type="spellStart"/>
      <w:r w:rsidRPr="003A7D48">
        <w:rPr>
          <w:color w:val="000000" w:themeColor="text1"/>
          <w:highlight w:val="white"/>
          <w:lang w:val="es-ES"/>
        </w:rPr>
        <w:t>Basti</w:t>
      </w:r>
      <w:r w:rsidR="001910AF" w:rsidRPr="00C40793">
        <w:rPr>
          <w:color w:val="000000" w:themeColor="text1"/>
          <w:highlight w:val="white"/>
          <w:lang w:val="es-ES"/>
        </w:rPr>
        <w:t>a</w:t>
      </w:r>
      <w:r w:rsidRPr="003A7D48">
        <w:rPr>
          <w:color w:val="000000" w:themeColor="text1"/>
          <w:highlight w:val="white"/>
          <w:lang w:val="es-ES"/>
        </w:rPr>
        <w:t>ni</w:t>
      </w:r>
      <w:proofErr w:type="spellEnd"/>
      <w:r w:rsidRPr="003A7D48">
        <w:rPr>
          <w:color w:val="000000" w:themeColor="text1"/>
          <w:highlight w:val="white"/>
          <w:lang w:val="es-ES"/>
        </w:rPr>
        <w:t xml:space="preserve">, F., Romito, P., &amp; </w:t>
      </w:r>
      <w:proofErr w:type="spellStart"/>
      <w:r w:rsidRPr="003A7D48">
        <w:rPr>
          <w:color w:val="000000" w:themeColor="text1"/>
          <w:highlight w:val="white"/>
          <w:lang w:val="es-ES"/>
        </w:rPr>
        <w:t>Saurel-Cubizolles</w:t>
      </w:r>
      <w:proofErr w:type="spellEnd"/>
      <w:r w:rsidRPr="003A7D48">
        <w:rPr>
          <w:color w:val="000000" w:themeColor="text1"/>
          <w:highlight w:val="white"/>
          <w:lang w:val="es-ES"/>
        </w:rPr>
        <w:t xml:space="preserve">, M. J. (2019). </w:t>
      </w:r>
      <w:r w:rsidRPr="00C40793">
        <w:rPr>
          <w:color w:val="000000" w:themeColor="text1"/>
          <w:highlight w:val="white"/>
        </w:rPr>
        <w:t xml:space="preserve">Mental distress and sexual harassment in Italian university students. </w:t>
      </w:r>
      <w:r w:rsidRPr="00C40793">
        <w:rPr>
          <w:i/>
          <w:color w:val="000000" w:themeColor="text1"/>
          <w:highlight w:val="white"/>
        </w:rPr>
        <w:t>Archives of Women’s Mental Health, 22</w:t>
      </w:r>
      <w:r w:rsidRPr="00C40793">
        <w:rPr>
          <w:color w:val="000000" w:themeColor="text1"/>
          <w:highlight w:val="white"/>
        </w:rPr>
        <w:t>(2), 229-236.</w:t>
      </w:r>
      <w:hyperlink r:id="rId14">
        <w:r w:rsidRPr="00C40793">
          <w:rPr>
            <w:color w:val="000000" w:themeColor="text1"/>
            <w:highlight w:val="white"/>
          </w:rPr>
          <w:t xml:space="preserve"> </w:t>
        </w:r>
      </w:hyperlink>
      <w:hyperlink r:id="rId15">
        <w:r w:rsidRPr="00C40793">
          <w:rPr>
            <w:color w:val="000000" w:themeColor="text1"/>
            <w:shd w:val="clear" w:color="auto" w:fill="FCFCFC"/>
          </w:rPr>
          <w:t>https://doi.org/10.1007/s00737-018-0886-2</w:t>
        </w:r>
      </w:hyperlink>
      <w:r w:rsidRPr="00C40793">
        <w:rPr>
          <w:color w:val="000000" w:themeColor="text1"/>
          <w:highlight w:val="white"/>
        </w:rPr>
        <w:t xml:space="preserve"> </w:t>
      </w:r>
    </w:p>
    <w:p w14:paraId="62D47879" w14:textId="0C1EA3AF" w:rsidR="0057073C" w:rsidRPr="00C40793" w:rsidRDefault="0057073C" w:rsidP="00C703BD">
      <w:pPr>
        <w:spacing w:line="480" w:lineRule="auto"/>
        <w:ind w:left="785" w:hanging="720"/>
        <w:contextualSpacing/>
        <w:rPr>
          <w:highlight w:val="white"/>
          <w:lang w:val="es-ES"/>
        </w:rPr>
      </w:pPr>
      <w:proofErr w:type="spellStart"/>
      <w:r w:rsidRPr="00C40793">
        <w:rPr>
          <w:highlight w:val="white"/>
        </w:rPr>
        <w:t>Bondestam</w:t>
      </w:r>
      <w:proofErr w:type="spellEnd"/>
      <w:r w:rsidRPr="00C40793">
        <w:rPr>
          <w:highlight w:val="white"/>
        </w:rPr>
        <w:t xml:space="preserve">, F., &amp; Lundqvist, M. (2020). Sexual harassment in Higher Education: A systematic review. </w:t>
      </w:r>
      <w:proofErr w:type="spellStart"/>
      <w:r w:rsidRPr="00C40793">
        <w:rPr>
          <w:i/>
          <w:highlight w:val="white"/>
          <w:lang w:val="es-ES"/>
        </w:rPr>
        <w:t>European</w:t>
      </w:r>
      <w:proofErr w:type="spellEnd"/>
      <w:r w:rsidRPr="00C40793">
        <w:rPr>
          <w:i/>
          <w:highlight w:val="white"/>
          <w:lang w:val="es-ES"/>
        </w:rPr>
        <w:t xml:space="preserve"> Journal of </w:t>
      </w:r>
      <w:proofErr w:type="spellStart"/>
      <w:r w:rsidRPr="00C40793">
        <w:rPr>
          <w:i/>
          <w:highlight w:val="white"/>
          <w:lang w:val="es-ES"/>
        </w:rPr>
        <w:t>Higher</w:t>
      </w:r>
      <w:proofErr w:type="spellEnd"/>
      <w:r w:rsidRPr="00C40793">
        <w:rPr>
          <w:i/>
          <w:highlight w:val="white"/>
          <w:lang w:val="es-ES"/>
        </w:rPr>
        <w:t xml:space="preserve"> </w:t>
      </w:r>
      <w:proofErr w:type="spellStart"/>
      <w:r w:rsidRPr="00C40793">
        <w:rPr>
          <w:i/>
          <w:highlight w:val="white"/>
          <w:lang w:val="es-ES"/>
        </w:rPr>
        <w:t>Education</w:t>
      </w:r>
      <w:proofErr w:type="spellEnd"/>
      <w:r w:rsidRPr="00C40793">
        <w:rPr>
          <w:highlight w:val="white"/>
          <w:lang w:val="es-ES"/>
        </w:rPr>
        <w:t>, 1-23.</w:t>
      </w:r>
      <w:hyperlink r:id="rId16">
        <w:r w:rsidRPr="00C40793">
          <w:rPr>
            <w:highlight w:val="white"/>
            <w:lang w:val="es-ES"/>
          </w:rPr>
          <w:t xml:space="preserve"> https://doi.org/10.1080/21568235.2020.1729833</w:t>
        </w:r>
      </w:hyperlink>
      <w:r w:rsidRPr="00C40793">
        <w:rPr>
          <w:highlight w:val="white"/>
          <w:lang w:val="es-ES"/>
        </w:rPr>
        <w:t xml:space="preserve"> </w:t>
      </w:r>
    </w:p>
    <w:p w14:paraId="0000006F" w14:textId="2EBC6FB2" w:rsidR="00BF1871" w:rsidRPr="00C40793" w:rsidRDefault="003B18AD" w:rsidP="003A7D48">
      <w:pPr>
        <w:spacing w:line="480" w:lineRule="auto"/>
        <w:ind w:left="720" w:hanging="720"/>
        <w:contextualSpacing/>
        <w:rPr>
          <w:color w:val="000000" w:themeColor="text1"/>
          <w:highlight w:val="white"/>
        </w:rPr>
      </w:pPr>
      <w:r w:rsidRPr="00C40793">
        <w:rPr>
          <w:color w:val="000000" w:themeColor="text1"/>
          <w:highlight w:val="white"/>
        </w:rPr>
        <w:t xml:space="preserve">Bott, S., Guedes, A., Goodwin, M. M., &amp; Mendoza, J. A. (2012). </w:t>
      </w:r>
      <w:r w:rsidRPr="00C40793">
        <w:rPr>
          <w:iCs/>
          <w:color w:val="000000" w:themeColor="text1"/>
          <w:highlight w:val="white"/>
        </w:rPr>
        <w:t>Violence Against Women in Latin America and the Caribbean: A Comparative Analysis of Population-Based Data From 12 Countries.</w:t>
      </w:r>
      <w:r w:rsidRPr="00C40793">
        <w:rPr>
          <w:color w:val="000000" w:themeColor="text1"/>
          <w:highlight w:val="white"/>
        </w:rPr>
        <w:t xml:space="preserve"> </w:t>
      </w:r>
      <w:r w:rsidRPr="00627E94">
        <w:rPr>
          <w:i/>
          <w:color w:val="000000" w:themeColor="text1"/>
          <w:highlight w:val="white"/>
        </w:rPr>
        <w:t xml:space="preserve">Washington, DC </w:t>
      </w:r>
      <w:proofErr w:type="spellStart"/>
      <w:r w:rsidRPr="00627E94">
        <w:rPr>
          <w:i/>
          <w:color w:val="000000" w:themeColor="text1"/>
          <w:highlight w:val="white"/>
        </w:rPr>
        <w:t>PanAmerican</w:t>
      </w:r>
      <w:proofErr w:type="spellEnd"/>
      <w:r w:rsidRPr="00627E94">
        <w:rPr>
          <w:i/>
          <w:color w:val="000000" w:themeColor="text1"/>
          <w:highlight w:val="white"/>
        </w:rPr>
        <w:t xml:space="preserve"> Health Organization; </w:t>
      </w:r>
      <w:proofErr w:type="spellStart"/>
      <w:r w:rsidRPr="00627E94">
        <w:rPr>
          <w:i/>
          <w:color w:val="000000" w:themeColor="text1"/>
          <w:highlight w:val="white"/>
        </w:rPr>
        <w:t>Centers</w:t>
      </w:r>
      <w:proofErr w:type="spellEnd"/>
      <w:r w:rsidRPr="00627E94">
        <w:rPr>
          <w:i/>
          <w:color w:val="000000" w:themeColor="text1"/>
          <w:highlight w:val="white"/>
        </w:rPr>
        <w:t xml:space="preserve"> for Disease Control and Prevention</w:t>
      </w:r>
      <w:r w:rsidR="00627E94">
        <w:rPr>
          <w:color w:val="000000" w:themeColor="text1"/>
          <w:highlight w:val="white"/>
        </w:rPr>
        <w:t>.</w:t>
      </w:r>
    </w:p>
    <w:p w14:paraId="1852EF46" w14:textId="6D996062" w:rsidR="003438BC" w:rsidRPr="003A7D48" w:rsidRDefault="00DB39DA" w:rsidP="00C703BD">
      <w:pPr>
        <w:spacing w:line="480" w:lineRule="auto"/>
        <w:ind w:left="720" w:hanging="720"/>
        <w:contextualSpacing/>
        <w:rPr>
          <w:color w:val="000000" w:themeColor="text1"/>
          <w:shd w:val="clear" w:color="auto" w:fill="FFFFFF"/>
          <w:lang w:val="es-ES"/>
        </w:rPr>
      </w:pPr>
      <w:r w:rsidRPr="003A7D48">
        <w:rPr>
          <w:color w:val="000000" w:themeColor="text1"/>
          <w:shd w:val="clear" w:color="auto" w:fill="FFFFFF"/>
        </w:rPr>
        <w:t xml:space="preserve">Burns, V. L., Eaton, A. A., Long, H., &amp; </w:t>
      </w:r>
      <w:proofErr w:type="spellStart"/>
      <w:r w:rsidRPr="003A7D48">
        <w:rPr>
          <w:color w:val="000000" w:themeColor="text1"/>
          <w:shd w:val="clear" w:color="auto" w:fill="FFFFFF"/>
        </w:rPr>
        <w:t>Zapp</w:t>
      </w:r>
      <w:proofErr w:type="spellEnd"/>
      <w:r w:rsidRPr="003A7D48">
        <w:rPr>
          <w:color w:val="000000" w:themeColor="text1"/>
          <w:shd w:val="clear" w:color="auto" w:fill="FFFFFF"/>
        </w:rPr>
        <w:t>, D. (2019). Exploring the role of race and gender on perceived bystander ability and intent: findings before and after exposure to an online training program to prevent sexual assault on campus. </w:t>
      </w:r>
      <w:proofErr w:type="spellStart"/>
      <w:r w:rsidRPr="003A7D48">
        <w:rPr>
          <w:i/>
          <w:iCs/>
          <w:color w:val="000000" w:themeColor="text1"/>
          <w:shd w:val="clear" w:color="auto" w:fill="FFFFFF"/>
          <w:lang w:val="es-ES"/>
        </w:rPr>
        <w:t>Violence</w:t>
      </w:r>
      <w:proofErr w:type="spellEnd"/>
      <w:r w:rsidRPr="003A7D48">
        <w:rPr>
          <w:i/>
          <w:iCs/>
          <w:color w:val="000000" w:themeColor="text1"/>
          <w:shd w:val="clear" w:color="auto" w:fill="FFFFFF"/>
          <w:lang w:val="es-ES"/>
        </w:rPr>
        <w:t xml:space="preserve"> </w:t>
      </w:r>
      <w:proofErr w:type="spellStart"/>
      <w:r w:rsidR="00627E94">
        <w:rPr>
          <w:i/>
          <w:iCs/>
          <w:color w:val="000000" w:themeColor="text1"/>
          <w:shd w:val="clear" w:color="auto" w:fill="FFFFFF"/>
          <w:lang w:val="es-ES"/>
        </w:rPr>
        <w:t>A</w:t>
      </w:r>
      <w:r w:rsidRPr="003A7D48">
        <w:rPr>
          <w:i/>
          <w:iCs/>
          <w:color w:val="000000" w:themeColor="text1"/>
          <w:shd w:val="clear" w:color="auto" w:fill="FFFFFF"/>
          <w:lang w:val="es-ES"/>
        </w:rPr>
        <w:t>gainst</w:t>
      </w:r>
      <w:proofErr w:type="spellEnd"/>
      <w:r w:rsidRPr="003A7D48">
        <w:rPr>
          <w:i/>
          <w:iCs/>
          <w:color w:val="000000" w:themeColor="text1"/>
          <w:shd w:val="clear" w:color="auto" w:fill="FFFFFF"/>
          <w:lang w:val="es-ES"/>
        </w:rPr>
        <w:t xml:space="preserve"> </w:t>
      </w:r>
      <w:proofErr w:type="spellStart"/>
      <w:r w:rsidR="00627E94">
        <w:rPr>
          <w:i/>
          <w:iCs/>
          <w:color w:val="000000" w:themeColor="text1"/>
          <w:shd w:val="clear" w:color="auto" w:fill="FFFFFF"/>
          <w:lang w:val="es-ES"/>
        </w:rPr>
        <w:t>W</w:t>
      </w:r>
      <w:r w:rsidRPr="003A7D48">
        <w:rPr>
          <w:i/>
          <w:iCs/>
          <w:color w:val="000000" w:themeColor="text1"/>
          <w:shd w:val="clear" w:color="auto" w:fill="FFFFFF"/>
          <w:lang w:val="es-ES"/>
        </w:rPr>
        <w:t>omen</w:t>
      </w:r>
      <w:proofErr w:type="spellEnd"/>
      <w:r w:rsidRPr="003A7D48">
        <w:rPr>
          <w:color w:val="000000" w:themeColor="text1"/>
          <w:shd w:val="clear" w:color="auto" w:fill="FFFFFF"/>
          <w:lang w:val="es-ES"/>
        </w:rPr>
        <w:t>, </w:t>
      </w:r>
      <w:r w:rsidRPr="003A7D48">
        <w:rPr>
          <w:i/>
          <w:iCs/>
          <w:color w:val="000000" w:themeColor="text1"/>
          <w:shd w:val="clear" w:color="auto" w:fill="FFFFFF"/>
          <w:lang w:val="es-ES"/>
        </w:rPr>
        <w:t>25</w:t>
      </w:r>
      <w:r w:rsidRPr="003A7D48">
        <w:rPr>
          <w:color w:val="000000" w:themeColor="text1"/>
          <w:shd w:val="clear" w:color="auto" w:fill="FFFFFF"/>
          <w:lang w:val="es-ES"/>
        </w:rPr>
        <w:t>(8), 999-1017.</w:t>
      </w:r>
      <w:r w:rsidR="003438BC" w:rsidRPr="00C40793">
        <w:rPr>
          <w:color w:val="000000" w:themeColor="text1"/>
          <w:shd w:val="clear" w:color="auto" w:fill="FFFFFF"/>
          <w:lang w:val="es-ES"/>
        </w:rPr>
        <w:t xml:space="preserve"> </w:t>
      </w:r>
      <w:hyperlink r:id="rId17" w:history="1">
        <w:r w:rsidR="003438BC" w:rsidRPr="00C40793">
          <w:rPr>
            <w:rStyle w:val="Hyperlink"/>
            <w:color w:val="000000" w:themeColor="text1"/>
            <w:u w:val="none"/>
            <w:shd w:val="clear" w:color="auto" w:fill="FFFFFF"/>
            <w:lang w:val="es-ES"/>
          </w:rPr>
          <w:t>https://doi.org/10.1177%2F1077801218807089</w:t>
        </w:r>
      </w:hyperlink>
    </w:p>
    <w:p w14:paraId="44A1CF76" w14:textId="0EA0B5DD" w:rsidR="003438BC" w:rsidRPr="00C40793" w:rsidRDefault="003A5FDE" w:rsidP="00C703BD">
      <w:pPr>
        <w:spacing w:line="480" w:lineRule="auto"/>
        <w:ind w:left="720" w:hanging="720"/>
        <w:contextualSpacing/>
        <w:rPr>
          <w:color w:val="000000" w:themeColor="text1"/>
          <w:shd w:val="clear" w:color="auto" w:fill="FFFFFF"/>
        </w:rPr>
      </w:pPr>
      <w:r w:rsidRPr="003A7D48">
        <w:rPr>
          <w:color w:val="000000" w:themeColor="text1"/>
          <w:shd w:val="clear" w:color="auto" w:fill="FFFFFF"/>
          <w:lang w:val="es-ES"/>
        </w:rPr>
        <w:t>Cárdenas, M., Lay, S. L., González, C., Calderón, C., &amp; Alegría, I. (2010). Inventario de sexismo ambivalente: adaptación, validación y relación con variables psicosociales. </w:t>
      </w:r>
      <w:proofErr w:type="spellStart"/>
      <w:r w:rsidRPr="003A7D48">
        <w:rPr>
          <w:i/>
          <w:iCs/>
          <w:color w:val="000000" w:themeColor="text1"/>
          <w:shd w:val="clear" w:color="auto" w:fill="FFFFFF"/>
        </w:rPr>
        <w:t>Salud</w:t>
      </w:r>
      <w:proofErr w:type="spellEnd"/>
      <w:r w:rsidRPr="003A7D48">
        <w:rPr>
          <w:i/>
          <w:iCs/>
          <w:color w:val="000000" w:themeColor="text1"/>
          <w:shd w:val="clear" w:color="auto" w:fill="FFFFFF"/>
        </w:rPr>
        <w:t xml:space="preserve"> &amp; Sociedad</w:t>
      </w:r>
      <w:r w:rsidRPr="003A7D48">
        <w:rPr>
          <w:color w:val="000000" w:themeColor="text1"/>
          <w:shd w:val="clear" w:color="auto" w:fill="FFFFFF"/>
        </w:rPr>
        <w:t>, </w:t>
      </w:r>
      <w:r w:rsidRPr="003A7D48">
        <w:rPr>
          <w:i/>
          <w:iCs/>
          <w:color w:val="000000" w:themeColor="text1"/>
          <w:shd w:val="clear" w:color="auto" w:fill="FFFFFF"/>
        </w:rPr>
        <w:t>1</w:t>
      </w:r>
      <w:r w:rsidRPr="003A7D48">
        <w:rPr>
          <w:color w:val="000000" w:themeColor="text1"/>
          <w:shd w:val="clear" w:color="auto" w:fill="FFFFFF"/>
        </w:rPr>
        <w:t>(2), 125-135.</w:t>
      </w:r>
      <w:r w:rsidR="003438BC" w:rsidRPr="00C40793">
        <w:rPr>
          <w:color w:val="000000" w:themeColor="text1"/>
          <w:shd w:val="clear" w:color="auto" w:fill="FFFFFF"/>
        </w:rPr>
        <w:t xml:space="preserve"> Disponible </w:t>
      </w:r>
      <w:proofErr w:type="spellStart"/>
      <w:r w:rsidR="003438BC" w:rsidRPr="00C40793">
        <w:rPr>
          <w:color w:val="000000" w:themeColor="text1"/>
          <w:shd w:val="clear" w:color="auto" w:fill="FFFFFF"/>
        </w:rPr>
        <w:t>en</w:t>
      </w:r>
      <w:proofErr w:type="spellEnd"/>
      <w:r w:rsidR="003438BC" w:rsidRPr="00C40793">
        <w:rPr>
          <w:color w:val="000000" w:themeColor="text1"/>
          <w:shd w:val="clear" w:color="auto" w:fill="FFFFFF"/>
        </w:rPr>
        <w:t xml:space="preserve">: </w:t>
      </w:r>
      <w:hyperlink r:id="rId18" w:history="1">
        <w:r w:rsidR="003438BC" w:rsidRPr="00C40793">
          <w:rPr>
            <w:rStyle w:val="Hyperlink"/>
            <w:color w:val="000000" w:themeColor="text1"/>
            <w:u w:val="none"/>
            <w:shd w:val="clear" w:color="auto" w:fill="FFFFFF"/>
          </w:rPr>
          <w:t>https://www.redalyc.org/articulo.oa?id=4397/439742463006</w:t>
        </w:r>
      </w:hyperlink>
    </w:p>
    <w:p w14:paraId="6ECB36E2" w14:textId="05057C15" w:rsidR="00026DC9" w:rsidRPr="00C40793" w:rsidRDefault="00B44ECE" w:rsidP="00C703BD">
      <w:pPr>
        <w:spacing w:line="480" w:lineRule="auto"/>
        <w:ind w:left="720" w:hanging="720"/>
        <w:contextualSpacing/>
        <w:rPr>
          <w:color w:val="000000" w:themeColor="text1"/>
          <w:shd w:val="clear" w:color="auto" w:fill="FFFFFF"/>
        </w:rPr>
      </w:pPr>
      <w:r w:rsidRPr="003A7D48">
        <w:rPr>
          <w:color w:val="000000" w:themeColor="text1"/>
          <w:shd w:val="clear" w:color="auto" w:fill="FFFFFF"/>
        </w:rPr>
        <w:lastRenderedPageBreak/>
        <w:t>Clancy, K. B., Nelson, R. G., Rutherford, J. N., &amp; Hinde, K. (2014). Survey of academic field experiences (SAFE): Trainees report harassment and assault. </w:t>
      </w:r>
      <w:proofErr w:type="spellStart"/>
      <w:r w:rsidRPr="003A7D48">
        <w:rPr>
          <w:i/>
          <w:iCs/>
          <w:color w:val="000000" w:themeColor="text1"/>
          <w:shd w:val="clear" w:color="auto" w:fill="FFFFFF"/>
        </w:rPr>
        <w:t>PloS</w:t>
      </w:r>
      <w:proofErr w:type="spellEnd"/>
      <w:r w:rsidRPr="003A7D48">
        <w:rPr>
          <w:i/>
          <w:iCs/>
          <w:color w:val="000000" w:themeColor="text1"/>
          <w:shd w:val="clear" w:color="auto" w:fill="FFFFFF"/>
        </w:rPr>
        <w:t xml:space="preserve"> one</w:t>
      </w:r>
      <w:r w:rsidRPr="003A7D48">
        <w:rPr>
          <w:color w:val="000000" w:themeColor="text1"/>
          <w:shd w:val="clear" w:color="auto" w:fill="FFFFFF"/>
        </w:rPr>
        <w:t>, </w:t>
      </w:r>
      <w:r w:rsidRPr="003A7D48">
        <w:rPr>
          <w:i/>
          <w:iCs/>
          <w:color w:val="000000" w:themeColor="text1"/>
          <w:shd w:val="clear" w:color="auto" w:fill="FFFFFF"/>
        </w:rPr>
        <w:t>9</w:t>
      </w:r>
      <w:r w:rsidRPr="003A7D48">
        <w:rPr>
          <w:color w:val="000000" w:themeColor="text1"/>
          <w:shd w:val="clear" w:color="auto" w:fill="FFFFFF"/>
        </w:rPr>
        <w:t>(7), e102172.</w:t>
      </w:r>
      <w:r w:rsidR="00026DC9" w:rsidRPr="00C40793">
        <w:rPr>
          <w:color w:val="000000" w:themeColor="text1"/>
          <w:shd w:val="clear" w:color="auto" w:fill="FFFFFF"/>
        </w:rPr>
        <w:t xml:space="preserve"> </w:t>
      </w:r>
      <w:hyperlink r:id="rId19" w:history="1">
        <w:r w:rsidR="00026DC9" w:rsidRPr="00C40793">
          <w:rPr>
            <w:rStyle w:val="Hyperlink"/>
            <w:color w:val="000000" w:themeColor="text1"/>
            <w:u w:val="none"/>
            <w:shd w:val="clear" w:color="auto" w:fill="FFFFFF"/>
          </w:rPr>
          <w:t>https://doi.org/10.1371/journal.pone.0102172</w:t>
        </w:r>
      </w:hyperlink>
    </w:p>
    <w:p w14:paraId="00000076" w14:textId="5A9FE292" w:rsidR="00BF1871" w:rsidRPr="00C40793" w:rsidRDefault="003B18AD" w:rsidP="003A7D48">
      <w:pPr>
        <w:spacing w:line="480" w:lineRule="auto"/>
        <w:ind w:left="720" w:hanging="720"/>
        <w:contextualSpacing/>
        <w:rPr>
          <w:color w:val="000000" w:themeColor="text1"/>
          <w:highlight w:val="white"/>
        </w:rPr>
      </w:pPr>
      <w:proofErr w:type="spellStart"/>
      <w:r w:rsidRPr="00C40793">
        <w:rPr>
          <w:color w:val="000000" w:themeColor="text1"/>
          <w:highlight w:val="white"/>
        </w:rPr>
        <w:t>Dessel</w:t>
      </w:r>
      <w:proofErr w:type="spellEnd"/>
      <w:r w:rsidRPr="00C40793">
        <w:rPr>
          <w:color w:val="000000" w:themeColor="text1"/>
          <w:highlight w:val="white"/>
        </w:rPr>
        <w:t xml:space="preserve">, A. B., Goodman, K. D., &amp; Woodford, M. R. (2017). LGBT discrimination on campus and heterosexual bystanders: Understanding intentions to intervene. </w:t>
      </w:r>
      <w:r w:rsidRPr="00C40793">
        <w:rPr>
          <w:i/>
          <w:color w:val="000000" w:themeColor="text1"/>
          <w:highlight w:val="white"/>
        </w:rPr>
        <w:t>Journal of Diversity in Higher Education</w:t>
      </w:r>
      <w:r w:rsidRPr="00C40793">
        <w:rPr>
          <w:color w:val="000000" w:themeColor="text1"/>
          <w:highlight w:val="white"/>
        </w:rPr>
        <w:t xml:space="preserve">, </w:t>
      </w:r>
      <w:r w:rsidRPr="00C40793">
        <w:rPr>
          <w:i/>
          <w:color w:val="000000" w:themeColor="text1"/>
          <w:highlight w:val="white"/>
        </w:rPr>
        <w:t>10</w:t>
      </w:r>
      <w:r w:rsidRPr="00C40793">
        <w:rPr>
          <w:color w:val="000000" w:themeColor="text1"/>
          <w:highlight w:val="white"/>
        </w:rPr>
        <w:t>(2), 101.</w:t>
      </w:r>
      <w:hyperlink r:id="rId20">
        <w:r w:rsidRPr="00C40793">
          <w:rPr>
            <w:color w:val="000000" w:themeColor="text1"/>
            <w:highlight w:val="white"/>
          </w:rPr>
          <w:t xml:space="preserve"> </w:t>
        </w:r>
      </w:hyperlink>
      <w:hyperlink r:id="rId21">
        <w:r w:rsidRPr="00C40793">
          <w:rPr>
            <w:color w:val="000000" w:themeColor="text1"/>
            <w:highlight w:val="white"/>
          </w:rPr>
          <w:t>https://doi.org/10.1037/dhe0000015</w:t>
        </w:r>
      </w:hyperlink>
    </w:p>
    <w:p w14:paraId="00000078" w14:textId="6A0EACD8" w:rsidR="00BF1871" w:rsidRPr="00C40793" w:rsidRDefault="003B18AD" w:rsidP="00C703BD">
      <w:pPr>
        <w:spacing w:line="480" w:lineRule="auto"/>
        <w:ind w:left="720" w:hanging="720"/>
        <w:contextualSpacing/>
        <w:rPr>
          <w:color w:val="000000" w:themeColor="text1"/>
          <w:highlight w:val="white"/>
        </w:rPr>
      </w:pPr>
      <w:proofErr w:type="spellStart"/>
      <w:r w:rsidRPr="00C40793">
        <w:rPr>
          <w:color w:val="000000" w:themeColor="text1"/>
          <w:highlight w:val="white"/>
        </w:rPr>
        <w:t>Espelage</w:t>
      </w:r>
      <w:proofErr w:type="spellEnd"/>
      <w:r w:rsidRPr="00C40793">
        <w:rPr>
          <w:color w:val="000000" w:themeColor="text1"/>
          <w:highlight w:val="white"/>
        </w:rPr>
        <w:t xml:space="preserve">, D. L., Low, S. K., Anderson, C., &amp; De La Ru, L. (2014). Bullying, sexual, and dating violence trajectories from early to late adolescence. </w:t>
      </w:r>
      <w:r w:rsidRPr="00C40793">
        <w:rPr>
          <w:i/>
          <w:color w:val="000000" w:themeColor="text1"/>
          <w:highlight w:val="white"/>
        </w:rPr>
        <w:t>Methodology</w:t>
      </w:r>
      <w:r w:rsidRPr="00C40793">
        <w:rPr>
          <w:color w:val="000000" w:themeColor="text1"/>
          <w:highlight w:val="white"/>
        </w:rPr>
        <w:t xml:space="preserve">, </w:t>
      </w:r>
      <w:r w:rsidRPr="00C40793">
        <w:rPr>
          <w:i/>
          <w:color w:val="000000" w:themeColor="text1"/>
          <w:highlight w:val="white"/>
        </w:rPr>
        <w:t>9</w:t>
      </w:r>
      <w:r w:rsidRPr="00C40793">
        <w:rPr>
          <w:color w:val="000000" w:themeColor="text1"/>
          <w:highlight w:val="white"/>
        </w:rPr>
        <w:t xml:space="preserve">(11). </w:t>
      </w:r>
    </w:p>
    <w:p w14:paraId="33F4880A" w14:textId="4713BEED" w:rsidR="00026DC9" w:rsidRPr="00C40793" w:rsidRDefault="004C01C6" w:rsidP="00C703BD">
      <w:pPr>
        <w:spacing w:line="480" w:lineRule="auto"/>
        <w:ind w:left="720" w:hanging="720"/>
        <w:contextualSpacing/>
        <w:rPr>
          <w:color w:val="000000" w:themeColor="text1"/>
          <w:shd w:val="clear" w:color="auto" w:fill="FFFFFF"/>
        </w:rPr>
      </w:pPr>
      <w:proofErr w:type="spellStart"/>
      <w:r w:rsidRPr="00C40793">
        <w:rPr>
          <w:color w:val="000000" w:themeColor="text1"/>
          <w:shd w:val="clear" w:color="auto" w:fill="FFFFFF"/>
        </w:rPr>
        <w:t>Expósito</w:t>
      </w:r>
      <w:proofErr w:type="spellEnd"/>
      <w:r w:rsidRPr="00C40793">
        <w:rPr>
          <w:color w:val="000000" w:themeColor="text1"/>
          <w:shd w:val="clear" w:color="auto" w:fill="FFFFFF"/>
        </w:rPr>
        <w:t xml:space="preserve">, F., Herrera, A., </w:t>
      </w:r>
      <w:proofErr w:type="spellStart"/>
      <w:r w:rsidRPr="00C40793">
        <w:rPr>
          <w:color w:val="000000" w:themeColor="text1"/>
          <w:shd w:val="clear" w:color="auto" w:fill="FFFFFF"/>
        </w:rPr>
        <w:t>Valor</w:t>
      </w:r>
      <w:proofErr w:type="spellEnd"/>
      <w:r w:rsidRPr="00C40793">
        <w:rPr>
          <w:color w:val="000000" w:themeColor="text1"/>
          <w:shd w:val="clear" w:color="auto" w:fill="FFFFFF"/>
        </w:rPr>
        <w:t>-Segura, I., Herrera, M. C., &amp; Lozano, L. M. (2014). Spanish adaptation of the Illinois sexual harassment myth acceptance.</w:t>
      </w:r>
      <w:r w:rsidRPr="00C40793">
        <w:rPr>
          <w:rStyle w:val="apple-converted-space"/>
          <w:color w:val="000000" w:themeColor="text1"/>
          <w:shd w:val="clear" w:color="auto" w:fill="FFFFFF"/>
        </w:rPr>
        <w:t> </w:t>
      </w:r>
      <w:r w:rsidRPr="00C40793">
        <w:rPr>
          <w:i/>
          <w:iCs/>
          <w:color w:val="000000" w:themeColor="text1"/>
        </w:rPr>
        <w:t>The Spanish Journal of Psychology</w:t>
      </w:r>
      <w:r w:rsidRPr="00C40793">
        <w:rPr>
          <w:color w:val="000000" w:themeColor="text1"/>
          <w:shd w:val="clear" w:color="auto" w:fill="FFFFFF"/>
        </w:rPr>
        <w:t>,</w:t>
      </w:r>
      <w:r w:rsidRPr="00C40793">
        <w:rPr>
          <w:rStyle w:val="apple-converted-space"/>
          <w:color w:val="000000" w:themeColor="text1"/>
          <w:shd w:val="clear" w:color="auto" w:fill="FFFFFF"/>
        </w:rPr>
        <w:t> </w:t>
      </w:r>
      <w:r w:rsidRPr="00C40793">
        <w:rPr>
          <w:i/>
          <w:iCs/>
          <w:color w:val="000000" w:themeColor="text1"/>
        </w:rPr>
        <w:t>17</w:t>
      </w:r>
      <w:r w:rsidRPr="00C40793">
        <w:rPr>
          <w:color w:val="000000" w:themeColor="text1"/>
          <w:shd w:val="clear" w:color="auto" w:fill="FFFFFF"/>
        </w:rPr>
        <w:t>.</w:t>
      </w:r>
      <w:r w:rsidR="00026DC9" w:rsidRPr="00C40793">
        <w:rPr>
          <w:color w:val="000000" w:themeColor="text1"/>
          <w:shd w:val="clear" w:color="auto" w:fill="FFFFFF"/>
        </w:rPr>
        <w:t xml:space="preserve"> </w:t>
      </w:r>
      <w:hyperlink r:id="rId22" w:history="1">
        <w:r w:rsidR="00026DC9" w:rsidRPr="00C40793">
          <w:rPr>
            <w:rStyle w:val="Hyperlink"/>
            <w:color w:val="000000" w:themeColor="text1"/>
            <w:u w:val="none"/>
            <w:shd w:val="clear" w:color="auto" w:fill="FFFFFF"/>
          </w:rPr>
          <w:t>https://doi.org/10.1017/sjp.2014.42</w:t>
        </w:r>
      </w:hyperlink>
    </w:p>
    <w:p w14:paraId="6B645A41" w14:textId="03E76D0C" w:rsidR="00026DC9" w:rsidRPr="00C40793" w:rsidRDefault="002F3E18" w:rsidP="00C703BD">
      <w:pPr>
        <w:spacing w:line="480" w:lineRule="auto"/>
        <w:ind w:left="720" w:hanging="720"/>
        <w:contextualSpacing/>
        <w:rPr>
          <w:color w:val="000000" w:themeColor="text1"/>
          <w:shd w:val="clear" w:color="auto" w:fill="FFFFFF"/>
        </w:rPr>
      </w:pPr>
      <w:proofErr w:type="spellStart"/>
      <w:r w:rsidRPr="003A7D48">
        <w:rPr>
          <w:color w:val="000000" w:themeColor="text1"/>
          <w:shd w:val="clear" w:color="auto" w:fill="FFFFFF"/>
        </w:rPr>
        <w:t>Fedina</w:t>
      </w:r>
      <w:proofErr w:type="spellEnd"/>
      <w:r w:rsidRPr="003A7D48">
        <w:rPr>
          <w:color w:val="000000" w:themeColor="text1"/>
          <w:shd w:val="clear" w:color="auto" w:fill="FFFFFF"/>
        </w:rPr>
        <w:t>, L., Holmes, J. L., &amp; Backes, B. L. (2018). Campus sexual assault: A systematic review of prevalence research from 2000 to 2015. </w:t>
      </w:r>
      <w:r w:rsidRPr="003A7D48">
        <w:rPr>
          <w:i/>
          <w:iCs/>
          <w:color w:val="000000" w:themeColor="text1"/>
          <w:shd w:val="clear" w:color="auto" w:fill="FFFFFF"/>
        </w:rPr>
        <w:t>Trauma, violence, &amp; abuse</w:t>
      </w:r>
      <w:r w:rsidRPr="003A7D48">
        <w:rPr>
          <w:color w:val="000000" w:themeColor="text1"/>
          <w:shd w:val="clear" w:color="auto" w:fill="FFFFFF"/>
        </w:rPr>
        <w:t>, </w:t>
      </w:r>
      <w:r w:rsidRPr="003A7D48">
        <w:rPr>
          <w:i/>
          <w:iCs/>
          <w:color w:val="000000" w:themeColor="text1"/>
          <w:shd w:val="clear" w:color="auto" w:fill="FFFFFF"/>
        </w:rPr>
        <w:t>19</w:t>
      </w:r>
      <w:r w:rsidRPr="003A7D48">
        <w:rPr>
          <w:color w:val="000000" w:themeColor="text1"/>
          <w:shd w:val="clear" w:color="auto" w:fill="FFFFFF"/>
        </w:rPr>
        <w:t>(1), 76-93.</w:t>
      </w:r>
      <w:r w:rsidR="00026DC9" w:rsidRPr="00C40793">
        <w:rPr>
          <w:color w:val="000000" w:themeColor="text1"/>
          <w:shd w:val="clear" w:color="auto" w:fill="FFFFFF"/>
        </w:rPr>
        <w:t xml:space="preserve"> </w:t>
      </w:r>
      <w:hyperlink r:id="rId23" w:history="1">
        <w:r w:rsidR="00026DC9" w:rsidRPr="00C40793">
          <w:rPr>
            <w:rStyle w:val="Hyperlink"/>
            <w:color w:val="000000" w:themeColor="text1"/>
            <w:u w:val="none"/>
            <w:shd w:val="clear" w:color="auto" w:fill="FFFFFF"/>
          </w:rPr>
          <w:t>https://doi.org/10.1177%2F1524838016631129</w:t>
        </w:r>
      </w:hyperlink>
    </w:p>
    <w:p w14:paraId="0000007A" w14:textId="2486679F" w:rsidR="00BF1871" w:rsidRPr="00C40793" w:rsidRDefault="003B18AD" w:rsidP="003A7D48">
      <w:pPr>
        <w:spacing w:line="480" w:lineRule="auto"/>
        <w:ind w:left="720" w:hanging="720"/>
        <w:contextualSpacing/>
        <w:rPr>
          <w:color w:val="000000" w:themeColor="text1"/>
          <w:highlight w:val="white"/>
        </w:rPr>
      </w:pPr>
      <w:r w:rsidRPr="00C40793">
        <w:rPr>
          <w:color w:val="000000" w:themeColor="text1"/>
          <w:highlight w:val="white"/>
        </w:rPr>
        <w:t xml:space="preserve">Fitzgerald, L. F., Gelfand, M. J., &amp; </w:t>
      </w:r>
      <w:proofErr w:type="spellStart"/>
      <w:r w:rsidRPr="00C40793">
        <w:rPr>
          <w:color w:val="000000" w:themeColor="text1"/>
          <w:highlight w:val="white"/>
        </w:rPr>
        <w:t>Drasgow</w:t>
      </w:r>
      <w:proofErr w:type="spellEnd"/>
      <w:r w:rsidRPr="00C40793">
        <w:rPr>
          <w:color w:val="000000" w:themeColor="text1"/>
          <w:highlight w:val="white"/>
        </w:rPr>
        <w:t xml:space="preserve">, F. (1995). Measuring sexual harassment: Theoretical and psychometric advances. </w:t>
      </w:r>
      <w:r w:rsidRPr="00C40793">
        <w:rPr>
          <w:i/>
          <w:color w:val="000000" w:themeColor="text1"/>
          <w:highlight w:val="white"/>
        </w:rPr>
        <w:t xml:space="preserve">Basic and </w:t>
      </w:r>
      <w:r w:rsidR="00F95C9A" w:rsidRPr="00C40793">
        <w:rPr>
          <w:i/>
          <w:color w:val="000000" w:themeColor="text1"/>
          <w:highlight w:val="white"/>
        </w:rPr>
        <w:t>A</w:t>
      </w:r>
      <w:r w:rsidRPr="00C40793">
        <w:rPr>
          <w:i/>
          <w:color w:val="000000" w:themeColor="text1"/>
          <w:highlight w:val="white"/>
        </w:rPr>
        <w:t xml:space="preserve">pplied </w:t>
      </w:r>
      <w:r w:rsidR="00F95C9A" w:rsidRPr="00C40793">
        <w:rPr>
          <w:i/>
          <w:color w:val="000000" w:themeColor="text1"/>
          <w:highlight w:val="white"/>
        </w:rPr>
        <w:t>S</w:t>
      </w:r>
      <w:r w:rsidRPr="00C40793">
        <w:rPr>
          <w:i/>
          <w:color w:val="000000" w:themeColor="text1"/>
          <w:highlight w:val="white"/>
        </w:rPr>
        <w:t xml:space="preserve">ocial </w:t>
      </w:r>
      <w:r w:rsidR="00F95C9A" w:rsidRPr="00C40793">
        <w:rPr>
          <w:i/>
          <w:color w:val="000000" w:themeColor="text1"/>
          <w:highlight w:val="white"/>
        </w:rPr>
        <w:t>P</w:t>
      </w:r>
      <w:r w:rsidRPr="00C40793">
        <w:rPr>
          <w:i/>
          <w:color w:val="000000" w:themeColor="text1"/>
          <w:highlight w:val="white"/>
        </w:rPr>
        <w:t>sychology</w:t>
      </w:r>
      <w:r w:rsidRPr="00C40793">
        <w:rPr>
          <w:color w:val="000000" w:themeColor="text1"/>
          <w:highlight w:val="white"/>
        </w:rPr>
        <w:t xml:space="preserve">, </w:t>
      </w:r>
      <w:r w:rsidRPr="00C40793">
        <w:rPr>
          <w:i/>
          <w:color w:val="000000" w:themeColor="text1"/>
          <w:highlight w:val="white"/>
        </w:rPr>
        <w:t>17</w:t>
      </w:r>
      <w:r w:rsidRPr="00C40793">
        <w:rPr>
          <w:color w:val="000000" w:themeColor="text1"/>
          <w:highlight w:val="white"/>
        </w:rPr>
        <w:t xml:space="preserve">(4), 425-445. </w:t>
      </w:r>
      <w:hyperlink r:id="rId24">
        <w:r w:rsidRPr="00C40793">
          <w:rPr>
            <w:color w:val="000000" w:themeColor="text1"/>
            <w:highlight w:val="white"/>
          </w:rPr>
          <w:t>https://doi.org/10.1207/s15324834basp1704_2</w:t>
        </w:r>
      </w:hyperlink>
    </w:p>
    <w:p w14:paraId="0000007E" w14:textId="33C30719" w:rsidR="00BF1871" w:rsidRPr="00C40793" w:rsidRDefault="003B18AD" w:rsidP="003A7D48">
      <w:pPr>
        <w:spacing w:line="480" w:lineRule="auto"/>
        <w:ind w:left="720" w:hanging="720"/>
        <w:contextualSpacing/>
        <w:rPr>
          <w:color w:val="000000" w:themeColor="text1"/>
          <w:highlight w:val="white"/>
        </w:rPr>
      </w:pPr>
      <w:proofErr w:type="spellStart"/>
      <w:r w:rsidRPr="00C40793">
        <w:rPr>
          <w:color w:val="000000" w:themeColor="text1"/>
          <w:highlight w:val="white"/>
        </w:rPr>
        <w:t>Foubert</w:t>
      </w:r>
      <w:proofErr w:type="spellEnd"/>
      <w:r w:rsidRPr="00C40793">
        <w:rPr>
          <w:color w:val="000000" w:themeColor="text1"/>
          <w:highlight w:val="white"/>
        </w:rPr>
        <w:t xml:space="preserve">, J. D., </w:t>
      </w:r>
      <w:proofErr w:type="spellStart"/>
      <w:r w:rsidRPr="00C40793">
        <w:rPr>
          <w:color w:val="000000" w:themeColor="text1"/>
          <w:highlight w:val="white"/>
        </w:rPr>
        <w:t>Langhinrichsen-Rohling</w:t>
      </w:r>
      <w:proofErr w:type="spellEnd"/>
      <w:r w:rsidRPr="00C40793">
        <w:rPr>
          <w:color w:val="000000" w:themeColor="text1"/>
          <w:highlight w:val="white"/>
        </w:rPr>
        <w:t xml:space="preserve">, J., </w:t>
      </w:r>
      <w:proofErr w:type="spellStart"/>
      <w:r w:rsidRPr="00C40793">
        <w:rPr>
          <w:color w:val="000000" w:themeColor="text1"/>
          <w:highlight w:val="white"/>
        </w:rPr>
        <w:t>Brasfield</w:t>
      </w:r>
      <w:proofErr w:type="spellEnd"/>
      <w:r w:rsidRPr="00C40793">
        <w:rPr>
          <w:color w:val="000000" w:themeColor="text1"/>
          <w:highlight w:val="white"/>
        </w:rPr>
        <w:t xml:space="preserve">, H., &amp; Hill, B. (2010). Effects of a rape awareness program on college women: Increasing bystander efficacy and willingness to intervene. </w:t>
      </w:r>
      <w:r w:rsidRPr="00C40793">
        <w:rPr>
          <w:i/>
          <w:color w:val="000000" w:themeColor="text1"/>
          <w:highlight w:val="white"/>
        </w:rPr>
        <w:t>Journal of Community Psychology, 38</w:t>
      </w:r>
      <w:r w:rsidRPr="00C40793">
        <w:rPr>
          <w:color w:val="000000" w:themeColor="text1"/>
          <w:highlight w:val="white"/>
        </w:rPr>
        <w:t>(7), 813-827.</w:t>
      </w:r>
      <w:hyperlink r:id="rId25">
        <w:r w:rsidRPr="00C40793">
          <w:rPr>
            <w:color w:val="000000" w:themeColor="text1"/>
            <w:highlight w:val="white"/>
          </w:rPr>
          <w:t xml:space="preserve"> https://doi.org/10.1002/jcop.20397</w:t>
        </w:r>
      </w:hyperlink>
    </w:p>
    <w:p w14:paraId="00000082" w14:textId="0E2FF22F" w:rsidR="00BF1871" w:rsidRPr="003A7D48" w:rsidRDefault="003B18AD" w:rsidP="003A7D48">
      <w:pPr>
        <w:spacing w:before="240" w:after="240" w:line="480" w:lineRule="auto"/>
        <w:ind w:left="720" w:hanging="720"/>
        <w:contextualSpacing/>
        <w:rPr>
          <w:color w:val="000000" w:themeColor="text1"/>
          <w:highlight w:val="white"/>
          <w:lang w:val="es-ES"/>
        </w:rPr>
      </w:pPr>
      <w:r w:rsidRPr="00C40793">
        <w:rPr>
          <w:color w:val="000000" w:themeColor="text1"/>
          <w:highlight w:val="white"/>
        </w:rPr>
        <w:t>Glidden, L. M., &amp; Shaffer-</w:t>
      </w:r>
      <w:proofErr w:type="spellStart"/>
      <w:r w:rsidRPr="00C40793">
        <w:rPr>
          <w:color w:val="000000" w:themeColor="text1"/>
          <w:highlight w:val="white"/>
        </w:rPr>
        <w:t>Cutillo</w:t>
      </w:r>
      <w:proofErr w:type="spellEnd"/>
      <w:r w:rsidRPr="00C40793">
        <w:rPr>
          <w:color w:val="000000" w:themeColor="text1"/>
          <w:highlight w:val="white"/>
        </w:rPr>
        <w:t xml:space="preserve">, M. (2017). At the </w:t>
      </w:r>
      <w:r w:rsidR="00771954" w:rsidRPr="00C40793">
        <w:rPr>
          <w:color w:val="000000" w:themeColor="text1"/>
          <w:highlight w:val="white"/>
        </w:rPr>
        <w:t>m</w:t>
      </w:r>
      <w:r w:rsidRPr="00C40793">
        <w:rPr>
          <w:color w:val="000000" w:themeColor="text1"/>
          <w:highlight w:val="white"/>
        </w:rPr>
        <w:t xml:space="preserve">argin’s </w:t>
      </w:r>
      <w:r w:rsidR="00771954" w:rsidRPr="00C40793">
        <w:rPr>
          <w:color w:val="000000" w:themeColor="text1"/>
          <w:highlight w:val="white"/>
        </w:rPr>
        <w:t>e</w:t>
      </w:r>
      <w:r w:rsidRPr="00C40793">
        <w:rPr>
          <w:color w:val="000000" w:themeColor="text1"/>
          <w:highlight w:val="white"/>
        </w:rPr>
        <w:t xml:space="preserve">dge: Women's </w:t>
      </w:r>
      <w:r w:rsidR="00771954" w:rsidRPr="00C40793">
        <w:rPr>
          <w:color w:val="000000" w:themeColor="text1"/>
          <w:highlight w:val="white"/>
        </w:rPr>
        <w:t>a</w:t>
      </w:r>
      <w:r w:rsidRPr="00C40793">
        <w:rPr>
          <w:color w:val="000000" w:themeColor="text1"/>
          <w:highlight w:val="white"/>
        </w:rPr>
        <w:t xml:space="preserve">ctivism in Ecuador. </w:t>
      </w:r>
      <w:proofErr w:type="spellStart"/>
      <w:r w:rsidRPr="003A7D48">
        <w:rPr>
          <w:i/>
          <w:color w:val="000000" w:themeColor="text1"/>
          <w:highlight w:val="white"/>
          <w:lang w:val="es-ES"/>
        </w:rPr>
        <w:t>Women's</w:t>
      </w:r>
      <w:proofErr w:type="spellEnd"/>
      <w:r w:rsidRPr="003A7D48">
        <w:rPr>
          <w:i/>
          <w:color w:val="000000" w:themeColor="text1"/>
          <w:highlight w:val="white"/>
          <w:lang w:val="es-ES"/>
        </w:rPr>
        <w:t xml:space="preserve"> </w:t>
      </w:r>
      <w:proofErr w:type="spellStart"/>
      <w:r w:rsidRPr="003A7D48">
        <w:rPr>
          <w:i/>
          <w:color w:val="000000" w:themeColor="text1"/>
          <w:highlight w:val="white"/>
          <w:lang w:val="es-ES"/>
        </w:rPr>
        <w:t>Studies</w:t>
      </w:r>
      <w:proofErr w:type="spellEnd"/>
      <w:r w:rsidRPr="003A7D48">
        <w:rPr>
          <w:color w:val="000000" w:themeColor="text1"/>
          <w:highlight w:val="white"/>
          <w:lang w:val="es-ES"/>
        </w:rPr>
        <w:t xml:space="preserve">, </w:t>
      </w:r>
      <w:r w:rsidRPr="003A7D48">
        <w:rPr>
          <w:i/>
          <w:color w:val="000000" w:themeColor="text1"/>
          <w:highlight w:val="white"/>
          <w:lang w:val="es-ES"/>
        </w:rPr>
        <w:t>46</w:t>
      </w:r>
      <w:r w:rsidRPr="003A7D48">
        <w:rPr>
          <w:color w:val="000000" w:themeColor="text1"/>
          <w:highlight w:val="white"/>
          <w:lang w:val="es-ES"/>
        </w:rPr>
        <w:t>(1), 22-40.</w:t>
      </w:r>
      <w:hyperlink r:id="rId26">
        <w:r w:rsidRPr="003A7D48">
          <w:rPr>
            <w:color w:val="000000" w:themeColor="text1"/>
            <w:highlight w:val="white"/>
            <w:lang w:val="es-ES"/>
          </w:rPr>
          <w:t xml:space="preserve"> https://doi.org/10.1080/00497878.2017.1252565</w:t>
        </w:r>
      </w:hyperlink>
    </w:p>
    <w:p w14:paraId="0FB08FBF" w14:textId="038750E2" w:rsidR="00026DC9" w:rsidRPr="003A7D48" w:rsidRDefault="00271460" w:rsidP="00C703BD">
      <w:pPr>
        <w:spacing w:before="240" w:after="240" w:line="480" w:lineRule="auto"/>
        <w:ind w:left="720" w:hanging="720"/>
        <w:contextualSpacing/>
        <w:rPr>
          <w:color w:val="000000" w:themeColor="text1"/>
          <w:shd w:val="clear" w:color="auto" w:fill="FFFFFF"/>
        </w:rPr>
      </w:pPr>
      <w:r w:rsidRPr="003A7D48">
        <w:rPr>
          <w:color w:val="000000" w:themeColor="text1"/>
          <w:shd w:val="clear" w:color="auto" w:fill="FFFFFF"/>
          <w:lang w:val="es-ES"/>
        </w:rPr>
        <w:lastRenderedPageBreak/>
        <w:t>Gordillo Ipiales, K. A. (2020). </w:t>
      </w:r>
      <w:r w:rsidRPr="003A7D48">
        <w:rPr>
          <w:i/>
          <w:iCs/>
          <w:color w:val="000000" w:themeColor="text1"/>
          <w:shd w:val="clear" w:color="auto" w:fill="FFFFFF"/>
          <w:lang w:val="es-ES"/>
        </w:rPr>
        <w:t>Estudio sobre el acoso sexual en estudiantes de la Facultad de Ingeniería Civil y Ambiental de la Escuela Politécnica Nacional</w:t>
      </w:r>
      <w:r w:rsidRPr="003A7D48">
        <w:rPr>
          <w:color w:val="000000" w:themeColor="text1"/>
          <w:shd w:val="clear" w:color="auto" w:fill="FFFFFF"/>
          <w:lang w:val="es-ES"/>
        </w:rPr>
        <w:t> (</w:t>
      </w:r>
      <w:proofErr w:type="spellStart"/>
      <w:r w:rsidRPr="003A7D48">
        <w:rPr>
          <w:color w:val="000000" w:themeColor="text1"/>
          <w:shd w:val="clear" w:color="auto" w:fill="FFFFFF"/>
          <w:lang w:val="es-ES"/>
        </w:rPr>
        <w:t>Bachelor's</w:t>
      </w:r>
      <w:proofErr w:type="spellEnd"/>
      <w:r w:rsidRPr="003A7D48">
        <w:rPr>
          <w:color w:val="000000" w:themeColor="text1"/>
          <w:shd w:val="clear" w:color="auto" w:fill="FFFFFF"/>
          <w:lang w:val="es-ES"/>
        </w:rPr>
        <w:t xml:space="preserve"> </w:t>
      </w:r>
      <w:proofErr w:type="spellStart"/>
      <w:r w:rsidRPr="003A7D48">
        <w:rPr>
          <w:color w:val="000000" w:themeColor="text1"/>
          <w:shd w:val="clear" w:color="auto" w:fill="FFFFFF"/>
          <w:lang w:val="es-ES"/>
        </w:rPr>
        <w:t>thesis</w:t>
      </w:r>
      <w:proofErr w:type="spellEnd"/>
      <w:r w:rsidRPr="003A7D48">
        <w:rPr>
          <w:color w:val="000000" w:themeColor="text1"/>
          <w:shd w:val="clear" w:color="auto" w:fill="FFFFFF"/>
          <w:lang w:val="es-ES"/>
        </w:rPr>
        <w:t>, Quito, 2020.).</w:t>
      </w:r>
      <w:r w:rsidR="00026DC9" w:rsidRPr="00C40793">
        <w:rPr>
          <w:color w:val="000000" w:themeColor="text1"/>
          <w:shd w:val="clear" w:color="auto" w:fill="FFFFFF"/>
          <w:lang w:val="es-ES"/>
        </w:rPr>
        <w:t xml:space="preserve"> </w:t>
      </w:r>
      <w:hyperlink r:id="rId27" w:history="1">
        <w:r w:rsidR="00026DC9" w:rsidRPr="00C40793">
          <w:rPr>
            <w:rStyle w:val="Hyperlink"/>
            <w:color w:val="000000" w:themeColor="text1"/>
            <w:u w:val="none"/>
            <w:shd w:val="clear" w:color="auto" w:fill="FFFFFF"/>
          </w:rPr>
          <w:t>http://bibdigital.epn.edu.ec/handle/15000/20802</w:t>
        </w:r>
      </w:hyperlink>
    </w:p>
    <w:p w14:paraId="00000084" w14:textId="55B42D01" w:rsidR="00BF1871" w:rsidRPr="00C40793" w:rsidRDefault="003B18AD" w:rsidP="003A7D48">
      <w:pPr>
        <w:pStyle w:val="Heading4"/>
        <w:keepNext w:val="0"/>
        <w:keepLines w:val="0"/>
        <w:shd w:val="clear" w:color="auto" w:fill="FFFFFF"/>
        <w:spacing w:line="480" w:lineRule="auto"/>
        <w:ind w:left="720" w:hanging="720"/>
        <w:contextualSpacing/>
        <w:rPr>
          <w:rFonts w:ascii="Times New Roman" w:eastAsia="Times New Roman" w:hAnsi="Times New Roman" w:cs="Times New Roman"/>
          <w:b w:val="0"/>
          <w:color w:val="000000" w:themeColor="text1"/>
          <w:highlight w:val="white"/>
          <w:lang w:val="es-ES"/>
        </w:rPr>
      </w:pPr>
      <w:bookmarkStart w:id="0" w:name="_heading=h.f1m5wk2cpy06" w:colFirst="0" w:colLast="0"/>
      <w:bookmarkEnd w:id="0"/>
      <w:r w:rsidRPr="003A7D48">
        <w:rPr>
          <w:rFonts w:ascii="Times New Roman" w:eastAsia="Times New Roman" w:hAnsi="Times New Roman" w:cs="Times New Roman"/>
          <w:b w:val="0"/>
          <w:color w:val="000000" w:themeColor="text1"/>
          <w:highlight w:val="white"/>
          <w:lang w:val="es-ES"/>
        </w:rPr>
        <w:t xml:space="preserve">Guarderas, P., Larrea, M. D. L., </w:t>
      </w:r>
      <w:proofErr w:type="spellStart"/>
      <w:r w:rsidRPr="003A7D48">
        <w:rPr>
          <w:rFonts w:ascii="Times New Roman" w:eastAsia="Times New Roman" w:hAnsi="Times New Roman" w:cs="Times New Roman"/>
          <w:b w:val="0"/>
          <w:color w:val="000000" w:themeColor="text1"/>
          <w:highlight w:val="white"/>
          <w:lang w:val="es-ES"/>
        </w:rPr>
        <w:t>Cuvi</w:t>
      </w:r>
      <w:proofErr w:type="spellEnd"/>
      <w:r w:rsidRPr="003A7D48">
        <w:rPr>
          <w:rFonts w:ascii="Times New Roman" w:eastAsia="Times New Roman" w:hAnsi="Times New Roman" w:cs="Times New Roman"/>
          <w:b w:val="0"/>
          <w:color w:val="000000" w:themeColor="text1"/>
          <w:highlight w:val="white"/>
          <w:lang w:val="es-ES"/>
        </w:rPr>
        <w:t xml:space="preserve">, J., Vega, C., Reyes, C., Bichara, T., ... &amp; </w:t>
      </w:r>
      <w:proofErr w:type="spellStart"/>
      <w:r w:rsidRPr="003A7D48">
        <w:rPr>
          <w:rFonts w:ascii="Times New Roman" w:eastAsia="Times New Roman" w:hAnsi="Times New Roman" w:cs="Times New Roman"/>
          <w:b w:val="0"/>
          <w:color w:val="000000" w:themeColor="text1"/>
          <w:highlight w:val="white"/>
          <w:lang w:val="es-ES"/>
        </w:rPr>
        <w:t>Ullauri</w:t>
      </w:r>
      <w:proofErr w:type="spellEnd"/>
      <w:r w:rsidRPr="003A7D48">
        <w:rPr>
          <w:rFonts w:ascii="Times New Roman" w:eastAsia="Times New Roman" w:hAnsi="Times New Roman" w:cs="Times New Roman"/>
          <w:b w:val="0"/>
          <w:color w:val="000000" w:themeColor="text1"/>
          <w:highlight w:val="white"/>
          <w:lang w:val="es-ES"/>
        </w:rPr>
        <w:t xml:space="preserve">, K. (2018). Acoso sexual en las universidades ecuatorianas: validez de contenido de un instrumento de medición. </w:t>
      </w:r>
      <w:r w:rsidRPr="003A7D48">
        <w:rPr>
          <w:rFonts w:ascii="Times New Roman" w:eastAsia="Times New Roman" w:hAnsi="Times New Roman" w:cs="Times New Roman"/>
          <w:b w:val="0"/>
          <w:i/>
          <w:color w:val="000000" w:themeColor="text1"/>
          <w:highlight w:val="white"/>
          <w:lang w:val="es-ES"/>
        </w:rPr>
        <w:t>ALTERIDAD. Revista de Educación</w:t>
      </w:r>
      <w:r w:rsidRPr="003A7D48">
        <w:rPr>
          <w:rFonts w:ascii="Times New Roman" w:eastAsia="Times New Roman" w:hAnsi="Times New Roman" w:cs="Times New Roman"/>
          <w:b w:val="0"/>
          <w:color w:val="000000" w:themeColor="text1"/>
          <w:highlight w:val="white"/>
          <w:lang w:val="es-ES"/>
        </w:rPr>
        <w:t xml:space="preserve">, </w:t>
      </w:r>
      <w:r w:rsidRPr="003A7D48">
        <w:rPr>
          <w:rFonts w:ascii="Times New Roman" w:eastAsia="Times New Roman" w:hAnsi="Times New Roman" w:cs="Times New Roman"/>
          <w:b w:val="0"/>
          <w:i/>
          <w:color w:val="000000" w:themeColor="text1"/>
          <w:highlight w:val="white"/>
          <w:lang w:val="es-ES"/>
        </w:rPr>
        <w:t>13</w:t>
      </w:r>
      <w:r w:rsidRPr="003A7D48">
        <w:rPr>
          <w:rFonts w:ascii="Times New Roman" w:eastAsia="Times New Roman" w:hAnsi="Times New Roman" w:cs="Times New Roman"/>
          <w:b w:val="0"/>
          <w:color w:val="000000" w:themeColor="text1"/>
          <w:highlight w:val="white"/>
          <w:lang w:val="es-ES"/>
        </w:rPr>
        <w:t xml:space="preserve">(2), 214-226. </w:t>
      </w:r>
      <w:hyperlink r:id="rId28" w:history="1">
        <w:r w:rsidR="001A3E18" w:rsidRPr="003A7D48">
          <w:rPr>
            <w:rStyle w:val="Hyperlink"/>
            <w:color w:val="000000" w:themeColor="text1"/>
            <w:highlight w:val="white"/>
            <w:u w:val="none"/>
            <w:lang w:val="es-ES"/>
          </w:rPr>
          <w:t>http://dx.doi.org/10.17163/alt.v13n2.2018.05</w:t>
        </w:r>
      </w:hyperlink>
    </w:p>
    <w:p w14:paraId="1376FBE9" w14:textId="56AAD656" w:rsidR="00026DC9" w:rsidRPr="003A7D48" w:rsidRDefault="002362D9" w:rsidP="00C703BD">
      <w:pPr>
        <w:spacing w:line="480" w:lineRule="auto"/>
        <w:ind w:left="720" w:hanging="720"/>
        <w:contextualSpacing/>
        <w:rPr>
          <w:color w:val="000000" w:themeColor="text1"/>
          <w:shd w:val="clear" w:color="auto" w:fill="FFFFFF"/>
        </w:rPr>
      </w:pPr>
      <w:r w:rsidRPr="003A7D48">
        <w:rPr>
          <w:color w:val="000000" w:themeColor="text1"/>
          <w:shd w:val="clear" w:color="auto" w:fill="FFFFFF"/>
        </w:rPr>
        <w:t xml:space="preserve">Hennelly, S. E., Hussain, S., Hale, T., </w:t>
      </w:r>
      <w:proofErr w:type="spellStart"/>
      <w:r w:rsidRPr="003A7D48">
        <w:rPr>
          <w:color w:val="000000" w:themeColor="text1"/>
          <w:shd w:val="clear" w:color="auto" w:fill="FFFFFF"/>
        </w:rPr>
        <w:t>Cadle</w:t>
      </w:r>
      <w:proofErr w:type="spellEnd"/>
      <w:r w:rsidRPr="003A7D48">
        <w:rPr>
          <w:color w:val="000000" w:themeColor="text1"/>
          <w:shd w:val="clear" w:color="auto" w:fill="FFFFFF"/>
        </w:rPr>
        <w:t>, M., Brooke, J., &amp; Davies, E. (2019). University student attitudes to prosocial bystander behaviours. </w:t>
      </w:r>
      <w:r w:rsidRPr="003A7D48">
        <w:rPr>
          <w:i/>
          <w:iCs/>
          <w:color w:val="000000" w:themeColor="text1"/>
          <w:shd w:val="clear" w:color="auto" w:fill="FFFFFF"/>
        </w:rPr>
        <w:t>Health Education</w:t>
      </w:r>
      <w:r w:rsidRPr="003A7D48">
        <w:rPr>
          <w:color w:val="000000" w:themeColor="text1"/>
          <w:shd w:val="clear" w:color="auto" w:fill="FFFFFF"/>
        </w:rPr>
        <w:t>.</w:t>
      </w:r>
      <w:r w:rsidR="00026DC9" w:rsidRPr="00C40793">
        <w:rPr>
          <w:color w:val="000000" w:themeColor="text1"/>
          <w:shd w:val="clear" w:color="auto" w:fill="FFFFFF"/>
        </w:rPr>
        <w:t xml:space="preserve"> </w:t>
      </w:r>
      <w:hyperlink r:id="rId29" w:history="1">
        <w:r w:rsidR="00026DC9" w:rsidRPr="00C40793">
          <w:rPr>
            <w:rStyle w:val="Hyperlink"/>
            <w:color w:val="000000" w:themeColor="text1"/>
            <w:u w:val="none"/>
            <w:shd w:val="clear" w:color="auto" w:fill="FFFFFF"/>
          </w:rPr>
          <w:t>https://doi.org/10.1108/HE-05-2019-0023</w:t>
        </w:r>
      </w:hyperlink>
    </w:p>
    <w:p w14:paraId="759D953E" w14:textId="67158F0D" w:rsidR="001A3E18" w:rsidRPr="003A7D48" w:rsidRDefault="001A3E18" w:rsidP="003A7D48">
      <w:pPr>
        <w:spacing w:line="480" w:lineRule="auto"/>
        <w:ind w:left="720" w:hanging="720"/>
        <w:contextualSpacing/>
        <w:rPr>
          <w:color w:val="000000" w:themeColor="text1"/>
          <w:shd w:val="clear" w:color="auto" w:fill="FFFFFF"/>
        </w:rPr>
      </w:pPr>
      <w:r w:rsidRPr="003A7D48">
        <w:rPr>
          <w:color w:val="000000" w:themeColor="text1"/>
          <w:shd w:val="clear" w:color="auto" w:fill="FFFFFF"/>
        </w:rPr>
        <w:t xml:space="preserve">Hernández, G. S., Tapia, A. J., </w:t>
      </w:r>
      <w:proofErr w:type="spellStart"/>
      <w:r w:rsidRPr="003A7D48">
        <w:rPr>
          <w:color w:val="000000" w:themeColor="text1"/>
          <w:shd w:val="clear" w:color="auto" w:fill="FFFFFF"/>
        </w:rPr>
        <w:t>Reynaga</w:t>
      </w:r>
      <w:proofErr w:type="spellEnd"/>
      <w:r w:rsidRPr="003A7D48">
        <w:rPr>
          <w:color w:val="000000" w:themeColor="text1"/>
          <w:shd w:val="clear" w:color="auto" w:fill="FFFFFF"/>
        </w:rPr>
        <w:t xml:space="preserve">, R. G., &amp; Mendoza, M. R. (2015). </w:t>
      </w:r>
      <w:r w:rsidRPr="003A7D48">
        <w:rPr>
          <w:color w:val="000000" w:themeColor="text1"/>
          <w:shd w:val="clear" w:color="auto" w:fill="FFFFFF"/>
          <w:lang w:val="es-ES"/>
        </w:rPr>
        <w:t>La coerción sexual asociada con los mitos de violación y las actitudes sexuales en estudiantes universitarios. </w:t>
      </w:r>
      <w:proofErr w:type="spellStart"/>
      <w:r w:rsidRPr="003A7D48">
        <w:rPr>
          <w:i/>
          <w:iCs/>
          <w:color w:val="000000" w:themeColor="text1"/>
          <w:shd w:val="clear" w:color="auto" w:fill="FFFFFF"/>
        </w:rPr>
        <w:t>Salud</w:t>
      </w:r>
      <w:proofErr w:type="spellEnd"/>
      <w:r w:rsidRPr="003A7D48">
        <w:rPr>
          <w:i/>
          <w:iCs/>
          <w:color w:val="000000" w:themeColor="text1"/>
          <w:shd w:val="clear" w:color="auto" w:fill="FFFFFF"/>
        </w:rPr>
        <w:t xml:space="preserve"> mental</w:t>
      </w:r>
      <w:r w:rsidRPr="003A7D48">
        <w:rPr>
          <w:color w:val="000000" w:themeColor="text1"/>
          <w:shd w:val="clear" w:color="auto" w:fill="FFFFFF"/>
        </w:rPr>
        <w:t>, </w:t>
      </w:r>
      <w:r w:rsidRPr="003A7D48">
        <w:rPr>
          <w:i/>
          <w:iCs/>
          <w:color w:val="000000" w:themeColor="text1"/>
          <w:shd w:val="clear" w:color="auto" w:fill="FFFFFF"/>
        </w:rPr>
        <w:t>38</w:t>
      </w:r>
      <w:r w:rsidRPr="003A7D48">
        <w:rPr>
          <w:color w:val="000000" w:themeColor="text1"/>
          <w:shd w:val="clear" w:color="auto" w:fill="FFFFFF"/>
        </w:rPr>
        <w:t>(1), 27-32.</w:t>
      </w:r>
    </w:p>
    <w:p w14:paraId="0A29FD7D" w14:textId="07EE5185" w:rsidR="00026DC9" w:rsidRPr="003A7D48" w:rsidRDefault="0030624D" w:rsidP="00C703BD">
      <w:pPr>
        <w:spacing w:line="480" w:lineRule="auto"/>
        <w:ind w:left="720" w:hanging="720"/>
        <w:contextualSpacing/>
        <w:rPr>
          <w:color w:val="000000" w:themeColor="text1"/>
          <w:shd w:val="clear" w:color="auto" w:fill="FFFFFF"/>
          <w:lang w:val="es-ES"/>
        </w:rPr>
      </w:pPr>
      <w:proofErr w:type="spellStart"/>
      <w:r w:rsidRPr="003A7D48">
        <w:rPr>
          <w:color w:val="000000" w:themeColor="text1"/>
          <w:shd w:val="clear" w:color="auto" w:fill="FFFFFF"/>
        </w:rPr>
        <w:t>Hoxmeier</w:t>
      </w:r>
      <w:proofErr w:type="spellEnd"/>
      <w:r w:rsidRPr="003A7D48">
        <w:rPr>
          <w:color w:val="000000" w:themeColor="text1"/>
          <w:shd w:val="clear" w:color="auto" w:fill="FFFFFF"/>
        </w:rPr>
        <w:t>, J. C., O’Connor, J., &amp; McMahon, S. (2019). “She Wasn’t Resisting”: Students’ Barriers to Prosocial Intervention as Bystanders to Sexual Assault Risk Situations. </w:t>
      </w:r>
      <w:proofErr w:type="spellStart"/>
      <w:r w:rsidRPr="003A7D48">
        <w:rPr>
          <w:i/>
          <w:iCs/>
          <w:color w:val="000000" w:themeColor="text1"/>
          <w:shd w:val="clear" w:color="auto" w:fill="FFFFFF"/>
          <w:lang w:val="es-ES"/>
        </w:rPr>
        <w:t>Violence</w:t>
      </w:r>
      <w:proofErr w:type="spellEnd"/>
      <w:r w:rsidRPr="003A7D48">
        <w:rPr>
          <w:i/>
          <w:iCs/>
          <w:color w:val="000000" w:themeColor="text1"/>
          <w:shd w:val="clear" w:color="auto" w:fill="FFFFFF"/>
          <w:lang w:val="es-ES"/>
        </w:rPr>
        <w:t xml:space="preserve"> </w:t>
      </w:r>
      <w:proofErr w:type="spellStart"/>
      <w:r w:rsidRPr="003A7D48">
        <w:rPr>
          <w:i/>
          <w:iCs/>
          <w:color w:val="000000" w:themeColor="text1"/>
          <w:shd w:val="clear" w:color="auto" w:fill="FFFFFF"/>
          <w:lang w:val="es-ES"/>
        </w:rPr>
        <w:t>against</w:t>
      </w:r>
      <w:proofErr w:type="spellEnd"/>
      <w:r w:rsidRPr="003A7D48">
        <w:rPr>
          <w:i/>
          <w:iCs/>
          <w:color w:val="000000" w:themeColor="text1"/>
          <w:shd w:val="clear" w:color="auto" w:fill="FFFFFF"/>
          <w:lang w:val="es-ES"/>
        </w:rPr>
        <w:t xml:space="preserve"> </w:t>
      </w:r>
      <w:proofErr w:type="spellStart"/>
      <w:r w:rsidRPr="003A7D48">
        <w:rPr>
          <w:i/>
          <w:iCs/>
          <w:color w:val="000000" w:themeColor="text1"/>
          <w:shd w:val="clear" w:color="auto" w:fill="FFFFFF"/>
          <w:lang w:val="es-ES"/>
        </w:rPr>
        <w:t>women</w:t>
      </w:r>
      <w:proofErr w:type="spellEnd"/>
      <w:r w:rsidRPr="003A7D48">
        <w:rPr>
          <w:color w:val="000000" w:themeColor="text1"/>
          <w:shd w:val="clear" w:color="auto" w:fill="FFFFFF"/>
          <w:lang w:val="es-ES"/>
        </w:rPr>
        <w:t>, </w:t>
      </w:r>
      <w:r w:rsidRPr="003A7D48">
        <w:rPr>
          <w:i/>
          <w:iCs/>
          <w:color w:val="000000" w:themeColor="text1"/>
          <w:shd w:val="clear" w:color="auto" w:fill="FFFFFF"/>
          <w:lang w:val="es-ES"/>
        </w:rPr>
        <w:t>25</w:t>
      </w:r>
      <w:r w:rsidRPr="003A7D48">
        <w:rPr>
          <w:color w:val="000000" w:themeColor="text1"/>
          <w:shd w:val="clear" w:color="auto" w:fill="FFFFFF"/>
          <w:lang w:val="es-ES"/>
        </w:rPr>
        <w:t>(4), 485-505.</w:t>
      </w:r>
      <w:r w:rsidR="00026DC9" w:rsidRPr="00C40793">
        <w:rPr>
          <w:color w:val="000000" w:themeColor="text1"/>
          <w:shd w:val="clear" w:color="auto" w:fill="FFFFFF"/>
          <w:lang w:val="es-ES"/>
        </w:rPr>
        <w:t xml:space="preserve"> </w:t>
      </w:r>
      <w:hyperlink r:id="rId30" w:history="1">
        <w:r w:rsidR="00026DC9" w:rsidRPr="00C40793">
          <w:rPr>
            <w:rStyle w:val="Hyperlink"/>
            <w:color w:val="000000" w:themeColor="text1"/>
            <w:u w:val="none"/>
            <w:shd w:val="clear" w:color="auto" w:fill="FFFFFF"/>
            <w:lang w:val="es-ES"/>
          </w:rPr>
          <w:t>https://doi.org/10.1177%2F1077801218790697</w:t>
        </w:r>
      </w:hyperlink>
    </w:p>
    <w:p w14:paraId="6F8D69B2" w14:textId="1F1CC668" w:rsidR="00B3382D" w:rsidRPr="003A7D48" w:rsidRDefault="00BB065E" w:rsidP="00C703BD">
      <w:pPr>
        <w:spacing w:line="480" w:lineRule="auto"/>
        <w:ind w:left="720" w:hanging="720"/>
        <w:contextualSpacing/>
        <w:rPr>
          <w:color w:val="000000" w:themeColor="text1"/>
          <w:shd w:val="clear" w:color="auto" w:fill="FFFFFF"/>
          <w:lang w:val="es-ES"/>
        </w:rPr>
      </w:pPr>
      <w:proofErr w:type="spellStart"/>
      <w:r w:rsidRPr="003A7D48">
        <w:rPr>
          <w:color w:val="000000" w:themeColor="text1"/>
          <w:shd w:val="clear" w:color="auto" w:fill="FFFFFF"/>
        </w:rPr>
        <w:t>Hoxmeier</w:t>
      </w:r>
      <w:proofErr w:type="spellEnd"/>
      <w:r w:rsidRPr="003A7D48">
        <w:rPr>
          <w:color w:val="000000" w:themeColor="text1"/>
          <w:shd w:val="clear" w:color="auto" w:fill="FFFFFF"/>
        </w:rPr>
        <w:t>, J. C., O'Connor, J., &amp; McMahon, S. (2020). Men’s perspectives on risk identification, taking responsibility, and prosocial intervention: Primary prevention or harm reduction?. </w:t>
      </w:r>
      <w:r w:rsidRPr="003A7D48">
        <w:rPr>
          <w:i/>
          <w:iCs/>
          <w:color w:val="000000" w:themeColor="text1"/>
          <w:shd w:val="clear" w:color="auto" w:fill="FFFFFF"/>
          <w:lang w:val="es-ES"/>
        </w:rPr>
        <w:t xml:space="preserve">Psychology of </w:t>
      </w:r>
      <w:proofErr w:type="spellStart"/>
      <w:r w:rsidRPr="003A7D48">
        <w:rPr>
          <w:i/>
          <w:iCs/>
          <w:color w:val="000000" w:themeColor="text1"/>
          <w:shd w:val="clear" w:color="auto" w:fill="FFFFFF"/>
          <w:lang w:val="es-ES"/>
        </w:rPr>
        <w:t>Men</w:t>
      </w:r>
      <w:proofErr w:type="spellEnd"/>
      <w:r w:rsidRPr="003A7D48">
        <w:rPr>
          <w:i/>
          <w:iCs/>
          <w:color w:val="000000" w:themeColor="text1"/>
          <w:shd w:val="clear" w:color="auto" w:fill="FFFFFF"/>
          <w:lang w:val="es-ES"/>
        </w:rPr>
        <w:t xml:space="preserve"> &amp; </w:t>
      </w:r>
      <w:proofErr w:type="spellStart"/>
      <w:r w:rsidRPr="003A7D48">
        <w:rPr>
          <w:i/>
          <w:iCs/>
          <w:color w:val="000000" w:themeColor="text1"/>
          <w:shd w:val="clear" w:color="auto" w:fill="FFFFFF"/>
          <w:lang w:val="es-ES"/>
        </w:rPr>
        <w:t>Masculinities</w:t>
      </w:r>
      <w:proofErr w:type="spellEnd"/>
      <w:r w:rsidRPr="003A7D48">
        <w:rPr>
          <w:color w:val="000000" w:themeColor="text1"/>
          <w:shd w:val="clear" w:color="auto" w:fill="FFFFFF"/>
          <w:lang w:val="es-ES"/>
        </w:rPr>
        <w:t>, </w:t>
      </w:r>
      <w:r w:rsidRPr="003A7D48">
        <w:rPr>
          <w:i/>
          <w:iCs/>
          <w:color w:val="000000" w:themeColor="text1"/>
          <w:shd w:val="clear" w:color="auto" w:fill="FFFFFF"/>
          <w:lang w:val="es-ES"/>
        </w:rPr>
        <w:t>21</w:t>
      </w:r>
      <w:r w:rsidRPr="003A7D48">
        <w:rPr>
          <w:color w:val="000000" w:themeColor="text1"/>
          <w:shd w:val="clear" w:color="auto" w:fill="FFFFFF"/>
          <w:lang w:val="es-ES"/>
        </w:rPr>
        <w:t>(1), 95.</w:t>
      </w:r>
      <w:r w:rsidR="00026DC9" w:rsidRPr="00C40793">
        <w:rPr>
          <w:color w:val="000000" w:themeColor="text1"/>
          <w:shd w:val="clear" w:color="auto" w:fill="FFFFFF"/>
          <w:lang w:val="es-ES"/>
        </w:rPr>
        <w:t xml:space="preserve"> </w:t>
      </w:r>
      <w:hyperlink r:id="rId31" w:history="1">
        <w:r w:rsidR="00B3382D" w:rsidRPr="00C40793">
          <w:rPr>
            <w:rStyle w:val="Hyperlink"/>
            <w:color w:val="000000" w:themeColor="text1"/>
            <w:u w:val="none"/>
            <w:shd w:val="clear" w:color="auto" w:fill="FFFFFF"/>
            <w:lang w:val="es-ES"/>
          </w:rPr>
          <w:t>https://psycnet.apa.org/doi/10.1037/men0000212</w:t>
        </w:r>
      </w:hyperlink>
    </w:p>
    <w:p w14:paraId="2A83DFE4" w14:textId="2030F995" w:rsidR="00B3382D" w:rsidRPr="00C40793" w:rsidRDefault="003B18AD" w:rsidP="00C703BD">
      <w:pPr>
        <w:pStyle w:val="Heading4"/>
        <w:keepNext w:val="0"/>
        <w:keepLines w:val="0"/>
        <w:shd w:val="clear" w:color="auto" w:fill="FFFFFF"/>
        <w:spacing w:line="480" w:lineRule="auto"/>
        <w:ind w:left="720" w:hanging="720"/>
        <w:contextualSpacing/>
        <w:rPr>
          <w:rFonts w:ascii="Times New Roman" w:eastAsia="Times New Roman" w:hAnsi="Times New Roman" w:cs="Times New Roman"/>
          <w:b w:val="0"/>
          <w:color w:val="000000" w:themeColor="text1"/>
          <w:highlight w:val="white"/>
        </w:rPr>
      </w:pPr>
      <w:bookmarkStart w:id="1" w:name="_heading=h.598kyf58bhys" w:colFirst="0" w:colLast="0"/>
      <w:bookmarkEnd w:id="1"/>
      <w:r w:rsidRPr="003A7D48">
        <w:rPr>
          <w:rFonts w:ascii="Times New Roman" w:eastAsia="Times New Roman" w:hAnsi="Times New Roman" w:cs="Times New Roman"/>
          <w:b w:val="0"/>
          <w:color w:val="000000" w:themeColor="text1"/>
          <w:highlight w:val="white"/>
          <w:lang w:val="es-ES"/>
        </w:rPr>
        <w:t xml:space="preserve">Ibáñez, D. B. (2017). La violencia de género em Ecuador: </w:t>
      </w:r>
      <w:r w:rsidR="00771954" w:rsidRPr="003A7D48">
        <w:rPr>
          <w:rFonts w:ascii="Times New Roman" w:eastAsia="Times New Roman" w:hAnsi="Times New Roman" w:cs="Times New Roman"/>
          <w:b w:val="0"/>
          <w:color w:val="000000" w:themeColor="text1"/>
          <w:highlight w:val="white"/>
          <w:lang w:val="es-ES"/>
        </w:rPr>
        <w:t>U</w:t>
      </w:r>
      <w:r w:rsidRPr="003A7D48">
        <w:rPr>
          <w:rFonts w:ascii="Times New Roman" w:eastAsia="Times New Roman" w:hAnsi="Times New Roman" w:cs="Times New Roman"/>
          <w:b w:val="0"/>
          <w:color w:val="000000" w:themeColor="text1"/>
          <w:highlight w:val="white"/>
          <w:lang w:val="es-ES"/>
        </w:rPr>
        <w:t xml:space="preserve">n estudio sobre los universitarios. </w:t>
      </w:r>
      <w:proofErr w:type="spellStart"/>
      <w:r w:rsidRPr="00C40793">
        <w:rPr>
          <w:rFonts w:ascii="Times New Roman" w:eastAsia="Times New Roman" w:hAnsi="Times New Roman" w:cs="Times New Roman"/>
          <w:b w:val="0"/>
          <w:i/>
          <w:color w:val="000000" w:themeColor="text1"/>
          <w:highlight w:val="white"/>
        </w:rPr>
        <w:t>Revista</w:t>
      </w:r>
      <w:proofErr w:type="spellEnd"/>
      <w:r w:rsidRPr="00C40793">
        <w:rPr>
          <w:rFonts w:ascii="Times New Roman" w:eastAsia="Times New Roman" w:hAnsi="Times New Roman" w:cs="Times New Roman"/>
          <w:b w:val="0"/>
          <w:i/>
          <w:color w:val="000000" w:themeColor="text1"/>
          <w:highlight w:val="white"/>
        </w:rPr>
        <w:t xml:space="preserve"> </w:t>
      </w:r>
      <w:proofErr w:type="spellStart"/>
      <w:r w:rsidRPr="00C40793">
        <w:rPr>
          <w:rFonts w:ascii="Times New Roman" w:eastAsia="Times New Roman" w:hAnsi="Times New Roman" w:cs="Times New Roman"/>
          <w:b w:val="0"/>
          <w:i/>
          <w:color w:val="000000" w:themeColor="text1"/>
          <w:highlight w:val="white"/>
        </w:rPr>
        <w:t>Estudos</w:t>
      </w:r>
      <w:proofErr w:type="spellEnd"/>
      <w:r w:rsidRPr="00C40793">
        <w:rPr>
          <w:rFonts w:ascii="Times New Roman" w:eastAsia="Times New Roman" w:hAnsi="Times New Roman" w:cs="Times New Roman"/>
          <w:b w:val="0"/>
          <w:i/>
          <w:color w:val="000000" w:themeColor="text1"/>
          <w:highlight w:val="white"/>
        </w:rPr>
        <w:t xml:space="preserve"> </w:t>
      </w:r>
      <w:proofErr w:type="spellStart"/>
      <w:r w:rsidRPr="00C40793">
        <w:rPr>
          <w:rFonts w:ascii="Times New Roman" w:eastAsia="Times New Roman" w:hAnsi="Times New Roman" w:cs="Times New Roman"/>
          <w:b w:val="0"/>
          <w:i/>
          <w:color w:val="000000" w:themeColor="text1"/>
          <w:highlight w:val="white"/>
        </w:rPr>
        <w:t>Feministas</w:t>
      </w:r>
      <w:proofErr w:type="spellEnd"/>
      <w:r w:rsidRPr="00C40793">
        <w:rPr>
          <w:rFonts w:ascii="Times New Roman" w:eastAsia="Times New Roman" w:hAnsi="Times New Roman" w:cs="Times New Roman"/>
          <w:b w:val="0"/>
          <w:color w:val="000000" w:themeColor="text1"/>
          <w:highlight w:val="white"/>
        </w:rPr>
        <w:t xml:space="preserve">, </w:t>
      </w:r>
      <w:r w:rsidRPr="00C40793">
        <w:rPr>
          <w:rFonts w:ascii="Times New Roman" w:eastAsia="Times New Roman" w:hAnsi="Times New Roman" w:cs="Times New Roman"/>
          <w:b w:val="0"/>
          <w:i/>
          <w:color w:val="000000" w:themeColor="text1"/>
          <w:highlight w:val="white"/>
        </w:rPr>
        <w:t>25</w:t>
      </w:r>
      <w:r w:rsidRPr="00C40793">
        <w:rPr>
          <w:rFonts w:ascii="Times New Roman" w:eastAsia="Times New Roman" w:hAnsi="Times New Roman" w:cs="Times New Roman"/>
          <w:b w:val="0"/>
          <w:color w:val="000000" w:themeColor="text1"/>
          <w:highlight w:val="white"/>
        </w:rPr>
        <w:t xml:space="preserve">(3), 1313-1327. http://dx.doi.org/10.1590/1806-9584.2017v25n3p1313 </w:t>
      </w:r>
    </w:p>
    <w:p w14:paraId="00000088" w14:textId="796BDCE3" w:rsidR="00BF1871" w:rsidRPr="00C40793" w:rsidRDefault="003B18AD" w:rsidP="003A7D48">
      <w:pPr>
        <w:spacing w:line="480" w:lineRule="auto"/>
        <w:ind w:left="720" w:hanging="720"/>
        <w:contextualSpacing/>
        <w:rPr>
          <w:color w:val="000000" w:themeColor="text1"/>
        </w:rPr>
      </w:pPr>
      <w:proofErr w:type="spellStart"/>
      <w:r w:rsidRPr="00C40793">
        <w:rPr>
          <w:color w:val="000000" w:themeColor="text1"/>
          <w:highlight w:val="white"/>
        </w:rPr>
        <w:lastRenderedPageBreak/>
        <w:t>Jagsi</w:t>
      </w:r>
      <w:proofErr w:type="spellEnd"/>
      <w:r w:rsidRPr="00C40793">
        <w:rPr>
          <w:color w:val="000000" w:themeColor="text1"/>
          <w:highlight w:val="white"/>
        </w:rPr>
        <w:t xml:space="preserve">, R., Griffith, K. A., Jones, R., </w:t>
      </w:r>
      <w:proofErr w:type="spellStart"/>
      <w:r w:rsidRPr="00C40793">
        <w:rPr>
          <w:color w:val="000000" w:themeColor="text1"/>
          <w:highlight w:val="white"/>
        </w:rPr>
        <w:t>Perumalswami</w:t>
      </w:r>
      <w:proofErr w:type="spellEnd"/>
      <w:r w:rsidRPr="00C40793">
        <w:rPr>
          <w:color w:val="000000" w:themeColor="text1"/>
          <w:highlight w:val="white"/>
        </w:rPr>
        <w:t xml:space="preserve">, C. R., </w:t>
      </w:r>
      <w:proofErr w:type="spellStart"/>
      <w:r w:rsidRPr="00C40793">
        <w:rPr>
          <w:color w:val="000000" w:themeColor="text1"/>
          <w:highlight w:val="white"/>
        </w:rPr>
        <w:t>Ubel</w:t>
      </w:r>
      <w:proofErr w:type="spellEnd"/>
      <w:r w:rsidRPr="00C40793">
        <w:rPr>
          <w:color w:val="000000" w:themeColor="text1"/>
          <w:highlight w:val="white"/>
        </w:rPr>
        <w:t xml:space="preserve">, P., &amp; Stewart, A. (2016). Sexual harassment and discrimination experiences of academic medical faculty. </w:t>
      </w:r>
      <w:r w:rsidR="00F95C9A" w:rsidRPr="00C40793">
        <w:rPr>
          <w:i/>
          <w:color w:val="000000" w:themeColor="text1"/>
          <w:highlight w:val="white"/>
        </w:rPr>
        <w:t>JAMA</w:t>
      </w:r>
      <w:r w:rsidRPr="00C40793">
        <w:rPr>
          <w:color w:val="000000" w:themeColor="text1"/>
          <w:highlight w:val="white"/>
        </w:rPr>
        <w:t xml:space="preserve">, </w:t>
      </w:r>
      <w:r w:rsidRPr="00C40793">
        <w:rPr>
          <w:i/>
          <w:color w:val="000000" w:themeColor="text1"/>
          <w:highlight w:val="white"/>
        </w:rPr>
        <w:t>315</w:t>
      </w:r>
      <w:r w:rsidRPr="00C40793">
        <w:rPr>
          <w:color w:val="000000" w:themeColor="text1"/>
          <w:highlight w:val="white"/>
        </w:rPr>
        <w:t>(19), 2120-2121. https://doi.org/</w:t>
      </w:r>
      <w:r w:rsidRPr="00C40793">
        <w:rPr>
          <w:color w:val="000000" w:themeColor="text1"/>
        </w:rPr>
        <w:t>10.1001/jama.2016.2188</w:t>
      </w:r>
    </w:p>
    <w:p w14:paraId="0000008A" w14:textId="2D717688" w:rsidR="00BF1871" w:rsidRPr="003A7D48" w:rsidRDefault="003B18AD" w:rsidP="003A7D48">
      <w:pPr>
        <w:spacing w:line="480" w:lineRule="auto"/>
        <w:ind w:left="849" w:hanging="849"/>
        <w:contextualSpacing/>
        <w:rPr>
          <w:color w:val="000000" w:themeColor="text1"/>
          <w:highlight w:val="white"/>
          <w:lang w:val="es-ES"/>
        </w:rPr>
      </w:pPr>
      <w:r w:rsidRPr="003A7D48">
        <w:rPr>
          <w:color w:val="000000" w:themeColor="text1"/>
          <w:highlight w:val="white"/>
          <w:lang w:val="es-ES"/>
        </w:rPr>
        <w:t xml:space="preserve">Janos, E., &amp; Espinosa, A. (2015). Representaciones sociales sobre roles de género y su relación con la aceptación de mitos y creencias sobre la violencia sexual. </w:t>
      </w:r>
      <w:r w:rsidRPr="003A7D48">
        <w:rPr>
          <w:i/>
          <w:color w:val="000000" w:themeColor="text1"/>
          <w:highlight w:val="white"/>
          <w:lang w:val="es-ES"/>
        </w:rPr>
        <w:t>LÍMITE Revista Interdisciplinaria de Filosofía y Psicología</w:t>
      </w:r>
      <w:r w:rsidRPr="003A7D48">
        <w:rPr>
          <w:color w:val="000000" w:themeColor="text1"/>
          <w:highlight w:val="white"/>
          <w:lang w:val="es-ES"/>
        </w:rPr>
        <w:t xml:space="preserve">, </w:t>
      </w:r>
      <w:r w:rsidRPr="003A7D48">
        <w:rPr>
          <w:i/>
          <w:color w:val="000000" w:themeColor="text1"/>
          <w:highlight w:val="white"/>
          <w:lang w:val="es-ES"/>
        </w:rPr>
        <w:t>10</w:t>
      </w:r>
      <w:r w:rsidRPr="003A7D48">
        <w:rPr>
          <w:color w:val="000000" w:themeColor="text1"/>
          <w:highlight w:val="white"/>
          <w:lang w:val="es-ES"/>
        </w:rPr>
        <w:t xml:space="preserve">(33). Recuperado a partir de </w:t>
      </w:r>
      <w:hyperlink r:id="rId32">
        <w:r w:rsidRPr="003A7D48">
          <w:rPr>
            <w:color w:val="000000" w:themeColor="text1"/>
            <w:highlight w:val="white"/>
            <w:lang w:val="es-ES"/>
          </w:rPr>
          <w:t>https://www.revistalimite.cl/index.php/limite/article/view/38</w:t>
        </w:r>
      </w:hyperlink>
    </w:p>
    <w:p w14:paraId="0000008C" w14:textId="74DD08E8" w:rsidR="00BF1871" w:rsidRPr="00C40793" w:rsidRDefault="003B18AD" w:rsidP="003A7D48">
      <w:pPr>
        <w:spacing w:before="240" w:after="240" w:line="480" w:lineRule="auto"/>
        <w:ind w:left="849" w:hanging="849"/>
        <w:contextualSpacing/>
        <w:rPr>
          <w:color w:val="000000" w:themeColor="text1"/>
          <w:highlight w:val="white"/>
        </w:rPr>
      </w:pPr>
      <w:proofErr w:type="spellStart"/>
      <w:r w:rsidRPr="003A7D48">
        <w:rPr>
          <w:color w:val="000000" w:themeColor="text1"/>
          <w:highlight w:val="white"/>
          <w:lang w:val="es-ES"/>
        </w:rPr>
        <w:t>Kamimura</w:t>
      </w:r>
      <w:proofErr w:type="spellEnd"/>
      <w:r w:rsidRPr="003A7D48">
        <w:rPr>
          <w:color w:val="000000" w:themeColor="text1"/>
          <w:highlight w:val="white"/>
          <w:lang w:val="es-ES"/>
        </w:rPr>
        <w:t xml:space="preserve">, A., </w:t>
      </w:r>
      <w:proofErr w:type="spellStart"/>
      <w:r w:rsidRPr="003A7D48">
        <w:rPr>
          <w:color w:val="000000" w:themeColor="text1"/>
          <w:highlight w:val="white"/>
          <w:lang w:val="es-ES"/>
        </w:rPr>
        <w:t>Trinh</w:t>
      </w:r>
      <w:proofErr w:type="spellEnd"/>
      <w:r w:rsidRPr="003A7D48">
        <w:rPr>
          <w:color w:val="000000" w:themeColor="text1"/>
          <w:highlight w:val="white"/>
          <w:lang w:val="es-ES"/>
        </w:rPr>
        <w:t xml:space="preserve">, H. N., Nguyen, H., </w:t>
      </w:r>
      <w:proofErr w:type="spellStart"/>
      <w:r w:rsidRPr="003A7D48">
        <w:rPr>
          <w:color w:val="000000" w:themeColor="text1"/>
          <w:highlight w:val="white"/>
          <w:lang w:val="es-ES"/>
        </w:rPr>
        <w:t>Yamawaki</w:t>
      </w:r>
      <w:proofErr w:type="spellEnd"/>
      <w:r w:rsidRPr="003A7D48">
        <w:rPr>
          <w:color w:val="000000" w:themeColor="text1"/>
          <w:highlight w:val="white"/>
          <w:lang w:val="es-ES"/>
        </w:rPr>
        <w:t xml:space="preserve">, N., </w:t>
      </w:r>
      <w:proofErr w:type="spellStart"/>
      <w:r w:rsidRPr="003A7D48">
        <w:rPr>
          <w:color w:val="000000" w:themeColor="text1"/>
          <w:highlight w:val="white"/>
          <w:lang w:val="es-ES"/>
        </w:rPr>
        <w:t>Bhattacharya</w:t>
      </w:r>
      <w:proofErr w:type="spellEnd"/>
      <w:r w:rsidRPr="003A7D48">
        <w:rPr>
          <w:color w:val="000000" w:themeColor="text1"/>
          <w:highlight w:val="white"/>
          <w:lang w:val="es-ES"/>
        </w:rPr>
        <w:t xml:space="preserve">, H., Mo, W., ... </w:t>
      </w:r>
      <w:r w:rsidRPr="00C40793">
        <w:rPr>
          <w:color w:val="000000" w:themeColor="text1"/>
          <w:highlight w:val="white"/>
        </w:rPr>
        <w:t xml:space="preserve">&amp; Olson, L. M. (2016). Bystander attitudes to prevent sexual assault: A study of college students in the United States, Japan, India, Vietnam, and China. </w:t>
      </w:r>
      <w:r w:rsidRPr="00C40793">
        <w:rPr>
          <w:i/>
          <w:color w:val="000000" w:themeColor="text1"/>
          <w:highlight w:val="white"/>
        </w:rPr>
        <w:t>The Journal of Sex Research</w:t>
      </w:r>
      <w:r w:rsidRPr="00C40793">
        <w:rPr>
          <w:color w:val="000000" w:themeColor="text1"/>
          <w:highlight w:val="white"/>
        </w:rPr>
        <w:t xml:space="preserve">, </w:t>
      </w:r>
      <w:r w:rsidRPr="00C40793">
        <w:rPr>
          <w:i/>
          <w:color w:val="000000" w:themeColor="text1"/>
          <w:highlight w:val="white"/>
        </w:rPr>
        <w:t>53</w:t>
      </w:r>
      <w:r w:rsidRPr="00C40793">
        <w:rPr>
          <w:color w:val="000000" w:themeColor="text1"/>
          <w:highlight w:val="white"/>
        </w:rPr>
        <w:t>(9), 1131-1138.</w:t>
      </w:r>
      <w:hyperlink r:id="rId33">
        <w:r w:rsidRPr="00C40793">
          <w:rPr>
            <w:color w:val="000000" w:themeColor="text1"/>
            <w:highlight w:val="white"/>
          </w:rPr>
          <w:t xml:space="preserve"> https://doi.org/10.1080/00224499.2016.1184605</w:t>
        </w:r>
      </w:hyperlink>
    </w:p>
    <w:p w14:paraId="296409BB" w14:textId="2734F7F4" w:rsidR="00995429" w:rsidRPr="00C40793" w:rsidRDefault="00995429" w:rsidP="003A7D48">
      <w:pPr>
        <w:spacing w:before="240" w:after="240" w:line="480" w:lineRule="auto"/>
        <w:ind w:left="720" w:hanging="720"/>
        <w:contextualSpacing/>
        <w:rPr>
          <w:color w:val="000000" w:themeColor="text1"/>
          <w:highlight w:val="white"/>
        </w:rPr>
      </w:pPr>
      <w:r w:rsidRPr="003A7D48">
        <w:rPr>
          <w:color w:val="000000" w:themeColor="text1"/>
          <w:shd w:val="clear" w:color="auto" w:fill="FFFFFF"/>
        </w:rPr>
        <w:t xml:space="preserve">Kim, D. H., Um, M. Y., Cho, H., Lee, E. B., Chun, J. S., &amp; Chang, H. (2019). Factors associated with types of sexual assault victimization and bystander </w:t>
      </w:r>
      <w:proofErr w:type="spellStart"/>
      <w:r w:rsidRPr="003A7D48">
        <w:rPr>
          <w:color w:val="000000" w:themeColor="text1"/>
          <w:shd w:val="clear" w:color="auto" w:fill="FFFFFF"/>
        </w:rPr>
        <w:t>behavior</w:t>
      </w:r>
      <w:proofErr w:type="spellEnd"/>
      <w:r w:rsidRPr="003A7D48">
        <w:rPr>
          <w:color w:val="000000" w:themeColor="text1"/>
          <w:shd w:val="clear" w:color="auto" w:fill="FFFFFF"/>
        </w:rPr>
        <w:t xml:space="preserve"> among South Korean university students. </w:t>
      </w:r>
      <w:r w:rsidRPr="003A7D48">
        <w:rPr>
          <w:i/>
          <w:iCs/>
          <w:color w:val="000000" w:themeColor="text1"/>
          <w:shd w:val="clear" w:color="auto" w:fill="FFFFFF"/>
        </w:rPr>
        <w:t>Violence and victims</w:t>
      </w:r>
      <w:r w:rsidRPr="003A7D48">
        <w:rPr>
          <w:color w:val="000000" w:themeColor="text1"/>
          <w:shd w:val="clear" w:color="auto" w:fill="FFFFFF"/>
        </w:rPr>
        <w:t>, </w:t>
      </w:r>
      <w:r w:rsidRPr="003A7D48">
        <w:rPr>
          <w:i/>
          <w:iCs/>
          <w:color w:val="000000" w:themeColor="text1"/>
          <w:shd w:val="clear" w:color="auto" w:fill="FFFFFF"/>
        </w:rPr>
        <w:t>34</w:t>
      </w:r>
      <w:r w:rsidRPr="003A7D48">
        <w:rPr>
          <w:color w:val="000000" w:themeColor="text1"/>
          <w:shd w:val="clear" w:color="auto" w:fill="FFFFFF"/>
        </w:rPr>
        <w:t>(6), 952-971.</w:t>
      </w:r>
    </w:p>
    <w:p w14:paraId="0000008E" w14:textId="5EABB3C0" w:rsidR="00BF1871" w:rsidRPr="00C40793" w:rsidRDefault="003B18AD" w:rsidP="003A7D48">
      <w:pPr>
        <w:spacing w:before="240" w:after="240" w:line="480" w:lineRule="auto"/>
        <w:ind w:left="720" w:hanging="720"/>
        <w:contextualSpacing/>
        <w:rPr>
          <w:color w:val="000000" w:themeColor="text1"/>
          <w:highlight w:val="white"/>
        </w:rPr>
      </w:pPr>
      <w:r w:rsidRPr="00C40793">
        <w:rPr>
          <w:color w:val="000000" w:themeColor="text1"/>
          <w:highlight w:val="white"/>
        </w:rPr>
        <w:t xml:space="preserve">Klein, L. B., &amp; Martin, S. L. (2019). Sexual harassment of college and university students: A systematic review. </w:t>
      </w:r>
      <w:r w:rsidRPr="00C40793">
        <w:rPr>
          <w:i/>
          <w:color w:val="000000" w:themeColor="text1"/>
          <w:highlight w:val="white"/>
        </w:rPr>
        <w:t>Trauma, Violence, &amp; Abuse</w:t>
      </w:r>
      <w:r w:rsidRPr="00C40793">
        <w:rPr>
          <w:color w:val="000000" w:themeColor="text1"/>
          <w:highlight w:val="white"/>
        </w:rPr>
        <w:t>.</w:t>
      </w:r>
      <w:hyperlink r:id="rId34">
        <w:r w:rsidRPr="00C40793">
          <w:rPr>
            <w:color w:val="000000" w:themeColor="text1"/>
            <w:highlight w:val="white"/>
          </w:rPr>
          <w:t xml:space="preserve"> https://doi.org/10.1177/1524838019881731</w:t>
        </w:r>
      </w:hyperlink>
    </w:p>
    <w:p w14:paraId="00000090" w14:textId="11505D79" w:rsidR="00BF1871" w:rsidRPr="00C40793" w:rsidRDefault="003B18AD" w:rsidP="003A7D48">
      <w:pPr>
        <w:spacing w:line="480" w:lineRule="auto"/>
        <w:ind w:left="720" w:hanging="720"/>
        <w:contextualSpacing/>
        <w:rPr>
          <w:color w:val="000000" w:themeColor="text1"/>
          <w:highlight w:val="white"/>
        </w:rPr>
      </w:pPr>
      <w:proofErr w:type="spellStart"/>
      <w:r w:rsidRPr="00C40793">
        <w:rPr>
          <w:color w:val="000000" w:themeColor="text1"/>
          <w:highlight w:val="white"/>
        </w:rPr>
        <w:t>Labhardt</w:t>
      </w:r>
      <w:proofErr w:type="spellEnd"/>
      <w:r w:rsidRPr="00C40793">
        <w:rPr>
          <w:color w:val="000000" w:themeColor="text1"/>
          <w:highlight w:val="white"/>
        </w:rPr>
        <w:t xml:space="preserve">, D., Holdsworth, E., Brown, S., &amp; Howat, D. (2017). You see but you do not observe: A review of bystander intervention and sexual assault on university campuses. </w:t>
      </w:r>
      <w:r w:rsidRPr="00C40793">
        <w:rPr>
          <w:i/>
          <w:color w:val="000000" w:themeColor="text1"/>
          <w:highlight w:val="white"/>
        </w:rPr>
        <w:t xml:space="preserve">Aggression and </w:t>
      </w:r>
      <w:r w:rsidR="00F95C9A" w:rsidRPr="00C40793">
        <w:rPr>
          <w:i/>
          <w:color w:val="000000" w:themeColor="text1"/>
          <w:highlight w:val="white"/>
        </w:rPr>
        <w:t>V</w:t>
      </w:r>
      <w:r w:rsidRPr="00C40793">
        <w:rPr>
          <w:i/>
          <w:color w:val="000000" w:themeColor="text1"/>
          <w:highlight w:val="white"/>
        </w:rPr>
        <w:t xml:space="preserve">iolent </w:t>
      </w:r>
      <w:proofErr w:type="spellStart"/>
      <w:r w:rsidR="00F95C9A" w:rsidRPr="00C40793">
        <w:rPr>
          <w:i/>
          <w:color w:val="000000" w:themeColor="text1"/>
          <w:highlight w:val="white"/>
        </w:rPr>
        <w:t>B</w:t>
      </w:r>
      <w:r w:rsidRPr="00C40793">
        <w:rPr>
          <w:i/>
          <w:color w:val="000000" w:themeColor="text1"/>
          <w:highlight w:val="white"/>
        </w:rPr>
        <w:t>ehavior</w:t>
      </w:r>
      <w:proofErr w:type="spellEnd"/>
      <w:r w:rsidRPr="00C40793">
        <w:rPr>
          <w:color w:val="000000" w:themeColor="text1"/>
          <w:highlight w:val="white"/>
        </w:rPr>
        <w:t xml:space="preserve">, </w:t>
      </w:r>
      <w:r w:rsidRPr="00C40793">
        <w:rPr>
          <w:i/>
          <w:color w:val="000000" w:themeColor="text1"/>
          <w:highlight w:val="white"/>
        </w:rPr>
        <w:t>35</w:t>
      </w:r>
      <w:r w:rsidRPr="00C40793">
        <w:rPr>
          <w:color w:val="000000" w:themeColor="text1"/>
          <w:highlight w:val="white"/>
        </w:rPr>
        <w:t>, 13-25.</w:t>
      </w:r>
      <w:hyperlink r:id="rId35">
        <w:r w:rsidRPr="00C40793">
          <w:rPr>
            <w:color w:val="000000" w:themeColor="text1"/>
            <w:highlight w:val="white"/>
          </w:rPr>
          <w:t xml:space="preserve"> https://doi.org/10.1016/j.avb.2017.05.005</w:t>
        </w:r>
      </w:hyperlink>
      <w:r w:rsidRPr="00C40793">
        <w:rPr>
          <w:color w:val="000000" w:themeColor="text1"/>
          <w:highlight w:val="white"/>
        </w:rPr>
        <w:t xml:space="preserve"> </w:t>
      </w:r>
    </w:p>
    <w:p w14:paraId="00000092" w14:textId="3A8B820D" w:rsidR="00BF1871" w:rsidRPr="00C40793" w:rsidRDefault="003B18AD" w:rsidP="003A7D48">
      <w:pPr>
        <w:spacing w:line="480" w:lineRule="auto"/>
        <w:ind w:left="720" w:hanging="720"/>
        <w:contextualSpacing/>
        <w:rPr>
          <w:color w:val="000000" w:themeColor="text1"/>
          <w:highlight w:val="white"/>
        </w:rPr>
      </w:pPr>
      <w:r w:rsidRPr="00C40793">
        <w:rPr>
          <w:color w:val="000000" w:themeColor="text1"/>
          <w:highlight w:val="white"/>
        </w:rPr>
        <w:t xml:space="preserve">Lamontagne, E., </w:t>
      </w:r>
      <w:proofErr w:type="spellStart"/>
      <w:r w:rsidRPr="00C40793">
        <w:rPr>
          <w:color w:val="000000" w:themeColor="text1"/>
          <w:highlight w:val="white"/>
        </w:rPr>
        <w:t>d’Elbée</w:t>
      </w:r>
      <w:proofErr w:type="spellEnd"/>
      <w:r w:rsidRPr="00C40793">
        <w:rPr>
          <w:color w:val="000000" w:themeColor="text1"/>
          <w:highlight w:val="white"/>
        </w:rPr>
        <w:t xml:space="preserve">, M., Ross, M. W., Carroll, A., Plessis, A. D., &amp; </w:t>
      </w:r>
      <w:proofErr w:type="spellStart"/>
      <w:r w:rsidRPr="00C40793">
        <w:rPr>
          <w:color w:val="000000" w:themeColor="text1"/>
          <w:highlight w:val="white"/>
        </w:rPr>
        <w:t>Loures</w:t>
      </w:r>
      <w:proofErr w:type="spellEnd"/>
      <w:r w:rsidRPr="00C40793">
        <w:rPr>
          <w:color w:val="000000" w:themeColor="text1"/>
          <w:highlight w:val="white"/>
        </w:rPr>
        <w:t xml:space="preserve">, L. (2018). A socioecological measurement of homophobia for all countries and its public health impact. </w:t>
      </w:r>
      <w:r w:rsidRPr="00C40793">
        <w:rPr>
          <w:i/>
          <w:color w:val="000000" w:themeColor="text1"/>
          <w:highlight w:val="white"/>
        </w:rPr>
        <w:t xml:space="preserve">European </w:t>
      </w:r>
      <w:r w:rsidR="00F95C9A" w:rsidRPr="00C40793">
        <w:rPr>
          <w:i/>
          <w:color w:val="000000" w:themeColor="text1"/>
          <w:highlight w:val="white"/>
        </w:rPr>
        <w:t>J</w:t>
      </w:r>
      <w:r w:rsidRPr="00C40793">
        <w:rPr>
          <w:i/>
          <w:color w:val="000000" w:themeColor="text1"/>
          <w:highlight w:val="white"/>
        </w:rPr>
        <w:t xml:space="preserve">ournal of </w:t>
      </w:r>
      <w:r w:rsidR="00F95C9A" w:rsidRPr="00C40793">
        <w:rPr>
          <w:i/>
          <w:color w:val="000000" w:themeColor="text1"/>
          <w:highlight w:val="white"/>
        </w:rPr>
        <w:t>P</w:t>
      </w:r>
      <w:r w:rsidRPr="00C40793">
        <w:rPr>
          <w:i/>
          <w:color w:val="000000" w:themeColor="text1"/>
          <w:highlight w:val="white"/>
        </w:rPr>
        <w:t xml:space="preserve">ublic </w:t>
      </w:r>
      <w:r w:rsidR="00F95C9A" w:rsidRPr="00C40793">
        <w:rPr>
          <w:i/>
          <w:color w:val="000000" w:themeColor="text1"/>
          <w:highlight w:val="white"/>
        </w:rPr>
        <w:t>H</w:t>
      </w:r>
      <w:r w:rsidRPr="00C40793">
        <w:rPr>
          <w:i/>
          <w:color w:val="000000" w:themeColor="text1"/>
          <w:highlight w:val="white"/>
        </w:rPr>
        <w:t>ealth</w:t>
      </w:r>
      <w:r w:rsidRPr="00C40793">
        <w:rPr>
          <w:color w:val="000000" w:themeColor="text1"/>
          <w:highlight w:val="white"/>
        </w:rPr>
        <w:t xml:space="preserve">, </w:t>
      </w:r>
      <w:r w:rsidRPr="00C40793">
        <w:rPr>
          <w:i/>
          <w:color w:val="000000" w:themeColor="text1"/>
          <w:highlight w:val="white"/>
        </w:rPr>
        <w:t>28</w:t>
      </w:r>
      <w:r w:rsidRPr="00C40793">
        <w:rPr>
          <w:color w:val="000000" w:themeColor="text1"/>
          <w:highlight w:val="white"/>
        </w:rPr>
        <w:t>(5), 967-972.</w:t>
      </w:r>
      <w:hyperlink r:id="rId36">
        <w:r w:rsidRPr="00C40793">
          <w:rPr>
            <w:color w:val="000000" w:themeColor="text1"/>
            <w:highlight w:val="white"/>
          </w:rPr>
          <w:t xml:space="preserve"> https://doi.org/10.1093/eurpub/cky023</w:t>
        </w:r>
      </w:hyperlink>
    </w:p>
    <w:p w14:paraId="00000096" w14:textId="15091181" w:rsidR="00BF1871" w:rsidRPr="00C40793" w:rsidRDefault="003B18AD" w:rsidP="003A7D48">
      <w:pPr>
        <w:spacing w:line="480" w:lineRule="auto"/>
        <w:ind w:left="720" w:hanging="720"/>
        <w:contextualSpacing/>
        <w:rPr>
          <w:color w:val="000000" w:themeColor="text1"/>
          <w:highlight w:val="white"/>
        </w:rPr>
      </w:pPr>
      <w:proofErr w:type="spellStart"/>
      <w:r w:rsidRPr="00C40793">
        <w:rPr>
          <w:color w:val="000000" w:themeColor="text1"/>
          <w:highlight w:val="white"/>
        </w:rPr>
        <w:lastRenderedPageBreak/>
        <w:t>LeMaire</w:t>
      </w:r>
      <w:proofErr w:type="spellEnd"/>
      <w:r w:rsidRPr="00C40793">
        <w:rPr>
          <w:color w:val="000000" w:themeColor="text1"/>
          <w:highlight w:val="white"/>
        </w:rPr>
        <w:t xml:space="preserve">, K. L., Oswald, D. L., &amp; Russell, B. L. (2016). </w:t>
      </w:r>
      <w:proofErr w:type="spellStart"/>
      <w:r w:rsidRPr="00C40793">
        <w:rPr>
          <w:color w:val="000000" w:themeColor="text1"/>
          <w:highlight w:val="white"/>
        </w:rPr>
        <w:t>Labeling</w:t>
      </w:r>
      <w:proofErr w:type="spellEnd"/>
      <w:r w:rsidRPr="00C40793">
        <w:rPr>
          <w:color w:val="000000" w:themeColor="text1"/>
          <w:highlight w:val="white"/>
        </w:rPr>
        <w:t xml:space="preserve"> sexual victimization experiences: the role of sexism, rape myth acceptance, and tolerance for sexual harassment. </w:t>
      </w:r>
      <w:r w:rsidRPr="00C40793">
        <w:rPr>
          <w:i/>
          <w:color w:val="000000" w:themeColor="text1"/>
          <w:highlight w:val="white"/>
        </w:rPr>
        <w:t xml:space="preserve">Violence and </w:t>
      </w:r>
      <w:r w:rsidR="00F95C9A" w:rsidRPr="00C40793">
        <w:rPr>
          <w:i/>
          <w:color w:val="000000" w:themeColor="text1"/>
          <w:highlight w:val="white"/>
        </w:rPr>
        <w:t>V</w:t>
      </w:r>
      <w:r w:rsidRPr="00C40793">
        <w:rPr>
          <w:i/>
          <w:color w:val="000000" w:themeColor="text1"/>
          <w:highlight w:val="white"/>
        </w:rPr>
        <w:t>ictims</w:t>
      </w:r>
      <w:r w:rsidRPr="00C40793">
        <w:rPr>
          <w:color w:val="000000" w:themeColor="text1"/>
          <w:highlight w:val="white"/>
        </w:rPr>
        <w:t xml:space="preserve">, </w:t>
      </w:r>
      <w:r w:rsidRPr="00C40793">
        <w:rPr>
          <w:i/>
          <w:color w:val="000000" w:themeColor="text1"/>
          <w:highlight w:val="white"/>
        </w:rPr>
        <w:t>31</w:t>
      </w:r>
      <w:r w:rsidRPr="00C40793">
        <w:rPr>
          <w:color w:val="000000" w:themeColor="text1"/>
          <w:highlight w:val="white"/>
        </w:rPr>
        <w:t xml:space="preserve">(2), 332-346. </w:t>
      </w:r>
      <w:hyperlink r:id="rId37">
        <w:r w:rsidRPr="00C40793">
          <w:rPr>
            <w:color w:val="000000" w:themeColor="text1"/>
            <w:highlight w:val="white"/>
          </w:rPr>
          <w:t>https://doi.org/</w:t>
        </w:r>
      </w:hyperlink>
      <w:r w:rsidRPr="00C40793">
        <w:rPr>
          <w:color w:val="000000" w:themeColor="text1"/>
          <w:highlight w:val="white"/>
        </w:rPr>
        <w:t>10.1891/0886-6708.VV-D-13-00148</w:t>
      </w:r>
    </w:p>
    <w:p w14:paraId="00000098" w14:textId="1C0E9E36" w:rsidR="00BF1871" w:rsidRPr="00C40793" w:rsidRDefault="003B18AD" w:rsidP="003A7D48">
      <w:pPr>
        <w:spacing w:line="480" w:lineRule="auto"/>
        <w:ind w:left="720" w:hanging="720"/>
        <w:contextualSpacing/>
        <w:rPr>
          <w:color w:val="000000" w:themeColor="text1"/>
          <w:highlight w:val="white"/>
        </w:rPr>
      </w:pPr>
      <w:r w:rsidRPr="00C40793">
        <w:rPr>
          <w:color w:val="000000" w:themeColor="text1"/>
          <w:highlight w:val="white"/>
        </w:rPr>
        <w:t xml:space="preserve">  Leone, R. M., </w:t>
      </w:r>
      <w:proofErr w:type="spellStart"/>
      <w:r w:rsidRPr="00C40793">
        <w:rPr>
          <w:color w:val="000000" w:themeColor="text1"/>
          <w:highlight w:val="white"/>
        </w:rPr>
        <w:t>Oyler</w:t>
      </w:r>
      <w:proofErr w:type="spellEnd"/>
      <w:r w:rsidRPr="00C40793">
        <w:rPr>
          <w:color w:val="000000" w:themeColor="text1"/>
          <w:highlight w:val="white"/>
        </w:rPr>
        <w:t xml:space="preserve">, K. N., &amp; Parrott, D. J. (2020). Empathy </w:t>
      </w:r>
      <w:r w:rsidR="00F95C9A" w:rsidRPr="00C40793">
        <w:rPr>
          <w:color w:val="000000" w:themeColor="text1"/>
          <w:highlight w:val="white"/>
        </w:rPr>
        <w:t>i</w:t>
      </w:r>
      <w:r w:rsidRPr="00C40793">
        <w:rPr>
          <w:color w:val="000000" w:themeColor="text1"/>
          <w:highlight w:val="white"/>
        </w:rPr>
        <w:t xml:space="preserve">s </w:t>
      </w:r>
      <w:r w:rsidR="00F95C9A" w:rsidRPr="00C40793">
        <w:rPr>
          <w:color w:val="000000" w:themeColor="text1"/>
          <w:highlight w:val="white"/>
        </w:rPr>
        <w:t>n</w:t>
      </w:r>
      <w:r w:rsidRPr="00C40793">
        <w:rPr>
          <w:color w:val="000000" w:themeColor="text1"/>
          <w:highlight w:val="white"/>
        </w:rPr>
        <w:t xml:space="preserve">ot </w:t>
      </w:r>
      <w:r w:rsidR="00F95C9A" w:rsidRPr="00C40793">
        <w:rPr>
          <w:color w:val="000000" w:themeColor="text1"/>
          <w:highlight w:val="white"/>
        </w:rPr>
        <w:t>e</w:t>
      </w:r>
      <w:r w:rsidRPr="00C40793">
        <w:rPr>
          <w:color w:val="000000" w:themeColor="text1"/>
          <w:highlight w:val="white"/>
        </w:rPr>
        <w:t xml:space="preserve">nough: The </w:t>
      </w:r>
      <w:r w:rsidR="00F95C9A" w:rsidRPr="00C40793">
        <w:rPr>
          <w:color w:val="000000" w:themeColor="text1"/>
          <w:highlight w:val="white"/>
        </w:rPr>
        <w:t>i</w:t>
      </w:r>
      <w:r w:rsidRPr="00C40793">
        <w:rPr>
          <w:color w:val="000000" w:themeColor="text1"/>
          <w:highlight w:val="white"/>
        </w:rPr>
        <w:t xml:space="preserve">nhibiting </w:t>
      </w:r>
      <w:r w:rsidR="00F95C9A" w:rsidRPr="00C40793">
        <w:rPr>
          <w:color w:val="000000" w:themeColor="text1"/>
          <w:highlight w:val="white"/>
        </w:rPr>
        <w:t>e</w:t>
      </w:r>
      <w:r w:rsidRPr="00C40793">
        <w:rPr>
          <w:color w:val="000000" w:themeColor="text1"/>
          <w:highlight w:val="white"/>
        </w:rPr>
        <w:t>ffects of</w:t>
      </w:r>
      <w:r w:rsidR="00F95C9A" w:rsidRPr="00C40793">
        <w:rPr>
          <w:color w:val="000000" w:themeColor="text1"/>
          <w:highlight w:val="white"/>
        </w:rPr>
        <w:t xml:space="preserve"> ra</w:t>
      </w:r>
      <w:r w:rsidRPr="00C40793">
        <w:rPr>
          <w:color w:val="000000" w:themeColor="text1"/>
          <w:highlight w:val="white"/>
        </w:rPr>
        <w:t xml:space="preserve">pe </w:t>
      </w:r>
      <w:r w:rsidR="00F95C9A" w:rsidRPr="00C40793">
        <w:rPr>
          <w:color w:val="000000" w:themeColor="text1"/>
          <w:highlight w:val="white"/>
        </w:rPr>
        <w:t>m</w:t>
      </w:r>
      <w:r w:rsidRPr="00C40793">
        <w:rPr>
          <w:color w:val="000000" w:themeColor="text1"/>
          <w:highlight w:val="white"/>
        </w:rPr>
        <w:t xml:space="preserve">yth </w:t>
      </w:r>
      <w:r w:rsidR="00F95C9A" w:rsidRPr="00C40793">
        <w:rPr>
          <w:color w:val="000000" w:themeColor="text1"/>
          <w:highlight w:val="white"/>
        </w:rPr>
        <w:t>a</w:t>
      </w:r>
      <w:r w:rsidRPr="00C40793">
        <w:rPr>
          <w:color w:val="000000" w:themeColor="text1"/>
          <w:highlight w:val="white"/>
        </w:rPr>
        <w:t xml:space="preserve">cceptance on the </w:t>
      </w:r>
      <w:r w:rsidR="00F95C9A" w:rsidRPr="00C40793">
        <w:rPr>
          <w:color w:val="000000" w:themeColor="text1"/>
          <w:highlight w:val="white"/>
        </w:rPr>
        <w:t>r</w:t>
      </w:r>
      <w:r w:rsidRPr="00C40793">
        <w:rPr>
          <w:color w:val="000000" w:themeColor="text1"/>
          <w:highlight w:val="white"/>
        </w:rPr>
        <w:t xml:space="preserve">elation </w:t>
      </w:r>
      <w:r w:rsidR="00F95C9A" w:rsidRPr="00C40793">
        <w:rPr>
          <w:color w:val="000000" w:themeColor="text1"/>
          <w:highlight w:val="white"/>
        </w:rPr>
        <w:t>b</w:t>
      </w:r>
      <w:r w:rsidRPr="00C40793">
        <w:rPr>
          <w:color w:val="000000" w:themeColor="text1"/>
          <w:highlight w:val="white"/>
        </w:rPr>
        <w:t xml:space="preserve">etween </w:t>
      </w:r>
      <w:r w:rsidR="00F95C9A" w:rsidRPr="00C40793">
        <w:rPr>
          <w:color w:val="000000" w:themeColor="text1"/>
          <w:highlight w:val="white"/>
        </w:rPr>
        <w:t>e</w:t>
      </w:r>
      <w:r w:rsidRPr="00C40793">
        <w:rPr>
          <w:color w:val="000000" w:themeColor="text1"/>
          <w:highlight w:val="white"/>
        </w:rPr>
        <w:t xml:space="preserve">mpathy and </w:t>
      </w:r>
      <w:r w:rsidR="00F95C9A" w:rsidRPr="00C40793">
        <w:rPr>
          <w:color w:val="000000" w:themeColor="text1"/>
          <w:highlight w:val="white"/>
        </w:rPr>
        <w:t>b</w:t>
      </w:r>
      <w:r w:rsidRPr="00C40793">
        <w:rPr>
          <w:color w:val="000000" w:themeColor="text1"/>
          <w:highlight w:val="white"/>
        </w:rPr>
        <w:t xml:space="preserve">ystander </w:t>
      </w:r>
      <w:r w:rsidR="00F95C9A" w:rsidRPr="00C40793">
        <w:rPr>
          <w:color w:val="000000" w:themeColor="text1"/>
          <w:highlight w:val="white"/>
        </w:rPr>
        <w:t>i</w:t>
      </w:r>
      <w:r w:rsidRPr="00C40793">
        <w:rPr>
          <w:color w:val="000000" w:themeColor="text1"/>
          <w:highlight w:val="white"/>
        </w:rPr>
        <w:t xml:space="preserve">ntervention. </w:t>
      </w:r>
      <w:r w:rsidRPr="00C40793">
        <w:rPr>
          <w:i/>
          <w:color w:val="000000" w:themeColor="text1"/>
          <w:highlight w:val="white"/>
        </w:rPr>
        <w:t>Journal of Interpersonal Violence</w:t>
      </w:r>
      <w:r w:rsidRPr="00C40793">
        <w:rPr>
          <w:color w:val="000000" w:themeColor="text1"/>
          <w:highlight w:val="white"/>
        </w:rPr>
        <w:t>.</w:t>
      </w:r>
      <w:hyperlink r:id="rId38">
        <w:r w:rsidRPr="00C40793">
          <w:rPr>
            <w:color w:val="000000" w:themeColor="text1"/>
            <w:highlight w:val="white"/>
          </w:rPr>
          <w:t xml:space="preserve"> https://doi.org/10.1177/0886260519900328</w:t>
        </w:r>
      </w:hyperlink>
    </w:p>
    <w:p w14:paraId="6EF59535" w14:textId="5E6A1261" w:rsidR="00026DC9" w:rsidRPr="00C40793" w:rsidRDefault="003B18AD" w:rsidP="00C703BD">
      <w:pPr>
        <w:spacing w:line="480" w:lineRule="auto"/>
        <w:ind w:left="720" w:hanging="720"/>
        <w:contextualSpacing/>
        <w:rPr>
          <w:color w:val="000000" w:themeColor="text1"/>
          <w:highlight w:val="white"/>
        </w:rPr>
      </w:pPr>
      <w:r w:rsidRPr="00C40793">
        <w:rPr>
          <w:color w:val="000000" w:themeColor="text1"/>
          <w:highlight w:val="white"/>
        </w:rPr>
        <w:t>Liamputtong, P. (2010). Cross-</w:t>
      </w:r>
      <w:r w:rsidR="00F95C9A" w:rsidRPr="00C40793">
        <w:rPr>
          <w:color w:val="000000" w:themeColor="text1"/>
          <w:highlight w:val="white"/>
        </w:rPr>
        <w:t>c</w:t>
      </w:r>
      <w:r w:rsidRPr="00C40793">
        <w:rPr>
          <w:color w:val="000000" w:themeColor="text1"/>
          <w:highlight w:val="white"/>
        </w:rPr>
        <w:t xml:space="preserve">ultural </w:t>
      </w:r>
      <w:r w:rsidR="00F95C9A" w:rsidRPr="00C40793">
        <w:rPr>
          <w:color w:val="000000" w:themeColor="text1"/>
          <w:highlight w:val="white"/>
        </w:rPr>
        <w:t>r</w:t>
      </w:r>
      <w:r w:rsidRPr="00C40793">
        <w:rPr>
          <w:color w:val="000000" w:themeColor="text1"/>
          <w:highlight w:val="white"/>
        </w:rPr>
        <w:t xml:space="preserve">esearch and </w:t>
      </w:r>
      <w:r w:rsidR="00F95C9A" w:rsidRPr="00C40793">
        <w:rPr>
          <w:color w:val="000000" w:themeColor="text1"/>
          <w:highlight w:val="white"/>
        </w:rPr>
        <w:t>q</w:t>
      </w:r>
      <w:r w:rsidRPr="00C40793">
        <w:rPr>
          <w:color w:val="000000" w:themeColor="text1"/>
          <w:highlight w:val="white"/>
        </w:rPr>
        <w:t xml:space="preserve">ualitative </w:t>
      </w:r>
      <w:r w:rsidR="00F95C9A" w:rsidRPr="00C40793">
        <w:rPr>
          <w:color w:val="000000" w:themeColor="text1"/>
          <w:highlight w:val="white"/>
        </w:rPr>
        <w:t>i</w:t>
      </w:r>
      <w:r w:rsidRPr="00C40793">
        <w:rPr>
          <w:color w:val="000000" w:themeColor="text1"/>
          <w:highlight w:val="white"/>
        </w:rPr>
        <w:t xml:space="preserve">nquiry. </w:t>
      </w:r>
      <w:r w:rsidRPr="00C40793">
        <w:rPr>
          <w:i/>
          <w:color w:val="000000" w:themeColor="text1"/>
          <w:highlight w:val="white"/>
        </w:rPr>
        <w:t>Turkish Online Journal of Qualitative Inquiry</w:t>
      </w:r>
      <w:r w:rsidRPr="00C40793">
        <w:rPr>
          <w:color w:val="000000" w:themeColor="text1"/>
          <w:highlight w:val="white"/>
        </w:rPr>
        <w:t xml:space="preserve">, </w:t>
      </w:r>
      <w:r w:rsidRPr="00C40793">
        <w:rPr>
          <w:i/>
          <w:color w:val="000000" w:themeColor="text1"/>
          <w:highlight w:val="white"/>
        </w:rPr>
        <w:t>1</w:t>
      </w:r>
      <w:r w:rsidRPr="00C40793">
        <w:rPr>
          <w:color w:val="000000" w:themeColor="text1"/>
          <w:highlight w:val="white"/>
        </w:rPr>
        <w:t>(1).</w:t>
      </w:r>
      <w:r w:rsidR="00184BF5" w:rsidRPr="00C40793">
        <w:rPr>
          <w:color w:val="000000" w:themeColor="text1"/>
          <w:highlight w:val="white"/>
        </w:rPr>
        <w:t xml:space="preserve"> Retrieved from </w:t>
      </w:r>
      <w:hyperlink r:id="rId39" w:history="1">
        <w:r w:rsidR="00026DC9" w:rsidRPr="00C40793">
          <w:rPr>
            <w:rStyle w:val="Hyperlink"/>
            <w:color w:val="000000" w:themeColor="text1"/>
            <w:highlight w:val="white"/>
            <w:u w:val="none"/>
          </w:rPr>
          <w:t>https://dergipark.org.tr/en/pub/tojqi/issue/21388/229333</w:t>
        </w:r>
      </w:hyperlink>
    </w:p>
    <w:p w14:paraId="0000009C" w14:textId="2332FCFE" w:rsidR="00BF1871" w:rsidRPr="00C40793" w:rsidRDefault="003B18AD" w:rsidP="003A7D48">
      <w:pPr>
        <w:spacing w:line="480" w:lineRule="auto"/>
        <w:ind w:left="720" w:hanging="720"/>
        <w:contextualSpacing/>
        <w:rPr>
          <w:color w:val="000000" w:themeColor="text1"/>
          <w:highlight w:val="white"/>
          <w:lang w:val="es-ES"/>
        </w:rPr>
      </w:pPr>
      <w:r w:rsidRPr="00C40793">
        <w:rPr>
          <w:color w:val="000000" w:themeColor="text1"/>
          <w:highlight w:val="white"/>
        </w:rPr>
        <w:t xml:space="preserve">López, M. B. F., Jiménez, P. J. L., López, L. M., &amp; </w:t>
      </w:r>
      <w:proofErr w:type="spellStart"/>
      <w:r w:rsidRPr="00C40793">
        <w:rPr>
          <w:color w:val="000000" w:themeColor="text1"/>
          <w:highlight w:val="white"/>
        </w:rPr>
        <w:t>Floril</w:t>
      </w:r>
      <w:proofErr w:type="spellEnd"/>
      <w:r w:rsidRPr="00C40793">
        <w:rPr>
          <w:color w:val="000000" w:themeColor="text1"/>
          <w:highlight w:val="white"/>
        </w:rPr>
        <w:t xml:space="preserve">, M. P. C. (2020). </w:t>
      </w:r>
      <w:r w:rsidRPr="003A7D48">
        <w:rPr>
          <w:color w:val="000000" w:themeColor="text1"/>
          <w:highlight w:val="white"/>
          <w:lang w:val="es-ES"/>
        </w:rPr>
        <w:t xml:space="preserve">El acoso callejero, una forma de violencia contra la mujer. </w:t>
      </w:r>
      <w:r w:rsidRPr="003A7D48">
        <w:rPr>
          <w:i/>
          <w:color w:val="000000" w:themeColor="text1"/>
          <w:highlight w:val="white"/>
          <w:lang w:val="es-ES"/>
        </w:rPr>
        <w:t>Revista Metropolitana de Ciencias Aplicadas</w:t>
      </w:r>
      <w:r w:rsidRPr="003A7D48">
        <w:rPr>
          <w:color w:val="000000" w:themeColor="text1"/>
          <w:highlight w:val="white"/>
          <w:lang w:val="es-ES"/>
        </w:rPr>
        <w:t xml:space="preserve">, </w:t>
      </w:r>
      <w:r w:rsidRPr="003A7D48">
        <w:rPr>
          <w:i/>
          <w:color w:val="000000" w:themeColor="text1"/>
          <w:highlight w:val="white"/>
          <w:lang w:val="es-ES"/>
        </w:rPr>
        <w:t>3</w:t>
      </w:r>
      <w:r w:rsidRPr="003A7D48">
        <w:rPr>
          <w:color w:val="000000" w:themeColor="text1"/>
          <w:highlight w:val="white"/>
          <w:lang w:val="es-ES"/>
        </w:rPr>
        <w:t xml:space="preserve">(1), 120-127. </w:t>
      </w:r>
    </w:p>
    <w:p w14:paraId="6D3F57C9" w14:textId="436CF1B8" w:rsidR="007B2823" w:rsidRPr="003A7D48" w:rsidRDefault="007B2823" w:rsidP="003A7D48">
      <w:pPr>
        <w:spacing w:line="480" w:lineRule="auto"/>
        <w:ind w:left="720" w:hanging="720"/>
        <w:contextualSpacing/>
        <w:rPr>
          <w:color w:val="000000" w:themeColor="text1"/>
          <w:shd w:val="clear" w:color="auto" w:fill="FFFFFF"/>
        </w:rPr>
      </w:pPr>
      <w:r w:rsidRPr="003A7D48">
        <w:rPr>
          <w:color w:val="000000" w:themeColor="text1"/>
          <w:shd w:val="clear" w:color="auto" w:fill="FFFFFF"/>
          <w:lang w:val="es-ES"/>
        </w:rPr>
        <w:t>López Baño, M. G. (2019). </w:t>
      </w:r>
      <w:r w:rsidRPr="003A7D48">
        <w:rPr>
          <w:i/>
          <w:iCs/>
          <w:color w:val="000000" w:themeColor="text1"/>
          <w:shd w:val="clear" w:color="auto" w:fill="FFFFFF"/>
          <w:lang w:val="es-ES"/>
        </w:rPr>
        <w:t>Percepción del protocolo de prevención de acoso, discriminación y violencia de género implementado en la Universidad Técnica de Ambato</w:t>
      </w:r>
      <w:r w:rsidRPr="003A7D48">
        <w:rPr>
          <w:color w:val="000000" w:themeColor="text1"/>
          <w:shd w:val="clear" w:color="auto" w:fill="FFFFFF"/>
          <w:lang w:val="es-ES"/>
        </w:rPr>
        <w:t> (</w:t>
      </w:r>
      <w:proofErr w:type="spellStart"/>
      <w:r w:rsidRPr="003A7D48">
        <w:rPr>
          <w:color w:val="000000" w:themeColor="text1"/>
          <w:shd w:val="clear" w:color="auto" w:fill="FFFFFF"/>
          <w:lang w:val="es-ES"/>
        </w:rPr>
        <w:t>Bachelor's</w:t>
      </w:r>
      <w:proofErr w:type="spellEnd"/>
      <w:r w:rsidRPr="003A7D48">
        <w:rPr>
          <w:color w:val="000000" w:themeColor="text1"/>
          <w:shd w:val="clear" w:color="auto" w:fill="FFFFFF"/>
          <w:lang w:val="es-ES"/>
        </w:rPr>
        <w:t xml:space="preserve"> </w:t>
      </w:r>
      <w:proofErr w:type="spellStart"/>
      <w:r w:rsidRPr="003A7D48">
        <w:rPr>
          <w:color w:val="000000" w:themeColor="text1"/>
          <w:shd w:val="clear" w:color="auto" w:fill="FFFFFF"/>
          <w:lang w:val="es-ES"/>
        </w:rPr>
        <w:t>thesis</w:t>
      </w:r>
      <w:proofErr w:type="spellEnd"/>
      <w:r w:rsidRPr="003A7D48">
        <w:rPr>
          <w:color w:val="000000" w:themeColor="text1"/>
          <w:shd w:val="clear" w:color="auto" w:fill="FFFFFF"/>
          <w:lang w:val="es-ES"/>
        </w:rPr>
        <w:t>).</w:t>
      </w:r>
      <w:r w:rsidR="00184BF5" w:rsidRPr="00C40793">
        <w:rPr>
          <w:color w:val="000000" w:themeColor="text1"/>
          <w:shd w:val="clear" w:color="auto" w:fill="FFFFFF"/>
          <w:lang w:val="es-ES"/>
        </w:rPr>
        <w:t xml:space="preserve"> </w:t>
      </w:r>
      <w:r w:rsidR="00184BF5" w:rsidRPr="00C40793">
        <w:rPr>
          <w:color w:val="000000" w:themeColor="text1"/>
          <w:shd w:val="clear" w:color="auto" w:fill="FFFFFF"/>
        </w:rPr>
        <w:t>https://repositorio.uta.edu.ec/jspui/handle/123456789/30242</w:t>
      </w:r>
    </w:p>
    <w:p w14:paraId="000000A0" w14:textId="788576F8" w:rsidR="00BF1871" w:rsidRPr="003A7D48" w:rsidRDefault="003B18AD" w:rsidP="003A7D48">
      <w:pPr>
        <w:spacing w:line="480" w:lineRule="auto"/>
        <w:ind w:left="720" w:hanging="720"/>
        <w:contextualSpacing/>
        <w:rPr>
          <w:color w:val="000000" w:themeColor="text1"/>
          <w:highlight w:val="white"/>
          <w:lang w:val="es-ES"/>
        </w:rPr>
      </w:pPr>
      <w:r w:rsidRPr="00C40793">
        <w:rPr>
          <w:color w:val="000000" w:themeColor="text1"/>
          <w:highlight w:val="white"/>
        </w:rPr>
        <w:t xml:space="preserve">Madriz, E. I. (1998). Using </w:t>
      </w:r>
      <w:r w:rsidR="00F95C9A" w:rsidRPr="00C40793">
        <w:rPr>
          <w:color w:val="000000" w:themeColor="text1"/>
          <w:highlight w:val="white"/>
        </w:rPr>
        <w:t>f</w:t>
      </w:r>
      <w:r w:rsidRPr="00C40793">
        <w:rPr>
          <w:color w:val="000000" w:themeColor="text1"/>
          <w:highlight w:val="white"/>
        </w:rPr>
        <w:t xml:space="preserve">ocus </w:t>
      </w:r>
      <w:r w:rsidR="00F95C9A" w:rsidRPr="00C40793">
        <w:rPr>
          <w:color w:val="000000" w:themeColor="text1"/>
          <w:highlight w:val="white"/>
        </w:rPr>
        <w:t>g</w:t>
      </w:r>
      <w:r w:rsidRPr="00C40793">
        <w:rPr>
          <w:color w:val="000000" w:themeColor="text1"/>
          <w:highlight w:val="white"/>
        </w:rPr>
        <w:t xml:space="preserve">roups </w:t>
      </w:r>
      <w:r w:rsidR="00F95C9A" w:rsidRPr="00C40793">
        <w:rPr>
          <w:color w:val="000000" w:themeColor="text1"/>
          <w:highlight w:val="white"/>
        </w:rPr>
        <w:t>w</w:t>
      </w:r>
      <w:r w:rsidRPr="00C40793">
        <w:rPr>
          <w:color w:val="000000" w:themeColor="text1"/>
          <w:highlight w:val="white"/>
        </w:rPr>
        <w:t xml:space="preserve">ith </w:t>
      </w:r>
      <w:r w:rsidR="00F95C9A" w:rsidRPr="00C40793">
        <w:rPr>
          <w:color w:val="000000" w:themeColor="text1"/>
          <w:highlight w:val="white"/>
        </w:rPr>
        <w:t>l</w:t>
      </w:r>
      <w:r w:rsidRPr="00C40793">
        <w:rPr>
          <w:color w:val="000000" w:themeColor="text1"/>
          <w:highlight w:val="white"/>
        </w:rPr>
        <w:t xml:space="preserve">ower </w:t>
      </w:r>
      <w:r w:rsidR="00F95C9A" w:rsidRPr="00C40793">
        <w:rPr>
          <w:color w:val="000000" w:themeColor="text1"/>
          <w:highlight w:val="white"/>
        </w:rPr>
        <w:t>s</w:t>
      </w:r>
      <w:r w:rsidRPr="00C40793">
        <w:rPr>
          <w:color w:val="000000" w:themeColor="text1"/>
          <w:highlight w:val="white"/>
        </w:rPr>
        <w:t xml:space="preserve">ocioeconomic </w:t>
      </w:r>
      <w:r w:rsidR="00F95C9A" w:rsidRPr="00C40793">
        <w:rPr>
          <w:color w:val="000000" w:themeColor="text1"/>
          <w:highlight w:val="white"/>
        </w:rPr>
        <w:t>s</w:t>
      </w:r>
      <w:r w:rsidRPr="00C40793">
        <w:rPr>
          <w:color w:val="000000" w:themeColor="text1"/>
          <w:highlight w:val="white"/>
        </w:rPr>
        <w:t xml:space="preserve">tatus Latina </w:t>
      </w:r>
      <w:r w:rsidR="00F95C9A" w:rsidRPr="00C40793">
        <w:rPr>
          <w:color w:val="000000" w:themeColor="text1"/>
          <w:highlight w:val="white"/>
        </w:rPr>
        <w:t>w</w:t>
      </w:r>
      <w:r w:rsidRPr="00C40793">
        <w:rPr>
          <w:color w:val="000000" w:themeColor="text1"/>
          <w:highlight w:val="white"/>
        </w:rPr>
        <w:t xml:space="preserve">omen. </w:t>
      </w:r>
      <w:proofErr w:type="spellStart"/>
      <w:r w:rsidRPr="003A7D48">
        <w:rPr>
          <w:i/>
          <w:color w:val="000000" w:themeColor="text1"/>
          <w:highlight w:val="white"/>
          <w:lang w:val="es-ES"/>
        </w:rPr>
        <w:t>Qualitative</w:t>
      </w:r>
      <w:proofErr w:type="spellEnd"/>
      <w:r w:rsidRPr="003A7D48">
        <w:rPr>
          <w:i/>
          <w:color w:val="000000" w:themeColor="text1"/>
          <w:highlight w:val="white"/>
          <w:lang w:val="es-ES"/>
        </w:rPr>
        <w:t xml:space="preserve"> </w:t>
      </w:r>
      <w:proofErr w:type="spellStart"/>
      <w:r w:rsidRPr="003A7D48">
        <w:rPr>
          <w:i/>
          <w:color w:val="000000" w:themeColor="text1"/>
          <w:highlight w:val="white"/>
          <w:lang w:val="es-ES"/>
        </w:rPr>
        <w:t>Inquiry</w:t>
      </w:r>
      <w:proofErr w:type="spellEnd"/>
      <w:r w:rsidRPr="003A7D48">
        <w:rPr>
          <w:color w:val="000000" w:themeColor="text1"/>
          <w:highlight w:val="white"/>
          <w:lang w:val="es-ES"/>
        </w:rPr>
        <w:t>, 4(1), 114–128.</w:t>
      </w:r>
      <w:hyperlink r:id="rId40">
        <w:r w:rsidRPr="003A7D48">
          <w:rPr>
            <w:color w:val="000000" w:themeColor="text1"/>
            <w:highlight w:val="white"/>
            <w:lang w:val="es-ES"/>
          </w:rPr>
          <w:t xml:space="preserve"> https://doi.org/10.1177/107780049800400107</w:t>
        </w:r>
      </w:hyperlink>
      <w:r w:rsidRPr="003A7D48">
        <w:rPr>
          <w:color w:val="000000" w:themeColor="text1"/>
          <w:highlight w:val="white"/>
          <w:lang w:val="es-ES"/>
        </w:rPr>
        <w:t xml:space="preserve"> </w:t>
      </w:r>
    </w:p>
    <w:p w14:paraId="000000A2" w14:textId="783D2F02" w:rsidR="00BF1871" w:rsidRPr="00C40793" w:rsidRDefault="003B18AD" w:rsidP="003A7D48">
      <w:pPr>
        <w:spacing w:line="480" w:lineRule="auto"/>
        <w:ind w:left="720" w:hanging="720"/>
        <w:contextualSpacing/>
        <w:rPr>
          <w:color w:val="000000" w:themeColor="text1"/>
          <w:highlight w:val="white"/>
        </w:rPr>
      </w:pPr>
      <w:r w:rsidRPr="003A7D48">
        <w:rPr>
          <w:color w:val="000000" w:themeColor="text1"/>
          <w:highlight w:val="white"/>
          <w:lang w:val="es-ES"/>
        </w:rPr>
        <w:t xml:space="preserve">Maldonado-Maldonado, A., &amp; Acosta, F. (2018). </w:t>
      </w:r>
      <w:r w:rsidRPr="00C40793">
        <w:rPr>
          <w:color w:val="000000" w:themeColor="text1"/>
          <w:highlight w:val="white"/>
        </w:rPr>
        <w:t xml:space="preserve">An </w:t>
      </w:r>
      <w:r w:rsidR="00F95C9A" w:rsidRPr="00C40793">
        <w:rPr>
          <w:color w:val="000000" w:themeColor="text1"/>
          <w:highlight w:val="white"/>
        </w:rPr>
        <w:t>a</w:t>
      </w:r>
      <w:r w:rsidRPr="00C40793">
        <w:rPr>
          <w:color w:val="000000" w:themeColor="text1"/>
          <w:highlight w:val="white"/>
        </w:rPr>
        <w:t xml:space="preserve">genda in </w:t>
      </w:r>
      <w:r w:rsidR="00F95C9A" w:rsidRPr="00C40793">
        <w:rPr>
          <w:color w:val="000000" w:themeColor="text1"/>
          <w:highlight w:val="white"/>
        </w:rPr>
        <w:t>m</w:t>
      </w:r>
      <w:r w:rsidRPr="00C40793">
        <w:rPr>
          <w:color w:val="000000" w:themeColor="text1"/>
          <w:highlight w:val="white"/>
        </w:rPr>
        <w:t xml:space="preserve">otion: Women’s </w:t>
      </w:r>
      <w:r w:rsidR="00F95C9A" w:rsidRPr="00C40793">
        <w:rPr>
          <w:color w:val="000000" w:themeColor="text1"/>
          <w:highlight w:val="white"/>
        </w:rPr>
        <w:t>i</w:t>
      </w:r>
      <w:r w:rsidRPr="00C40793">
        <w:rPr>
          <w:color w:val="000000" w:themeColor="text1"/>
          <w:highlight w:val="white"/>
        </w:rPr>
        <w:t xml:space="preserve">ssues in Latin American Higher Education. </w:t>
      </w:r>
      <w:r w:rsidRPr="00C40793">
        <w:rPr>
          <w:i/>
          <w:color w:val="000000" w:themeColor="text1"/>
          <w:highlight w:val="white"/>
        </w:rPr>
        <w:t>International Higher Education</w:t>
      </w:r>
      <w:r w:rsidRPr="00C40793">
        <w:rPr>
          <w:color w:val="000000" w:themeColor="text1"/>
          <w:highlight w:val="white"/>
        </w:rPr>
        <w:t xml:space="preserve">, </w:t>
      </w:r>
      <w:r w:rsidRPr="00C40793">
        <w:rPr>
          <w:i/>
          <w:color w:val="000000" w:themeColor="text1"/>
          <w:highlight w:val="white"/>
        </w:rPr>
        <w:t>94</w:t>
      </w:r>
      <w:r w:rsidRPr="00C40793">
        <w:rPr>
          <w:color w:val="000000" w:themeColor="text1"/>
          <w:highlight w:val="white"/>
        </w:rPr>
        <w:t>, 2-4.</w:t>
      </w:r>
      <w:hyperlink r:id="rId41">
        <w:r w:rsidRPr="00C40793">
          <w:rPr>
            <w:color w:val="000000" w:themeColor="text1"/>
            <w:highlight w:val="white"/>
          </w:rPr>
          <w:t xml:space="preserve"> https://doi.org/10.6017/ihe.2018.0.10552</w:t>
        </w:r>
      </w:hyperlink>
    </w:p>
    <w:p w14:paraId="000000A7" w14:textId="3331F304" w:rsidR="00BF1871" w:rsidRPr="003A7D48" w:rsidRDefault="003B18AD" w:rsidP="003A7D48">
      <w:pPr>
        <w:spacing w:line="480" w:lineRule="auto"/>
        <w:ind w:left="720" w:hanging="720"/>
        <w:contextualSpacing/>
        <w:rPr>
          <w:color w:val="000000" w:themeColor="text1"/>
          <w:highlight w:val="white"/>
          <w:lang w:val="es-ES"/>
        </w:rPr>
      </w:pPr>
      <w:r w:rsidRPr="003A7D48">
        <w:rPr>
          <w:color w:val="000000" w:themeColor="text1"/>
          <w:highlight w:val="white"/>
          <w:lang w:val="es-ES"/>
        </w:rPr>
        <w:t xml:space="preserve">Martini, M., &amp; De </w:t>
      </w:r>
      <w:proofErr w:type="spellStart"/>
      <w:r w:rsidRPr="003A7D48">
        <w:rPr>
          <w:color w:val="000000" w:themeColor="text1"/>
          <w:highlight w:val="white"/>
          <w:lang w:val="es-ES"/>
        </w:rPr>
        <w:t>Piccoli</w:t>
      </w:r>
      <w:proofErr w:type="spellEnd"/>
      <w:r w:rsidRPr="003A7D48">
        <w:rPr>
          <w:color w:val="000000" w:themeColor="text1"/>
          <w:highlight w:val="white"/>
          <w:lang w:val="es-ES"/>
        </w:rPr>
        <w:t xml:space="preserve">, N. (2020). </w:t>
      </w:r>
      <w:r w:rsidRPr="00C40793">
        <w:rPr>
          <w:color w:val="000000" w:themeColor="text1"/>
          <w:highlight w:val="white"/>
        </w:rPr>
        <w:t xml:space="preserve">Predicting bystander intention to intervene: the role of gender-specific system justification and rape myth acceptance for men and women. </w:t>
      </w:r>
      <w:r w:rsidRPr="003A7D48">
        <w:rPr>
          <w:i/>
          <w:color w:val="000000" w:themeColor="text1"/>
          <w:highlight w:val="white"/>
          <w:lang w:val="es-ES"/>
        </w:rPr>
        <w:t xml:space="preserve">Frontiers in </w:t>
      </w:r>
      <w:r w:rsidR="00F95C9A" w:rsidRPr="003A7D48">
        <w:rPr>
          <w:i/>
          <w:color w:val="000000" w:themeColor="text1"/>
          <w:highlight w:val="white"/>
          <w:lang w:val="es-ES"/>
        </w:rPr>
        <w:t>P</w:t>
      </w:r>
      <w:r w:rsidRPr="003A7D48">
        <w:rPr>
          <w:i/>
          <w:color w:val="000000" w:themeColor="text1"/>
          <w:highlight w:val="white"/>
          <w:lang w:val="es-ES"/>
        </w:rPr>
        <w:t>sychology</w:t>
      </w:r>
      <w:r w:rsidRPr="003A7D48">
        <w:rPr>
          <w:color w:val="000000" w:themeColor="text1"/>
          <w:highlight w:val="white"/>
          <w:lang w:val="es-ES"/>
        </w:rPr>
        <w:t xml:space="preserve">, </w:t>
      </w:r>
      <w:r w:rsidRPr="003A7D48">
        <w:rPr>
          <w:i/>
          <w:color w:val="000000" w:themeColor="text1"/>
          <w:highlight w:val="white"/>
          <w:lang w:val="es-ES"/>
        </w:rPr>
        <w:t>11</w:t>
      </w:r>
      <w:r w:rsidRPr="003A7D48">
        <w:rPr>
          <w:color w:val="000000" w:themeColor="text1"/>
          <w:highlight w:val="white"/>
          <w:lang w:val="es-ES"/>
        </w:rPr>
        <w:t>.</w:t>
      </w:r>
      <w:hyperlink r:id="rId42">
        <w:r w:rsidRPr="003A7D48">
          <w:rPr>
            <w:rStyle w:val="Hyperlink"/>
            <w:color w:val="000000" w:themeColor="text1"/>
            <w:highlight w:val="white"/>
            <w:u w:val="none"/>
            <w:lang w:val="es-ES"/>
          </w:rPr>
          <w:t xml:space="preserve"> </w:t>
        </w:r>
        <w:r w:rsidR="002F6377" w:rsidRPr="00C40793">
          <w:rPr>
            <w:rStyle w:val="Hyperlink"/>
            <w:color w:val="000000" w:themeColor="text1"/>
            <w:highlight w:val="white"/>
            <w:u w:val="none"/>
            <w:lang w:val="es-ES"/>
          </w:rPr>
          <w:t>https://</w:t>
        </w:r>
        <w:r w:rsidRPr="003A7D48">
          <w:rPr>
            <w:rStyle w:val="Hyperlink"/>
            <w:color w:val="000000" w:themeColor="text1"/>
            <w:highlight w:val="white"/>
            <w:u w:val="none"/>
            <w:lang w:val="es-ES"/>
          </w:rPr>
          <w:t>10.3389/fpsyg.2020.00326</w:t>
        </w:r>
      </w:hyperlink>
    </w:p>
    <w:p w14:paraId="0EF7E3F4" w14:textId="56F0B4E5" w:rsidR="000879A2" w:rsidRPr="00C40793" w:rsidRDefault="00B05A61" w:rsidP="00C703BD">
      <w:pPr>
        <w:spacing w:line="480" w:lineRule="auto"/>
        <w:ind w:left="720" w:hanging="720"/>
        <w:contextualSpacing/>
        <w:rPr>
          <w:color w:val="000000" w:themeColor="text1"/>
        </w:rPr>
      </w:pPr>
      <w:proofErr w:type="spellStart"/>
      <w:r w:rsidRPr="003A7D48">
        <w:rPr>
          <w:color w:val="000000" w:themeColor="text1"/>
          <w:highlight w:val="white"/>
          <w:lang w:val="es-ES"/>
        </w:rPr>
        <w:lastRenderedPageBreak/>
        <w:t>Matias</w:t>
      </w:r>
      <w:proofErr w:type="spellEnd"/>
      <w:r w:rsidRPr="003A7D48">
        <w:rPr>
          <w:color w:val="000000" w:themeColor="text1"/>
          <w:highlight w:val="white"/>
          <w:lang w:val="es-ES"/>
        </w:rPr>
        <w:t xml:space="preserve">, P (2020). </w:t>
      </w:r>
      <w:r w:rsidRPr="003A7D48">
        <w:rPr>
          <w:color w:val="000000" w:themeColor="text1"/>
          <w:lang w:val="es-ES"/>
        </w:rPr>
        <w:t>Docentes apoyan el despido de una colega que acompañaba a alumnas en sus denuncias por acoso sexual</w:t>
      </w:r>
      <w:r w:rsidRPr="00C40793">
        <w:rPr>
          <w:color w:val="000000" w:themeColor="text1"/>
          <w:lang w:val="es-ES"/>
        </w:rPr>
        <w:t xml:space="preserve">. </w:t>
      </w:r>
      <w:proofErr w:type="spellStart"/>
      <w:r w:rsidRPr="003A7D48">
        <w:rPr>
          <w:i/>
          <w:color w:val="000000" w:themeColor="text1"/>
        </w:rPr>
        <w:t>Proceso</w:t>
      </w:r>
      <w:proofErr w:type="spellEnd"/>
      <w:r w:rsidR="000879A2" w:rsidRPr="00C40793">
        <w:rPr>
          <w:i/>
          <w:color w:val="000000" w:themeColor="text1"/>
        </w:rPr>
        <w:t xml:space="preserve">. </w:t>
      </w:r>
      <w:r w:rsidR="000879A2" w:rsidRPr="00C40793">
        <w:rPr>
          <w:iCs/>
          <w:color w:val="000000" w:themeColor="text1"/>
        </w:rPr>
        <w:t>Retrieved 26</w:t>
      </w:r>
      <w:r w:rsidR="000879A2" w:rsidRPr="00C40793">
        <w:rPr>
          <w:iCs/>
          <w:color w:val="000000" w:themeColor="text1"/>
          <w:vertAlign w:val="superscript"/>
        </w:rPr>
        <w:t>th</w:t>
      </w:r>
      <w:r w:rsidR="000879A2" w:rsidRPr="00C40793">
        <w:rPr>
          <w:iCs/>
          <w:color w:val="000000" w:themeColor="text1"/>
        </w:rPr>
        <w:t xml:space="preserve"> November 2020, from </w:t>
      </w:r>
      <w:hyperlink r:id="rId43" w:history="1">
        <w:r w:rsidR="000879A2" w:rsidRPr="003A7D48">
          <w:rPr>
            <w:rStyle w:val="Hyperlink"/>
            <w:color w:val="000000" w:themeColor="text1"/>
            <w:u w:val="none"/>
          </w:rPr>
          <w:t>https://www.proceso.com.mx/nacional/estados/2020/11/23/profesores-apoyan-el-despido-de-una-colega-que-acompano-alumnas-en-sus-denuncias-de-acoso-sexual-253243.html</w:t>
        </w:r>
      </w:hyperlink>
      <w:r w:rsidR="000879A2" w:rsidRPr="00C40793">
        <w:rPr>
          <w:color w:val="000000" w:themeColor="text1"/>
        </w:rPr>
        <w:t>.</w:t>
      </w:r>
    </w:p>
    <w:p w14:paraId="000000A8" w14:textId="77D83057" w:rsidR="00BF1871" w:rsidRPr="00C40793" w:rsidRDefault="002F3E18" w:rsidP="003A7D48">
      <w:pPr>
        <w:spacing w:line="480" w:lineRule="auto"/>
        <w:ind w:left="720" w:hanging="720"/>
        <w:contextualSpacing/>
        <w:rPr>
          <w:color w:val="000000" w:themeColor="text1"/>
          <w:highlight w:val="white"/>
        </w:rPr>
      </w:pPr>
      <w:r w:rsidRPr="003A7D48">
        <w:rPr>
          <w:color w:val="000000" w:themeColor="text1"/>
          <w:shd w:val="clear" w:color="auto" w:fill="FFFFFF"/>
        </w:rPr>
        <w:t xml:space="preserve">McGinley, M., Wolff, J. M., </w:t>
      </w:r>
      <w:proofErr w:type="spellStart"/>
      <w:r w:rsidRPr="003A7D48">
        <w:rPr>
          <w:color w:val="000000" w:themeColor="text1"/>
          <w:shd w:val="clear" w:color="auto" w:fill="FFFFFF"/>
        </w:rPr>
        <w:t>Rospenda</w:t>
      </w:r>
      <w:proofErr w:type="spellEnd"/>
      <w:r w:rsidRPr="003A7D48">
        <w:rPr>
          <w:color w:val="000000" w:themeColor="text1"/>
          <w:shd w:val="clear" w:color="auto" w:fill="FFFFFF"/>
        </w:rPr>
        <w:t>, K. M., Liu, L., &amp; Richman, J. A. (2016). Risk factors and outcomes of chronic sexual harassment during the transition to college: Examination of a two-part growth mixture model. </w:t>
      </w:r>
      <w:r w:rsidR="007720F1" w:rsidRPr="00C40793">
        <w:rPr>
          <w:i/>
          <w:iCs/>
          <w:color w:val="000000" w:themeColor="text1"/>
          <w:shd w:val="clear" w:color="auto" w:fill="FFFFFF"/>
        </w:rPr>
        <w:t>Social Science R</w:t>
      </w:r>
      <w:r w:rsidRPr="003A7D48">
        <w:rPr>
          <w:i/>
          <w:iCs/>
          <w:color w:val="000000" w:themeColor="text1"/>
          <w:shd w:val="clear" w:color="auto" w:fill="FFFFFF"/>
        </w:rPr>
        <w:t>esearch</w:t>
      </w:r>
      <w:r w:rsidRPr="003A7D48">
        <w:rPr>
          <w:color w:val="000000" w:themeColor="text1"/>
          <w:shd w:val="clear" w:color="auto" w:fill="FFFFFF"/>
        </w:rPr>
        <w:t>, </w:t>
      </w:r>
      <w:r w:rsidRPr="003A7D48">
        <w:rPr>
          <w:i/>
          <w:iCs/>
          <w:color w:val="000000" w:themeColor="text1"/>
          <w:shd w:val="clear" w:color="auto" w:fill="FFFFFF"/>
        </w:rPr>
        <w:t>60</w:t>
      </w:r>
      <w:r w:rsidRPr="003A7D48">
        <w:rPr>
          <w:color w:val="000000" w:themeColor="text1"/>
          <w:shd w:val="clear" w:color="auto" w:fill="FFFFFF"/>
        </w:rPr>
        <w:t>, 297-310.</w:t>
      </w:r>
      <w:r w:rsidR="00184BF5" w:rsidRPr="00C40793">
        <w:rPr>
          <w:color w:val="000000" w:themeColor="text1"/>
          <w:shd w:val="clear" w:color="auto" w:fill="FFFFFF"/>
        </w:rPr>
        <w:t xml:space="preserve"> </w:t>
      </w:r>
      <w:hyperlink r:id="rId44" w:history="1">
        <w:r w:rsidR="00184BF5" w:rsidRPr="00C40793">
          <w:rPr>
            <w:rStyle w:val="Hyperlink"/>
            <w:color w:val="000000" w:themeColor="text1"/>
            <w:u w:val="none"/>
            <w:shd w:val="clear" w:color="auto" w:fill="FFFFFF"/>
          </w:rPr>
          <w:t>https://doi.org/10.1016/j.ssresearch.2016.04.002</w:t>
        </w:r>
      </w:hyperlink>
    </w:p>
    <w:p w14:paraId="331D972D" w14:textId="113D6434" w:rsidR="00184BF5" w:rsidRPr="003A7D48" w:rsidRDefault="00064940" w:rsidP="00C703BD">
      <w:pPr>
        <w:spacing w:line="480" w:lineRule="auto"/>
        <w:ind w:left="720" w:hanging="720"/>
        <w:contextualSpacing/>
        <w:rPr>
          <w:color w:val="000000" w:themeColor="text1"/>
          <w:shd w:val="clear" w:color="auto" w:fill="FFFFFF"/>
          <w:lang w:val="es-ES"/>
        </w:rPr>
      </w:pPr>
      <w:r w:rsidRPr="003A7D48">
        <w:rPr>
          <w:color w:val="000000" w:themeColor="text1"/>
          <w:shd w:val="clear" w:color="auto" w:fill="FFFFFF"/>
        </w:rPr>
        <w:t xml:space="preserve">Moore, J., &amp; </w:t>
      </w:r>
      <w:proofErr w:type="spellStart"/>
      <w:r w:rsidRPr="003A7D48">
        <w:rPr>
          <w:color w:val="000000" w:themeColor="text1"/>
          <w:shd w:val="clear" w:color="auto" w:fill="FFFFFF"/>
        </w:rPr>
        <w:t>Mennicke</w:t>
      </w:r>
      <w:proofErr w:type="spellEnd"/>
      <w:r w:rsidRPr="003A7D48">
        <w:rPr>
          <w:color w:val="000000" w:themeColor="text1"/>
          <w:shd w:val="clear" w:color="auto" w:fill="FFFFFF"/>
        </w:rPr>
        <w:t>, A. (2020). Empathy deficits and perceived permissive environments: sexual harassment perpetration on college campuses. </w:t>
      </w:r>
      <w:r w:rsidRPr="003A7D48">
        <w:rPr>
          <w:i/>
          <w:iCs/>
          <w:color w:val="000000" w:themeColor="text1"/>
          <w:shd w:val="clear" w:color="auto" w:fill="FFFFFF"/>
          <w:lang w:val="es-ES"/>
        </w:rPr>
        <w:t xml:space="preserve">Journal of sexual </w:t>
      </w:r>
      <w:proofErr w:type="spellStart"/>
      <w:r w:rsidRPr="003A7D48">
        <w:rPr>
          <w:i/>
          <w:iCs/>
          <w:color w:val="000000" w:themeColor="text1"/>
          <w:shd w:val="clear" w:color="auto" w:fill="FFFFFF"/>
          <w:lang w:val="es-ES"/>
        </w:rPr>
        <w:t>aggression</w:t>
      </w:r>
      <w:proofErr w:type="spellEnd"/>
      <w:r w:rsidRPr="003A7D48">
        <w:rPr>
          <w:color w:val="000000" w:themeColor="text1"/>
          <w:shd w:val="clear" w:color="auto" w:fill="FFFFFF"/>
          <w:lang w:val="es-ES"/>
        </w:rPr>
        <w:t>, </w:t>
      </w:r>
      <w:r w:rsidRPr="003A7D48">
        <w:rPr>
          <w:i/>
          <w:iCs/>
          <w:color w:val="000000" w:themeColor="text1"/>
          <w:shd w:val="clear" w:color="auto" w:fill="FFFFFF"/>
          <w:lang w:val="es-ES"/>
        </w:rPr>
        <w:t>26</w:t>
      </w:r>
      <w:r w:rsidRPr="003A7D48">
        <w:rPr>
          <w:color w:val="000000" w:themeColor="text1"/>
          <w:shd w:val="clear" w:color="auto" w:fill="FFFFFF"/>
          <w:lang w:val="es-ES"/>
        </w:rPr>
        <w:t>(3), 372-384.</w:t>
      </w:r>
      <w:r w:rsidR="00184BF5" w:rsidRPr="00C40793">
        <w:rPr>
          <w:color w:val="000000" w:themeColor="text1"/>
          <w:shd w:val="clear" w:color="auto" w:fill="FFFFFF"/>
          <w:lang w:val="es-ES"/>
        </w:rPr>
        <w:t xml:space="preserve"> </w:t>
      </w:r>
      <w:hyperlink r:id="rId45" w:history="1">
        <w:r w:rsidR="00184BF5" w:rsidRPr="00C40793">
          <w:rPr>
            <w:rStyle w:val="Hyperlink"/>
            <w:color w:val="000000" w:themeColor="text1"/>
            <w:u w:val="none"/>
            <w:shd w:val="clear" w:color="auto" w:fill="FFFFFF"/>
            <w:lang w:val="es-ES"/>
          </w:rPr>
          <w:t>https://doi.org/10.1080/13552600.2019.1651913</w:t>
        </w:r>
      </w:hyperlink>
    </w:p>
    <w:p w14:paraId="367C27E8" w14:textId="0FB23FF3" w:rsidR="002F6377" w:rsidRPr="003A7D48" w:rsidRDefault="003B18AD" w:rsidP="00C703BD">
      <w:pPr>
        <w:spacing w:line="480" w:lineRule="auto"/>
        <w:ind w:left="720" w:hanging="720"/>
        <w:contextualSpacing/>
        <w:rPr>
          <w:color w:val="000000" w:themeColor="text1"/>
          <w:lang w:val="es-ES"/>
        </w:rPr>
      </w:pPr>
      <w:r w:rsidRPr="003A7D48">
        <w:rPr>
          <w:color w:val="000000" w:themeColor="text1"/>
          <w:highlight w:val="white"/>
          <w:lang w:val="es-ES"/>
        </w:rPr>
        <w:t xml:space="preserve">Morales Cobos, S. G., Paredes Morales, M. G., &amp; Alberdi Rodríguez, G. J. (2020). Acoso sexual por relación de poder docente estudiante: caso de estudio Universidad de Guayaquil. </w:t>
      </w:r>
      <w:r w:rsidRPr="003A7D48">
        <w:rPr>
          <w:i/>
          <w:color w:val="000000" w:themeColor="text1"/>
          <w:highlight w:val="white"/>
          <w:lang w:val="es-ES"/>
        </w:rPr>
        <w:t>Conrado</w:t>
      </w:r>
      <w:r w:rsidRPr="003A7D48">
        <w:rPr>
          <w:color w:val="000000" w:themeColor="text1"/>
          <w:highlight w:val="white"/>
          <w:lang w:val="es-ES"/>
        </w:rPr>
        <w:t xml:space="preserve">, </w:t>
      </w:r>
      <w:r w:rsidRPr="003A7D48">
        <w:rPr>
          <w:i/>
          <w:color w:val="000000" w:themeColor="text1"/>
          <w:highlight w:val="white"/>
          <w:lang w:val="es-ES"/>
        </w:rPr>
        <w:t>16</w:t>
      </w:r>
      <w:r w:rsidRPr="003A7D48">
        <w:rPr>
          <w:color w:val="000000" w:themeColor="text1"/>
          <w:highlight w:val="white"/>
          <w:lang w:val="es-ES"/>
        </w:rPr>
        <w:t xml:space="preserve">(73), 364-372. </w:t>
      </w:r>
      <w:proofErr w:type="spellStart"/>
      <w:r w:rsidRPr="003A7D48">
        <w:rPr>
          <w:color w:val="000000" w:themeColor="text1"/>
          <w:highlight w:val="white"/>
          <w:lang w:val="es-ES"/>
        </w:rPr>
        <w:t>Epub</w:t>
      </w:r>
      <w:proofErr w:type="spellEnd"/>
      <w:r w:rsidRPr="003A7D48">
        <w:rPr>
          <w:color w:val="000000" w:themeColor="text1"/>
          <w:highlight w:val="white"/>
          <w:lang w:val="es-ES"/>
        </w:rPr>
        <w:t xml:space="preserve"> 02 de abril de 2020. </w:t>
      </w:r>
      <w:hyperlink r:id="rId46" w:history="1">
        <w:r w:rsidR="002F6377" w:rsidRPr="00C40793">
          <w:rPr>
            <w:rStyle w:val="Hyperlink"/>
            <w:color w:val="000000" w:themeColor="text1"/>
            <w:u w:val="none"/>
            <w:lang w:val="es-ES"/>
          </w:rPr>
          <w:t>http://scielo.sld.cu/scielo.php?script=sci_arttext&amp;pid=S1990-86442020000200364&amp;lng=es&amp;tlng=es</w:t>
        </w:r>
      </w:hyperlink>
      <w:r w:rsidR="002F6377" w:rsidRPr="00C40793">
        <w:rPr>
          <w:color w:val="000000" w:themeColor="text1"/>
          <w:lang w:val="es-ES"/>
        </w:rPr>
        <w:t>.</w:t>
      </w:r>
    </w:p>
    <w:p w14:paraId="000000AE" w14:textId="39464664" w:rsidR="00BF1871" w:rsidRPr="00C40793" w:rsidRDefault="003B18AD" w:rsidP="003A7D48">
      <w:pPr>
        <w:spacing w:line="480" w:lineRule="auto"/>
        <w:ind w:left="720" w:hanging="720"/>
        <w:contextualSpacing/>
        <w:rPr>
          <w:color w:val="000000" w:themeColor="text1"/>
          <w:highlight w:val="white"/>
        </w:rPr>
      </w:pPr>
      <w:r w:rsidRPr="00C40793">
        <w:rPr>
          <w:color w:val="000000" w:themeColor="text1"/>
          <w:highlight w:val="white"/>
        </w:rPr>
        <w:t xml:space="preserve">Morris, L. (2019). Fighting machismo: women on the front line. </w:t>
      </w:r>
      <w:r w:rsidRPr="00C40793">
        <w:rPr>
          <w:i/>
          <w:color w:val="000000" w:themeColor="text1"/>
          <w:highlight w:val="white"/>
        </w:rPr>
        <w:t>Voices of Latin America: Social Movements and the New Activism</w:t>
      </w:r>
      <w:r w:rsidRPr="00C40793">
        <w:rPr>
          <w:color w:val="000000" w:themeColor="text1"/>
          <w:highlight w:val="white"/>
        </w:rPr>
        <w:t>, 25.</w:t>
      </w:r>
      <w:hyperlink r:id="rId47">
        <w:r w:rsidRPr="00C40793">
          <w:rPr>
            <w:color w:val="000000" w:themeColor="text1"/>
            <w:highlight w:val="white"/>
          </w:rPr>
          <w:t xml:space="preserve"> http://dx.doi.org/10.3362/9781909014213.002</w:t>
        </w:r>
      </w:hyperlink>
    </w:p>
    <w:p w14:paraId="000000B2" w14:textId="1E44C216" w:rsidR="00BF1871" w:rsidRPr="00C40793" w:rsidRDefault="003B18AD" w:rsidP="003A7D48">
      <w:pPr>
        <w:spacing w:before="240" w:after="240" w:line="480" w:lineRule="auto"/>
        <w:ind w:left="720" w:hanging="720"/>
        <w:contextualSpacing/>
        <w:rPr>
          <w:color w:val="000000" w:themeColor="text1"/>
          <w:highlight w:val="white"/>
        </w:rPr>
      </w:pPr>
      <w:r w:rsidRPr="003A7D48">
        <w:rPr>
          <w:color w:val="000000" w:themeColor="text1"/>
          <w:highlight w:val="white"/>
          <w:lang w:val="es-ES"/>
        </w:rPr>
        <w:t xml:space="preserve">Ortiz, R. R., &amp; Thompson, B. (2017). </w:t>
      </w:r>
      <w:r w:rsidRPr="00C40793">
        <w:rPr>
          <w:color w:val="000000" w:themeColor="text1"/>
          <w:highlight w:val="white"/>
        </w:rPr>
        <w:t xml:space="preserve">Risky recruitment: How rape myth acceptance among potential new sorority members is related to their self-efficacy to prevent sexual assault and perceptions of university sexual assault reporting. </w:t>
      </w:r>
      <w:proofErr w:type="spellStart"/>
      <w:r w:rsidRPr="00C40793">
        <w:rPr>
          <w:i/>
          <w:color w:val="000000" w:themeColor="text1"/>
          <w:highlight w:val="white"/>
        </w:rPr>
        <w:t>Oracula</w:t>
      </w:r>
      <w:proofErr w:type="spellEnd"/>
      <w:r w:rsidRPr="00C40793">
        <w:rPr>
          <w:i/>
          <w:color w:val="000000" w:themeColor="text1"/>
          <w:highlight w:val="white"/>
        </w:rPr>
        <w:t>, 12</w:t>
      </w:r>
      <w:r w:rsidRPr="00C40793">
        <w:rPr>
          <w:color w:val="000000" w:themeColor="text1"/>
          <w:highlight w:val="white"/>
        </w:rPr>
        <w:t>(2).</w:t>
      </w:r>
    </w:p>
    <w:p w14:paraId="000000B4" w14:textId="02F538A7" w:rsidR="00BF1871" w:rsidRPr="00C40793" w:rsidRDefault="003B18AD" w:rsidP="003A7D48">
      <w:pPr>
        <w:spacing w:line="480" w:lineRule="auto"/>
        <w:ind w:left="720" w:hanging="720"/>
        <w:contextualSpacing/>
        <w:rPr>
          <w:color w:val="000000" w:themeColor="text1"/>
          <w:highlight w:val="white"/>
        </w:rPr>
      </w:pPr>
      <w:r w:rsidRPr="00C40793">
        <w:rPr>
          <w:color w:val="000000" w:themeColor="text1"/>
          <w:highlight w:val="white"/>
        </w:rPr>
        <w:t xml:space="preserve">Payne, D. L., </w:t>
      </w:r>
      <w:proofErr w:type="spellStart"/>
      <w:r w:rsidRPr="00C40793">
        <w:rPr>
          <w:color w:val="000000" w:themeColor="text1"/>
          <w:highlight w:val="white"/>
        </w:rPr>
        <w:t>Lonsway</w:t>
      </w:r>
      <w:proofErr w:type="spellEnd"/>
      <w:r w:rsidRPr="00C40793">
        <w:rPr>
          <w:color w:val="000000" w:themeColor="text1"/>
          <w:highlight w:val="white"/>
        </w:rPr>
        <w:t xml:space="preserve">, K. A., &amp; Fitzgerald, L. F. (1999). Rape myth acceptance: Exploration of its structure and its measurement using the Illinois rape myth acceptance scale. </w:t>
      </w:r>
      <w:r w:rsidRPr="00C40793">
        <w:rPr>
          <w:i/>
          <w:color w:val="000000" w:themeColor="text1"/>
          <w:highlight w:val="white"/>
        </w:rPr>
        <w:lastRenderedPageBreak/>
        <w:t>Journal of Research in Personality</w:t>
      </w:r>
      <w:r w:rsidRPr="00C40793">
        <w:rPr>
          <w:color w:val="000000" w:themeColor="text1"/>
          <w:highlight w:val="white"/>
        </w:rPr>
        <w:t xml:space="preserve">, </w:t>
      </w:r>
      <w:r w:rsidRPr="00C40793">
        <w:rPr>
          <w:i/>
          <w:color w:val="000000" w:themeColor="text1"/>
          <w:highlight w:val="white"/>
        </w:rPr>
        <w:t>33</w:t>
      </w:r>
      <w:r w:rsidRPr="00C40793">
        <w:rPr>
          <w:color w:val="000000" w:themeColor="text1"/>
          <w:highlight w:val="white"/>
        </w:rPr>
        <w:t>(1), 27-68.</w:t>
      </w:r>
      <w:hyperlink r:id="rId48">
        <w:r w:rsidRPr="00C40793">
          <w:rPr>
            <w:color w:val="000000" w:themeColor="text1"/>
            <w:highlight w:val="white"/>
          </w:rPr>
          <w:t xml:space="preserve"> https://doi.org/10.1006/jrpe.1998.2238</w:t>
        </w:r>
      </w:hyperlink>
    </w:p>
    <w:p w14:paraId="000000B6" w14:textId="61076313" w:rsidR="00BF1871" w:rsidRPr="00C40793" w:rsidRDefault="003B18AD" w:rsidP="003A7D48">
      <w:pPr>
        <w:spacing w:before="240" w:after="240" w:line="480" w:lineRule="auto"/>
        <w:ind w:left="720" w:hanging="720"/>
        <w:contextualSpacing/>
        <w:rPr>
          <w:color w:val="000000" w:themeColor="text1"/>
          <w:highlight w:val="white"/>
        </w:rPr>
      </w:pPr>
      <w:r w:rsidRPr="00C40793">
        <w:rPr>
          <w:color w:val="000000" w:themeColor="text1"/>
          <w:highlight w:val="white"/>
        </w:rPr>
        <w:t xml:space="preserve">Rudman, L. A., </w:t>
      </w:r>
      <w:proofErr w:type="spellStart"/>
      <w:r w:rsidRPr="00C40793">
        <w:rPr>
          <w:color w:val="000000" w:themeColor="text1"/>
          <w:highlight w:val="white"/>
        </w:rPr>
        <w:t>Borgida</w:t>
      </w:r>
      <w:proofErr w:type="spellEnd"/>
      <w:r w:rsidRPr="00C40793">
        <w:rPr>
          <w:color w:val="000000" w:themeColor="text1"/>
          <w:highlight w:val="white"/>
        </w:rPr>
        <w:t xml:space="preserve">, E., &amp; Robertson, B. A. (1995). Suffering in </w:t>
      </w:r>
      <w:r w:rsidR="00F95C9A" w:rsidRPr="00C40793">
        <w:rPr>
          <w:color w:val="000000" w:themeColor="text1"/>
          <w:highlight w:val="white"/>
        </w:rPr>
        <w:t>s</w:t>
      </w:r>
      <w:r w:rsidRPr="00C40793">
        <w:rPr>
          <w:color w:val="000000" w:themeColor="text1"/>
          <w:highlight w:val="white"/>
        </w:rPr>
        <w:t xml:space="preserve">ilence: Procedural </w:t>
      </w:r>
      <w:r w:rsidR="00F95C9A" w:rsidRPr="00C40793">
        <w:rPr>
          <w:color w:val="000000" w:themeColor="text1"/>
          <w:highlight w:val="white"/>
        </w:rPr>
        <w:t>j</w:t>
      </w:r>
      <w:r w:rsidRPr="00C40793">
        <w:rPr>
          <w:color w:val="000000" w:themeColor="text1"/>
          <w:highlight w:val="white"/>
        </w:rPr>
        <w:t xml:space="preserve">ustice </w:t>
      </w:r>
      <w:r w:rsidR="00F95C9A" w:rsidRPr="00C40793">
        <w:rPr>
          <w:color w:val="000000" w:themeColor="text1"/>
          <w:highlight w:val="white"/>
        </w:rPr>
        <w:t>v</w:t>
      </w:r>
      <w:r w:rsidRPr="00C40793">
        <w:rPr>
          <w:color w:val="000000" w:themeColor="text1"/>
          <w:highlight w:val="white"/>
        </w:rPr>
        <w:t xml:space="preserve">ersus </w:t>
      </w:r>
      <w:r w:rsidR="00F95C9A" w:rsidRPr="00C40793">
        <w:rPr>
          <w:color w:val="000000" w:themeColor="text1"/>
          <w:highlight w:val="white"/>
        </w:rPr>
        <w:t>g</w:t>
      </w:r>
      <w:r w:rsidRPr="00C40793">
        <w:rPr>
          <w:color w:val="000000" w:themeColor="text1"/>
          <w:highlight w:val="white"/>
        </w:rPr>
        <w:t xml:space="preserve">ender </w:t>
      </w:r>
      <w:r w:rsidR="00F95C9A" w:rsidRPr="00C40793">
        <w:rPr>
          <w:color w:val="000000" w:themeColor="text1"/>
          <w:highlight w:val="white"/>
        </w:rPr>
        <w:t>s</w:t>
      </w:r>
      <w:r w:rsidRPr="00C40793">
        <w:rPr>
          <w:color w:val="000000" w:themeColor="text1"/>
          <w:highlight w:val="white"/>
        </w:rPr>
        <w:t xml:space="preserve">ocialization issues in University </w:t>
      </w:r>
      <w:r w:rsidR="00F95C9A" w:rsidRPr="00C40793">
        <w:rPr>
          <w:color w:val="000000" w:themeColor="text1"/>
          <w:highlight w:val="white"/>
        </w:rPr>
        <w:t>s</w:t>
      </w:r>
      <w:r w:rsidRPr="00C40793">
        <w:rPr>
          <w:color w:val="000000" w:themeColor="text1"/>
          <w:highlight w:val="white"/>
        </w:rPr>
        <w:t xml:space="preserve">exual </w:t>
      </w:r>
      <w:proofErr w:type="spellStart"/>
      <w:r w:rsidR="00F95C9A" w:rsidRPr="00C40793">
        <w:rPr>
          <w:color w:val="000000" w:themeColor="text1"/>
          <w:highlight w:val="white"/>
        </w:rPr>
        <w:t>g</w:t>
      </w:r>
      <w:r w:rsidRPr="00C40793">
        <w:rPr>
          <w:color w:val="000000" w:themeColor="text1"/>
          <w:highlight w:val="white"/>
        </w:rPr>
        <w:t>arassment</w:t>
      </w:r>
      <w:proofErr w:type="spellEnd"/>
      <w:r w:rsidRPr="00C40793">
        <w:rPr>
          <w:color w:val="000000" w:themeColor="text1"/>
          <w:highlight w:val="white"/>
        </w:rPr>
        <w:t xml:space="preserve"> </w:t>
      </w:r>
      <w:r w:rsidR="00F95C9A" w:rsidRPr="00C40793">
        <w:rPr>
          <w:color w:val="000000" w:themeColor="text1"/>
          <w:highlight w:val="white"/>
        </w:rPr>
        <w:t>g</w:t>
      </w:r>
      <w:r w:rsidRPr="00C40793">
        <w:rPr>
          <w:color w:val="000000" w:themeColor="text1"/>
          <w:highlight w:val="white"/>
        </w:rPr>
        <w:t>riev</w:t>
      </w:r>
      <w:r w:rsidR="00F95C9A" w:rsidRPr="00C40793">
        <w:rPr>
          <w:color w:val="000000" w:themeColor="text1"/>
          <w:highlight w:val="white"/>
        </w:rPr>
        <w:t>a</w:t>
      </w:r>
      <w:r w:rsidRPr="00C40793">
        <w:rPr>
          <w:color w:val="000000" w:themeColor="text1"/>
          <w:highlight w:val="white"/>
        </w:rPr>
        <w:t xml:space="preserve">nce Procedures. </w:t>
      </w:r>
      <w:r w:rsidRPr="00C40793">
        <w:rPr>
          <w:i/>
          <w:color w:val="000000" w:themeColor="text1"/>
          <w:highlight w:val="white"/>
        </w:rPr>
        <w:t>Basic and Applied Social Psychology</w:t>
      </w:r>
      <w:r w:rsidRPr="00C40793">
        <w:rPr>
          <w:color w:val="000000" w:themeColor="text1"/>
          <w:highlight w:val="white"/>
        </w:rPr>
        <w:t xml:space="preserve">, </w:t>
      </w:r>
      <w:r w:rsidRPr="00C40793">
        <w:rPr>
          <w:i/>
          <w:color w:val="000000" w:themeColor="text1"/>
          <w:highlight w:val="white"/>
        </w:rPr>
        <w:t>17</w:t>
      </w:r>
      <w:r w:rsidRPr="00C40793">
        <w:rPr>
          <w:color w:val="000000" w:themeColor="text1"/>
          <w:highlight w:val="white"/>
        </w:rPr>
        <w:t>(4), 519-541.</w:t>
      </w:r>
      <w:hyperlink r:id="rId49">
        <w:r w:rsidRPr="00C40793">
          <w:rPr>
            <w:color w:val="000000" w:themeColor="text1"/>
            <w:highlight w:val="white"/>
          </w:rPr>
          <w:t xml:space="preserve"> https://doi.org/10.1207/s15324834basp1704_6</w:t>
        </w:r>
      </w:hyperlink>
      <w:r w:rsidRPr="00C40793">
        <w:rPr>
          <w:color w:val="000000" w:themeColor="text1"/>
          <w:highlight w:val="white"/>
        </w:rPr>
        <w:t xml:space="preserve"> </w:t>
      </w:r>
    </w:p>
    <w:p w14:paraId="56A95D95" w14:textId="05A27B92" w:rsidR="003E66FA" w:rsidRPr="003A7D48" w:rsidRDefault="003E66FA" w:rsidP="003A7D48">
      <w:pPr>
        <w:spacing w:line="480" w:lineRule="auto"/>
        <w:ind w:left="720" w:hanging="720"/>
        <w:contextualSpacing/>
        <w:rPr>
          <w:rFonts w:eastAsia="Calibri"/>
          <w:color w:val="000000" w:themeColor="text1"/>
          <w:highlight w:val="white"/>
        </w:rPr>
      </w:pPr>
      <w:r w:rsidRPr="003A7D48">
        <w:rPr>
          <w:color w:val="000000" w:themeColor="text1"/>
          <w:highlight w:val="white"/>
          <w:lang w:val="es-ES"/>
        </w:rPr>
        <w:t xml:space="preserve">Secretaria de </w:t>
      </w:r>
      <w:proofErr w:type="spellStart"/>
      <w:r w:rsidRPr="003A7D48">
        <w:rPr>
          <w:color w:val="000000" w:themeColor="text1"/>
          <w:highlight w:val="white"/>
          <w:lang w:val="es-ES"/>
        </w:rPr>
        <w:t>Education</w:t>
      </w:r>
      <w:proofErr w:type="spellEnd"/>
      <w:r w:rsidRPr="003A7D48">
        <w:rPr>
          <w:color w:val="000000" w:themeColor="text1"/>
          <w:highlight w:val="white"/>
          <w:lang w:val="es-ES"/>
        </w:rPr>
        <w:t xml:space="preserve"> Superior, Ciencia, </w:t>
      </w:r>
      <w:proofErr w:type="spellStart"/>
      <w:r w:rsidRPr="003A7D48">
        <w:rPr>
          <w:color w:val="000000" w:themeColor="text1"/>
          <w:highlight w:val="white"/>
          <w:lang w:val="es-ES"/>
        </w:rPr>
        <w:t>Tecnologia</w:t>
      </w:r>
      <w:proofErr w:type="spellEnd"/>
      <w:r w:rsidRPr="003A7D48">
        <w:rPr>
          <w:color w:val="000000" w:themeColor="text1"/>
          <w:highlight w:val="white"/>
          <w:lang w:val="es-ES"/>
        </w:rPr>
        <w:t xml:space="preserve">, e </w:t>
      </w:r>
      <w:proofErr w:type="spellStart"/>
      <w:r w:rsidRPr="003A7D48">
        <w:rPr>
          <w:color w:val="000000" w:themeColor="text1"/>
          <w:highlight w:val="white"/>
          <w:lang w:val="es-ES"/>
        </w:rPr>
        <w:t>Innovacion</w:t>
      </w:r>
      <w:proofErr w:type="spellEnd"/>
      <w:r w:rsidRPr="00C40793">
        <w:rPr>
          <w:color w:val="000000" w:themeColor="text1"/>
          <w:highlight w:val="white"/>
          <w:lang w:val="es-ES"/>
        </w:rPr>
        <w:t xml:space="preserve"> (2018).</w:t>
      </w:r>
      <w:r w:rsidRPr="003A7D48">
        <w:rPr>
          <w:color w:val="000000" w:themeColor="text1"/>
          <w:lang w:val="es-ES"/>
        </w:rPr>
        <w:t xml:space="preserve"> </w:t>
      </w:r>
      <w:r w:rsidR="0057073C" w:rsidRPr="003A7D48">
        <w:rPr>
          <w:color w:val="000000" w:themeColor="text1"/>
        </w:rPr>
        <w:t>Retrieved 25th November</w:t>
      </w:r>
      <w:r w:rsidR="0057073C" w:rsidRPr="00C40793">
        <w:rPr>
          <w:color w:val="000000" w:themeColor="text1"/>
          <w:lang w:val="es-ES"/>
        </w:rPr>
        <w:t xml:space="preserve">, </w:t>
      </w:r>
      <w:proofErr w:type="spellStart"/>
      <w:r w:rsidR="0057073C" w:rsidRPr="00C40793">
        <w:rPr>
          <w:color w:val="000000" w:themeColor="text1"/>
          <w:lang w:val="es-ES"/>
        </w:rPr>
        <w:t>from</w:t>
      </w:r>
      <w:proofErr w:type="spellEnd"/>
      <w:r w:rsidR="0057073C" w:rsidRPr="00C40793">
        <w:rPr>
          <w:color w:val="000000" w:themeColor="text1"/>
          <w:lang w:val="es-ES"/>
        </w:rPr>
        <w:t xml:space="preserve"> </w:t>
      </w:r>
      <w:hyperlink r:id="rId50" w:history="1">
        <w:r w:rsidR="0057073C" w:rsidRPr="003A7D48">
          <w:rPr>
            <w:rStyle w:val="Hyperlink"/>
            <w:color w:val="000000" w:themeColor="text1"/>
            <w:u w:val="none"/>
          </w:rPr>
          <w:t>https://www.educacionsuperior.gob.ec/wp-content/uploads/2018/10/Folleto-Protocolo-Acoso-Discriminacion-violencia.pdf</w:t>
        </w:r>
      </w:hyperlink>
      <w:r w:rsidR="0057073C" w:rsidRPr="00C40793">
        <w:rPr>
          <w:color w:val="000000" w:themeColor="text1"/>
        </w:rPr>
        <w:t>.</w:t>
      </w:r>
    </w:p>
    <w:p w14:paraId="5DA9081C" w14:textId="38A8F104" w:rsidR="00184BF5" w:rsidRPr="00C40793" w:rsidRDefault="00BF4D08" w:rsidP="00C703BD">
      <w:pPr>
        <w:spacing w:line="480" w:lineRule="auto"/>
        <w:ind w:left="720" w:hanging="720"/>
        <w:contextualSpacing/>
        <w:rPr>
          <w:color w:val="000000" w:themeColor="text1"/>
          <w:shd w:val="clear" w:color="auto" w:fill="FFFFFF"/>
        </w:rPr>
      </w:pPr>
      <w:proofErr w:type="spellStart"/>
      <w:r w:rsidRPr="003A7D48">
        <w:rPr>
          <w:color w:val="000000" w:themeColor="text1"/>
          <w:shd w:val="clear" w:color="auto" w:fill="FFFFFF"/>
        </w:rPr>
        <w:t>Tyrer</w:t>
      </w:r>
      <w:proofErr w:type="spellEnd"/>
      <w:r w:rsidRPr="003A7D48">
        <w:rPr>
          <w:color w:val="000000" w:themeColor="text1"/>
          <w:shd w:val="clear" w:color="auto" w:fill="FFFFFF"/>
        </w:rPr>
        <w:t>, S., &amp; Heyman, B. (2016). Sampling in epidemiological research: issues, hazards and pitfalls. </w:t>
      </w:r>
      <w:proofErr w:type="spellStart"/>
      <w:r w:rsidRPr="003A7D48">
        <w:rPr>
          <w:i/>
          <w:iCs/>
          <w:color w:val="000000" w:themeColor="text1"/>
          <w:shd w:val="clear" w:color="auto" w:fill="FFFFFF"/>
        </w:rPr>
        <w:t>BJPsych</w:t>
      </w:r>
      <w:proofErr w:type="spellEnd"/>
      <w:r w:rsidRPr="003A7D48">
        <w:rPr>
          <w:i/>
          <w:iCs/>
          <w:color w:val="000000" w:themeColor="text1"/>
          <w:shd w:val="clear" w:color="auto" w:fill="FFFFFF"/>
        </w:rPr>
        <w:t xml:space="preserve"> bulletin</w:t>
      </w:r>
      <w:r w:rsidRPr="003A7D48">
        <w:rPr>
          <w:color w:val="000000" w:themeColor="text1"/>
          <w:shd w:val="clear" w:color="auto" w:fill="FFFFFF"/>
        </w:rPr>
        <w:t>, </w:t>
      </w:r>
      <w:r w:rsidRPr="003A7D48">
        <w:rPr>
          <w:i/>
          <w:iCs/>
          <w:color w:val="000000" w:themeColor="text1"/>
          <w:shd w:val="clear" w:color="auto" w:fill="FFFFFF"/>
        </w:rPr>
        <w:t>40</w:t>
      </w:r>
      <w:r w:rsidRPr="003A7D48">
        <w:rPr>
          <w:color w:val="000000" w:themeColor="text1"/>
          <w:shd w:val="clear" w:color="auto" w:fill="FFFFFF"/>
        </w:rPr>
        <w:t>(2), 57-60.</w:t>
      </w:r>
      <w:r w:rsidR="00184BF5" w:rsidRPr="00C40793">
        <w:rPr>
          <w:color w:val="000000" w:themeColor="text1"/>
          <w:shd w:val="clear" w:color="auto" w:fill="FFFFFF"/>
        </w:rPr>
        <w:t xml:space="preserve"> </w:t>
      </w:r>
      <w:hyperlink r:id="rId51" w:history="1">
        <w:r w:rsidR="00184BF5" w:rsidRPr="00C40793">
          <w:rPr>
            <w:rStyle w:val="Hyperlink"/>
            <w:color w:val="000000" w:themeColor="text1"/>
            <w:u w:val="none"/>
            <w:shd w:val="clear" w:color="auto" w:fill="FFFFFF"/>
          </w:rPr>
          <w:t>https://doi.org/10.1192/pb.bp.114.050203</w:t>
        </w:r>
      </w:hyperlink>
    </w:p>
    <w:p w14:paraId="000000C2" w14:textId="06E976A1" w:rsidR="00BF1871" w:rsidRPr="00C40793" w:rsidRDefault="003B18AD" w:rsidP="003A7D48">
      <w:pPr>
        <w:spacing w:line="480" w:lineRule="auto"/>
        <w:ind w:left="720" w:hanging="720"/>
        <w:contextualSpacing/>
        <w:rPr>
          <w:color w:val="000000" w:themeColor="text1"/>
          <w:highlight w:val="white"/>
        </w:rPr>
      </w:pPr>
      <w:r w:rsidRPr="00C40793">
        <w:rPr>
          <w:color w:val="000000" w:themeColor="text1"/>
          <w:highlight w:val="white"/>
        </w:rPr>
        <w:t xml:space="preserve">UN Women. (2013). </w:t>
      </w:r>
      <w:r w:rsidRPr="00C40793">
        <w:rPr>
          <w:i/>
          <w:color w:val="000000" w:themeColor="text1"/>
          <w:highlight w:val="white"/>
        </w:rPr>
        <w:t>Safe cities global initiative: In brief</w:t>
      </w:r>
      <w:r w:rsidRPr="00C40793">
        <w:rPr>
          <w:color w:val="000000" w:themeColor="text1"/>
          <w:highlight w:val="white"/>
        </w:rPr>
        <w:t xml:space="preserve">. Author. Retrieved from </w:t>
      </w:r>
      <w:hyperlink r:id="rId52">
        <w:r w:rsidRPr="00C40793">
          <w:rPr>
            <w:color w:val="000000" w:themeColor="text1"/>
            <w:highlight w:val="white"/>
          </w:rPr>
          <w:t>http://www2.unwomen.org/-/media/field%20office%20eseasia/docs/publications/2016/10/4un%20women%20safe%20cities%20brief-dec%202014-kbelen.pdf?vs=4948</w:t>
        </w:r>
      </w:hyperlink>
      <w:r w:rsidRPr="00C40793">
        <w:rPr>
          <w:color w:val="000000" w:themeColor="text1"/>
          <w:highlight w:val="white"/>
        </w:rPr>
        <w:t xml:space="preserve"> </w:t>
      </w:r>
    </w:p>
    <w:p w14:paraId="000000C8" w14:textId="0A27869F" w:rsidR="00BF1871" w:rsidRPr="00C40793" w:rsidRDefault="003B18AD" w:rsidP="003A7D48">
      <w:pPr>
        <w:spacing w:line="480" w:lineRule="auto"/>
        <w:ind w:left="720" w:hanging="720"/>
        <w:contextualSpacing/>
        <w:rPr>
          <w:color w:val="000000" w:themeColor="text1"/>
          <w:highlight w:val="white"/>
        </w:rPr>
      </w:pPr>
      <w:r w:rsidRPr="00C40793">
        <w:rPr>
          <w:color w:val="000000" w:themeColor="text1"/>
          <w:highlight w:val="white"/>
        </w:rPr>
        <w:t xml:space="preserve">Vargas, E. A., </w:t>
      </w:r>
      <w:proofErr w:type="spellStart"/>
      <w:r w:rsidRPr="00C40793">
        <w:rPr>
          <w:color w:val="000000" w:themeColor="text1"/>
          <w:highlight w:val="white"/>
        </w:rPr>
        <w:t>Brassel</w:t>
      </w:r>
      <w:proofErr w:type="spellEnd"/>
      <w:r w:rsidRPr="00C40793">
        <w:rPr>
          <w:color w:val="000000" w:themeColor="text1"/>
          <w:highlight w:val="white"/>
        </w:rPr>
        <w:t xml:space="preserve">, S. T., Cortina, L. M., Settles, I. H., Johnson, T. R., &amp; </w:t>
      </w:r>
      <w:proofErr w:type="spellStart"/>
      <w:r w:rsidRPr="00C40793">
        <w:rPr>
          <w:color w:val="000000" w:themeColor="text1"/>
          <w:highlight w:val="white"/>
        </w:rPr>
        <w:t>Jagsi</w:t>
      </w:r>
      <w:proofErr w:type="spellEnd"/>
      <w:r w:rsidRPr="00C40793">
        <w:rPr>
          <w:color w:val="000000" w:themeColor="text1"/>
          <w:highlight w:val="white"/>
        </w:rPr>
        <w:t xml:space="preserve">, R. (2020). # </w:t>
      </w:r>
      <w:proofErr w:type="spellStart"/>
      <w:r w:rsidRPr="00C40793">
        <w:rPr>
          <w:color w:val="000000" w:themeColor="text1"/>
          <w:highlight w:val="white"/>
        </w:rPr>
        <w:t>MedToo</w:t>
      </w:r>
      <w:proofErr w:type="spellEnd"/>
      <w:r w:rsidRPr="00C40793">
        <w:rPr>
          <w:color w:val="000000" w:themeColor="text1"/>
          <w:highlight w:val="white"/>
        </w:rPr>
        <w:t xml:space="preserve">: a large-scale examination of the incidence and impact of sexual harassment of physicians and other faculty at an academic medical </w:t>
      </w:r>
      <w:proofErr w:type="spellStart"/>
      <w:r w:rsidRPr="00C40793">
        <w:rPr>
          <w:color w:val="000000" w:themeColor="text1"/>
          <w:highlight w:val="white"/>
        </w:rPr>
        <w:t>center</w:t>
      </w:r>
      <w:proofErr w:type="spellEnd"/>
      <w:r w:rsidRPr="00C40793">
        <w:rPr>
          <w:color w:val="000000" w:themeColor="text1"/>
          <w:highlight w:val="white"/>
        </w:rPr>
        <w:t xml:space="preserve">. </w:t>
      </w:r>
      <w:r w:rsidRPr="00C40793">
        <w:rPr>
          <w:i/>
          <w:color w:val="000000" w:themeColor="text1"/>
          <w:highlight w:val="white"/>
        </w:rPr>
        <w:t>Journal of Women's Health</w:t>
      </w:r>
      <w:r w:rsidRPr="00C40793">
        <w:rPr>
          <w:color w:val="000000" w:themeColor="text1"/>
          <w:highlight w:val="white"/>
        </w:rPr>
        <w:t xml:space="preserve">, </w:t>
      </w:r>
      <w:r w:rsidRPr="00C40793">
        <w:rPr>
          <w:i/>
          <w:color w:val="000000" w:themeColor="text1"/>
          <w:highlight w:val="white"/>
        </w:rPr>
        <w:t>29</w:t>
      </w:r>
      <w:r w:rsidRPr="00C40793">
        <w:rPr>
          <w:color w:val="000000" w:themeColor="text1"/>
          <w:highlight w:val="white"/>
        </w:rPr>
        <w:t>(1), 13-20.</w:t>
      </w:r>
      <w:hyperlink r:id="rId53">
        <w:r w:rsidRPr="00C40793">
          <w:rPr>
            <w:color w:val="000000" w:themeColor="text1"/>
            <w:highlight w:val="white"/>
          </w:rPr>
          <w:t xml:space="preserve"> https://doi.org/10.1089/jwh.2019.7766</w:t>
        </w:r>
      </w:hyperlink>
    </w:p>
    <w:p w14:paraId="000000CA" w14:textId="06945D3B" w:rsidR="00BF1871" w:rsidRPr="00C40793" w:rsidRDefault="003B18AD" w:rsidP="003A7D48">
      <w:pPr>
        <w:spacing w:line="480" w:lineRule="auto"/>
        <w:ind w:left="720" w:hanging="720"/>
        <w:contextualSpacing/>
        <w:rPr>
          <w:color w:val="000000" w:themeColor="text1"/>
          <w:highlight w:val="white"/>
        </w:rPr>
      </w:pPr>
      <w:r w:rsidRPr="003A7D48">
        <w:rPr>
          <w:color w:val="000000" w:themeColor="text1"/>
          <w:highlight w:val="white"/>
          <w:lang w:val="es-ES"/>
        </w:rPr>
        <w:t xml:space="preserve">Villarreal Cueva, L. Á. (2019). </w:t>
      </w:r>
      <w:r w:rsidRPr="003A7D48">
        <w:rPr>
          <w:i/>
          <w:color w:val="000000" w:themeColor="text1"/>
          <w:highlight w:val="white"/>
          <w:lang w:val="es-ES"/>
        </w:rPr>
        <w:t>El acoso sexual en las Instituciones de Educación Superior caso: Facultad de Ciencias Administrativas de la Escuela Politécnica Nacional-EPN</w:t>
      </w:r>
      <w:r w:rsidRPr="003A7D48">
        <w:rPr>
          <w:color w:val="000000" w:themeColor="text1"/>
          <w:highlight w:val="white"/>
          <w:lang w:val="es-ES"/>
        </w:rPr>
        <w:t xml:space="preserve"> (</w:t>
      </w:r>
      <w:proofErr w:type="spellStart"/>
      <w:r w:rsidRPr="003A7D48">
        <w:rPr>
          <w:color w:val="000000" w:themeColor="text1"/>
          <w:highlight w:val="white"/>
          <w:lang w:val="es-ES"/>
        </w:rPr>
        <w:t>Bachelor's</w:t>
      </w:r>
      <w:proofErr w:type="spellEnd"/>
      <w:r w:rsidRPr="003A7D48">
        <w:rPr>
          <w:color w:val="000000" w:themeColor="text1"/>
          <w:highlight w:val="white"/>
          <w:lang w:val="es-ES"/>
        </w:rPr>
        <w:t xml:space="preserve"> </w:t>
      </w:r>
      <w:proofErr w:type="spellStart"/>
      <w:r w:rsidRPr="003A7D48">
        <w:rPr>
          <w:color w:val="000000" w:themeColor="text1"/>
          <w:highlight w:val="white"/>
          <w:lang w:val="es-ES"/>
        </w:rPr>
        <w:t>thesis</w:t>
      </w:r>
      <w:proofErr w:type="spellEnd"/>
      <w:r w:rsidRPr="003A7D48">
        <w:rPr>
          <w:color w:val="000000" w:themeColor="text1"/>
          <w:highlight w:val="white"/>
          <w:lang w:val="es-ES"/>
        </w:rPr>
        <w:t>, Quito, 2019.).</w:t>
      </w:r>
      <w:hyperlink r:id="rId54">
        <w:r w:rsidRPr="003A7D48">
          <w:rPr>
            <w:color w:val="000000" w:themeColor="text1"/>
            <w:highlight w:val="white"/>
            <w:lang w:val="es-ES"/>
          </w:rPr>
          <w:t xml:space="preserve"> </w:t>
        </w:r>
        <w:r w:rsidRPr="00C40793">
          <w:rPr>
            <w:color w:val="000000" w:themeColor="text1"/>
            <w:highlight w:val="white"/>
          </w:rPr>
          <w:t>http://bibdigital.epn.edu.ec/handle/15000/20312</w:t>
        </w:r>
      </w:hyperlink>
    </w:p>
    <w:p w14:paraId="5D1D85E6" w14:textId="50A6B367" w:rsidR="00184BF5" w:rsidRPr="00C40793" w:rsidRDefault="003B18AD" w:rsidP="00C703BD">
      <w:pPr>
        <w:spacing w:before="240" w:after="240" w:line="480" w:lineRule="auto"/>
        <w:ind w:left="720" w:hanging="720"/>
        <w:contextualSpacing/>
        <w:rPr>
          <w:color w:val="000000" w:themeColor="text1"/>
          <w:highlight w:val="white"/>
        </w:rPr>
      </w:pPr>
      <w:proofErr w:type="spellStart"/>
      <w:r w:rsidRPr="00C40793">
        <w:rPr>
          <w:color w:val="000000" w:themeColor="text1"/>
          <w:highlight w:val="white"/>
        </w:rPr>
        <w:t>Wamboldt</w:t>
      </w:r>
      <w:proofErr w:type="spellEnd"/>
      <w:r w:rsidRPr="00C40793">
        <w:rPr>
          <w:color w:val="000000" w:themeColor="text1"/>
          <w:highlight w:val="white"/>
        </w:rPr>
        <w:t xml:space="preserve">, A., Khan, S. R., </w:t>
      </w:r>
      <w:proofErr w:type="spellStart"/>
      <w:r w:rsidRPr="00C40793">
        <w:rPr>
          <w:color w:val="000000" w:themeColor="text1"/>
          <w:highlight w:val="white"/>
        </w:rPr>
        <w:t>Mellins</w:t>
      </w:r>
      <w:proofErr w:type="spellEnd"/>
      <w:r w:rsidRPr="00C40793">
        <w:rPr>
          <w:color w:val="000000" w:themeColor="text1"/>
          <w:highlight w:val="white"/>
        </w:rPr>
        <w:t xml:space="preserve">, C. A., &amp; Hirsch, J. S. (2019). Friends, strangers, and bystanders: Informal practices of sexual assault intervention. </w:t>
      </w:r>
      <w:r w:rsidRPr="00C40793">
        <w:rPr>
          <w:i/>
          <w:color w:val="000000" w:themeColor="text1"/>
          <w:highlight w:val="white"/>
        </w:rPr>
        <w:t xml:space="preserve">Global </w:t>
      </w:r>
      <w:r w:rsidR="00F95C9A" w:rsidRPr="00C40793">
        <w:rPr>
          <w:i/>
          <w:color w:val="000000" w:themeColor="text1"/>
          <w:highlight w:val="white"/>
        </w:rPr>
        <w:t>P</w:t>
      </w:r>
      <w:r w:rsidRPr="00C40793">
        <w:rPr>
          <w:i/>
          <w:color w:val="000000" w:themeColor="text1"/>
          <w:highlight w:val="white"/>
        </w:rPr>
        <w:t xml:space="preserve">ublic </w:t>
      </w:r>
      <w:r w:rsidR="00F95C9A" w:rsidRPr="00C40793">
        <w:rPr>
          <w:i/>
          <w:color w:val="000000" w:themeColor="text1"/>
          <w:highlight w:val="white"/>
        </w:rPr>
        <w:t>H</w:t>
      </w:r>
      <w:r w:rsidRPr="00C40793">
        <w:rPr>
          <w:i/>
          <w:color w:val="000000" w:themeColor="text1"/>
          <w:highlight w:val="white"/>
        </w:rPr>
        <w:t>ealth</w:t>
      </w:r>
      <w:r w:rsidRPr="00C40793">
        <w:rPr>
          <w:color w:val="000000" w:themeColor="text1"/>
          <w:highlight w:val="white"/>
        </w:rPr>
        <w:t xml:space="preserve">, </w:t>
      </w:r>
      <w:r w:rsidRPr="00C40793">
        <w:rPr>
          <w:i/>
          <w:color w:val="000000" w:themeColor="text1"/>
          <w:highlight w:val="white"/>
        </w:rPr>
        <w:t>14</w:t>
      </w:r>
      <w:r w:rsidRPr="00C40793">
        <w:rPr>
          <w:color w:val="000000" w:themeColor="text1"/>
          <w:highlight w:val="white"/>
        </w:rPr>
        <w:t>(1), 53-64.</w:t>
      </w:r>
      <w:hyperlink r:id="rId55">
        <w:r w:rsidRPr="00C40793">
          <w:rPr>
            <w:color w:val="000000" w:themeColor="text1"/>
            <w:highlight w:val="white"/>
          </w:rPr>
          <w:t xml:space="preserve"> https://doi.org/10.1080/17441692.2018.1472290</w:t>
        </w:r>
      </w:hyperlink>
    </w:p>
    <w:p w14:paraId="000000CE" w14:textId="5B15E38F" w:rsidR="00BF1871" w:rsidRPr="00C40793" w:rsidRDefault="003B18AD" w:rsidP="003A7D48">
      <w:pPr>
        <w:spacing w:before="240" w:after="240" w:line="480" w:lineRule="auto"/>
        <w:ind w:left="720" w:hanging="720"/>
        <w:contextualSpacing/>
        <w:rPr>
          <w:color w:val="000000" w:themeColor="text1"/>
          <w:highlight w:val="white"/>
        </w:rPr>
      </w:pPr>
      <w:r w:rsidRPr="00C40793">
        <w:rPr>
          <w:color w:val="000000" w:themeColor="text1"/>
          <w:highlight w:val="white"/>
        </w:rPr>
        <w:lastRenderedPageBreak/>
        <w:t xml:space="preserve">Witte, T. H., Casper, D. M., Hackman, C. L., &amp; Mulla, M. M. (2017). Bystander interventions for sexual assault and dating violence on college campuses: Are we putting bystanders in harm’s way? </w:t>
      </w:r>
      <w:r w:rsidRPr="00C40793">
        <w:rPr>
          <w:i/>
          <w:color w:val="000000" w:themeColor="text1"/>
          <w:highlight w:val="white"/>
        </w:rPr>
        <w:t>Journal of American College Health, 65</w:t>
      </w:r>
      <w:r w:rsidRPr="00C40793">
        <w:rPr>
          <w:color w:val="000000" w:themeColor="text1"/>
          <w:highlight w:val="white"/>
        </w:rPr>
        <w:t>(3), 149-157.</w:t>
      </w:r>
      <w:hyperlink r:id="rId56">
        <w:r w:rsidRPr="00C40793">
          <w:rPr>
            <w:color w:val="000000" w:themeColor="text1"/>
            <w:highlight w:val="white"/>
          </w:rPr>
          <w:t xml:space="preserve"> https://doi.org/10.1080/07448481.2016.1264407</w:t>
        </w:r>
      </w:hyperlink>
    </w:p>
    <w:p w14:paraId="07F7B195" w14:textId="44645F18" w:rsidR="00184BF5" w:rsidRPr="00C40793" w:rsidRDefault="004714EC" w:rsidP="00C703BD">
      <w:pPr>
        <w:spacing w:before="240" w:after="240" w:line="480" w:lineRule="auto"/>
        <w:ind w:left="720" w:hanging="720"/>
        <w:contextualSpacing/>
        <w:rPr>
          <w:color w:val="000000" w:themeColor="text1"/>
          <w:shd w:val="clear" w:color="auto" w:fill="FFFFFF"/>
        </w:rPr>
      </w:pPr>
      <w:r w:rsidRPr="003A7D48">
        <w:rPr>
          <w:color w:val="000000" w:themeColor="text1"/>
          <w:shd w:val="clear" w:color="auto" w:fill="FFFFFF"/>
        </w:rPr>
        <w:t>Yapp, E. J., &amp; Quayle, E. (2018). A systematic review of the association between rape myth acceptance and male-on-female sexual violence. </w:t>
      </w:r>
      <w:r w:rsidRPr="003A7D48">
        <w:rPr>
          <w:i/>
          <w:iCs/>
          <w:color w:val="000000" w:themeColor="text1"/>
          <w:shd w:val="clear" w:color="auto" w:fill="FFFFFF"/>
        </w:rPr>
        <w:t xml:space="preserve">Aggression and violent </w:t>
      </w:r>
      <w:proofErr w:type="spellStart"/>
      <w:r w:rsidRPr="003A7D48">
        <w:rPr>
          <w:i/>
          <w:iCs/>
          <w:color w:val="000000" w:themeColor="text1"/>
          <w:shd w:val="clear" w:color="auto" w:fill="FFFFFF"/>
        </w:rPr>
        <w:t>behavior</w:t>
      </w:r>
      <w:proofErr w:type="spellEnd"/>
      <w:r w:rsidRPr="003A7D48">
        <w:rPr>
          <w:color w:val="000000" w:themeColor="text1"/>
          <w:shd w:val="clear" w:color="auto" w:fill="FFFFFF"/>
        </w:rPr>
        <w:t>, </w:t>
      </w:r>
      <w:r w:rsidRPr="003A7D48">
        <w:rPr>
          <w:i/>
          <w:iCs/>
          <w:color w:val="000000" w:themeColor="text1"/>
          <w:shd w:val="clear" w:color="auto" w:fill="FFFFFF"/>
        </w:rPr>
        <w:t>41</w:t>
      </w:r>
      <w:r w:rsidRPr="003A7D48">
        <w:rPr>
          <w:color w:val="000000" w:themeColor="text1"/>
          <w:shd w:val="clear" w:color="auto" w:fill="FFFFFF"/>
        </w:rPr>
        <w:t>, 1-19.</w:t>
      </w:r>
      <w:r w:rsidR="00184BF5" w:rsidRPr="00C40793">
        <w:rPr>
          <w:color w:val="000000" w:themeColor="text1"/>
          <w:shd w:val="clear" w:color="auto" w:fill="FFFFFF"/>
        </w:rPr>
        <w:t xml:space="preserve"> </w:t>
      </w:r>
      <w:hyperlink r:id="rId57" w:history="1">
        <w:r w:rsidR="00184BF5" w:rsidRPr="00C40793">
          <w:rPr>
            <w:rStyle w:val="Hyperlink"/>
            <w:color w:val="000000" w:themeColor="text1"/>
            <w:u w:val="none"/>
            <w:shd w:val="clear" w:color="auto" w:fill="FFFFFF"/>
          </w:rPr>
          <w:t>https://doi.org/10.1016/j.avb.2018.05.002</w:t>
        </w:r>
      </w:hyperlink>
    </w:p>
    <w:p w14:paraId="6795DA3A" w14:textId="7AE1D149" w:rsidR="00184BF5" w:rsidRPr="00C40793" w:rsidRDefault="00CC5E4B" w:rsidP="00C703BD">
      <w:pPr>
        <w:spacing w:line="480" w:lineRule="auto"/>
        <w:ind w:left="720" w:hanging="720"/>
        <w:contextualSpacing/>
        <w:rPr>
          <w:color w:val="000000" w:themeColor="text1"/>
          <w:shd w:val="clear" w:color="auto" w:fill="FFFFFF"/>
        </w:rPr>
      </w:pPr>
      <w:r w:rsidRPr="003A7D48">
        <w:rPr>
          <w:color w:val="000000" w:themeColor="text1"/>
          <w:shd w:val="clear" w:color="auto" w:fill="FFFFFF"/>
        </w:rPr>
        <w:t xml:space="preserve">Yule, K., &amp; </w:t>
      </w:r>
      <w:proofErr w:type="spellStart"/>
      <w:r w:rsidRPr="003A7D48">
        <w:rPr>
          <w:color w:val="000000" w:themeColor="text1"/>
          <w:shd w:val="clear" w:color="auto" w:fill="FFFFFF"/>
        </w:rPr>
        <w:t>Grych</w:t>
      </w:r>
      <w:proofErr w:type="spellEnd"/>
      <w:r w:rsidRPr="003A7D48">
        <w:rPr>
          <w:color w:val="000000" w:themeColor="text1"/>
          <w:shd w:val="clear" w:color="auto" w:fill="FFFFFF"/>
        </w:rPr>
        <w:t>, J. (2020). College students’ perceptions of barriers to bystander intervention. </w:t>
      </w:r>
      <w:r w:rsidRPr="003A7D48">
        <w:rPr>
          <w:i/>
          <w:iCs/>
          <w:color w:val="000000" w:themeColor="text1"/>
          <w:shd w:val="clear" w:color="auto" w:fill="FFFFFF"/>
        </w:rPr>
        <w:t>Journal of interpersonal violence</w:t>
      </w:r>
      <w:r w:rsidRPr="003A7D48">
        <w:rPr>
          <w:color w:val="000000" w:themeColor="text1"/>
          <w:shd w:val="clear" w:color="auto" w:fill="FFFFFF"/>
        </w:rPr>
        <w:t>, </w:t>
      </w:r>
      <w:r w:rsidRPr="003A7D48">
        <w:rPr>
          <w:i/>
          <w:iCs/>
          <w:color w:val="000000" w:themeColor="text1"/>
          <w:shd w:val="clear" w:color="auto" w:fill="FFFFFF"/>
        </w:rPr>
        <w:t>35</w:t>
      </w:r>
      <w:r w:rsidRPr="003A7D48">
        <w:rPr>
          <w:color w:val="000000" w:themeColor="text1"/>
          <w:shd w:val="clear" w:color="auto" w:fill="FFFFFF"/>
        </w:rPr>
        <w:t>(15-16), 2971-2992.</w:t>
      </w:r>
      <w:r w:rsidR="00184BF5" w:rsidRPr="00C40793">
        <w:rPr>
          <w:color w:val="000000" w:themeColor="text1"/>
          <w:shd w:val="clear" w:color="auto" w:fill="FFFFFF"/>
        </w:rPr>
        <w:t xml:space="preserve"> </w:t>
      </w:r>
      <w:hyperlink r:id="rId58" w:history="1">
        <w:r w:rsidR="00184BF5" w:rsidRPr="00C40793">
          <w:rPr>
            <w:rStyle w:val="Hyperlink"/>
            <w:color w:val="000000" w:themeColor="text1"/>
            <w:u w:val="none"/>
            <w:shd w:val="clear" w:color="auto" w:fill="FFFFFF"/>
          </w:rPr>
          <w:t>https://doi.org/10.1177%2F0886260517706764</w:t>
        </w:r>
      </w:hyperlink>
    </w:p>
    <w:p w14:paraId="000000D0" w14:textId="3BC378AF" w:rsidR="00BF1871" w:rsidRPr="00C40793" w:rsidRDefault="003B18AD" w:rsidP="003A7D48">
      <w:pPr>
        <w:spacing w:line="480" w:lineRule="auto"/>
        <w:ind w:left="720" w:hanging="720"/>
        <w:contextualSpacing/>
        <w:rPr>
          <w:color w:val="000000" w:themeColor="text1"/>
          <w:highlight w:val="white"/>
        </w:rPr>
      </w:pPr>
      <w:r w:rsidRPr="00C40793">
        <w:rPr>
          <w:color w:val="000000" w:themeColor="text1"/>
          <w:highlight w:val="white"/>
        </w:rPr>
        <w:t xml:space="preserve">Yule, K., </w:t>
      </w:r>
      <w:proofErr w:type="spellStart"/>
      <w:r w:rsidRPr="00C40793">
        <w:rPr>
          <w:color w:val="000000" w:themeColor="text1"/>
          <w:highlight w:val="white"/>
        </w:rPr>
        <w:t>Hoxmeier</w:t>
      </w:r>
      <w:proofErr w:type="spellEnd"/>
      <w:r w:rsidRPr="00C40793">
        <w:rPr>
          <w:color w:val="000000" w:themeColor="text1"/>
          <w:highlight w:val="white"/>
        </w:rPr>
        <w:t xml:space="preserve">, J. C., </w:t>
      </w:r>
      <w:proofErr w:type="spellStart"/>
      <w:r w:rsidRPr="00C40793">
        <w:rPr>
          <w:color w:val="000000" w:themeColor="text1"/>
          <w:highlight w:val="white"/>
        </w:rPr>
        <w:t>Petranu</w:t>
      </w:r>
      <w:proofErr w:type="spellEnd"/>
      <w:r w:rsidRPr="00C40793">
        <w:rPr>
          <w:color w:val="000000" w:themeColor="text1"/>
          <w:highlight w:val="white"/>
        </w:rPr>
        <w:t xml:space="preserve">, K., &amp; </w:t>
      </w:r>
      <w:proofErr w:type="spellStart"/>
      <w:r w:rsidRPr="00C40793">
        <w:rPr>
          <w:color w:val="000000" w:themeColor="text1"/>
          <w:highlight w:val="white"/>
        </w:rPr>
        <w:t>Grych</w:t>
      </w:r>
      <w:proofErr w:type="spellEnd"/>
      <w:r w:rsidRPr="00C40793">
        <w:rPr>
          <w:color w:val="000000" w:themeColor="text1"/>
          <w:highlight w:val="white"/>
        </w:rPr>
        <w:t xml:space="preserve">, J. (2020). The </w:t>
      </w:r>
      <w:r w:rsidR="00F95C9A" w:rsidRPr="00C40793">
        <w:rPr>
          <w:color w:val="000000" w:themeColor="text1"/>
          <w:highlight w:val="white"/>
        </w:rPr>
        <w:t>c</w:t>
      </w:r>
      <w:r w:rsidRPr="00C40793">
        <w:rPr>
          <w:color w:val="000000" w:themeColor="text1"/>
          <w:highlight w:val="white"/>
        </w:rPr>
        <w:t xml:space="preserve">hivalrous </w:t>
      </w:r>
      <w:r w:rsidR="00F95C9A" w:rsidRPr="00C40793">
        <w:rPr>
          <w:color w:val="000000" w:themeColor="text1"/>
          <w:highlight w:val="white"/>
        </w:rPr>
        <w:t>b</w:t>
      </w:r>
      <w:r w:rsidRPr="00C40793">
        <w:rPr>
          <w:color w:val="000000" w:themeColor="text1"/>
          <w:highlight w:val="white"/>
        </w:rPr>
        <w:t xml:space="preserve">ystander: The </w:t>
      </w:r>
      <w:r w:rsidR="00F95C9A" w:rsidRPr="00C40793">
        <w:rPr>
          <w:color w:val="000000" w:themeColor="text1"/>
          <w:highlight w:val="white"/>
        </w:rPr>
        <w:t>r</w:t>
      </w:r>
      <w:r w:rsidRPr="00C40793">
        <w:rPr>
          <w:color w:val="000000" w:themeColor="text1"/>
          <w:highlight w:val="white"/>
        </w:rPr>
        <w:t xml:space="preserve">ole of </w:t>
      </w:r>
      <w:r w:rsidR="00F95C9A" w:rsidRPr="00C40793">
        <w:rPr>
          <w:color w:val="000000" w:themeColor="text1"/>
          <w:highlight w:val="white"/>
        </w:rPr>
        <w:t>g</w:t>
      </w:r>
      <w:r w:rsidRPr="00C40793">
        <w:rPr>
          <w:color w:val="000000" w:themeColor="text1"/>
          <w:highlight w:val="white"/>
        </w:rPr>
        <w:t>ender-</w:t>
      </w:r>
      <w:r w:rsidR="00F95C9A" w:rsidRPr="00C40793">
        <w:rPr>
          <w:color w:val="000000" w:themeColor="text1"/>
          <w:highlight w:val="white"/>
        </w:rPr>
        <w:t>b</w:t>
      </w:r>
      <w:r w:rsidRPr="00C40793">
        <w:rPr>
          <w:color w:val="000000" w:themeColor="text1"/>
          <w:highlight w:val="white"/>
        </w:rPr>
        <w:t xml:space="preserve">ased </w:t>
      </w:r>
      <w:r w:rsidR="00F95C9A" w:rsidRPr="00C40793">
        <w:rPr>
          <w:color w:val="000000" w:themeColor="text1"/>
          <w:highlight w:val="white"/>
        </w:rPr>
        <w:t>b</w:t>
      </w:r>
      <w:r w:rsidRPr="00C40793">
        <w:rPr>
          <w:color w:val="000000" w:themeColor="text1"/>
          <w:highlight w:val="white"/>
        </w:rPr>
        <w:t xml:space="preserve">eliefs and </w:t>
      </w:r>
      <w:r w:rsidR="00F95C9A" w:rsidRPr="00C40793">
        <w:rPr>
          <w:color w:val="000000" w:themeColor="text1"/>
          <w:highlight w:val="white"/>
        </w:rPr>
        <w:t>e</w:t>
      </w:r>
      <w:r w:rsidRPr="00C40793">
        <w:rPr>
          <w:color w:val="000000" w:themeColor="text1"/>
          <w:highlight w:val="white"/>
        </w:rPr>
        <w:t xml:space="preserve">mpathy on </w:t>
      </w:r>
      <w:r w:rsidR="00F95C9A" w:rsidRPr="00C40793">
        <w:rPr>
          <w:color w:val="000000" w:themeColor="text1"/>
          <w:highlight w:val="white"/>
        </w:rPr>
        <w:t>b</w:t>
      </w:r>
      <w:r w:rsidRPr="00C40793">
        <w:rPr>
          <w:color w:val="000000" w:themeColor="text1"/>
          <w:highlight w:val="white"/>
        </w:rPr>
        <w:t xml:space="preserve">ystander </w:t>
      </w:r>
      <w:proofErr w:type="spellStart"/>
      <w:r w:rsidR="00F95C9A" w:rsidRPr="00C40793">
        <w:rPr>
          <w:color w:val="000000" w:themeColor="text1"/>
          <w:highlight w:val="white"/>
        </w:rPr>
        <w:t>b</w:t>
      </w:r>
      <w:r w:rsidRPr="00C40793">
        <w:rPr>
          <w:color w:val="000000" w:themeColor="text1"/>
          <w:highlight w:val="white"/>
        </w:rPr>
        <w:t>ehavior</w:t>
      </w:r>
      <w:proofErr w:type="spellEnd"/>
      <w:r w:rsidRPr="00C40793">
        <w:rPr>
          <w:color w:val="000000" w:themeColor="text1"/>
          <w:highlight w:val="white"/>
        </w:rPr>
        <w:t xml:space="preserve"> and </w:t>
      </w:r>
      <w:r w:rsidR="00F95C9A" w:rsidRPr="00C40793">
        <w:rPr>
          <w:color w:val="000000" w:themeColor="text1"/>
          <w:highlight w:val="white"/>
        </w:rPr>
        <w:t>p</w:t>
      </w:r>
      <w:r w:rsidRPr="00C40793">
        <w:rPr>
          <w:color w:val="000000" w:themeColor="text1"/>
          <w:highlight w:val="white"/>
        </w:rPr>
        <w:t xml:space="preserve">erceived </w:t>
      </w:r>
      <w:r w:rsidR="00F95C9A" w:rsidRPr="00C40793">
        <w:rPr>
          <w:color w:val="000000" w:themeColor="text1"/>
          <w:highlight w:val="white"/>
        </w:rPr>
        <w:t>b</w:t>
      </w:r>
      <w:r w:rsidRPr="00C40793">
        <w:rPr>
          <w:color w:val="000000" w:themeColor="text1"/>
          <w:highlight w:val="white"/>
        </w:rPr>
        <w:t xml:space="preserve">arriers to </w:t>
      </w:r>
      <w:r w:rsidR="00F95C9A" w:rsidRPr="00C40793">
        <w:rPr>
          <w:color w:val="000000" w:themeColor="text1"/>
          <w:highlight w:val="white"/>
        </w:rPr>
        <w:t>i</w:t>
      </w:r>
      <w:r w:rsidRPr="00C40793">
        <w:rPr>
          <w:color w:val="000000" w:themeColor="text1"/>
          <w:highlight w:val="white"/>
        </w:rPr>
        <w:t xml:space="preserve">ntervention. </w:t>
      </w:r>
      <w:r w:rsidRPr="00C40793">
        <w:rPr>
          <w:i/>
          <w:color w:val="000000" w:themeColor="text1"/>
          <w:highlight w:val="white"/>
        </w:rPr>
        <w:t>Journal of Interpersonal Violence</w:t>
      </w:r>
      <w:r w:rsidRPr="00C40793">
        <w:rPr>
          <w:color w:val="000000" w:themeColor="text1"/>
          <w:highlight w:val="white"/>
        </w:rPr>
        <w:t>.</w:t>
      </w:r>
      <w:hyperlink r:id="rId59">
        <w:r w:rsidRPr="00C40793">
          <w:rPr>
            <w:color w:val="000000" w:themeColor="text1"/>
            <w:highlight w:val="white"/>
          </w:rPr>
          <w:t xml:space="preserve"> https://doi.org/10.1177/0886260520916277</w:t>
        </w:r>
      </w:hyperlink>
    </w:p>
    <w:p w14:paraId="000000D2" w14:textId="6484F655" w:rsidR="00BF1871" w:rsidRPr="003A7D48" w:rsidRDefault="003B18AD" w:rsidP="003A7D48">
      <w:pPr>
        <w:spacing w:before="240" w:after="240" w:line="480" w:lineRule="auto"/>
        <w:ind w:left="720" w:hanging="720"/>
        <w:contextualSpacing/>
        <w:rPr>
          <w:color w:val="000000" w:themeColor="text1"/>
          <w:highlight w:val="white"/>
          <w:lang w:val="es-ES"/>
        </w:rPr>
      </w:pPr>
      <w:proofErr w:type="spellStart"/>
      <w:r w:rsidRPr="00C40793">
        <w:rPr>
          <w:color w:val="000000" w:themeColor="text1"/>
          <w:highlight w:val="white"/>
        </w:rPr>
        <w:t>Zietz</w:t>
      </w:r>
      <w:proofErr w:type="spellEnd"/>
      <w:r w:rsidRPr="00C40793">
        <w:rPr>
          <w:color w:val="000000" w:themeColor="text1"/>
          <w:highlight w:val="white"/>
        </w:rPr>
        <w:t xml:space="preserve">, S., &amp; Das, M. (2018). ‘Nobody teases good girls’: A qualitative study on perceptions of sexual harassment among young men in a slum of Mumbai. </w:t>
      </w:r>
      <w:r w:rsidRPr="003A7D48">
        <w:rPr>
          <w:i/>
          <w:color w:val="000000" w:themeColor="text1"/>
          <w:highlight w:val="white"/>
          <w:lang w:val="es-ES"/>
        </w:rPr>
        <w:t xml:space="preserve">Global </w:t>
      </w:r>
      <w:r w:rsidR="00F95C9A" w:rsidRPr="003A7D48">
        <w:rPr>
          <w:i/>
          <w:color w:val="000000" w:themeColor="text1"/>
          <w:highlight w:val="white"/>
          <w:lang w:val="es-ES"/>
        </w:rPr>
        <w:t>P</w:t>
      </w:r>
      <w:r w:rsidRPr="003A7D48">
        <w:rPr>
          <w:i/>
          <w:color w:val="000000" w:themeColor="text1"/>
          <w:highlight w:val="white"/>
          <w:lang w:val="es-ES"/>
        </w:rPr>
        <w:t xml:space="preserve">ublic </w:t>
      </w:r>
      <w:r w:rsidR="00F95C9A" w:rsidRPr="003A7D48">
        <w:rPr>
          <w:i/>
          <w:color w:val="000000" w:themeColor="text1"/>
          <w:highlight w:val="white"/>
          <w:lang w:val="es-ES"/>
        </w:rPr>
        <w:t>H</w:t>
      </w:r>
      <w:r w:rsidRPr="003A7D48">
        <w:rPr>
          <w:i/>
          <w:color w:val="000000" w:themeColor="text1"/>
          <w:highlight w:val="white"/>
          <w:lang w:val="es-ES"/>
        </w:rPr>
        <w:t>ealth</w:t>
      </w:r>
      <w:r w:rsidRPr="003A7D48">
        <w:rPr>
          <w:color w:val="000000" w:themeColor="text1"/>
          <w:highlight w:val="white"/>
          <w:lang w:val="es-ES"/>
        </w:rPr>
        <w:t xml:space="preserve">, </w:t>
      </w:r>
      <w:r w:rsidRPr="003A7D48">
        <w:rPr>
          <w:i/>
          <w:color w:val="000000" w:themeColor="text1"/>
          <w:highlight w:val="white"/>
          <w:lang w:val="es-ES"/>
        </w:rPr>
        <w:t>13</w:t>
      </w:r>
      <w:r w:rsidRPr="003A7D48">
        <w:rPr>
          <w:color w:val="000000" w:themeColor="text1"/>
          <w:highlight w:val="white"/>
          <w:lang w:val="es-ES"/>
        </w:rPr>
        <w:t>(9), 1229-1240.</w:t>
      </w:r>
      <w:hyperlink r:id="rId60">
        <w:r w:rsidRPr="003A7D48">
          <w:rPr>
            <w:color w:val="000000" w:themeColor="text1"/>
            <w:highlight w:val="white"/>
            <w:lang w:val="es-ES"/>
          </w:rPr>
          <w:t xml:space="preserve"> https://doi.org/10.1080/17441692.2017.1335337</w:t>
        </w:r>
      </w:hyperlink>
      <w:r w:rsidRPr="003A7D48">
        <w:rPr>
          <w:color w:val="000000" w:themeColor="text1"/>
          <w:highlight w:val="white"/>
          <w:lang w:val="es-ES"/>
        </w:rPr>
        <w:t xml:space="preserve"> </w:t>
      </w:r>
    </w:p>
    <w:p w14:paraId="0072E8C6" w14:textId="527A10B5" w:rsidR="004C01C6" w:rsidRPr="003A7D48" w:rsidRDefault="003B18AD" w:rsidP="003A7D48">
      <w:pPr>
        <w:spacing w:line="480" w:lineRule="auto"/>
        <w:ind w:left="720" w:hanging="720"/>
        <w:contextualSpacing/>
        <w:rPr>
          <w:color w:val="000000" w:themeColor="text1"/>
        </w:rPr>
      </w:pPr>
      <w:r w:rsidRPr="003A7D48">
        <w:rPr>
          <w:color w:val="000000" w:themeColor="text1"/>
          <w:highlight w:val="white"/>
          <w:lang w:val="es-ES"/>
        </w:rPr>
        <w:t xml:space="preserve">Zúñiga-Salazar, E., &amp; Pillajo, L. (2017). Prevención de </w:t>
      </w:r>
      <w:proofErr w:type="spellStart"/>
      <w:r w:rsidRPr="003A7D48">
        <w:rPr>
          <w:color w:val="000000" w:themeColor="text1"/>
          <w:highlight w:val="white"/>
          <w:lang w:val="es-ES"/>
        </w:rPr>
        <w:t>bullying</w:t>
      </w:r>
      <w:proofErr w:type="spellEnd"/>
      <w:r w:rsidRPr="003A7D48">
        <w:rPr>
          <w:color w:val="000000" w:themeColor="text1"/>
          <w:highlight w:val="white"/>
          <w:lang w:val="es-ES"/>
        </w:rPr>
        <w:t xml:space="preserve"> homofóbico en Quito. In </w:t>
      </w:r>
      <w:r w:rsidRPr="003A7D48">
        <w:rPr>
          <w:i/>
          <w:color w:val="000000" w:themeColor="text1"/>
          <w:highlight w:val="white"/>
          <w:lang w:val="es-ES"/>
        </w:rPr>
        <w:t>VI Congreso Internacional de Investigación de la Facultad de Psicología de la Universidad Nacional de La Plata (La Plata, 2017)</w:t>
      </w:r>
      <w:r w:rsidRPr="003A7D48">
        <w:rPr>
          <w:color w:val="000000" w:themeColor="text1"/>
          <w:highlight w:val="white"/>
          <w:lang w:val="es-ES"/>
        </w:rPr>
        <w:t>.</w:t>
      </w:r>
      <w:r w:rsidR="0057073C" w:rsidRPr="00C40793">
        <w:rPr>
          <w:color w:val="000000" w:themeColor="text1"/>
          <w:lang w:val="es-ES"/>
        </w:rPr>
        <w:t xml:space="preserve"> </w:t>
      </w:r>
      <w:hyperlink r:id="rId61" w:history="1">
        <w:r w:rsidR="0057073C" w:rsidRPr="00C40793">
          <w:rPr>
            <w:rStyle w:val="Hyperlink"/>
            <w:color w:val="000000" w:themeColor="text1"/>
            <w:u w:val="none"/>
          </w:rPr>
          <w:t>http://sedici.unlp.edu.ar/handle/10915/68962</w:t>
        </w:r>
      </w:hyperlink>
    </w:p>
    <w:p w14:paraId="000000D4" w14:textId="77777777" w:rsidR="00BF1871" w:rsidRPr="003A7D48" w:rsidRDefault="003B18AD" w:rsidP="00C703BD">
      <w:pPr>
        <w:spacing w:line="480" w:lineRule="auto"/>
        <w:ind w:left="785" w:hanging="720"/>
        <w:contextualSpacing/>
        <w:rPr>
          <w:highlight w:val="white"/>
          <w:lang w:val="es-ES"/>
        </w:rPr>
      </w:pPr>
      <w:r w:rsidRPr="003A7D48">
        <w:rPr>
          <w:highlight w:val="white"/>
          <w:lang w:val="es-ES"/>
        </w:rPr>
        <w:t xml:space="preserve"> </w:t>
      </w:r>
    </w:p>
    <w:p w14:paraId="000000D5" w14:textId="77777777" w:rsidR="00BF1871" w:rsidRPr="003A7D48" w:rsidRDefault="00BF1871">
      <w:pPr>
        <w:spacing w:line="480" w:lineRule="auto"/>
        <w:ind w:left="720"/>
        <w:jc w:val="both"/>
        <w:rPr>
          <w:lang w:val="es-ES"/>
        </w:rPr>
      </w:pPr>
    </w:p>
    <w:p w14:paraId="000000D6" w14:textId="77777777" w:rsidR="00BF1871" w:rsidRPr="003A7D48" w:rsidRDefault="00BF1871">
      <w:pPr>
        <w:spacing w:line="480" w:lineRule="auto"/>
        <w:jc w:val="both"/>
        <w:rPr>
          <w:lang w:val="es-ES"/>
        </w:rPr>
      </w:pPr>
    </w:p>
    <w:p w14:paraId="000000D7" w14:textId="77777777" w:rsidR="00BF1871" w:rsidRPr="003A7D48" w:rsidRDefault="00BF1871">
      <w:pPr>
        <w:rPr>
          <w:color w:val="000000"/>
          <w:lang w:val="es-ES"/>
        </w:rPr>
      </w:pPr>
    </w:p>
    <w:p w14:paraId="000000D8" w14:textId="66AD8A96" w:rsidR="00192194" w:rsidRPr="003A7D48" w:rsidRDefault="00192194">
      <w:pPr>
        <w:rPr>
          <w:rFonts w:ascii="AdvOTb65e897d.B" w:eastAsia="AdvOTb65e897d.B" w:hAnsi="AdvOTb65e897d.B" w:cs="AdvOTb65e897d.B"/>
          <w:color w:val="000000"/>
          <w:sz w:val="19"/>
          <w:szCs w:val="19"/>
          <w:lang w:val="es-ES"/>
        </w:rPr>
      </w:pPr>
      <w:r w:rsidRPr="003A7D48">
        <w:rPr>
          <w:rFonts w:ascii="AdvOTb65e897d.B" w:eastAsia="AdvOTb65e897d.B" w:hAnsi="AdvOTb65e897d.B" w:cs="AdvOTb65e897d.B"/>
          <w:color w:val="000000"/>
          <w:sz w:val="19"/>
          <w:szCs w:val="19"/>
          <w:lang w:val="es-ES"/>
        </w:rPr>
        <w:br w:type="page"/>
      </w:r>
    </w:p>
    <w:p w14:paraId="2AAA7B21" w14:textId="77777777" w:rsidR="00BF1871" w:rsidRPr="003A7D48" w:rsidRDefault="00BF1871">
      <w:pPr>
        <w:rPr>
          <w:rFonts w:ascii="AdvOTb65e897d.B" w:eastAsia="AdvOTb65e897d.B" w:hAnsi="AdvOTb65e897d.B" w:cs="AdvOTb65e897d.B"/>
          <w:color w:val="000000"/>
          <w:sz w:val="19"/>
          <w:szCs w:val="19"/>
          <w:lang w:val="es-ES"/>
        </w:rPr>
      </w:pPr>
    </w:p>
    <w:p w14:paraId="000000D9" w14:textId="77777777" w:rsidR="00BF1871" w:rsidRPr="003A7D48" w:rsidRDefault="00BF1871">
      <w:pPr>
        <w:rPr>
          <w:rFonts w:ascii="AdvOTb65e897d.B" w:eastAsia="AdvOTb65e897d.B" w:hAnsi="AdvOTb65e897d.B" w:cs="AdvOTb65e897d.B"/>
          <w:color w:val="000000"/>
          <w:sz w:val="19"/>
          <w:szCs w:val="19"/>
          <w:lang w:val="es-ES"/>
        </w:rPr>
      </w:pPr>
    </w:p>
    <w:p w14:paraId="20329E68" w14:textId="77777777" w:rsidR="00670867" w:rsidRPr="009632F1" w:rsidRDefault="00670867" w:rsidP="00670867">
      <w:pPr>
        <w:spacing w:line="480" w:lineRule="auto"/>
        <w:rPr>
          <w:sz w:val="20"/>
          <w:szCs w:val="20"/>
        </w:rPr>
      </w:pPr>
      <w:r w:rsidRPr="009632F1">
        <w:rPr>
          <w:b/>
          <w:sz w:val="20"/>
          <w:szCs w:val="20"/>
        </w:rPr>
        <w:t>Table 1. Descriptive data for main continuous measures.</w:t>
      </w:r>
    </w:p>
    <w:tbl>
      <w:tblPr>
        <w:tblW w:w="10232" w:type="dxa"/>
        <w:tblBorders>
          <w:top w:val="nil"/>
          <w:left w:val="nil"/>
          <w:bottom w:val="nil"/>
          <w:right w:val="nil"/>
          <w:insideH w:val="nil"/>
          <w:insideV w:val="nil"/>
        </w:tblBorders>
        <w:tblLayout w:type="fixed"/>
        <w:tblLook w:val="0600" w:firstRow="0" w:lastRow="0" w:firstColumn="0" w:lastColumn="0" w:noHBand="1" w:noVBand="1"/>
      </w:tblPr>
      <w:tblGrid>
        <w:gridCol w:w="1518"/>
        <w:gridCol w:w="282"/>
        <w:gridCol w:w="585"/>
        <w:gridCol w:w="765"/>
        <w:gridCol w:w="1110"/>
        <w:gridCol w:w="802"/>
        <w:gridCol w:w="850"/>
        <w:gridCol w:w="992"/>
        <w:gridCol w:w="142"/>
        <w:gridCol w:w="1161"/>
        <w:gridCol w:w="115"/>
        <w:gridCol w:w="709"/>
        <w:gridCol w:w="1201"/>
      </w:tblGrid>
      <w:tr w:rsidR="009632F1" w:rsidRPr="009632F1" w14:paraId="104FA410" w14:textId="77777777" w:rsidTr="009632F1">
        <w:trPr>
          <w:trHeight w:val="1025"/>
        </w:trPr>
        <w:tc>
          <w:tcPr>
            <w:tcW w:w="1518" w:type="dxa"/>
            <w:tcBorders>
              <w:top w:val="single" w:sz="8" w:space="0" w:color="000000"/>
              <w:left w:val="nil"/>
              <w:bottom w:val="single" w:sz="8" w:space="0" w:color="000000"/>
              <w:right w:val="nil"/>
            </w:tcBorders>
            <w:tcMar>
              <w:top w:w="100" w:type="dxa"/>
              <w:left w:w="100" w:type="dxa"/>
              <w:bottom w:w="100" w:type="dxa"/>
              <w:right w:w="100" w:type="dxa"/>
            </w:tcMar>
          </w:tcPr>
          <w:p w14:paraId="50F3B7CC" w14:textId="77777777" w:rsidR="00670867" w:rsidRPr="009632F1" w:rsidRDefault="00670867" w:rsidP="008241B3">
            <w:pPr>
              <w:rPr>
                <w:sz w:val="20"/>
                <w:szCs w:val="20"/>
              </w:rPr>
            </w:pPr>
            <w:r w:rsidRPr="009632F1">
              <w:rPr>
                <w:sz w:val="20"/>
                <w:szCs w:val="20"/>
              </w:rPr>
              <w:t xml:space="preserve"> </w:t>
            </w:r>
          </w:p>
        </w:tc>
        <w:tc>
          <w:tcPr>
            <w:tcW w:w="282" w:type="dxa"/>
            <w:tcBorders>
              <w:top w:val="single" w:sz="8" w:space="0" w:color="000000"/>
              <w:left w:val="nil"/>
              <w:bottom w:val="single" w:sz="8" w:space="0" w:color="000000"/>
              <w:right w:val="nil"/>
            </w:tcBorders>
            <w:tcMar>
              <w:top w:w="100" w:type="dxa"/>
              <w:left w:w="100" w:type="dxa"/>
              <w:bottom w:w="100" w:type="dxa"/>
              <w:right w:w="100" w:type="dxa"/>
            </w:tcMar>
          </w:tcPr>
          <w:p w14:paraId="30DEF9E8" w14:textId="77777777" w:rsidR="00670867" w:rsidRPr="009632F1" w:rsidRDefault="00670867" w:rsidP="008241B3">
            <w:pPr>
              <w:rPr>
                <w:sz w:val="20"/>
                <w:szCs w:val="20"/>
              </w:rPr>
            </w:pPr>
            <w:r w:rsidRPr="009632F1">
              <w:rPr>
                <w:sz w:val="20"/>
                <w:szCs w:val="20"/>
              </w:rPr>
              <w:t xml:space="preserve"> </w:t>
            </w:r>
          </w:p>
        </w:tc>
        <w:tc>
          <w:tcPr>
            <w:tcW w:w="585" w:type="dxa"/>
            <w:tcBorders>
              <w:top w:val="single" w:sz="8" w:space="0" w:color="000000"/>
              <w:left w:val="nil"/>
              <w:bottom w:val="single" w:sz="8" w:space="0" w:color="000000"/>
              <w:right w:val="nil"/>
            </w:tcBorders>
            <w:tcMar>
              <w:top w:w="100" w:type="dxa"/>
              <w:left w:w="100" w:type="dxa"/>
              <w:bottom w:w="100" w:type="dxa"/>
              <w:right w:w="100" w:type="dxa"/>
            </w:tcMar>
          </w:tcPr>
          <w:p w14:paraId="7526093A" w14:textId="77777777" w:rsidR="00670867" w:rsidRPr="009632F1" w:rsidRDefault="00670867" w:rsidP="008241B3">
            <w:pPr>
              <w:jc w:val="center"/>
              <w:rPr>
                <w:sz w:val="20"/>
                <w:szCs w:val="20"/>
              </w:rPr>
            </w:pPr>
            <w:r w:rsidRPr="009632F1">
              <w:rPr>
                <w:sz w:val="20"/>
                <w:szCs w:val="20"/>
              </w:rPr>
              <w:t>N</w:t>
            </w:r>
          </w:p>
        </w:tc>
        <w:tc>
          <w:tcPr>
            <w:tcW w:w="765" w:type="dxa"/>
            <w:tcBorders>
              <w:top w:val="single" w:sz="8" w:space="0" w:color="000000"/>
              <w:left w:val="nil"/>
              <w:bottom w:val="single" w:sz="8" w:space="0" w:color="000000"/>
              <w:right w:val="nil"/>
            </w:tcBorders>
            <w:tcMar>
              <w:top w:w="100" w:type="dxa"/>
              <w:left w:w="100" w:type="dxa"/>
              <w:bottom w:w="100" w:type="dxa"/>
              <w:right w:w="100" w:type="dxa"/>
            </w:tcMar>
          </w:tcPr>
          <w:p w14:paraId="4F3CEF01" w14:textId="77777777" w:rsidR="00670867" w:rsidRPr="009632F1" w:rsidRDefault="00670867" w:rsidP="008241B3">
            <w:pPr>
              <w:jc w:val="center"/>
              <w:rPr>
                <w:sz w:val="20"/>
                <w:szCs w:val="20"/>
              </w:rPr>
            </w:pPr>
            <w:r w:rsidRPr="009632F1">
              <w:rPr>
                <w:sz w:val="20"/>
                <w:szCs w:val="20"/>
              </w:rPr>
              <w:t>Mean</w:t>
            </w:r>
          </w:p>
        </w:tc>
        <w:tc>
          <w:tcPr>
            <w:tcW w:w="1110" w:type="dxa"/>
            <w:tcBorders>
              <w:top w:val="single" w:sz="8" w:space="0" w:color="000000"/>
              <w:left w:val="nil"/>
              <w:bottom w:val="single" w:sz="8" w:space="0" w:color="000000"/>
              <w:right w:val="nil"/>
            </w:tcBorders>
            <w:tcMar>
              <w:top w:w="100" w:type="dxa"/>
              <w:left w:w="100" w:type="dxa"/>
              <w:bottom w:w="100" w:type="dxa"/>
              <w:right w:w="100" w:type="dxa"/>
            </w:tcMar>
          </w:tcPr>
          <w:p w14:paraId="6FA9D9A5" w14:textId="77777777" w:rsidR="00670867" w:rsidRPr="009632F1" w:rsidRDefault="00670867" w:rsidP="008241B3">
            <w:pPr>
              <w:jc w:val="center"/>
              <w:rPr>
                <w:sz w:val="20"/>
                <w:szCs w:val="20"/>
              </w:rPr>
            </w:pPr>
            <w:r w:rsidRPr="009632F1">
              <w:rPr>
                <w:sz w:val="20"/>
                <w:szCs w:val="20"/>
              </w:rPr>
              <w:t>Standard deviation</w:t>
            </w:r>
          </w:p>
        </w:tc>
        <w:tc>
          <w:tcPr>
            <w:tcW w:w="802" w:type="dxa"/>
            <w:tcBorders>
              <w:top w:val="single" w:sz="8" w:space="0" w:color="000000"/>
              <w:left w:val="nil"/>
              <w:bottom w:val="single" w:sz="8" w:space="0" w:color="000000"/>
              <w:right w:val="nil"/>
            </w:tcBorders>
            <w:tcMar>
              <w:top w:w="100" w:type="dxa"/>
              <w:left w:w="100" w:type="dxa"/>
              <w:bottom w:w="100" w:type="dxa"/>
              <w:right w:w="100" w:type="dxa"/>
            </w:tcMar>
          </w:tcPr>
          <w:p w14:paraId="620F7870" w14:textId="5BEAFDEF" w:rsidR="00670867" w:rsidRPr="009632F1" w:rsidRDefault="00670867" w:rsidP="008241B3">
            <w:pPr>
              <w:jc w:val="center"/>
              <w:rPr>
                <w:sz w:val="20"/>
                <w:szCs w:val="20"/>
              </w:rPr>
            </w:pPr>
            <w:r w:rsidRPr="009632F1">
              <w:rPr>
                <w:sz w:val="20"/>
                <w:szCs w:val="20"/>
              </w:rPr>
              <w:t>Min</w:t>
            </w:r>
          </w:p>
        </w:tc>
        <w:tc>
          <w:tcPr>
            <w:tcW w:w="850" w:type="dxa"/>
            <w:tcBorders>
              <w:top w:val="single" w:sz="8" w:space="0" w:color="000000"/>
              <w:left w:val="nil"/>
              <w:bottom w:val="single" w:sz="8" w:space="0" w:color="000000"/>
              <w:right w:val="nil"/>
            </w:tcBorders>
            <w:tcMar>
              <w:top w:w="100" w:type="dxa"/>
              <w:left w:w="100" w:type="dxa"/>
              <w:bottom w:w="100" w:type="dxa"/>
              <w:right w:w="100" w:type="dxa"/>
            </w:tcMar>
          </w:tcPr>
          <w:p w14:paraId="068C574E" w14:textId="611C989B" w:rsidR="00670867" w:rsidRPr="009632F1" w:rsidRDefault="00670867" w:rsidP="008241B3">
            <w:pPr>
              <w:jc w:val="center"/>
              <w:rPr>
                <w:sz w:val="20"/>
                <w:szCs w:val="20"/>
              </w:rPr>
            </w:pPr>
            <w:r w:rsidRPr="009632F1">
              <w:rPr>
                <w:sz w:val="20"/>
                <w:szCs w:val="20"/>
              </w:rPr>
              <w:t>Max</w:t>
            </w:r>
          </w:p>
        </w:tc>
        <w:tc>
          <w:tcPr>
            <w:tcW w:w="1134" w:type="dxa"/>
            <w:gridSpan w:val="2"/>
            <w:tcBorders>
              <w:top w:val="single" w:sz="8" w:space="0" w:color="000000"/>
              <w:left w:val="nil"/>
              <w:bottom w:val="single" w:sz="8" w:space="0" w:color="000000"/>
              <w:right w:val="nil"/>
            </w:tcBorders>
            <w:tcMar>
              <w:top w:w="100" w:type="dxa"/>
              <w:left w:w="100" w:type="dxa"/>
              <w:bottom w:w="100" w:type="dxa"/>
              <w:right w:w="100" w:type="dxa"/>
            </w:tcMar>
          </w:tcPr>
          <w:p w14:paraId="50FDED0E" w14:textId="77777777" w:rsidR="00670867" w:rsidRPr="009632F1" w:rsidRDefault="00670867" w:rsidP="008241B3">
            <w:pPr>
              <w:jc w:val="center"/>
              <w:rPr>
                <w:sz w:val="20"/>
                <w:szCs w:val="20"/>
              </w:rPr>
            </w:pPr>
            <w:r w:rsidRPr="009632F1">
              <w:rPr>
                <w:sz w:val="20"/>
                <w:szCs w:val="20"/>
              </w:rPr>
              <w:t>Skewness</w:t>
            </w:r>
          </w:p>
        </w:tc>
        <w:tc>
          <w:tcPr>
            <w:tcW w:w="1276" w:type="dxa"/>
            <w:gridSpan w:val="2"/>
            <w:tcBorders>
              <w:top w:val="single" w:sz="8" w:space="0" w:color="000000"/>
              <w:left w:val="nil"/>
              <w:bottom w:val="single" w:sz="8" w:space="0" w:color="000000"/>
              <w:right w:val="nil"/>
            </w:tcBorders>
            <w:tcMar>
              <w:top w:w="100" w:type="dxa"/>
              <w:left w:w="100" w:type="dxa"/>
              <w:bottom w:w="100" w:type="dxa"/>
              <w:right w:w="100" w:type="dxa"/>
            </w:tcMar>
          </w:tcPr>
          <w:p w14:paraId="387C01E3" w14:textId="77777777" w:rsidR="00670867" w:rsidRPr="009632F1" w:rsidRDefault="00670867" w:rsidP="008241B3">
            <w:pPr>
              <w:jc w:val="center"/>
              <w:rPr>
                <w:sz w:val="20"/>
                <w:szCs w:val="20"/>
              </w:rPr>
            </w:pPr>
            <w:r w:rsidRPr="009632F1">
              <w:rPr>
                <w:sz w:val="20"/>
                <w:szCs w:val="20"/>
              </w:rPr>
              <w:t>Std. error skewness</w:t>
            </w:r>
          </w:p>
        </w:tc>
        <w:tc>
          <w:tcPr>
            <w:tcW w:w="709" w:type="dxa"/>
            <w:tcBorders>
              <w:top w:val="single" w:sz="8" w:space="0" w:color="000000"/>
              <w:left w:val="nil"/>
              <w:bottom w:val="single" w:sz="8" w:space="0" w:color="000000"/>
              <w:right w:val="nil"/>
            </w:tcBorders>
            <w:tcMar>
              <w:top w:w="100" w:type="dxa"/>
              <w:left w:w="100" w:type="dxa"/>
              <w:bottom w:w="100" w:type="dxa"/>
              <w:right w:w="100" w:type="dxa"/>
            </w:tcMar>
          </w:tcPr>
          <w:p w14:paraId="0861261A" w14:textId="77777777" w:rsidR="00670867" w:rsidRPr="009632F1" w:rsidRDefault="00670867" w:rsidP="008241B3">
            <w:pPr>
              <w:jc w:val="center"/>
              <w:rPr>
                <w:sz w:val="20"/>
                <w:szCs w:val="20"/>
              </w:rPr>
            </w:pPr>
            <w:r w:rsidRPr="009632F1">
              <w:rPr>
                <w:sz w:val="20"/>
                <w:szCs w:val="20"/>
              </w:rPr>
              <w:t>Kurtosis</w:t>
            </w:r>
          </w:p>
        </w:tc>
        <w:tc>
          <w:tcPr>
            <w:tcW w:w="1201" w:type="dxa"/>
            <w:tcBorders>
              <w:top w:val="single" w:sz="8" w:space="0" w:color="000000"/>
              <w:left w:val="nil"/>
              <w:bottom w:val="single" w:sz="8" w:space="0" w:color="000000"/>
              <w:right w:val="nil"/>
            </w:tcBorders>
            <w:tcMar>
              <w:top w:w="100" w:type="dxa"/>
              <w:left w:w="100" w:type="dxa"/>
              <w:bottom w:w="100" w:type="dxa"/>
              <w:right w:w="100" w:type="dxa"/>
            </w:tcMar>
          </w:tcPr>
          <w:p w14:paraId="11FF759C" w14:textId="77777777" w:rsidR="00670867" w:rsidRPr="009632F1" w:rsidRDefault="00670867" w:rsidP="008241B3">
            <w:pPr>
              <w:jc w:val="center"/>
              <w:rPr>
                <w:sz w:val="20"/>
                <w:szCs w:val="20"/>
              </w:rPr>
            </w:pPr>
            <w:r w:rsidRPr="009632F1">
              <w:rPr>
                <w:sz w:val="20"/>
                <w:szCs w:val="20"/>
              </w:rPr>
              <w:t>Std. error kurtosis</w:t>
            </w:r>
          </w:p>
        </w:tc>
      </w:tr>
      <w:tr w:rsidR="00670867" w:rsidRPr="009632F1" w14:paraId="32EB7BB9" w14:textId="77777777" w:rsidTr="009632F1">
        <w:trPr>
          <w:trHeight w:val="590"/>
        </w:trPr>
        <w:tc>
          <w:tcPr>
            <w:tcW w:w="1518" w:type="dxa"/>
            <w:tcBorders>
              <w:top w:val="nil"/>
              <w:left w:val="nil"/>
              <w:bottom w:val="nil"/>
              <w:right w:val="nil"/>
            </w:tcBorders>
            <w:tcMar>
              <w:top w:w="100" w:type="dxa"/>
              <w:left w:w="100" w:type="dxa"/>
              <w:bottom w:w="100" w:type="dxa"/>
              <w:right w:w="100" w:type="dxa"/>
            </w:tcMar>
          </w:tcPr>
          <w:p w14:paraId="5A55AABD" w14:textId="77777777" w:rsidR="00670867" w:rsidRPr="009632F1" w:rsidRDefault="00670867" w:rsidP="008241B3">
            <w:pPr>
              <w:rPr>
                <w:b/>
                <w:sz w:val="20"/>
                <w:szCs w:val="20"/>
              </w:rPr>
            </w:pPr>
            <w:r w:rsidRPr="009632F1">
              <w:rPr>
                <w:b/>
                <w:sz w:val="20"/>
                <w:szCs w:val="20"/>
              </w:rPr>
              <w:t>Rape Myth</w:t>
            </w:r>
          </w:p>
        </w:tc>
        <w:tc>
          <w:tcPr>
            <w:tcW w:w="282" w:type="dxa"/>
            <w:tcBorders>
              <w:top w:val="nil"/>
              <w:left w:val="nil"/>
              <w:bottom w:val="nil"/>
              <w:right w:val="nil"/>
            </w:tcBorders>
            <w:tcMar>
              <w:top w:w="100" w:type="dxa"/>
              <w:left w:w="100" w:type="dxa"/>
              <w:bottom w:w="100" w:type="dxa"/>
              <w:right w:w="100" w:type="dxa"/>
            </w:tcMar>
          </w:tcPr>
          <w:p w14:paraId="238405F4" w14:textId="77777777" w:rsidR="00670867" w:rsidRPr="009632F1" w:rsidRDefault="00670867" w:rsidP="008241B3">
            <w:pPr>
              <w:rPr>
                <w:sz w:val="20"/>
                <w:szCs w:val="20"/>
              </w:rPr>
            </w:pPr>
            <w:r w:rsidRPr="009632F1">
              <w:rPr>
                <w:sz w:val="20"/>
                <w:szCs w:val="20"/>
              </w:rPr>
              <w:t xml:space="preserve"> </w:t>
            </w:r>
          </w:p>
        </w:tc>
        <w:tc>
          <w:tcPr>
            <w:tcW w:w="585" w:type="dxa"/>
            <w:tcBorders>
              <w:top w:val="nil"/>
              <w:left w:val="nil"/>
              <w:bottom w:val="nil"/>
              <w:right w:val="nil"/>
            </w:tcBorders>
            <w:tcMar>
              <w:top w:w="100" w:type="dxa"/>
              <w:left w:w="100" w:type="dxa"/>
              <w:bottom w:w="100" w:type="dxa"/>
              <w:right w:w="100" w:type="dxa"/>
            </w:tcMar>
          </w:tcPr>
          <w:p w14:paraId="1AE52DB2" w14:textId="77777777" w:rsidR="00670867" w:rsidRPr="009632F1" w:rsidRDefault="00670867" w:rsidP="008241B3">
            <w:pPr>
              <w:jc w:val="center"/>
              <w:rPr>
                <w:sz w:val="20"/>
                <w:szCs w:val="20"/>
              </w:rPr>
            </w:pPr>
            <w:r w:rsidRPr="009632F1">
              <w:rPr>
                <w:sz w:val="20"/>
                <w:szCs w:val="20"/>
              </w:rPr>
              <w:t>114</w:t>
            </w:r>
          </w:p>
        </w:tc>
        <w:tc>
          <w:tcPr>
            <w:tcW w:w="765" w:type="dxa"/>
            <w:tcBorders>
              <w:top w:val="nil"/>
              <w:left w:val="nil"/>
              <w:bottom w:val="nil"/>
              <w:right w:val="nil"/>
            </w:tcBorders>
            <w:tcMar>
              <w:top w:w="100" w:type="dxa"/>
              <w:left w:w="100" w:type="dxa"/>
              <w:bottom w:w="100" w:type="dxa"/>
              <w:right w:w="100" w:type="dxa"/>
            </w:tcMar>
          </w:tcPr>
          <w:p w14:paraId="6516C726" w14:textId="77777777" w:rsidR="00670867" w:rsidRPr="009632F1" w:rsidRDefault="00670867" w:rsidP="008241B3">
            <w:pPr>
              <w:jc w:val="center"/>
              <w:rPr>
                <w:sz w:val="20"/>
                <w:szCs w:val="20"/>
              </w:rPr>
            </w:pPr>
            <w:r w:rsidRPr="009632F1">
              <w:rPr>
                <w:sz w:val="20"/>
                <w:szCs w:val="20"/>
              </w:rPr>
              <w:t>1.92</w:t>
            </w:r>
          </w:p>
        </w:tc>
        <w:tc>
          <w:tcPr>
            <w:tcW w:w="1110" w:type="dxa"/>
            <w:tcBorders>
              <w:top w:val="nil"/>
              <w:left w:val="nil"/>
              <w:bottom w:val="nil"/>
              <w:right w:val="nil"/>
            </w:tcBorders>
            <w:tcMar>
              <w:top w:w="100" w:type="dxa"/>
              <w:left w:w="100" w:type="dxa"/>
              <w:bottom w:w="100" w:type="dxa"/>
              <w:right w:w="100" w:type="dxa"/>
            </w:tcMar>
          </w:tcPr>
          <w:p w14:paraId="35E2F391" w14:textId="422F0CB6" w:rsidR="00670867" w:rsidRPr="009632F1" w:rsidRDefault="00670867" w:rsidP="008241B3">
            <w:pPr>
              <w:jc w:val="center"/>
              <w:rPr>
                <w:sz w:val="20"/>
                <w:szCs w:val="20"/>
              </w:rPr>
            </w:pPr>
            <w:r w:rsidRPr="009632F1">
              <w:rPr>
                <w:sz w:val="20"/>
                <w:szCs w:val="20"/>
              </w:rPr>
              <w:t>1.2</w:t>
            </w:r>
            <w:r w:rsidR="009632F1" w:rsidRPr="009632F1">
              <w:rPr>
                <w:sz w:val="20"/>
                <w:szCs w:val="20"/>
              </w:rPr>
              <w:t>0</w:t>
            </w:r>
          </w:p>
        </w:tc>
        <w:tc>
          <w:tcPr>
            <w:tcW w:w="802" w:type="dxa"/>
            <w:tcBorders>
              <w:top w:val="nil"/>
              <w:left w:val="nil"/>
              <w:bottom w:val="nil"/>
              <w:right w:val="nil"/>
            </w:tcBorders>
            <w:tcMar>
              <w:top w:w="100" w:type="dxa"/>
              <w:left w:w="100" w:type="dxa"/>
              <w:bottom w:w="100" w:type="dxa"/>
              <w:right w:w="100" w:type="dxa"/>
            </w:tcMar>
          </w:tcPr>
          <w:p w14:paraId="5EA6D7B1" w14:textId="64E98E0C" w:rsidR="00670867" w:rsidRPr="009632F1" w:rsidRDefault="009632F1" w:rsidP="008241B3">
            <w:pPr>
              <w:jc w:val="center"/>
              <w:rPr>
                <w:sz w:val="20"/>
                <w:szCs w:val="20"/>
              </w:rPr>
            </w:pPr>
            <w:r w:rsidRPr="009632F1">
              <w:rPr>
                <w:sz w:val="20"/>
                <w:szCs w:val="20"/>
              </w:rPr>
              <w:t>0.94</w:t>
            </w:r>
          </w:p>
        </w:tc>
        <w:tc>
          <w:tcPr>
            <w:tcW w:w="850" w:type="dxa"/>
            <w:tcBorders>
              <w:top w:val="nil"/>
              <w:left w:val="nil"/>
              <w:bottom w:val="nil"/>
              <w:right w:val="nil"/>
            </w:tcBorders>
            <w:tcMar>
              <w:top w:w="100" w:type="dxa"/>
              <w:left w:w="100" w:type="dxa"/>
              <w:bottom w:w="100" w:type="dxa"/>
              <w:right w:w="100" w:type="dxa"/>
            </w:tcMar>
          </w:tcPr>
          <w:p w14:paraId="41AD8F39" w14:textId="77777777" w:rsidR="00670867" w:rsidRPr="009632F1" w:rsidRDefault="00670867" w:rsidP="008241B3">
            <w:pPr>
              <w:jc w:val="center"/>
              <w:rPr>
                <w:sz w:val="20"/>
                <w:szCs w:val="20"/>
              </w:rPr>
            </w:pPr>
            <w:r w:rsidRPr="009632F1">
              <w:rPr>
                <w:sz w:val="20"/>
                <w:szCs w:val="20"/>
              </w:rPr>
              <w:t>7.18</w:t>
            </w:r>
          </w:p>
        </w:tc>
        <w:tc>
          <w:tcPr>
            <w:tcW w:w="992" w:type="dxa"/>
            <w:tcBorders>
              <w:top w:val="nil"/>
              <w:left w:val="nil"/>
              <w:bottom w:val="nil"/>
              <w:right w:val="nil"/>
            </w:tcBorders>
            <w:tcMar>
              <w:top w:w="100" w:type="dxa"/>
              <w:left w:w="100" w:type="dxa"/>
              <w:bottom w:w="100" w:type="dxa"/>
              <w:right w:w="100" w:type="dxa"/>
            </w:tcMar>
          </w:tcPr>
          <w:p w14:paraId="3A5C4317" w14:textId="77777777" w:rsidR="00670867" w:rsidRPr="009632F1" w:rsidRDefault="00670867" w:rsidP="008241B3">
            <w:pPr>
              <w:jc w:val="center"/>
              <w:rPr>
                <w:sz w:val="20"/>
                <w:szCs w:val="20"/>
              </w:rPr>
            </w:pPr>
            <w:r w:rsidRPr="009632F1">
              <w:rPr>
                <w:sz w:val="20"/>
                <w:szCs w:val="20"/>
              </w:rPr>
              <w:t>2.45</w:t>
            </w:r>
          </w:p>
        </w:tc>
        <w:tc>
          <w:tcPr>
            <w:tcW w:w="1303" w:type="dxa"/>
            <w:gridSpan w:val="2"/>
            <w:tcBorders>
              <w:top w:val="nil"/>
              <w:left w:val="nil"/>
              <w:bottom w:val="nil"/>
              <w:right w:val="nil"/>
            </w:tcBorders>
            <w:tcMar>
              <w:top w:w="100" w:type="dxa"/>
              <w:left w:w="100" w:type="dxa"/>
              <w:bottom w:w="100" w:type="dxa"/>
              <w:right w:w="100" w:type="dxa"/>
            </w:tcMar>
          </w:tcPr>
          <w:p w14:paraId="0086AAD7" w14:textId="14F36937" w:rsidR="00670867" w:rsidRPr="009632F1" w:rsidRDefault="009632F1" w:rsidP="008241B3">
            <w:pPr>
              <w:jc w:val="center"/>
              <w:rPr>
                <w:sz w:val="20"/>
                <w:szCs w:val="20"/>
              </w:rPr>
            </w:pPr>
            <w:r w:rsidRPr="009632F1">
              <w:rPr>
                <w:sz w:val="20"/>
                <w:szCs w:val="20"/>
              </w:rPr>
              <w:t>0.27</w:t>
            </w:r>
          </w:p>
        </w:tc>
        <w:tc>
          <w:tcPr>
            <w:tcW w:w="824" w:type="dxa"/>
            <w:gridSpan w:val="2"/>
            <w:tcBorders>
              <w:top w:val="nil"/>
              <w:left w:val="nil"/>
              <w:bottom w:val="nil"/>
              <w:right w:val="nil"/>
            </w:tcBorders>
            <w:tcMar>
              <w:top w:w="100" w:type="dxa"/>
              <w:left w:w="100" w:type="dxa"/>
              <w:bottom w:w="100" w:type="dxa"/>
              <w:right w:w="100" w:type="dxa"/>
            </w:tcMar>
          </w:tcPr>
          <w:p w14:paraId="4954B9A5" w14:textId="77777777" w:rsidR="00670867" w:rsidRPr="009632F1" w:rsidRDefault="00670867" w:rsidP="008241B3">
            <w:pPr>
              <w:jc w:val="center"/>
              <w:rPr>
                <w:sz w:val="20"/>
                <w:szCs w:val="20"/>
              </w:rPr>
            </w:pPr>
            <w:r w:rsidRPr="009632F1">
              <w:rPr>
                <w:sz w:val="20"/>
                <w:szCs w:val="20"/>
              </w:rPr>
              <w:t>6.71</w:t>
            </w:r>
          </w:p>
        </w:tc>
        <w:tc>
          <w:tcPr>
            <w:tcW w:w="1201" w:type="dxa"/>
            <w:tcBorders>
              <w:top w:val="nil"/>
              <w:left w:val="nil"/>
              <w:bottom w:val="nil"/>
              <w:right w:val="nil"/>
            </w:tcBorders>
            <w:tcMar>
              <w:top w:w="100" w:type="dxa"/>
              <w:left w:w="100" w:type="dxa"/>
              <w:bottom w:w="100" w:type="dxa"/>
              <w:right w:w="100" w:type="dxa"/>
            </w:tcMar>
          </w:tcPr>
          <w:p w14:paraId="5262C9FB" w14:textId="20125BDE" w:rsidR="00670867" w:rsidRPr="009632F1" w:rsidRDefault="009632F1" w:rsidP="008241B3">
            <w:pPr>
              <w:jc w:val="center"/>
              <w:rPr>
                <w:sz w:val="20"/>
                <w:szCs w:val="20"/>
              </w:rPr>
            </w:pPr>
            <w:r w:rsidRPr="009632F1">
              <w:rPr>
                <w:sz w:val="20"/>
                <w:szCs w:val="20"/>
              </w:rPr>
              <w:t>0.45</w:t>
            </w:r>
          </w:p>
        </w:tc>
      </w:tr>
      <w:tr w:rsidR="00670867" w:rsidRPr="009632F1" w14:paraId="02516C21" w14:textId="77777777" w:rsidTr="009632F1">
        <w:trPr>
          <w:trHeight w:val="635"/>
        </w:trPr>
        <w:tc>
          <w:tcPr>
            <w:tcW w:w="1518" w:type="dxa"/>
            <w:tcBorders>
              <w:top w:val="nil"/>
              <w:left w:val="nil"/>
              <w:bottom w:val="nil"/>
              <w:right w:val="nil"/>
            </w:tcBorders>
            <w:tcMar>
              <w:top w:w="100" w:type="dxa"/>
              <w:left w:w="100" w:type="dxa"/>
              <w:bottom w:w="100" w:type="dxa"/>
              <w:right w:w="100" w:type="dxa"/>
            </w:tcMar>
          </w:tcPr>
          <w:p w14:paraId="0EF6445F" w14:textId="77777777" w:rsidR="00670867" w:rsidRPr="009632F1" w:rsidRDefault="00670867" w:rsidP="008241B3">
            <w:pPr>
              <w:rPr>
                <w:b/>
                <w:sz w:val="20"/>
                <w:szCs w:val="20"/>
              </w:rPr>
            </w:pPr>
            <w:r w:rsidRPr="009632F1">
              <w:rPr>
                <w:b/>
                <w:sz w:val="20"/>
                <w:szCs w:val="20"/>
              </w:rPr>
              <w:t>Seriousness</w:t>
            </w:r>
          </w:p>
        </w:tc>
        <w:tc>
          <w:tcPr>
            <w:tcW w:w="282" w:type="dxa"/>
            <w:tcBorders>
              <w:top w:val="nil"/>
              <w:left w:val="nil"/>
              <w:bottom w:val="nil"/>
              <w:right w:val="nil"/>
            </w:tcBorders>
            <w:tcMar>
              <w:top w:w="100" w:type="dxa"/>
              <w:left w:w="100" w:type="dxa"/>
              <w:bottom w:w="100" w:type="dxa"/>
              <w:right w:w="100" w:type="dxa"/>
            </w:tcMar>
          </w:tcPr>
          <w:p w14:paraId="18A9B406" w14:textId="77777777" w:rsidR="00670867" w:rsidRPr="009632F1" w:rsidRDefault="00670867" w:rsidP="008241B3">
            <w:pPr>
              <w:rPr>
                <w:sz w:val="20"/>
                <w:szCs w:val="20"/>
              </w:rPr>
            </w:pPr>
            <w:r w:rsidRPr="009632F1">
              <w:rPr>
                <w:sz w:val="20"/>
                <w:szCs w:val="20"/>
              </w:rPr>
              <w:t xml:space="preserve"> </w:t>
            </w:r>
          </w:p>
        </w:tc>
        <w:tc>
          <w:tcPr>
            <w:tcW w:w="585" w:type="dxa"/>
            <w:tcBorders>
              <w:top w:val="nil"/>
              <w:left w:val="nil"/>
              <w:bottom w:val="nil"/>
              <w:right w:val="nil"/>
            </w:tcBorders>
            <w:tcMar>
              <w:top w:w="100" w:type="dxa"/>
              <w:left w:w="100" w:type="dxa"/>
              <w:bottom w:w="100" w:type="dxa"/>
              <w:right w:w="100" w:type="dxa"/>
            </w:tcMar>
          </w:tcPr>
          <w:p w14:paraId="416C16E8" w14:textId="77777777" w:rsidR="00670867" w:rsidRPr="009632F1" w:rsidRDefault="00670867" w:rsidP="008241B3">
            <w:pPr>
              <w:jc w:val="center"/>
              <w:rPr>
                <w:sz w:val="20"/>
                <w:szCs w:val="20"/>
              </w:rPr>
            </w:pPr>
            <w:r w:rsidRPr="009632F1">
              <w:rPr>
                <w:sz w:val="20"/>
                <w:szCs w:val="20"/>
              </w:rPr>
              <w:t>119</w:t>
            </w:r>
          </w:p>
        </w:tc>
        <w:tc>
          <w:tcPr>
            <w:tcW w:w="765" w:type="dxa"/>
            <w:tcBorders>
              <w:top w:val="nil"/>
              <w:left w:val="nil"/>
              <w:bottom w:val="nil"/>
              <w:right w:val="nil"/>
            </w:tcBorders>
            <w:tcMar>
              <w:top w:w="100" w:type="dxa"/>
              <w:left w:w="100" w:type="dxa"/>
              <w:bottom w:w="100" w:type="dxa"/>
              <w:right w:w="100" w:type="dxa"/>
            </w:tcMar>
          </w:tcPr>
          <w:p w14:paraId="6AB79C1E" w14:textId="77777777" w:rsidR="00670867" w:rsidRPr="009632F1" w:rsidRDefault="00670867" w:rsidP="008241B3">
            <w:pPr>
              <w:jc w:val="center"/>
              <w:rPr>
                <w:sz w:val="20"/>
                <w:szCs w:val="20"/>
              </w:rPr>
            </w:pPr>
            <w:r w:rsidRPr="009632F1">
              <w:rPr>
                <w:sz w:val="20"/>
                <w:szCs w:val="20"/>
              </w:rPr>
              <w:t>184</w:t>
            </w:r>
          </w:p>
        </w:tc>
        <w:tc>
          <w:tcPr>
            <w:tcW w:w="1110" w:type="dxa"/>
            <w:tcBorders>
              <w:top w:val="nil"/>
              <w:left w:val="nil"/>
              <w:bottom w:val="nil"/>
              <w:right w:val="nil"/>
            </w:tcBorders>
            <w:tcMar>
              <w:top w:w="100" w:type="dxa"/>
              <w:left w:w="100" w:type="dxa"/>
              <w:bottom w:w="100" w:type="dxa"/>
              <w:right w:w="100" w:type="dxa"/>
            </w:tcMar>
          </w:tcPr>
          <w:p w14:paraId="20ED22F0" w14:textId="5F9C62C5" w:rsidR="00670867" w:rsidRPr="009632F1" w:rsidRDefault="00670867" w:rsidP="008241B3">
            <w:pPr>
              <w:jc w:val="center"/>
              <w:rPr>
                <w:sz w:val="20"/>
                <w:szCs w:val="20"/>
              </w:rPr>
            </w:pPr>
            <w:r w:rsidRPr="009632F1">
              <w:rPr>
                <w:sz w:val="20"/>
                <w:szCs w:val="20"/>
              </w:rPr>
              <w:t>77.4</w:t>
            </w:r>
            <w:r w:rsidR="009632F1" w:rsidRPr="009632F1">
              <w:rPr>
                <w:sz w:val="20"/>
                <w:szCs w:val="20"/>
              </w:rPr>
              <w:t>0</w:t>
            </w:r>
          </w:p>
        </w:tc>
        <w:tc>
          <w:tcPr>
            <w:tcW w:w="802" w:type="dxa"/>
            <w:tcBorders>
              <w:top w:val="nil"/>
              <w:left w:val="nil"/>
              <w:bottom w:val="nil"/>
              <w:right w:val="nil"/>
            </w:tcBorders>
            <w:tcMar>
              <w:top w:w="100" w:type="dxa"/>
              <w:left w:w="100" w:type="dxa"/>
              <w:bottom w:w="100" w:type="dxa"/>
              <w:right w:w="100" w:type="dxa"/>
            </w:tcMar>
          </w:tcPr>
          <w:p w14:paraId="44620437" w14:textId="77777777" w:rsidR="00670867" w:rsidRPr="009632F1" w:rsidRDefault="00670867" w:rsidP="008241B3">
            <w:pPr>
              <w:jc w:val="center"/>
              <w:rPr>
                <w:sz w:val="20"/>
                <w:szCs w:val="20"/>
              </w:rPr>
            </w:pPr>
            <w:r w:rsidRPr="009632F1">
              <w:rPr>
                <w:sz w:val="20"/>
                <w:szCs w:val="20"/>
              </w:rPr>
              <w:t>0</w:t>
            </w:r>
          </w:p>
        </w:tc>
        <w:tc>
          <w:tcPr>
            <w:tcW w:w="850" w:type="dxa"/>
            <w:tcBorders>
              <w:top w:val="nil"/>
              <w:left w:val="nil"/>
              <w:bottom w:val="nil"/>
              <w:right w:val="nil"/>
            </w:tcBorders>
            <w:tcMar>
              <w:top w:w="100" w:type="dxa"/>
              <w:left w:w="100" w:type="dxa"/>
              <w:bottom w:w="100" w:type="dxa"/>
              <w:right w:w="100" w:type="dxa"/>
            </w:tcMar>
          </w:tcPr>
          <w:p w14:paraId="7F488034" w14:textId="77777777" w:rsidR="00670867" w:rsidRPr="009632F1" w:rsidRDefault="00670867" w:rsidP="008241B3">
            <w:pPr>
              <w:jc w:val="center"/>
              <w:rPr>
                <w:sz w:val="20"/>
                <w:szCs w:val="20"/>
              </w:rPr>
            </w:pPr>
            <w:r w:rsidRPr="009632F1">
              <w:rPr>
                <w:sz w:val="20"/>
                <w:szCs w:val="20"/>
              </w:rPr>
              <w:t>270</w:t>
            </w:r>
          </w:p>
        </w:tc>
        <w:tc>
          <w:tcPr>
            <w:tcW w:w="992" w:type="dxa"/>
            <w:tcBorders>
              <w:top w:val="nil"/>
              <w:left w:val="nil"/>
              <w:bottom w:val="nil"/>
              <w:right w:val="nil"/>
            </w:tcBorders>
            <w:tcMar>
              <w:top w:w="100" w:type="dxa"/>
              <w:left w:w="100" w:type="dxa"/>
              <w:bottom w:w="100" w:type="dxa"/>
              <w:right w:w="100" w:type="dxa"/>
            </w:tcMar>
          </w:tcPr>
          <w:p w14:paraId="1B6B3D02" w14:textId="32E2A4C7" w:rsidR="00670867" w:rsidRPr="009632F1" w:rsidRDefault="009632F1" w:rsidP="008241B3">
            <w:pPr>
              <w:jc w:val="center"/>
              <w:rPr>
                <w:sz w:val="20"/>
                <w:szCs w:val="20"/>
              </w:rPr>
            </w:pPr>
            <w:r w:rsidRPr="009632F1">
              <w:rPr>
                <w:sz w:val="20"/>
                <w:szCs w:val="20"/>
              </w:rPr>
              <w:t>-0.62</w:t>
            </w:r>
          </w:p>
        </w:tc>
        <w:tc>
          <w:tcPr>
            <w:tcW w:w="1303" w:type="dxa"/>
            <w:gridSpan w:val="2"/>
            <w:tcBorders>
              <w:top w:val="nil"/>
              <w:left w:val="nil"/>
              <w:bottom w:val="nil"/>
              <w:right w:val="nil"/>
            </w:tcBorders>
            <w:tcMar>
              <w:top w:w="100" w:type="dxa"/>
              <w:left w:w="100" w:type="dxa"/>
              <w:bottom w:w="100" w:type="dxa"/>
              <w:right w:w="100" w:type="dxa"/>
            </w:tcMar>
          </w:tcPr>
          <w:p w14:paraId="7C1041C7" w14:textId="0B4AC1E1" w:rsidR="00670867" w:rsidRPr="009632F1" w:rsidRDefault="009632F1" w:rsidP="008241B3">
            <w:pPr>
              <w:jc w:val="center"/>
              <w:rPr>
                <w:sz w:val="20"/>
                <w:szCs w:val="20"/>
              </w:rPr>
            </w:pPr>
            <w:r w:rsidRPr="009632F1">
              <w:rPr>
                <w:sz w:val="20"/>
                <w:szCs w:val="20"/>
              </w:rPr>
              <w:t>0.21</w:t>
            </w:r>
          </w:p>
        </w:tc>
        <w:tc>
          <w:tcPr>
            <w:tcW w:w="824" w:type="dxa"/>
            <w:gridSpan w:val="2"/>
            <w:tcBorders>
              <w:top w:val="nil"/>
              <w:left w:val="nil"/>
              <w:bottom w:val="nil"/>
              <w:right w:val="nil"/>
            </w:tcBorders>
            <w:tcMar>
              <w:top w:w="100" w:type="dxa"/>
              <w:left w:w="100" w:type="dxa"/>
              <w:bottom w:w="100" w:type="dxa"/>
              <w:right w:w="100" w:type="dxa"/>
            </w:tcMar>
          </w:tcPr>
          <w:p w14:paraId="16B85725" w14:textId="5698DC26" w:rsidR="00670867" w:rsidRPr="009632F1" w:rsidRDefault="009632F1" w:rsidP="008241B3">
            <w:pPr>
              <w:jc w:val="center"/>
              <w:rPr>
                <w:sz w:val="20"/>
                <w:szCs w:val="20"/>
              </w:rPr>
            </w:pPr>
            <w:r w:rsidRPr="009632F1">
              <w:rPr>
                <w:sz w:val="20"/>
                <w:szCs w:val="20"/>
              </w:rPr>
              <w:t>-0.89</w:t>
            </w:r>
          </w:p>
        </w:tc>
        <w:tc>
          <w:tcPr>
            <w:tcW w:w="1201" w:type="dxa"/>
            <w:tcBorders>
              <w:top w:val="nil"/>
              <w:left w:val="nil"/>
              <w:bottom w:val="nil"/>
              <w:right w:val="nil"/>
            </w:tcBorders>
            <w:tcMar>
              <w:top w:w="100" w:type="dxa"/>
              <w:left w:w="100" w:type="dxa"/>
              <w:bottom w:w="100" w:type="dxa"/>
              <w:right w:w="100" w:type="dxa"/>
            </w:tcMar>
          </w:tcPr>
          <w:p w14:paraId="38F3F6D7" w14:textId="6FAB7718" w:rsidR="00670867" w:rsidRPr="009632F1" w:rsidRDefault="009632F1" w:rsidP="008241B3">
            <w:pPr>
              <w:jc w:val="center"/>
              <w:rPr>
                <w:sz w:val="20"/>
                <w:szCs w:val="20"/>
              </w:rPr>
            </w:pPr>
            <w:r w:rsidRPr="009632F1">
              <w:rPr>
                <w:sz w:val="20"/>
                <w:szCs w:val="20"/>
              </w:rPr>
              <w:t>0.42</w:t>
            </w:r>
          </w:p>
        </w:tc>
      </w:tr>
      <w:tr w:rsidR="00670867" w:rsidRPr="009632F1" w14:paraId="31834CC7" w14:textId="77777777" w:rsidTr="009632F1">
        <w:trPr>
          <w:trHeight w:val="1010"/>
        </w:trPr>
        <w:tc>
          <w:tcPr>
            <w:tcW w:w="1518" w:type="dxa"/>
            <w:tcBorders>
              <w:top w:val="nil"/>
              <w:left w:val="nil"/>
              <w:bottom w:val="nil"/>
              <w:right w:val="nil"/>
            </w:tcBorders>
            <w:tcMar>
              <w:top w:w="100" w:type="dxa"/>
              <w:left w:w="100" w:type="dxa"/>
              <w:bottom w:w="100" w:type="dxa"/>
              <w:right w:w="100" w:type="dxa"/>
            </w:tcMar>
          </w:tcPr>
          <w:p w14:paraId="08ADCF2F" w14:textId="77777777" w:rsidR="00670867" w:rsidRPr="009632F1" w:rsidRDefault="00670867" w:rsidP="008241B3">
            <w:pPr>
              <w:rPr>
                <w:b/>
                <w:sz w:val="20"/>
                <w:szCs w:val="20"/>
              </w:rPr>
            </w:pPr>
            <w:r w:rsidRPr="009632F1">
              <w:rPr>
                <w:b/>
                <w:sz w:val="20"/>
                <w:szCs w:val="20"/>
              </w:rPr>
              <w:t>Bystander Opportunity</w:t>
            </w:r>
          </w:p>
          <w:p w14:paraId="0EF20377" w14:textId="77777777" w:rsidR="00670867" w:rsidRPr="009632F1" w:rsidRDefault="00670867" w:rsidP="008241B3">
            <w:pPr>
              <w:rPr>
                <w:sz w:val="20"/>
                <w:szCs w:val="20"/>
              </w:rPr>
            </w:pPr>
            <w:r w:rsidRPr="009632F1">
              <w:rPr>
                <w:sz w:val="20"/>
                <w:szCs w:val="20"/>
              </w:rPr>
              <w:t xml:space="preserve"> </w:t>
            </w:r>
          </w:p>
        </w:tc>
        <w:tc>
          <w:tcPr>
            <w:tcW w:w="282" w:type="dxa"/>
            <w:tcBorders>
              <w:top w:val="nil"/>
              <w:left w:val="nil"/>
              <w:bottom w:val="nil"/>
              <w:right w:val="nil"/>
            </w:tcBorders>
            <w:tcMar>
              <w:top w:w="100" w:type="dxa"/>
              <w:left w:w="100" w:type="dxa"/>
              <w:bottom w:w="100" w:type="dxa"/>
              <w:right w:w="100" w:type="dxa"/>
            </w:tcMar>
          </w:tcPr>
          <w:p w14:paraId="757B97FA" w14:textId="77777777" w:rsidR="00670867" w:rsidRPr="009632F1" w:rsidRDefault="00670867" w:rsidP="008241B3">
            <w:pPr>
              <w:rPr>
                <w:sz w:val="20"/>
                <w:szCs w:val="20"/>
              </w:rPr>
            </w:pPr>
            <w:r w:rsidRPr="009632F1">
              <w:rPr>
                <w:sz w:val="20"/>
                <w:szCs w:val="20"/>
              </w:rPr>
              <w:t xml:space="preserve"> </w:t>
            </w:r>
          </w:p>
        </w:tc>
        <w:tc>
          <w:tcPr>
            <w:tcW w:w="585" w:type="dxa"/>
            <w:tcBorders>
              <w:top w:val="nil"/>
              <w:left w:val="nil"/>
              <w:bottom w:val="nil"/>
              <w:right w:val="nil"/>
            </w:tcBorders>
            <w:tcMar>
              <w:top w:w="100" w:type="dxa"/>
              <w:left w:w="100" w:type="dxa"/>
              <w:bottom w:w="100" w:type="dxa"/>
              <w:right w:w="100" w:type="dxa"/>
            </w:tcMar>
          </w:tcPr>
          <w:p w14:paraId="218245C6" w14:textId="77777777" w:rsidR="00670867" w:rsidRPr="009632F1" w:rsidRDefault="00670867" w:rsidP="008241B3">
            <w:pPr>
              <w:jc w:val="center"/>
              <w:rPr>
                <w:sz w:val="20"/>
                <w:szCs w:val="20"/>
              </w:rPr>
            </w:pPr>
            <w:r w:rsidRPr="009632F1">
              <w:rPr>
                <w:sz w:val="20"/>
                <w:szCs w:val="20"/>
              </w:rPr>
              <w:t>129</w:t>
            </w:r>
          </w:p>
        </w:tc>
        <w:tc>
          <w:tcPr>
            <w:tcW w:w="765" w:type="dxa"/>
            <w:tcBorders>
              <w:top w:val="nil"/>
              <w:left w:val="nil"/>
              <w:bottom w:val="nil"/>
              <w:right w:val="nil"/>
            </w:tcBorders>
            <w:tcMar>
              <w:top w:w="100" w:type="dxa"/>
              <w:left w:w="100" w:type="dxa"/>
              <w:bottom w:w="100" w:type="dxa"/>
              <w:right w:w="100" w:type="dxa"/>
            </w:tcMar>
          </w:tcPr>
          <w:p w14:paraId="1DBB8709" w14:textId="0D860A6B" w:rsidR="00670867" w:rsidRPr="009632F1" w:rsidRDefault="00670867" w:rsidP="008241B3">
            <w:pPr>
              <w:jc w:val="center"/>
              <w:rPr>
                <w:sz w:val="20"/>
                <w:szCs w:val="20"/>
              </w:rPr>
            </w:pPr>
            <w:r w:rsidRPr="009632F1">
              <w:rPr>
                <w:sz w:val="20"/>
                <w:szCs w:val="20"/>
              </w:rPr>
              <w:t>10.1</w:t>
            </w:r>
            <w:r w:rsidR="009632F1" w:rsidRPr="009632F1">
              <w:rPr>
                <w:sz w:val="20"/>
                <w:szCs w:val="20"/>
              </w:rPr>
              <w:t>0</w:t>
            </w:r>
          </w:p>
        </w:tc>
        <w:tc>
          <w:tcPr>
            <w:tcW w:w="1110" w:type="dxa"/>
            <w:tcBorders>
              <w:top w:val="nil"/>
              <w:left w:val="nil"/>
              <w:bottom w:val="nil"/>
              <w:right w:val="nil"/>
            </w:tcBorders>
            <w:tcMar>
              <w:top w:w="100" w:type="dxa"/>
              <w:left w:w="100" w:type="dxa"/>
              <w:bottom w:w="100" w:type="dxa"/>
              <w:right w:w="100" w:type="dxa"/>
            </w:tcMar>
          </w:tcPr>
          <w:p w14:paraId="3E383066" w14:textId="77777777" w:rsidR="00670867" w:rsidRPr="009632F1" w:rsidRDefault="00670867" w:rsidP="008241B3">
            <w:pPr>
              <w:jc w:val="center"/>
              <w:rPr>
                <w:sz w:val="20"/>
                <w:szCs w:val="20"/>
              </w:rPr>
            </w:pPr>
            <w:r w:rsidRPr="009632F1">
              <w:rPr>
                <w:sz w:val="20"/>
                <w:szCs w:val="20"/>
              </w:rPr>
              <w:t>5.94</w:t>
            </w:r>
          </w:p>
        </w:tc>
        <w:tc>
          <w:tcPr>
            <w:tcW w:w="802" w:type="dxa"/>
            <w:tcBorders>
              <w:top w:val="nil"/>
              <w:left w:val="nil"/>
              <w:bottom w:val="nil"/>
              <w:right w:val="nil"/>
            </w:tcBorders>
            <w:tcMar>
              <w:top w:w="100" w:type="dxa"/>
              <w:left w:w="100" w:type="dxa"/>
              <w:bottom w:w="100" w:type="dxa"/>
              <w:right w:w="100" w:type="dxa"/>
            </w:tcMar>
          </w:tcPr>
          <w:p w14:paraId="0CA58184" w14:textId="77777777" w:rsidR="00670867" w:rsidRPr="009632F1" w:rsidRDefault="00670867" w:rsidP="008241B3">
            <w:pPr>
              <w:jc w:val="center"/>
              <w:rPr>
                <w:sz w:val="20"/>
                <w:szCs w:val="20"/>
              </w:rPr>
            </w:pPr>
            <w:r w:rsidRPr="009632F1">
              <w:rPr>
                <w:sz w:val="20"/>
                <w:szCs w:val="20"/>
              </w:rPr>
              <w:t>0</w:t>
            </w:r>
          </w:p>
        </w:tc>
        <w:tc>
          <w:tcPr>
            <w:tcW w:w="850" w:type="dxa"/>
            <w:tcBorders>
              <w:top w:val="nil"/>
              <w:left w:val="nil"/>
              <w:bottom w:val="nil"/>
              <w:right w:val="nil"/>
            </w:tcBorders>
            <w:tcMar>
              <w:top w:w="100" w:type="dxa"/>
              <w:left w:w="100" w:type="dxa"/>
              <w:bottom w:w="100" w:type="dxa"/>
              <w:right w:w="100" w:type="dxa"/>
            </w:tcMar>
          </w:tcPr>
          <w:p w14:paraId="44664ADE" w14:textId="77777777" w:rsidR="00670867" w:rsidRPr="009632F1" w:rsidRDefault="00670867" w:rsidP="008241B3">
            <w:pPr>
              <w:jc w:val="center"/>
              <w:rPr>
                <w:sz w:val="20"/>
                <w:szCs w:val="20"/>
              </w:rPr>
            </w:pPr>
            <w:r w:rsidRPr="009632F1">
              <w:rPr>
                <w:sz w:val="20"/>
                <w:szCs w:val="20"/>
              </w:rPr>
              <w:t>26</w:t>
            </w:r>
          </w:p>
        </w:tc>
        <w:tc>
          <w:tcPr>
            <w:tcW w:w="992" w:type="dxa"/>
            <w:tcBorders>
              <w:top w:val="nil"/>
              <w:left w:val="nil"/>
              <w:bottom w:val="nil"/>
              <w:right w:val="nil"/>
            </w:tcBorders>
            <w:tcMar>
              <w:top w:w="100" w:type="dxa"/>
              <w:left w:w="100" w:type="dxa"/>
              <w:bottom w:w="100" w:type="dxa"/>
              <w:right w:w="100" w:type="dxa"/>
            </w:tcMar>
          </w:tcPr>
          <w:p w14:paraId="2352FD0B" w14:textId="728005C1" w:rsidR="00670867" w:rsidRPr="009632F1" w:rsidRDefault="009632F1" w:rsidP="008241B3">
            <w:pPr>
              <w:jc w:val="center"/>
              <w:rPr>
                <w:sz w:val="20"/>
                <w:szCs w:val="20"/>
              </w:rPr>
            </w:pPr>
            <w:r w:rsidRPr="009632F1">
              <w:rPr>
                <w:sz w:val="20"/>
                <w:szCs w:val="20"/>
              </w:rPr>
              <w:t>0.46</w:t>
            </w:r>
          </w:p>
        </w:tc>
        <w:tc>
          <w:tcPr>
            <w:tcW w:w="1303" w:type="dxa"/>
            <w:gridSpan w:val="2"/>
            <w:tcBorders>
              <w:top w:val="nil"/>
              <w:left w:val="nil"/>
              <w:bottom w:val="nil"/>
              <w:right w:val="nil"/>
            </w:tcBorders>
            <w:tcMar>
              <w:top w:w="100" w:type="dxa"/>
              <w:left w:w="100" w:type="dxa"/>
              <w:bottom w:w="100" w:type="dxa"/>
              <w:right w:w="100" w:type="dxa"/>
            </w:tcMar>
          </w:tcPr>
          <w:p w14:paraId="41C25308" w14:textId="6C4494AD" w:rsidR="00670867" w:rsidRPr="009632F1" w:rsidRDefault="009632F1" w:rsidP="008241B3">
            <w:pPr>
              <w:jc w:val="center"/>
              <w:rPr>
                <w:sz w:val="20"/>
                <w:szCs w:val="20"/>
              </w:rPr>
            </w:pPr>
            <w:r w:rsidRPr="009632F1">
              <w:rPr>
                <w:sz w:val="20"/>
                <w:szCs w:val="20"/>
              </w:rPr>
              <w:t>0.21</w:t>
            </w:r>
          </w:p>
        </w:tc>
        <w:tc>
          <w:tcPr>
            <w:tcW w:w="824" w:type="dxa"/>
            <w:gridSpan w:val="2"/>
            <w:tcBorders>
              <w:top w:val="nil"/>
              <w:left w:val="nil"/>
              <w:bottom w:val="nil"/>
              <w:right w:val="nil"/>
            </w:tcBorders>
            <w:tcMar>
              <w:top w:w="100" w:type="dxa"/>
              <w:left w:w="100" w:type="dxa"/>
              <w:bottom w:w="100" w:type="dxa"/>
              <w:right w:w="100" w:type="dxa"/>
            </w:tcMar>
          </w:tcPr>
          <w:p w14:paraId="56F8310C" w14:textId="41427C5D" w:rsidR="00670867" w:rsidRPr="009632F1" w:rsidRDefault="00670867" w:rsidP="008241B3">
            <w:pPr>
              <w:jc w:val="center"/>
              <w:rPr>
                <w:sz w:val="20"/>
                <w:szCs w:val="20"/>
              </w:rPr>
            </w:pPr>
            <w:r w:rsidRPr="009632F1">
              <w:rPr>
                <w:sz w:val="20"/>
                <w:szCs w:val="20"/>
              </w:rPr>
              <w:t>-0.4</w:t>
            </w:r>
            <w:r w:rsidR="009632F1" w:rsidRPr="009632F1">
              <w:rPr>
                <w:sz w:val="20"/>
                <w:szCs w:val="20"/>
              </w:rPr>
              <w:t>0</w:t>
            </w:r>
          </w:p>
        </w:tc>
        <w:tc>
          <w:tcPr>
            <w:tcW w:w="1201" w:type="dxa"/>
            <w:tcBorders>
              <w:top w:val="nil"/>
              <w:left w:val="nil"/>
              <w:bottom w:val="nil"/>
              <w:right w:val="nil"/>
            </w:tcBorders>
            <w:tcMar>
              <w:top w:w="100" w:type="dxa"/>
              <w:left w:w="100" w:type="dxa"/>
              <w:bottom w:w="100" w:type="dxa"/>
              <w:right w:w="100" w:type="dxa"/>
            </w:tcMar>
          </w:tcPr>
          <w:p w14:paraId="0A7E7CB8" w14:textId="728DEA23" w:rsidR="00670867" w:rsidRPr="009632F1" w:rsidRDefault="009632F1" w:rsidP="008241B3">
            <w:pPr>
              <w:jc w:val="center"/>
              <w:rPr>
                <w:sz w:val="20"/>
                <w:szCs w:val="20"/>
              </w:rPr>
            </w:pPr>
            <w:r w:rsidRPr="009632F1">
              <w:rPr>
                <w:sz w:val="20"/>
                <w:szCs w:val="20"/>
              </w:rPr>
              <w:t>0.42</w:t>
            </w:r>
          </w:p>
        </w:tc>
      </w:tr>
      <w:tr w:rsidR="00670867" w:rsidRPr="009632F1" w14:paraId="04041CD5" w14:textId="77777777" w:rsidTr="009632F1">
        <w:trPr>
          <w:trHeight w:val="1010"/>
        </w:trPr>
        <w:tc>
          <w:tcPr>
            <w:tcW w:w="1518" w:type="dxa"/>
            <w:tcBorders>
              <w:top w:val="nil"/>
              <w:left w:val="nil"/>
              <w:bottom w:val="nil"/>
              <w:right w:val="nil"/>
            </w:tcBorders>
            <w:tcMar>
              <w:top w:w="100" w:type="dxa"/>
              <w:left w:w="100" w:type="dxa"/>
              <w:bottom w:w="100" w:type="dxa"/>
              <w:right w:w="100" w:type="dxa"/>
            </w:tcMar>
          </w:tcPr>
          <w:p w14:paraId="15252F09" w14:textId="77777777" w:rsidR="00670867" w:rsidRPr="009632F1" w:rsidRDefault="00670867" w:rsidP="008241B3">
            <w:pPr>
              <w:rPr>
                <w:b/>
                <w:sz w:val="20"/>
                <w:szCs w:val="20"/>
              </w:rPr>
            </w:pPr>
            <w:r w:rsidRPr="009632F1">
              <w:rPr>
                <w:b/>
                <w:sz w:val="20"/>
                <w:szCs w:val="20"/>
              </w:rPr>
              <w:t>Bystander Difficulty</w:t>
            </w:r>
          </w:p>
          <w:p w14:paraId="4E8A1D59" w14:textId="77777777" w:rsidR="00670867" w:rsidRPr="009632F1" w:rsidRDefault="00670867" w:rsidP="008241B3">
            <w:pPr>
              <w:rPr>
                <w:b/>
                <w:sz w:val="20"/>
                <w:szCs w:val="20"/>
              </w:rPr>
            </w:pPr>
            <w:r w:rsidRPr="009632F1">
              <w:rPr>
                <w:b/>
                <w:sz w:val="20"/>
                <w:szCs w:val="20"/>
              </w:rPr>
              <w:t xml:space="preserve"> </w:t>
            </w:r>
          </w:p>
        </w:tc>
        <w:tc>
          <w:tcPr>
            <w:tcW w:w="282" w:type="dxa"/>
            <w:tcBorders>
              <w:top w:val="nil"/>
              <w:left w:val="nil"/>
              <w:bottom w:val="nil"/>
              <w:right w:val="nil"/>
            </w:tcBorders>
            <w:tcMar>
              <w:top w:w="100" w:type="dxa"/>
              <w:left w:w="100" w:type="dxa"/>
              <w:bottom w:w="100" w:type="dxa"/>
              <w:right w:w="100" w:type="dxa"/>
            </w:tcMar>
          </w:tcPr>
          <w:p w14:paraId="2394B833" w14:textId="77777777" w:rsidR="00670867" w:rsidRPr="009632F1" w:rsidRDefault="00670867" w:rsidP="008241B3">
            <w:pPr>
              <w:rPr>
                <w:sz w:val="20"/>
                <w:szCs w:val="20"/>
              </w:rPr>
            </w:pPr>
            <w:r w:rsidRPr="009632F1">
              <w:rPr>
                <w:sz w:val="20"/>
                <w:szCs w:val="20"/>
              </w:rPr>
              <w:t xml:space="preserve"> </w:t>
            </w:r>
          </w:p>
        </w:tc>
        <w:tc>
          <w:tcPr>
            <w:tcW w:w="585" w:type="dxa"/>
            <w:tcBorders>
              <w:top w:val="nil"/>
              <w:left w:val="nil"/>
              <w:bottom w:val="nil"/>
              <w:right w:val="nil"/>
            </w:tcBorders>
            <w:tcMar>
              <w:top w:w="100" w:type="dxa"/>
              <w:left w:w="100" w:type="dxa"/>
              <w:bottom w:w="100" w:type="dxa"/>
              <w:right w:w="100" w:type="dxa"/>
            </w:tcMar>
          </w:tcPr>
          <w:p w14:paraId="1B6B4057" w14:textId="77777777" w:rsidR="00670867" w:rsidRPr="009632F1" w:rsidRDefault="00670867" w:rsidP="008241B3">
            <w:pPr>
              <w:jc w:val="center"/>
              <w:rPr>
                <w:sz w:val="20"/>
                <w:szCs w:val="20"/>
              </w:rPr>
            </w:pPr>
            <w:r w:rsidRPr="009632F1">
              <w:rPr>
                <w:sz w:val="20"/>
                <w:szCs w:val="20"/>
              </w:rPr>
              <w:t>119</w:t>
            </w:r>
          </w:p>
        </w:tc>
        <w:tc>
          <w:tcPr>
            <w:tcW w:w="765" w:type="dxa"/>
            <w:tcBorders>
              <w:top w:val="nil"/>
              <w:left w:val="nil"/>
              <w:bottom w:val="nil"/>
              <w:right w:val="nil"/>
            </w:tcBorders>
            <w:tcMar>
              <w:top w:w="100" w:type="dxa"/>
              <w:left w:w="100" w:type="dxa"/>
              <w:bottom w:w="100" w:type="dxa"/>
              <w:right w:w="100" w:type="dxa"/>
            </w:tcMar>
          </w:tcPr>
          <w:p w14:paraId="7C900BD7" w14:textId="6A4A5F18" w:rsidR="00670867" w:rsidRPr="009632F1" w:rsidRDefault="00670867" w:rsidP="008241B3">
            <w:pPr>
              <w:jc w:val="center"/>
              <w:rPr>
                <w:sz w:val="20"/>
                <w:szCs w:val="20"/>
              </w:rPr>
            </w:pPr>
            <w:r w:rsidRPr="009632F1">
              <w:rPr>
                <w:sz w:val="20"/>
                <w:szCs w:val="20"/>
              </w:rPr>
              <w:t>82.3</w:t>
            </w:r>
            <w:r w:rsidR="009632F1" w:rsidRPr="009632F1">
              <w:rPr>
                <w:sz w:val="20"/>
                <w:szCs w:val="20"/>
              </w:rPr>
              <w:t>0</w:t>
            </w:r>
          </w:p>
        </w:tc>
        <w:tc>
          <w:tcPr>
            <w:tcW w:w="1110" w:type="dxa"/>
            <w:tcBorders>
              <w:top w:val="nil"/>
              <w:left w:val="nil"/>
              <w:bottom w:val="nil"/>
              <w:right w:val="nil"/>
            </w:tcBorders>
            <w:tcMar>
              <w:top w:w="100" w:type="dxa"/>
              <w:left w:w="100" w:type="dxa"/>
              <w:bottom w:w="100" w:type="dxa"/>
              <w:right w:w="100" w:type="dxa"/>
            </w:tcMar>
          </w:tcPr>
          <w:p w14:paraId="3D2326D3" w14:textId="77777777" w:rsidR="00670867" w:rsidRPr="009632F1" w:rsidRDefault="00670867" w:rsidP="008241B3">
            <w:pPr>
              <w:jc w:val="center"/>
              <w:rPr>
                <w:sz w:val="20"/>
                <w:szCs w:val="20"/>
              </w:rPr>
            </w:pPr>
            <w:r w:rsidRPr="009632F1">
              <w:rPr>
                <w:sz w:val="20"/>
                <w:szCs w:val="20"/>
              </w:rPr>
              <w:t>19</w:t>
            </w:r>
          </w:p>
        </w:tc>
        <w:tc>
          <w:tcPr>
            <w:tcW w:w="802" w:type="dxa"/>
            <w:tcBorders>
              <w:top w:val="nil"/>
              <w:left w:val="nil"/>
              <w:bottom w:val="nil"/>
              <w:right w:val="nil"/>
            </w:tcBorders>
            <w:tcMar>
              <w:top w:w="100" w:type="dxa"/>
              <w:left w:w="100" w:type="dxa"/>
              <w:bottom w:w="100" w:type="dxa"/>
              <w:right w:w="100" w:type="dxa"/>
            </w:tcMar>
          </w:tcPr>
          <w:p w14:paraId="08953FE7" w14:textId="77777777" w:rsidR="00670867" w:rsidRPr="009632F1" w:rsidRDefault="00670867" w:rsidP="008241B3">
            <w:pPr>
              <w:jc w:val="center"/>
              <w:rPr>
                <w:sz w:val="20"/>
                <w:szCs w:val="20"/>
              </w:rPr>
            </w:pPr>
            <w:r w:rsidRPr="009632F1">
              <w:rPr>
                <w:sz w:val="20"/>
                <w:szCs w:val="20"/>
              </w:rPr>
              <w:t>18</w:t>
            </w:r>
          </w:p>
        </w:tc>
        <w:tc>
          <w:tcPr>
            <w:tcW w:w="850" w:type="dxa"/>
            <w:tcBorders>
              <w:top w:val="nil"/>
              <w:left w:val="nil"/>
              <w:bottom w:val="nil"/>
              <w:right w:val="nil"/>
            </w:tcBorders>
            <w:tcMar>
              <w:top w:w="100" w:type="dxa"/>
              <w:left w:w="100" w:type="dxa"/>
              <w:bottom w:w="100" w:type="dxa"/>
              <w:right w:w="100" w:type="dxa"/>
            </w:tcMar>
          </w:tcPr>
          <w:p w14:paraId="60C12CD3" w14:textId="77777777" w:rsidR="00670867" w:rsidRPr="009632F1" w:rsidRDefault="00670867" w:rsidP="008241B3">
            <w:pPr>
              <w:jc w:val="center"/>
              <w:rPr>
                <w:sz w:val="20"/>
                <w:szCs w:val="20"/>
              </w:rPr>
            </w:pPr>
            <w:r w:rsidRPr="009632F1">
              <w:rPr>
                <w:sz w:val="20"/>
                <w:szCs w:val="20"/>
              </w:rPr>
              <w:t>96</w:t>
            </w:r>
          </w:p>
        </w:tc>
        <w:tc>
          <w:tcPr>
            <w:tcW w:w="992" w:type="dxa"/>
            <w:tcBorders>
              <w:top w:val="nil"/>
              <w:left w:val="nil"/>
              <w:bottom w:val="nil"/>
              <w:right w:val="nil"/>
            </w:tcBorders>
            <w:tcMar>
              <w:top w:w="100" w:type="dxa"/>
              <w:left w:w="100" w:type="dxa"/>
              <w:bottom w:w="100" w:type="dxa"/>
              <w:right w:w="100" w:type="dxa"/>
            </w:tcMar>
          </w:tcPr>
          <w:p w14:paraId="6DE1856C" w14:textId="77777777" w:rsidR="00670867" w:rsidRPr="009632F1" w:rsidRDefault="00670867" w:rsidP="008241B3">
            <w:pPr>
              <w:jc w:val="center"/>
              <w:rPr>
                <w:sz w:val="20"/>
                <w:szCs w:val="20"/>
              </w:rPr>
            </w:pPr>
            <w:r w:rsidRPr="009632F1">
              <w:rPr>
                <w:sz w:val="20"/>
                <w:szCs w:val="20"/>
              </w:rPr>
              <w:t>-1.84</w:t>
            </w:r>
          </w:p>
        </w:tc>
        <w:tc>
          <w:tcPr>
            <w:tcW w:w="1303" w:type="dxa"/>
            <w:gridSpan w:val="2"/>
            <w:tcBorders>
              <w:top w:val="nil"/>
              <w:left w:val="nil"/>
              <w:bottom w:val="nil"/>
              <w:right w:val="nil"/>
            </w:tcBorders>
            <w:tcMar>
              <w:top w:w="100" w:type="dxa"/>
              <w:left w:w="100" w:type="dxa"/>
              <w:bottom w:w="100" w:type="dxa"/>
              <w:right w:w="100" w:type="dxa"/>
            </w:tcMar>
          </w:tcPr>
          <w:p w14:paraId="7FC87A37" w14:textId="4BB71156" w:rsidR="00670867" w:rsidRPr="009632F1" w:rsidRDefault="009632F1" w:rsidP="008241B3">
            <w:pPr>
              <w:jc w:val="center"/>
              <w:rPr>
                <w:sz w:val="20"/>
                <w:szCs w:val="20"/>
              </w:rPr>
            </w:pPr>
            <w:r w:rsidRPr="009632F1">
              <w:rPr>
                <w:sz w:val="20"/>
                <w:szCs w:val="20"/>
              </w:rPr>
              <w:t>0.22</w:t>
            </w:r>
          </w:p>
        </w:tc>
        <w:tc>
          <w:tcPr>
            <w:tcW w:w="824" w:type="dxa"/>
            <w:gridSpan w:val="2"/>
            <w:tcBorders>
              <w:top w:val="nil"/>
              <w:left w:val="nil"/>
              <w:bottom w:val="nil"/>
              <w:right w:val="nil"/>
            </w:tcBorders>
            <w:tcMar>
              <w:top w:w="100" w:type="dxa"/>
              <w:left w:w="100" w:type="dxa"/>
              <w:bottom w:w="100" w:type="dxa"/>
              <w:right w:w="100" w:type="dxa"/>
            </w:tcMar>
          </w:tcPr>
          <w:p w14:paraId="49058518" w14:textId="77777777" w:rsidR="00670867" w:rsidRPr="009632F1" w:rsidRDefault="00670867" w:rsidP="008241B3">
            <w:pPr>
              <w:jc w:val="center"/>
              <w:rPr>
                <w:sz w:val="20"/>
                <w:szCs w:val="20"/>
              </w:rPr>
            </w:pPr>
            <w:r w:rsidRPr="009632F1">
              <w:rPr>
                <w:sz w:val="20"/>
                <w:szCs w:val="20"/>
              </w:rPr>
              <w:t>2.88</w:t>
            </w:r>
          </w:p>
        </w:tc>
        <w:tc>
          <w:tcPr>
            <w:tcW w:w="1201" w:type="dxa"/>
            <w:tcBorders>
              <w:top w:val="nil"/>
              <w:left w:val="nil"/>
              <w:bottom w:val="nil"/>
              <w:right w:val="nil"/>
            </w:tcBorders>
            <w:tcMar>
              <w:top w:w="100" w:type="dxa"/>
              <w:left w:w="100" w:type="dxa"/>
              <w:bottom w:w="100" w:type="dxa"/>
              <w:right w:w="100" w:type="dxa"/>
            </w:tcMar>
          </w:tcPr>
          <w:p w14:paraId="73CFBFF5" w14:textId="77777777" w:rsidR="00670867" w:rsidRPr="009632F1" w:rsidRDefault="00670867" w:rsidP="008241B3">
            <w:pPr>
              <w:jc w:val="center"/>
              <w:rPr>
                <w:sz w:val="20"/>
                <w:szCs w:val="20"/>
              </w:rPr>
            </w:pPr>
            <w:r w:rsidRPr="009632F1">
              <w:rPr>
                <w:sz w:val="20"/>
                <w:szCs w:val="20"/>
              </w:rPr>
              <w:t>0.44</w:t>
            </w:r>
          </w:p>
        </w:tc>
      </w:tr>
      <w:tr w:rsidR="00670867" w:rsidRPr="009632F1" w14:paraId="1837F65F" w14:textId="77777777" w:rsidTr="009632F1">
        <w:trPr>
          <w:trHeight w:val="1280"/>
        </w:trPr>
        <w:tc>
          <w:tcPr>
            <w:tcW w:w="1518" w:type="dxa"/>
            <w:tcBorders>
              <w:top w:val="nil"/>
              <w:left w:val="nil"/>
              <w:bottom w:val="single" w:sz="8" w:space="0" w:color="000000"/>
              <w:right w:val="nil"/>
            </w:tcBorders>
            <w:tcMar>
              <w:top w:w="100" w:type="dxa"/>
              <w:left w:w="100" w:type="dxa"/>
              <w:bottom w:w="100" w:type="dxa"/>
              <w:right w:w="100" w:type="dxa"/>
            </w:tcMar>
          </w:tcPr>
          <w:p w14:paraId="2CD2D067" w14:textId="77777777" w:rsidR="00670867" w:rsidRPr="009632F1" w:rsidRDefault="00670867" w:rsidP="008241B3">
            <w:pPr>
              <w:rPr>
                <w:b/>
                <w:sz w:val="20"/>
                <w:szCs w:val="20"/>
              </w:rPr>
            </w:pPr>
            <w:r w:rsidRPr="009632F1">
              <w:rPr>
                <w:b/>
                <w:sz w:val="20"/>
                <w:szCs w:val="20"/>
              </w:rPr>
              <w:t>Bystander Likelihood</w:t>
            </w:r>
          </w:p>
          <w:p w14:paraId="2E91BBA9" w14:textId="77777777" w:rsidR="00670867" w:rsidRPr="009632F1" w:rsidRDefault="00670867" w:rsidP="008241B3">
            <w:pPr>
              <w:rPr>
                <w:sz w:val="20"/>
                <w:szCs w:val="20"/>
              </w:rPr>
            </w:pPr>
            <w:r w:rsidRPr="009632F1">
              <w:rPr>
                <w:sz w:val="20"/>
                <w:szCs w:val="20"/>
              </w:rPr>
              <w:t xml:space="preserve"> </w:t>
            </w:r>
          </w:p>
          <w:p w14:paraId="27D91DBC" w14:textId="77777777" w:rsidR="00670867" w:rsidRPr="009632F1" w:rsidRDefault="00670867" w:rsidP="008241B3">
            <w:pPr>
              <w:rPr>
                <w:b/>
                <w:sz w:val="20"/>
                <w:szCs w:val="20"/>
              </w:rPr>
            </w:pPr>
            <w:r w:rsidRPr="009632F1">
              <w:rPr>
                <w:b/>
                <w:sz w:val="20"/>
                <w:szCs w:val="20"/>
              </w:rPr>
              <w:t xml:space="preserve"> </w:t>
            </w:r>
          </w:p>
        </w:tc>
        <w:tc>
          <w:tcPr>
            <w:tcW w:w="282" w:type="dxa"/>
            <w:tcBorders>
              <w:top w:val="nil"/>
              <w:left w:val="nil"/>
              <w:bottom w:val="single" w:sz="8" w:space="0" w:color="000000"/>
              <w:right w:val="nil"/>
            </w:tcBorders>
            <w:tcMar>
              <w:top w:w="100" w:type="dxa"/>
              <w:left w:w="100" w:type="dxa"/>
              <w:bottom w:w="100" w:type="dxa"/>
              <w:right w:w="100" w:type="dxa"/>
            </w:tcMar>
          </w:tcPr>
          <w:p w14:paraId="4F5678E2" w14:textId="77777777" w:rsidR="00670867" w:rsidRPr="009632F1" w:rsidRDefault="00670867" w:rsidP="008241B3">
            <w:pPr>
              <w:rPr>
                <w:sz w:val="20"/>
                <w:szCs w:val="20"/>
              </w:rPr>
            </w:pPr>
            <w:r w:rsidRPr="009632F1">
              <w:rPr>
                <w:sz w:val="20"/>
                <w:szCs w:val="20"/>
              </w:rPr>
              <w:t xml:space="preserve"> </w:t>
            </w:r>
          </w:p>
        </w:tc>
        <w:tc>
          <w:tcPr>
            <w:tcW w:w="585" w:type="dxa"/>
            <w:tcBorders>
              <w:top w:val="nil"/>
              <w:left w:val="nil"/>
              <w:bottom w:val="single" w:sz="8" w:space="0" w:color="000000"/>
              <w:right w:val="nil"/>
            </w:tcBorders>
            <w:tcMar>
              <w:top w:w="100" w:type="dxa"/>
              <w:left w:w="100" w:type="dxa"/>
              <w:bottom w:w="100" w:type="dxa"/>
              <w:right w:w="100" w:type="dxa"/>
            </w:tcMar>
          </w:tcPr>
          <w:p w14:paraId="436849CC" w14:textId="77777777" w:rsidR="00670867" w:rsidRPr="009632F1" w:rsidRDefault="00670867" w:rsidP="008241B3">
            <w:pPr>
              <w:jc w:val="center"/>
              <w:rPr>
                <w:sz w:val="20"/>
                <w:szCs w:val="20"/>
              </w:rPr>
            </w:pPr>
            <w:r w:rsidRPr="009632F1">
              <w:rPr>
                <w:sz w:val="20"/>
                <w:szCs w:val="20"/>
              </w:rPr>
              <w:t>129</w:t>
            </w:r>
          </w:p>
        </w:tc>
        <w:tc>
          <w:tcPr>
            <w:tcW w:w="765" w:type="dxa"/>
            <w:tcBorders>
              <w:top w:val="nil"/>
              <w:left w:val="nil"/>
              <w:bottom w:val="single" w:sz="8" w:space="0" w:color="000000"/>
              <w:right w:val="nil"/>
            </w:tcBorders>
            <w:tcMar>
              <w:top w:w="100" w:type="dxa"/>
              <w:left w:w="100" w:type="dxa"/>
              <w:bottom w:w="100" w:type="dxa"/>
              <w:right w:w="100" w:type="dxa"/>
            </w:tcMar>
          </w:tcPr>
          <w:p w14:paraId="12E3ECD5" w14:textId="77777777" w:rsidR="00670867" w:rsidRPr="009632F1" w:rsidRDefault="00670867" w:rsidP="008241B3">
            <w:pPr>
              <w:jc w:val="center"/>
              <w:rPr>
                <w:sz w:val="20"/>
                <w:szCs w:val="20"/>
              </w:rPr>
            </w:pPr>
            <w:r w:rsidRPr="009632F1">
              <w:rPr>
                <w:sz w:val="20"/>
                <w:szCs w:val="20"/>
              </w:rPr>
              <w:t>177</w:t>
            </w:r>
          </w:p>
        </w:tc>
        <w:tc>
          <w:tcPr>
            <w:tcW w:w="1110" w:type="dxa"/>
            <w:tcBorders>
              <w:top w:val="nil"/>
              <w:left w:val="nil"/>
              <w:bottom w:val="single" w:sz="8" w:space="0" w:color="000000"/>
              <w:right w:val="nil"/>
            </w:tcBorders>
            <w:tcMar>
              <w:top w:w="100" w:type="dxa"/>
              <w:left w:w="100" w:type="dxa"/>
              <w:bottom w:w="100" w:type="dxa"/>
              <w:right w:w="100" w:type="dxa"/>
            </w:tcMar>
          </w:tcPr>
          <w:p w14:paraId="4D015310" w14:textId="220778A9" w:rsidR="00670867" w:rsidRPr="009632F1" w:rsidRDefault="00670867" w:rsidP="008241B3">
            <w:pPr>
              <w:jc w:val="center"/>
              <w:rPr>
                <w:sz w:val="20"/>
                <w:szCs w:val="20"/>
              </w:rPr>
            </w:pPr>
            <w:r w:rsidRPr="009632F1">
              <w:rPr>
                <w:sz w:val="20"/>
                <w:szCs w:val="20"/>
              </w:rPr>
              <w:t>59.9</w:t>
            </w:r>
            <w:r w:rsidR="009632F1" w:rsidRPr="009632F1">
              <w:rPr>
                <w:sz w:val="20"/>
                <w:szCs w:val="20"/>
              </w:rPr>
              <w:t>0</w:t>
            </w:r>
          </w:p>
        </w:tc>
        <w:tc>
          <w:tcPr>
            <w:tcW w:w="802" w:type="dxa"/>
            <w:tcBorders>
              <w:top w:val="nil"/>
              <w:left w:val="nil"/>
              <w:bottom w:val="single" w:sz="8" w:space="0" w:color="000000"/>
              <w:right w:val="nil"/>
            </w:tcBorders>
            <w:tcMar>
              <w:top w:w="100" w:type="dxa"/>
              <w:left w:w="100" w:type="dxa"/>
              <w:bottom w:w="100" w:type="dxa"/>
              <w:right w:w="100" w:type="dxa"/>
            </w:tcMar>
          </w:tcPr>
          <w:p w14:paraId="46DC62AE" w14:textId="77777777" w:rsidR="00670867" w:rsidRPr="009632F1" w:rsidRDefault="00670867" w:rsidP="008241B3">
            <w:pPr>
              <w:jc w:val="center"/>
              <w:rPr>
                <w:sz w:val="20"/>
                <w:szCs w:val="20"/>
              </w:rPr>
            </w:pPr>
            <w:r w:rsidRPr="009632F1">
              <w:rPr>
                <w:sz w:val="20"/>
                <w:szCs w:val="20"/>
              </w:rPr>
              <w:t>0</w:t>
            </w:r>
          </w:p>
        </w:tc>
        <w:tc>
          <w:tcPr>
            <w:tcW w:w="850" w:type="dxa"/>
            <w:tcBorders>
              <w:top w:val="nil"/>
              <w:left w:val="nil"/>
              <w:bottom w:val="single" w:sz="8" w:space="0" w:color="000000"/>
              <w:right w:val="nil"/>
            </w:tcBorders>
            <w:tcMar>
              <w:top w:w="100" w:type="dxa"/>
              <w:left w:w="100" w:type="dxa"/>
              <w:bottom w:w="100" w:type="dxa"/>
              <w:right w:w="100" w:type="dxa"/>
            </w:tcMar>
          </w:tcPr>
          <w:p w14:paraId="0FC28D33" w14:textId="77777777" w:rsidR="00670867" w:rsidRPr="009632F1" w:rsidRDefault="00670867" w:rsidP="008241B3">
            <w:pPr>
              <w:jc w:val="center"/>
              <w:rPr>
                <w:sz w:val="20"/>
                <w:szCs w:val="20"/>
              </w:rPr>
            </w:pPr>
            <w:r w:rsidRPr="009632F1">
              <w:rPr>
                <w:sz w:val="20"/>
                <w:szCs w:val="20"/>
              </w:rPr>
              <w:t>260</w:t>
            </w:r>
          </w:p>
        </w:tc>
        <w:tc>
          <w:tcPr>
            <w:tcW w:w="992" w:type="dxa"/>
            <w:tcBorders>
              <w:top w:val="nil"/>
              <w:left w:val="nil"/>
              <w:bottom w:val="single" w:sz="8" w:space="0" w:color="000000"/>
              <w:right w:val="nil"/>
            </w:tcBorders>
            <w:tcMar>
              <w:top w:w="100" w:type="dxa"/>
              <w:left w:w="100" w:type="dxa"/>
              <w:bottom w:w="100" w:type="dxa"/>
              <w:right w:w="100" w:type="dxa"/>
            </w:tcMar>
          </w:tcPr>
          <w:p w14:paraId="35AF84CA" w14:textId="545D62F4" w:rsidR="00670867" w:rsidRPr="009632F1" w:rsidRDefault="009632F1" w:rsidP="008241B3">
            <w:pPr>
              <w:jc w:val="center"/>
              <w:rPr>
                <w:sz w:val="20"/>
                <w:szCs w:val="20"/>
              </w:rPr>
            </w:pPr>
            <w:r w:rsidRPr="009632F1">
              <w:rPr>
                <w:sz w:val="20"/>
                <w:szCs w:val="20"/>
              </w:rPr>
              <w:t>-0.88</w:t>
            </w:r>
          </w:p>
        </w:tc>
        <w:tc>
          <w:tcPr>
            <w:tcW w:w="1303" w:type="dxa"/>
            <w:gridSpan w:val="2"/>
            <w:tcBorders>
              <w:top w:val="nil"/>
              <w:left w:val="nil"/>
              <w:bottom w:val="single" w:sz="8" w:space="0" w:color="000000"/>
              <w:right w:val="nil"/>
            </w:tcBorders>
            <w:tcMar>
              <w:top w:w="100" w:type="dxa"/>
              <w:left w:w="100" w:type="dxa"/>
              <w:bottom w:w="100" w:type="dxa"/>
              <w:right w:w="100" w:type="dxa"/>
            </w:tcMar>
          </w:tcPr>
          <w:p w14:paraId="29861A1E" w14:textId="11C076C6" w:rsidR="00670867" w:rsidRPr="009632F1" w:rsidRDefault="009632F1" w:rsidP="008241B3">
            <w:pPr>
              <w:jc w:val="center"/>
              <w:rPr>
                <w:sz w:val="20"/>
                <w:szCs w:val="20"/>
              </w:rPr>
            </w:pPr>
            <w:r w:rsidRPr="009632F1">
              <w:rPr>
                <w:sz w:val="20"/>
                <w:szCs w:val="20"/>
              </w:rPr>
              <w:t>0.21</w:t>
            </w:r>
          </w:p>
        </w:tc>
        <w:tc>
          <w:tcPr>
            <w:tcW w:w="824" w:type="dxa"/>
            <w:gridSpan w:val="2"/>
            <w:tcBorders>
              <w:top w:val="nil"/>
              <w:left w:val="nil"/>
              <w:bottom w:val="single" w:sz="8" w:space="0" w:color="000000"/>
              <w:right w:val="nil"/>
            </w:tcBorders>
            <w:tcMar>
              <w:top w:w="100" w:type="dxa"/>
              <w:left w:w="100" w:type="dxa"/>
              <w:bottom w:w="100" w:type="dxa"/>
              <w:right w:w="100" w:type="dxa"/>
            </w:tcMar>
          </w:tcPr>
          <w:p w14:paraId="18A4B77C" w14:textId="77777777" w:rsidR="00670867" w:rsidRPr="009632F1" w:rsidRDefault="00670867" w:rsidP="008241B3">
            <w:pPr>
              <w:jc w:val="center"/>
              <w:rPr>
                <w:sz w:val="20"/>
                <w:szCs w:val="20"/>
              </w:rPr>
            </w:pPr>
            <w:r w:rsidRPr="009632F1">
              <w:rPr>
                <w:sz w:val="20"/>
                <w:szCs w:val="20"/>
              </w:rPr>
              <w:t>0.487</w:t>
            </w:r>
          </w:p>
        </w:tc>
        <w:tc>
          <w:tcPr>
            <w:tcW w:w="1201" w:type="dxa"/>
            <w:tcBorders>
              <w:top w:val="nil"/>
              <w:left w:val="nil"/>
              <w:bottom w:val="single" w:sz="8" w:space="0" w:color="000000"/>
              <w:right w:val="nil"/>
            </w:tcBorders>
            <w:tcMar>
              <w:top w:w="100" w:type="dxa"/>
              <w:left w:w="100" w:type="dxa"/>
              <w:bottom w:w="100" w:type="dxa"/>
              <w:right w:w="100" w:type="dxa"/>
            </w:tcMar>
          </w:tcPr>
          <w:p w14:paraId="021FC793" w14:textId="70508A47" w:rsidR="00670867" w:rsidRPr="009632F1" w:rsidRDefault="009632F1" w:rsidP="008241B3">
            <w:pPr>
              <w:jc w:val="center"/>
              <w:rPr>
                <w:sz w:val="20"/>
                <w:szCs w:val="20"/>
              </w:rPr>
            </w:pPr>
            <w:r w:rsidRPr="009632F1">
              <w:rPr>
                <w:sz w:val="20"/>
                <w:szCs w:val="20"/>
              </w:rPr>
              <w:t>0.42</w:t>
            </w:r>
          </w:p>
        </w:tc>
      </w:tr>
    </w:tbl>
    <w:p w14:paraId="35F3552F" w14:textId="77777777" w:rsidR="00670867" w:rsidRDefault="00670867" w:rsidP="00670867"/>
    <w:p w14:paraId="5317BF2B" w14:textId="77777777" w:rsidR="00670867" w:rsidRDefault="00670867" w:rsidP="00670867">
      <w:r>
        <w:br w:type="page"/>
      </w:r>
    </w:p>
    <w:p w14:paraId="510DBF51" w14:textId="77777777" w:rsidR="00670867" w:rsidRDefault="00670867" w:rsidP="00670867"/>
    <w:p w14:paraId="17717972" w14:textId="77777777" w:rsidR="00670867" w:rsidRDefault="00670867" w:rsidP="00670867">
      <w:pPr>
        <w:spacing w:line="480" w:lineRule="auto"/>
        <w:rPr>
          <w:b/>
        </w:rPr>
      </w:pPr>
    </w:p>
    <w:p w14:paraId="774CB6EB" w14:textId="77777777" w:rsidR="00670867" w:rsidRDefault="00670867" w:rsidP="00670867">
      <w:pPr>
        <w:spacing w:line="479" w:lineRule="auto"/>
      </w:pPr>
      <w:r>
        <w:rPr>
          <w:b/>
        </w:rPr>
        <w:t>Table 2. Zero-order correlations among main study variables.</w:t>
      </w:r>
    </w:p>
    <w:tbl>
      <w:tblPr>
        <w:tblW w:w="10190" w:type="dxa"/>
        <w:tblBorders>
          <w:top w:val="nil"/>
          <w:left w:val="nil"/>
          <w:bottom w:val="nil"/>
          <w:right w:val="nil"/>
          <w:insideH w:val="nil"/>
          <w:insideV w:val="nil"/>
        </w:tblBorders>
        <w:tblLayout w:type="fixed"/>
        <w:tblLook w:val="0600" w:firstRow="0" w:lastRow="0" w:firstColumn="0" w:lastColumn="0" w:noHBand="1" w:noVBand="1"/>
      </w:tblPr>
      <w:tblGrid>
        <w:gridCol w:w="1185"/>
        <w:gridCol w:w="1185"/>
        <w:gridCol w:w="1170"/>
        <w:gridCol w:w="1395"/>
        <w:gridCol w:w="1530"/>
        <w:gridCol w:w="1155"/>
        <w:gridCol w:w="1185"/>
        <w:gridCol w:w="1110"/>
        <w:gridCol w:w="275"/>
      </w:tblGrid>
      <w:tr w:rsidR="00670867" w14:paraId="39722994" w14:textId="77777777" w:rsidTr="008241B3">
        <w:trPr>
          <w:trHeight w:val="755"/>
        </w:trPr>
        <w:tc>
          <w:tcPr>
            <w:tcW w:w="1185" w:type="dxa"/>
            <w:tcBorders>
              <w:top w:val="single" w:sz="8" w:space="0" w:color="000000"/>
              <w:left w:val="nil"/>
              <w:bottom w:val="single" w:sz="8" w:space="0" w:color="000000"/>
              <w:right w:val="nil"/>
            </w:tcBorders>
            <w:tcMar>
              <w:top w:w="100" w:type="dxa"/>
              <w:left w:w="100" w:type="dxa"/>
              <w:bottom w:w="100" w:type="dxa"/>
              <w:right w:w="100" w:type="dxa"/>
            </w:tcMar>
          </w:tcPr>
          <w:p w14:paraId="55125187" w14:textId="77777777" w:rsidR="00670867" w:rsidRDefault="00670867" w:rsidP="008241B3">
            <w:r>
              <w:t xml:space="preserve"> </w:t>
            </w:r>
          </w:p>
        </w:tc>
        <w:tc>
          <w:tcPr>
            <w:tcW w:w="1185" w:type="dxa"/>
            <w:tcBorders>
              <w:top w:val="single" w:sz="8" w:space="0" w:color="000000"/>
              <w:left w:val="nil"/>
              <w:bottom w:val="single" w:sz="8" w:space="0" w:color="000000"/>
              <w:right w:val="nil"/>
            </w:tcBorders>
            <w:tcMar>
              <w:top w:w="100" w:type="dxa"/>
              <w:left w:w="100" w:type="dxa"/>
              <w:bottom w:w="100" w:type="dxa"/>
              <w:right w:w="100" w:type="dxa"/>
            </w:tcMar>
          </w:tcPr>
          <w:p w14:paraId="3ACE8122" w14:textId="77777777" w:rsidR="00670867" w:rsidRDefault="00670867" w:rsidP="008241B3">
            <w:r>
              <w:t xml:space="preserve"> </w:t>
            </w:r>
          </w:p>
        </w:tc>
        <w:tc>
          <w:tcPr>
            <w:tcW w:w="1170" w:type="dxa"/>
            <w:tcBorders>
              <w:top w:val="single" w:sz="8" w:space="0" w:color="000000"/>
              <w:left w:val="nil"/>
              <w:bottom w:val="single" w:sz="8" w:space="0" w:color="000000"/>
              <w:right w:val="nil"/>
            </w:tcBorders>
            <w:tcMar>
              <w:top w:w="100" w:type="dxa"/>
              <w:left w:w="100" w:type="dxa"/>
              <w:bottom w:w="100" w:type="dxa"/>
              <w:right w:w="100" w:type="dxa"/>
            </w:tcMar>
          </w:tcPr>
          <w:p w14:paraId="1F3CCE12" w14:textId="77777777" w:rsidR="00670867" w:rsidRDefault="00670867" w:rsidP="008241B3">
            <w:pPr>
              <w:jc w:val="center"/>
              <w:rPr>
                <w:b/>
              </w:rPr>
            </w:pPr>
            <w:r>
              <w:rPr>
                <w:b/>
              </w:rPr>
              <w:t>1</w:t>
            </w:r>
          </w:p>
        </w:tc>
        <w:tc>
          <w:tcPr>
            <w:tcW w:w="1395" w:type="dxa"/>
            <w:tcBorders>
              <w:top w:val="single" w:sz="8" w:space="0" w:color="000000"/>
              <w:left w:val="nil"/>
              <w:bottom w:val="single" w:sz="8" w:space="0" w:color="000000"/>
              <w:right w:val="nil"/>
            </w:tcBorders>
            <w:tcMar>
              <w:top w:w="100" w:type="dxa"/>
              <w:left w:w="100" w:type="dxa"/>
              <w:bottom w:w="100" w:type="dxa"/>
              <w:right w:w="100" w:type="dxa"/>
            </w:tcMar>
          </w:tcPr>
          <w:p w14:paraId="7ABA3E69" w14:textId="77777777" w:rsidR="00670867" w:rsidRDefault="00670867" w:rsidP="008241B3">
            <w:pPr>
              <w:jc w:val="center"/>
              <w:rPr>
                <w:b/>
              </w:rPr>
            </w:pPr>
            <w:r>
              <w:rPr>
                <w:b/>
              </w:rPr>
              <w:t>2</w:t>
            </w:r>
          </w:p>
        </w:tc>
        <w:tc>
          <w:tcPr>
            <w:tcW w:w="1530" w:type="dxa"/>
            <w:tcBorders>
              <w:top w:val="single" w:sz="8" w:space="0" w:color="000000"/>
              <w:left w:val="nil"/>
              <w:bottom w:val="single" w:sz="8" w:space="0" w:color="000000"/>
              <w:right w:val="nil"/>
            </w:tcBorders>
            <w:tcMar>
              <w:top w:w="100" w:type="dxa"/>
              <w:left w:w="100" w:type="dxa"/>
              <w:bottom w:w="100" w:type="dxa"/>
              <w:right w:w="100" w:type="dxa"/>
            </w:tcMar>
          </w:tcPr>
          <w:p w14:paraId="55F932FC" w14:textId="77777777" w:rsidR="00670867" w:rsidRDefault="00670867" w:rsidP="008241B3">
            <w:pPr>
              <w:jc w:val="center"/>
              <w:rPr>
                <w:b/>
              </w:rPr>
            </w:pPr>
            <w:r>
              <w:rPr>
                <w:b/>
              </w:rPr>
              <w:t>3</w:t>
            </w:r>
          </w:p>
        </w:tc>
        <w:tc>
          <w:tcPr>
            <w:tcW w:w="1155" w:type="dxa"/>
            <w:tcBorders>
              <w:top w:val="single" w:sz="8" w:space="0" w:color="000000"/>
              <w:left w:val="nil"/>
              <w:bottom w:val="single" w:sz="8" w:space="0" w:color="000000"/>
              <w:right w:val="nil"/>
            </w:tcBorders>
            <w:tcMar>
              <w:top w:w="100" w:type="dxa"/>
              <w:left w:w="100" w:type="dxa"/>
              <w:bottom w:w="100" w:type="dxa"/>
              <w:right w:w="100" w:type="dxa"/>
            </w:tcMar>
          </w:tcPr>
          <w:p w14:paraId="5425DC84" w14:textId="77777777" w:rsidR="00670867" w:rsidRDefault="00670867" w:rsidP="008241B3">
            <w:pPr>
              <w:jc w:val="center"/>
              <w:rPr>
                <w:b/>
              </w:rPr>
            </w:pPr>
            <w:r>
              <w:rPr>
                <w:b/>
              </w:rPr>
              <w:t>4</w:t>
            </w:r>
          </w:p>
        </w:tc>
        <w:tc>
          <w:tcPr>
            <w:tcW w:w="1185" w:type="dxa"/>
            <w:tcBorders>
              <w:top w:val="single" w:sz="8" w:space="0" w:color="000000"/>
              <w:left w:val="nil"/>
              <w:bottom w:val="single" w:sz="8" w:space="0" w:color="000000"/>
              <w:right w:val="nil"/>
            </w:tcBorders>
            <w:tcMar>
              <w:top w:w="100" w:type="dxa"/>
              <w:left w:w="100" w:type="dxa"/>
              <w:bottom w:w="100" w:type="dxa"/>
              <w:right w:w="100" w:type="dxa"/>
            </w:tcMar>
          </w:tcPr>
          <w:p w14:paraId="4B898E2B" w14:textId="77777777" w:rsidR="00670867" w:rsidRDefault="00670867" w:rsidP="008241B3">
            <w:pPr>
              <w:jc w:val="center"/>
              <w:rPr>
                <w:b/>
              </w:rPr>
            </w:pPr>
            <w:r>
              <w:rPr>
                <w:b/>
              </w:rPr>
              <w:t>5</w:t>
            </w:r>
          </w:p>
        </w:tc>
        <w:tc>
          <w:tcPr>
            <w:tcW w:w="1385" w:type="dxa"/>
            <w:gridSpan w:val="2"/>
            <w:tcBorders>
              <w:top w:val="single" w:sz="8" w:space="0" w:color="000000"/>
              <w:left w:val="nil"/>
              <w:bottom w:val="single" w:sz="8" w:space="0" w:color="000000"/>
              <w:right w:val="nil"/>
            </w:tcBorders>
            <w:tcMar>
              <w:top w:w="100" w:type="dxa"/>
              <w:left w:w="100" w:type="dxa"/>
              <w:bottom w:w="100" w:type="dxa"/>
              <w:right w:w="100" w:type="dxa"/>
            </w:tcMar>
          </w:tcPr>
          <w:p w14:paraId="771FD5C5" w14:textId="77777777" w:rsidR="00670867" w:rsidRDefault="00670867" w:rsidP="008241B3">
            <w:pPr>
              <w:jc w:val="center"/>
              <w:rPr>
                <w:b/>
              </w:rPr>
            </w:pPr>
            <w:r>
              <w:rPr>
                <w:b/>
              </w:rPr>
              <w:t>6</w:t>
            </w:r>
          </w:p>
          <w:p w14:paraId="1B58D1B7" w14:textId="77777777" w:rsidR="00670867" w:rsidRDefault="00670867" w:rsidP="008241B3">
            <w:pPr>
              <w:jc w:val="center"/>
              <w:rPr>
                <w:b/>
              </w:rPr>
            </w:pPr>
            <w:r>
              <w:rPr>
                <w:b/>
              </w:rPr>
              <w:t xml:space="preserve"> </w:t>
            </w:r>
          </w:p>
        </w:tc>
      </w:tr>
      <w:tr w:rsidR="00670867" w14:paraId="42D6FE12" w14:textId="77777777" w:rsidTr="008241B3">
        <w:trPr>
          <w:trHeight w:val="650"/>
        </w:trPr>
        <w:tc>
          <w:tcPr>
            <w:tcW w:w="2370" w:type="dxa"/>
            <w:gridSpan w:val="2"/>
            <w:tcBorders>
              <w:top w:val="nil"/>
              <w:left w:val="nil"/>
              <w:bottom w:val="nil"/>
              <w:right w:val="nil"/>
            </w:tcBorders>
            <w:shd w:val="clear" w:color="auto" w:fill="auto"/>
            <w:tcMar>
              <w:top w:w="100" w:type="dxa"/>
              <w:left w:w="100" w:type="dxa"/>
              <w:bottom w:w="100" w:type="dxa"/>
              <w:right w:w="100" w:type="dxa"/>
            </w:tcMar>
          </w:tcPr>
          <w:p w14:paraId="6BB1F345" w14:textId="77777777" w:rsidR="00670867" w:rsidRDefault="00670867" w:rsidP="008241B3">
            <w:r>
              <w:t>1. Age</w:t>
            </w:r>
          </w:p>
        </w:tc>
        <w:tc>
          <w:tcPr>
            <w:tcW w:w="1170" w:type="dxa"/>
            <w:tcBorders>
              <w:top w:val="nil"/>
              <w:left w:val="nil"/>
              <w:bottom w:val="nil"/>
              <w:right w:val="nil"/>
            </w:tcBorders>
            <w:shd w:val="clear" w:color="auto" w:fill="auto"/>
            <w:tcMar>
              <w:top w:w="100" w:type="dxa"/>
              <w:left w:w="100" w:type="dxa"/>
              <w:bottom w:w="100" w:type="dxa"/>
              <w:right w:w="100" w:type="dxa"/>
            </w:tcMar>
          </w:tcPr>
          <w:p w14:paraId="24CE9C79" w14:textId="77777777" w:rsidR="00670867" w:rsidRDefault="00670867" w:rsidP="008241B3">
            <w:pPr>
              <w:jc w:val="center"/>
            </w:pPr>
            <w:r>
              <w:t>—</w:t>
            </w:r>
          </w:p>
        </w:tc>
        <w:tc>
          <w:tcPr>
            <w:tcW w:w="1395" w:type="dxa"/>
            <w:tcBorders>
              <w:top w:val="nil"/>
              <w:left w:val="nil"/>
              <w:bottom w:val="nil"/>
              <w:right w:val="nil"/>
            </w:tcBorders>
            <w:shd w:val="clear" w:color="auto" w:fill="auto"/>
            <w:tcMar>
              <w:top w:w="100" w:type="dxa"/>
              <w:left w:w="100" w:type="dxa"/>
              <w:bottom w:w="100" w:type="dxa"/>
              <w:right w:w="100" w:type="dxa"/>
            </w:tcMar>
          </w:tcPr>
          <w:p w14:paraId="255591EB" w14:textId="77777777" w:rsidR="00670867" w:rsidRDefault="00670867" w:rsidP="008241B3">
            <w:pPr>
              <w:jc w:val="center"/>
            </w:pPr>
            <w:r>
              <w:t xml:space="preserve"> </w:t>
            </w:r>
          </w:p>
        </w:tc>
        <w:tc>
          <w:tcPr>
            <w:tcW w:w="1530" w:type="dxa"/>
            <w:tcBorders>
              <w:top w:val="nil"/>
              <w:left w:val="nil"/>
              <w:bottom w:val="nil"/>
              <w:right w:val="nil"/>
            </w:tcBorders>
            <w:shd w:val="clear" w:color="auto" w:fill="auto"/>
            <w:tcMar>
              <w:top w:w="100" w:type="dxa"/>
              <w:left w:w="100" w:type="dxa"/>
              <w:bottom w:w="100" w:type="dxa"/>
              <w:right w:w="100" w:type="dxa"/>
            </w:tcMar>
          </w:tcPr>
          <w:p w14:paraId="5ECBB48B" w14:textId="77777777" w:rsidR="00670867" w:rsidRDefault="00670867" w:rsidP="008241B3">
            <w:pPr>
              <w:jc w:val="center"/>
            </w:pPr>
            <w:r>
              <w:t xml:space="preserve"> </w:t>
            </w:r>
          </w:p>
        </w:tc>
        <w:tc>
          <w:tcPr>
            <w:tcW w:w="1155" w:type="dxa"/>
            <w:tcBorders>
              <w:top w:val="nil"/>
              <w:left w:val="nil"/>
              <w:bottom w:val="nil"/>
              <w:right w:val="nil"/>
            </w:tcBorders>
            <w:shd w:val="clear" w:color="auto" w:fill="auto"/>
            <w:tcMar>
              <w:top w:w="100" w:type="dxa"/>
              <w:left w:w="100" w:type="dxa"/>
              <w:bottom w:w="100" w:type="dxa"/>
              <w:right w:w="100" w:type="dxa"/>
            </w:tcMar>
          </w:tcPr>
          <w:p w14:paraId="47DA1FF9" w14:textId="77777777" w:rsidR="00670867" w:rsidRDefault="00670867" w:rsidP="008241B3">
            <w:pPr>
              <w:jc w:val="center"/>
            </w:pPr>
            <w:r>
              <w:t xml:space="preserve"> </w:t>
            </w:r>
          </w:p>
        </w:tc>
        <w:tc>
          <w:tcPr>
            <w:tcW w:w="1185" w:type="dxa"/>
            <w:tcBorders>
              <w:top w:val="nil"/>
              <w:left w:val="nil"/>
              <w:bottom w:val="nil"/>
              <w:right w:val="nil"/>
            </w:tcBorders>
            <w:shd w:val="clear" w:color="auto" w:fill="auto"/>
            <w:tcMar>
              <w:top w:w="100" w:type="dxa"/>
              <w:left w:w="100" w:type="dxa"/>
              <w:bottom w:w="100" w:type="dxa"/>
              <w:right w:w="100" w:type="dxa"/>
            </w:tcMar>
          </w:tcPr>
          <w:p w14:paraId="16096761" w14:textId="77777777" w:rsidR="00670867" w:rsidRDefault="00670867" w:rsidP="008241B3">
            <w:pPr>
              <w:jc w:val="center"/>
            </w:pPr>
            <w:r>
              <w:t xml:space="preserve"> </w:t>
            </w:r>
          </w:p>
        </w:tc>
        <w:tc>
          <w:tcPr>
            <w:tcW w:w="1110" w:type="dxa"/>
            <w:tcBorders>
              <w:top w:val="nil"/>
              <w:left w:val="nil"/>
              <w:bottom w:val="nil"/>
              <w:right w:val="nil"/>
            </w:tcBorders>
            <w:shd w:val="clear" w:color="auto" w:fill="auto"/>
            <w:tcMar>
              <w:top w:w="100" w:type="dxa"/>
              <w:left w:w="100" w:type="dxa"/>
              <w:bottom w:w="100" w:type="dxa"/>
              <w:right w:w="100" w:type="dxa"/>
            </w:tcMar>
          </w:tcPr>
          <w:p w14:paraId="01CFB881" w14:textId="77777777" w:rsidR="00670867" w:rsidRDefault="00670867" w:rsidP="008241B3">
            <w:pPr>
              <w:jc w:val="center"/>
            </w:pPr>
            <w:r>
              <w:t xml:space="preserve"> </w:t>
            </w:r>
          </w:p>
        </w:tc>
        <w:tc>
          <w:tcPr>
            <w:tcW w:w="275" w:type="dxa"/>
            <w:tcBorders>
              <w:top w:val="nil"/>
              <w:left w:val="nil"/>
              <w:bottom w:val="nil"/>
              <w:right w:val="nil"/>
            </w:tcBorders>
            <w:shd w:val="clear" w:color="auto" w:fill="auto"/>
            <w:tcMar>
              <w:top w:w="100" w:type="dxa"/>
              <w:left w:w="100" w:type="dxa"/>
              <w:bottom w:w="100" w:type="dxa"/>
              <w:right w:w="100" w:type="dxa"/>
            </w:tcMar>
          </w:tcPr>
          <w:p w14:paraId="18E5CC30" w14:textId="77777777" w:rsidR="00670867" w:rsidRDefault="00670867" w:rsidP="008241B3">
            <w:r>
              <w:t xml:space="preserve"> </w:t>
            </w:r>
          </w:p>
        </w:tc>
      </w:tr>
      <w:tr w:rsidR="00670867" w14:paraId="7A6033B4" w14:textId="77777777" w:rsidTr="008241B3">
        <w:trPr>
          <w:trHeight w:val="680"/>
        </w:trPr>
        <w:tc>
          <w:tcPr>
            <w:tcW w:w="2370" w:type="dxa"/>
            <w:gridSpan w:val="2"/>
            <w:tcBorders>
              <w:top w:val="nil"/>
              <w:left w:val="nil"/>
              <w:bottom w:val="nil"/>
              <w:right w:val="nil"/>
            </w:tcBorders>
            <w:shd w:val="clear" w:color="auto" w:fill="auto"/>
            <w:tcMar>
              <w:top w:w="100" w:type="dxa"/>
              <w:left w:w="100" w:type="dxa"/>
              <w:bottom w:w="100" w:type="dxa"/>
              <w:right w:w="100" w:type="dxa"/>
            </w:tcMar>
          </w:tcPr>
          <w:p w14:paraId="4CDDBE99" w14:textId="77777777" w:rsidR="00670867" w:rsidRDefault="00670867" w:rsidP="008241B3">
            <w:r>
              <w:t>2. Rape Myth</w:t>
            </w:r>
          </w:p>
        </w:tc>
        <w:tc>
          <w:tcPr>
            <w:tcW w:w="1170" w:type="dxa"/>
            <w:tcBorders>
              <w:top w:val="nil"/>
              <w:left w:val="nil"/>
              <w:bottom w:val="nil"/>
              <w:right w:val="nil"/>
            </w:tcBorders>
            <w:shd w:val="clear" w:color="auto" w:fill="auto"/>
            <w:tcMar>
              <w:top w:w="100" w:type="dxa"/>
              <w:left w:w="100" w:type="dxa"/>
              <w:bottom w:w="100" w:type="dxa"/>
              <w:right w:w="100" w:type="dxa"/>
            </w:tcMar>
          </w:tcPr>
          <w:p w14:paraId="71E5C70D" w14:textId="77777777" w:rsidR="00670867" w:rsidRDefault="00670867" w:rsidP="008241B3">
            <w:pPr>
              <w:jc w:val="center"/>
            </w:pPr>
            <w:r>
              <w:t>-.09</w:t>
            </w:r>
          </w:p>
        </w:tc>
        <w:tc>
          <w:tcPr>
            <w:tcW w:w="1395" w:type="dxa"/>
            <w:tcBorders>
              <w:top w:val="nil"/>
              <w:left w:val="nil"/>
              <w:bottom w:val="nil"/>
              <w:right w:val="nil"/>
            </w:tcBorders>
            <w:shd w:val="clear" w:color="auto" w:fill="auto"/>
            <w:tcMar>
              <w:top w:w="100" w:type="dxa"/>
              <w:left w:w="100" w:type="dxa"/>
              <w:bottom w:w="100" w:type="dxa"/>
              <w:right w:w="100" w:type="dxa"/>
            </w:tcMar>
          </w:tcPr>
          <w:p w14:paraId="171224E7" w14:textId="77777777" w:rsidR="00670867" w:rsidRDefault="00670867" w:rsidP="008241B3">
            <w:pPr>
              <w:jc w:val="center"/>
            </w:pPr>
            <w:r>
              <w:t>—</w:t>
            </w:r>
          </w:p>
        </w:tc>
        <w:tc>
          <w:tcPr>
            <w:tcW w:w="1530" w:type="dxa"/>
            <w:tcBorders>
              <w:top w:val="nil"/>
              <w:left w:val="nil"/>
              <w:bottom w:val="nil"/>
              <w:right w:val="nil"/>
            </w:tcBorders>
            <w:shd w:val="clear" w:color="auto" w:fill="auto"/>
            <w:tcMar>
              <w:top w:w="100" w:type="dxa"/>
              <w:left w:w="100" w:type="dxa"/>
              <w:bottom w:w="100" w:type="dxa"/>
              <w:right w:w="100" w:type="dxa"/>
            </w:tcMar>
          </w:tcPr>
          <w:p w14:paraId="2E1E6A0A" w14:textId="77777777" w:rsidR="00670867" w:rsidRDefault="00670867" w:rsidP="008241B3">
            <w:pPr>
              <w:jc w:val="center"/>
            </w:pPr>
            <w:r>
              <w:t xml:space="preserve"> </w:t>
            </w:r>
          </w:p>
        </w:tc>
        <w:tc>
          <w:tcPr>
            <w:tcW w:w="1155" w:type="dxa"/>
            <w:tcBorders>
              <w:top w:val="nil"/>
              <w:left w:val="nil"/>
              <w:bottom w:val="nil"/>
              <w:right w:val="nil"/>
            </w:tcBorders>
            <w:shd w:val="clear" w:color="auto" w:fill="auto"/>
            <w:tcMar>
              <w:top w:w="100" w:type="dxa"/>
              <w:left w:w="100" w:type="dxa"/>
              <w:bottom w:w="100" w:type="dxa"/>
              <w:right w:w="100" w:type="dxa"/>
            </w:tcMar>
          </w:tcPr>
          <w:p w14:paraId="5FD6DD58" w14:textId="77777777" w:rsidR="00670867" w:rsidRDefault="00670867" w:rsidP="008241B3">
            <w:pPr>
              <w:jc w:val="center"/>
            </w:pPr>
            <w:r>
              <w:t xml:space="preserve"> </w:t>
            </w:r>
          </w:p>
        </w:tc>
        <w:tc>
          <w:tcPr>
            <w:tcW w:w="1185" w:type="dxa"/>
            <w:tcBorders>
              <w:top w:val="nil"/>
              <w:left w:val="nil"/>
              <w:bottom w:val="nil"/>
              <w:right w:val="nil"/>
            </w:tcBorders>
            <w:shd w:val="clear" w:color="auto" w:fill="auto"/>
            <w:tcMar>
              <w:top w:w="100" w:type="dxa"/>
              <w:left w:w="100" w:type="dxa"/>
              <w:bottom w:w="100" w:type="dxa"/>
              <w:right w:w="100" w:type="dxa"/>
            </w:tcMar>
          </w:tcPr>
          <w:p w14:paraId="50F65F65" w14:textId="77777777" w:rsidR="00670867" w:rsidRDefault="00670867" w:rsidP="008241B3">
            <w:pPr>
              <w:jc w:val="center"/>
            </w:pPr>
            <w:r>
              <w:t xml:space="preserve"> </w:t>
            </w:r>
          </w:p>
        </w:tc>
        <w:tc>
          <w:tcPr>
            <w:tcW w:w="1110" w:type="dxa"/>
            <w:tcBorders>
              <w:top w:val="nil"/>
              <w:left w:val="nil"/>
              <w:bottom w:val="nil"/>
              <w:right w:val="nil"/>
            </w:tcBorders>
            <w:shd w:val="clear" w:color="auto" w:fill="auto"/>
            <w:tcMar>
              <w:top w:w="100" w:type="dxa"/>
              <w:left w:w="100" w:type="dxa"/>
              <w:bottom w:w="100" w:type="dxa"/>
              <w:right w:w="100" w:type="dxa"/>
            </w:tcMar>
          </w:tcPr>
          <w:p w14:paraId="16B68B26" w14:textId="77777777" w:rsidR="00670867" w:rsidRDefault="00670867" w:rsidP="008241B3">
            <w:pPr>
              <w:jc w:val="center"/>
            </w:pPr>
            <w:r>
              <w:t xml:space="preserve"> </w:t>
            </w:r>
          </w:p>
        </w:tc>
        <w:tc>
          <w:tcPr>
            <w:tcW w:w="275" w:type="dxa"/>
            <w:tcBorders>
              <w:top w:val="nil"/>
              <w:left w:val="nil"/>
              <w:bottom w:val="nil"/>
              <w:right w:val="nil"/>
            </w:tcBorders>
            <w:shd w:val="clear" w:color="auto" w:fill="auto"/>
            <w:tcMar>
              <w:top w:w="100" w:type="dxa"/>
              <w:left w:w="100" w:type="dxa"/>
              <w:bottom w:w="100" w:type="dxa"/>
              <w:right w:w="100" w:type="dxa"/>
            </w:tcMar>
          </w:tcPr>
          <w:p w14:paraId="7404E208" w14:textId="77777777" w:rsidR="00670867" w:rsidRDefault="00670867" w:rsidP="008241B3">
            <w:r>
              <w:t xml:space="preserve"> </w:t>
            </w:r>
          </w:p>
        </w:tc>
      </w:tr>
      <w:tr w:rsidR="00670867" w14:paraId="53C15A7A" w14:textId="77777777" w:rsidTr="008241B3">
        <w:trPr>
          <w:trHeight w:val="755"/>
        </w:trPr>
        <w:tc>
          <w:tcPr>
            <w:tcW w:w="2370" w:type="dxa"/>
            <w:gridSpan w:val="2"/>
            <w:tcBorders>
              <w:top w:val="nil"/>
              <w:left w:val="nil"/>
              <w:bottom w:val="nil"/>
              <w:right w:val="nil"/>
            </w:tcBorders>
            <w:shd w:val="clear" w:color="auto" w:fill="auto"/>
            <w:tcMar>
              <w:top w:w="100" w:type="dxa"/>
              <w:left w:w="100" w:type="dxa"/>
              <w:bottom w:w="100" w:type="dxa"/>
              <w:right w:w="100" w:type="dxa"/>
            </w:tcMar>
          </w:tcPr>
          <w:p w14:paraId="57AC88AF" w14:textId="77777777" w:rsidR="00670867" w:rsidRDefault="00670867" w:rsidP="008241B3">
            <w:r>
              <w:t>3. Seriousness</w:t>
            </w:r>
          </w:p>
        </w:tc>
        <w:tc>
          <w:tcPr>
            <w:tcW w:w="1170" w:type="dxa"/>
            <w:tcBorders>
              <w:top w:val="nil"/>
              <w:left w:val="nil"/>
              <w:bottom w:val="nil"/>
              <w:right w:val="nil"/>
            </w:tcBorders>
            <w:shd w:val="clear" w:color="auto" w:fill="auto"/>
            <w:tcMar>
              <w:top w:w="100" w:type="dxa"/>
              <w:left w:w="100" w:type="dxa"/>
              <w:bottom w:w="100" w:type="dxa"/>
              <w:right w:w="100" w:type="dxa"/>
            </w:tcMar>
          </w:tcPr>
          <w:p w14:paraId="11048B00" w14:textId="77777777" w:rsidR="00670867" w:rsidRDefault="00670867" w:rsidP="008241B3">
            <w:pPr>
              <w:jc w:val="center"/>
            </w:pPr>
            <w:r>
              <w:t>-.12</w:t>
            </w:r>
          </w:p>
        </w:tc>
        <w:tc>
          <w:tcPr>
            <w:tcW w:w="1395" w:type="dxa"/>
            <w:tcBorders>
              <w:top w:val="nil"/>
              <w:left w:val="nil"/>
              <w:bottom w:val="nil"/>
              <w:right w:val="nil"/>
            </w:tcBorders>
            <w:shd w:val="clear" w:color="auto" w:fill="auto"/>
            <w:tcMar>
              <w:top w:w="100" w:type="dxa"/>
              <w:left w:w="100" w:type="dxa"/>
              <w:bottom w:w="100" w:type="dxa"/>
              <w:right w:w="100" w:type="dxa"/>
            </w:tcMar>
          </w:tcPr>
          <w:p w14:paraId="76554847" w14:textId="77777777" w:rsidR="00670867" w:rsidRDefault="00670867" w:rsidP="008241B3">
            <w:pPr>
              <w:jc w:val="center"/>
            </w:pPr>
            <w:r>
              <w:t>.02</w:t>
            </w:r>
          </w:p>
        </w:tc>
        <w:tc>
          <w:tcPr>
            <w:tcW w:w="1530" w:type="dxa"/>
            <w:tcBorders>
              <w:top w:val="nil"/>
              <w:left w:val="nil"/>
              <w:bottom w:val="nil"/>
              <w:right w:val="nil"/>
            </w:tcBorders>
            <w:shd w:val="clear" w:color="auto" w:fill="auto"/>
            <w:tcMar>
              <w:top w:w="100" w:type="dxa"/>
              <w:left w:w="100" w:type="dxa"/>
              <w:bottom w:w="100" w:type="dxa"/>
              <w:right w:w="100" w:type="dxa"/>
            </w:tcMar>
          </w:tcPr>
          <w:p w14:paraId="40C2BE5C" w14:textId="77777777" w:rsidR="00670867" w:rsidRDefault="00670867" w:rsidP="008241B3">
            <w:pPr>
              <w:jc w:val="center"/>
            </w:pPr>
            <w:r>
              <w:t>—</w:t>
            </w:r>
          </w:p>
        </w:tc>
        <w:tc>
          <w:tcPr>
            <w:tcW w:w="1155" w:type="dxa"/>
            <w:tcBorders>
              <w:top w:val="nil"/>
              <w:left w:val="nil"/>
              <w:bottom w:val="nil"/>
              <w:right w:val="nil"/>
            </w:tcBorders>
            <w:shd w:val="clear" w:color="auto" w:fill="auto"/>
            <w:tcMar>
              <w:top w:w="100" w:type="dxa"/>
              <w:left w:w="100" w:type="dxa"/>
              <w:bottom w:w="100" w:type="dxa"/>
              <w:right w:w="100" w:type="dxa"/>
            </w:tcMar>
          </w:tcPr>
          <w:p w14:paraId="0A0D9EED" w14:textId="77777777" w:rsidR="00670867" w:rsidRDefault="00670867" w:rsidP="008241B3">
            <w:pPr>
              <w:jc w:val="center"/>
            </w:pPr>
            <w:r>
              <w:t xml:space="preserve"> </w:t>
            </w:r>
          </w:p>
        </w:tc>
        <w:tc>
          <w:tcPr>
            <w:tcW w:w="1185" w:type="dxa"/>
            <w:tcBorders>
              <w:top w:val="nil"/>
              <w:left w:val="nil"/>
              <w:bottom w:val="nil"/>
              <w:right w:val="nil"/>
            </w:tcBorders>
            <w:shd w:val="clear" w:color="auto" w:fill="auto"/>
            <w:tcMar>
              <w:top w:w="100" w:type="dxa"/>
              <w:left w:w="100" w:type="dxa"/>
              <w:bottom w:w="100" w:type="dxa"/>
              <w:right w:w="100" w:type="dxa"/>
            </w:tcMar>
          </w:tcPr>
          <w:p w14:paraId="479692DC" w14:textId="77777777" w:rsidR="00670867" w:rsidRDefault="00670867" w:rsidP="008241B3">
            <w:pPr>
              <w:jc w:val="center"/>
            </w:pPr>
            <w:r>
              <w:t xml:space="preserve"> </w:t>
            </w:r>
          </w:p>
        </w:tc>
        <w:tc>
          <w:tcPr>
            <w:tcW w:w="1110" w:type="dxa"/>
            <w:tcBorders>
              <w:top w:val="nil"/>
              <w:left w:val="nil"/>
              <w:bottom w:val="nil"/>
              <w:right w:val="nil"/>
            </w:tcBorders>
            <w:shd w:val="clear" w:color="auto" w:fill="auto"/>
            <w:tcMar>
              <w:top w:w="100" w:type="dxa"/>
              <w:left w:w="100" w:type="dxa"/>
              <w:bottom w:w="100" w:type="dxa"/>
              <w:right w:w="100" w:type="dxa"/>
            </w:tcMar>
          </w:tcPr>
          <w:p w14:paraId="768CD491" w14:textId="77777777" w:rsidR="00670867" w:rsidRDefault="00670867" w:rsidP="008241B3">
            <w:pPr>
              <w:jc w:val="center"/>
            </w:pPr>
            <w:r>
              <w:t xml:space="preserve"> </w:t>
            </w:r>
          </w:p>
        </w:tc>
        <w:tc>
          <w:tcPr>
            <w:tcW w:w="275" w:type="dxa"/>
            <w:tcBorders>
              <w:top w:val="nil"/>
              <w:left w:val="nil"/>
              <w:bottom w:val="nil"/>
              <w:right w:val="nil"/>
            </w:tcBorders>
            <w:shd w:val="clear" w:color="auto" w:fill="auto"/>
            <w:tcMar>
              <w:top w:w="100" w:type="dxa"/>
              <w:left w:w="100" w:type="dxa"/>
              <w:bottom w:w="100" w:type="dxa"/>
              <w:right w:w="100" w:type="dxa"/>
            </w:tcMar>
          </w:tcPr>
          <w:p w14:paraId="13C3A5EE" w14:textId="77777777" w:rsidR="00670867" w:rsidRDefault="00670867" w:rsidP="008241B3">
            <w:r>
              <w:t xml:space="preserve"> </w:t>
            </w:r>
          </w:p>
        </w:tc>
      </w:tr>
      <w:tr w:rsidR="00670867" w14:paraId="785BD95F" w14:textId="77777777" w:rsidTr="008241B3">
        <w:trPr>
          <w:trHeight w:val="1040"/>
        </w:trPr>
        <w:tc>
          <w:tcPr>
            <w:tcW w:w="2370" w:type="dxa"/>
            <w:gridSpan w:val="2"/>
            <w:tcBorders>
              <w:top w:val="nil"/>
              <w:left w:val="nil"/>
              <w:bottom w:val="nil"/>
              <w:right w:val="nil"/>
            </w:tcBorders>
            <w:shd w:val="clear" w:color="auto" w:fill="auto"/>
            <w:tcMar>
              <w:top w:w="100" w:type="dxa"/>
              <w:left w:w="100" w:type="dxa"/>
              <w:bottom w:w="100" w:type="dxa"/>
              <w:right w:w="100" w:type="dxa"/>
            </w:tcMar>
          </w:tcPr>
          <w:p w14:paraId="3BB8CAF2" w14:textId="77777777" w:rsidR="00670867" w:rsidRDefault="00670867" w:rsidP="008241B3">
            <w:r>
              <w:t>4. Bystander Opportunity</w:t>
            </w:r>
          </w:p>
        </w:tc>
        <w:tc>
          <w:tcPr>
            <w:tcW w:w="1170" w:type="dxa"/>
            <w:tcBorders>
              <w:top w:val="nil"/>
              <w:left w:val="nil"/>
              <w:bottom w:val="nil"/>
              <w:right w:val="nil"/>
            </w:tcBorders>
            <w:shd w:val="clear" w:color="auto" w:fill="auto"/>
            <w:tcMar>
              <w:top w:w="100" w:type="dxa"/>
              <w:left w:w="100" w:type="dxa"/>
              <w:bottom w:w="100" w:type="dxa"/>
              <w:right w:w="100" w:type="dxa"/>
            </w:tcMar>
          </w:tcPr>
          <w:p w14:paraId="3B4E6A79" w14:textId="77777777" w:rsidR="00670867" w:rsidRDefault="00670867" w:rsidP="008241B3">
            <w:pPr>
              <w:jc w:val="center"/>
            </w:pPr>
            <w:r>
              <w:t>-.17</w:t>
            </w:r>
          </w:p>
        </w:tc>
        <w:tc>
          <w:tcPr>
            <w:tcW w:w="1395" w:type="dxa"/>
            <w:tcBorders>
              <w:top w:val="nil"/>
              <w:left w:val="nil"/>
              <w:bottom w:val="nil"/>
              <w:right w:val="nil"/>
            </w:tcBorders>
            <w:shd w:val="clear" w:color="auto" w:fill="auto"/>
            <w:tcMar>
              <w:top w:w="100" w:type="dxa"/>
              <w:left w:w="100" w:type="dxa"/>
              <w:bottom w:w="100" w:type="dxa"/>
              <w:right w:w="100" w:type="dxa"/>
            </w:tcMar>
          </w:tcPr>
          <w:p w14:paraId="4A578583" w14:textId="77777777" w:rsidR="00670867" w:rsidRDefault="00670867" w:rsidP="008241B3">
            <w:pPr>
              <w:jc w:val="center"/>
            </w:pPr>
            <w:r>
              <w:t>.14</w:t>
            </w:r>
          </w:p>
        </w:tc>
        <w:tc>
          <w:tcPr>
            <w:tcW w:w="1530" w:type="dxa"/>
            <w:tcBorders>
              <w:top w:val="nil"/>
              <w:left w:val="nil"/>
              <w:bottom w:val="nil"/>
              <w:right w:val="nil"/>
            </w:tcBorders>
            <w:shd w:val="clear" w:color="auto" w:fill="auto"/>
            <w:tcMar>
              <w:top w:w="100" w:type="dxa"/>
              <w:left w:w="100" w:type="dxa"/>
              <w:bottom w:w="100" w:type="dxa"/>
              <w:right w:w="100" w:type="dxa"/>
            </w:tcMar>
          </w:tcPr>
          <w:p w14:paraId="1AA9DF77" w14:textId="77777777" w:rsidR="00670867" w:rsidRDefault="00670867" w:rsidP="008241B3">
            <w:pPr>
              <w:jc w:val="center"/>
            </w:pPr>
            <w:r>
              <w:t>.06</w:t>
            </w:r>
          </w:p>
        </w:tc>
        <w:tc>
          <w:tcPr>
            <w:tcW w:w="1155" w:type="dxa"/>
            <w:tcBorders>
              <w:top w:val="nil"/>
              <w:left w:val="nil"/>
              <w:bottom w:val="nil"/>
              <w:right w:val="nil"/>
            </w:tcBorders>
            <w:shd w:val="clear" w:color="auto" w:fill="auto"/>
            <w:tcMar>
              <w:top w:w="100" w:type="dxa"/>
              <w:left w:w="100" w:type="dxa"/>
              <w:bottom w:w="100" w:type="dxa"/>
              <w:right w:w="100" w:type="dxa"/>
            </w:tcMar>
          </w:tcPr>
          <w:p w14:paraId="01EE88CA" w14:textId="77777777" w:rsidR="00670867" w:rsidRDefault="00670867" w:rsidP="008241B3">
            <w:pPr>
              <w:jc w:val="center"/>
            </w:pPr>
            <w:r>
              <w:t>—</w:t>
            </w:r>
          </w:p>
        </w:tc>
        <w:tc>
          <w:tcPr>
            <w:tcW w:w="1185" w:type="dxa"/>
            <w:tcBorders>
              <w:top w:val="nil"/>
              <w:left w:val="nil"/>
              <w:bottom w:val="nil"/>
              <w:right w:val="nil"/>
            </w:tcBorders>
            <w:shd w:val="clear" w:color="auto" w:fill="auto"/>
            <w:tcMar>
              <w:top w:w="100" w:type="dxa"/>
              <w:left w:w="100" w:type="dxa"/>
              <w:bottom w:w="100" w:type="dxa"/>
              <w:right w:w="100" w:type="dxa"/>
            </w:tcMar>
          </w:tcPr>
          <w:p w14:paraId="37025578" w14:textId="77777777" w:rsidR="00670867" w:rsidRDefault="00670867" w:rsidP="008241B3">
            <w:pPr>
              <w:jc w:val="center"/>
            </w:pPr>
            <w:r>
              <w:t xml:space="preserve"> </w:t>
            </w:r>
          </w:p>
        </w:tc>
        <w:tc>
          <w:tcPr>
            <w:tcW w:w="1110" w:type="dxa"/>
            <w:tcBorders>
              <w:top w:val="nil"/>
              <w:left w:val="nil"/>
              <w:bottom w:val="nil"/>
              <w:right w:val="nil"/>
            </w:tcBorders>
            <w:shd w:val="clear" w:color="auto" w:fill="auto"/>
            <w:tcMar>
              <w:top w:w="100" w:type="dxa"/>
              <w:left w:w="100" w:type="dxa"/>
              <w:bottom w:w="100" w:type="dxa"/>
              <w:right w:w="100" w:type="dxa"/>
            </w:tcMar>
          </w:tcPr>
          <w:p w14:paraId="6F95BD40" w14:textId="77777777" w:rsidR="00670867" w:rsidRDefault="00670867" w:rsidP="008241B3">
            <w:pPr>
              <w:jc w:val="center"/>
            </w:pPr>
            <w:r>
              <w:t xml:space="preserve"> </w:t>
            </w:r>
          </w:p>
        </w:tc>
        <w:tc>
          <w:tcPr>
            <w:tcW w:w="275" w:type="dxa"/>
            <w:tcBorders>
              <w:top w:val="nil"/>
              <w:left w:val="nil"/>
              <w:bottom w:val="nil"/>
              <w:right w:val="nil"/>
            </w:tcBorders>
            <w:shd w:val="clear" w:color="auto" w:fill="auto"/>
            <w:tcMar>
              <w:top w:w="100" w:type="dxa"/>
              <w:left w:w="100" w:type="dxa"/>
              <w:bottom w:w="100" w:type="dxa"/>
              <w:right w:w="100" w:type="dxa"/>
            </w:tcMar>
          </w:tcPr>
          <w:p w14:paraId="5E8A3D3B" w14:textId="77777777" w:rsidR="00670867" w:rsidRDefault="00670867" w:rsidP="008241B3">
            <w:r>
              <w:t xml:space="preserve"> </w:t>
            </w:r>
          </w:p>
        </w:tc>
      </w:tr>
      <w:tr w:rsidR="00670867" w14:paraId="71010E28" w14:textId="77777777" w:rsidTr="008241B3">
        <w:trPr>
          <w:trHeight w:val="1055"/>
        </w:trPr>
        <w:tc>
          <w:tcPr>
            <w:tcW w:w="2370" w:type="dxa"/>
            <w:gridSpan w:val="2"/>
            <w:tcBorders>
              <w:top w:val="nil"/>
              <w:left w:val="nil"/>
              <w:bottom w:val="nil"/>
              <w:right w:val="nil"/>
            </w:tcBorders>
            <w:shd w:val="clear" w:color="auto" w:fill="auto"/>
            <w:tcMar>
              <w:top w:w="100" w:type="dxa"/>
              <w:left w:w="100" w:type="dxa"/>
              <w:bottom w:w="100" w:type="dxa"/>
              <w:right w:w="100" w:type="dxa"/>
            </w:tcMar>
          </w:tcPr>
          <w:p w14:paraId="76AF02A7" w14:textId="77777777" w:rsidR="00670867" w:rsidRDefault="00670867" w:rsidP="008241B3">
            <w:r>
              <w:t>5. Bystander Difficulty (Reflected)</w:t>
            </w:r>
          </w:p>
          <w:p w14:paraId="3305A526" w14:textId="77777777" w:rsidR="00670867" w:rsidRDefault="00670867" w:rsidP="008241B3">
            <w:r>
              <w:t xml:space="preserve"> </w:t>
            </w:r>
          </w:p>
        </w:tc>
        <w:tc>
          <w:tcPr>
            <w:tcW w:w="1170" w:type="dxa"/>
            <w:tcBorders>
              <w:top w:val="nil"/>
              <w:left w:val="nil"/>
              <w:bottom w:val="nil"/>
              <w:right w:val="nil"/>
            </w:tcBorders>
            <w:shd w:val="clear" w:color="auto" w:fill="auto"/>
            <w:tcMar>
              <w:top w:w="100" w:type="dxa"/>
              <w:left w:w="100" w:type="dxa"/>
              <w:bottom w:w="100" w:type="dxa"/>
              <w:right w:w="100" w:type="dxa"/>
            </w:tcMar>
          </w:tcPr>
          <w:p w14:paraId="7A9D6C9B" w14:textId="77777777" w:rsidR="00670867" w:rsidRDefault="00670867" w:rsidP="008241B3">
            <w:pPr>
              <w:jc w:val="center"/>
            </w:pPr>
            <w:r>
              <w:t>-.05</w:t>
            </w:r>
          </w:p>
        </w:tc>
        <w:tc>
          <w:tcPr>
            <w:tcW w:w="1395" w:type="dxa"/>
            <w:tcBorders>
              <w:top w:val="nil"/>
              <w:left w:val="nil"/>
              <w:bottom w:val="nil"/>
              <w:right w:val="nil"/>
            </w:tcBorders>
            <w:shd w:val="clear" w:color="auto" w:fill="auto"/>
            <w:tcMar>
              <w:top w:w="100" w:type="dxa"/>
              <w:left w:w="100" w:type="dxa"/>
              <w:bottom w:w="100" w:type="dxa"/>
              <w:right w:w="100" w:type="dxa"/>
            </w:tcMar>
          </w:tcPr>
          <w:p w14:paraId="045C734B" w14:textId="77777777" w:rsidR="00670867" w:rsidRDefault="00670867" w:rsidP="008241B3">
            <w:pPr>
              <w:jc w:val="center"/>
            </w:pPr>
            <w:r>
              <w:t>.26**</w:t>
            </w:r>
          </w:p>
        </w:tc>
        <w:tc>
          <w:tcPr>
            <w:tcW w:w="1530" w:type="dxa"/>
            <w:tcBorders>
              <w:top w:val="nil"/>
              <w:left w:val="nil"/>
              <w:bottom w:val="nil"/>
              <w:right w:val="nil"/>
            </w:tcBorders>
            <w:shd w:val="clear" w:color="auto" w:fill="auto"/>
            <w:tcMar>
              <w:top w:w="100" w:type="dxa"/>
              <w:left w:w="100" w:type="dxa"/>
              <w:bottom w:w="100" w:type="dxa"/>
              <w:right w:w="100" w:type="dxa"/>
            </w:tcMar>
          </w:tcPr>
          <w:p w14:paraId="69BFB6D2" w14:textId="77777777" w:rsidR="00670867" w:rsidRDefault="00670867" w:rsidP="008241B3">
            <w:pPr>
              <w:jc w:val="center"/>
            </w:pPr>
            <w:r>
              <w:t>.08</w:t>
            </w:r>
          </w:p>
        </w:tc>
        <w:tc>
          <w:tcPr>
            <w:tcW w:w="1155" w:type="dxa"/>
            <w:tcBorders>
              <w:top w:val="nil"/>
              <w:left w:val="nil"/>
              <w:bottom w:val="nil"/>
              <w:right w:val="nil"/>
            </w:tcBorders>
            <w:shd w:val="clear" w:color="auto" w:fill="auto"/>
            <w:tcMar>
              <w:top w:w="100" w:type="dxa"/>
              <w:left w:w="100" w:type="dxa"/>
              <w:bottom w:w="100" w:type="dxa"/>
              <w:right w:w="100" w:type="dxa"/>
            </w:tcMar>
          </w:tcPr>
          <w:p w14:paraId="7AD5876D" w14:textId="77777777" w:rsidR="00670867" w:rsidRDefault="00670867" w:rsidP="008241B3">
            <w:pPr>
              <w:jc w:val="center"/>
            </w:pPr>
            <w:r>
              <w:t>.02</w:t>
            </w:r>
          </w:p>
        </w:tc>
        <w:tc>
          <w:tcPr>
            <w:tcW w:w="1185" w:type="dxa"/>
            <w:tcBorders>
              <w:top w:val="nil"/>
              <w:left w:val="nil"/>
              <w:bottom w:val="nil"/>
              <w:right w:val="nil"/>
            </w:tcBorders>
            <w:shd w:val="clear" w:color="auto" w:fill="auto"/>
            <w:tcMar>
              <w:top w:w="100" w:type="dxa"/>
              <w:left w:w="100" w:type="dxa"/>
              <w:bottom w:w="100" w:type="dxa"/>
              <w:right w:w="100" w:type="dxa"/>
            </w:tcMar>
          </w:tcPr>
          <w:p w14:paraId="6CB96B70" w14:textId="77777777" w:rsidR="00670867" w:rsidRDefault="00670867" w:rsidP="008241B3">
            <w:pPr>
              <w:jc w:val="center"/>
            </w:pPr>
            <w:r>
              <w:t>—</w:t>
            </w:r>
          </w:p>
        </w:tc>
        <w:tc>
          <w:tcPr>
            <w:tcW w:w="1110" w:type="dxa"/>
            <w:tcBorders>
              <w:top w:val="nil"/>
              <w:left w:val="nil"/>
              <w:bottom w:val="nil"/>
              <w:right w:val="nil"/>
            </w:tcBorders>
            <w:shd w:val="clear" w:color="auto" w:fill="auto"/>
            <w:tcMar>
              <w:top w:w="100" w:type="dxa"/>
              <w:left w:w="100" w:type="dxa"/>
              <w:bottom w:w="100" w:type="dxa"/>
              <w:right w:w="100" w:type="dxa"/>
            </w:tcMar>
          </w:tcPr>
          <w:p w14:paraId="205B97DB" w14:textId="77777777" w:rsidR="00670867" w:rsidRDefault="00670867" w:rsidP="008241B3">
            <w:pPr>
              <w:jc w:val="center"/>
            </w:pPr>
            <w:r>
              <w:t xml:space="preserve"> </w:t>
            </w:r>
          </w:p>
        </w:tc>
        <w:tc>
          <w:tcPr>
            <w:tcW w:w="275" w:type="dxa"/>
            <w:tcBorders>
              <w:top w:val="nil"/>
              <w:left w:val="nil"/>
              <w:bottom w:val="nil"/>
              <w:right w:val="nil"/>
            </w:tcBorders>
            <w:shd w:val="clear" w:color="auto" w:fill="auto"/>
            <w:tcMar>
              <w:top w:w="100" w:type="dxa"/>
              <w:left w:w="100" w:type="dxa"/>
              <w:bottom w:w="100" w:type="dxa"/>
              <w:right w:w="100" w:type="dxa"/>
            </w:tcMar>
          </w:tcPr>
          <w:p w14:paraId="74DD833F" w14:textId="77777777" w:rsidR="00670867" w:rsidRDefault="00670867" w:rsidP="008241B3">
            <w:r>
              <w:t xml:space="preserve"> </w:t>
            </w:r>
          </w:p>
        </w:tc>
      </w:tr>
      <w:tr w:rsidR="00670867" w14:paraId="138BB93B" w14:textId="77777777" w:rsidTr="008241B3">
        <w:trPr>
          <w:trHeight w:val="740"/>
        </w:trPr>
        <w:tc>
          <w:tcPr>
            <w:tcW w:w="2370"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14:paraId="5089018D" w14:textId="54F9ADCF" w:rsidR="00670867" w:rsidRDefault="00670867" w:rsidP="008241B3">
            <w:r>
              <w:t>6. Bystander Likelihood (</w:t>
            </w:r>
            <w:r w:rsidR="0077227B">
              <w:t>R</w:t>
            </w:r>
            <w:r>
              <w:t>eflected)</w:t>
            </w:r>
          </w:p>
        </w:tc>
        <w:tc>
          <w:tcPr>
            <w:tcW w:w="1170" w:type="dxa"/>
            <w:tcBorders>
              <w:top w:val="nil"/>
              <w:left w:val="nil"/>
              <w:bottom w:val="single" w:sz="8" w:space="0" w:color="000000"/>
              <w:right w:val="nil"/>
            </w:tcBorders>
            <w:shd w:val="clear" w:color="auto" w:fill="auto"/>
            <w:tcMar>
              <w:top w:w="100" w:type="dxa"/>
              <w:left w:w="100" w:type="dxa"/>
              <w:bottom w:w="100" w:type="dxa"/>
              <w:right w:w="100" w:type="dxa"/>
            </w:tcMar>
          </w:tcPr>
          <w:p w14:paraId="330D6327" w14:textId="77777777" w:rsidR="00670867" w:rsidRDefault="00670867" w:rsidP="008241B3">
            <w:pPr>
              <w:jc w:val="center"/>
            </w:pPr>
            <w:r>
              <w:t>-.03</w:t>
            </w:r>
          </w:p>
        </w:tc>
        <w:tc>
          <w:tcPr>
            <w:tcW w:w="1395" w:type="dxa"/>
            <w:tcBorders>
              <w:top w:val="nil"/>
              <w:left w:val="nil"/>
              <w:bottom w:val="single" w:sz="8" w:space="0" w:color="000000"/>
              <w:right w:val="nil"/>
            </w:tcBorders>
            <w:shd w:val="clear" w:color="auto" w:fill="auto"/>
            <w:tcMar>
              <w:top w:w="100" w:type="dxa"/>
              <w:left w:w="100" w:type="dxa"/>
              <w:bottom w:w="100" w:type="dxa"/>
              <w:right w:w="100" w:type="dxa"/>
            </w:tcMar>
          </w:tcPr>
          <w:p w14:paraId="23A19C59" w14:textId="77777777" w:rsidR="00670867" w:rsidRDefault="00670867" w:rsidP="008241B3">
            <w:pPr>
              <w:jc w:val="center"/>
            </w:pPr>
            <w:r>
              <w:t>.22*</w:t>
            </w:r>
          </w:p>
        </w:tc>
        <w:tc>
          <w:tcPr>
            <w:tcW w:w="1530" w:type="dxa"/>
            <w:tcBorders>
              <w:top w:val="nil"/>
              <w:left w:val="nil"/>
              <w:bottom w:val="single" w:sz="8" w:space="0" w:color="000000"/>
              <w:right w:val="nil"/>
            </w:tcBorders>
            <w:shd w:val="clear" w:color="auto" w:fill="auto"/>
            <w:tcMar>
              <w:top w:w="100" w:type="dxa"/>
              <w:left w:w="100" w:type="dxa"/>
              <w:bottom w:w="100" w:type="dxa"/>
              <w:right w:w="100" w:type="dxa"/>
            </w:tcMar>
          </w:tcPr>
          <w:p w14:paraId="09F7B942" w14:textId="77777777" w:rsidR="00670867" w:rsidRDefault="00670867" w:rsidP="008241B3">
            <w:pPr>
              <w:jc w:val="center"/>
            </w:pPr>
            <w:r>
              <w:t>-.48***</w:t>
            </w:r>
          </w:p>
        </w:tc>
        <w:tc>
          <w:tcPr>
            <w:tcW w:w="1155" w:type="dxa"/>
            <w:tcBorders>
              <w:top w:val="nil"/>
              <w:left w:val="nil"/>
              <w:bottom w:val="single" w:sz="8" w:space="0" w:color="000000"/>
              <w:right w:val="nil"/>
            </w:tcBorders>
            <w:shd w:val="clear" w:color="auto" w:fill="auto"/>
            <w:tcMar>
              <w:top w:w="100" w:type="dxa"/>
              <w:left w:w="100" w:type="dxa"/>
              <w:bottom w:w="100" w:type="dxa"/>
              <w:right w:w="100" w:type="dxa"/>
            </w:tcMar>
          </w:tcPr>
          <w:p w14:paraId="7F8AD1EB" w14:textId="77777777" w:rsidR="00670867" w:rsidRDefault="00670867" w:rsidP="008241B3">
            <w:pPr>
              <w:jc w:val="center"/>
            </w:pPr>
            <w:r>
              <w:t>.04</w:t>
            </w:r>
          </w:p>
        </w:tc>
        <w:tc>
          <w:tcPr>
            <w:tcW w:w="1185" w:type="dxa"/>
            <w:tcBorders>
              <w:top w:val="nil"/>
              <w:left w:val="nil"/>
              <w:bottom w:val="single" w:sz="8" w:space="0" w:color="000000"/>
              <w:right w:val="nil"/>
            </w:tcBorders>
            <w:shd w:val="clear" w:color="auto" w:fill="auto"/>
            <w:tcMar>
              <w:top w:w="100" w:type="dxa"/>
              <w:left w:w="100" w:type="dxa"/>
              <w:bottom w:w="100" w:type="dxa"/>
              <w:right w:w="100" w:type="dxa"/>
            </w:tcMar>
          </w:tcPr>
          <w:p w14:paraId="0BA42660" w14:textId="77777777" w:rsidR="00670867" w:rsidRDefault="00670867" w:rsidP="008241B3">
            <w:pPr>
              <w:jc w:val="center"/>
            </w:pPr>
            <w:r>
              <w:t>.23*</w:t>
            </w:r>
          </w:p>
        </w:tc>
        <w:tc>
          <w:tcPr>
            <w:tcW w:w="1110" w:type="dxa"/>
            <w:tcBorders>
              <w:top w:val="nil"/>
              <w:left w:val="nil"/>
              <w:bottom w:val="single" w:sz="8" w:space="0" w:color="000000"/>
              <w:right w:val="nil"/>
            </w:tcBorders>
            <w:shd w:val="clear" w:color="auto" w:fill="auto"/>
            <w:tcMar>
              <w:top w:w="100" w:type="dxa"/>
              <w:left w:w="100" w:type="dxa"/>
              <w:bottom w:w="100" w:type="dxa"/>
              <w:right w:w="100" w:type="dxa"/>
            </w:tcMar>
          </w:tcPr>
          <w:p w14:paraId="3360EA0C" w14:textId="77777777" w:rsidR="00670867" w:rsidRDefault="00670867" w:rsidP="008241B3">
            <w:pPr>
              <w:jc w:val="center"/>
            </w:pPr>
            <w:r>
              <w:t>—</w:t>
            </w:r>
          </w:p>
        </w:tc>
        <w:tc>
          <w:tcPr>
            <w:tcW w:w="275" w:type="dxa"/>
            <w:tcBorders>
              <w:top w:val="nil"/>
              <w:left w:val="nil"/>
              <w:bottom w:val="nil"/>
              <w:right w:val="nil"/>
            </w:tcBorders>
            <w:shd w:val="clear" w:color="auto" w:fill="auto"/>
            <w:tcMar>
              <w:top w:w="100" w:type="dxa"/>
              <w:left w:w="100" w:type="dxa"/>
              <w:bottom w:w="100" w:type="dxa"/>
              <w:right w:w="100" w:type="dxa"/>
            </w:tcMar>
          </w:tcPr>
          <w:p w14:paraId="27FF988A" w14:textId="77777777" w:rsidR="00670867" w:rsidRDefault="00670867" w:rsidP="008241B3">
            <w:r>
              <w:t xml:space="preserve"> </w:t>
            </w:r>
          </w:p>
        </w:tc>
      </w:tr>
    </w:tbl>
    <w:p w14:paraId="724DD0C4" w14:textId="77777777" w:rsidR="00670867" w:rsidRDefault="00670867" w:rsidP="00670867">
      <w:r>
        <w:rPr>
          <w:i/>
        </w:rPr>
        <w:t>Note.</w:t>
      </w:r>
      <w:r>
        <w:t xml:space="preserve"> * p &lt; .05, ** p &lt; .01, *** p &lt; .001</w:t>
      </w:r>
    </w:p>
    <w:p w14:paraId="1FDA4219" w14:textId="132685F6" w:rsidR="00670867" w:rsidRDefault="00670867">
      <w:r>
        <w:br w:type="page"/>
      </w:r>
    </w:p>
    <w:p w14:paraId="47EDEFC8" w14:textId="77777777" w:rsidR="00670867" w:rsidRDefault="00670867" w:rsidP="00670867"/>
    <w:p w14:paraId="2E4EE238" w14:textId="77777777" w:rsidR="00670867" w:rsidRDefault="00670867" w:rsidP="00670867">
      <w:pPr>
        <w:spacing w:line="480" w:lineRule="auto"/>
      </w:pPr>
      <w:r>
        <w:rPr>
          <w:b/>
        </w:rPr>
        <w:t>Table 3. Spearman’s rank correlations with demographic measures and sexual coercion.</w:t>
      </w:r>
    </w:p>
    <w:tbl>
      <w:tblPr>
        <w:tblW w:w="9570" w:type="dxa"/>
        <w:tblBorders>
          <w:top w:val="nil"/>
          <w:left w:val="nil"/>
          <w:bottom w:val="nil"/>
          <w:right w:val="nil"/>
          <w:insideH w:val="nil"/>
          <w:insideV w:val="nil"/>
        </w:tblBorders>
        <w:tblLayout w:type="fixed"/>
        <w:tblLook w:val="0600" w:firstRow="0" w:lastRow="0" w:firstColumn="0" w:lastColumn="0" w:noHBand="1" w:noVBand="1"/>
      </w:tblPr>
      <w:tblGrid>
        <w:gridCol w:w="1755"/>
        <w:gridCol w:w="1320"/>
        <w:gridCol w:w="1650"/>
        <w:gridCol w:w="1650"/>
        <w:gridCol w:w="1605"/>
        <w:gridCol w:w="1590"/>
      </w:tblGrid>
      <w:tr w:rsidR="00670867" w14:paraId="3E98C6A0" w14:textId="77777777" w:rsidTr="008241B3">
        <w:trPr>
          <w:trHeight w:val="1145"/>
        </w:trPr>
        <w:tc>
          <w:tcPr>
            <w:tcW w:w="1755" w:type="dxa"/>
            <w:tcBorders>
              <w:top w:val="single" w:sz="8" w:space="0" w:color="000000"/>
              <w:left w:val="nil"/>
              <w:bottom w:val="single" w:sz="8" w:space="0" w:color="000000"/>
              <w:right w:val="nil"/>
            </w:tcBorders>
            <w:tcMar>
              <w:top w:w="100" w:type="dxa"/>
              <w:left w:w="100" w:type="dxa"/>
              <w:bottom w:w="100" w:type="dxa"/>
              <w:right w:w="100" w:type="dxa"/>
            </w:tcMar>
          </w:tcPr>
          <w:p w14:paraId="2349514B" w14:textId="77777777" w:rsidR="00670867" w:rsidRDefault="00670867" w:rsidP="008241B3">
            <w:pPr>
              <w:jc w:val="center"/>
            </w:pPr>
            <w:r>
              <w:t xml:space="preserve"> </w:t>
            </w:r>
          </w:p>
        </w:tc>
        <w:tc>
          <w:tcPr>
            <w:tcW w:w="1320" w:type="dxa"/>
            <w:tcBorders>
              <w:top w:val="single" w:sz="8" w:space="0" w:color="000000"/>
              <w:left w:val="nil"/>
              <w:bottom w:val="single" w:sz="8" w:space="0" w:color="000000"/>
              <w:right w:val="nil"/>
            </w:tcBorders>
            <w:tcMar>
              <w:top w:w="100" w:type="dxa"/>
              <w:left w:w="100" w:type="dxa"/>
              <w:bottom w:w="100" w:type="dxa"/>
              <w:right w:w="100" w:type="dxa"/>
            </w:tcMar>
          </w:tcPr>
          <w:p w14:paraId="4EC060A5" w14:textId="77777777" w:rsidR="00670867" w:rsidRDefault="00670867" w:rsidP="008241B3">
            <w:pPr>
              <w:jc w:val="center"/>
              <w:rPr>
                <w:b/>
              </w:rPr>
            </w:pPr>
            <w:r>
              <w:rPr>
                <w:b/>
              </w:rPr>
              <w:t>Gender (female=1)</w:t>
            </w:r>
          </w:p>
        </w:tc>
        <w:tc>
          <w:tcPr>
            <w:tcW w:w="1650" w:type="dxa"/>
            <w:tcBorders>
              <w:top w:val="single" w:sz="8" w:space="0" w:color="000000"/>
              <w:left w:val="nil"/>
              <w:bottom w:val="single" w:sz="8" w:space="0" w:color="000000"/>
              <w:right w:val="nil"/>
            </w:tcBorders>
            <w:tcMar>
              <w:top w:w="100" w:type="dxa"/>
              <w:left w:w="100" w:type="dxa"/>
              <w:bottom w:w="100" w:type="dxa"/>
              <w:right w:w="100" w:type="dxa"/>
            </w:tcMar>
          </w:tcPr>
          <w:p w14:paraId="45486ED6" w14:textId="77777777" w:rsidR="00670867" w:rsidRDefault="00670867" w:rsidP="008241B3">
            <w:pPr>
              <w:jc w:val="center"/>
              <w:rPr>
                <w:b/>
              </w:rPr>
            </w:pPr>
            <w:r>
              <w:rPr>
                <w:b/>
              </w:rPr>
              <w:t>Student/Staff (student=1)</w:t>
            </w:r>
          </w:p>
        </w:tc>
        <w:tc>
          <w:tcPr>
            <w:tcW w:w="1650" w:type="dxa"/>
            <w:tcBorders>
              <w:top w:val="single" w:sz="8" w:space="0" w:color="000000"/>
              <w:left w:val="nil"/>
              <w:bottom w:val="single" w:sz="8" w:space="0" w:color="000000"/>
              <w:right w:val="nil"/>
            </w:tcBorders>
            <w:tcMar>
              <w:top w:w="100" w:type="dxa"/>
              <w:left w:w="100" w:type="dxa"/>
              <w:bottom w:w="100" w:type="dxa"/>
              <w:right w:w="100" w:type="dxa"/>
            </w:tcMar>
          </w:tcPr>
          <w:p w14:paraId="06D0D9DE" w14:textId="77777777" w:rsidR="00670867" w:rsidRDefault="00670867" w:rsidP="008241B3">
            <w:pPr>
              <w:jc w:val="center"/>
              <w:rPr>
                <w:b/>
              </w:rPr>
            </w:pPr>
            <w:r>
              <w:rPr>
                <w:b/>
              </w:rPr>
              <w:t>Location (highland=1, coast=0)</w:t>
            </w:r>
          </w:p>
        </w:tc>
        <w:tc>
          <w:tcPr>
            <w:tcW w:w="1605" w:type="dxa"/>
            <w:tcBorders>
              <w:top w:val="single" w:sz="8" w:space="0" w:color="000000"/>
              <w:left w:val="nil"/>
              <w:bottom w:val="single" w:sz="8" w:space="0" w:color="000000"/>
              <w:right w:val="nil"/>
            </w:tcBorders>
            <w:tcMar>
              <w:top w:w="100" w:type="dxa"/>
              <w:left w:w="100" w:type="dxa"/>
              <w:bottom w:w="100" w:type="dxa"/>
              <w:right w:w="100" w:type="dxa"/>
            </w:tcMar>
          </w:tcPr>
          <w:p w14:paraId="1542D020" w14:textId="77777777" w:rsidR="00670867" w:rsidRDefault="00670867" w:rsidP="008241B3">
            <w:pPr>
              <w:jc w:val="center"/>
              <w:rPr>
                <w:b/>
              </w:rPr>
            </w:pPr>
            <w:r>
              <w:rPr>
                <w:b/>
              </w:rPr>
              <w:t>Perpetration</w:t>
            </w:r>
          </w:p>
        </w:tc>
        <w:tc>
          <w:tcPr>
            <w:tcW w:w="1590" w:type="dxa"/>
            <w:tcBorders>
              <w:top w:val="single" w:sz="8" w:space="0" w:color="000000"/>
              <w:left w:val="nil"/>
              <w:bottom w:val="single" w:sz="8" w:space="0" w:color="000000"/>
              <w:right w:val="nil"/>
            </w:tcBorders>
            <w:tcMar>
              <w:top w:w="100" w:type="dxa"/>
              <w:left w:w="100" w:type="dxa"/>
              <w:bottom w:w="100" w:type="dxa"/>
              <w:right w:w="100" w:type="dxa"/>
            </w:tcMar>
          </w:tcPr>
          <w:p w14:paraId="3F371120" w14:textId="77777777" w:rsidR="00670867" w:rsidRDefault="00670867" w:rsidP="008241B3">
            <w:pPr>
              <w:jc w:val="center"/>
              <w:rPr>
                <w:b/>
              </w:rPr>
            </w:pPr>
            <w:r>
              <w:rPr>
                <w:b/>
              </w:rPr>
              <w:t>Victimization</w:t>
            </w:r>
          </w:p>
        </w:tc>
      </w:tr>
      <w:tr w:rsidR="00670867" w14:paraId="0A85DA36" w14:textId="77777777" w:rsidTr="008241B3">
        <w:trPr>
          <w:trHeight w:val="755"/>
        </w:trPr>
        <w:tc>
          <w:tcPr>
            <w:tcW w:w="1755" w:type="dxa"/>
            <w:tcBorders>
              <w:top w:val="nil"/>
              <w:left w:val="nil"/>
              <w:bottom w:val="nil"/>
              <w:right w:val="nil"/>
            </w:tcBorders>
            <w:tcMar>
              <w:top w:w="100" w:type="dxa"/>
              <w:left w:w="100" w:type="dxa"/>
              <w:bottom w:w="100" w:type="dxa"/>
              <w:right w:w="100" w:type="dxa"/>
            </w:tcMar>
          </w:tcPr>
          <w:p w14:paraId="0608C557" w14:textId="77777777" w:rsidR="00670867" w:rsidRDefault="00670867" w:rsidP="008241B3">
            <w:r>
              <w:t>2. Rape Myth</w:t>
            </w:r>
          </w:p>
        </w:tc>
        <w:tc>
          <w:tcPr>
            <w:tcW w:w="1320" w:type="dxa"/>
            <w:tcBorders>
              <w:top w:val="nil"/>
              <w:left w:val="nil"/>
              <w:bottom w:val="nil"/>
              <w:right w:val="nil"/>
            </w:tcBorders>
            <w:tcMar>
              <w:top w:w="100" w:type="dxa"/>
              <w:left w:w="100" w:type="dxa"/>
              <w:bottom w:w="100" w:type="dxa"/>
              <w:right w:w="100" w:type="dxa"/>
            </w:tcMar>
          </w:tcPr>
          <w:p w14:paraId="19874C96" w14:textId="204CA19B" w:rsidR="00670867" w:rsidRDefault="00670867" w:rsidP="008241B3">
            <w:pPr>
              <w:jc w:val="center"/>
            </w:pPr>
            <w:r>
              <w:t>-.22*</w:t>
            </w:r>
          </w:p>
        </w:tc>
        <w:tc>
          <w:tcPr>
            <w:tcW w:w="1650" w:type="dxa"/>
            <w:tcBorders>
              <w:top w:val="nil"/>
              <w:left w:val="nil"/>
              <w:bottom w:val="nil"/>
              <w:right w:val="nil"/>
            </w:tcBorders>
            <w:tcMar>
              <w:top w:w="100" w:type="dxa"/>
              <w:left w:w="100" w:type="dxa"/>
              <w:bottom w:w="100" w:type="dxa"/>
              <w:right w:w="100" w:type="dxa"/>
            </w:tcMar>
          </w:tcPr>
          <w:p w14:paraId="7691CFE2" w14:textId="36E06B29" w:rsidR="00670867" w:rsidRDefault="00670867" w:rsidP="008241B3">
            <w:pPr>
              <w:jc w:val="center"/>
            </w:pPr>
            <w:r>
              <w:t>.16</w:t>
            </w:r>
          </w:p>
        </w:tc>
        <w:tc>
          <w:tcPr>
            <w:tcW w:w="1650" w:type="dxa"/>
            <w:tcBorders>
              <w:top w:val="nil"/>
              <w:left w:val="nil"/>
              <w:bottom w:val="nil"/>
              <w:right w:val="nil"/>
            </w:tcBorders>
            <w:tcMar>
              <w:top w:w="100" w:type="dxa"/>
              <w:left w:w="100" w:type="dxa"/>
              <w:bottom w:w="100" w:type="dxa"/>
              <w:right w:w="100" w:type="dxa"/>
            </w:tcMar>
          </w:tcPr>
          <w:p w14:paraId="52E1168C" w14:textId="5B35DB24" w:rsidR="00670867" w:rsidRDefault="00670867" w:rsidP="008241B3">
            <w:pPr>
              <w:jc w:val="center"/>
            </w:pPr>
            <w:r>
              <w:t>-.11</w:t>
            </w:r>
          </w:p>
        </w:tc>
        <w:tc>
          <w:tcPr>
            <w:tcW w:w="1605" w:type="dxa"/>
            <w:tcBorders>
              <w:top w:val="nil"/>
              <w:left w:val="nil"/>
              <w:bottom w:val="nil"/>
              <w:right w:val="nil"/>
            </w:tcBorders>
            <w:tcMar>
              <w:top w:w="100" w:type="dxa"/>
              <w:left w:w="100" w:type="dxa"/>
              <w:bottom w:w="100" w:type="dxa"/>
              <w:right w:w="100" w:type="dxa"/>
            </w:tcMar>
          </w:tcPr>
          <w:p w14:paraId="202AE608" w14:textId="6F4690A3" w:rsidR="00670867" w:rsidRDefault="00670867" w:rsidP="008241B3">
            <w:pPr>
              <w:jc w:val="center"/>
            </w:pPr>
            <w:r>
              <w:t>.3</w:t>
            </w:r>
            <w:r w:rsidR="00365C9F">
              <w:t>3</w:t>
            </w:r>
            <w:r>
              <w:t>***</w:t>
            </w:r>
          </w:p>
        </w:tc>
        <w:tc>
          <w:tcPr>
            <w:tcW w:w="1590" w:type="dxa"/>
            <w:tcBorders>
              <w:top w:val="nil"/>
              <w:left w:val="nil"/>
              <w:bottom w:val="nil"/>
              <w:right w:val="nil"/>
            </w:tcBorders>
            <w:tcMar>
              <w:top w:w="100" w:type="dxa"/>
              <w:left w:w="100" w:type="dxa"/>
              <w:bottom w:w="100" w:type="dxa"/>
              <w:right w:w="100" w:type="dxa"/>
            </w:tcMar>
          </w:tcPr>
          <w:p w14:paraId="28C78D56" w14:textId="6C5586B8" w:rsidR="00670867" w:rsidRDefault="00670867" w:rsidP="008241B3">
            <w:pPr>
              <w:jc w:val="center"/>
            </w:pPr>
            <w:r>
              <w:t>.05</w:t>
            </w:r>
          </w:p>
        </w:tc>
      </w:tr>
      <w:tr w:rsidR="00670867" w14:paraId="629690BB" w14:textId="77777777" w:rsidTr="008241B3">
        <w:trPr>
          <w:trHeight w:val="740"/>
        </w:trPr>
        <w:tc>
          <w:tcPr>
            <w:tcW w:w="1755" w:type="dxa"/>
            <w:tcBorders>
              <w:top w:val="nil"/>
              <w:left w:val="nil"/>
              <w:bottom w:val="nil"/>
              <w:right w:val="nil"/>
            </w:tcBorders>
            <w:tcMar>
              <w:top w:w="100" w:type="dxa"/>
              <w:left w:w="100" w:type="dxa"/>
              <w:bottom w:w="100" w:type="dxa"/>
              <w:right w:w="100" w:type="dxa"/>
            </w:tcMar>
          </w:tcPr>
          <w:p w14:paraId="4C110569" w14:textId="77777777" w:rsidR="00670867" w:rsidRDefault="00670867" w:rsidP="008241B3">
            <w:r>
              <w:t>3. Seriousness</w:t>
            </w:r>
          </w:p>
        </w:tc>
        <w:tc>
          <w:tcPr>
            <w:tcW w:w="1320" w:type="dxa"/>
            <w:tcBorders>
              <w:top w:val="nil"/>
              <w:left w:val="nil"/>
              <w:bottom w:val="nil"/>
              <w:right w:val="nil"/>
            </w:tcBorders>
            <w:tcMar>
              <w:top w:w="100" w:type="dxa"/>
              <w:left w:w="100" w:type="dxa"/>
              <w:bottom w:w="100" w:type="dxa"/>
              <w:right w:w="100" w:type="dxa"/>
            </w:tcMar>
          </w:tcPr>
          <w:p w14:paraId="44096509" w14:textId="2A3F7741" w:rsidR="00670867" w:rsidRDefault="00670867" w:rsidP="008241B3">
            <w:pPr>
              <w:jc w:val="center"/>
            </w:pPr>
            <w:r>
              <w:t>.0</w:t>
            </w:r>
            <w:r w:rsidR="00365C9F">
              <w:t>6</w:t>
            </w:r>
          </w:p>
        </w:tc>
        <w:tc>
          <w:tcPr>
            <w:tcW w:w="1650" w:type="dxa"/>
            <w:tcBorders>
              <w:top w:val="nil"/>
              <w:left w:val="nil"/>
              <w:bottom w:val="nil"/>
              <w:right w:val="nil"/>
            </w:tcBorders>
            <w:tcMar>
              <w:top w:w="100" w:type="dxa"/>
              <w:left w:w="100" w:type="dxa"/>
              <w:bottom w:w="100" w:type="dxa"/>
              <w:right w:w="100" w:type="dxa"/>
            </w:tcMar>
          </w:tcPr>
          <w:p w14:paraId="3775E695" w14:textId="1B6129D8" w:rsidR="00670867" w:rsidRDefault="00670867" w:rsidP="008241B3">
            <w:pPr>
              <w:jc w:val="center"/>
            </w:pPr>
            <w:r>
              <w:t>.1</w:t>
            </w:r>
            <w:r w:rsidR="00365C9F">
              <w:t>3</w:t>
            </w:r>
          </w:p>
        </w:tc>
        <w:tc>
          <w:tcPr>
            <w:tcW w:w="1650" w:type="dxa"/>
            <w:tcBorders>
              <w:top w:val="nil"/>
              <w:left w:val="nil"/>
              <w:bottom w:val="nil"/>
              <w:right w:val="nil"/>
            </w:tcBorders>
            <w:tcMar>
              <w:top w:w="100" w:type="dxa"/>
              <w:left w:w="100" w:type="dxa"/>
              <w:bottom w:w="100" w:type="dxa"/>
              <w:right w:w="100" w:type="dxa"/>
            </w:tcMar>
          </w:tcPr>
          <w:p w14:paraId="411BB394" w14:textId="7C84D501" w:rsidR="00670867" w:rsidRDefault="00670867" w:rsidP="008241B3">
            <w:pPr>
              <w:jc w:val="center"/>
            </w:pPr>
            <w:r>
              <w:t>-.06</w:t>
            </w:r>
          </w:p>
        </w:tc>
        <w:tc>
          <w:tcPr>
            <w:tcW w:w="1605" w:type="dxa"/>
            <w:tcBorders>
              <w:top w:val="nil"/>
              <w:left w:val="nil"/>
              <w:bottom w:val="nil"/>
              <w:right w:val="nil"/>
            </w:tcBorders>
            <w:tcMar>
              <w:top w:w="100" w:type="dxa"/>
              <w:left w:w="100" w:type="dxa"/>
              <w:bottom w:w="100" w:type="dxa"/>
              <w:right w:w="100" w:type="dxa"/>
            </w:tcMar>
          </w:tcPr>
          <w:p w14:paraId="5EC4F940" w14:textId="24168C0B" w:rsidR="00670867" w:rsidRDefault="00670867" w:rsidP="008241B3">
            <w:pPr>
              <w:jc w:val="center"/>
            </w:pPr>
            <w:r>
              <w:t>-.09</w:t>
            </w:r>
          </w:p>
        </w:tc>
        <w:tc>
          <w:tcPr>
            <w:tcW w:w="1590" w:type="dxa"/>
            <w:tcBorders>
              <w:top w:val="nil"/>
              <w:left w:val="nil"/>
              <w:bottom w:val="nil"/>
              <w:right w:val="nil"/>
            </w:tcBorders>
            <w:tcMar>
              <w:top w:w="100" w:type="dxa"/>
              <w:left w:w="100" w:type="dxa"/>
              <w:bottom w:w="100" w:type="dxa"/>
              <w:right w:w="100" w:type="dxa"/>
            </w:tcMar>
          </w:tcPr>
          <w:p w14:paraId="459AE6D7" w14:textId="03BA252C" w:rsidR="00670867" w:rsidRDefault="00670867" w:rsidP="008241B3">
            <w:pPr>
              <w:jc w:val="center"/>
            </w:pPr>
            <w:r>
              <w:t>-.0</w:t>
            </w:r>
            <w:r w:rsidR="00365C9F">
              <w:t>1</w:t>
            </w:r>
          </w:p>
        </w:tc>
      </w:tr>
      <w:tr w:rsidR="00670867" w14:paraId="2138DADF" w14:textId="77777777" w:rsidTr="008241B3">
        <w:trPr>
          <w:trHeight w:val="1010"/>
        </w:trPr>
        <w:tc>
          <w:tcPr>
            <w:tcW w:w="1755" w:type="dxa"/>
            <w:tcBorders>
              <w:top w:val="nil"/>
              <w:left w:val="nil"/>
              <w:bottom w:val="nil"/>
              <w:right w:val="nil"/>
            </w:tcBorders>
            <w:tcMar>
              <w:top w:w="100" w:type="dxa"/>
              <w:left w:w="100" w:type="dxa"/>
              <w:bottom w:w="100" w:type="dxa"/>
              <w:right w:w="100" w:type="dxa"/>
            </w:tcMar>
          </w:tcPr>
          <w:p w14:paraId="453B52D7" w14:textId="77777777" w:rsidR="00670867" w:rsidRDefault="00670867" w:rsidP="008241B3">
            <w:r>
              <w:t>4. Bystander Opportunity</w:t>
            </w:r>
          </w:p>
        </w:tc>
        <w:tc>
          <w:tcPr>
            <w:tcW w:w="1320" w:type="dxa"/>
            <w:tcBorders>
              <w:top w:val="nil"/>
              <w:left w:val="nil"/>
              <w:bottom w:val="nil"/>
              <w:right w:val="nil"/>
            </w:tcBorders>
            <w:tcMar>
              <w:top w:w="100" w:type="dxa"/>
              <w:left w:w="100" w:type="dxa"/>
              <w:bottom w:w="100" w:type="dxa"/>
              <w:right w:w="100" w:type="dxa"/>
            </w:tcMar>
          </w:tcPr>
          <w:p w14:paraId="0FE5D415" w14:textId="4139C961" w:rsidR="00670867" w:rsidRDefault="00670867" w:rsidP="008241B3">
            <w:pPr>
              <w:jc w:val="center"/>
            </w:pPr>
            <w:r>
              <w:t>-.1</w:t>
            </w:r>
            <w:r w:rsidR="00365C9F">
              <w:t>1</w:t>
            </w:r>
          </w:p>
        </w:tc>
        <w:tc>
          <w:tcPr>
            <w:tcW w:w="1650" w:type="dxa"/>
            <w:tcBorders>
              <w:top w:val="nil"/>
              <w:left w:val="nil"/>
              <w:bottom w:val="nil"/>
              <w:right w:val="nil"/>
            </w:tcBorders>
            <w:tcMar>
              <w:top w:w="100" w:type="dxa"/>
              <w:left w:w="100" w:type="dxa"/>
              <w:bottom w:w="100" w:type="dxa"/>
              <w:right w:w="100" w:type="dxa"/>
            </w:tcMar>
          </w:tcPr>
          <w:p w14:paraId="7F05D229" w14:textId="5B253CB0" w:rsidR="00670867" w:rsidRDefault="00670867" w:rsidP="008241B3">
            <w:pPr>
              <w:jc w:val="center"/>
            </w:pPr>
            <w:r>
              <w:t>.1</w:t>
            </w:r>
            <w:r w:rsidR="00365C9F">
              <w:t>2</w:t>
            </w:r>
          </w:p>
        </w:tc>
        <w:tc>
          <w:tcPr>
            <w:tcW w:w="1650" w:type="dxa"/>
            <w:tcBorders>
              <w:top w:val="nil"/>
              <w:left w:val="nil"/>
              <w:bottom w:val="nil"/>
              <w:right w:val="nil"/>
            </w:tcBorders>
            <w:tcMar>
              <w:top w:w="100" w:type="dxa"/>
              <w:left w:w="100" w:type="dxa"/>
              <w:bottom w:w="100" w:type="dxa"/>
              <w:right w:w="100" w:type="dxa"/>
            </w:tcMar>
          </w:tcPr>
          <w:p w14:paraId="1D5C795D" w14:textId="1D00CE1D" w:rsidR="00670867" w:rsidRDefault="00670867" w:rsidP="008241B3">
            <w:pPr>
              <w:jc w:val="center"/>
            </w:pPr>
            <w:r>
              <w:t>-.0</w:t>
            </w:r>
            <w:r w:rsidR="00365C9F">
              <w:t>3</w:t>
            </w:r>
          </w:p>
        </w:tc>
        <w:tc>
          <w:tcPr>
            <w:tcW w:w="1605" w:type="dxa"/>
            <w:tcBorders>
              <w:top w:val="nil"/>
              <w:left w:val="nil"/>
              <w:bottom w:val="nil"/>
              <w:right w:val="nil"/>
            </w:tcBorders>
            <w:tcMar>
              <w:top w:w="100" w:type="dxa"/>
              <w:left w:w="100" w:type="dxa"/>
              <w:bottom w:w="100" w:type="dxa"/>
              <w:right w:w="100" w:type="dxa"/>
            </w:tcMar>
          </w:tcPr>
          <w:p w14:paraId="7FA8B208" w14:textId="42EFED53" w:rsidR="00670867" w:rsidRDefault="00670867" w:rsidP="008241B3">
            <w:pPr>
              <w:jc w:val="center"/>
            </w:pPr>
            <w:r>
              <w:t>.36***</w:t>
            </w:r>
          </w:p>
        </w:tc>
        <w:tc>
          <w:tcPr>
            <w:tcW w:w="1590" w:type="dxa"/>
            <w:tcBorders>
              <w:top w:val="nil"/>
              <w:left w:val="nil"/>
              <w:bottom w:val="nil"/>
              <w:right w:val="nil"/>
            </w:tcBorders>
            <w:tcMar>
              <w:top w:w="100" w:type="dxa"/>
              <w:left w:w="100" w:type="dxa"/>
              <w:bottom w:w="100" w:type="dxa"/>
              <w:right w:w="100" w:type="dxa"/>
            </w:tcMar>
          </w:tcPr>
          <w:p w14:paraId="05C2E787" w14:textId="09706B3D" w:rsidR="00670867" w:rsidRDefault="00670867" w:rsidP="008241B3">
            <w:pPr>
              <w:jc w:val="center"/>
            </w:pPr>
            <w:r>
              <w:t>.66***</w:t>
            </w:r>
          </w:p>
        </w:tc>
      </w:tr>
      <w:tr w:rsidR="00670867" w14:paraId="75544FEF" w14:textId="77777777" w:rsidTr="008241B3">
        <w:trPr>
          <w:trHeight w:val="1280"/>
        </w:trPr>
        <w:tc>
          <w:tcPr>
            <w:tcW w:w="1755" w:type="dxa"/>
            <w:tcBorders>
              <w:top w:val="nil"/>
              <w:left w:val="nil"/>
              <w:bottom w:val="nil"/>
              <w:right w:val="nil"/>
            </w:tcBorders>
            <w:tcMar>
              <w:top w:w="100" w:type="dxa"/>
              <w:left w:w="100" w:type="dxa"/>
              <w:bottom w:w="100" w:type="dxa"/>
              <w:right w:w="100" w:type="dxa"/>
            </w:tcMar>
          </w:tcPr>
          <w:p w14:paraId="42A75D70" w14:textId="38CEADB8" w:rsidR="0077227B" w:rsidRDefault="00670867" w:rsidP="0077227B">
            <w:r>
              <w:t xml:space="preserve">5. Bystander </w:t>
            </w:r>
            <w:r w:rsidR="0077227B">
              <w:t>Difficulty</w:t>
            </w:r>
          </w:p>
          <w:p w14:paraId="1D3152AA" w14:textId="6065F651" w:rsidR="00670867" w:rsidRDefault="00670867" w:rsidP="0077227B">
            <w:r>
              <w:t>(Reflected)</w:t>
            </w:r>
          </w:p>
        </w:tc>
        <w:tc>
          <w:tcPr>
            <w:tcW w:w="1320" w:type="dxa"/>
            <w:tcBorders>
              <w:top w:val="nil"/>
              <w:left w:val="nil"/>
              <w:bottom w:val="nil"/>
              <w:right w:val="nil"/>
            </w:tcBorders>
            <w:tcMar>
              <w:top w:w="100" w:type="dxa"/>
              <w:left w:w="100" w:type="dxa"/>
              <w:bottom w:w="100" w:type="dxa"/>
              <w:right w:w="100" w:type="dxa"/>
            </w:tcMar>
          </w:tcPr>
          <w:p w14:paraId="083CF956" w14:textId="3CDA10DE" w:rsidR="00670867" w:rsidRDefault="00670867" w:rsidP="008241B3">
            <w:pPr>
              <w:jc w:val="center"/>
            </w:pPr>
            <w:r>
              <w:t>.</w:t>
            </w:r>
            <w:r w:rsidR="00365C9F">
              <w:t>20</w:t>
            </w:r>
            <w:r>
              <w:t>*</w:t>
            </w:r>
          </w:p>
        </w:tc>
        <w:tc>
          <w:tcPr>
            <w:tcW w:w="1650" w:type="dxa"/>
            <w:tcBorders>
              <w:top w:val="nil"/>
              <w:left w:val="nil"/>
              <w:bottom w:val="nil"/>
              <w:right w:val="nil"/>
            </w:tcBorders>
            <w:tcMar>
              <w:top w:w="100" w:type="dxa"/>
              <w:left w:w="100" w:type="dxa"/>
              <w:bottom w:w="100" w:type="dxa"/>
              <w:right w:w="100" w:type="dxa"/>
            </w:tcMar>
          </w:tcPr>
          <w:p w14:paraId="263606D9" w14:textId="05B4A19B" w:rsidR="00670867" w:rsidRDefault="00670867" w:rsidP="008241B3">
            <w:pPr>
              <w:jc w:val="center"/>
            </w:pPr>
            <w:r>
              <w:t>.0</w:t>
            </w:r>
            <w:r w:rsidR="00365C9F">
              <w:t>1</w:t>
            </w:r>
          </w:p>
        </w:tc>
        <w:tc>
          <w:tcPr>
            <w:tcW w:w="1650" w:type="dxa"/>
            <w:tcBorders>
              <w:top w:val="nil"/>
              <w:left w:val="nil"/>
              <w:bottom w:val="nil"/>
              <w:right w:val="nil"/>
            </w:tcBorders>
            <w:tcMar>
              <w:top w:w="100" w:type="dxa"/>
              <w:left w:w="100" w:type="dxa"/>
              <w:bottom w:w="100" w:type="dxa"/>
              <w:right w:w="100" w:type="dxa"/>
            </w:tcMar>
          </w:tcPr>
          <w:p w14:paraId="01B18BED" w14:textId="43099C30" w:rsidR="00670867" w:rsidRDefault="00670867" w:rsidP="008241B3">
            <w:pPr>
              <w:jc w:val="center"/>
            </w:pPr>
            <w:r>
              <w:t>.08</w:t>
            </w:r>
          </w:p>
        </w:tc>
        <w:tc>
          <w:tcPr>
            <w:tcW w:w="1605" w:type="dxa"/>
            <w:tcBorders>
              <w:top w:val="nil"/>
              <w:left w:val="nil"/>
              <w:bottom w:val="nil"/>
              <w:right w:val="nil"/>
            </w:tcBorders>
            <w:tcMar>
              <w:top w:w="100" w:type="dxa"/>
              <w:left w:w="100" w:type="dxa"/>
              <w:bottom w:w="100" w:type="dxa"/>
              <w:right w:w="100" w:type="dxa"/>
            </w:tcMar>
          </w:tcPr>
          <w:p w14:paraId="1351B574" w14:textId="0B6DDCD0" w:rsidR="00670867" w:rsidRDefault="00670867" w:rsidP="008241B3">
            <w:pPr>
              <w:jc w:val="center"/>
            </w:pPr>
            <w:r>
              <w:t>.08</w:t>
            </w:r>
          </w:p>
        </w:tc>
        <w:tc>
          <w:tcPr>
            <w:tcW w:w="1590" w:type="dxa"/>
            <w:tcBorders>
              <w:top w:val="nil"/>
              <w:left w:val="nil"/>
              <w:bottom w:val="nil"/>
              <w:right w:val="nil"/>
            </w:tcBorders>
            <w:tcMar>
              <w:top w:w="100" w:type="dxa"/>
              <w:left w:w="100" w:type="dxa"/>
              <w:bottom w:w="100" w:type="dxa"/>
              <w:right w:w="100" w:type="dxa"/>
            </w:tcMar>
          </w:tcPr>
          <w:p w14:paraId="40AAD904" w14:textId="33D1E6CF" w:rsidR="00670867" w:rsidRDefault="00670867" w:rsidP="008241B3">
            <w:pPr>
              <w:jc w:val="center"/>
            </w:pPr>
            <w:r>
              <w:t>.0</w:t>
            </w:r>
            <w:r w:rsidR="00365C9F">
              <w:t>7</w:t>
            </w:r>
          </w:p>
        </w:tc>
      </w:tr>
      <w:tr w:rsidR="00670867" w14:paraId="0CE826B8" w14:textId="77777777" w:rsidTr="008241B3">
        <w:trPr>
          <w:trHeight w:val="1280"/>
        </w:trPr>
        <w:tc>
          <w:tcPr>
            <w:tcW w:w="1755" w:type="dxa"/>
            <w:tcBorders>
              <w:top w:val="nil"/>
              <w:left w:val="nil"/>
              <w:bottom w:val="single" w:sz="8" w:space="0" w:color="000000"/>
              <w:right w:val="nil"/>
            </w:tcBorders>
            <w:tcMar>
              <w:top w:w="100" w:type="dxa"/>
              <w:left w:w="100" w:type="dxa"/>
              <w:bottom w:w="100" w:type="dxa"/>
              <w:right w:w="100" w:type="dxa"/>
            </w:tcMar>
          </w:tcPr>
          <w:p w14:paraId="3E8B69BA" w14:textId="169060C1" w:rsidR="00670867" w:rsidRDefault="00670867" w:rsidP="008241B3">
            <w:r>
              <w:t>6. Bystander Likelihood (</w:t>
            </w:r>
            <w:r w:rsidR="0077227B">
              <w:t>R</w:t>
            </w:r>
            <w:r>
              <w:t>eflected)</w:t>
            </w:r>
          </w:p>
        </w:tc>
        <w:tc>
          <w:tcPr>
            <w:tcW w:w="1320" w:type="dxa"/>
            <w:tcBorders>
              <w:top w:val="nil"/>
              <w:left w:val="nil"/>
              <w:bottom w:val="single" w:sz="8" w:space="0" w:color="000000"/>
              <w:right w:val="nil"/>
            </w:tcBorders>
            <w:tcMar>
              <w:top w:w="100" w:type="dxa"/>
              <w:left w:w="100" w:type="dxa"/>
              <w:bottom w:w="100" w:type="dxa"/>
              <w:right w:w="100" w:type="dxa"/>
            </w:tcMar>
          </w:tcPr>
          <w:p w14:paraId="0563DF9D" w14:textId="1514B5A9" w:rsidR="00670867" w:rsidRDefault="00670867" w:rsidP="008241B3">
            <w:pPr>
              <w:jc w:val="center"/>
            </w:pPr>
            <w:r>
              <w:t>.10</w:t>
            </w:r>
          </w:p>
        </w:tc>
        <w:tc>
          <w:tcPr>
            <w:tcW w:w="1650" w:type="dxa"/>
            <w:tcBorders>
              <w:top w:val="nil"/>
              <w:left w:val="nil"/>
              <w:bottom w:val="single" w:sz="8" w:space="0" w:color="000000"/>
              <w:right w:val="nil"/>
            </w:tcBorders>
            <w:tcMar>
              <w:top w:w="100" w:type="dxa"/>
              <w:left w:w="100" w:type="dxa"/>
              <w:bottom w:w="100" w:type="dxa"/>
              <w:right w:w="100" w:type="dxa"/>
            </w:tcMar>
          </w:tcPr>
          <w:p w14:paraId="638631BF" w14:textId="7F526158" w:rsidR="00670867" w:rsidRDefault="00670867" w:rsidP="008241B3">
            <w:pPr>
              <w:jc w:val="center"/>
            </w:pPr>
            <w:r>
              <w:t>.0</w:t>
            </w:r>
            <w:r w:rsidR="00365C9F">
              <w:t>6</w:t>
            </w:r>
          </w:p>
        </w:tc>
        <w:tc>
          <w:tcPr>
            <w:tcW w:w="1650" w:type="dxa"/>
            <w:tcBorders>
              <w:top w:val="nil"/>
              <w:left w:val="nil"/>
              <w:bottom w:val="single" w:sz="8" w:space="0" w:color="000000"/>
              <w:right w:val="nil"/>
            </w:tcBorders>
            <w:tcMar>
              <w:top w:w="100" w:type="dxa"/>
              <w:left w:w="100" w:type="dxa"/>
              <w:bottom w:w="100" w:type="dxa"/>
              <w:right w:w="100" w:type="dxa"/>
            </w:tcMar>
          </w:tcPr>
          <w:p w14:paraId="2E2F5091" w14:textId="7D6CB50A" w:rsidR="00670867" w:rsidRDefault="00670867" w:rsidP="008241B3">
            <w:pPr>
              <w:jc w:val="center"/>
            </w:pPr>
            <w:r>
              <w:t>-.0</w:t>
            </w:r>
            <w:r w:rsidR="00365C9F">
              <w:t>6</w:t>
            </w:r>
          </w:p>
        </w:tc>
        <w:tc>
          <w:tcPr>
            <w:tcW w:w="1605" w:type="dxa"/>
            <w:tcBorders>
              <w:top w:val="nil"/>
              <w:left w:val="nil"/>
              <w:bottom w:val="single" w:sz="8" w:space="0" w:color="000000"/>
              <w:right w:val="nil"/>
            </w:tcBorders>
            <w:tcMar>
              <w:top w:w="100" w:type="dxa"/>
              <w:left w:w="100" w:type="dxa"/>
              <w:bottom w:w="100" w:type="dxa"/>
              <w:right w:w="100" w:type="dxa"/>
            </w:tcMar>
          </w:tcPr>
          <w:p w14:paraId="68329EE5" w14:textId="5A6364CD" w:rsidR="00670867" w:rsidRDefault="00670867" w:rsidP="008241B3">
            <w:pPr>
              <w:jc w:val="center"/>
            </w:pPr>
            <w:r>
              <w:t>.1</w:t>
            </w:r>
            <w:r w:rsidR="00365C9F">
              <w:t>5</w:t>
            </w:r>
          </w:p>
        </w:tc>
        <w:tc>
          <w:tcPr>
            <w:tcW w:w="1590" w:type="dxa"/>
            <w:tcBorders>
              <w:top w:val="nil"/>
              <w:left w:val="nil"/>
              <w:bottom w:val="single" w:sz="8" w:space="0" w:color="000000"/>
              <w:right w:val="nil"/>
            </w:tcBorders>
            <w:tcMar>
              <w:top w:w="100" w:type="dxa"/>
              <w:left w:w="100" w:type="dxa"/>
              <w:bottom w:w="100" w:type="dxa"/>
              <w:right w:w="100" w:type="dxa"/>
            </w:tcMar>
          </w:tcPr>
          <w:p w14:paraId="79069752" w14:textId="6639FF73" w:rsidR="00670867" w:rsidRDefault="00670867" w:rsidP="008241B3">
            <w:pPr>
              <w:jc w:val="center"/>
            </w:pPr>
            <w:r>
              <w:t>.03</w:t>
            </w:r>
          </w:p>
        </w:tc>
      </w:tr>
    </w:tbl>
    <w:p w14:paraId="412212F9" w14:textId="77777777" w:rsidR="00670867" w:rsidRDefault="00670867" w:rsidP="00670867">
      <w:r>
        <w:rPr>
          <w:i/>
        </w:rPr>
        <w:t>Note.</w:t>
      </w:r>
      <w:r>
        <w:t xml:space="preserve"> * p &lt; .05, ** p &lt; .01, *** p &lt; .001</w:t>
      </w:r>
    </w:p>
    <w:p w14:paraId="24D1993A" w14:textId="7DA6895D" w:rsidR="00670867" w:rsidRDefault="00670867"/>
    <w:p w14:paraId="291B856C" w14:textId="77777777" w:rsidR="00670867" w:rsidRDefault="00670867" w:rsidP="00670867"/>
    <w:p w14:paraId="0CB2CD57" w14:textId="77777777" w:rsidR="00BC3753" w:rsidRDefault="00BC3753" w:rsidP="00670867">
      <w:pPr>
        <w:rPr>
          <w:b/>
        </w:rPr>
        <w:sectPr w:rsidR="00BC3753" w:rsidSect="00670867">
          <w:headerReference w:type="default" r:id="rId62"/>
          <w:pgSz w:w="11906" w:h="16838"/>
          <w:pgMar w:top="1418" w:right="1418" w:bottom="1418" w:left="1418" w:header="708" w:footer="708" w:gutter="0"/>
          <w:pgNumType w:start="1"/>
          <w:cols w:space="720"/>
          <w:docGrid w:linePitch="299"/>
        </w:sectPr>
      </w:pPr>
    </w:p>
    <w:p w14:paraId="17F00D8E" w14:textId="79E621FD" w:rsidR="00670867" w:rsidRPr="00670867" w:rsidRDefault="00670867" w:rsidP="00670867">
      <w:pPr>
        <w:rPr>
          <w:b/>
        </w:rPr>
      </w:pPr>
      <w:r w:rsidRPr="00670867">
        <w:rPr>
          <w:b/>
        </w:rPr>
        <w:lastRenderedPageBreak/>
        <w:t>Table 4. Simultaneous multiple regression for bystander difficulty and bystander likelihood</w:t>
      </w:r>
    </w:p>
    <w:tbl>
      <w:tblPr>
        <w:tblW w:w="11992" w:type="dxa"/>
        <w:tblLayout w:type="fixed"/>
        <w:tblLook w:val="0400" w:firstRow="0" w:lastRow="0" w:firstColumn="0" w:lastColumn="0" w:noHBand="0" w:noVBand="1"/>
      </w:tblPr>
      <w:tblGrid>
        <w:gridCol w:w="1940"/>
        <w:gridCol w:w="960"/>
        <w:gridCol w:w="825"/>
        <w:gridCol w:w="440"/>
        <w:gridCol w:w="960"/>
        <w:gridCol w:w="262"/>
        <w:gridCol w:w="978"/>
        <w:gridCol w:w="545"/>
        <w:gridCol w:w="440"/>
        <w:gridCol w:w="266"/>
        <w:gridCol w:w="1065"/>
        <w:gridCol w:w="270"/>
        <w:gridCol w:w="855"/>
        <w:gridCol w:w="266"/>
        <w:gridCol w:w="960"/>
        <w:gridCol w:w="960"/>
      </w:tblGrid>
      <w:tr w:rsidR="00670867" w14:paraId="6D9893A2" w14:textId="77777777" w:rsidTr="008241B3">
        <w:trPr>
          <w:trHeight w:val="780"/>
        </w:trPr>
        <w:tc>
          <w:tcPr>
            <w:tcW w:w="1940" w:type="dxa"/>
            <w:tcBorders>
              <w:top w:val="nil"/>
              <w:left w:val="nil"/>
              <w:bottom w:val="single" w:sz="8" w:space="0" w:color="333333"/>
              <w:right w:val="nil"/>
            </w:tcBorders>
            <w:shd w:val="clear" w:color="auto" w:fill="auto"/>
            <w:vAlign w:val="center"/>
          </w:tcPr>
          <w:p w14:paraId="6F44BF00" w14:textId="77777777" w:rsidR="00670867" w:rsidRDefault="00670867" w:rsidP="008241B3">
            <w:pPr>
              <w:rPr>
                <w:color w:val="000000"/>
              </w:rPr>
            </w:pPr>
            <w:r>
              <w:rPr>
                <w:color w:val="000000"/>
              </w:rPr>
              <w:t> </w:t>
            </w:r>
          </w:p>
        </w:tc>
        <w:tc>
          <w:tcPr>
            <w:tcW w:w="4970" w:type="dxa"/>
            <w:gridSpan w:val="7"/>
            <w:tcBorders>
              <w:top w:val="nil"/>
              <w:left w:val="nil"/>
              <w:bottom w:val="single" w:sz="8" w:space="0" w:color="333333"/>
              <w:right w:val="nil"/>
            </w:tcBorders>
            <w:shd w:val="clear" w:color="auto" w:fill="auto"/>
            <w:vAlign w:val="center"/>
          </w:tcPr>
          <w:p w14:paraId="3B60489A" w14:textId="77777777" w:rsidR="00670867" w:rsidRDefault="00670867" w:rsidP="008241B3">
            <w:pPr>
              <w:jc w:val="center"/>
              <w:rPr>
                <w:color w:val="000000"/>
              </w:rPr>
            </w:pPr>
            <w:r>
              <w:rPr>
                <w:color w:val="000000"/>
              </w:rPr>
              <w:t>Bystander Difficulty (Reflected)</w:t>
            </w:r>
          </w:p>
        </w:tc>
        <w:tc>
          <w:tcPr>
            <w:tcW w:w="440" w:type="dxa"/>
            <w:tcBorders>
              <w:top w:val="nil"/>
              <w:left w:val="nil"/>
              <w:bottom w:val="nil"/>
              <w:right w:val="nil"/>
            </w:tcBorders>
            <w:shd w:val="clear" w:color="auto" w:fill="auto"/>
            <w:vAlign w:val="bottom"/>
          </w:tcPr>
          <w:p w14:paraId="77CE2178" w14:textId="77777777" w:rsidR="00670867" w:rsidRDefault="00670867" w:rsidP="008241B3">
            <w:pPr>
              <w:jc w:val="center"/>
              <w:rPr>
                <w:color w:val="000000"/>
              </w:rPr>
            </w:pPr>
          </w:p>
        </w:tc>
        <w:tc>
          <w:tcPr>
            <w:tcW w:w="4642" w:type="dxa"/>
            <w:gridSpan w:val="7"/>
            <w:tcBorders>
              <w:top w:val="nil"/>
              <w:left w:val="nil"/>
              <w:bottom w:val="single" w:sz="8" w:space="0" w:color="333333"/>
              <w:right w:val="nil"/>
            </w:tcBorders>
            <w:shd w:val="clear" w:color="auto" w:fill="auto"/>
            <w:vAlign w:val="center"/>
          </w:tcPr>
          <w:p w14:paraId="39E6FD84" w14:textId="77777777" w:rsidR="00670867" w:rsidRDefault="00670867" w:rsidP="008241B3">
            <w:pPr>
              <w:jc w:val="center"/>
              <w:rPr>
                <w:color w:val="000000"/>
              </w:rPr>
            </w:pPr>
            <w:r>
              <w:rPr>
                <w:color w:val="000000"/>
              </w:rPr>
              <w:t>Bystander Likelihood (Reflected)</w:t>
            </w:r>
          </w:p>
        </w:tc>
      </w:tr>
      <w:tr w:rsidR="00670867" w14:paraId="2161D3DD" w14:textId="77777777" w:rsidTr="003A7D48">
        <w:trPr>
          <w:trHeight w:val="288"/>
        </w:trPr>
        <w:tc>
          <w:tcPr>
            <w:tcW w:w="1940" w:type="dxa"/>
            <w:tcBorders>
              <w:top w:val="nil"/>
              <w:left w:val="nil"/>
              <w:bottom w:val="nil"/>
              <w:right w:val="nil"/>
            </w:tcBorders>
            <w:shd w:val="clear" w:color="auto" w:fill="auto"/>
            <w:vAlign w:val="bottom"/>
          </w:tcPr>
          <w:p w14:paraId="11649029" w14:textId="77777777" w:rsidR="00670867" w:rsidRDefault="00670867" w:rsidP="008241B3">
            <w:pPr>
              <w:jc w:val="center"/>
              <w:rPr>
                <w:color w:val="000000"/>
              </w:rPr>
            </w:pPr>
          </w:p>
        </w:tc>
        <w:tc>
          <w:tcPr>
            <w:tcW w:w="960" w:type="dxa"/>
            <w:tcBorders>
              <w:top w:val="nil"/>
              <w:left w:val="nil"/>
              <w:bottom w:val="nil"/>
              <w:right w:val="nil"/>
            </w:tcBorders>
            <w:shd w:val="clear" w:color="auto" w:fill="auto"/>
            <w:vAlign w:val="bottom"/>
          </w:tcPr>
          <w:p w14:paraId="59FB345C" w14:textId="77777777" w:rsidR="00670867" w:rsidRDefault="00670867" w:rsidP="008241B3"/>
        </w:tc>
        <w:tc>
          <w:tcPr>
            <w:tcW w:w="825" w:type="dxa"/>
            <w:tcBorders>
              <w:top w:val="nil"/>
              <w:left w:val="nil"/>
              <w:bottom w:val="nil"/>
              <w:right w:val="nil"/>
            </w:tcBorders>
            <w:shd w:val="clear" w:color="auto" w:fill="auto"/>
            <w:vAlign w:val="bottom"/>
          </w:tcPr>
          <w:p w14:paraId="1514817F" w14:textId="77777777" w:rsidR="00670867" w:rsidRDefault="00670867" w:rsidP="008241B3"/>
        </w:tc>
        <w:tc>
          <w:tcPr>
            <w:tcW w:w="440" w:type="dxa"/>
            <w:tcBorders>
              <w:top w:val="nil"/>
              <w:left w:val="nil"/>
              <w:bottom w:val="nil"/>
              <w:right w:val="nil"/>
            </w:tcBorders>
            <w:shd w:val="clear" w:color="auto" w:fill="auto"/>
            <w:vAlign w:val="bottom"/>
          </w:tcPr>
          <w:p w14:paraId="4EB890F8" w14:textId="77777777" w:rsidR="00670867" w:rsidRDefault="00670867" w:rsidP="008241B3"/>
        </w:tc>
        <w:tc>
          <w:tcPr>
            <w:tcW w:w="960" w:type="dxa"/>
            <w:tcBorders>
              <w:top w:val="nil"/>
              <w:left w:val="nil"/>
              <w:bottom w:val="nil"/>
              <w:right w:val="nil"/>
            </w:tcBorders>
            <w:shd w:val="clear" w:color="auto" w:fill="auto"/>
            <w:vAlign w:val="bottom"/>
          </w:tcPr>
          <w:p w14:paraId="199E5DE7" w14:textId="77777777" w:rsidR="00670867" w:rsidRDefault="00670867" w:rsidP="008241B3"/>
        </w:tc>
        <w:tc>
          <w:tcPr>
            <w:tcW w:w="262" w:type="dxa"/>
            <w:tcBorders>
              <w:top w:val="nil"/>
              <w:left w:val="nil"/>
              <w:bottom w:val="nil"/>
              <w:right w:val="nil"/>
            </w:tcBorders>
            <w:shd w:val="clear" w:color="auto" w:fill="auto"/>
            <w:vAlign w:val="bottom"/>
          </w:tcPr>
          <w:p w14:paraId="6B85184B" w14:textId="77777777" w:rsidR="00670867" w:rsidRDefault="00670867" w:rsidP="008241B3"/>
        </w:tc>
        <w:tc>
          <w:tcPr>
            <w:tcW w:w="978" w:type="dxa"/>
            <w:tcBorders>
              <w:top w:val="nil"/>
              <w:left w:val="nil"/>
              <w:bottom w:val="nil"/>
              <w:right w:val="nil"/>
            </w:tcBorders>
            <w:shd w:val="clear" w:color="auto" w:fill="auto"/>
            <w:vAlign w:val="bottom"/>
          </w:tcPr>
          <w:p w14:paraId="6C01E9FB" w14:textId="77777777" w:rsidR="00670867" w:rsidRDefault="00670867" w:rsidP="008241B3"/>
        </w:tc>
        <w:tc>
          <w:tcPr>
            <w:tcW w:w="545" w:type="dxa"/>
            <w:tcBorders>
              <w:top w:val="nil"/>
              <w:left w:val="nil"/>
              <w:bottom w:val="nil"/>
              <w:right w:val="nil"/>
            </w:tcBorders>
            <w:shd w:val="clear" w:color="auto" w:fill="auto"/>
            <w:vAlign w:val="bottom"/>
          </w:tcPr>
          <w:p w14:paraId="207A423D" w14:textId="77777777" w:rsidR="00670867" w:rsidRDefault="00670867" w:rsidP="008241B3"/>
        </w:tc>
        <w:tc>
          <w:tcPr>
            <w:tcW w:w="440" w:type="dxa"/>
            <w:tcBorders>
              <w:top w:val="nil"/>
              <w:left w:val="nil"/>
              <w:bottom w:val="nil"/>
              <w:right w:val="nil"/>
            </w:tcBorders>
            <w:shd w:val="clear" w:color="auto" w:fill="auto"/>
            <w:vAlign w:val="bottom"/>
          </w:tcPr>
          <w:p w14:paraId="0D4BE1F9" w14:textId="77777777" w:rsidR="00670867" w:rsidRDefault="00670867" w:rsidP="008241B3"/>
        </w:tc>
        <w:tc>
          <w:tcPr>
            <w:tcW w:w="266" w:type="dxa"/>
            <w:tcBorders>
              <w:top w:val="nil"/>
              <w:left w:val="nil"/>
              <w:bottom w:val="nil"/>
              <w:right w:val="nil"/>
            </w:tcBorders>
            <w:shd w:val="clear" w:color="auto" w:fill="auto"/>
            <w:vAlign w:val="bottom"/>
          </w:tcPr>
          <w:p w14:paraId="3328CFB2" w14:textId="77777777" w:rsidR="00670867" w:rsidRDefault="00670867" w:rsidP="008241B3"/>
        </w:tc>
        <w:tc>
          <w:tcPr>
            <w:tcW w:w="1065" w:type="dxa"/>
            <w:tcBorders>
              <w:top w:val="nil"/>
              <w:left w:val="nil"/>
              <w:bottom w:val="nil"/>
              <w:right w:val="nil"/>
            </w:tcBorders>
            <w:shd w:val="clear" w:color="auto" w:fill="auto"/>
            <w:vAlign w:val="bottom"/>
          </w:tcPr>
          <w:p w14:paraId="3FB4A905" w14:textId="77777777" w:rsidR="00670867" w:rsidRDefault="00670867" w:rsidP="008241B3"/>
        </w:tc>
        <w:tc>
          <w:tcPr>
            <w:tcW w:w="270" w:type="dxa"/>
            <w:tcBorders>
              <w:top w:val="nil"/>
              <w:left w:val="nil"/>
              <w:bottom w:val="nil"/>
              <w:right w:val="nil"/>
            </w:tcBorders>
            <w:shd w:val="clear" w:color="auto" w:fill="auto"/>
            <w:vAlign w:val="bottom"/>
          </w:tcPr>
          <w:p w14:paraId="10C4F7FD" w14:textId="77777777" w:rsidR="00670867" w:rsidRDefault="00670867" w:rsidP="008241B3"/>
        </w:tc>
        <w:tc>
          <w:tcPr>
            <w:tcW w:w="855" w:type="dxa"/>
            <w:tcBorders>
              <w:top w:val="nil"/>
              <w:left w:val="nil"/>
              <w:bottom w:val="nil"/>
              <w:right w:val="nil"/>
            </w:tcBorders>
            <w:shd w:val="clear" w:color="auto" w:fill="auto"/>
            <w:vAlign w:val="bottom"/>
          </w:tcPr>
          <w:p w14:paraId="6F6A7036" w14:textId="77777777" w:rsidR="00670867" w:rsidRDefault="00670867" w:rsidP="008241B3"/>
        </w:tc>
        <w:tc>
          <w:tcPr>
            <w:tcW w:w="266" w:type="dxa"/>
            <w:tcBorders>
              <w:top w:val="nil"/>
              <w:left w:val="nil"/>
              <w:bottom w:val="nil"/>
              <w:right w:val="nil"/>
            </w:tcBorders>
            <w:shd w:val="clear" w:color="auto" w:fill="auto"/>
            <w:vAlign w:val="bottom"/>
          </w:tcPr>
          <w:p w14:paraId="615FB682" w14:textId="77777777" w:rsidR="00670867" w:rsidRDefault="00670867" w:rsidP="008241B3"/>
        </w:tc>
        <w:tc>
          <w:tcPr>
            <w:tcW w:w="960" w:type="dxa"/>
            <w:tcBorders>
              <w:top w:val="nil"/>
              <w:left w:val="nil"/>
              <w:bottom w:val="nil"/>
              <w:right w:val="nil"/>
            </w:tcBorders>
            <w:shd w:val="clear" w:color="auto" w:fill="auto"/>
            <w:vAlign w:val="bottom"/>
          </w:tcPr>
          <w:p w14:paraId="2FE992D6" w14:textId="77777777" w:rsidR="00670867" w:rsidRDefault="00670867" w:rsidP="008241B3"/>
        </w:tc>
        <w:tc>
          <w:tcPr>
            <w:tcW w:w="960" w:type="dxa"/>
            <w:tcBorders>
              <w:top w:val="nil"/>
              <w:left w:val="nil"/>
              <w:bottom w:val="nil"/>
              <w:right w:val="nil"/>
            </w:tcBorders>
            <w:shd w:val="clear" w:color="auto" w:fill="auto"/>
            <w:vAlign w:val="bottom"/>
          </w:tcPr>
          <w:p w14:paraId="2EB2EE04" w14:textId="77777777" w:rsidR="00670867" w:rsidRDefault="00670867" w:rsidP="008241B3"/>
        </w:tc>
      </w:tr>
      <w:tr w:rsidR="00670867" w14:paraId="5468BBD8" w14:textId="77777777" w:rsidTr="003A7D48">
        <w:trPr>
          <w:trHeight w:val="300"/>
        </w:trPr>
        <w:tc>
          <w:tcPr>
            <w:tcW w:w="2900" w:type="dxa"/>
            <w:gridSpan w:val="2"/>
            <w:tcBorders>
              <w:top w:val="nil"/>
              <w:left w:val="nil"/>
              <w:bottom w:val="single" w:sz="8" w:space="0" w:color="333333"/>
              <w:right w:val="nil"/>
            </w:tcBorders>
            <w:shd w:val="clear" w:color="auto" w:fill="auto"/>
            <w:vAlign w:val="center"/>
          </w:tcPr>
          <w:p w14:paraId="410998E8" w14:textId="77777777" w:rsidR="00670867" w:rsidRDefault="00670867" w:rsidP="008241B3">
            <w:pPr>
              <w:jc w:val="center"/>
              <w:rPr>
                <w:b/>
                <w:color w:val="000000"/>
              </w:rPr>
            </w:pPr>
            <w:r>
              <w:rPr>
                <w:b/>
                <w:color w:val="000000"/>
              </w:rPr>
              <w:t>Predictor</w:t>
            </w:r>
          </w:p>
        </w:tc>
        <w:tc>
          <w:tcPr>
            <w:tcW w:w="1265" w:type="dxa"/>
            <w:gridSpan w:val="2"/>
            <w:tcBorders>
              <w:top w:val="nil"/>
              <w:left w:val="nil"/>
              <w:bottom w:val="single" w:sz="8" w:space="0" w:color="333333"/>
              <w:right w:val="nil"/>
            </w:tcBorders>
            <w:shd w:val="clear" w:color="auto" w:fill="auto"/>
            <w:vAlign w:val="center"/>
          </w:tcPr>
          <w:p w14:paraId="283BCB08" w14:textId="23E16742" w:rsidR="00670867" w:rsidRDefault="00F808A2" w:rsidP="008241B3">
            <w:pPr>
              <w:jc w:val="center"/>
              <w:rPr>
                <w:b/>
                <w:color w:val="000000"/>
              </w:rPr>
            </w:pPr>
            <w:r>
              <w:rPr>
                <w:b/>
                <w:color w:val="000000"/>
              </w:rPr>
              <w:t>beta</w:t>
            </w:r>
          </w:p>
        </w:tc>
        <w:tc>
          <w:tcPr>
            <w:tcW w:w="1222" w:type="dxa"/>
            <w:gridSpan w:val="2"/>
            <w:tcBorders>
              <w:top w:val="nil"/>
              <w:left w:val="nil"/>
              <w:bottom w:val="single" w:sz="8" w:space="0" w:color="333333"/>
              <w:right w:val="nil"/>
            </w:tcBorders>
            <w:shd w:val="clear" w:color="auto" w:fill="auto"/>
            <w:vAlign w:val="center"/>
          </w:tcPr>
          <w:p w14:paraId="18E8C814" w14:textId="77777777" w:rsidR="00670867" w:rsidRDefault="00670867" w:rsidP="008241B3">
            <w:pPr>
              <w:jc w:val="center"/>
              <w:rPr>
                <w:b/>
                <w:color w:val="000000"/>
              </w:rPr>
            </w:pPr>
            <w:r>
              <w:rPr>
                <w:b/>
                <w:color w:val="000000"/>
              </w:rPr>
              <w:t>SE</w:t>
            </w:r>
          </w:p>
        </w:tc>
        <w:tc>
          <w:tcPr>
            <w:tcW w:w="1523" w:type="dxa"/>
            <w:gridSpan w:val="2"/>
            <w:tcBorders>
              <w:top w:val="nil"/>
              <w:left w:val="nil"/>
              <w:bottom w:val="single" w:sz="8" w:space="0" w:color="333333"/>
              <w:right w:val="nil"/>
            </w:tcBorders>
            <w:shd w:val="clear" w:color="auto" w:fill="auto"/>
            <w:vAlign w:val="center"/>
          </w:tcPr>
          <w:p w14:paraId="35505666" w14:textId="087DE445" w:rsidR="00670867" w:rsidRDefault="00670867" w:rsidP="008241B3">
            <w:pPr>
              <w:jc w:val="center"/>
              <w:rPr>
                <w:b/>
                <w:color w:val="000000"/>
              </w:rPr>
            </w:pPr>
            <w:r>
              <w:rPr>
                <w:b/>
                <w:color w:val="000000"/>
              </w:rPr>
              <w:t xml:space="preserve">Stand. </w:t>
            </w:r>
            <w:r w:rsidR="00F808A2">
              <w:rPr>
                <w:b/>
                <w:color w:val="000000"/>
              </w:rPr>
              <w:t>beta</w:t>
            </w:r>
          </w:p>
        </w:tc>
        <w:tc>
          <w:tcPr>
            <w:tcW w:w="440" w:type="dxa"/>
            <w:tcBorders>
              <w:top w:val="nil"/>
              <w:left w:val="nil"/>
              <w:bottom w:val="nil"/>
              <w:right w:val="nil"/>
            </w:tcBorders>
            <w:shd w:val="clear" w:color="auto" w:fill="auto"/>
            <w:vAlign w:val="bottom"/>
          </w:tcPr>
          <w:p w14:paraId="660F4432" w14:textId="77777777" w:rsidR="00670867" w:rsidRDefault="00670867" w:rsidP="008241B3">
            <w:pPr>
              <w:jc w:val="center"/>
              <w:rPr>
                <w:b/>
                <w:color w:val="000000"/>
              </w:rPr>
            </w:pPr>
          </w:p>
        </w:tc>
        <w:tc>
          <w:tcPr>
            <w:tcW w:w="266" w:type="dxa"/>
            <w:tcBorders>
              <w:top w:val="nil"/>
              <w:left w:val="nil"/>
              <w:bottom w:val="single" w:sz="8" w:space="0" w:color="333333"/>
              <w:right w:val="nil"/>
            </w:tcBorders>
            <w:shd w:val="clear" w:color="auto" w:fill="auto"/>
            <w:vAlign w:val="center"/>
          </w:tcPr>
          <w:p w14:paraId="72B81464" w14:textId="77777777" w:rsidR="00670867" w:rsidRDefault="00670867" w:rsidP="008241B3">
            <w:pPr>
              <w:jc w:val="center"/>
              <w:rPr>
                <w:b/>
                <w:color w:val="000000"/>
              </w:rPr>
            </w:pPr>
            <w:r>
              <w:rPr>
                <w:b/>
                <w:color w:val="000000"/>
              </w:rPr>
              <w:t> </w:t>
            </w:r>
          </w:p>
        </w:tc>
        <w:tc>
          <w:tcPr>
            <w:tcW w:w="1335" w:type="dxa"/>
            <w:gridSpan w:val="2"/>
            <w:tcBorders>
              <w:top w:val="nil"/>
              <w:left w:val="nil"/>
              <w:bottom w:val="single" w:sz="8" w:space="0" w:color="333333"/>
              <w:right w:val="nil"/>
            </w:tcBorders>
            <w:shd w:val="clear" w:color="auto" w:fill="auto"/>
            <w:vAlign w:val="center"/>
          </w:tcPr>
          <w:p w14:paraId="1AF3458E" w14:textId="7D14F02C" w:rsidR="00670867" w:rsidRDefault="00F808A2" w:rsidP="008241B3">
            <w:pPr>
              <w:jc w:val="center"/>
              <w:rPr>
                <w:b/>
                <w:color w:val="000000"/>
              </w:rPr>
            </w:pPr>
            <w:r>
              <w:rPr>
                <w:b/>
                <w:color w:val="000000"/>
              </w:rPr>
              <w:t>beta</w:t>
            </w:r>
          </w:p>
        </w:tc>
        <w:tc>
          <w:tcPr>
            <w:tcW w:w="1121" w:type="dxa"/>
            <w:gridSpan w:val="2"/>
            <w:tcBorders>
              <w:top w:val="nil"/>
              <w:left w:val="nil"/>
              <w:bottom w:val="single" w:sz="8" w:space="0" w:color="333333"/>
              <w:right w:val="nil"/>
            </w:tcBorders>
            <w:shd w:val="clear" w:color="auto" w:fill="auto"/>
            <w:vAlign w:val="center"/>
          </w:tcPr>
          <w:p w14:paraId="01C00A6B" w14:textId="77777777" w:rsidR="00670867" w:rsidRDefault="00670867" w:rsidP="008241B3">
            <w:pPr>
              <w:jc w:val="center"/>
              <w:rPr>
                <w:b/>
                <w:color w:val="000000"/>
              </w:rPr>
            </w:pPr>
            <w:r>
              <w:rPr>
                <w:b/>
                <w:color w:val="000000"/>
              </w:rPr>
              <w:t>SE</w:t>
            </w:r>
          </w:p>
        </w:tc>
        <w:tc>
          <w:tcPr>
            <w:tcW w:w="1920" w:type="dxa"/>
            <w:gridSpan w:val="2"/>
            <w:tcBorders>
              <w:top w:val="nil"/>
              <w:left w:val="nil"/>
              <w:bottom w:val="single" w:sz="8" w:space="0" w:color="333333"/>
              <w:right w:val="nil"/>
            </w:tcBorders>
            <w:shd w:val="clear" w:color="auto" w:fill="auto"/>
            <w:vAlign w:val="center"/>
          </w:tcPr>
          <w:p w14:paraId="3F5C5654" w14:textId="6C0118C8" w:rsidR="00670867" w:rsidRDefault="00670867" w:rsidP="008241B3">
            <w:pPr>
              <w:jc w:val="center"/>
              <w:rPr>
                <w:b/>
                <w:color w:val="000000"/>
              </w:rPr>
            </w:pPr>
            <w:r>
              <w:rPr>
                <w:b/>
                <w:color w:val="000000"/>
              </w:rPr>
              <w:t xml:space="preserve">Stand. </w:t>
            </w:r>
            <w:r w:rsidR="00F808A2">
              <w:rPr>
                <w:b/>
                <w:color w:val="000000"/>
              </w:rPr>
              <w:t>beta</w:t>
            </w:r>
          </w:p>
        </w:tc>
      </w:tr>
      <w:tr w:rsidR="00670867" w14:paraId="302C7E19" w14:textId="77777777" w:rsidTr="003A7D48">
        <w:trPr>
          <w:trHeight w:val="288"/>
        </w:trPr>
        <w:tc>
          <w:tcPr>
            <w:tcW w:w="1940" w:type="dxa"/>
            <w:tcBorders>
              <w:top w:val="nil"/>
              <w:left w:val="nil"/>
              <w:bottom w:val="nil"/>
              <w:right w:val="nil"/>
            </w:tcBorders>
            <w:shd w:val="clear" w:color="auto" w:fill="auto"/>
            <w:vAlign w:val="center"/>
          </w:tcPr>
          <w:p w14:paraId="50FB2A74" w14:textId="77777777" w:rsidR="00670867" w:rsidRDefault="00670867" w:rsidP="008241B3">
            <w:pPr>
              <w:rPr>
                <w:color w:val="000000"/>
              </w:rPr>
            </w:pPr>
            <w:r>
              <w:rPr>
                <w:color w:val="000000"/>
              </w:rPr>
              <w:t>Intercept</w:t>
            </w:r>
          </w:p>
        </w:tc>
        <w:tc>
          <w:tcPr>
            <w:tcW w:w="960" w:type="dxa"/>
            <w:tcBorders>
              <w:top w:val="nil"/>
              <w:left w:val="nil"/>
              <w:bottom w:val="nil"/>
              <w:right w:val="nil"/>
            </w:tcBorders>
            <w:shd w:val="clear" w:color="auto" w:fill="auto"/>
            <w:vAlign w:val="center"/>
          </w:tcPr>
          <w:p w14:paraId="4E988DF0" w14:textId="77777777" w:rsidR="00670867" w:rsidRDefault="00670867" w:rsidP="008241B3">
            <w:pPr>
              <w:rPr>
                <w:color w:val="000000"/>
              </w:rPr>
            </w:pPr>
          </w:p>
        </w:tc>
        <w:tc>
          <w:tcPr>
            <w:tcW w:w="825" w:type="dxa"/>
            <w:tcBorders>
              <w:top w:val="nil"/>
              <w:left w:val="nil"/>
              <w:bottom w:val="nil"/>
              <w:right w:val="nil"/>
            </w:tcBorders>
            <w:shd w:val="clear" w:color="auto" w:fill="auto"/>
            <w:vAlign w:val="center"/>
          </w:tcPr>
          <w:p w14:paraId="4D8A1C4F" w14:textId="77777777" w:rsidR="00670867" w:rsidRDefault="00670867" w:rsidP="008241B3">
            <w:pPr>
              <w:jc w:val="right"/>
              <w:rPr>
                <w:color w:val="000000"/>
              </w:rPr>
            </w:pPr>
            <w:r>
              <w:rPr>
                <w:color w:val="000000"/>
              </w:rPr>
              <w:t>0.90</w:t>
            </w:r>
          </w:p>
        </w:tc>
        <w:tc>
          <w:tcPr>
            <w:tcW w:w="440" w:type="dxa"/>
            <w:tcBorders>
              <w:top w:val="nil"/>
              <w:left w:val="nil"/>
              <w:bottom w:val="nil"/>
              <w:right w:val="nil"/>
            </w:tcBorders>
            <w:shd w:val="clear" w:color="auto" w:fill="auto"/>
            <w:vAlign w:val="center"/>
          </w:tcPr>
          <w:p w14:paraId="466CE0A9" w14:textId="77777777" w:rsidR="00670867" w:rsidRDefault="00670867" w:rsidP="008241B3">
            <w:pPr>
              <w:jc w:val="right"/>
              <w:rPr>
                <w:color w:val="000000"/>
              </w:rPr>
            </w:pPr>
          </w:p>
        </w:tc>
        <w:tc>
          <w:tcPr>
            <w:tcW w:w="960" w:type="dxa"/>
            <w:tcBorders>
              <w:top w:val="nil"/>
              <w:left w:val="nil"/>
              <w:bottom w:val="nil"/>
              <w:right w:val="nil"/>
            </w:tcBorders>
            <w:shd w:val="clear" w:color="auto" w:fill="auto"/>
            <w:vAlign w:val="center"/>
          </w:tcPr>
          <w:p w14:paraId="59F384B1" w14:textId="77777777" w:rsidR="00670867" w:rsidRDefault="00670867" w:rsidP="008241B3">
            <w:pPr>
              <w:jc w:val="right"/>
              <w:rPr>
                <w:color w:val="000000"/>
              </w:rPr>
            </w:pPr>
            <w:r>
              <w:rPr>
                <w:color w:val="000000"/>
              </w:rPr>
              <w:t>0.39</w:t>
            </w:r>
          </w:p>
        </w:tc>
        <w:tc>
          <w:tcPr>
            <w:tcW w:w="262" w:type="dxa"/>
            <w:tcBorders>
              <w:top w:val="nil"/>
              <w:left w:val="nil"/>
              <w:bottom w:val="nil"/>
              <w:right w:val="nil"/>
            </w:tcBorders>
            <w:shd w:val="clear" w:color="auto" w:fill="auto"/>
            <w:vAlign w:val="center"/>
          </w:tcPr>
          <w:p w14:paraId="6E365736" w14:textId="77777777" w:rsidR="00670867" w:rsidRDefault="00670867" w:rsidP="008241B3">
            <w:pPr>
              <w:jc w:val="right"/>
              <w:rPr>
                <w:color w:val="000000"/>
              </w:rPr>
            </w:pPr>
          </w:p>
        </w:tc>
        <w:tc>
          <w:tcPr>
            <w:tcW w:w="978" w:type="dxa"/>
            <w:tcBorders>
              <w:top w:val="nil"/>
              <w:left w:val="nil"/>
              <w:bottom w:val="nil"/>
              <w:right w:val="nil"/>
            </w:tcBorders>
            <w:shd w:val="clear" w:color="auto" w:fill="auto"/>
            <w:vAlign w:val="center"/>
          </w:tcPr>
          <w:p w14:paraId="35BC9573" w14:textId="77777777" w:rsidR="00670867" w:rsidRDefault="00670867" w:rsidP="008241B3"/>
        </w:tc>
        <w:tc>
          <w:tcPr>
            <w:tcW w:w="545" w:type="dxa"/>
            <w:tcBorders>
              <w:top w:val="nil"/>
              <w:left w:val="nil"/>
              <w:bottom w:val="nil"/>
              <w:right w:val="nil"/>
            </w:tcBorders>
            <w:shd w:val="clear" w:color="auto" w:fill="auto"/>
            <w:vAlign w:val="center"/>
          </w:tcPr>
          <w:p w14:paraId="1EBE26BC" w14:textId="77777777" w:rsidR="00670867" w:rsidRDefault="00670867" w:rsidP="008241B3">
            <w:pPr>
              <w:jc w:val="right"/>
            </w:pPr>
          </w:p>
        </w:tc>
        <w:tc>
          <w:tcPr>
            <w:tcW w:w="440" w:type="dxa"/>
            <w:tcBorders>
              <w:top w:val="nil"/>
              <w:left w:val="nil"/>
              <w:bottom w:val="nil"/>
              <w:right w:val="nil"/>
            </w:tcBorders>
            <w:shd w:val="clear" w:color="auto" w:fill="auto"/>
            <w:vAlign w:val="bottom"/>
          </w:tcPr>
          <w:p w14:paraId="7FE0B87C" w14:textId="77777777" w:rsidR="00670867" w:rsidRDefault="00670867" w:rsidP="008241B3"/>
        </w:tc>
        <w:tc>
          <w:tcPr>
            <w:tcW w:w="266" w:type="dxa"/>
            <w:tcBorders>
              <w:top w:val="nil"/>
              <w:left w:val="nil"/>
              <w:bottom w:val="nil"/>
              <w:right w:val="nil"/>
            </w:tcBorders>
            <w:shd w:val="clear" w:color="auto" w:fill="auto"/>
            <w:vAlign w:val="center"/>
          </w:tcPr>
          <w:p w14:paraId="6B12641B" w14:textId="77777777" w:rsidR="00670867" w:rsidRDefault="00670867" w:rsidP="008241B3"/>
        </w:tc>
        <w:tc>
          <w:tcPr>
            <w:tcW w:w="1065" w:type="dxa"/>
            <w:tcBorders>
              <w:top w:val="nil"/>
              <w:left w:val="nil"/>
              <w:bottom w:val="nil"/>
              <w:right w:val="nil"/>
            </w:tcBorders>
            <w:shd w:val="clear" w:color="auto" w:fill="auto"/>
            <w:vAlign w:val="center"/>
          </w:tcPr>
          <w:p w14:paraId="3B9751C6" w14:textId="77777777" w:rsidR="00670867" w:rsidRDefault="00670867" w:rsidP="008241B3">
            <w:pPr>
              <w:jc w:val="right"/>
              <w:rPr>
                <w:color w:val="000000"/>
              </w:rPr>
            </w:pPr>
            <w:r>
              <w:rPr>
                <w:color w:val="000000"/>
              </w:rPr>
              <w:t>8.10</w:t>
            </w:r>
          </w:p>
        </w:tc>
        <w:tc>
          <w:tcPr>
            <w:tcW w:w="270" w:type="dxa"/>
            <w:tcBorders>
              <w:top w:val="nil"/>
              <w:left w:val="nil"/>
              <w:bottom w:val="nil"/>
              <w:right w:val="nil"/>
            </w:tcBorders>
            <w:shd w:val="clear" w:color="auto" w:fill="auto"/>
            <w:vAlign w:val="center"/>
          </w:tcPr>
          <w:p w14:paraId="3728FD69" w14:textId="77777777" w:rsidR="00670867" w:rsidRDefault="00670867" w:rsidP="008241B3">
            <w:pPr>
              <w:jc w:val="right"/>
              <w:rPr>
                <w:color w:val="000000"/>
              </w:rPr>
            </w:pPr>
          </w:p>
        </w:tc>
        <w:tc>
          <w:tcPr>
            <w:tcW w:w="855" w:type="dxa"/>
            <w:tcBorders>
              <w:top w:val="nil"/>
              <w:left w:val="nil"/>
              <w:bottom w:val="nil"/>
              <w:right w:val="nil"/>
            </w:tcBorders>
            <w:shd w:val="clear" w:color="auto" w:fill="auto"/>
            <w:vAlign w:val="center"/>
          </w:tcPr>
          <w:p w14:paraId="3A8E6EE0" w14:textId="77777777" w:rsidR="00670867" w:rsidRDefault="00670867" w:rsidP="008241B3">
            <w:pPr>
              <w:jc w:val="right"/>
              <w:rPr>
                <w:color w:val="000000"/>
              </w:rPr>
            </w:pPr>
            <w:r>
              <w:rPr>
                <w:color w:val="000000"/>
              </w:rPr>
              <w:t>1.06</w:t>
            </w:r>
          </w:p>
        </w:tc>
        <w:tc>
          <w:tcPr>
            <w:tcW w:w="266" w:type="dxa"/>
            <w:tcBorders>
              <w:top w:val="nil"/>
              <w:left w:val="nil"/>
              <w:bottom w:val="nil"/>
              <w:right w:val="nil"/>
            </w:tcBorders>
            <w:shd w:val="clear" w:color="auto" w:fill="auto"/>
            <w:vAlign w:val="center"/>
          </w:tcPr>
          <w:p w14:paraId="05405707" w14:textId="77777777" w:rsidR="00670867" w:rsidRDefault="00670867" w:rsidP="008241B3">
            <w:pPr>
              <w:jc w:val="right"/>
              <w:rPr>
                <w:color w:val="000000"/>
              </w:rPr>
            </w:pPr>
          </w:p>
        </w:tc>
        <w:tc>
          <w:tcPr>
            <w:tcW w:w="960" w:type="dxa"/>
            <w:tcBorders>
              <w:top w:val="nil"/>
              <w:left w:val="nil"/>
              <w:bottom w:val="nil"/>
              <w:right w:val="nil"/>
            </w:tcBorders>
            <w:shd w:val="clear" w:color="auto" w:fill="auto"/>
            <w:vAlign w:val="center"/>
          </w:tcPr>
          <w:p w14:paraId="10575E3E" w14:textId="77777777" w:rsidR="00670867" w:rsidRDefault="00670867" w:rsidP="008241B3"/>
        </w:tc>
        <w:tc>
          <w:tcPr>
            <w:tcW w:w="960" w:type="dxa"/>
            <w:tcBorders>
              <w:top w:val="nil"/>
              <w:left w:val="nil"/>
              <w:bottom w:val="nil"/>
              <w:right w:val="nil"/>
            </w:tcBorders>
            <w:shd w:val="clear" w:color="auto" w:fill="auto"/>
            <w:vAlign w:val="center"/>
          </w:tcPr>
          <w:p w14:paraId="02C73AEE" w14:textId="77777777" w:rsidR="00670867" w:rsidRDefault="00670867" w:rsidP="008241B3">
            <w:pPr>
              <w:jc w:val="right"/>
            </w:pPr>
          </w:p>
        </w:tc>
      </w:tr>
      <w:tr w:rsidR="00670867" w14:paraId="2236ACB5" w14:textId="77777777" w:rsidTr="003A7D48">
        <w:trPr>
          <w:trHeight w:val="288"/>
        </w:trPr>
        <w:tc>
          <w:tcPr>
            <w:tcW w:w="1940" w:type="dxa"/>
            <w:tcBorders>
              <w:top w:val="nil"/>
              <w:left w:val="nil"/>
              <w:bottom w:val="nil"/>
              <w:right w:val="nil"/>
            </w:tcBorders>
            <w:shd w:val="clear" w:color="auto" w:fill="auto"/>
            <w:vAlign w:val="center"/>
          </w:tcPr>
          <w:p w14:paraId="35EE636C" w14:textId="77777777" w:rsidR="00670867" w:rsidRDefault="00670867" w:rsidP="008241B3">
            <w:pPr>
              <w:rPr>
                <w:color w:val="000000"/>
              </w:rPr>
            </w:pPr>
            <w:r>
              <w:rPr>
                <w:color w:val="000000"/>
              </w:rPr>
              <w:t>Gender (1=female)</w:t>
            </w:r>
          </w:p>
        </w:tc>
        <w:tc>
          <w:tcPr>
            <w:tcW w:w="960" w:type="dxa"/>
            <w:tcBorders>
              <w:top w:val="nil"/>
              <w:left w:val="nil"/>
              <w:bottom w:val="nil"/>
              <w:right w:val="nil"/>
            </w:tcBorders>
            <w:shd w:val="clear" w:color="auto" w:fill="auto"/>
            <w:vAlign w:val="center"/>
          </w:tcPr>
          <w:p w14:paraId="1568E4A7" w14:textId="77777777" w:rsidR="00670867" w:rsidRDefault="00670867" w:rsidP="008241B3">
            <w:pPr>
              <w:rPr>
                <w:color w:val="000000"/>
              </w:rPr>
            </w:pPr>
          </w:p>
        </w:tc>
        <w:tc>
          <w:tcPr>
            <w:tcW w:w="825" w:type="dxa"/>
            <w:tcBorders>
              <w:top w:val="nil"/>
              <w:left w:val="nil"/>
              <w:bottom w:val="nil"/>
              <w:right w:val="nil"/>
            </w:tcBorders>
            <w:shd w:val="clear" w:color="auto" w:fill="auto"/>
            <w:vAlign w:val="center"/>
          </w:tcPr>
          <w:p w14:paraId="741899E8" w14:textId="77777777" w:rsidR="00670867" w:rsidRDefault="00670867" w:rsidP="008241B3">
            <w:pPr>
              <w:jc w:val="right"/>
              <w:rPr>
                <w:color w:val="000000"/>
              </w:rPr>
            </w:pPr>
            <w:r>
              <w:rPr>
                <w:color w:val="000000"/>
              </w:rPr>
              <w:t>0.71</w:t>
            </w:r>
          </w:p>
        </w:tc>
        <w:tc>
          <w:tcPr>
            <w:tcW w:w="440" w:type="dxa"/>
            <w:tcBorders>
              <w:top w:val="nil"/>
              <w:left w:val="nil"/>
              <w:bottom w:val="nil"/>
              <w:right w:val="nil"/>
            </w:tcBorders>
            <w:shd w:val="clear" w:color="auto" w:fill="auto"/>
            <w:vAlign w:val="center"/>
          </w:tcPr>
          <w:p w14:paraId="6ED53ECE" w14:textId="77777777" w:rsidR="00670867" w:rsidRDefault="00670867" w:rsidP="008241B3">
            <w:pPr>
              <w:jc w:val="right"/>
              <w:rPr>
                <w:color w:val="000000"/>
              </w:rPr>
            </w:pPr>
          </w:p>
        </w:tc>
        <w:tc>
          <w:tcPr>
            <w:tcW w:w="960" w:type="dxa"/>
            <w:tcBorders>
              <w:top w:val="nil"/>
              <w:left w:val="nil"/>
              <w:bottom w:val="nil"/>
              <w:right w:val="nil"/>
            </w:tcBorders>
            <w:shd w:val="clear" w:color="auto" w:fill="auto"/>
            <w:vAlign w:val="center"/>
          </w:tcPr>
          <w:p w14:paraId="05D769D6" w14:textId="77777777" w:rsidR="00670867" w:rsidRDefault="00670867" w:rsidP="008241B3">
            <w:pPr>
              <w:jc w:val="right"/>
              <w:rPr>
                <w:color w:val="000000"/>
              </w:rPr>
            </w:pPr>
            <w:r>
              <w:rPr>
                <w:color w:val="000000"/>
              </w:rPr>
              <w:t>0.24</w:t>
            </w:r>
          </w:p>
        </w:tc>
        <w:tc>
          <w:tcPr>
            <w:tcW w:w="262" w:type="dxa"/>
            <w:tcBorders>
              <w:top w:val="nil"/>
              <w:left w:val="nil"/>
              <w:bottom w:val="nil"/>
              <w:right w:val="nil"/>
            </w:tcBorders>
            <w:shd w:val="clear" w:color="auto" w:fill="auto"/>
            <w:vAlign w:val="center"/>
          </w:tcPr>
          <w:p w14:paraId="3403FA1B" w14:textId="77777777" w:rsidR="00670867" w:rsidRDefault="00670867" w:rsidP="008241B3">
            <w:pPr>
              <w:jc w:val="right"/>
              <w:rPr>
                <w:color w:val="000000"/>
              </w:rPr>
            </w:pPr>
          </w:p>
        </w:tc>
        <w:tc>
          <w:tcPr>
            <w:tcW w:w="978" w:type="dxa"/>
            <w:tcBorders>
              <w:top w:val="nil"/>
              <w:left w:val="nil"/>
              <w:bottom w:val="nil"/>
              <w:right w:val="nil"/>
            </w:tcBorders>
            <w:shd w:val="clear" w:color="auto" w:fill="auto"/>
            <w:vAlign w:val="center"/>
          </w:tcPr>
          <w:p w14:paraId="179E9C9A" w14:textId="4363A6E8" w:rsidR="00670867" w:rsidRDefault="00670867" w:rsidP="008241B3">
            <w:pPr>
              <w:jc w:val="right"/>
              <w:rPr>
                <w:color w:val="000000"/>
              </w:rPr>
            </w:pPr>
            <w:r>
              <w:rPr>
                <w:color w:val="000000"/>
              </w:rPr>
              <w:t>.28</w:t>
            </w:r>
          </w:p>
        </w:tc>
        <w:tc>
          <w:tcPr>
            <w:tcW w:w="545" w:type="dxa"/>
            <w:tcBorders>
              <w:top w:val="nil"/>
              <w:left w:val="nil"/>
              <w:bottom w:val="nil"/>
              <w:right w:val="nil"/>
            </w:tcBorders>
            <w:shd w:val="clear" w:color="auto" w:fill="auto"/>
            <w:vAlign w:val="center"/>
          </w:tcPr>
          <w:p w14:paraId="3AEA7BAA" w14:textId="77777777" w:rsidR="00670867" w:rsidRDefault="00670867" w:rsidP="008241B3">
            <w:pPr>
              <w:rPr>
                <w:color w:val="000000"/>
              </w:rPr>
            </w:pPr>
            <w:r>
              <w:rPr>
                <w:color w:val="000000"/>
              </w:rPr>
              <w:t>**</w:t>
            </w:r>
          </w:p>
        </w:tc>
        <w:tc>
          <w:tcPr>
            <w:tcW w:w="440" w:type="dxa"/>
            <w:tcBorders>
              <w:top w:val="nil"/>
              <w:left w:val="nil"/>
              <w:bottom w:val="nil"/>
              <w:right w:val="nil"/>
            </w:tcBorders>
            <w:shd w:val="clear" w:color="auto" w:fill="auto"/>
            <w:vAlign w:val="bottom"/>
          </w:tcPr>
          <w:p w14:paraId="5096F9AE" w14:textId="77777777" w:rsidR="00670867" w:rsidRDefault="00670867" w:rsidP="008241B3">
            <w:pPr>
              <w:rPr>
                <w:color w:val="000000"/>
              </w:rPr>
            </w:pPr>
          </w:p>
        </w:tc>
        <w:tc>
          <w:tcPr>
            <w:tcW w:w="266" w:type="dxa"/>
            <w:tcBorders>
              <w:top w:val="nil"/>
              <w:left w:val="nil"/>
              <w:bottom w:val="nil"/>
              <w:right w:val="nil"/>
            </w:tcBorders>
            <w:shd w:val="clear" w:color="auto" w:fill="auto"/>
            <w:vAlign w:val="center"/>
          </w:tcPr>
          <w:p w14:paraId="4AF568A5" w14:textId="77777777" w:rsidR="00670867" w:rsidRDefault="00670867" w:rsidP="008241B3"/>
        </w:tc>
        <w:tc>
          <w:tcPr>
            <w:tcW w:w="1065" w:type="dxa"/>
            <w:tcBorders>
              <w:top w:val="nil"/>
              <w:left w:val="nil"/>
              <w:bottom w:val="nil"/>
              <w:right w:val="nil"/>
            </w:tcBorders>
            <w:shd w:val="clear" w:color="auto" w:fill="auto"/>
            <w:vAlign w:val="center"/>
          </w:tcPr>
          <w:p w14:paraId="43BC5304" w14:textId="77777777" w:rsidR="00670867" w:rsidRDefault="00670867" w:rsidP="008241B3">
            <w:pPr>
              <w:jc w:val="right"/>
              <w:rPr>
                <w:color w:val="000000"/>
              </w:rPr>
            </w:pPr>
            <w:r>
              <w:rPr>
                <w:color w:val="000000"/>
              </w:rPr>
              <w:t>1.34</w:t>
            </w:r>
          </w:p>
        </w:tc>
        <w:tc>
          <w:tcPr>
            <w:tcW w:w="270" w:type="dxa"/>
            <w:tcBorders>
              <w:top w:val="nil"/>
              <w:left w:val="nil"/>
              <w:bottom w:val="nil"/>
              <w:right w:val="nil"/>
            </w:tcBorders>
            <w:shd w:val="clear" w:color="auto" w:fill="auto"/>
            <w:vAlign w:val="center"/>
          </w:tcPr>
          <w:p w14:paraId="2AC98876" w14:textId="77777777" w:rsidR="00670867" w:rsidRDefault="00670867" w:rsidP="008241B3">
            <w:pPr>
              <w:jc w:val="right"/>
              <w:rPr>
                <w:color w:val="000000"/>
              </w:rPr>
            </w:pPr>
          </w:p>
        </w:tc>
        <w:tc>
          <w:tcPr>
            <w:tcW w:w="855" w:type="dxa"/>
            <w:tcBorders>
              <w:top w:val="nil"/>
              <w:left w:val="nil"/>
              <w:bottom w:val="nil"/>
              <w:right w:val="nil"/>
            </w:tcBorders>
            <w:shd w:val="clear" w:color="auto" w:fill="auto"/>
            <w:vAlign w:val="center"/>
          </w:tcPr>
          <w:p w14:paraId="1084DFB3" w14:textId="77777777" w:rsidR="00670867" w:rsidRDefault="00670867" w:rsidP="008241B3">
            <w:pPr>
              <w:jc w:val="right"/>
              <w:rPr>
                <w:color w:val="000000"/>
              </w:rPr>
            </w:pPr>
            <w:r>
              <w:rPr>
                <w:color w:val="000000"/>
              </w:rPr>
              <w:t>0.65</w:t>
            </w:r>
          </w:p>
        </w:tc>
        <w:tc>
          <w:tcPr>
            <w:tcW w:w="266" w:type="dxa"/>
            <w:tcBorders>
              <w:top w:val="nil"/>
              <w:left w:val="nil"/>
              <w:bottom w:val="nil"/>
              <w:right w:val="nil"/>
            </w:tcBorders>
            <w:shd w:val="clear" w:color="auto" w:fill="auto"/>
            <w:vAlign w:val="center"/>
          </w:tcPr>
          <w:p w14:paraId="54869EC8" w14:textId="77777777" w:rsidR="00670867" w:rsidRDefault="00670867" w:rsidP="008241B3">
            <w:pPr>
              <w:jc w:val="right"/>
              <w:rPr>
                <w:color w:val="000000"/>
              </w:rPr>
            </w:pPr>
          </w:p>
        </w:tc>
        <w:tc>
          <w:tcPr>
            <w:tcW w:w="960" w:type="dxa"/>
            <w:tcBorders>
              <w:top w:val="nil"/>
              <w:left w:val="nil"/>
              <w:bottom w:val="nil"/>
              <w:right w:val="nil"/>
            </w:tcBorders>
            <w:shd w:val="clear" w:color="auto" w:fill="auto"/>
            <w:vAlign w:val="center"/>
          </w:tcPr>
          <w:p w14:paraId="4B8646CE" w14:textId="6106DB42" w:rsidR="00670867" w:rsidRDefault="00670867" w:rsidP="008241B3">
            <w:pPr>
              <w:jc w:val="right"/>
              <w:rPr>
                <w:color w:val="000000"/>
              </w:rPr>
            </w:pPr>
            <w:r>
              <w:rPr>
                <w:color w:val="000000"/>
              </w:rPr>
              <w:t>.19</w:t>
            </w:r>
          </w:p>
        </w:tc>
        <w:tc>
          <w:tcPr>
            <w:tcW w:w="960" w:type="dxa"/>
            <w:tcBorders>
              <w:top w:val="nil"/>
              <w:left w:val="nil"/>
              <w:bottom w:val="nil"/>
              <w:right w:val="nil"/>
            </w:tcBorders>
            <w:shd w:val="clear" w:color="auto" w:fill="auto"/>
            <w:vAlign w:val="center"/>
          </w:tcPr>
          <w:p w14:paraId="7957391B" w14:textId="77777777" w:rsidR="00670867" w:rsidRDefault="00670867" w:rsidP="008241B3">
            <w:pPr>
              <w:rPr>
                <w:color w:val="000000"/>
              </w:rPr>
            </w:pPr>
            <w:r>
              <w:rPr>
                <w:color w:val="000000"/>
              </w:rPr>
              <w:t>*</w:t>
            </w:r>
          </w:p>
        </w:tc>
      </w:tr>
      <w:tr w:rsidR="00670867" w14:paraId="74038514" w14:textId="77777777" w:rsidTr="003A7D48">
        <w:trPr>
          <w:trHeight w:val="384"/>
        </w:trPr>
        <w:tc>
          <w:tcPr>
            <w:tcW w:w="1940" w:type="dxa"/>
            <w:tcBorders>
              <w:top w:val="nil"/>
              <w:left w:val="nil"/>
              <w:bottom w:val="nil"/>
              <w:right w:val="nil"/>
            </w:tcBorders>
            <w:shd w:val="clear" w:color="auto" w:fill="auto"/>
            <w:vAlign w:val="center"/>
          </w:tcPr>
          <w:p w14:paraId="268C64D0" w14:textId="77777777" w:rsidR="00670867" w:rsidRDefault="00670867" w:rsidP="008241B3">
            <w:pPr>
              <w:rPr>
                <w:color w:val="000000"/>
              </w:rPr>
            </w:pPr>
            <w:r>
              <w:rPr>
                <w:color w:val="000000"/>
              </w:rPr>
              <w:t>Rape Myth</w:t>
            </w:r>
          </w:p>
        </w:tc>
        <w:tc>
          <w:tcPr>
            <w:tcW w:w="960" w:type="dxa"/>
            <w:tcBorders>
              <w:top w:val="nil"/>
              <w:left w:val="nil"/>
              <w:bottom w:val="nil"/>
              <w:right w:val="nil"/>
            </w:tcBorders>
            <w:shd w:val="clear" w:color="auto" w:fill="auto"/>
            <w:vAlign w:val="center"/>
          </w:tcPr>
          <w:p w14:paraId="730436DB" w14:textId="77777777" w:rsidR="00670867" w:rsidRDefault="00670867" w:rsidP="008241B3">
            <w:pPr>
              <w:rPr>
                <w:color w:val="000000"/>
              </w:rPr>
            </w:pPr>
          </w:p>
        </w:tc>
        <w:tc>
          <w:tcPr>
            <w:tcW w:w="825" w:type="dxa"/>
            <w:tcBorders>
              <w:top w:val="nil"/>
              <w:left w:val="nil"/>
              <w:bottom w:val="nil"/>
              <w:right w:val="nil"/>
            </w:tcBorders>
            <w:shd w:val="clear" w:color="auto" w:fill="auto"/>
            <w:vAlign w:val="center"/>
          </w:tcPr>
          <w:p w14:paraId="03B971B7" w14:textId="77777777" w:rsidR="00670867" w:rsidRDefault="00670867" w:rsidP="008241B3">
            <w:pPr>
              <w:jc w:val="right"/>
              <w:rPr>
                <w:color w:val="000000"/>
              </w:rPr>
            </w:pPr>
            <w:r>
              <w:rPr>
                <w:color w:val="000000"/>
              </w:rPr>
              <w:t>0.81</w:t>
            </w:r>
          </w:p>
        </w:tc>
        <w:tc>
          <w:tcPr>
            <w:tcW w:w="440" w:type="dxa"/>
            <w:tcBorders>
              <w:top w:val="nil"/>
              <w:left w:val="nil"/>
              <w:bottom w:val="nil"/>
              <w:right w:val="nil"/>
            </w:tcBorders>
            <w:shd w:val="clear" w:color="auto" w:fill="auto"/>
            <w:vAlign w:val="center"/>
          </w:tcPr>
          <w:p w14:paraId="7C4C1A39" w14:textId="77777777" w:rsidR="00670867" w:rsidRDefault="00670867" w:rsidP="008241B3">
            <w:pPr>
              <w:jc w:val="right"/>
              <w:rPr>
                <w:color w:val="000000"/>
              </w:rPr>
            </w:pPr>
          </w:p>
        </w:tc>
        <w:tc>
          <w:tcPr>
            <w:tcW w:w="960" w:type="dxa"/>
            <w:tcBorders>
              <w:top w:val="nil"/>
              <w:left w:val="nil"/>
              <w:bottom w:val="nil"/>
              <w:right w:val="nil"/>
            </w:tcBorders>
            <w:shd w:val="clear" w:color="auto" w:fill="auto"/>
            <w:vAlign w:val="center"/>
          </w:tcPr>
          <w:p w14:paraId="0E96E503" w14:textId="77777777" w:rsidR="00670867" w:rsidRDefault="00670867" w:rsidP="008241B3">
            <w:pPr>
              <w:jc w:val="right"/>
              <w:rPr>
                <w:color w:val="000000"/>
              </w:rPr>
            </w:pPr>
            <w:r>
              <w:rPr>
                <w:color w:val="000000"/>
              </w:rPr>
              <w:t>0.25</w:t>
            </w:r>
          </w:p>
        </w:tc>
        <w:tc>
          <w:tcPr>
            <w:tcW w:w="262" w:type="dxa"/>
            <w:tcBorders>
              <w:top w:val="nil"/>
              <w:left w:val="nil"/>
              <w:bottom w:val="nil"/>
              <w:right w:val="nil"/>
            </w:tcBorders>
            <w:shd w:val="clear" w:color="auto" w:fill="auto"/>
            <w:vAlign w:val="center"/>
          </w:tcPr>
          <w:p w14:paraId="4DDC5192" w14:textId="77777777" w:rsidR="00670867" w:rsidRDefault="00670867" w:rsidP="008241B3">
            <w:pPr>
              <w:jc w:val="right"/>
              <w:rPr>
                <w:color w:val="000000"/>
              </w:rPr>
            </w:pPr>
          </w:p>
        </w:tc>
        <w:tc>
          <w:tcPr>
            <w:tcW w:w="978" w:type="dxa"/>
            <w:tcBorders>
              <w:top w:val="nil"/>
              <w:left w:val="nil"/>
              <w:bottom w:val="nil"/>
              <w:right w:val="nil"/>
            </w:tcBorders>
            <w:shd w:val="clear" w:color="auto" w:fill="auto"/>
            <w:vAlign w:val="center"/>
          </w:tcPr>
          <w:p w14:paraId="183231B2" w14:textId="5F167008" w:rsidR="00670867" w:rsidRDefault="00670867" w:rsidP="008241B3">
            <w:pPr>
              <w:jc w:val="right"/>
              <w:rPr>
                <w:color w:val="000000"/>
              </w:rPr>
            </w:pPr>
            <w:r>
              <w:rPr>
                <w:color w:val="000000"/>
              </w:rPr>
              <w:t>.31</w:t>
            </w:r>
          </w:p>
        </w:tc>
        <w:tc>
          <w:tcPr>
            <w:tcW w:w="545" w:type="dxa"/>
            <w:tcBorders>
              <w:top w:val="nil"/>
              <w:left w:val="nil"/>
              <w:bottom w:val="nil"/>
              <w:right w:val="nil"/>
            </w:tcBorders>
            <w:shd w:val="clear" w:color="auto" w:fill="auto"/>
            <w:vAlign w:val="center"/>
          </w:tcPr>
          <w:p w14:paraId="58A94378" w14:textId="77777777" w:rsidR="00670867" w:rsidRDefault="00670867" w:rsidP="008241B3">
            <w:pPr>
              <w:rPr>
                <w:color w:val="000000"/>
              </w:rPr>
            </w:pPr>
            <w:r>
              <w:rPr>
                <w:color w:val="000000"/>
              </w:rPr>
              <w:t>***</w:t>
            </w:r>
          </w:p>
        </w:tc>
        <w:tc>
          <w:tcPr>
            <w:tcW w:w="440" w:type="dxa"/>
            <w:tcBorders>
              <w:top w:val="nil"/>
              <w:left w:val="nil"/>
              <w:bottom w:val="nil"/>
              <w:right w:val="nil"/>
            </w:tcBorders>
            <w:shd w:val="clear" w:color="auto" w:fill="auto"/>
            <w:vAlign w:val="bottom"/>
          </w:tcPr>
          <w:p w14:paraId="708E2935" w14:textId="77777777" w:rsidR="00670867" w:rsidRDefault="00670867" w:rsidP="008241B3">
            <w:pPr>
              <w:rPr>
                <w:color w:val="000000"/>
              </w:rPr>
            </w:pPr>
          </w:p>
        </w:tc>
        <w:tc>
          <w:tcPr>
            <w:tcW w:w="266" w:type="dxa"/>
            <w:tcBorders>
              <w:top w:val="nil"/>
              <w:left w:val="nil"/>
              <w:bottom w:val="nil"/>
              <w:right w:val="nil"/>
            </w:tcBorders>
            <w:shd w:val="clear" w:color="auto" w:fill="auto"/>
            <w:vAlign w:val="center"/>
          </w:tcPr>
          <w:p w14:paraId="18CFD58F" w14:textId="77777777" w:rsidR="00670867" w:rsidRDefault="00670867" w:rsidP="008241B3"/>
        </w:tc>
        <w:tc>
          <w:tcPr>
            <w:tcW w:w="1065" w:type="dxa"/>
            <w:tcBorders>
              <w:top w:val="nil"/>
              <w:left w:val="nil"/>
              <w:bottom w:val="nil"/>
              <w:right w:val="nil"/>
            </w:tcBorders>
            <w:shd w:val="clear" w:color="auto" w:fill="auto"/>
            <w:vAlign w:val="center"/>
          </w:tcPr>
          <w:p w14:paraId="784099CD" w14:textId="77777777" w:rsidR="00670867" w:rsidRDefault="00670867" w:rsidP="008241B3">
            <w:pPr>
              <w:jc w:val="right"/>
              <w:rPr>
                <w:color w:val="000000"/>
              </w:rPr>
            </w:pPr>
            <w:r>
              <w:rPr>
                <w:color w:val="000000"/>
              </w:rPr>
              <w:t>1.34</w:t>
            </w:r>
          </w:p>
        </w:tc>
        <w:tc>
          <w:tcPr>
            <w:tcW w:w="270" w:type="dxa"/>
            <w:tcBorders>
              <w:top w:val="nil"/>
              <w:left w:val="nil"/>
              <w:bottom w:val="nil"/>
              <w:right w:val="nil"/>
            </w:tcBorders>
            <w:shd w:val="clear" w:color="auto" w:fill="auto"/>
            <w:vAlign w:val="center"/>
          </w:tcPr>
          <w:p w14:paraId="615938EB" w14:textId="77777777" w:rsidR="00670867" w:rsidRDefault="00670867" w:rsidP="008241B3">
            <w:pPr>
              <w:jc w:val="right"/>
              <w:rPr>
                <w:color w:val="000000"/>
              </w:rPr>
            </w:pPr>
          </w:p>
        </w:tc>
        <w:tc>
          <w:tcPr>
            <w:tcW w:w="855" w:type="dxa"/>
            <w:tcBorders>
              <w:top w:val="nil"/>
              <w:left w:val="nil"/>
              <w:bottom w:val="nil"/>
              <w:right w:val="nil"/>
            </w:tcBorders>
            <w:shd w:val="clear" w:color="auto" w:fill="auto"/>
            <w:vAlign w:val="center"/>
          </w:tcPr>
          <w:p w14:paraId="36E97B58" w14:textId="77777777" w:rsidR="00670867" w:rsidRDefault="00670867" w:rsidP="008241B3">
            <w:pPr>
              <w:jc w:val="right"/>
              <w:rPr>
                <w:color w:val="000000"/>
              </w:rPr>
            </w:pPr>
            <w:r>
              <w:rPr>
                <w:color w:val="000000"/>
              </w:rPr>
              <w:t>0.69</w:t>
            </w:r>
          </w:p>
        </w:tc>
        <w:tc>
          <w:tcPr>
            <w:tcW w:w="266" w:type="dxa"/>
            <w:tcBorders>
              <w:top w:val="nil"/>
              <w:left w:val="nil"/>
              <w:bottom w:val="nil"/>
              <w:right w:val="nil"/>
            </w:tcBorders>
            <w:shd w:val="clear" w:color="auto" w:fill="auto"/>
            <w:vAlign w:val="center"/>
          </w:tcPr>
          <w:p w14:paraId="362DAEFE" w14:textId="77777777" w:rsidR="00670867" w:rsidRDefault="00670867" w:rsidP="008241B3">
            <w:pPr>
              <w:jc w:val="right"/>
              <w:rPr>
                <w:color w:val="000000"/>
              </w:rPr>
            </w:pPr>
          </w:p>
        </w:tc>
        <w:tc>
          <w:tcPr>
            <w:tcW w:w="960" w:type="dxa"/>
            <w:tcBorders>
              <w:top w:val="nil"/>
              <w:left w:val="nil"/>
              <w:bottom w:val="nil"/>
              <w:right w:val="nil"/>
            </w:tcBorders>
            <w:shd w:val="clear" w:color="auto" w:fill="auto"/>
            <w:vAlign w:val="center"/>
          </w:tcPr>
          <w:p w14:paraId="119F1FD1" w14:textId="7AD4C2D0" w:rsidR="00670867" w:rsidRDefault="00670867" w:rsidP="008241B3">
            <w:pPr>
              <w:jc w:val="right"/>
              <w:rPr>
                <w:color w:val="000000"/>
              </w:rPr>
            </w:pPr>
            <w:r>
              <w:rPr>
                <w:color w:val="000000"/>
              </w:rPr>
              <w:t>.18</w:t>
            </w:r>
          </w:p>
        </w:tc>
        <w:tc>
          <w:tcPr>
            <w:tcW w:w="960" w:type="dxa"/>
            <w:tcBorders>
              <w:top w:val="nil"/>
              <w:left w:val="nil"/>
              <w:bottom w:val="nil"/>
              <w:right w:val="nil"/>
            </w:tcBorders>
            <w:shd w:val="clear" w:color="auto" w:fill="auto"/>
            <w:vAlign w:val="center"/>
          </w:tcPr>
          <w:p w14:paraId="20944ABA" w14:textId="77777777" w:rsidR="00670867" w:rsidRDefault="00670867" w:rsidP="008241B3">
            <w:pPr>
              <w:jc w:val="right"/>
              <w:rPr>
                <w:color w:val="000000"/>
              </w:rPr>
            </w:pPr>
          </w:p>
        </w:tc>
      </w:tr>
      <w:tr w:rsidR="00670867" w14:paraId="18DD0979" w14:textId="77777777" w:rsidTr="003A7D48">
        <w:trPr>
          <w:trHeight w:val="288"/>
        </w:trPr>
        <w:tc>
          <w:tcPr>
            <w:tcW w:w="1940" w:type="dxa"/>
            <w:tcBorders>
              <w:top w:val="nil"/>
              <w:left w:val="nil"/>
              <w:bottom w:val="nil"/>
              <w:right w:val="nil"/>
            </w:tcBorders>
            <w:shd w:val="clear" w:color="auto" w:fill="auto"/>
            <w:vAlign w:val="center"/>
          </w:tcPr>
          <w:p w14:paraId="4615435B" w14:textId="77777777" w:rsidR="00670867" w:rsidRDefault="00670867" w:rsidP="008241B3">
            <w:pPr>
              <w:rPr>
                <w:color w:val="000000"/>
              </w:rPr>
            </w:pPr>
            <w:r>
              <w:rPr>
                <w:color w:val="000000"/>
              </w:rPr>
              <w:t>Seriousness</w:t>
            </w:r>
          </w:p>
        </w:tc>
        <w:tc>
          <w:tcPr>
            <w:tcW w:w="960" w:type="dxa"/>
            <w:tcBorders>
              <w:top w:val="nil"/>
              <w:left w:val="nil"/>
              <w:bottom w:val="nil"/>
              <w:right w:val="nil"/>
            </w:tcBorders>
            <w:shd w:val="clear" w:color="auto" w:fill="auto"/>
            <w:vAlign w:val="center"/>
          </w:tcPr>
          <w:p w14:paraId="38C5D3E6" w14:textId="77777777" w:rsidR="00670867" w:rsidRDefault="00670867" w:rsidP="008241B3">
            <w:pPr>
              <w:rPr>
                <w:color w:val="000000"/>
              </w:rPr>
            </w:pPr>
          </w:p>
        </w:tc>
        <w:tc>
          <w:tcPr>
            <w:tcW w:w="825" w:type="dxa"/>
            <w:tcBorders>
              <w:top w:val="nil"/>
              <w:left w:val="nil"/>
              <w:bottom w:val="nil"/>
              <w:right w:val="nil"/>
            </w:tcBorders>
            <w:shd w:val="clear" w:color="auto" w:fill="auto"/>
            <w:vAlign w:val="center"/>
          </w:tcPr>
          <w:p w14:paraId="185EF03B" w14:textId="4F429295" w:rsidR="00670867" w:rsidRDefault="00670867" w:rsidP="008241B3">
            <w:pPr>
              <w:jc w:val="right"/>
              <w:rPr>
                <w:color w:val="000000"/>
              </w:rPr>
            </w:pPr>
            <w:r>
              <w:rPr>
                <w:color w:val="000000"/>
              </w:rPr>
              <w:t>0.0</w:t>
            </w:r>
            <w:r w:rsidR="00365C9F">
              <w:rPr>
                <w:color w:val="000000"/>
              </w:rPr>
              <w:t>1</w:t>
            </w:r>
          </w:p>
        </w:tc>
        <w:tc>
          <w:tcPr>
            <w:tcW w:w="440" w:type="dxa"/>
            <w:tcBorders>
              <w:top w:val="nil"/>
              <w:left w:val="nil"/>
              <w:bottom w:val="nil"/>
              <w:right w:val="nil"/>
            </w:tcBorders>
            <w:shd w:val="clear" w:color="auto" w:fill="auto"/>
            <w:vAlign w:val="center"/>
          </w:tcPr>
          <w:p w14:paraId="0D32BA77" w14:textId="77777777" w:rsidR="00670867" w:rsidRDefault="00670867" w:rsidP="008241B3">
            <w:pPr>
              <w:jc w:val="right"/>
              <w:rPr>
                <w:color w:val="000000"/>
              </w:rPr>
            </w:pPr>
          </w:p>
        </w:tc>
        <w:tc>
          <w:tcPr>
            <w:tcW w:w="960" w:type="dxa"/>
            <w:tcBorders>
              <w:top w:val="nil"/>
              <w:left w:val="nil"/>
              <w:bottom w:val="nil"/>
              <w:right w:val="nil"/>
            </w:tcBorders>
            <w:shd w:val="clear" w:color="auto" w:fill="auto"/>
            <w:vAlign w:val="center"/>
          </w:tcPr>
          <w:p w14:paraId="6E280F17" w14:textId="47FE430F" w:rsidR="00670867" w:rsidRDefault="00670867" w:rsidP="008241B3">
            <w:pPr>
              <w:jc w:val="right"/>
              <w:rPr>
                <w:color w:val="000000"/>
              </w:rPr>
            </w:pPr>
            <w:r>
              <w:rPr>
                <w:color w:val="000000"/>
              </w:rPr>
              <w:t>0.0</w:t>
            </w:r>
            <w:r w:rsidR="00365C9F">
              <w:rPr>
                <w:color w:val="000000"/>
              </w:rPr>
              <w:t>1</w:t>
            </w:r>
          </w:p>
        </w:tc>
        <w:tc>
          <w:tcPr>
            <w:tcW w:w="262" w:type="dxa"/>
            <w:tcBorders>
              <w:top w:val="nil"/>
              <w:left w:val="nil"/>
              <w:bottom w:val="nil"/>
              <w:right w:val="nil"/>
            </w:tcBorders>
            <w:shd w:val="clear" w:color="auto" w:fill="auto"/>
            <w:vAlign w:val="center"/>
          </w:tcPr>
          <w:p w14:paraId="11D7D779" w14:textId="77777777" w:rsidR="00670867" w:rsidRDefault="00670867" w:rsidP="008241B3">
            <w:pPr>
              <w:jc w:val="right"/>
              <w:rPr>
                <w:color w:val="000000"/>
              </w:rPr>
            </w:pPr>
          </w:p>
        </w:tc>
        <w:tc>
          <w:tcPr>
            <w:tcW w:w="978" w:type="dxa"/>
            <w:tcBorders>
              <w:top w:val="nil"/>
              <w:left w:val="nil"/>
              <w:bottom w:val="nil"/>
              <w:right w:val="nil"/>
            </w:tcBorders>
            <w:shd w:val="clear" w:color="auto" w:fill="auto"/>
            <w:vAlign w:val="center"/>
          </w:tcPr>
          <w:p w14:paraId="20720903" w14:textId="005F63A1" w:rsidR="00670867" w:rsidRDefault="00670867" w:rsidP="008241B3">
            <w:pPr>
              <w:jc w:val="right"/>
              <w:rPr>
                <w:color w:val="000000"/>
              </w:rPr>
            </w:pPr>
            <w:r>
              <w:rPr>
                <w:color w:val="000000"/>
              </w:rPr>
              <w:t>.09</w:t>
            </w:r>
          </w:p>
        </w:tc>
        <w:tc>
          <w:tcPr>
            <w:tcW w:w="545" w:type="dxa"/>
            <w:tcBorders>
              <w:top w:val="nil"/>
              <w:left w:val="nil"/>
              <w:bottom w:val="nil"/>
              <w:right w:val="nil"/>
            </w:tcBorders>
            <w:shd w:val="clear" w:color="auto" w:fill="auto"/>
            <w:vAlign w:val="center"/>
          </w:tcPr>
          <w:p w14:paraId="51D07994" w14:textId="77777777" w:rsidR="00670867" w:rsidRDefault="00670867" w:rsidP="008241B3">
            <w:pPr>
              <w:jc w:val="right"/>
              <w:rPr>
                <w:color w:val="000000"/>
              </w:rPr>
            </w:pPr>
          </w:p>
        </w:tc>
        <w:tc>
          <w:tcPr>
            <w:tcW w:w="440" w:type="dxa"/>
            <w:tcBorders>
              <w:top w:val="nil"/>
              <w:left w:val="nil"/>
              <w:bottom w:val="nil"/>
              <w:right w:val="nil"/>
            </w:tcBorders>
            <w:shd w:val="clear" w:color="auto" w:fill="auto"/>
            <w:vAlign w:val="bottom"/>
          </w:tcPr>
          <w:p w14:paraId="45D4F32A" w14:textId="77777777" w:rsidR="00670867" w:rsidRDefault="00670867" w:rsidP="008241B3"/>
        </w:tc>
        <w:tc>
          <w:tcPr>
            <w:tcW w:w="266" w:type="dxa"/>
            <w:tcBorders>
              <w:top w:val="nil"/>
              <w:left w:val="nil"/>
              <w:bottom w:val="nil"/>
              <w:right w:val="nil"/>
            </w:tcBorders>
            <w:shd w:val="clear" w:color="auto" w:fill="auto"/>
            <w:vAlign w:val="center"/>
          </w:tcPr>
          <w:p w14:paraId="15816847" w14:textId="77777777" w:rsidR="00670867" w:rsidRDefault="00670867" w:rsidP="008241B3"/>
        </w:tc>
        <w:tc>
          <w:tcPr>
            <w:tcW w:w="1065" w:type="dxa"/>
            <w:tcBorders>
              <w:top w:val="nil"/>
              <w:left w:val="nil"/>
              <w:bottom w:val="nil"/>
              <w:right w:val="nil"/>
            </w:tcBorders>
            <w:shd w:val="clear" w:color="auto" w:fill="auto"/>
            <w:vAlign w:val="center"/>
          </w:tcPr>
          <w:p w14:paraId="208A335A" w14:textId="77777777" w:rsidR="00670867" w:rsidRDefault="00670867" w:rsidP="008241B3">
            <w:pPr>
              <w:jc w:val="right"/>
              <w:rPr>
                <w:color w:val="000000"/>
              </w:rPr>
            </w:pPr>
            <w:r>
              <w:rPr>
                <w:color w:val="000000"/>
              </w:rPr>
              <w:t>-0.02</w:t>
            </w:r>
          </w:p>
        </w:tc>
        <w:tc>
          <w:tcPr>
            <w:tcW w:w="270" w:type="dxa"/>
            <w:tcBorders>
              <w:top w:val="nil"/>
              <w:left w:val="nil"/>
              <w:bottom w:val="nil"/>
              <w:right w:val="nil"/>
            </w:tcBorders>
            <w:shd w:val="clear" w:color="auto" w:fill="auto"/>
            <w:vAlign w:val="center"/>
          </w:tcPr>
          <w:p w14:paraId="70E0C914" w14:textId="77777777" w:rsidR="00670867" w:rsidRDefault="00670867" w:rsidP="008241B3">
            <w:pPr>
              <w:jc w:val="right"/>
              <w:rPr>
                <w:color w:val="000000"/>
              </w:rPr>
            </w:pPr>
          </w:p>
        </w:tc>
        <w:tc>
          <w:tcPr>
            <w:tcW w:w="855" w:type="dxa"/>
            <w:tcBorders>
              <w:top w:val="nil"/>
              <w:left w:val="nil"/>
              <w:bottom w:val="nil"/>
              <w:right w:val="nil"/>
            </w:tcBorders>
            <w:shd w:val="clear" w:color="auto" w:fill="auto"/>
            <w:vAlign w:val="center"/>
          </w:tcPr>
          <w:p w14:paraId="7A8EE5BE" w14:textId="77777777" w:rsidR="00670867" w:rsidRDefault="00670867" w:rsidP="008241B3">
            <w:pPr>
              <w:jc w:val="right"/>
              <w:rPr>
                <w:color w:val="000000"/>
              </w:rPr>
            </w:pPr>
            <w:r>
              <w:rPr>
                <w:color w:val="000000"/>
              </w:rPr>
              <w:t>0.00</w:t>
            </w:r>
          </w:p>
        </w:tc>
        <w:tc>
          <w:tcPr>
            <w:tcW w:w="266" w:type="dxa"/>
            <w:tcBorders>
              <w:top w:val="nil"/>
              <w:left w:val="nil"/>
              <w:bottom w:val="nil"/>
              <w:right w:val="nil"/>
            </w:tcBorders>
            <w:shd w:val="clear" w:color="auto" w:fill="auto"/>
            <w:vAlign w:val="center"/>
          </w:tcPr>
          <w:p w14:paraId="5710B65D" w14:textId="77777777" w:rsidR="00670867" w:rsidRDefault="00670867" w:rsidP="008241B3">
            <w:pPr>
              <w:jc w:val="right"/>
              <w:rPr>
                <w:color w:val="000000"/>
              </w:rPr>
            </w:pPr>
          </w:p>
        </w:tc>
        <w:tc>
          <w:tcPr>
            <w:tcW w:w="960" w:type="dxa"/>
            <w:tcBorders>
              <w:top w:val="nil"/>
              <w:left w:val="nil"/>
              <w:bottom w:val="nil"/>
              <w:right w:val="nil"/>
            </w:tcBorders>
            <w:shd w:val="clear" w:color="auto" w:fill="auto"/>
            <w:vAlign w:val="center"/>
          </w:tcPr>
          <w:p w14:paraId="3730EFDE" w14:textId="667DCE69" w:rsidR="00670867" w:rsidRDefault="00670867" w:rsidP="008241B3">
            <w:pPr>
              <w:jc w:val="right"/>
              <w:rPr>
                <w:color w:val="000000"/>
              </w:rPr>
            </w:pPr>
            <w:r>
              <w:rPr>
                <w:color w:val="000000"/>
              </w:rPr>
              <w:t>-.41</w:t>
            </w:r>
          </w:p>
        </w:tc>
        <w:tc>
          <w:tcPr>
            <w:tcW w:w="960" w:type="dxa"/>
            <w:tcBorders>
              <w:top w:val="nil"/>
              <w:left w:val="nil"/>
              <w:bottom w:val="nil"/>
              <w:right w:val="nil"/>
            </w:tcBorders>
            <w:shd w:val="clear" w:color="auto" w:fill="auto"/>
            <w:vAlign w:val="center"/>
          </w:tcPr>
          <w:p w14:paraId="6B6EE892" w14:textId="77777777" w:rsidR="00670867" w:rsidRDefault="00670867" w:rsidP="008241B3">
            <w:pPr>
              <w:rPr>
                <w:color w:val="000000"/>
              </w:rPr>
            </w:pPr>
            <w:r>
              <w:rPr>
                <w:color w:val="000000"/>
              </w:rPr>
              <w:t>***</w:t>
            </w:r>
          </w:p>
        </w:tc>
      </w:tr>
      <w:tr w:rsidR="00670867" w14:paraId="0A8E0075" w14:textId="77777777" w:rsidTr="003A7D48">
        <w:trPr>
          <w:trHeight w:val="288"/>
        </w:trPr>
        <w:tc>
          <w:tcPr>
            <w:tcW w:w="1940" w:type="dxa"/>
            <w:tcBorders>
              <w:top w:val="nil"/>
              <w:left w:val="nil"/>
              <w:bottom w:val="nil"/>
              <w:right w:val="nil"/>
            </w:tcBorders>
            <w:shd w:val="clear" w:color="auto" w:fill="auto"/>
            <w:vAlign w:val="center"/>
          </w:tcPr>
          <w:p w14:paraId="72C1381A" w14:textId="77777777" w:rsidR="00670867" w:rsidRDefault="00670867" w:rsidP="008241B3">
            <w:pPr>
              <w:rPr>
                <w:color w:val="000000"/>
              </w:rPr>
            </w:pPr>
            <w:r>
              <w:rPr>
                <w:color w:val="000000"/>
              </w:rPr>
              <w:t>Perpetration</w:t>
            </w:r>
          </w:p>
        </w:tc>
        <w:tc>
          <w:tcPr>
            <w:tcW w:w="960" w:type="dxa"/>
            <w:tcBorders>
              <w:top w:val="nil"/>
              <w:left w:val="nil"/>
              <w:bottom w:val="nil"/>
              <w:right w:val="nil"/>
            </w:tcBorders>
            <w:shd w:val="clear" w:color="auto" w:fill="auto"/>
            <w:vAlign w:val="center"/>
          </w:tcPr>
          <w:p w14:paraId="799232C8" w14:textId="77777777" w:rsidR="00670867" w:rsidRDefault="00670867" w:rsidP="008241B3">
            <w:pPr>
              <w:rPr>
                <w:color w:val="000000"/>
              </w:rPr>
            </w:pPr>
          </w:p>
        </w:tc>
        <w:tc>
          <w:tcPr>
            <w:tcW w:w="825" w:type="dxa"/>
            <w:tcBorders>
              <w:top w:val="nil"/>
              <w:left w:val="nil"/>
              <w:bottom w:val="nil"/>
              <w:right w:val="nil"/>
            </w:tcBorders>
            <w:shd w:val="clear" w:color="auto" w:fill="auto"/>
            <w:vAlign w:val="center"/>
          </w:tcPr>
          <w:p w14:paraId="78B30DBA" w14:textId="77777777" w:rsidR="00670867" w:rsidRDefault="00670867" w:rsidP="008241B3">
            <w:pPr>
              <w:jc w:val="right"/>
              <w:rPr>
                <w:color w:val="000000"/>
              </w:rPr>
            </w:pPr>
            <w:r>
              <w:rPr>
                <w:color w:val="000000"/>
              </w:rPr>
              <w:t>0.13</w:t>
            </w:r>
          </w:p>
        </w:tc>
        <w:tc>
          <w:tcPr>
            <w:tcW w:w="440" w:type="dxa"/>
            <w:tcBorders>
              <w:top w:val="nil"/>
              <w:left w:val="nil"/>
              <w:bottom w:val="nil"/>
              <w:right w:val="nil"/>
            </w:tcBorders>
            <w:shd w:val="clear" w:color="auto" w:fill="auto"/>
            <w:vAlign w:val="center"/>
          </w:tcPr>
          <w:p w14:paraId="08228824" w14:textId="77777777" w:rsidR="00670867" w:rsidRDefault="00670867" w:rsidP="008241B3">
            <w:pPr>
              <w:jc w:val="right"/>
              <w:rPr>
                <w:color w:val="000000"/>
              </w:rPr>
            </w:pPr>
          </w:p>
        </w:tc>
        <w:tc>
          <w:tcPr>
            <w:tcW w:w="960" w:type="dxa"/>
            <w:tcBorders>
              <w:top w:val="nil"/>
              <w:left w:val="nil"/>
              <w:bottom w:val="nil"/>
              <w:right w:val="nil"/>
            </w:tcBorders>
            <w:shd w:val="clear" w:color="auto" w:fill="auto"/>
            <w:vAlign w:val="center"/>
          </w:tcPr>
          <w:p w14:paraId="2FCD9263" w14:textId="77777777" w:rsidR="00670867" w:rsidRDefault="00670867" w:rsidP="008241B3">
            <w:pPr>
              <w:jc w:val="right"/>
              <w:rPr>
                <w:color w:val="000000"/>
              </w:rPr>
            </w:pPr>
            <w:r>
              <w:rPr>
                <w:color w:val="000000"/>
              </w:rPr>
              <w:t>0.15</w:t>
            </w:r>
          </w:p>
        </w:tc>
        <w:tc>
          <w:tcPr>
            <w:tcW w:w="262" w:type="dxa"/>
            <w:tcBorders>
              <w:top w:val="nil"/>
              <w:left w:val="nil"/>
              <w:bottom w:val="nil"/>
              <w:right w:val="nil"/>
            </w:tcBorders>
            <w:shd w:val="clear" w:color="auto" w:fill="auto"/>
            <w:vAlign w:val="center"/>
          </w:tcPr>
          <w:p w14:paraId="7C75BA7A" w14:textId="77777777" w:rsidR="00670867" w:rsidRDefault="00670867" w:rsidP="008241B3">
            <w:pPr>
              <w:jc w:val="right"/>
              <w:rPr>
                <w:color w:val="000000"/>
              </w:rPr>
            </w:pPr>
          </w:p>
        </w:tc>
        <w:tc>
          <w:tcPr>
            <w:tcW w:w="978" w:type="dxa"/>
            <w:tcBorders>
              <w:top w:val="nil"/>
              <w:left w:val="nil"/>
              <w:bottom w:val="nil"/>
              <w:right w:val="nil"/>
            </w:tcBorders>
            <w:shd w:val="clear" w:color="auto" w:fill="auto"/>
            <w:vAlign w:val="center"/>
          </w:tcPr>
          <w:p w14:paraId="4B7FC458" w14:textId="03647175" w:rsidR="00670867" w:rsidRDefault="00670867" w:rsidP="008241B3">
            <w:pPr>
              <w:jc w:val="right"/>
              <w:rPr>
                <w:color w:val="000000"/>
              </w:rPr>
            </w:pPr>
            <w:r>
              <w:rPr>
                <w:color w:val="000000"/>
              </w:rPr>
              <w:t>.09</w:t>
            </w:r>
          </w:p>
        </w:tc>
        <w:tc>
          <w:tcPr>
            <w:tcW w:w="545" w:type="dxa"/>
            <w:tcBorders>
              <w:top w:val="nil"/>
              <w:left w:val="nil"/>
              <w:bottom w:val="nil"/>
              <w:right w:val="nil"/>
            </w:tcBorders>
            <w:shd w:val="clear" w:color="auto" w:fill="auto"/>
            <w:vAlign w:val="center"/>
          </w:tcPr>
          <w:p w14:paraId="7F9C3EB4" w14:textId="77777777" w:rsidR="00670867" w:rsidRDefault="00670867" w:rsidP="008241B3">
            <w:pPr>
              <w:jc w:val="right"/>
              <w:rPr>
                <w:color w:val="000000"/>
              </w:rPr>
            </w:pPr>
          </w:p>
        </w:tc>
        <w:tc>
          <w:tcPr>
            <w:tcW w:w="440" w:type="dxa"/>
            <w:tcBorders>
              <w:top w:val="nil"/>
              <w:left w:val="nil"/>
              <w:bottom w:val="nil"/>
              <w:right w:val="nil"/>
            </w:tcBorders>
            <w:shd w:val="clear" w:color="auto" w:fill="auto"/>
            <w:vAlign w:val="bottom"/>
          </w:tcPr>
          <w:p w14:paraId="281E7E52" w14:textId="77777777" w:rsidR="00670867" w:rsidRDefault="00670867" w:rsidP="008241B3"/>
        </w:tc>
        <w:tc>
          <w:tcPr>
            <w:tcW w:w="266" w:type="dxa"/>
            <w:tcBorders>
              <w:top w:val="nil"/>
              <w:left w:val="nil"/>
              <w:bottom w:val="nil"/>
              <w:right w:val="nil"/>
            </w:tcBorders>
            <w:shd w:val="clear" w:color="auto" w:fill="auto"/>
            <w:vAlign w:val="center"/>
          </w:tcPr>
          <w:p w14:paraId="34E0DE17" w14:textId="77777777" w:rsidR="00670867" w:rsidRDefault="00670867" w:rsidP="008241B3"/>
        </w:tc>
        <w:tc>
          <w:tcPr>
            <w:tcW w:w="1065" w:type="dxa"/>
            <w:tcBorders>
              <w:top w:val="nil"/>
              <w:left w:val="nil"/>
              <w:bottom w:val="nil"/>
              <w:right w:val="nil"/>
            </w:tcBorders>
            <w:shd w:val="clear" w:color="auto" w:fill="auto"/>
            <w:vAlign w:val="center"/>
          </w:tcPr>
          <w:p w14:paraId="31B4EB14" w14:textId="77777777" w:rsidR="00670867" w:rsidRDefault="00670867" w:rsidP="008241B3">
            <w:pPr>
              <w:jc w:val="right"/>
              <w:rPr>
                <w:color w:val="000000"/>
              </w:rPr>
            </w:pPr>
            <w:r>
              <w:rPr>
                <w:color w:val="000000"/>
              </w:rPr>
              <w:t>0.81</w:t>
            </w:r>
          </w:p>
        </w:tc>
        <w:tc>
          <w:tcPr>
            <w:tcW w:w="270" w:type="dxa"/>
            <w:tcBorders>
              <w:top w:val="nil"/>
              <w:left w:val="nil"/>
              <w:bottom w:val="nil"/>
              <w:right w:val="nil"/>
            </w:tcBorders>
            <w:shd w:val="clear" w:color="auto" w:fill="auto"/>
            <w:vAlign w:val="center"/>
          </w:tcPr>
          <w:p w14:paraId="04AB2620" w14:textId="77777777" w:rsidR="00670867" w:rsidRDefault="00670867" w:rsidP="008241B3">
            <w:pPr>
              <w:jc w:val="right"/>
              <w:rPr>
                <w:color w:val="000000"/>
              </w:rPr>
            </w:pPr>
          </w:p>
        </w:tc>
        <w:tc>
          <w:tcPr>
            <w:tcW w:w="855" w:type="dxa"/>
            <w:tcBorders>
              <w:top w:val="nil"/>
              <w:left w:val="nil"/>
              <w:bottom w:val="nil"/>
              <w:right w:val="nil"/>
            </w:tcBorders>
            <w:shd w:val="clear" w:color="auto" w:fill="auto"/>
            <w:vAlign w:val="center"/>
          </w:tcPr>
          <w:p w14:paraId="34E25485" w14:textId="77777777" w:rsidR="00670867" w:rsidRDefault="00670867" w:rsidP="008241B3">
            <w:pPr>
              <w:jc w:val="right"/>
              <w:rPr>
                <w:color w:val="000000"/>
              </w:rPr>
            </w:pPr>
            <w:r>
              <w:rPr>
                <w:color w:val="000000"/>
              </w:rPr>
              <w:t>0.39</w:t>
            </w:r>
          </w:p>
        </w:tc>
        <w:tc>
          <w:tcPr>
            <w:tcW w:w="266" w:type="dxa"/>
            <w:tcBorders>
              <w:top w:val="nil"/>
              <w:left w:val="nil"/>
              <w:bottom w:val="nil"/>
              <w:right w:val="nil"/>
            </w:tcBorders>
            <w:shd w:val="clear" w:color="auto" w:fill="auto"/>
            <w:vAlign w:val="center"/>
          </w:tcPr>
          <w:p w14:paraId="69D14350" w14:textId="77777777" w:rsidR="00670867" w:rsidRDefault="00670867" w:rsidP="008241B3">
            <w:pPr>
              <w:jc w:val="right"/>
              <w:rPr>
                <w:color w:val="000000"/>
              </w:rPr>
            </w:pPr>
          </w:p>
        </w:tc>
        <w:tc>
          <w:tcPr>
            <w:tcW w:w="960" w:type="dxa"/>
            <w:tcBorders>
              <w:top w:val="nil"/>
              <w:left w:val="nil"/>
              <w:bottom w:val="nil"/>
              <w:right w:val="nil"/>
            </w:tcBorders>
            <w:shd w:val="clear" w:color="auto" w:fill="auto"/>
            <w:vAlign w:val="center"/>
          </w:tcPr>
          <w:p w14:paraId="1C103B77" w14:textId="3F61592A" w:rsidR="00670867" w:rsidRDefault="00670867" w:rsidP="008241B3">
            <w:pPr>
              <w:jc w:val="right"/>
              <w:rPr>
                <w:color w:val="000000"/>
              </w:rPr>
            </w:pPr>
            <w:r>
              <w:rPr>
                <w:color w:val="000000"/>
              </w:rPr>
              <w:t>.20</w:t>
            </w:r>
          </w:p>
        </w:tc>
        <w:tc>
          <w:tcPr>
            <w:tcW w:w="960" w:type="dxa"/>
            <w:tcBorders>
              <w:top w:val="nil"/>
              <w:left w:val="nil"/>
              <w:bottom w:val="nil"/>
              <w:right w:val="nil"/>
            </w:tcBorders>
            <w:shd w:val="clear" w:color="auto" w:fill="auto"/>
            <w:vAlign w:val="center"/>
          </w:tcPr>
          <w:p w14:paraId="35C6112F" w14:textId="77777777" w:rsidR="00670867" w:rsidRDefault="00670867" w:rsidP="008241B3">
            <w:pPr>
              <w:rPr>
                <w:color w:val="000000"/>
              </w:rPr>
            </w:pPr>
            <w:r>
              <w:rPr>
                <w:color w:val="000000"/>
              </w:rPr>
              <w:t>*</w:t>
            </w:r>
          </w:p>
        </w:tc>
      </w:tr>
      <w:tr w:rsidR="00670867" w14:paraId="53B5A522" w14:textId="77777777" w:rsidTr="003A7D48">
        <w:trPr>
          <w:trHeight w:val="288"/>
        </w:trPr>
        <w:tc>
          <w:tcPr>
            <w:tcW w:w="1940" w:type="dxa"/>
            <w:tcBorders>
              <w:top w:val="nil"/>
              <w:left w:val="nil"/>
              <w:bottom w:val="nil"/>
              <w:right w:val="nil"/>
            </w:tcBorders>
            <w:shd w:val="clear" w:color="auto" w:fill="auto"/>
            <w:vAlign w:val="center"/>
          </w:tcPr>
          <w:p w14:paraId="04B44DD1" w14:textId="77777777" w:rsidR="00670867" w:rsidRDefault="00670867" w:rsidP="008241B3">
            <w:pPr>
              <w:rPr>
                <w:color w:val="000000"/>
              </w:rPr>
            </w:pPr>
            <w:r>
              <w:rPr>
                <w:color w:val="000000"/>
              </w:rPr>
              <w:t>Victimization</w:t>
            </w:r>
          </w:p>
        </w:tc>
        <w:tc>
          <w:tcPr>
            <w:tcW w:w="960" w:type="dxa"/>
            <w:tcBorders>
              <w:top w:val="nil"/>
              <w:left w:val="nil"/>
              <w:bottom w:val="nil"/>
              <w:right w:val="nil"/>
            </w:tcBorders>
            <w:shd w:val="clear" w:color="auto" w:fill="auto"/>
            <w:vAlign w:val="center"/>
          </w:tcPr>
          <w:p w14:paraId="1419FF14" w14:textId="77777777" w:rsidR="00670867" w:rsidRDefault="00670867" w:rsidP="008241B3">
            <w:pPr>
              <w:rPr>
                <w:color w:val="000000"/>
              </w:rPr>
            </w:pPr>
          </w:p>
        </w:tc>
        <w:tc>
          <w:tcPr>
            <w:tcW w:w="825" w:type="dxa"/>
            <w:tcBorders>
              <w:top w:val="nil"/>
              <w:left w:val="nil"/>
              <w:bottom w:val="nil"/>
              <w:right w:val="nil"/>
            </w:tcBorders>
            <w:shd w:val="clear" w:color="auto" w:fill="auto"/>
            <w:vAlign w:val="center"/>
          </w:tcPr>
          <w:p w14:paraId="445B65ED" w14:textId="77777777" w:rsidR="00670867" w:rsidRDefault="00670867" w:rsidP="008241B3">
            <w:pPr>
              <w:jc w:val="right"/>
              <w:rPr>
                <w:color w:val="000000"/>
              </w:rPr>
            </w:pPr>
            <w:r>
              <w:rPr>
                <w:color w:val="000000"/>
              </w:rPr>
              <w:t>0.00</w:t>
            </w:r>
          </w:p>
        </w:tc>
        <w:tc>
          <w:tcPr>
            <w:tcW w:w="440" w:type="dxa"/>
            <w:tcBorders>
              <w:top w:val="nil"/>
              <w:left w:val="nil"/>
              <w:bottom w:val="nil"/>
              <w:right w:val="nil"/>
            </w:tcBorders>
            <w:shd w:val="clear" w:color="auto" w:fill="auto"/>
            <w:vAlign w:val="center"/>
          </w:tcPr>
          <w:p w14:paraId="01620FC4" w14:textId="77777777" w:rsidR="00670867" w:rsidRDefault="00670867" w:rsidP="008241B3">
            <w:pPr>
              <w:jc w:val="right"/>
              <w:rPr>
                <w:color w:val="000000"/>
              </w:rPr>
            </w:pPr>
          </w:p>
        </w:tc>
        <w:tc>
          <w:tcPr>
            <w:tcW w:w="960" w:type="dxa"/>
            <w:tcBorders>
              <w:top w:val="nil"/>
              <w:left w:val="nil"/>
              <w:bottom w:val="nil"/>
              <w:right w:val="nil"/>
            </w:tcBorders>
            <w:shd w:val="clear" w:color="auto" w:fill="auto"/>
            <w:vAlign w:val="center"/>
          </w:tcPr>
          <w:p w14:paraId="2A037D70" w14:textId="77777777" w:rsidR="00670867" w:rsidRDefault="00670867" w:rsidP="008241B3">
            <w:pPr>
              <w:jc w:val="right"/>
              <w:rPr>
                <w:color w:val="000000"/>
              </w:rPr>
            </w:pPr>
            <w:r>
              <w:rPr>
                <w:color w:val="000000"/>
              </w:rPr>
              <w:t>0.18</w:t>
            </w:r>
          </w:p>
        </w:tc>
        <w:tc>
          <w:tcPr>
            <w:tcW w:w="262" w:type="dxa"/>
            <w:tcBorders>
              <w:top w:val="nil"/>
              <w:left w:val="nil"/>
              <w:bottom w:val="nil"/>
              <w:right w:val="nil"/>
            </w:tcBorders>
            <w:shd w:val="clear" w:color="auto" w:fill="auto"/>
            <w:vAlign w:val="center"/>
          </w:tcPr>
          <w:p w14:paraId="62F0041C" w14:textId="77777777" w:rsidR="00670867" w:rsidRDefault="00670867" w:rsidP="008241B3">
            <w:pPr>
              <w:jc w:val="right"/>
              <w:rPr>
                <w:color w:val="000000"/>
              </w:rPr>
            </w:pPr>
          </w:p>
        </w:tc>
        <w:tc>
          <w:tcPr>
            <w:tcW w:w="978" w:type="dxa"/>
            <w:tcBorders>
              <w:top w:val="nil"/>
              <w:left w:val="nil"/>
              <w:bottom w:val="nil"/>
              <w:right w:val="nil"/>
            </w:tcBorders>
            <w:shd w:val="clear" w:color="auto" w:fill="auto"/>
            <w:vAlign w:val="center"/>
          </w:tcPr>
          <w:p w14:paraId="2CDA8405" w14:textId="14A67AED" w:rsidR="00670867" w:rsidRDefault="00670867" w:rsidP="008241B3">
            <w:pPr>
              <w:jc w:val="right"/>
              <w:rPr>
                <w:color w:val="000000"/>
              </w:rPr>
            </w:pPr>
            <w:r>
              <w:rPr>
                <w:color w:val="000000"/>
              </w:rPr>
              <w:t>.00</w:t>
            </w:r>
          </w:p>
        </w:tc>
        <w:tc>
          <w:tcPr>
            <w:tcW w:w="545" w:type="dxa"/>
            <w:tcBorders>
              <w:top w:val="nil"/>
              <w:left w:val="nil"/>
              <w:bottom w:val="nil"/>
              <w:right w:val="nil"/>
            </w:tcBorders>
            <w:shd w:val="clear" w:color="auto" w:fill="auto"/>
            <w:vAlign w:val="center"/>
          </w:tcPr>
          <w:p w14:paraId="56078DE1" w14:textId="77777777" w:rsidR="00670867" w:rsidRDefault="00670867" w:rsidP="008241B3">
            <w:pPr>
              <w:jc w:val="right"/>
              <w:rPr>
                <w:color w:val="000000"/>
              </w:rPr>
            </w:pPr>
          </w:p>
        </w:tc>
        <w:tc>
          <w:tcPr>
            <w:tcW w:w="440" w:type="dxa"/>
            <w:tcBorders>
              <w:top w:val="nil"/>
              <w:left w:val="nil"/>
              <w:bottom w:val="nil"/>
              <w:right w:val="nil"/>
            </w:tcBorders>
            <w:shd w:val="clear" w:color="auto" w:fill="auto"/>
            <w:vAlign w:val="bottom"/>
          </w:tcPr>
          <w:p w14:paraId="7ADAD750" w14:textId="77777777" w:rsidR="00670867" w:rsidRDefault="00670867" w:rsidP="008241B3"/>
        </w:tc>
        <w:tc>
          <w:tcPr>
            <w:tcW w:w="266" w:type="dxa"/>
            <w:tcBorders>
              <w:top w:val="nil"/>
              <w:left w:val="nil"/>
              <w:bottom w:val="nil"/>
              <w:right w:val="nil"/>
            </w:tcBorders>
            <w:shd w:val="clear" w:color="auto" w:fill="auto"/>
            <w:vAlign w:val="center"/>
          </w:tcPr>
          <w:p w14:paraId="38830B74" w14:textId="77777777" w:rsidR="00670867" w:rsidRDefault="00670867" w:rsidP="008241B3"/>
        </w:tc>
        <w:tc>
          <w:tcPr>
            <w:tcW w:w="1065" w:type="dxa"/>
            <w:tcBorders>
              <w:top w:val="nil"/>
              <w:left w:val="nil"/>
              <w:bottom w:val="nil"/>
              <w:right w:val="nil"/>
            </w:tcBorders>
            <w:shd w:val="clear" w:color="auto" w:fill="auto"/>
            <w:vAlign w:val="center"/>
          </w:tcPr>
          <w:p w14:paraId="165B307E" w14:textId="77777777" w:rsidR="00670867" w:rsidRDefault="00670867" w:rsidP="008241B3">
            <w:pPr>
              <w:jc w:val="right"/>
              <w:rPr>
                <w:color w:val="000000"/>
              </w:rPr>
            </w:pPr>
            <w:r>
              <w:rPr>
                <w:color w:val="000000"/>
              </w:rPr>
              <w:t>-0.13</w:t>
            </w:r>
          </w:p>
        </w:tc>
        <w:tc>
          <w:tcPr>
            <w:tcW w:w="270" w:type="dxa"/>
            <w:tcBorders>
              <w:top w:val="nil"/>
              <w:left w:val="nil"/>
              <w:bottom w:val="nil"/>
              <w:right w:val="nil"/>
            </w:tcBorders>
            <w:shd w:val="clear" w:color="auto" w:fill="auto"/>
            <w:vAlign w:val="center"/>
          </w:tcPr>
          <w:p w14:paraId="436012F6" w14:textId="77777777" w:rsidR="00670867" w:rsidRDefault="00670867" w:rsidP="008241B3">
            <w:pPr>
              <w:jc w:val="right"/>
              <w:rPr>
                <w:color w:val="000000"/>
              </w:rPr>
            </w:pPr>
          </w:p>
        </w:tc>
        <w:tc>
          <w:tcPr>
            <w:tcW w:w="855" w:type="dxa"/>
            <w:tcBorders>
              <w:top w:val="nil"/>
              <w:left w:val="nil"/>
              <w:bottom w:val="nil"/>
              <w:right w:val="nil"/>
            </w:tcBorders>
            <w:shd w:val="clear" w:color="auto" w:fill="auto"/>
            <w:vAlign w:val="center"/>
          </w:tcPr>
          <w:p w14:paraId="57C44241" w14:textId="77777777" w:rsidR="00670867" w:rsidRDefault="00670867" w:rsidP="008241B3">
            <w:pPr>
              <w:jc w:val="right"/>
              <w:rPr>
                <w:color w:val="000000"/>
              </w:rPr>
            </w:pPr>
            <w:r>
              <w:rPr>
                <w:color w:val="000000"/>
              </w:rPr>
              <w:t>0.46</w:t>
            </w:r>
          </w:p>
        </w:tc>
        <w:tc>
          <w:tcPr>
            <w:tcW w:w="266" w:type="dxa"/>
            <w:tcBorders>
              <w:top w:val="nil"/>
              <w:left w:val="nil"/>
              <w:bottom w:val="nil"/>
              <w:right w:val="nil"/>
            </w:tcBorders>
            <w:shd w:val="clear" w:color="auto" w:fill="auto"/>
            <w:vAlign w:val="center"/>
          </w:tcPr>
          <w:p w14:paraId="1F2E9E1E" w14:textId="77777777" w:rsidR="00670867" w:rsidRDefault="00670867" w:rsidP="008241B3">
            <w:pPr>
              <w:jc w:val="right"/>
              <w:rPr>
                <w:color w:val="000000"/>
              </w:rPr>
            </w:pPr>
          </w:p>
        </w:tc>
        <w:tc>
          <w:tcPr>
            <w:tcW w:w="960" w:type="dxa"/>
            <w:tcBorders>
              <w:top w:val="nil"/>
              <w:left w:val="nil"/>
              <w:bottom w:val="nil"/>
              <w:right w:val="nil"/>
            </w:tcBorders>
            <w:shd w:val="clear" w:color="auto" w:fill="auto"/>
            <w:vAlign w:val="center"/>
          </w:tcPr>
          <w:p w14:paraId="5A74AAF5" w14:textId="51C68155" w:rsidR="00670867" w:rsidRDefault="00670867" w:rsidP="008241B3">
            <w:pPr>
              <w:jc w:val="right"/>
              <w:rPr>
                <w:color w:val="000000"/>
              </w:rPr>
            </w:pPr>
            <w:r>
              <w:rPr>
                <w:color w:val="000000"/>
              </w:rPr>
              <w:t>-.03</w:t>
            </w:r>
          </w:p>
        </w:tc>
        <w:tc>
          <w:tcPr>
            <w:tcW w:w="960" w:type="dxa"/>
            <w:tcBorders>
              <w:top w:val="nil"/>
              <w:left w:val="nil"/>
              <w:bottom w:val="nil"/>
              <w:right w:val="nil"/>
            </w:tcBorders>
            <w:shd w:val="clear" w:color="auto" w:fill="auto"/>
            <w:vAlign w:val="center"/>
          </w:tcPr>
          <w:p w14:paraId="48CF4C79" w14:textId="77777777" w:rsidR="00670867" w:rsidRDefault="00670867" w:rsidP="008241B3">
            <w:pPr>
              <w:jc w:val="right"/>
              <w:rPr>
                <w:color w:val="000000"/>
              </w:rPr>
            </w:pPr>
          </w:p>
        </w:tc>
      </w:tr>
      <w:tr w:rsidR="003A7D48" w14:paraId="4033FF1B" w14:textId="77777777" w:rsidTr="003A7D48">
        <w:trPr>
          <w:trHeight w:val="288"/>
        </w:trPr>
        <w:tc>
          <w:tcPr>
            <w:tcW w:w="1940" w:type="dxa"/>
            <w:tcBorders>
              <w:top w:val="nil"/>
              <w:left w:val="nil"/>
              <w:right w:val="nil"/>
            </w:tcBorders>
            <w:shd w:val="clear" w:color="auto" w:fill="auto"/>
            <w:vAlign w:val="center"/>
          </w:tcPr>
          <w:p w14:paraId="7A8CE7C2" w14:textId="77777777" w:rsidR="00670867" w:rsidRDefault="00670867" w:rsidP="008241B3">
            <w:pPr>
              <w:rPr>
                <w:color w:val="000000"/>
              </w:rPr>
            </w:pPr>
            <w:r>
              <w:rPr>
                <w:color w:val="000000"/>
              </w:rPr>
              <w:t>Bystander Opportunity</w:t>
            </w:r>
          </w:p>
        </w:tc>
        <w:tc>
          <w:tcPr>
            <w:tcW w:w="960" w:type="dxa"/>
            <w:tcBorders>
              <w:top w:val="nil"/>
              <w:left w:val="nil"/>
              <w:right w:val="nil"/>
            </w:tcBorders>
            <w:shd w:val="clear" w:color="auto" w:fill="auto"/>
            <w:vAlign w:val="center"/>
          </w:tcPr>
          <w:p w14:paraId="0AA3F896" w14:textId="77777777" w:rsidR="00670867" w:rsidRDefault="00670867" w:rsidP="008241B3">
            <w:pPr>
              <w:rPr>
                <w:color w:val="000000"/>
              </w:rPr>
            </w:pPr>
          </w:p>
        </w:tc>
        <w:tc>
          <w:tcPr>
            <w:tcW w:w="825" w:type="dxa"/>
            <w:tcBorders>
              <w:top w:val="nil"/>
              <w:left w:val="nil"/>
              <w:right w:val="nil"/>
            </w:tcBorders>
            <w:shd w:val="clear" w:color="auto" w:fill="auto"/>
          </w:tcPr>
          <w:p w14:paraId="4F8456C0" w14:textId="77777777" w:rsidR="00670867" w:rsidRDefault="00670867" w:rsidP="008241B3">
            <w:pPr>
              <w:jc w:val="right"/>
              <w:rPr>
                <w:color w:val="000000"/>
              </w:rPr>
            </w:pPr>
            <w:r>
              <w:rPr>
                <w:color w:val="000000"/>
              </w:rPr>
              <w:t>-0.01</w:t>
            </w:r>
          </w:p>
        </w:tc>
        <w:tc>
          <w:tcPr>
            <w:tcW w:w="440" w:type="dxa"/>
            <w:tcBorders>
              <w:top w:val="nil"/>
              <w:left w:val="nil"/>
              <w:bottom w:val="nil"/>
              <w:right w:val="nil"/>
            </w:tcBorders>
            <w:shd w:val="clear" w:color="auto" w:fill="auto"/>
          </w:tcPr>
          <w:p w14:paraId="2300EFCC" w14:textId="77777777" w:rsidR="00670867" w:rsidRDefault="00670867" w:rsidP="008241B3">
            <w:pPr>
              <w:jc w:val="right"/>
              <w:rPr>
                <w:color w:val="000000"/>
              </w:rPr>
            </w:pPr>
          </w:p>
        </w:tc>
        <w:tc>
          <w:tcPr>
            <w:tcW w:w="960" w:type="dxa"/>
            <w:tcBorders>
              <w:top w:val="nil"/>
              <w:left w:val="nil"/>
              <w:bottom w:val="nil"/>
              <w:right w:val="nil"/>
            </w:tcBorders>
            <w:shd w:val="clear" w:color="auto" w:fill="auto"/>
          </w:tcPr>
          <w:p w14:paraId="75FC3C19" w14:textId="77777777" w:rsidR="00670867" w:rsidRDefault="00670867" w:rsidP="008241B3">
            <w:pPr>
              <w:jc w:val="right"/>
              <w:rPr>
                <w:color w:val="000000"/>
              </w:rPr>
            </w:pPr>
            <w:r>
              <w:rPr>
                <w:color w:val="000000"/>
              </w:rPr>
              <w:t>0.02</w:t>
            </w:r>
          </w:p>
        </w:tc>
        <w:tc>
          <w:tcPr>
            <w:tcW w:w="262" w:type="dxa"/>
            <w:tcBorders>
              <w:top w:val="nil"/>
              <w:left w:val="nil"/>
              <w:bottom w:val="nil"/>
              <w:right w:val="nil"/>
            </w:tcBorders>
            <w:shd w:val="clear" w:color="auto" w:fill="auto"/>
          </w:tcPr>
          <w:p w14:paraId="689A86DD" w14:textId="77777777" w:rsidR="00670867" w:rsidRDefault="00670867" w:rsidP="008241B3">
            <w:pPr>
              <w:jc w:val="right"/>
              <w:rPr>
                <w:color w:val="000000"/>
              </w:rPr>
            </w:pPr>
          </w:p>
        </w:tc>
        <w:tc>
          <w:tcPr>
            <w:tcW w:w="978" w:type="dxa"/>
            <w:tcBorders>
              <w:top w:val="nil"/>
              <w:left w:val="nil"/>
              <w:bottom w:val="nil"/>
              <w:right w:val="nil"/>
            </w:tcBorders>
            <w:shd w:val="clear" w:color="auto" w:fill="auto"/>
          </w:tcPr>
          <w:p w14:paraId="0B34A8D3" w14:textId="475C6C4D" w:rsidR="00670867" w:rsidRDefault="00670867" w:rsidP="008241B3">
            <w:pPr>
              <w:jc w:val="right"/>
              <w:rPr>
                <w:color w:val="000000"/>
              </w:rPr>
            </w:pPr>
            <w:r>
              <w:rPr>
                <w:color w:val="000000"/>
              </w:rPr>
              <w:t>-.04</w:t>
            </w:r>
          </w:p>
        </w:tc>
        <w:tc>
          <w:tcPr>
            <w:tcW w:w="545" w:type="dxa"/>
            <w:tcBorders>
              <w:top w:val="nil"/>
              <w:left w:val="nil"/>
              <w:right w:val="nil"/>
            </w:tcBorders>
            <w:shd w:val="clear" w:color="auto" w:fill="auto"/>
            <w:vAlign w:val="center"/>
          </w:tcPr>
          <w:p w14:paraId="7E3D66A3" w14:textId="77777777" w:rsidR="00670867" w:rsidRDefault="00670867" w:rsidP="008241B3">
            <w:pPr>
              <w:jc w:val="right"/>
              <w:rPr>
                <w:color w:val="000000"/>
              </w:rPr>
            </w:pPr>
          </w:p>
        </w:tc>
        <w:tc>
          <w:tcPr>
            <w:tcW w:w="440" w:type="dxa"/>
            <w:tcBorders>
              <w:top w:val="nil"/>
              <w:left w:val="nil"/>
              <w:bottom w:val="nil"/>
              <w:right w:val="nil"/>
            </w:tcBorders>
            <w:shd w:val="clear" w:color="auto" w:fill="auto"/>
            <w:vAlign w:val="bottom"/>
          </w:tcPr>
          <w:p w14:paraId="14978011" w14:textId="77777777" w:rsidR="00670867" w:rsidRDefault="00670867" w:rsidP="008241B3"/>
        </w:tc>
        <w:tc>
          <w:tcPr>
            <w:tcW w:w="266" w:type="dxa"/>
            <w:tcBorders>
              <w:top w:val="nil"/>
              <w:left w:val="nil"/>
              <w:right w:val="nil"/>
            </w:tcBorders>
            <w:shd w:val="clear" w:color="auto" w:fill="auto"/>
            <w:vAlign w:val="center"/>
          </w:tcPr>
          <w:p w14:paraId="1318C19A" w14:textId="77777777" w:rsidR="00670867" w:rsidRDefault="00670867" w:rsidP="008241B3"/>
        </w:tc>
        <w:tc>
          <w:tcPr>
            <w:tcW w:w="1065" w:type="dxa"/>
            <w:tcBorders>
              <w:top w:val="nil"/>
              <w:left w:val="nil"/>
              <w:right w:val="nil"/>
            </w:tcBorders>
            <w:shd w:val="clear" w:color="auto" w:fill="auto"/>
          </w:tcPr>
          <w:p w14:paraId="37C7F7FA" w14:textId="77777777" w:rsidR="00670867" w:rsidRDefault="00670867" w:rsidP="008241B3">
            <w:pPr>
              <w:jc w:val="right"/>
              <w:rPr>
                <w:color w:val="000000"/>
              </w:rPr>
            </w:pPr>
            <w:r>
              <w:rPr>
                <w:color w:val="000000"/>
              </w:rPr>
              <w:t>0.02</w:t>
            </w:r>
          </w:p>
        </w:tc>
        <w:tc>
          <w:tcPr>
            <w:tcW w:w="270" w:type="dxa"/>
            <w:tcBorders>
              <w:top w:val="nil"/>
              <w:left w:val="nil"/>
              <w:right w:val="nil"/>
            </w:tcBorders>
            <w:shd w:val="clear" w:color="auto" w:fill="auto"/>
          </w:tcPr>
          <w:p w14:paraId="0D811328" w14:textId="77777777" w:rsidR="00670867" w:rsidRDefault="00670867" w:rsidP="008241B3">
            <w:pPr>
              <w:jc w:val="right"/>
              <w:rPr>
                <w:color w:val="000000"/>
              </w:rPr>
            </w:pPr>
          </w:p>
        </w:tc>
        <w:tc>
          <w:tcPr>
            <w:tcW w:w="855" w:type="dxa"/>
            <w:tcBorders>
              <w:top w:val="nil"/>
              <w:left w:val="nil"/>
              <w:right w:val="nil"/>
            </w:tcBorders>
            <w:shd w:val="clear" w:color="auto" w:fill="auto"/>
          </w:tcPr>
          <w:p w14:paraId="2BC89723" w14:textId="77777777" w:rsidR="00670867" w:rsidRDefault="00670867" w:rsidP="008241B3">
            <w:pPr>
              <w:jc w:val="right"/>
              <w:rPr>
                <w:color w:val="000000"/>
              </w:rPr>
            </w:pPr>
            <w:r>
              <w:rPr>
                <w:color w:val="000000"/>
              </w:rPr>
              <w:t>0.06</w:t>
            </w:r>
          </w:p>
        </w:tc>
        <w:tc>
          <w:tcPr>
            <w:tcW w:w="266" w:type="dxa"/>
            <w:tcBorders>
              <w:top w:val="nil"/>
              <w:left w:val="nil"/>
              <w:right w:val="nil"/>
            </w:tcBorders>
            <w:shd w:val="clear" w:color="auto" w:fill="auto"/>
          </w:tcPr>
          <w:p w14:paraId="495AD6A2" w14:textId="77777777" w:rsidR="00670867" w:rsidRDefault="00670867" w:rsidP="008241B3">
            <w:pPr>
              <w:jc w:val="right"/>
              <w:rPr>
                <w:color w:val="000000"/>
              </w:rPr>
            </w:pPr>
          </w:p>
        </w:tc>
        <w:tc>
          <w:tcPr>
            <w:tcW w:w="960" w:type="dxa"/>
            <w:tcBorders>
              <w:top w:val="nil"/>
              <w:left w:val="nil"/>
              <w:right w:val="nil"/>
            </w:tcBorders>
            <w:shd w:val="clear" w:color="auto" w:fill="auto"/>
          </w:tcPr>
          <w:p w14:paraId="3CE8D22E" w14:textId="3FB39852" w:rsidR="00670867" w:rsidRDefault="00670867" w:rsidP="008241B3">
            <w:pPr>
              <w:jc w:val="right"/>
              <w:rPr>
                <w:color w:val="000000"/>
              </w:rPr>
            </w:pPr>
            <w:r>
              <w:rPr>
                <w:color w:val="000000"/>
              </w:rPr>
              <w:t>.04</w:t>
            </w:r>
          </w:p>
        </w:tc>
        <w:tc>
          <w:tcPr>
            <w:tcW w:w="960" w:type="dxa"/>
            <w:tcBorders>
              <w:top w:val="nil"/>
              <w:left w:val="nil"/>
              <w:right w:val="nil"/>
            </w:tcBorders>
            <w:shd w:val="clear" w:color="auto" w:fill="auto"/>
          </w:tcPr>
          <w:p w14:paraId="4AD3F392" w14:textId="77777777" w:rsidR="00670867" w:rsidRDefault="00670867" w:rsidP="008241B3">
            <w:pPr>
              <w:jc w:val="right"/>
              <w:rPr>
                <w:color w:val="000000"/>
              </w:rPr>
            </w:pPr>
          </w:p>
        </w:tc>
      </w:tr>
      <w:tr w:rsidR="003A7D48" w14:paraId="34F1F32A" w14:textId="77777777" w:rsidTr="003A7D48">
        <w:trPr>
          <w:trHeight w:val="288"/>
        </w:trPr>
        <w:tc>
          <w:tcPr>
            <w:tcW w:w="1940" w:type="dxa"/>
            <w:tcBorders>
              <w:top w:val="nil"/>
              <w:left w:val="nil"/>
              <w:right w:val="nil"/>
            </w:tcBorders>
            <w:shd w:val="clear" w:color="auto" w:fill="auto"/>
            <w:vAlign w:val="center"/>
          </w:tcPr>
          <w:p w14:paraId="25CE8B32" w14:textId="77777777" w:rsidR="00670867" w:rsidRDefault="00670867" w:rsidP="008241B3">
            <w:pPr>
              <w:rPr>
                <w:color w:val="000000"/>
              </w:rPr>
            </w:pPr>
            <w:r>
              <w:rPr>
                <w:color w:val="000000"/>
              </w:rPr>
              <w:t>Bystander Difficulty (Reflected)</w:t>
            </w:r>
          </w:p>
        </w:tc>
        <w:tc>
          <w:tcPr>
            <w:tcW w:w="960" w:type="dxa"/>
            <w:tcBorders>
              <w:top w:val="nil"/>
              <w:left w:val="nil"/>
              <w:right w:val="nil"/>
            </w:tcBorders>
            <w:shd w:val="clear" w:color="auto" w:fill="auto"/>
            <w:vAlign w:val="bottom"/>
          </w:tcPr>
          <w:p w14:paraId="7FBED593" w14:textId="77777777" w:rsidR="00670867" w:rsidRDefault="00670867" w:rsidP="008241B3">
            <w:pPr>
              <w:rPr>
                <w:color w:val="000000"/>
              </w:rPr>
            </w:pPr>
          </w:p>
        </w:tc>
        <w:tc>
          <w:tcPr>
            <w:tcW w:w="825" w:type="dxa"/>
            <w:tcBorders>
              <w:top w:val="nil"/>
              <w:left w:val="nil"/>
              <w:right w:val="nil"/>
            </w:tcBorders>
            <w:shd w:val="clear" w:color="auto" w:fill="auto"/>
            <w:vAlign w:val="bottom"/>
          </w:tcPr>
          <w:p w14:paraId="5714757E" w14:textId="77777777" w:rsidR="00670867" w:rsidRDefault="00670867" w:rsidP="008241B3"/>
        </w:tc>
        <w:tc>
          <w:tcPr>
            <w:tcW w:w="440" w:type="dxa"/>
            <w:tcBorders>
              <w:top w:val="nil"/>
              <w:left w:val="nil"/>
              <w:bottom w:val="nil"/>
              <w:right w:val="nil"/>
            </w:tcBorders>
            <w:shd w:val="clear" w:color="auto" w:fill="auto"/>
            <w:vAlign w:val="bottom"/>
          </w:tcPr>
          <w:p w14:paraId="46EC3DD0" w14:textId="77777777" w:rsidR="00670867" w:rsidRDefault="00670867" w:rsidP="008241B3"/>
        </w:tc>
        <w:tc>
          <w:tcPr>
            <w:tcW w:w="960" w:type="dxa"/>
            <w:tcBorders>
              <w:top w:val="nil"/>
              <w:left w:val="nil"/>
              <w:bottom w:val="nil"/>
              <w:right w:val="nil"/>
            </w:tcBorders>
            <w:shd w:val="clear" w:color="auto" w:fill="auto"/>
            <w:vAlign w:val="bottom"/>
          </w:tcPr>
          <w:p w14:paraId="700C22A3" w14:textId="77777777" w:rsidR="00670867" w:rsidRDefault="00670867" w:rsidP="008241B3"/>
        </w:tc>
        <w:tc>
          <w:tcPr>
            <w:tcW w:w="262" w:type="dxa"/>
            <w:tcBorders>
              <w:top w:val="nil"/>
              <w:left w:val="nil"/>
              <w:bottom w:val="nil"/>
              <w:right w:val="nil"/>
            </w:tcBorders>
            <w:shd w:val="clear" w:color="auto" w:fill="auto"/>
            <w:vAlign w:val="bottom"/>
          </w:tcPr>
          <w:p w14:paraId="1C99AB65" w14:textId="77777777" w:rsidR="00670867" w:rsidRDefault="00670867" w:rsidP="008241B3"/>
        </w:tc>
        <w:tc>
          <w:tcPr>
            <w:tcW w:w="978" w:type="dxa"/>
            <w:tcBorders>
              <w:top w:val="nil"/>
              <w:left w:val="nil"/>
              <w:bottom w:val="nil"/>
              <w:right w:val="nil"/>
            </w:tcBorders>
            <w:shd w:val="clear" w:color="auto" w:fill="auto"/>
            <w:vAlign w:val="bottom"/>
          </w:tcPr>
          <w:p w14:paraId="4E5115FC" w14:textId="77777777" w:rsidR="00670867" w:rsidRDefault="00670867" w:rsidP="008241B3"/>
        </w:tc>
        <w:tc>
          <w:tcPr>
            <w:tcW w:w="545" w:type="dxa"/>
            <w:tcBorders>
              <w:top w:val="nil"/>
              <w:left w:val="nil"/>
              <w:right w:val="nil"/>
            </w:tcBorders>
            <w:shd w:val="clear" w:color="auto" w:fill="auto"/>
            <w:vAlign w:val="center"/>
          </w:tcPr>
          <w:p w14:paraId="17C54BA7" w14:textId="77777777" w:rsidR="00670867" w:rsidRDefault="00670867" w:rsidP="008241B3">
            <w:pPr>
              <w:rPr>
                <w:i/>
                <w:color w:val="000000"/>
              </w:rPr>
            </w:pPr>
            <w:r>
              <w:rPr>
                <w:i/>
                <w:color w:val="000000"/>
              </w:rPr>
              <w:t> </w:t>
            </w:r>
          </w:p>
        </w:tc>
        <w:tc>
          <w:tcPr>
            <w:tcW w:w="440" w:type="dxa"/>
            <w:tcBorders>
              <w:top w:val="nil"/>
              <w:left w:val="nil"/>
              <w:bottom w:val="nil"/>
              <w:right w:val="nil"/>
            </w:tcBorders>
            <w:shd w:val="clear" w:color="auto" w:fill="auto"/>
            <w:vAlign w:val="center"/>
          </w:tcPr>
          <w:p w14:paraId="06F3F6C0" w14:textId="77777777" w:rsidR="00670867" w:rsidRDefault="00670867" w:rsidP="008241B3">
            <w:pPr>
              <w:rPr>
                <w:i/>
                <w:color w:val="000000"/>
              </w:rPr>
            </w:pPr>
          </w:p>
        </w:tc>
        <w:tc>
          <w:tcPr>
            <w:tcW w:w="266" w:type="dxa"/>
            <w:tcBorders>
              <w:top w:val="nil"/>
              <w:left w:val="nil"/>
              <w:right w:val="nil"/>
            </w:tcBorders>
            <w:shd w:val="clear" w:color="auto" w:fill="auto"/>
            <w:vAlign w:val="center"/>
          </w:tcPr>
          <w:p w14:paraId="584DD640" w14:textId="77777777" w:rsidR="00670867" w:rsidRDefault="00670867" w:rsidP="008241B3">
            <w:pPr>
              <w:rPr>
                <w:color w:val="000000"/>
              </w:rPr>
            </w:pPr>
            <w:r>
              <w:rPr>
                <w:color w:val="000000"/>
              </w:rPr>
              <w:t> </w:t>
            </w:r>
          </w:p>
        </w:tc>
        <w:tc>
          <w:tcPr>
            <w:tcW w:w="1065" w:type="dxa"/>
            <w:tcBorders>
              <w:top w:val="nil"/>
              <w:left w:val="nil"/>
              <w:right w:val="nil"/>
            </w:tcBorders>
            <w:shd w:val="clear" w:color="auto" w:fill="auto"/>
          </w:tcPr>
          <w:p w14:paraId="3D213F6D" w14:textId="77777777" w:rsidR="00670867" w:rsidRDefault="00670867" w:rsidP="008241B3">
            <w:pPr>
              <w:jc w:val="right"/>
              <w:rPr>
                <w:color w:val="000000"/>
              </w:rPr>
            </w:pPr>
            <w:r>
              <w:rPr>
                <w:color w:val="000000"/>
              </w:rPr>
              <w:t>0.47</w:t>
            </w:r>
          </w:p>
        </w:tc>
        <w:tc>
          <w:tcPr>
            <w:tcW w:w="270" w:type="dxa"/>
            <w:tcBorders>
              <w:top w:val="nil"/>
              <w:left w:val="nil"/>
              <w:right w:val="nil"/>
            </w:tcBorders>
            <w:shd w:val="clear" w:color="auto" w:fill="auto"/>
          </w:tcPr>
          <w:p w14:paraId="3F8AFAD6" w14:textId="77777777" w:rsidR="00670867" w:rsidRDefault="00670867" w:rsidP="008241B3">
            <w:pPr>
              <w:jc w:val="right"/>
              <w:rPr>
                <w:color w:val="000000"/>
              </w:rPr>
            </w:pPr>
            <w:r>
              <w:rPr>
                <w:color w:val="000000"/>
              </w:rPr>
              <w:t> </w:t>
            </w:r>
          </w:p>
        </w:tc>
        <w:tc>
          <w:tcPr>
            <w:tcW w:w="855" w:type="dxa"/>
            <w:tcBorders>
              <w:top w:val="nil"/>
              <w:left w:val="nil"/>
              <w:right w:val="nil"/>
            </w:tcBorders>
            <w:shd w:val="clear" w:color="auto" w:fill="auto"/>
          </w:tcPr>
          <w:p w14:paraId="51C5AD19" w14:textId="77777777" w:rsidR="00670867" w:rsidRDefault="00670867" w:rsidP="008241B3">
            <w:pPr>
              <w:jc w:val="right"/>
              <w:rPr>
                <w:color w:val="000000"/>
              </w:rPr>
            </w:pPr>
            <w:r>
              <w:rPr>
                <w:color w:val="000000"/>
              </w:rPr>
              <w:t>0.25</w:t>
            </w:r>
          </w:p>
        </w:tc>
        <w:tc>
          <w:tcPr>
            <w:tcW w:w="266" w:type="dxa"/>
            <w:tcBorders>
              <w:top w:val="nil"/>
              <w:left w:val="nil"/>
              <w:right w:val="nil"/>
            </w:tcBorders>
            <w:shd w:val="clear" w:color="auto" w:fill="auto"/>
          </w:tcPr>
          <w:p w14:paraId="278E6B41" w14:textId="77777777" w:rsidR="00670867" w:rsidRDefault="00670867" w:rsidP="008241B3">
            <w:pPr>
              <w:jc w:val="right"/>
              <w:rPr>
                <w:color w:val="000000"/>
              </w:rPr>
            </w:pPr>
            <w:r>
              <w:rPr>
                <w:color w:val="000000"/>
              </w:rPr>
              <w:t> </w:t>
            </w:r>
          </w:p>
        </w:tc>
        <w:tc>
          <w:tcPr>
            <w:tcW w:w="960" w:type="dxa"/>
            <w:tcBorders>
              <w:top w:val="nil"/>
              <w:left w:val="nil"/>
              <w:right w:val="nil"/>
            </w:tcBorders>
            <w:shd w:val="clear" w:color="auto" w:fill="auto"/>
          </w:tcPr>
          <w:p w14:paraId="1DB567EB" w14:textId="67E74D2A" w:rsidR="00670867" w:rsidRDefault="00670867" w:rsidP="008241B3">
            <w:pPr>
              <w:jc w:val="right"/>
              <w:rPr>
                <w:color w:val="000000"/>
              </w:rPr>
            </w:pPr>
            <w:r>
              <w:rPr>
                <w:color w:val="000000"/>
              </w:rPr>
              <w:t>.16</w:t>
            </w:r>
          </w:p>
        </w:tc>
        <w:tc>
          <w:tcPr>
            <w:tcW w:w="960" w:type="dxa"/>
            <w:tcBorders>
              <w:top w:val="nil"/>
              <w:left w:val="nil"/>
              <w:right w:val="nil"/>
            </w:tcBorders>
            <w:shd w:val="clear" w:color="auto" w:fill="auto"/>
            <w:vAlign w:val="center"/>
          </w:tcPr>
          <w:p w14:paraId="53606AE7" w14:textId="77777777" w:rsidR="00670867" w:rsidRDefault="00670867" w:rsidP="008241B3">
            <w:pPr>
              <w:rPr>
                <w:color w:val="000000"/>
              </w:rPr>
            </w:pPr>
            <w:r>
              <w:rPr>
                <w:color w:val="000000"/>
              </w:rPr>
              <w:t> </w:t>
            </w:r>
          </w:p>
        </w:tc>
      </w:tr>
      <w:tr w:rsidR="003A7D48" w14:paraId="061C7333" w14:textId="77777777" w:rsidTr="003A7D48">
        <w:trPr>
          <w:trHeight w:val="288"/>
        </w:trPr>
        <w:tc>
          <w:tcPr>
            <w:tcW w:w="1940" w:type="dxa"/>
            <w:tcBorders>
              <w:left w:val="nil"/>
              <w:bottom w:val="single" w:sz="8" w:space="0" w:color="000000"/>
              <w:right w:val="nil"/>
            </w:tcBorders>
            <w:shd w:val="clear" w:color="auto" w:fill="auto"/>
            <w:vAlign w:val="center"/>
          </w:tcPr>
          <w:p w14:paraId="410A6488" w14:textId="77777777" w:rsidR="00670867" w:rsidRDefault="00670867" w:rsidP="008241B3">
            <w:pPr>
              <w:rPr>
                <w:color w:val="000000"/>
                <w:vertAlign w:val="superscript"/>
              </w:rPr>
            </w:pPr>
            <w:r>
              <w:rPr>
                <w:color w:val="000000"/>
              </w:rPr>
              <w:t>R</w:t>
            </w:r>
            <w:r>
              <w:rPr>
                <w:color w:val="000000"/>
                <w:vertAlign w:val="superscript"/>
              </w:rPr>
              <w:t>2</w:t>
            </w:r>
          </w:p>
        </w:tc>
        <w:tc>
          <w:tcPr>
            <w:tcW w:w="960" w:type="dxa"/>
            <w:tcBorders>
              <w:left w:val="nil"/>
              <w:bottom w:val="nil"/>
              <w:right w:val="nil"/>
            </w:tcBorders>
            <w:shd w:val="clear" w:color="auto" w:fill="auto"/>
            <w:vAlign w:val="bottom"/>
          </w:tcPr>
          <w:p w14:paraId="46BF79D1" w14:textId="2F883A1F" w:rsidR="00670867" w:rsidRDefault="00670867" w:rsidP="008241B3">
            <w:pPr>
              <w:rPr>
                <w:color w:val="000000"/>
              </w:rPr>
            </w:pPr>
            <w:r>
              <w:rPr>
                <w:color w:val="000000"/>
              </w:rPr>
              <w:t>.15**</w:t>
            </w:r>
          </w:p>
        </w:tc>
        <w:tc>
          <w:tcPr>
            <w:tcW w:w="825" w:type="dxa"/>
            <w:tcBorders>
              <w:left w:val="nil"/>
              <w:bottom w:val="nil"/>
              <w:right w:val="nil"/>
            </w:tcBorders>
            <w:shd w:val="clear" w:color="auto" w:fill="auto"/>
            <w:vAlign w:val="bottom"/>
          </w:tcPr>
          <w:p w14:paraId="3AB11A8C" w14:textId="77777777" w:rsidR="00670867" w:rsidRDefault="00670867" w:rsidP="008241B3"/>
        </w:tc>
        <w:tc>
          <w:tcPr>
            <w:tcW w:w="440" w:type="dxa"/>
            <w:tcBorders>
              <w:top w:val="nil"/>
              <w:left w:val="nil"/>
              <w:bottom w:val="nil"/>
              <w:right w:val="nil"/>
            </w:tcBorders>
            <w:shd w:val="clear" w:color="auto" w:fill="auto"/>
            <w:vAlign w:val="bottom"/>
          </w:tcPr>
          <w:p w14:paraId="37543B9C" w14:textId="77777777" w:rsidR="00670867" w:rsidRDefault="00670867" w:rsidP="008241B3"/>
        </w:tc>
        <w:tc>
          <w:tcPr>
            <w:tcW w:w="960" w:type="dxa"/>
            <w:tcBorders>
              <w:top w:val="nil"/>
              <w:left w:val="nil"/>
              <w:bottom w:val="nil"/>
              <w:right w:val="nil"/>
            </w:tcBorders>
            <w:shd w:val="clear" w:color="auto" w:fill="auto"/>
            <w:vAlign w:val="bottom"/>
          </w:tcPr>
          <w:p w14:paraId="357FA5D7" w14:textId="77777777" w:rsidR="00670867" w:rsidRDefault="00670867" w:rsidP="008241B3"/>
        </w:tc>
        <w:tc>
          <w:tcPr>
            <w:tcW w:w="262" w:type="dxa"/>
            <w:tcBorders>
              <w:top w:val="nil"/>
              <w:left w:val="nil"/>
              <w:bottom w:val="nil"/>
              <w:right w:val="nil"/>
            </w:tcBorders>
            <w:shd w:val="clear" w:color="auto" w:fill="auto"/>
            <w:vAlign w:val="bottom"/>
          </w:tcPr>
          <w:p w14:paraId="7D09FE98" w14:textId="77777777" w:rsidR="00670867" w:rsidRDefault="00670867" w:rsidP="008241B3"/>
        </w:tc>
        <w:tc>
          <w:tcPr>
            <w:tcW w:w="978" w:type="dxa"/>
            <w:tcBorders>
              <w:top w:val="nil"/>
              <w:left w:val="nil"/>
              <w:bottom w:val="nil"/>
              <w:right w:val="nil"/>
            </w:tcBorders>
            <w:shd w:val="clear" w:color="auto" w:fill="auto"/>
            <w:vAlign w:val="bottom"/>
          </w:tcPr>
          <w:p w14:paraId="03791717" w14:textId="77777777" w:rsidR="00670867" w:rsidRDefault="00670867" w:rsidP="008241B3"/>
        </w:tc>
        <w:tc>
          <w:tcPr>
            <w:tcW w:w="545" w:type="dxa"/>
            <w:tcBorders>
              <w:left w:val="nil"/>
              <w:bottom w:val="single" w:sz="8" w:space="0" w:color="000000"/>
              <w:right w:val="nil"/>
            </w:tcBorders>
            <w:shd w:val="clear" w:color="auto" w:fill="auto"/>
            <w:vAlign w:val="center"/>
          </w:tcPr>
          <w:p w14:paraId="57778939" w14:textId="77777777" w:rsidR="00670867" w:rsidRDefault="00670867" w:rsidP="008241B3">
            <w:pPr>
              <w:rPr>
                <w:i/>
                <w:color w:val="000000"/>
              </w:rPr>
            </w:pPr>
          </w:p>
        </w:tc>
        <w:tc>
          <w:tcPr>
            <w:tcW w:w="440" w:type="dxa"/>
            <w:tcBorders>
              <w:top w:val="nil"/>
              <w:left w:val="nil"/>
              <w:bottom w:val="nil"/>
              <w:right w:val="nil"/>
            </w:tcBorders>
            <w:shd w:val="clear" w:color="auto" w:fill="auto"/>
            <w:vAlign w:val="center"/>
          </w:tcPr>
          <w:p w14:paraId="1FD82E92" w14:textId="77777777" w:rsidR="00670867" w:rsidRDefault="00670867" w:rsidP="008241B3">
            <w:pPr>
              <w:rPr>
                <w:i/>
                <w:color w:val="000000"/>
              </w:rPr>
            </w:pPr>
          </w:p>
        </w:tc>
        <w:tc>
          <w:tcPr>
            <w:tcW w:w="266" w:type="dxa"/>
            <w:tcBorders>
              <w:left w:val="nil"/>
              <w:bottom w:val="single" w:sz="8" w:space="0" w:color="333333"/>
              <w:right w:val="nil"/>
            </w:tcBorders>
            <w:shd w:val="clear" w:color="auto" w:fill="auto"/>
            <w:vAlign w:val="center"/>
          </w:tcPr>
          <w:p w14:paraId="437F48DE" w14:textId="77777777" w:rsidR="00670867" w:rsidRDefault="00670867" w:rsidP="008241B3">
            <w:pPr>
              <w:rPr>
                <w:color w:val="000000"/>
              </w:rPr>
            </w:pPr>
          </w:p>
        </w:tc>
        <w:tc>
          <w:tcPr>
            <w:tcW w:w="1065" w:type="dxa"/>
            <w:tcBorders>
              <w:left w:val="nil"/>
              <w:bottom w:val="single" w:sz="8" w:space="0" w:color="333333"/>
              <w:right w:val="nil"/>
            </w:tcBorders>
            <w:shd w:val="clear" w:color="auto" w:fill="auto"/>
          </w:tcPr>
          <w:p w14:paraId="051B3E79" w14:textId="182A8664" w:rsidR="00670867" w:rsidRDefault="00670867" w:rsidP="008241B3">
            <w:pPr>
              <w:rPr>
                <w:color w:val="000000"/>
              </w:rPr>
            </w:pPr>
            <w:r>
              <w:rPr>
                <w:color w:val="000000"/>
              </w:rPr>
              <w:t>.3</w:t>
            </w:r>
            <w:r w:rsidR="00365C9F">
              <w:rPr>
                <w:color w:val="000000"/>
              </w:rPr>
              <w:t>1</w:t>
            </w:r>
            <w:r>
              <w:rPr>
                <w:color w:val="000000"/>
              </w:rPr>
              <w:t>***</w:t>
            </w:r>
          </w:p>
        </w:tc>
        <w:tc>
          <w:tcPr>
            <w:tcW w:w="270" w:type="dxa"/>
            <w:tcBorders>
              <w:left w:val="nil"/>
              <w:bottom w:val="single" w:sz="8" w:space="0" w:color="333333"/>
              <w:right w:val="nil"/>
            </w:tcBorders>
            <w:shd w:val="clear" w:color="auto" w:fill="auto"/>
          </w:tcPr>
          <w:p w14:paraId="013868ED" w14:textId="77777777" w:rsidR="00670867" w:rsidRDefault="00670867" w:rsidP="008241B3">
            <w:pPr>
              <w:jc w:val="right"/>
              <w:rPr>
                <w:color w:val="000000"/>
              </w:rPr>
            </w:pPr>
          </w:p>
        </w:tc>
        <w:tc>
          <w:tcPr>
            <w:tcW w:w="855" w:type="dxa"/>
            <w:tcBorders>
              <w:left w:val="nil"/>
              <w:bottom w:val="single" w:sz="8" w:space="0" w:color="333333"/>
              <w:right w:val="nil"/>
            </w:tcBorders>
            <w:shd w:val="clear" w:color="auto" w:fill="auto"/>
          </w:tcPr>
          <w:p w14:paraId="6C1DEBB7" w14:textId="77777777" w:rsidR="00670867" w:rsidRDefault="00670867" w:rsidP="008241B3">
            <w:pPr>
              <w:jc w:val="right"/>
              <w:rPr>
                <w:color w:val="000000"/>
              </w:rPr>
            </w:pPr>
          </w:p>
        </w:tc>
        <w:tc>
          <w:tcPr>
            <w:tcW w:w="266" w:type="dxa"/>
            <w:tcBorders>
              <w:left w:val="nil"/>
              <w:bottom w:val="single" w:sz="8" w:space="0" w:color="333333"/>
              <w:right w:val="nil"/>
            </w:tcBorders>
            <w:shd w:val="clear" w:color="auto" w:fill="auto"/>
          </w:tcPr>
          <w:p w14:paraId="52E8BE59" w14:textId="77777777" w:rsidR="00670867" w:rsidRDefault="00670867" w:rsidP="008241B3">
            <w:pPr>
              <w:jc w:val="right"/>
              <w:rPr>
                <w:color w:val="000000"/>
              </w:rPr>
            </w:pPr>
          </w:p>
        </w:tc>
        <w:tc>
          <w:tcPr>
            <w:tcW w:w="960" w:type="dxa"/>
            <w:tcBorders>
              <w:left w:val="nil"/>
              <w:bottom w:val="single" w:sz="8" w:space="0" w:color="333333"/>
              <w:right w:val="nil"/>
            </w:tcBorders>
            <w:shd w:val="clear" w:color="auto" w:fill="auto"/>
          </w:tcPr>
          <w:p w14:paraId="45DB2CBB" w14:textId="77777777" w:rsidR="00670867" w:rsidRDefault="00670867" w:rsidP="008241B3">
            <w:pPr>
              <w:jc w:val="right"/>
              <w:rPr>
                <w:color w:val="000000"/>
              </w:rPr>
            </w:pPr>
          </w:p>
        </w:tc>
        <w:tc>
          <w:tcPr>
            <w:tcW w:w="960" w:type="dxa"/>
            <w:tcBorders>
              <w:left w:val="nil"/>
              <w:bottom w:val="single" w:sz="8" w:space="0" w:color="333333"/>
              <w:right w:val="nil"/>
            </w:tcBorders>
            <w:shd w:val="clear" w:color="auto" w:fill="auto"/>
            <w:vAlign w:val="center"/>
          </w:tcPr>
          <w:p w14:paraId="044FD7F5" w14:textId="77777777" w:rsidR="00670867" w:rsidRDefault="00670867" w:rsidP="008241B3">
            <w:pPr>
              <w:rPr>
                <w:color w:val="000000"/>
              </w:rPr>
            </w:pPr>
          </w:p>
        </w:tc>
      </w:tr>
      <w:tr w:rsidR="00670867" w14:paraId="6AEC16B4" w14:textId="77777777" w:rsidTr="008241B3">
        <w:trPr>
          <w:trHeight w:val="288"/>
        </w:trPr>
        <w:tc>
          <w:tcPr>
            <w:tcW w:w="6365" w:type="dxa"/>
            <w:gridSpan w:val="7"/>
            <w:tcBorders>
              <w:top w:val="single" w:sz="8" w:space="0" w:color="333333"/>
              <w:left w:val="nil"/>
              <w:bottom w:val="nil"/>
              <w:right w:val="nil"/>
            </w:tcBorders>
            <w:shd w:val="clear" w:color="auto" w:fill="auto"/>
            <w:vAlign w:val="center"/>
          </w:tcPr>
          <w:p w14:paraId="0C7C30EA" w14:textId="77777777" w:rsidR="00670867" w:rsidRDefault="00670867" w:rsidP="008241B3">
            <w:pPr>
              <w:rPr>
                <w:i/>
                <w:color w:val="000000"/>
              </w:rPr>
            </w:pPr>
            <w:r>
              <w:rPr>
                <w:i/>
                <w:color w:val="000000"/>
              </w:rPr>
              <w:t>Note.</w:t>
            </w:r>
            <w:r>
              <w:rPr>
                <w:color w:val="000000"/>
              </w:rPr>
              <w:t xml:space="preserve"> * p &lt; .05, ** p &lt; .01, *** p &lt; .001</w:t>
            </w:r>
          </w:p>
        </w:tc>
        <w:tc>
          <w:tcPr>
            <w:tcW w:w="545" w:type="dxa"/>
            <w:tcBorders>
              <w:top w:val="nil"/>
              <w:left w:val="nil"/>
              <w:bottom w:val="nil"/>
              <w:right w:val="nil"/>
            </w:tcBorders>
            <w:shd w:val="clear" w:color="auto" w:fill="auto"/>
            <w:vAlign w:val="bottom"/>
          </w:tcPr>
          <w:p w14:paraId="136D3C21" w14:textId="77777777" w:rsidR="00670867" w:rsidRDefault="00670867" w:rsidP="008241B3">
            <w:pPr>
              <w:rPr>
                <w:i/>
                <w:color w:val="000000"/>
              </w:rPr>
            </w:pPr>
          </w:p>
        </w:tc>
        <w:tc>
          <w:tcPr>
            <w:tcW w:w="440" w:type="dxa"/>
            <w:tcBorders>
              <w:top w:val="nil"/>
              <w:left w:val="nil"/>
              <w:bottom w:val="nil"/>
              <w:right w:val="nil"/>
            </w:tcBorders>
            <w:shd w:val="clear" w:color="auto" w:fill="auto"/>
            <w:vAlign w:val="bottom"/>
          </w:tcPr>
          <w:p w14:paraId="60A87D87" w14:textId="77777777" w:rsidR="00670867" w:rsidRDefault="00670867" w:rsidP="008241B3"/>
        </w:tc>
        <w:tc>
          <w:tcPr>
            <w:tcW w:w="4642" w:type="dxa"/>
            <w:gridSpan w:val="7"/>
            <w:tcBorders>
              <w:top w:val="single" w:sz="8" w:space="0" w:color="333333"/>
              <w:left w:val="nil"/>
              <w:bottom w:val="nil"/>
              <w:right w:val="nil"/>
            </w:tcBorders>
            <w:shd w:val="clear" w:color="auto" w:fill="auto"/>
            <w:vAlign w:val="center"/>
          </w:tcPr>
          <w:p w14:paraId="3AE47F15" w14:textId="77777777" w:rsidR="00670867" w:rsidRDefault="00670867" w:rsidP="008241B3">
            <w:pPr>
              <w:rPr>
                <w:color w:val="000000"/>
              </w:rPr>
            </w:pPr>
            <w:r>
              <w:rPr>
                <w:color w:val="000000"/>
              </w:rPr>
              <w:t> </w:t>
            </w:r>
          </w:p>
        </w:tc>
      </w:tr>
    </w:tbl>
    <w:p w14:paraId="000000DA" w14:textId="77777777" w:rsidR="00BF1871" w:rsidRDefault="00BF1871">
      <w:pPr>
        <w:rPr>
          <w:rFonts w:ascii="AdvOTb65e897d.B" w:eastAsia="AdvOTb65e897d.B" w:hAnsi="AdvOTb65e897d.B" w:cs="AdvOTb65e897d.B"/>
          <w:color w:val="000000"/>
          <w:sz w:val="19"/>
          <w:szCs w:val="19"/>
        </w:rPr>
      </w:pPr>
    </w:p>
    <w:p w14:paraId="000000DB" w14:textId="77777777" w:rsidR="00BF1871" w:rsidRDefault="00BF1871">
      <w:pPr>
        <w:rPr>
          <w:rFonts w:ascii="AdvOTb65e897d.B" w:eastAsia="AdvOTb65e897d.B" w:hAnsi="AdvOTb65e897d.B" w:cs="AdvOTb65e897d.B"/>
          <w:color w:val="000000"/>
          <w:sz w:val="19"/>
          <w:szCs w:val="19"/>
        </w:rPr>
      </w:pPr>
    </w:p>
    <w:p w14:paraId="000000DC" w14:textId="77777777" w:rsidR="00BF1871" w:rsidRDefault="00BF1871">
      <w:pPr>
        <w:ind w:firstLine="720"/>
      </w:pPr>
    </w:p>
    <w:sectPr w:rsidR="00BF1871" w:rsidSect="009632F1">
      <w:pgSz w:w="16838" w:h="11906" w:orient="landscape"/>
      <w:pgMar w:top="1418" w:right="1418" w:bottom="1418"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4183D" w14:textId="77777777" w:rsidR="00827696" w:rsidRDefault="00827696">
      <w:r>
        <w:separator/>
      </w:r>
    </w:p>
  </w:endnote>
  <w:endnote w:type="continuationSeparator" w:id="0">
    <w:p w14:paraId="0F2A0567" w14:textId="77777777" w:rsidR="00827696" w:rsidRDefault="0082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vOTb65e897d.B">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23711" w14:textId="77777777" w:rsidR="00827696" w:rsidRDefault="00827696">
      <w:r>
        <w:separator/>
      </w:r>
    </w:p>
  </w:footnote>
  <w:footnote w:type="continuationSeparator" w:id="0">
    <w:p w14:paraId="7B28ED8E" w14:textId="77777777" w:rsidR="00827696" w:rsidRDefault="00827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D" w14:textId="75C39FF4" w:rsidR="003A7D48" w:rsidRPr="008C6FC0" w:rsidRDefault="003A7D48">
    <w:pPr>
      <w:pBdr>
        <w:top w:val="nil"/>
        <w:left w:val="nil"/>
        <w:bottom w:val="nil"/>
        <w:right w:val="nil"/>
        <w:between w:val="nil"/>
      </w:pBdr>
      <w:tabs>
        <w:tab w:val="center" w:pos="4513"/>
        <w:tab w:val="right" w:pos="9026"/>
      </w:tabs>
      <w:jc w:val="right"/>
      <w:rPr>
        <w:color w:val="000000"/>
      </w:rPr>
    </w:pPr>
    <w:r w:rsidRPr="008C6FC0">
      <w:rPr>
        <w:color w:val="000000"/>
      </w:rPr>
      <w:fldChar w:fldCharType="begin"/>
    </w:r>
    <w:r w:rsidRPr="008C6FC0">
      <w:rPr>
        <w:color w:val="000000"/>
      </w:rPr>
      <w:instrText>PAGE</w:instrText>
    </w:r>
    <w:r w:rsidRPr="008C6FC0">
      <w:rPr>
        <w:color w:val="000000"/>
      </w:rPr>
      <w:fldChar w:fldCharType="separate"/>
    </w:r>
    <w:r w:rsidR="00461E72">
      <w:rPr>
        <w:noProof/>
        <w:color w:val="000000"/>
      </w:rPr>
      <w:t>20</w:t>
    </w:r>
    <w:r w:rsidRPr="008C6FC0">
      <w:rPr>
        <w:color w:val="000000"/>
      </w:rPr>
      <w:fldChar w:fldCharType="end"/>
    </w:r>
  </w:p>
  <w:p w14:paraId="000000DE" w14:textId="77777777" w:rsidR="003A7D48" w:rsidRDefault="003A7D48">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71"/>
    <w:rsid w:val="000150B5"/>
    <w:rsid w:val="000231D4"/>
    <w:rsid w:val="00025CE6"/>
    <w:rsid w:val="00026DC9"/>
    <w:rsid w:val="00030DE8"/>
    <w:rsid w:val="0003684F"/>
    <w:rsid w:val="00037AF8"/>
    <w:rsid w:val="000471C6"/>
    <w:rsid w:val="00062598"/>
    <w:rsid w:val="00064940"/>
    <w:rsid w:val="00072CE2"/>
    <w:rsid w:val="000840ED"/>
    <w:rsid w:val="000879A2"/>
    <w:rsid w:val="000A73C1"/>
    <w:rsid w:val="000D4E39"/>
    <w:rsid w:val="000D7097"/>
    <w:rsid w:val="000F2F1C"/>
    <w:rsid w:val="00107AC4"/>
    <w:rsid w:val="00131B38"/>
    <w:rsid w:val="0013416A"/>
    <w:rsid w:val="001405F4"/>
    <w:rsid w:val="00146553"/>
    <w:rsid w:val="0016274D"/>
    <w:rsid w:val="00184BF5"/>
    <w:rsid w:val="00185791"/>
    <w:rsid w:val="00185908"/>
    <w:rsid w:val="00186018"/>
    <w:rsid w:val="0018780E"/>
    <w:rsid w:val="001910AF"/>
    <w:rsid w:val="00191C59"/>
    <w:rsid w:val="00192194"/>
    <w:rsid w:val="001A2DA6"/>
    <w:rsid w:val="001A3E18"/>
    <w:rsid w:val="001B3F9D"/>
    <w:rsid w:val="001C3069"/>
    <w:rsid w:val="001D2412"/>
    <w:rsid w:val="001E06A8"/>
    <w:rsid w:val="001E4601"/>
    <w:rsid w:val="001E6CA5"/>
    <w:rsid w:val="001F6590"/>
    <w:rsid w:val="00203455"/>
    <w:rsid w:val="00211310"/>
    <w:rsid w:val="00214DC2"/>
    <w:rsid w:val="00216742"/>
    <w:rsid w:val="00217C61"/>
    <w:rsid w:val="0023327A"/>
    <w:rsid w:val="002362D9"/>
    <w:rsid w:val="002516D6"/>
    <w:rsid w:val="00271460"/>
    <w:rsid w:val="00296C5C"/>
    <w:rsid w:val="002C22AC"/>
    <w:rsid w:val="002C5566"/>
    <w:rsid w:val="002F1C80"/>
    <w:rsid w:val="002F3E18"/>
    <w:rsid w:val="002F6377"/>
    <w:rsid w:val="002F712F"/>
    <w:rsid w:val="0030624D"/>
    <w:rsid w:val="00307704"/>
    <w:rsid w:val="00331945"/>
    <w:rsid w:val="003438BC"/>
    <w:rsid w:val="00365C9F"/>
    <w:rsid w:val="00382F69"/>
    <w:rsid w:val="003A5FDE"/>
    <w:rsid w:val="003A682E"/>
    <w:rsid w:val="003A7D48"/>
    <w:rsid w:val="003B18AD"/>
    <w:rsid w:val="003B455F"/>
    <w:rsid w:val="003B7D91"/>
    <w:rsid w:val="003C3C8E"/>
    <w:rsid w:val="003D5C85"/>
    <w:rsid w:val="003E0E01"/>
    <w:rsid w:val="003E66FA"/>
    <w:rsid w:val="003E6DE1"/>
    <w:rsid w:val="004173F8"/>
    <w:rsid w:val="00422616"/>
    <w:rsid w:val="00436722"/>
    <w:rsid w:val="004534EA"/>
    <w:rsid w:val="00461E72"/>
    <w:rsid w:val="004652DA"/>
    <w:rsid w:val="004714EC"/>
    <w:rsid w:val="00482621"/>
    <w:rsid w:val="004C01C6"/>
    <w:rsid w:val="004C086C"/>
    <w:rsid w:val="004D64F8"/>
    <w:rsid w:val="004E5C65"/>
    <w:rsid w:val="0052278D"/>
    <w:rsid w:val="00523CAC"/>
    <w:rsid w:val="00526516"/>
    <w:rsid w:val="00534B20"/>
    <w:rsid w:val="00547008"/>
    <w:rsid w:val="0057073C"/>
    <w:rsid w:val="00572439"/>
    <w:rsid w:val="0058732B"/>
    <w:rsid w:val="00596624"/>
    <w:rsid w:val="005B66A6"/>
    <w:rsid w:val="005E4783"/>
    <w:rsid w:val="006032AA"/>
    <w:rsid w:val="00613CA3"/>
    <w:rsid w:val="00615616"/>
    <w:rsid w:val="00627E94"/>
    <w:rsid w:val="00642F7F"/>
    <w:rsid w:val="006452CA"/>
    <w:rsid w:val="00670867"/>
    <w:rsid w:val="00676E98"/>
    <w:rsid w:val="006851F6"/>
    <w:rsid w:val="00697E1D"/>
    <w:rsid w:val="006B7CC9"/>
    <w:rsid w:val="006C57A1"/>
    <w:rsid w:val="006F2926"/>
    <w:rsid w:val="007102AA"/>
    <w:rsid w:val="007105BA"/>
    <w:rsid w:val="00710F97"/>
    <w:rsid w:val="00725FFE"/>
    <w:rsid w:val="007322F5"/>
    <w:rsid w:val="00732527"/>
    <w:rsid w:val="00771954"/>
    <w:rsid w:val="007720F1"/>
    <w:rsid w:val="0077227B"/>
    <w:rsid w:val="007A1F42"/>
    <w:rsid w:val="007B2823"/>
    <w:rsid w:val="007B2E46"/>
    <w:rsid w:val="007B7BDC"/>
    <w:rsid w:val="007E3712"/>
    <w:rsid w:val="0080537D"/>
    <w:rsid w:val="00806DEE"/>
    <w:rsid w:val="00817CD0"/>
    <w:rsid w:val="008241B3"/>
    <w:rsid w:val="00827696"/>
    <w:rsid w:val="00846678"/>
    <w:rsid w:val="0089472C"/>
    <w:rsid w:val="008A6E5D"/>
    <w:rsid w:val="008B2A62"/>
    <w:rsid w:val="008C6FC0"/>
    <w:rsid w:val="008F5B38"/>
    <w:rsid w:val="008F5D58"/>
    <w:rsid w:val="00925886"/>
    <w:rsid w:val="00944799"/>
    <w:rsid w:val="00963079"/>
    <w:rsid w:val="009632F1"/>
    <w:rsid w:val="00995429"/>
    <w:rsid w:val="00997918"/>
    <w:rsid w:val="009D69AD"/>
    <w:rsid w:val="009E323B"/>
    <w:rsid w:val="009F7673"/>
    <w:rsid w:val="00A13179"/>
    <w:rsid w:val="00A1664D"/>
    <w:rsid w:val="00A16E68"/>
    <w:rsid w:val="00A20467"/>
    <w:rsid w:val="00A44441"/>
    <w:rsid w:val="00A60713"/>
    <w:rsid w:val="00A76862"/>
    <w:rsid w:val="00AA0573"/>
    <w:rsid w:val="00AA6271"/>
    <w:rsid w:val="00AB6464"/>
    <w:rsid w:val="00AE46D6"/>
    <w:rsid w:val="00AF295F"/>
    <w:rsid w:val="00AF7CD0"/>
    <w:rsid w:val="00B00C77"/>
    <w:rsid w:val="00B01F87"/>
    <w:rsid w:val="00B039EF"/>
    <w:rsid w:val="00B05A61"/>
    <w:rsid w:val="00B203A9"/>
    <w:rsid w:val="00B27894"/>
    <w:rsid w:val="00B3382D"/>
    <w:rsid w:val="00B353C2"/>
    <w:rsid w:val="00B44ECE"/>
    <w:rsid w:val="00B61DA6"/>
    <w:rsid w:val="00B816E1"/>
    <w:rsid w:val="00BA76DD"/>
    <w:rsid w:val="00BB065E"/>
    <w:rsid w:val="00BC3753"/>
    <w:rsid w:val="00BE028B"/>
    <w:rsid w:val="00BE2334"/>
    <w:rsid w:val="00BE7823"/>
    <w:rsid w:val="00BF1871"/>
    <w:rsid w:val="00BF2007"/>
    <w:rsid w:val="00BF4D08"/>
    <w:rsid w:val="00C06ED2"/>
    <w:rsid w:val="00C34C11"/>
    <w:rsid w:val="00C374E7"/>
    <w:rsid w:val="00C40793"/>
    <w:rsid w:val="00C53D9E"/>
    <w:rsid w:val="00C554EA"/>
    <w:rsid w:val="00C61866"/>
    <w:rsid w:val="00C703BD"/>
    <w:rsid w:val="00C73AF4"/>
    <w:rsid w:val="00C85B77"/>
    <w:rsid w:val="00C9520F"/>
    <w:rsid w:val="00CA70A6"/>
    <w:rsid w:val="00CA7AA4"/>
    <w:rsid w:val="00CC2B4A"/>
    <w:rsid w:val="00CC5E4B"/>
    <w:rsid w:val="00CF6F20"/>
    <w:rsid w:val="00D13B92"/>
    <w:rsid w:val="00D200E5"/>
    <w:rsid w:val="00D21958"/>
    <w:rsid w:val="00D22B38"/>
    <w:rsid w:val="00D5738C"/>
    <w:rsid w:val="00D67BA7"/>
    <w:rsid w:val="00D73ABE"/>
    <w:rsid w:val="00D8063A"/>
    <w:rsid w:val="00D91447"/>
    <w:rsid w:val="00DB39DA"/>
    <w:rsid w:val="00DB5A2D"/>
    <w:rsid w:val="00DC33C0"/>
    <w:rsid w:val="00E03265"/>
    <w:rsid w:val="00E17A14"/>
    <w:rsid w:val="00E86ED7"/>
    <w:rsid w:val="00EF20A5"/>
    <w:rsid w:val="00EF6874"/>
    <w:rsid w:val="00F072BF"/>
    <w:rsid w:val="00F33706"/>
    <w:rsid w:val="00F440E1"/>
    <w:rsid w:val="00F65CD4"/>
    <w:rsid w:val="00F74C5C"/>
    <w:rsid w:val="00F808A2"/>
    <w:rsid w:val="00F81206"/>
    <w:rsid w:val="00F821A1"/>
    <w:rsid w:val="00F83AEB"/>
    <w:rsid w:val="00F95C9A"/>
    <w:rsid w:val="00F974D9"/>
    <w:rsid w:val="00FA7DBB"/>
    <w:rsid w:val="00FB2232"/>
    <w:rsid w:val="00FB5B12"/>
    <w:rsid w:val="00FE20E3"/>
    <w:rsid w:val="00FE5471"/>
    <w:rsid w:val="00FE742A"/>
    <w:rsid w:val="00FF06CB"/>
    <w:rsid w:val="00FF53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91689"/>
  <w15:docId w15:val="{E4E960FA-B44B-4BBC-89C9-788000F4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1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76" w:lineRule="auto"/>
    </w:pPr>
    <w:rPr>
      <w:rFonts w:ascii="Calibri" w:eastAsia="Calibri" w:hAnsi="Calibri" w:cs="Calibri"/>
      <w:b/>
      <w:sz w:val="72"/>
      <w:szCs w:val="72"/>
    </w:rPr>
  </w:style>
  <w:style w:type="paragraph" w:styleId="Header">
    <w:name w:val="header"/>
    <w:basedOn w:val="Normal"/>
    <w:link w:val="HeaderChar"/>
    <w:uiPriority w:val="99"/>
    <w:unhideWhenUsed/>
    <w:rsid w:val="00736708"/>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736708"/>
  </w:style>
  <w:style w:type="paragraph" w:styleId="Footer">
    <w:name w:val="footer"/>
    <w:basedOn w:val="Normal"/>
    <w:link w:val="FooterChar"/>
    <w:uiPriority w:val="99"/>
    <w:unhideWhenUsed/>
    <w:rsid w:val="00736708"/>
    <w:pPr>
      <w:tabs>
        <w:tab w:val="center" w:pos="4513"/>
        <w:tab w:val="right" w:pos="9026"/>
      </w:tabs>
    </w:pPr>
    <w:rPr>
      <w:rFonts w:ascii="Calibri" w:eastAsia="Calibri" w:hAnsi="Calibri" w:cs="Calibri"/>
      <w:sz w:val="22"/>
      <w:szCs w:val="22"/>
    </w:rPr>
  </w:style>
  <w:style w:type="character" w:customStyle="1" w:styleId="FooterChar">
    <w:name w:val="Footer Char"/>
    <w:basedOn w:val="DefaultParagraphFont"/>
    <w:link w:val="Footer"/>
    <w:uiPriority w:val="99"/>
    <w:rsid w:val="00736708"/>
  </w:style>
  <w:style w:type="paragraph" w:styleId="NormalWeb">
    <w:name w:val="Normal (Web)"/>
    <w:basedOn w:val="Normal"/>
    <w:uiPriority w:val="99"/>
    <w:semiHidden/>
    <w:unhideWhenUsed/>
    <w:rsid w:val="008B09DC"/>
    <w:pPr>
      <w:spacing w:before="100" w:beforeAutospacing="1" w:after="100" w:afterAutospacing="1"/>
    </w:pPr>
  </w:style>
  <w:style w:type="character" w:styleId="Strong">
    <w:name w:val="Strong"/>
    <w:basedOn w:val="DefaultParagraphFont"/>
    <w:uiPriority w:val="22"/>
    <w:qFormat/>
    <w:rsid w:val="008B09DC"/>
    <w:rPr>
      <w:b/>
      <w:bCs/>
    </w:rPr>
  </w:style>
  <w:style w:type="character" w:styleId="Hyperlink">
    <w:name w:val="Hyperlink"/>
    <w:basedOn w:val="DefaultParagraphFont"/>
    <w:uiPriority w:val="99"/>
    <w:unhideWhenUsed/>
    <w:rsid w:val="00ED3529"/>
    <w:rPr>
      <w:color w:val="0000FF" w:themeColor="hyperlink"/>
      <w:u w:val="single"/>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085C93"/>
    <w:rPr>
      <w:sz w:val="16"/>
      <w:szCs w:val="16"/>
    </w:rPr>
  </w:style>
  <w:style w:type="paragraph" w:styleId="CommentText">
    <w:name w:val="annotation text"/>
    <w:basedOn w:val="Normal"/>
    <w:link w:val="CommentTextChar"/>
    <w:uiPriority w:val="99"/>
    <w:semiHidden/>
    <w:unhideWhenUsed/>
    <w:rsid w:val="00085C93"/>
    <w:pPr>
      <w:spacing w:after="20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085C93"/>
    <w:rPr>
      <w:sz w:val="20"/>
      <w:szCs w:val="20"/>
    </w:rPr>
  </w:style>
  <w:style w:type="paragraph" w:styleId="CommentSubject">
    <w:name w:val="annotation subject"/>
    <w:basedOn w:val="CommentText"/>
    <w:next w:val="CommentText"/>
    <w:link w:val="CommentSubjectChar"/>
    <w:uiPriority w:val="99"/>
    <w:semiHidden/>
    <w:unhideWhenUsed/>
    <w:rsid w:val="00085C93"/>
    <w:rPr>
      <w:b/>
      <w:bCs/>
    </w:rPr>
  </w:style>
  <w:style w:type="character" w:customStyle="1" w:styleId="CommentSubjectChar">
    <w:name w:val="Comment Subject Char"/>
    <w:basedOn w:val="CommentTextChar"/>
    <w:link w:val="CommentSubject"/>
    <w:uiPriority w:val="99"/>
    <w:semiHidden/>
    <w:rsid w:val="00085C93"/>
    <w:rPr>
      <w:b/>
      <w:bCs/>
      <w:sz w:val="20"/>
      <w:szCs w:val="20"/>
    </w:rPr>
  </w:style>
  <w:style w:type="paragraph" w:styleId="BalloonText">
    <w:name w:val="Balloon Text"/>
    <w:basedOn w:val="Normal"/>
    <w:link w:val="BalloonTextChar"/>
    <w:uiPriority w:val="99"/>
    <w:semiHidden/>
    <w:unhideWhenUsed/>
    <w:rsid w:val="00085C93"/>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85C93"/>
    <w:rPr>
      <w:rFonts w:ascii="Tahoma" w:hAnsi="Tahoma" w:cs="Tahoma"/>
      <w:sz w:val="16"/>
      <w:szCs w:val="16"/>
    </w:rPr>
  </w:style>
  <w:style w:type="paragraph" w:styleId="Revision">
    <w:name w:val="Revision"/>
    <w:hidden/>
    <w:uiPriority w:val="99"/>
    <w:semiHidden/>
    <w:rsid w:val="003C3C8E"/>
    <w:pPr>
      <w:spacing w:after="0" w:line="240" w:lineRule="auto"/>
    </w:pPr>
  </w:style>
  <w:style w:type="character" w:customStyle="1" w:styleId="UnresolvedMention1">
    <w:name w:val="Unresolved Mention1"/>
    <w:basedOn w:val="DefaultParagraphFont"/>
    <w:uiPriority w:val="99"/>
    <w:semiHidden/>
    <w:unhideWhenUsed/>
    <w:rsid w:val="00676E98"/>
    <w:rPr>
      <w:color w:val="605E5C"/>
      <w:shd w:val="clear" w:color="auto" w:fill="E1DFDD"/>
    </w:rPr>
  </w:style>
  <w:style w:type="character" w:styleId="FollowedHyperlink">
    <w:name w:val="FollowedHyperlink"/>
    <w:basedOn w:val="DefaultParagraphFont"/>
    <w:uiPriority w:val="99"/>
    <w:semiHidden/>
    <w:unhideWhenUsed/>
    <w:rsid w:val="00997918"/>
    <w:rPr>
      <w:color w:val="800080" w:themeColor="followedHyperlink"/>
      <w:u w:val="single"/>
    </w:rPr>
  </w:style>
  <w:style w:type="character" w:customStyle="1" w:styleId="UnresolvedMention2">
    <w:name w:val="Unresolved Mention2"/>
    <w:basedOn w:val="DefaultParagraphFont"/>
    <w:uiPriority w:val="99"/>
    <w:semiHidden/>
    <w:unhideWhenUsed/>
    <w:rsid w:val="004C01C6"/>
    <w:rPr>
      <w:color w:val="605E5C"/>
      <w:shd w:val="clear" w:color="auto" w:fill="E1DFDD"/>
    </w:rPr>
  </w:style>
  <w:style w:type="character" w:customStyle="1" w:styleId="apple-converted-space">
    <w:name w:val="apple-converted-space"/>
    <w:basedOn w:val="DefaultParagraphFont"/>
    <w:rsid w:val="004C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81730">
      <w:bodyDiv w:val="1"/>
      <w:marLeft w:val="0"/>
      <w:marRight w:val="0"/>
      <w:marTop w:val="0"/>
      <w:marBottom w:val="0"/>
      <w:divBdr>
        <w:top w:val="none" w:sz="0" w:space="0" w:color="auto"/>
        <w:left w:val="none" w:sz="0" w:space="0" w:color="auto"/>
        <w:bottom w:val="none" w:sz="0" w:space="0" w:color="auto"/>
        <w:right w:val="none" w:sz="0" w:space="0" w:color="auto"/>
      </w:divBdr>
    </w:div>
    <w:div w:id="178085941">
      <w:bodyDiv w:val="1"/>
      <w:marLeft w:val="0"/>
      <w:marRight w:val="0"/>
      <w:marTop w:val="0"/>
      <w:marBottom w:val="0"/>
      <w:divBdr>
        <w:top w:val="none" w:sz="0" w:space="0" w:color="auto"/>
        <w:left w:val="none" w:sz="0" w:space="0" w:color="auto"/>
        <w:bottom w:val="none" w:sz="0" w:space="0" w:color="auto"/>
        <w:right w:val="none" w:sz="0" w:space="0" w:color="auto"/>
      </w:divBdr>
    </w:div>
    <w:div w:id="386101441">
      <w:bodyDiv w:val="1"/>
      <w:marLeft w:val="0"/>
      <w:marRight w:val="0"/>
      <w:marTop w:val="0"/>
      <w:marBottom w:val="0"/>
      <w:divBdr>
        <w:top w:val="none" w:sz="0" w:space="0" w:color="auto"/>
        <w:left w:val="none" w:sz="0" w:space="0" w:color="auto"/>
        <w:bottom w:val="none" w:sz="0" w:space="0" w:color="auto"/>
        <w:right w:val="none" w:sz="0" w:space="0" w:color="auto"/>
      </w:divBdr>
    </w:div>
    <w:div w:id="617873806">
      <w:bodyDiv w:val="1"/>
      <w:marLeft w:val="0"/>
      <w:marRight w:val="0"/>
      <w:marTop w:val="0"/>
      <w:marBottom w:val="0"/>
      <w:divBdr>
        <w:top w:val="none" w:sz="0" w:space="0" w:color="auto"/>
        <w:left w:val="none" w:sz="0" w:space="0" w:color="auto"/>
        <w:bottom w:val="none" w:sz="0" w:space="0" w:color="auto"/>
        <w:right w:val="none" w:sz="0" w:space="0" w:color="auto"/>
      </w:divBdr>
    </w:div>
    <w:div w:id="721292220">
      <w:bodyDiv w:val="1"/>
      <w:marLeft w:val="0"/>
      <w:marRight w:val="0"/>
      <w:marTop w:val="0"/>
      <w:marBottom w:val="0"/>
      <w:divBdr>
        <w:top w:val="none" w:sz="0" w:space="0" w:color="auto"/>
        <w:left w:val="none" w:sz="0" w:space="0" w:color="auto"/>
        <w:bottom w:val="none" w:sz="0" w:space="0" w:color="auto"/>
        <w:right w:val="none" w:sz="0" w:space="0" w:color="auto"/>
      </w:divBdr>
    </w:div>
    <w:div w:id="1007902058">
      <w:bodyDiv w:val="1"/>
      <w:marLeft w:val="0"/>
      <w:marRight w:val="0"/>
      <w:marTop w:val="0"/>
      <w:marBottom w:val="0"/>
      <w:divBdr>
        <w:top w:val="none" w:sz="0" w:space="0" w:color="auto"/>
        <w:left w:val="none" w:sz="0" w:space="0" w:color="auto"/>
        <w:bottom w:val="none" w:sz="0" w:space="0" w:color="auto"/>
        <w:right w:val="none" w:sz="0" w:space="0" w:color="auto"/>
      </w:divBdr>
    </w:div>
    <w:div w:id="1112359071">
      <w:bodyDiv w:val="1"/>
      <w:marLeft w:val="0"/>
      <w:marRight w:val="0"/>
      <w:marTop w:val="0"/>
      <w:marBottom w:val="0"/>
      <w:divBdr>
        <w:top w:val="none" w:sz="0" w:space="0" w:color="auto"/>
        <w:left w:val="none" w:sz="0" w:space="0" w:color="auto"/>
        <w:bottom w:val="none" w:sz="0" w:space="0" w:color="auto"/>
        <w:right w:val="none" w:sz="0" w:space="0" w:color="auto"/>
      </w:divBdr>
    </w:div>
    <w:div w:id="1362903624">
      <w:bodyDiv w:val="1"/>
      <w:marLeft w:val="0"/>
      <w:marRight w:val="0"/>
      <w:marTop w:val="0"/>
      <w:marBottom w:val="0"/>
      <w:divBdr>
        <w:top w:val="none" w:sz="0" w:space="0" w:color="auto"/>
        <w:left w:val="none" w:sz="0" w:space="0" w:color="auto"/>
        <w:bottom w:val="none" w:sz="0" w:space="0" w:color="auto"/>
        <w:right w:val="none" w:sz="0" w:space="0" w:color="auto"/>
      </w:divBdr>
    </w:div>
    <w:div w:id="1535001199">
      <w:bodyDiv w:val="1"/>
      <w:marLeft w:val="0"/>
      <w:marRight w:val="0"/>
      <w:marTop w:val="0"/>
      <w:marBottom w:val="0"/>
      <w:divBdr>
        <w:top w:val="none" w:sz="0" w:space="0" w:color="auto"/>
        <w:left w:val="none" w:sz="0" w:space="0" w:color="auto"/>
        <w:bottom w:val="none" w:sz="0" w:space="0" w:color="auto"/>
        <w:right w:val="none" w:sz="0" w:space="0" w:color="auto"/>
      </w:divBdr>
    </w:div>
    <w:div w:id="1651593571">
      <w:bodyDiv w:val="1"/>
      <w:marLeft w:val="0"/>
      <w:marRight w:val="0"/>
      <w:marTop w:val="0"/>
      <w:marBottom w:val="0"/>
      <w:divBdr>
        <w:top w:val="none" w:sz="0" w:space="0" w:color="auto"/>
        <w:left w:val="none" w:sz="0" w:space="0" w:color="auto"/>
        <w:bottom w:val="none" w:sz="0" w:space="0" w:color="auto"/>
        <w:right w:val="none" w:sz="0" w:space="0" w:color="auto"/>
      </w:divBdr>
    </w:div>
    <w:div w:id="2002271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ycnet.apa.org/doi/10.1037/a0023739" TargetMode="External"/><Relationship Id="rId18" Type="http://schemas.openxmlformats.org/officeDocument/2006/relationships/hyperlink" Target="https://www.redalyc.org/articulo.oa?id=4397/439742463006" TargetMode="External"/><Relationship Id="rId26" Type="http://schemas.openxmlformats.org/officeDocument/2006/relationships/hyperlink" Target="https://doi.org/10.1080/00497878.2017.1252565" TargetMode="External"/><Relationship Id="rId39" Type="http://schemas.openxmlformats.org/officeDocument/2006/relationships/hyperlink" Target="https://dergipark.org.tr/en/pub/tojqi/issue/21388/229333" TargetMode="External"/><Relationship Id="rId21" Type="http://schemas.openxmlformats.org/officeDocument/2006/relationships/hyperlink" Target="https://doi.org/10.1037/dhe0000015" TargetMode="External"/><Relationship Id="rId34" Type="http://schemas.openxmlformats.org/officeDocument/2006/relationships/hyperlink" Target="https://doi.org/10.1177/1524838019881731" TargetMode="External"/><Relationship Id="rId42" Type="http://schemas.openxmlformats.org/officeDocument/2006/relationships/hyperlink" Target="https://dx.doi.org/10.3389%2Ffpsyg.2020.00326" TargetMode="External"/><Relationship Id="rId47" Type="http://schemas.openxmlformats.org/officeDocument/2006/relationships/hyperlink" Target="http://dx.doi.org/10.3362/9781909014213.002" TargetMode="External"/><Relationship Id="rId50" Type="http://schemas.openxmlformats.org/officeDocument/2006/relationships/hyperlink" Target="https://www.educacionsuperior.gob.ec/wp-content/uploads/2018/10/Folleto-Protocolo-Acoso-Discriminacion-violencia.pdf" TargetMode="External"/><Relationship Id="rId55" Type="http://schemas.openxmlformats.org/officeDocument/2006/relationships/hyperlink" Target="https://doi.org/10.1080/17441692.2018.1472290"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doi.org/10.1080/21568235.2020.1729833" TargetMode="External"/><Relationship Id="rId29" Type="http://schemas.openxmlformats.org/officeDocument/2006/relationships/hyperlink" Target="https://doi.org/10.1108/HE-05-2019-0023" TargetMode="External"/><Relationship Id="rId11" Type="http://schemas.openxmlformats.org/officeDocument/2006/relationships/hyperlink" Target="http://repositorio.puce.edu.ec/handle/22000/15412" TargetMode="External"/><Relationship Id="rId24" Type="http://schemas.openxmlformats.org/officeDocument/2006/relationships/hyperlink" Target="https://doi.org/10.1207/s15324834basp1704_2" TargetMode="External"/><Relationship Id="rId32" Type="http://schemas.openxmlformats.org/officeDocument/2006/relationships/hyperlink" Target="https://www.revistalimite.cl/index.php/limite/article/view/38" TargetMode="External"/><Relationship Id="rId37" Type="http://schemas.openxmlformats.org/officeDocument/2006/relationships/hyperlink" Target="https://doi.org/10.1177/0886260519900328" TargetMode="External"/><Relationship Id="rId40" Type="http://schemas.openxmlformats.org/officeDocument/2006/relationships/hyperlink" Target="https://doi.org/10.1177/107780049800400107" TargetMode="External"/><Relationship Id="rId45" Type="http://schemas.openxmlformats.org/officeDocument/2006/relationships/hyperlink" Target="https://doi.org/10.1080/13552600.2019.1651913" TargetMode="External"/><Relationship Id="rId53" Type="http://schemas.openxmlformats.org/officeDocument/2006/relationships/hyperlink" Target="https://doi.org/10.1089/jwh.2019.7766" TargetMode="External"/><Relationship Id="rId58" Type="http://schemas.openxmlformats.org/officeDocument/2006/relationships/hyperlink" Target="https://doi.org/10.1177%2F0886260517706764" TargetMode="External"/><Relationship Id="rId5" Type="http://schemas.openxmlformats.org/officeDocument/2006/relationships/webSettings" Target="webSettings.xml"/><Relationship Id="rId61" Type="http://schemas.openxmlformats.org/officeDocument/2006/relationships/hyperlink" Target="http://sedici.unlp.edu.ar/handle/10915/68962" TargetMode="External"/><Relationship Id="rId19" Type="http://schemas.openxmlformats.org/officeDocument/2006/relationships/hyperlink" Target="https://doi.org/10.1371/journal.pone.0102172" TargetMode="External"/><Relationship Id="rId14" Type="http://schemas.openxmlformats.org/officeDocument/2006/relationships/hyperlink" Target="https://doi.org/10.1007/s00737-018-0886-2" TargetMode="External"/><Relationship Id="rId22" Type="http://schemas.openxmlformats.org/officeDocument/2006/relationships/hyperlink" Target="https://doi.org/10.1017/sjp.2014.42" TargetMode="External"/><Relationship Id="rId27" Type="http://schemas.openxmlformats.org/officeDocument/2006/relationships/hyperlink" Target="http://bibdigital.epn.edu.ec/handle/15000/20802" TargetMode="External"/><Relationship Id="rId30" Type="http://schemas.openxmlformats.org/officeDocument/2006/relationships/hyperlink" Target="https://doi.org/10.1177%2F1077801218790697" TargetMode="External"/><Relationship Id="rId35" Type="http://schemas.openxmlformats.org/officeDocument/2006/relationships/hyperlink" Target="https://doi.org/10.1016/j.avb.2017.05.005" TargetMode="External"/><Relationship Id="rId43" Type="http://schemas.openxmlformats.org/officeDocument/2006/relationships/hyperlink" Target="https://www.proceso.com.mx/nacional/estados/2020/11/23/profesores-apoyan-el-despido-de-una-colega-que-acompano-alumnas-en-sus-denuncias-de-acoso-sexual-253243.html" TargetMode="External"/><Relationship Id="rId48" Type="http://schemas.openxmlformats.org/officeDocument/2006/relationships/hyperlink" Target="https://doi.org/10.1006/jrpe.1998.2238" TargetMode="External"/><Relationship Id="rId56" Type="http://schemas.openxmlformats.org/officeDocument/2006/relationships/hyperlink" Target="https://doi.org/10.1080/07448481.2016.1264407" TargetMode="External"/><Relationship Id="rId64" Type="http://schemas.openxmlformats.org/officeDocument/2006/relationships/theme" Target="theme/theme1.xml"/><Relationship Id="rId8" Type="http://schemas.openxmlformats.org/officeDocument/2006/relationships/hyperlink" Target="https://doi.org/10.1590/1984-6487.sess.2016.22.09.a" TargetMode="External"/><Relationship Id="rId51" Type="http://schemas.openxmlformats.org/officeDocument/2006/relationships/hyperlink" Target="https://doi.org/10.1192/pb.bp.114.050203" TargetMode="External"/><Relationship Id="rId3" Type="http://schemas.openxmlformats.org/officeDocument/2006/relationships/styles" Target="styles.xml"/><Relationship Id="rId12" Type="http://schemas.openxmlformats.org/officeDocument/2006/relationships/hyperlink" Target="http://www.ncjrs.org0pdffiles10nij0grants0208701.pdf" TargetMode="External"/><Relationship Id="rId17" Type="http://schemas.openxmlformats.org/officeDocument/2006/relationships/hyperlink" Target="https://doi.org/10.1177%2F1077801218807089" TargetMode="External"/><Relationship Id="rId25" Type="http://schemas.openxmlformats.org/officeDocument/2006/relationships/hyperlink" Target="https://doi.org/10.1002/jcop.20397" TargetMode="External"/><Relationship Id="rId33" Type="http://schemas.openxmlformats.org/officeDocument/2006/relationships/hyperlink" Target="https://doi.org/10.1080/00224499.2016.1184605" TargetMode="External"/><Relationship Id="rId38" Type="http://schemas.openxmlformats.org/officeDocument/2006/relationships/hyperlink" Target="https://doi.org/10.1177/0886260519900328" TargetMode="External"/><Relationship Id="rId46" Type="http://schemas.openxmlformats.org/officeDocument/2006/relationships/hyperlink" Target="http://scielo.sld.cu/scielo.php?script=sci_arttext&amp;pid=S1990-86442020000200364&amp;lng=es&amp;tlng=es" TargetMode="External"/><Relationship Id="rId59" Type="http://schemas.openxmlformats.org/officeDocument/2006/relationships/hyperlink" Target="https://doi.org/10.1177/0886260520916277" TargetMode="External"/><Relationship Id="rId20" Type="http://schemas.openxmlformats.org/officeDocument/2006/relationships/hyperlink" Target="https://psycnet.apa.org/doi/10.1037/dhe0000015" TargetMode="External"/><Relationship Id="rId41" Type="http://schemas.openxmlformats.org/officeDocument/2006/relationships/hyperlink" Target="https://doi.org/10.6017/ihe.2018.0.10552" TargetMode="External"/><Relationship Id="rId54" Type="http://schemas.openxmlformats.org/officeDocument/2006/relationships/hyperlink" Target="http://bibdigital.epn.edu.ec/handle/15000/20312"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07/s00737-018-0886-2" TargetMode="External"/><Relationship Id="rId23" Type="http://schemas.openxmlformats.org/officeDocument/2006/relationships/hyperlink" Target="https://doi.org/10.1177%2F1524838016631129" TargetMode="External"/><Relationship Id="rId28" Type="http://schemas.openxmlformats.org/officeDocument/2006/relationships/hyperlink" Target="http://dx.doi.org/10.17163/alt.v13n2.2018.05" TargetMode="External"/><Relationship Id="rId36" Type="http://schemas.openxmlformats.org/officeDocument/2006/relationships/hyperlink" Target="https://doi.org/10.1093/eurpub/cky023" TargetMode="External"/><Relationship Id="rId49" Type="http://schemas.openxmlformats.org/officeDocument/2006/relationships/hyperlink" Target="https://doi.org/10.1207/s15324834basp1704_6" TargetMode="External"/><Relationship Id="rId57" Type="http://schemas.openxmlformats.org/officeDocument/2006/relationships/hyperlink" Target="https://doi.org/10.1016/j.avb.2018.05.002" TargetMode="External"/><Relationship Id="rId10" Type="http://schemas.openxmlformats.org/officeDocument/2006/relationships/hyperlink" Target="http://hdl.handle.net/10644/7582" TargetMode="External"/><Relationship Id="rId31" Type="http://schemas.openxmlformats.org/officeDocument/2006/relationships/hyperlink" Target="https://psycnet.apa.org/doi/10.1037/men0000212" TargetMode="External"/><Relationship Id="rId44" Type="http://schemas.openxmlformats.org/officeDocument/2006/relationships/hyperlink" Target="https://doi.org/10.1016/j.ssresearch.2016.04.002" TargetMode="External"/><Relationship Id="rId52" Type="http://schemas.openxmlformats.org/officeDocument/2006/relationships/hyperlink" Target="http://www2.unwomen.org/-/media/field%20office%20eseasia/docs/publications/2016/10/4un%20women%20safe%20cities%20brief-dec%202014-kbelen.pdf?vs=4948" TargetMode="External"/><Relationship Id="rId60" Type="http://schemas.openxmlformats.org/officeDocument/2006/relationships/hyperlink" Target="https://doi.org/10.1080/17441692.2017.1335337" TargetMode="External"/><Relationship Id="rId4" Type="http://schemas.openxmlformats.org/officeDocument/2006/relationships/settings" Target="settings.xml"/><Relationship Id="rId9" Type="http://schemas.openxmlformats.org/officeDocument/2006/relationships/hyperlink" Target="https://www.alianzaporlasolidaridad.org/casos/los-derechos-de-las-mujeres-migrantes-y-del-s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liwDdwvzFjzecjhCZZqZPY3DlA==">AMUW2mXidrSeugO22hpyb7up4/QFjQ2IKayKR/1tc1re3cHwZysNVoxtfNHuNEhHs+jmjKxFb6ZmrenvTAcSmISWIqig1ORCvL7HHb9uaVK4/vbBoAfUvGc+hWN8OOe2Q3lUIeUYkZ3lX4A/4XQMeEfIxVXPA1k2MA==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8CBF8F-8742-45CB-A8C5-E365D0E8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6976</Words>
  <Characters>39767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dc:creator>
  <cp:lastModifiedBy>Centifanti, Luna</cp:lastModifiedBy>
  <cp:revision>2</cp:revision>
  <dcterms:created xsi:type="dcterms:W3CDTF">2021-01-26T11:27:00Z</dcterms:created>
  <dcterms:modified xsi:type="dcterms:W3CDTF">2021-01-26T11:27:00Z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1173747</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