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FF4" w:rsidRPr="00214FF4" w:rsidRDefault="00214FF4" w:rsidP="00214FF4">
      <w:pPr>
        <w:jc w:val="both"/>
        <w:rPr>
          <w:sz w:val="22"/>
          <w:u w:val="single"/>
        </w:rPr>
      </w:pPr>
      <w:r w:rsidRPr="00214FF4">
        <w:rPr>
          <w:sz w:val="22"/>
          <w:u w:val="single"/>
        </w:rPr>
        <w:t xml:space="preserve">The anatomical distribution of ochronotic pigment in </w:t>
      </w:r>
      <w:proofErr w:type="spellStart"/>
      <w:r w:rsidRPr="00214FF4">
        <w:rPr>
          <w:sz w:val="22"/>
          <w:u w:val="single"/>
        </w:rPr>
        <w:t>alkaptonuric</w:t>
      </w:r>
      <w:proofErr w:type="spellEnd"/>
      <w:r w:rsidRPr="00214FF4">
        <w:rPr>
          <w:sz w:val="22"/>
          <w:u w:val="single"/>
        </w:rPr>
        <w:t xml:space="preserve"> mice reveals that ageing and mechanical loading make collagen susceptible to chemical attack.</w:t>
      </w:r>
    </w:p>
    <w:p w:rsidR="00CF75EE" w:rsidRDefault="00CF75EE" w:rsidP="00722685">
      <w:pPr>
        <w:pStyle w:val="NoSpacing"/>
      </w:pPr>
    </w:p>
    <w:p w:rsidR="00214FF4" w:rsidRDefault="00214FF4" w:rsidP="00722685">
      <w:pPr>
        <w:pStyle w:val="NoSpacing"/>
      </w:pPr>
    </w:p>
    <w:p w:rsidR="00214FF4" w:rsidRDefault="00214FF4" w:rsidP="00214FF4">
      <w:pPr>
        <w:rPr>
          <w:sz w:val="22"/>
        </w:rPr>
      </w:pPr>
      <w:r w:rsidRPr="00D704A1">
        <w:rPr>
          <w:sz w:val="22"/>
        </w:rPr>
        <w:t>Juliette H Hughes</w:t>
      </w:r>
      <w:r>
        <w:rPr>
          <w:sz w:val="22"/>
          <w:vertAlign w:val="superscript"/>
        </w:rPr>
        <w:t>1</w:t>
      </w:r>
      <w:r w:rsidRPr="00D704A1">
        <w:rPr>
          <w:sz w:val="22"/>
        </w:rPr>
        <w:t>, Craig M Keenan</w:t>
      </w:r>
      <w:r>
        <w:rPr>
          <w:sz w:val="22"/>
          <w:vertAlign w:val="superscript"/>
        </w:rPr>
        <w:t>1</w:t>
      </w:r>
      <w:r w:rsidRPr="00D704A1">
        <w:rPr>
          <w:sz w:val="22"/>
        </w:rPr>
        <w:t>, Hazel Sutherland</w:t>
      </w:r>
      <w:r>
        <w:rPr>
          <w:sz w:val="22"/>
          <w:vertAlign w:val="superscript"/>
        </w:rPr>
        <w:t>1</w:t>
      </w:r>
      <w:r w:rsidRPr="00D704A1">
        <w:rPr>
          <w:sz w:val="22"/>
        </w:rPr>
        <w:t>, Henry R Edwards</w:t>
      </w:r>
      <w:r>
        <w:rPr>
          <w:sz w:val="22"/>
          <w:vertAlign w:val="superscript"/>
        </w:rPr>
        <w:t>1</w:t>
      </w:r>
      <w:r w:rsidRPr="00D704A1">
        <w:rPr>
          <w:sz w:val="22"/>
        </w:rPr>
        <w:t>, Lakshminaray</w:t>
      </w:r>
      <w:bookmarkStart w:id="0" w:name="_GoBack"/>
      <w:bookmarkEnd w:id="0"/>
      <w:r w:rsidRPr="00D704A1">
        <w:rPr>
          <w:sz w:val="22"/>
        </w:rPr>
        <w:t>an R Ranganath</w:t>
      </w:r>
      <w:r>
        <w:rPr>
          <w:sz w:val="22"/>
          <w:vertAlign w:val="superscript"/>
        </w:rPr>
        <w:t>1,2</w:t>
      </w:r>
      <w:r w:rsidRPr="00D704A1">
        <w:rPr>
          <w:sz w:val="22"/>
        </w:rPr>
        <w:t>, George Bou-Gharios</w:t>
      </w:r>
      <w:r>
        <w:rPr>
          <w:sz w:val="22"/>
          <w:vertAlign w:val="superscript"/>
        </w:rPr>
        <w:t>1</w:t>
      </w:r>
      <w:r w:rsidRPr="00D704A1">
        <w:rPr>
          <w:sz w:val="22"/>
        </w:rPr>
        <w:t xml:space="preserve"> &amp; James A Gallagher</w:t>
      </w:r>
      <w:r>
        <w:rPr>
          <w:sz w:val="22"/>
          <w:vertAlign w:val="superscript"/>
        </w:rPr>
        <w:t>1</w:t>
      </w:r>
      <w:r w:rsidRPr="00D704A1">
        <w:rPr>
          <w:sz w:val="22"/>
        </w:rPr>
        <w:t>.</w:t>
      </w:r>
    </w:p>
    <w:p w:rsidR="00214FF4" w:rsidRPr="00D704A1" w:rsidRDefault="00214FF4" w:rsidP="00214FF4">
      <w:pPr>
        <w:rPr>
          <w:sz w:val="22"/>
        </w:rPr>
      </w:pPr>
    </w:p>
    <w:p w:rsidR="00214FF4" w:rsidRDefault="00214FF4" w:rsidP="00214FF4">
      <w:pPr>
        <w:rPr>
          <w:sz w:val="18"/>
        </w:rPr>
      </w:pPr>
      <w:r w:rsidRPr="00D704A1">
        <w:rPr>
          <w:sz w:val="18"/>
          <w:vertAlign w:val="superscript"/>
        </w:rPr>
        <w:t>1</w:t>
      </w:r>
      <w:r w:rsidRPr="00D704A1">
        <w:rPr>
          <w:sz w:val="18"/>
        </w:rPr>
        <w:t xml:space="preserve"> Institute of Ageing and Chronic disease, University of Liverpool, Liverpool, L7 8TX, UK. </w:t>
      </w:r>
      <w:r w:rsidRPr="00D704A1">
        <w:rPr>
          <w:sz w:val="18"/>
          <w:vertAlign w:val="superscript"/>
        </w:rPr>
        <w:t>2</w:t>
      </w:r>
      <w:r w:rsidRPr="00D704A1">
        <w:rPr>
          <w:sz w:val="18"/>
        </w:rPr>
        <w:t xml:space="preserve"> Liverpool Clinical Laboratories, Department of Clinical Biochemistry and Metabolic Medicine, Royal Liverpool and Broadgreen University Hospitals Trust, Liverpool, L7 8XP, UK</w:t>
      </w:r>
    </w:p>
    <w:p w:rsidR="00214FF4" w:rsidRDefault="00214FF4" w:rsidP="00722685">
      <w:pPr>
        <w:pStyle w:val="NoSpacing"/>
      </w:pPr>
    </w:p>
    <w:p w:rsidR="00214FF4" w:rsidRDefault="00214FF4" w:rsidP="00722685">
      <w:pPr>
        <w:pStyle w:val="NoSpacing"/>
      </w:pPr>
    </w:p>
    <w:p w:rsidR="00214FF4" w:rsidRDefault="00214FF4" w:rsidP="00214FF4">
      <w:pPr>
        <w:jc w:val="both"/>
        <w:rPr>
          <w:sz w:val="22"/>
        </w:rPr>
      </w:pPr>
      <w:r w:rsidRPr="00D704A1">
        <w:rPr>
          <w:sz w:val="22"/>
        </w:rPr>
        <w:t>Musculoskeletal disease is often related to tissue damage from mechanical loading or “wear and tear”. Currently there are no good experimental models predicting early tissues changes in r</w:t>
      </w:r>
      <w:r>
        <w:rPr>
          <w:sz w:val="22"/>
        </w:rPr>
        <w:t>esponse to mechanical damage. Alkaptonuria (AKU) is an</w:t>
      </w:r>
      <w:r w:rsidRPr="00D704A1">
        <w:rPr>
          <w:sz w:val="22"/>
        </w:rPr>
        <w:t xml:space="preserve"> ultra-rare disease </w:t>
      </w:r>
      <w:r>
        <w:rPr>
          <w:sz w:val="22"/>
        </w:rPr>
        <w:t xml:space="preserve">where </w:t>
      </w:r>
      <w:r w:rsidRPr="00D704A1">
        <w:rPr>
          <w:sz w:val="22"/>
        </w:rPr>
        <w:t>there is failure to metabolise homogentisic acid</w:t>
      </w:r>
      <w:r>
        <w:rPr>
          <w:sz w:val="22"/>
        </w:rPr>
        <w:t xml:space="preserve"> (HGA), which is characteristically elevated in the blood, despite urinary excretion. Over time HGA is </w:t>
      </w:r>
      <w:r w:rsidRPr="00D704A1">
        <w:rPr>
          <w:sz w:val="22"/>
        </w:rPr>
        <w:t>deposited as ochronotic pigment in connective tissues leading to musculoskeletal disorders including tendon ruptures, heart valve stenosis and severe osteoarthritis. Here, the anatomical distribution of ochronotic pigment was investigated in AKU mice to determine potential factors initi</w:t>
      </w:r>
      <w:r>
        <w:rPr>
          <w:sz w:val="22"/>
        </w:rPr>
        <w:t xml:space="preserve">ating </w:t>
      </w:r>
      <w:proofErr w:type="spellStart"/>
      <w:r w:rsidRPr="00D704A1">
        <w:rPr>
          <w:sz w:val="22"/>
        </w:rPr>
        <w:t>ochronosis</w:t>
      </w:r>
      <w:proofErr w:type="spellEnd"/>
      <w:r w:rsidRPr="00D704A1">
        <w:rPr>
          <w:sz w:val="22"/>
        </w:rPr>
        <w:t>.</w:t>
      </w:r>
      <w:r>
        <w:rPr>
          <w:sz w:val="22"/>
        </w:rPr>
        <w:t xml:space="preserve"> </w:t>
      </w:r>
    </w:p>
    <w:p w:rsidR="00214FF4" w:rsidRDefault="00214FF4" w:rsidP="00214FF4">
      <w:pPr>
        <w:jc w:val="both"/>
        <w:rPr>
          <w:sz w:val="22"/>
        </w:rPr>
      </w:pPr>
    </w:p>
    <w:p w:rsidR="00214FF4" w:rsidRDefault="00214FF4" w:rsidP="00214FF4">
      <w:pPr>
        <w:jc w:val="both"/>
        <w:rPr>
          <w:sz w:val="22"/>
        </w:rPr>
      </w:pPr>
      <w:r>
        <w:rPr>
          <w:sz w:val="22"/>
        </w:rPr>
        <w:t>Formalin-fixed, p</w:t>
      </w:r>
      <w:r w:rsidRPr="00D704A1">
        <w:rPr>
          <w:sz w:val="22"/>
        </w:rPr>
        <w:t>araffin sections</w:t>
      </w:r>
      <w:r>
        <w:rPr>
          <w:sz w:val="22"/>
        </w:rPr>
        <w:t xml:space="preserve"> from AKU mice </w:t>
      </w:r>
      <w:r w:rsidRPr="00D704A1">
        <w:rPr>
          <w:sz w:val="22"/>
        </w:rPr>
        <w:t>(</w:t>
      </w:r>
      <w:proofErr w:type="spellStart"/>
      <w:r w:rsidRPr="003C7817">
        <w:rPr>
          <w:i/>
          <w:sz w:val="22"/>
        </w:rPr>
        <w:t>Hgd</w:t>
      </w:r>
      <w:proofErr w:type="spellEnd"/>
      <w:r w:rsidRPr="003C7817">
        <w:rPr>
          <w:i/>
          <w:sz w:val="22"/>
        </w:rPr>
        <w:t xml:space="preserve"> tm1a -/-</w:t>
      </w:r>
      <w:r w:rsidRPr="00824D16">
        <w:rPr>
          <w:sz w:val="22"/>
        </w:rPr>
        <w:t>)</w:t>
      </w:r>
      <w:r>
        <w:rPr>
          <w:sz w:val="22"/>
        </w:rPr>
        <w:t xml:space="preserve"> were stained with </w:t>
      </w:r>
      <w:proofErr w:type="spellStart"/>
      <w:r w:rsidRPr="00D704A1">
        <w:rPr>
          <w:sz w:val="22"/>
        </w:rPr>
        <w:t>Schmorl’s</w:t>
      </w:r>
      <w:proofErr w:type="spellEnd"/>
      <w:r w:rsidRPr="00D704A1">
        <w:rPr>
          <w:sz w:val="22"/>
        </w:rPr>
        <w:t xml:space="preserve"> stain to detect </w:t>
      </w:r>
      <w:r>
        <w:rPr>
          <w:sz w:val="22"/>
        </w:rPr>
        <w:t xml:space="preserve">ochronotic </w:t>
      </w:r>
      <w:r w:rsidRPr="00D704A1">
        <w:rPr>
          <w:sz w:val="22"/>
        </w:rPr>
        <w:t>pigmentation</w:t>
      </w:r>
      <w:r>
        <w:rPr>
          <w:sz w:val="22"/>
        </w:rPr>
        <w:t xml:space="preserve">. Within large weight bearing joints (knee, hip, shoulder, elbow), pigmentation was identified within the calcified articular cartilage (CAC). In the knee joint, pigmentation was also observed in the fibrocartilaginous calcified meniscus. Quantification of pigmented </w:t>
      </w:r>
      <w:proofErr w:type="spellStart"/>
      <w:r>
        <w:rPr>
          <w:sz w:val="22"/>
        </w:rPr>
        <w:t>chondrons</w:t>
      </w:r>
      <w:proofErr w:type="spellEnd"/>
      <w:r>
        <w:rPr>
          <w:sz w:val="22"/>
        </w:rPr>
        <w:t xml:space="preserve"> in the CAC </w:t>
      </w:r>
      <w:r w:rsidRPr="00D704A1">
        <w:rPr>
          <w:sz w:val="22"/>
        </w:rPr>
        <w:t xml:space="preserve">in representative </w:t>
      </w:r>
      <w:r>
        <w:rPr>
          <w:sz w:val="22"/>
        </w:rPr>
        <w:t>knee joint sections</w:t>
      </w:r>
      <w:r w:rsidRPr="00D704A1">
        <w:rPr>
          <w:sz w:val="22"/>
        </w:rPr>
        <w:t xml:space="preserve"> of mice aged 7-52 weeks</w:t>
      </w:r>
      <w:r>
        <w:rPr>
          <w:sz w:val="22"/>
        </w:rPr>
        <w:t xml:space="preserve"> shows that pigmentation initiates at 9 weeks and progresses linearly with age. </w:t>
      </w:r>
      <w:r w:rsidRPr="00D704A1">
        <w:rPr>
          <w:sz w:val="22"/>
        </w:rPr>
        <w:t xml:space="preserve">In the vertebral column, pigmentation was found in </w:t>
      </w:r>
      <w:r>
        <w:rPr>
          <w:sz w:val="22"/>
        </w:rPr>
        <w:t xml:space="preserve">the calcified </w:t>
      </w:r>
      <w:r w:rsidRPr="00D704A1">
        <w:rPr>
          <w:sz w:val="22"/>
        </w:rPr>
        <w:t>vertebral endplates, but not in bone nor disc</w:t>
      </w:r>
      <w:r>
        <w:rPr>
          <w:sz w:val="22"/>
        </w:rPr>
        <w:t xml:space="preserve"> (non-calcified fibrocartilage)</w:t>
      </w:r>
      <w:r w:rsidRPr="00D704A1">
        <w:rPr>
          <w:sz w:val="22"/>
        </w:rPr>
        <w:t>. A striking observation was the significantly greater number (mean</w:t>
      </w:r>
      <w:r>
        <w:rPr>
          <w:sz w:val="22"/>
        </w:rPr>
        <w:t xml:space="preserve"> </w:t>
      </w:r>
      <w:r w:rsidRPr="00D704A1">
        <w:rPr>
          <w:rFonts w:cstheme="minorHAnsi"/>
          <w:sz w:val="22"/>
        </w:rPr>
        <w:t>±SEM</w:t>
      </w:r>
      <w:r>
        <w:rPr>
          <w:rFonts w:cstheme="minorHAnsi"/>
          <w:sz w:val="22"/>
        </w:rPr>
        <w:t>; n=5 sections</w:t>
      </w:r>
      <w:r w:rsidRPr="00D704A1">
        <w:rPr>
          <w:rFonts w:cstheme="minorHAnsi"/>
          <w:sz w:val="22"/>
        </w:rPr>
        <w:t xml:space="preserve">) </w:t>
      </w:r>
      <w:r w:rsidRPr="00D704A1">
        <w:rPr>
          <w:sz w:val="22"/>
        </w:rPr>
        <w:t xml:space="preserve">of pigmented </w:t>
      </w:r>
      <w:proofErr w:type="spellStart"/>
      <w:r w:rsidRPr="00D704A1">
        <w:rPr>
          <w:sz w:val="22"/>
        </w:rPr>
        <w:t>chondrons</w:t>
      </w:r>
      <w:proofErr w:type="spellEnd"/>
      <w:r>
        <w:rPr>
          <w:sz w:val="22"/>
        </w:rPr>
        <w:t xml:space="preserve"> in the endplates of the L2 intervertebral disc (IVD)(48.4 </w:t>
      </w:r>
      <w:r>
        <w:rPr>
          <w:rFonts w:cstheme="minorHAnsi"/>
          <w:sz w:val="22"/>
        </w:rPr>
        <w:t>±4.5</w:t>
      </w:r>
      <w:r w:rsidRPr="00D704A1">
        <w:rPr>
          <w:sz w:val="22"/>
        </w:rPr>
        <w:t xml:space="preserve">) compared </w:t>
      </w:r>
      <w:r>
        <w:rPr>
          <w:sz w:val="22"/>
        </w:rPr>
        <w:t>with an IVD from the base of the tail</w:t>
      </w:r>
      <w:r w:rsidRPr="00D704A1">
        <w:rPr>
          <w:sz w:val="22"/>
        </w:rPr>
        <w:t xml:space="preserve"> (</w:t>
      </w:r>
      <w:r>
        <w:rPr>
          <w:sz w:val="22"/>
        </w:rPr>
        <w:t xml:space="preserve">2.2 </w:t>
      </w:r>
      <w:r w:rsidRPr="00D704A1">
        <w:rPr>
          <w:rFonts w:cstheme="minorHAnsi"/>
          <w:sz w:val="22"/>
        </w:rPr>
        <w:t>±</w:t>
      </w:r>
      <w:r>
        <w:rPr>
          <w:sz w:val="22"/>
        </w:rPr>
        <w:t>0.6</w:t>
      </w:r>
      <w:r w:rsidRPr="00D704A1">
        <w:rPr>
          <w:sz w:val="22"/>
        </w:rPr>
        <w:t>)</w:t>
      </w:r>
      <w:r>
        <w:rPr>
          <w:sz w:val="22"/>
        </w:rPr>
        <w:t>(p=0.002</w:t>
      </w:r>
      <w:r w:rsidRPr="00D704A1">
        <w:rPr>
          <w:sz w:val="22"/>
        </w:rPr>
        <w:t>)</w:t>
      </w:r>
      <w:r>
        <w:rPr>
          <w:sz w:val="22"/>
        </w:rPr>
        <w:t>, reflecting greater loading in the lumbar region</w:t>
      </w:r>
      <w:r w:rsidRPr="00D704A1">
        <w:rPr>
          <w:sz w:val="22"/>
        </w:rPr>
        <w:t>.</w:t>
      </w:r>
      <w:r>
        <w:rPr>
          <w:sz w:val="22"/>
        </w:rPr>
        <w:t xml:space="preserve"> In addition, clusters of pigmented </w:t>
      </w:r>
      <w:proofErr w:type="spellStart"/>
      <w:r>
        <w:rPr>
          <w:sz w:val="22"/>
        </w:rPr>
        <w:t>chondrons</w:t>
      </w:r>
      <w:proofErr w:type="spellEnd"/>
      <w:r>
        <w:rPr>
          <w:sz w:val="22"/>
        </w:rPr>
        <w:t xml:space="preserve"> were observed in areas of greater tensile stress, such as the i</w:t>
      </w:r>
      <w:r w:rsidRPr="00D704A1">
        <w:rPr>
          <w:sz w:val="22"/>
        </w:rPr>
        <w:t xml:space="preserve">nsertions of tendons and ligaments, </w:t>
      </w:r>
      <w:r>
        <w:rPr>
          <w:sz w:val="22"/>
        </w:rPr>
        <w:t>including</w:t>
      </w:r>
      <w:r w:rsidRPr="00D704A1">
        <w:rPr>
          <w:sz w:val="22"/>
        </w:rPr>
        <w:t xml:space="preserve"> the Achilles tendon on the calcaneus and the </w:t>
      </w:r>
      <w:proofErr w:type="spellStart"/>
      <w:r w:rsidRPr="00D704A1">
        <w:rPr>
          <w:sz w:val="22"/>
        </w:rPr>
        <w:t>cruciates</w:t>
      </w:r>
      <w:proofErr w:type="spellEnd"/>
      <w:r w:rsidRPr="00D704A1">
        <w:rPr>
          <w:sz w:val="22"/>
        </w:rPr>
        <w:t xml:space="preserve"> on the tibia/femur</w:t>
      </w:r>
      <w:r>
        <w:rPr>
          <w:sz w:val="22"/>
        </w:rPr>
        <w:t xml:space="preserve">. </w:t>
      </w:r>
      <w:r w:rsidRPr="00D704A1">
        <w:rPr>
          <w:sz w:val="22"/>
        </w:rPr>
        <w:t>No pigmentation was observed in the eye, ear, liver, kidney nor notably the heart valves.</w:t>
      </w:r>
    </w:p>
    <w:p w:rsidR="00214FF4" w:rsidRDefault="00214FF4" w:rsidP="00214FF4">
      <w:pPr>
        <w:jc w:val="both"/>
        <w:rPr>
          <w:sz w:val="22"/>
        </w:rPr>
      </w:pPr>
    </w:p>
    <w:p w:rsidR="00214FF4" w:rsidRPr="00D704A1" w:rsidRDefault="00214FF4" w:rsidP="00214FF4">
      <w:pPr>
        <w:jc w:val="both"/>
        <w:rPr>
          <w:sz w:val="22"/>
        </w:rPr>
      </w:pPr>
      <w:r w:rsidRPr="00D704A1">
        <w:rPr>
          <w:sz w:val="22"/>
        </w:rPr>
        <w:t xml:space="preserve">Anatomically, the initial sites of </w:t>
      </w:r>
      <w:proofErr w:type="spellStart"/>
      <w:r w:rsidRPr="00D704A1">
        <w:rPr>
          <w:sz w:val="22"/>
        </w:rPr>
        <w:t>ochronosis</w:t>
      </w:r>
      <w:proofErr w:type="spellEnd"/>
      <w:r w:rsidRPr="00D704A1">
        <w:rPr>
          <w:sz w:val="22"/>
        </w:rPr>
        <w:t xml:space="preserve"> are in tissues subjected to the most mechanical loading, such as </w:t>
      </w:r>
      <w:r>
        <w:rPr>
          <w:sz w:val="22"/>
        </w:rPr>
        <w:t>CAC</w:t>
      </w:r>
      <w:r w:rsidRPr="00D704A1">
        <w:rPr>
          <w:sz w:val="22"/>
        </w:rPr>
        <w:t xml:space="preserve"> in weight-bearing joints.</w:t>
      </w:r>
      <w:r>
        <w:rPr>
          <w:sz w:val="22"/>
        </w:rPr>
        <w:t xml:space="preserve"> Interestingly, calcified tissue appears more susceptible to early pigmentation. In addition, greater</w:t>
      </w:r>
      <w:r w:rsidRPr="00D704A1">
        <w:rPr>
          <w:sz w:val="22"/>
        </w:rPr>
        <w:t xml:space="preserve"> stres</w:t>
      </w:r>
      <w:r>
        <w:rPr>
          <w:sz w:val="22"/>
        </w:rPr>
        <w:t>s appears</w:t>
      </w:r>
      <w:r w:rsidRPr="00D704A1">
        <w:rPr>
          <w:sz w:val="22"/>
        </w:rPr>
        <w:t xml:space="preserve"> to lead to increased pigmentation; in effect HGA behaves like an endogenous marker of repetitive load-induced matrix damage.</w:t>
      </w:r>
    </w:p>
    <w:p w:rsidR="00214FF4" w:rsidRDefault="00214FF4" w:rsidP="00214FF4"/>
    <w:p w:rsidR="00214FF4" w:rsidRPr="00824D16" w:rsidRDefault="00214FF4" w:rsidP="00214FF4">
      <w:pPr>
        <w:rPr>
          <w:sz w:val="18"/>
        </w:rPr>
      </w:pPr>
      <w:r w:rsidRPr="00824D16">
        <w:rPr>
          <w:sz w:val="18"/>
        </w:rPr>
        <w:t>Ethics statement: All animals were house and maintained under UK Home Office guidelines.</w:t>
      </w:r>
    </w:p>
    <w:p w:rsidR="00214FF4" w:rsidRDefault="00214FF4" w:rsidP="00722685">
      <w:pPr>
        <w:pStyle w:val="NoSpacing"/>
      </w:pPr>
    </w:p>
    <w:p w:rsidR="00214FF4" w:rsidRDefault="00214FF4" w:rsidP="00722685">
      <w:pPr>
        <w:pStyle w:val="NoSpacing"/>
      </w:pPr>
    </w:p>
    <w:sectPr w:rsidR="00214F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FF4"/>
    <w:rsid w:val="000F3143"/>
    <w:rsid w:val="00214FF4"/>
    <w:rsid w:val="00722685"/>
    <w:rsid w:val="00971F84"/>
    <w:rsid w:val="00CF7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43180"/>
  <w15:chartTrackingRefBased/>
  <w15:docId w15:val="{8343F1F8-616D-40A4-8948-E9E84A2F9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FF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2629</Characters>
  <Application>Microsoft Office Word</Application>
  <DocSecurity>0</DocSecurity>
  <Lines>21</Lines>
  <Paragraphs>6</Paragraphs>
  <ScaleCrop>false</ScaleCrop>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Hughes</dc:creator>
  <cp:keywords/>
  <dc:description/>
  <cp:lastModifiedBy>Juliette Hughes</cp:lastModifiedBy>
  <cp:revision>1</cp:revision>
  <dcterms:created xsi:type="dcterms:W3CDTF">2021-02-12T11:06:00Z</dcterms:created>
  <dcterms:modified xsi:type="dcterms:W3CDTF">2021-02-12T11:07:00Z</dcterms:modified>
</cp:coreProperties>
</file>