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27B28" w14:textId="0914EE7E" w:rsidR="00276B3A" w:rsidRPr="00AC5477" w:rsidRDefault="00276B3A" w:rsidP="00962631">
      <w:pPr>
        <w:spacing w:line="360" w:lineRule="auto"/>
        <w:rPr>
          <w:rFonts w:asciiTheme="minorHAnsi" w:hAnsiTheme="minorHAnsi" w:cstheme="minorHAnsi"/>
          <w:b/>
          <w:sz w:val="28"/>
          <w:szCs w:val="28"/>
        </w:rPr>
      </w:pPr>
      <w:bookmarkStart w:id="0" w:name="_GoBack"/>
      <w:bookmarkEnd w:id="0"/>
      <w:r w:rsidRPr="00AC5477">
        <w:rPr>
          <w:rFonts w:asciiTheme="minorHAnsi" w:hAnsiTheme="minorHAnsi" w:cstheme="minorHAnsi"/>
          <w:b/>
          <w:sz w:val="28"/>
          <w:szCs w:val="28"/>
        </w:rPr>
        <w:t xml:space="preserve">The role of disciplinary cases in effecting changes to professional ethical guidance: a case study of informed consent </w:t>
      </w:r>
      <w:r w:rsidR="00CF68D7" w:rsidRPr="00AC5477">
        <w:rPr>
          <w:rFonts w:asciiTheme="minorHAnsi" w:hAnsiTheme="minorHAnsi" w:cstheme="minorHAnsi"/>
          <w:b/>
          <w:sz w:val="28"/>
          <w:szCs w:val="28"/>
        </w:rPr>
        <w:t>and</w:t>
      </w:r>
      <w:r w:rsidRPr="00AC5477">
        <w:rPr>
          <w:rFonts w:asciiTheme="minorHAnsi" w:hAnsiTheme="minorHAnsi" w:cstheme="minorHAnsi"/>
          <w:b/>
          <w:sz w:val="28"/>
          <w:szCs w:val="28"/>
        </w:rPr>
        <w:t xml:space="preserve"> the veterinary profession</w:t>
      </w:r>
    </w:p>
    <w:p w14:paraId="485407D7" w14:textId="32E373CB" w:rsidR="00962631" w:rsidRDefault="00962631" w:rsidP="00962631">
      <w:pPr>
        <w:spacing w:line="360" w:lineRule="auto"/>
        <w:rPr>
          <w:rFonts w:asciiTheme="minorHAnsi" w:hAnsiTheme="minorHAnsi" w:cstheme="minorHAnsi"/>
        </w:rPr>
      </w:pPr>
    </w:p>
    <w:p w14:paraId="5ADDFC06" w14:textId="0A551885" w:rsidR="00EE4A38" w:rsidRPr="004F67B4" w:rsidRDefault="00EE4A38" w:rsidP="00962631">
      <w:pPr>
        <w:spacing w:line="360" w:lineRule="auto"/>
        <w:rPr>
          <w:rFonts w:asciiTheme="minorHAnsi" w:hAnsiTheme="minorHAnsi" w:cstheme="minorHAnsi"/>
          <w:b/>
          <w:bCs/>
          <w:sz w:val="28"/>
          <w:szCs w:val="28"/>
        </w:rPr>
      </w:pPr>
      <w:r w:rsidRPr="004F67B4">
        <w:rPr>
          <w:rFonts w:asciiTheme="minorHAnsi" w:hAnsiTheme="minorHAnsi" w:cstheme="minorHAnsi"/>
          <w:b/>
          <w:bCs/>
          <w:sz w:val="28"/>
          <w:szCs w:val="28"/>
        </w:rPr>
        <w:t>Article Summary</w:t>
      </w:r>
    </w:p>
    <w:p w14:paraId="36C23247" w14:textId="33405660" w:rsidR="00EE4A38" w:rsidRPr="00EE4A38" w:rsidRDefault="00EE4A38" w:rsidP="00EE4A38">
      <w:pPr>
        <w:spacing w:line="360" w:lineRule="auto"/>
        <w:rPr>
          <w:rFonts w:asciiTheme="minorHAnsi" w:hAnsiTheme="minorHAnsi" w:cstheme="minorHAnsi"/>
        </w:rPr>
      </w:pPr>
      <w:r w:rsidRPr="00EE4A38">
        <w:rPr>
          <w:rFonts w:asciiTheme="minorHAnsi" w:hAnsiTheme="minorHAnsi" w:cstheme="minorHAnsi"/>
        </w:rPr>
        <w:t>Changes to professional ethical guidance are often achieved through a combination of findings from relevant judicial decisions and evidence from concerns and complaints about the profession.</w:t>
      </w:r>
      <w:r w:rsidR="004F67B4">
        <w:rPr>
          <w:rFonts w:asciiTheme="minorHAnsi" w:hAnsiTheme="minorHAnsi" w:cstheme="minorHAnsi"/>
        </w:rPr>
        <w:t xml:space="preserve"> </w:t>
      </w:r>
      <w:r w:rsidRPr="00EE4A38">
        <w:rPr>
          <w:rFonts w:asciiTheme="minorHAnsi" w:hAnsiTheme="minorHAnsi" w:cstheme="minorHAnsi"/>
        </w:rPr>
        <w:t>For the veterinary profession, input from the legal arena is minimal due to the paucity of veterinary negligence case law. Using informed consent as a case study, Royal College of Veterinary Surgeons (RCVS) disciplinary hearings from 2018-2020 were analysed to unpack aspects of consent that led to charges of professional misconduct. Case findings were evaluated to determine their effects on subsequent changes to professional ethical guidance, specifically changes to the RCVS’s ‘Supporting Guidance’ on consent. The Disciplinary Committee interpreted informed consent as a means of protecting the interests of the parties involved, with emphasis on protection of the client’s interests. Case reasoning that focused on protection of the animal patient’s ‘best interests’ could in turn influence professional ethical guidance in regarding these interests as pivotal.</w:t>
      </w:r>
    </w:p>
    <w:p w14:paraId="7D9A4ACE" w14:textId="77777777" w:rsidR="00EE4A38" w:rsidRPr="00EE4A38" w:rsidRDefault="00EE4A38" w:rsidP="00962631">
      <w:pPr>
        <w:spacing w:line="360" w:lineRule="auto"/>
        <w:rPr>
          <w:rFonts w:asciiTheme="minorHAnsi" w:hAnsiTheme="minorHAnsi" w:cstheme="minorHAnsi"/>
        </w:rPr>
      </w:pPr>
    </w:p>
    <w:p w14:paraId="5ABDAF87" w14:textId="06AFF068" w:rsidR="00962631" w:rsidRPr="004F67B4" w:rsidRDefault="00962631" w:rsidP="00962631">
      <w:pPr>
        <w:spacing w:line="360" w:lineRule="auto"/>
        <w:rPr>
          <w:rFonts w:asciiTheme="minorHAnsi" w:hAnsiTheme="minorHAnsi" w:cstheme="minorHAnsi"/>
          <w:b/>
          <w:sz w:val="28"/>
          <w:szCs w:val="28"/>
        </w:rPr>
      </w:pPr>
      <w:r w:rsidRPr="004F67B4">
        <w:rPr>
          <w:rFonts w:asciiTheme="minorHAnsi" w:hAnsiTheme="minorHAnsi" w:cstheme="minorHAnsi"/>
          <w:b/>
          <w:sz w:val="28"/>
          <w:szCs w:val="28"/>
        </w:rPr>
        <w:t>Introduction</w:t>
      </w:r>
    </w:p>
    <w:p w14:paraId="792D0FFC" w14:textId="1FC5B8AC" w:rsidR="00520738" w:rsidRDefault="00680D9A" w:rsidP="00EE1145">
      <w:pPr>
        <w:spacing w:line="360" w:lineRule="auto"/>
        <w:rPr>
          <w:rFonts w:asciiTheme="minorHAnsi" w:hAnsiTheme="minorHAnsi" w:cstheme="minorHAnsi"/>
        </w:rPr>
      </w:pPr>
      <w:r w:rsidRPr="00F72F9B">
        <w:rPr>
          <w:rFonts w:asciiTheme="minorHAnsi" w:hAnsiTheme="minorHAnsi" w:cstheme="minorHAnsi"/>
        </w:rPr>
        <w:t xml:space="preserve">The </w:t>
      </w:r>
      <w:r>
        <w:rPr>
          <w:rFonts w:asciiTheme="minorHAnsi" w:hAnsiTheme="minorHAnsi" w:cstheme="minorHAnsi"/>
        </w:rPr>
        <w:t xml:space="preserve">veterinary profession in the </w:t>
      </w:r>
      <w:r w:rsidRPr="00F72F9B">
        <w:rPr>
          <w:rFonts w:asciiTheme="minorHAnsi" w:hAnsiTheme="minorHAnsi" w:cstheme="minorHAnsi"/>
        </w:rPr>
        <w:t>United Kingdom</w:t>
      </w:r>
      <w:r>
        <w:rPr>
          <w:rFonts w:asciiTheme="minorHAnsi" w:hAnsiTheme="minorHAnsi" w:cstheme="minorHAnsi"/>
        </w:rPr>
        <w:t xml:space="preserve"> (UK) i</w:t>
      </w:r>
      <w:r w:rsidRPr="00F72F9B">
        <w:rPr>
          <w:rFonts w:asciiTheme="minorHAnsi" w:hAnsiTheme="minorHAnsi" w:cstheme="minorHAnsi"/>
        </w:rPr>
        <w:t>s regulat</w:t>
      </w:r>
      <w:r>
        <w:rPr>
          <w:rFonts w:asciiTheme="minorHAnsi" w:hAnsiTheme="minorHAnsi" w:cstheme="minorHAnsi"/>
        </w:rPr>
        <w:t>ed by</w:t>
      </w:r>
      <w:r w:rsidRPr="00F72F9B">
        <w:rPr>
          <w:rFonts w:asciiTheme="minorHAnsi" w:hAnsiTheme="minorHAnsi" w:cstheme="minorHAnsi"/>
        </w:rPr>
        <w:t xml:space="preserve"> the Royal College of Veterinary Surgeons (RCVS)</w:t>
      </w:r>
      <w:r>
        <w:rPr>
          <w:rFonts w:asciiTheme="minorHAnsi" w:hAnsiTheme="minorHAnsi" w:cstheme="minorHAnsi"/>
        </w:rPr>
        <w:t xml:space="preserve"> which</w:t>
      </w:r>
      <w:r w:rsidR="000C0970">
        <w:rPr>
          <w:rFonts w:asciiTheme="minorHAnsi" w:hAnsiTheme="minorHAnsi" w:cstheme="minorHAnsi"/>
        </w:rPr>
        <w:t>,</w:t>
      </w:r>
      <w:r w:rsidRPr="00F72F9B">
        <w:rPr>
          <w:rFonts w:asciiTheme="minorHAnsi" w:hAnsiTheme="minorHAnsi" w:cstheme="minorHAnsi"/>
        </w:rPr>
        <w:t xml:space="preserve"> </w:t>
      </w:r>
      <w:r w:rsidR="000C0970">
        <w:rPr>
          <w:rFonts w:asciiTheme="minorHAnsi" w:hAnsiTheme="minorHAnsi" w:cstheme="minorHAnsi"/>
        </w:rPr>
        <w:t>as a statutory regulator, is responsible for “</w:t>
      </w:r>
      <w:r w:rsidR="000C0970" w:rsidRPr="00EC4813">
        <w:rPr>
          <w:rFonts w:asciiTheme="minorHAnsi" w:hAnsiTheme="minorHAnsi" w:cstheme="minorHAnsi"/>
          <w:i/>
          <w:iCs/>
        </w:rPr>
        <w:t>keeping the register of veterinary surgeons eligible to practise in the UK, setting standards for veterinary education and regulating the professional conduct of veterinary surgeons</w:t>
      </w:r>
      <w:r w:rsidR="000C0970" w:rsidRPr="000C0970">
        <w:rPr>
          <w:rFonts w:asciiTheme="minorHAnsi" w:hAnsiTheme="minorHAnsi" w:cstheme="minorHAnsi"/>
        </w:rPr>
        <w:t>.</w:t>
      </w:r>
      <w:r w:rsidR="000C0970">
        <w:rPr>
          <w:rFonts w:asciiTheme="minorHAnsi" w:hAnsiTheme="minorHAnsi" w:cstheme="minorHAnsi"/>
        </w:rPr>
        <w:t>”</w:t>
      </w:r>
      <w:r w:rsidR="000C0970">
        <w:rPr>
          <w:rStyle w:val="FootnoteReference"/>
          <w:rFonts w:cstheme="minorHAnsi"/>
        </w:rPr>
        <w:footnoteReference w:id="1"/>
      </w:r>
      <w:r w:rsidR="00276B3A">
        <w:rPr>
          <w:rFonts w:asciiTheme="minorHAnsi" w:hAnsiTheme="minorHAnsi" w:cstheme="minorHAnsi"/>
        </w:rPr>
        <w:t xml:space="preserve"> </w:t>
      </w:r>
      <w:r w:rsidR="00DC7472">
        <w:rPr>
          <w:rFonts w:asciiTheme="minorHAnsi" w:hAnsiTheme="minorHAnsi" w:cstheme="minorHAnsi"/>
        </w:rPr>
        <w:t>As a result, the profession remains “</w:t>
      </w:r>
      <w:r w:rsidR="00DC7472" w:rsidRPr="00EC4813">
        <w:rPr>
          <w:rFonts w:asciiTheme="minorHAnsi" w:hAnsiTheme="minorHAnsi" w:cstheme="minorHAnsi"/>
          <w:i/>
          <w:iCs/>
        </w:rPr>
        <w:t>heavily self-regulated and  largely untouched by judicial scrutiny.</w:t>
      </w:r>
      <w:r w:rsidR="00DC7472" w:rsidRPr="00DC7472">
        <w:rPr>
          <w:rFonts w:asciiTheme="minorHAnsi" w:hAnsiTheme="minorHAnsi" w:cstheme="minorHAnsi"/>
        </w:rPr>
        <w:t>”</w:t>
      </w:r>
      <w:r w:rsidR="00DC7472" w:rsidRPr="00EC4813">
        <w:rPr>
          <w:rStyle w:val="FootnoteReference"/>
          <w:rFonts w:cstheme="minorHAnsi"/>
        </w:rPr>
        <w:footnoteReference w:id="2"/>
      </w:r>
      <w:r w:rsidR="00DC7472">
        <w:rPr>
          <w:rFonts w:asciiTheme="minorHAnsi" w:hAnsiTheme="minorHAnsi" w:cstheme="minorHAnsi"/>
        </w:rPr>
        <w:t xml:space="preserve"> </w:t>
      </w:r>
      <w:r w:rsidR="00DC7472" w:rsidRPr="00F72F9B">
        <w:rPr>
          <w:rFonts w:asciiTheme="minorHAnsi" w:hAnsiTheme="minorHAnsi" w:cstheme="minorHAnsi"/>
        </w:rPr>
        <w:t xml:space="preserve">The </w:t>
      </w:r>
      <w:r w:rsidR="00987ABD">
        <w:rPr>
          <w:rFonts w:asciiTheme="minorHAnsi" w:hAnsiTheme="minorHAnsi" w:cstheme="minorHAnsi"/>
        </w:rPr>
        <w:t xml:space="preserve">latter can be ascribed to the </w:t>
      </w:r>
      <w:r w:rsidR="00BA1AFD">
        <w:rPr>
          <w:rFonts w:asciiTheme="minorHAnsi" w:hAnsiTheme="minorHAnsi" w:cstheme="minorHAnsi"/>
        </w:rPr>
        <w:t>to</w:t>
      </w:r>
      <w:r w:rsidR="00DC1153">
        <w:rPr>
          <w:rFonts w:asciiTheme="minorHAnsi" w:hAnsiTheme="minorHAnsi" w:cstheme="minorHAnsi"/>
        </w:rPr>
        <w:t xml:space="preserve"> the animal’</w:t>
      </w:r>
      <w:r w:rsidR="00DC7472" w:rsidRPr="00F72F9B">
        <w:rPr>
          <w:rFonts w:asciiTheme="minorHAnsi" w:hAnsiTheme="minorHAnsi" w:cstheme="minorHAnsi"/>
        </w:rPr>
        <w:t xml:space="preserve">s </w:t>
      </w:r>
      <w:r w:rsidR="00DC1153">
        <w:rPr>
          <w:rFonts w:asciiTheme="minorHAnsi" w:hAnsiTheme="minorHAnsi" w:cstheme="minorHAnsi"/>
        </w:rPr>
        <w:t xml:space="preserve">legal status as property, </w:t>
      </w:r>
      <w:r w:rsidR="00987ABD">
        <w:rPr>
          <w:rFonts w:asciiTheme="minorHAnsi" w:hAnsiTheme="minorHAnsi" w:cstheme="minorHAnsi"/>
        </w:rPr>
        <w:t xml:space="preserve">which </w:t>
      </w:r>
      <w:r w:rsidR="00DC7472" w:rsidRPr="00F72F9B">
        <w:rPr>
          <w:rFonts w:asciiTheme="minorHAnsi" w:hAnsiTheme="minorHAnsi" w:cstheme="minorHAnsi"/>
        </w:rPr>
        <w:t>limit</w:t>
      </w:r>
      <w:r w:rsidR="00BA1AFD">
        <w:rPr>
          <w:rFonts w:asciiTheme="minorHAnsi" w:hAnsiTheme="minorHAnsi" w:cstheme="minorHAnsi"/>
        </w:rPr>
        <w:t>s</w:t>
      </w:r>
      <w:r w:rsidR="00336DC8">
        <w:rPr>
          <w:rFonts w:asciiTheme="minorHAnsi" w:hAnsiTheme="minorHAnsi" w:cstheme="minorHAnsi"/>
        </w:rPr>
        <w:t xml:space="preserve"> the</w:t>
      </w:r>
      <w:r w:rsidR="00DC7472" w:rsidRPr="00F72F9B">
        <w:rPr>
          <w:rFonts w:asciiTheme="minorHAnsi" w:hAnsiTheme="minorHAnsi" w:cstheme="minorHAnsi"/>
        </w:rPr>
        <w:t xml:space="preserve"> damages awarded in c</w:t>
      </w:r>
      <w:r w:rsidR="00987ABD">
        <w:rPr>
          <w:rFonts w:asciiTheme="minorHAnsi" w:hAnsiTheme="minorHAnsi" w:cstheme="minorHAnsi"/>
        </w:rPr>
        <w:t>laims</w:t>
      </w:r>
      <w:r w:rsidR="00DC7472" w:rsidRPr="00F72F9B">
        <w:rPr>
          <w:rFonts w:asciiTheme="minorHAnsi" w:hAnsiTheme="minorHAnsi" w:cstheme="minorHAnsi"/>
        </w:rPr>
        <w:t xml:space="preserve"> of negligence</w:t>
      </w:r>
      <w:r w:rsidR="00C729BB">
        <w:rPr>
          <w:rFonts w:asciiTheme="minorHAnsi" w:hAnsiTheme="minorHAnsi" w:cstheme="minorHAnsi"/>
        </w:rPr>
        <w:t xml:space="preserve"> to the market value of the animal concerned</w:t>
      </w:r>
      <w:r w:rsidR="00BA1AFD">
        <w:rPr>
          <w:rFonts w:asciiTheme="minorHAnsi" w:hAnsiTheme="minorHAnsi" w:cstheme="minorHAnsi"/>
        </w:rPr>
        <w:t>. The</w:t>
      </w:r>
      <w:r w:rsidR="00BA1AFD" w:rsidRPr="00BA1AFD">
        <w:rPr>
          <w:rFonts w:asciiTheme="minorHAnsi" w:hAnsiTheme="minorHAnsi" w:cstheme="minorHAnsi"/>
        </w:rPr>
        <w:t xml:space="preserve"> </w:t>
      </w:r>
      <w:r w:rsidR="00BA1AFD" w:rsidRPr="00F72F9B">
        <w:rPr>
          <w:rFonts w:asciiTheme="minorHAnsi" w:hAnsiTheme="minorHAnsi" w:cstheme="minorHAnsi"/>
        </w:rPr>
        <w:t xml:space="preserve">relatively low financial value of </w:t>
      </w:r>
      <w:r w:rsidR="00BA1AFD">
        <w:rPr>
          <w:rFonts w:asciiTheme="minorHAnsi" w:hAnsiTheme="minorHAnsi" w:cstheme="minorHAnsi"/>
        </w:rPr>
        <w:t>most</w:t>
      </w:r>
      <w:r w:rsidR="00BA1AFD" w:rsidRPr="00F72F9B">
        <w:rPr>
          <w:rFonts w:asciiTheme="minorHAnsi" w:hAnsiTheme="minorHAnsi" w:cstheme="minorHAnsi"/>
        </w:rPr>
        <w:t xml:space="preserve"> animal patient</w:t>
      </w:r>
      <w:r w:rsidR="00BA1AFD">
        <w:rPr>
          <w:rFonts w:asciiTheme="minorHAnsi" w:hAnsiTheme="minorHAnsi" w:cstheme="minorHAnsi"/>
        </w:rPr>
        <w:t>s leads to</w:t>
      </w:r>
      <w:r w:rsidR="00DC7472" w:rsidRPr="00F72F9B">
        <w:rPr>
          <w:rFonts w:asciiTheme="minorHAnsi" w:hAnsiTheme="minorHAnsi" w:cstheme="minorHAnsi"/>
        </w:rPr>
        <w:t xml:space="preserve"> </w:t>
      </w:r>
      <w:r w:rsidR="00DC1153">
        <w:rPr>
          <w:rFonts w:asciiTheme="minorHAnsi" w:hAnsiTheme="minorHAnsi" w:cstheme="minorHAnsi"/>
        </w:rPr>
        <w:t>many</w:t>
      </w:r>
      <w:r w:rsidR="00DC7472" w:rsidRPr="00F72F9B">
        <w:rPr>
          <w:rFonts w:asciiTheme="minorHAnsi" w:hAnsiTheme="minorHAnsi" w:cstheme="minorHAnsi"/>
        </w:rPr>
        <w:t xml:space="preserve"> animal owners</w:t>
      </w:r>
      <w:r w:rsidR="00BA1AFD">
        <w:rPr>
          <w:rFonts w:asciiTheme="minorHAnsi" w:hAnsiTheme="minorHAnsi" w:cstheme="minorHAnsi"/>
        </w:rPr>
        <w:t xml:space="preserve"> being</w:t>
      </w:r>
      <w:r w:rsidR="00DC7472">
        <w:rPr>
          <w:rFonts w:asciiTheme="minorHAnsi" w:hAnsiTheme="minorHAnsi" w:cstheme="minorHAnsi"/>
        </w:rPr>
        <w:t xml:space="preserve"> reluctant</w:t>
      </w:r>
      <w:r w:rsidR="00DC7472" w:rsidRPr="00F72F9B">
        <w:rPr>
          <w:rFonts w:asciiTheme="minorHAnsi" w:hAnsiTheme="minorHAnsi" w:cstheme="minorHAnsi"/>
        </w:rPr>
        <w:t xml:space="preserve"> to pursue the</w:t>
      </w:r>
      <w:r w:rsidR="00BA1AFD">
        <w:rPr>
          <w:rFonts w:asciiTheme="minorHAnsi" w:hAnsiTheme="minorHAnsi" w:cstheme="minorHAnsi"/>
        </w:rPr>
        <w:t>se</w:t>
      </w:r>
      <w:r w:rsidR="00DC7472" w:rsidRPr="00F72F9B">
        <w:rPr>
          <w:rFonts w:asciiTheme="minorHAnsi" w:hAnsiTheme="minorHAnsi" w:cstheme="minorHAnsi"/>
        </w:rPr>
        <w:t xml:space="preserve"> claims in court.</w:t>
      </w:r>
      <w:r w:rsidR="00DC7472" w:rsidRPr="00F72F9B">
        <w:rPr>
          <w:rStyle w:val="FootnoteReference"/>
          <w:rFonts w:cstheme="minorHAnsi"/>
        </w:rPr>
        <w:footnoteReference w:id="3"/>
      </w:r>
      <w:r w:rsidR="00DC7472" w:rsidRPr="00F72F9B">
        <w:rPr>
          <w:rFonts w:asciiTheme="minorHAnsi" w:hAnsiTheme="minorHAnsi" w:cstheme="minorHAnsi"/>
        </w:rPr>
        <w:t xml:space="preserve"> </w:t>
      </w:r>
      <w:r w:rsidR="00DC7472">
        <w:rPr>
          <w:rFonts w:asciiTheme="minorHAnsi" w:hAnsiTheme="minorHAnsi" w:cstheme="minorHAnsi"/>
        </w:rPr>
        <w:t xml:space="preserve"> </w:t>
      </w:r>
      <w:r w:rsidR="001144E7" w:rsidRPr="00F72F9B">
        <w:rPr>
          <w:rFonts w:asciiTheme="minorHAnsi" w:hAnsiTheme="minorHAnsi" w:cstheme="minorHAnsi"/>
        </w:rPr>
        <w:t xml:space="preserve">The sparse case law </w:t>
      </w:r>
      <w:r w:rsidR="00987ABD">
        <w:rPr>
          <w:rFonts w:asciiTheme="minorHAnsi" w:hAnsiTheme="minorHAnsi" w:cstheme="minorHAnsi"/>
        </w:rPr>
        <w:t xml:space="preserve">that exists </w:t>
      </w:r>
      <w:r w:rsidR="001144E7">
        <w:rPr>
          <w:rFonts w:asciiTheme="minorHAnsi" w:hAnsiTheme="minorHAnsi" w:cstheme="minorHAnsi"/>
        </w:rPr>
        <w:t>o</w:t>
      </w:r>
      <w:r w:rsidR="001144E7" w:rsidRPr="00F72F9B">
        <w:rPr>
          <w:rFonts w:asciiTheme="minorHAnsi" w:hAnsiTheme="minorHAnsi" w:cstheme="minorHAnsi"/>
        </w:rPr>
        <w:t xml:space="preserve">n veterinary </w:t>
      </w:r>
      <w:r w:rsidR="001144E7">
        <w:rPr>
          <w:rFonts w:asciiTheme="minorHAnsi" w:hAnsiTheme="minorHAnsi" w:cstheme="minorHAnsi"/>
        </w:rPr>
        <w:lastRenderedPageBreak/>
        <w:t>negligence</w:t>
      </w:r>
      <w:r w:rsidR="001144E7" w:rsidRPr="00F72F9B">
        <w:rPr>
          <w:rFonts w:asciiTheme="minorHAnsi" w:hAnsiTheme="minorHAnsi" w:cstheme="minorHAnsi"/>
        </w:rPr>
        <w:t xml:space="preserve">, </w:t>
      </w:r>
      <w:r w:rsidR="00987ABD">
        <w:rPr>
          <w:rFonts w:asciiTheme="minorHAnsi" w:hAnsiTheme="minorHAnsi" w:cstheme="minorHAnsi"/>
        </w:rPr>
        <w:t xml:space="preserve">which </w:t>
      </w:r>
      <w:r w:rsidR="001144E7" w:rsidRPr="00F72F9B">
        <w:rPr>
          <w:rFonts w:asciiTheme="minorHAnsi" w:hAnsiTheme="minorHAnsi" w:cstheme="minorHAnsi"/>
        </w:rPr>
        <w:t>usually involv</w:t>
      </w:r>
      <w:r w:rsidR="00987ABD">
        <w:rPr>
          <w:rFonts w:asciiTheme="minorHAnsi" w:hAnsiTheme="minorHAnsi" w:cstheme="minorHAnsi"/>
        </w:rPr>
        <w:t>es</w:t>
      </w:r>
      <w:r w:rsidR="001144E7" w:rsidRPr="00F72F9B">
        <w:rPr>
          <w:rFonts w:asciiTheme="minorHAnsi" w:hAnsiTheme="minorHAnsi" w:cstheme="minorHAnsi"/>
        </w:rPr>
        <w:t xml:space="preserve"> expensive equine patients,</w:t>
      </w:r>
      <w:r w:rsidR="001144E7">
        <w:rPr>
          <w:rStyle w:val="FootnoteReference"/>
          <w:rFonts w:cstheme="minorHAnsi"/>
        </w:rPr>
        <w:footnoteReference w:id="4"/>
      </w:r>
      <w:r w:rsidR="001144E7" w:rsidRPr="00F72F9B">
        <w:rPr>
          <w:rFonts w:asciiTheme="minorHAnsi" w:hAnsiTheme="minorHAnsi" w:cstheme="minorHAnsi"/>
        </w:rPr>
        <w:t xml:space="preserve"> appears to have had little influence on </w:t>
      </w:r>
      <w:r w:rsidR="00987ABD">
        <w:rPr>
          <w:rFonts w:asciiTheme="minorHAnsi" w:hAnsiTheme="minorHAnsi" w:cstheme="minorHAnsi"/>
        </w:rPr>
        <w:t>professional</w:t>
      </w:r>
      <w:r w:rsidR="001144E7" w:rsidRPr="00F72F9B">
        <w:rPr>
          <w:rFonts w:asciiTheme="minorHAnsi" w:hAnsiTheme="minorHAnsi" w:cstheme="minorHAnsi"/>
        </w:rPr>
        <w:t xml:space="preserve"> ethic</w:t>
      </w:r>
      <w:r w:rsidR="001144E7">
        <w:rPr>
          <w:rFonts w:asciiTheme="minorHAnsi" w:hAnsiTheme="minorHAnsi" w:cstheme="minorHAnsi"/>
        </w:rPr>
        <w:t>al guidance</w:t>
      </w:r>
      <w:r w:rsidR="001144E7" w:rsidRPr="00F72F9B">
        <w:rPr>
          <w:rFonts w:asciiTheme="minorHAnsi" w:hAnsiTheme="minorHAnsi" w:cstheme="minorHAnsi"/>
        </w:rPr>
        <w:t xml:space="preserve">. </w:t>
      </w:r>
      <w:r w:rsidR="00DC7472">
        <w:rPr>
          <w:rFonts w:asciiTheme="minorHAnsi" w:hAnsiTheme="minorHAnsi" w:cstheme="minorHAnsi"/>
        </w:rPr>
        <w:t>As Schnobel highlights, this</w:t>
      </w:r>
      <w:r w:rsidR="008A1335">
        <w:rPr>
          <w:rFonts w:asciiTheme="minorHAnsi" w:hAnsiTheme="minorHAnsi" w:cstheme="minorHAnsi"/>
        </w:rPr>
        <w:t xml:space="preserve"> absence</w:t>
      </w:r>
      <w:r w:rsidR="00DC7472">
        <w:rPr>
          <w:rFonts w:asciiTheme="minorHAnsi" w:hAnsiTheme="minorHAnsi" w:cstheme="minorHAnsi"/>
        </w:rPr>
        <w:t xml:space="preserve"> of </w:t>
      </w:r>
      <w:r w:rsidR="008A1335">
        <w:rPr>
          <w:rFonts w:asciiTheme="minorHAnsi" w:hAnsiTheme="minorHAnsi" w:cstheme="minorHAnsi"/>
        </w:rPr>
        <w:t xml:space="preserve">direction from the courts leads to </w:t>
      </w:r>
      <w:r w:rsidR="00336DC8">
        <w:rPr>
          <w:rFonts w:asciiTheme="minorHAnsi" w:hAnsiTheme="minorHAnsi" w:cstheme="minorHAnsi"/>
        </w:rPr>
        <w:t xml:space="preserve">the </w:t>
      </w:r>
      <w:r w:rsidR="008A1335">
        <w:rPr>
          <w:rFonts w:asciiTheme="minorHAnsi" w:hAnsiTheme="minorHAnsi" w:cstheme="minorHAnsi"/>
        </w:rPr>
        <w:t xml:space="preserve">maintenance of the status quo rather than </w:t>
      </w:r>
      <w:r w:rsidR="00336DC8">
        <w:rPr>
          <w:rFonts w:asciiTheme="minorHAnsi" w:hAnsiTheme="minorHAnsi" w:cstheme="minorHAnsi"/>
        </w:rPr>
        <w:t>the elicitation of</w:t>
      </w:r>
      <w:r w:rsidR="008A1335">
        <w:rPr>
          <w:rFonts w:asciiTheme="minorHAnsi" w:hAnsiTheme="minorHAnsi" w:cstheme="minorHAnsi"/>
        </w:rPr>
        <w:t xml:space="preserve"> aspirational changes to professional guidelines.</w:t>
      </w:r>
      <w:r w:rsidR="008A1335">
        <w:rPr>
          <w:rStyle w:val="FootnoteReference"/>
          <w:rFonts w:cstheme="minorHAnsi"/>
        </w:rPr>
        <w:footnoteReference w:id="5"/>
      </w:r>
      <w:r w:rsidR="001144E7">
        <w:rPr>
          <w:rFonts w:asciiTheme="minorHAnsi" w:hAnsiTheme="minorHAnsi" w:cstheme="minorHAnsi"/>
        </w:rPr>
        <w:t xml:space="preserve"> </w:t>
      </w:r>
      <w:r w:rsidR="00987ABD">
        <w:rPr>
          <w:rFonts w:asciiTheme="minorHAnsi" w:hAnsiTheme="minorHAnsi" w:cstheme="minorHAnsi"/>
        </w:rPr>
        <w:t>I</w:t>
      </w:r>
      <w:r w:rsidR="00DC1153">
        <w:rPr>
          <w:rFonts w:asciiTheme="minorHAnsi" w:hAnsiTheme="minorHAnsi" w:cstheme="minorHAnsi"/>
        </w:rPr>
        <w:t xml:space="preserve">n </w:t>
      </w:r>
      <w:r w:rsidR="00BA1AFD">
        <w:rPr>
          <w:rFonts w:asciiTheme="minorHAnsi" w:hAnsiTheme="minorHAnsi" w:cstheme="minorHAnsi"/>
        </w:rPr>
        <w:t xml:space="preserve">the </w:t>
      </w:r>
      <w:r w:rsidR="00DC1153">
        <w:rPr>
          <w:rFonts w:asciiTheme="minorHAnsi" w:hAnsiTheme="minorHAnsi" w:cstheme="minorHAnsi"/>
        </w:rPr>
        <w:t>search</w:t>
      </w:r>
      <w:r w:rsidR="00987ABD">
        <w:rPr>
          <w:rFonts w:asciiTheme="minorHAnsi" w:hAnsiTheme="minorHAnsi" w:cstheme="minorHAnsi"/>
        </w:rPr>
        <w:t xml:space="preserve"> </w:t>
      </w:r>
      <w:r w:rsidR="00DC1153">
        <w:rPr>
          <w:rFonts w:asciiTheme="minorHAnsi" w:hAnsiTheme="minorHAnsi" w:cstheme="minorHAnsi"/>
        </w:rPr>
        <w:t xml:space="preserve">for alternative influences on </w:t>
      </w:r>
      <w:r w:rsidR="00520738">
        <w:rPr>
          <w:rFonts w:asciiTheme="minorHAnsi" w:hAnsiTheme="minorHAnsi" w:cstheme="minorHAnsi"/>
        </w:rPr>
        <w:t>these</w:t>
      </w:r>
      <w:r w:rsidR="00DC1153">
        <w:rPr>
          <w:rFonts w:asciiTheme="minorHAnsi" w:hAnsiTheme="minorHAnsi" w:cstheme="minorHAnsi"/>
        </w:rPr>
        <w:t xml:space="preserve"> guid</w:t>
      </w:r>
      <w:r w:rsidR="00520738">
        <w:rPr>
          <w:rFonts w:asciiTheme="minorHAnsi" w:hAnsiTheme="minorHAnsi" w:cstheme="minorHAnsi"/>
        </w:rPr>
        <w:t>elines</w:t>
      </w:r>
      <w:r w:rsidR="00DC1153">
        <w:rPr>
          <w:rFonts w:asciiTheme="minorHAnsi" w:hAnsiTheme="minorHAnsi" w:cstheme="minorHAnsi"/>
        </w:rPr>
        <w:t xml:space="preserve">, RCVS disciplinary hearings </w:t>
      </w:r>
      <w:r w:rsidR="00336DC8">
        <w:rPr>
          <w:rFonts w:asciiTheme="minorHAnsi" w:hAnsiTheme="minorHAnsi" w:cstheme="minorHAnsi"/>
        </w:rPr>
        <w:t>involving</w:t>
      </w:r>
      <w:r w:rsidR="00DC1153">
        <w:rPr>
          <w:rFonts w:asciiTheme="minorHAnsi" w:hAnsiTheme="minorHAnsi" w:cstheme="minorHAnsi"/>
        </w:rPr>
        <w:t xml:space="preserve"> veterinary professionals </w:t>
      </w:r>
      <w:r w:rsidR="00987ABD">
        <w:rPr>
          <w:rFonts w:asciiTheme="minorHAnsi" w:hAnsiTheme="minorHAnsi" w:cstheme="minorHAnsi"/>
        </w:rPr>
        <w:t>could be investigated</w:t>
      </w:r>
      <w:r w:rsidR="00DC1153">
        <w:rPr>
          <w:rFonts w:asciiTheme="minorHAnsi" w:hAnsiTheme="minorHAnsi" w:cstheme="minorHAnsi"/>
        </w:rPr>
        <w:t xml:space="preserve"> as potential sources</w:t>
      </w:r>
      <w:r w:rsidR="00667130">
        <w:rPr>
          <w:rFonts w:asciiTheme="minorHAnsi" w:hAnsiTheme="minorHAnsi" w:cstheme="minorHAnsi"/>
        </w:rPr>
        <w:t>.</w:t>
      </w:r>
      <w:r w:rsidR="00520738">
        <w:rPr>
          <w:rFonts w:asciiTheme="minorHAnsi" w:hAnsiTheme="minorHAnsi" w:cstheme="minorHAnsi"/>
        </w:rPr>
        <w:t xml:space="preserve"> </w:t>
      </w:r>
      <w:r w:rsidR="00C729BB">
        <w:rPr>
          <w:rFonts w:asciiTheme="minorHAnsi" w:hAnsiTheme="minorHAnsi" w:cstheme="minorHAnsi"/>
        </w:rPr>
        <w:t>T</w:t>
      </w:r>
      <w:r w:rsidR="001144E7">
        <w:rPr>
          <w:rFonts w:asciiTheme="minorHAnsi" w:hAnsiTheme="minorHAnsi" w:cstheme="minorHAnsi"/>
        </w:rPr>
        <w:t>his study</w:t>
      </w:r>
      <w:r w:rsidR="00987ABD">
        <w:rPr>
          <w:rFonts w:asciiTheme="minorHAnsi" w:hAnsiTheme="minorHAnsi" w:cstheme="minorHAnsi"/>
        </w:rPr>
        <w:t>’s aim</w:t>
      </w:r>
      <w:r w:rsidR="001144E7">
        <w:rPr>
          <w:rFonts w:asciiTheme="minorHAnsi" w:hAnsiTheme="minorHAnsi" w:cstheme="minorHAnsi"/>
        </w:rPr>
        <w:t xml:space="preserve"> </w:t>
      </w:r>
      <w:r w:rsidR="00DC1153">
        <w:rPr>
          <w:rFonts w:asciiTheme="minorHAnsi" w:hAnsiTheme="minorHAnsi" w:cstheme="minorHAnsi"/>
        </w:rPr>
        <w:t>wa</w:t>
      </w:r>
      <w:r w:rsidR="001144E7">
        <w:rPr>
          <w:rFonts w:asciiTheme="minorHAnsi" w:hAnsiTheme="minorHAnsi" w:cstheme="minorHAnsi"/>
        </w:rPr>
        <w:t>s therefore to e</w:t>
      </w:r>
      <w:r w:rsidR="00987ABD">
        <w:rPr>
          <w:rFonts w:asciiTheme="minorHAnsi" w:hAnsiTheme="minorHAnsi" w:cstheme="minorHAnsi"/>
        </w:rPr>
        <w:t>valuate</w:t>
      </w:r>
      <w:r w:rsidR="00520738">
        <w:rPr>
          <w:rFonts w:asciiTheme="minorHAnsi" w:hAnsiTheme="minorHAnsi" w:cstheme="minorHAnsi"/>
        </w:rPr>
        <w:t xml:space="preserve"> to what extent</w:t>
      </w:r>
      <w:r w:rsidR="001144E7">
        <w:rPr>
          <w:rFonts w:asciiTheme="minorHAnsi" w:hAnsiTheme="minorHAnsi" w:cstheme="minorHAnsi"/>
        </w:rPr>
        <w:t xml:space="preserve"> changes to</w:t>
      </w:r>
      <w:r w:rsidR="00923FEE">
        <w:rPr>
          <w:rFonts w:asciiTheme="minorHAnsi" w:hAnsiTheme="minorHAnsi" w:cstheme="minorHAnsi"/>
        </w:rPr>
        <w:t xml:space="preserve"> the </w:t>
      </w:r>
      <w:r w:rsidR="00DC1153">
        <w:rPr>
          <w:rFonts w:asciiTheme="minorHAnsi" w:hAnsiTheme="minorHAnsi" w:cstheme="minorHAnsi"/>
        </w:rPr>
        <w:t xml:space="preserve">veterinary </w:t>
      </w:r>
      <w:r w:rsidR="00923FEE">
        <w:rPr>
          <w:rFonts w:asciiTheme="minorHAnsi" w:hAnsiTheme="minorHAnsi" w:cstheme="minorHAnsi"/>
        </w:rPr>
        <w:t xml:space="preserve">profession’s </w:t>
      </w:r>
      <w:r w:rsidR="001144E7">
        <w:rPr>
          <w:rFonts w:asciiTheme="minorHAnsi" w:hAnsiTheme="minorHAnsi" w:cstheme="minorHAnsi"/>
        </w:rPr>
        <w:t xml:space="preserve">ethical guidance </w:t>
      </w:r>
      <w:r w:rsidR="00DC1153">
        <w:rPr>
          <w:rFonts w:asciiTheme="minorHAnsi" w:hAnsiTheme="minorHAnsi" w:cstheme="minorHAnsi"/>
        </w:rPr>
        <w:t>are informed by</w:t>
      </w:r>
      <w:r w:rsidR="00667130">
        <w:rPr>
          <w:rFonts w:asciiTheme="minorHAnsi" w:hAnsiTheme="minorHAnsi" w:cstheme="minorHAnsi"/>
        </w:rPr>
        <w:t xml:space="preserve"> findings from disciplinary hearings</w:t>
      </w:r>
      <w:r w:rsidR="001144E7">
        <w:rPr>
          <w:rFonts w:asciiTheme="minorHAnsi" w:hAnsiTheme="minorHAnsi" w:cstheme="minorHAnsi"/>
        </w:rPr>
        <w:t>.</w:t>
      </w:r>
      <w:r w:rsidR="00EE1145">
        <w:rPr>
          <w:rFonts w:asciiTheme="minorHAnsi" w:hAnsiTheme="minorHAnsi" w:cstheme="minorHAnsi"/>
        </w:rPr>
        <w:t xml:space="preserve"> </w:t>
      </w:r>
    </w:p>
    <w:p w14:paraId="1FD20BFC" w14:textId="77777777" w:rsidR="00520738" w:rsidRDefault="00520738" w:rsidP="00EE1145">
      <w:pPr>
        <w:spacing w:line="360" w:lineRule="auto"/>
        <w:rPr>
          <w:rFonts w:asciiTheme="minorHAnsi" w:hAnsiTheme="minorHAnsi" w:cstheme="minorHAnsi"/>
        </w:rPr>
      </w:pPr>
    </w:p>
    <w:p w14:paraId="4C04F0D8" w14:textId="6BDFB208" w:rsidR="00844B6A" w:rsidRDefault="00520738" w:rsidP="00EE1145">
      <w:pPr>
        <w:spacing w:line="360" w:lineRule="auto"/>
        <w:rPr>
          <w:rFonts w:asciiTheme="minorHAnsi" w:hAnsiTheme="minorHAnsi" w:cstheme="minorHAnsi"/>
        </w:rPr>
      </w:pPr>
      <w:r>
        <w:rPr>
          <w:rFonts w:asciiTheme="minorHAnsi" w:hAnsiTheme="minorHAnsi" w:cstheme="minorHAnsi"/>
        </w:rPr>
        <w:t xml:space="preserve">First, it </w:t>
      </w:r>
      <w:r w:rsidR="00BA1AFD">
        <w:rPr>
          <w:rFonts w:asciiTheme="minorHAnsi" w:hAnsiTheme="minorHAnsi" w:cstheme="minorHAnsi"/>
        </w:rPr>
        <w:t>may prove</w:t>
      </w:r>
      <w:r>
        <w:rPr>
          <w:rFonts w:asciiTheme="minorHAnsi" w:hAnsiTheme="minorHAnsi" w:cstheme="minorHAnsi"/>
        </w:rPr>
        <w:t xml:space="preserve"> useful to review the RCVS’s disciplinary processes</w:t>
      </w:r>
      <w:r w:rsidR="002037B2">
        <w:rPr>
          <w:rFonts w:asciiTheme="minorHAnsi" w:hAnsiTheme="minorHAnsi" w:cstheme="minorHAnsi"/>
        </w:rPr>
        <w:t xml:space="preserve"> to </w:t>
      </w:r>
      <w:r w:rsidR="00BA1AFD">
        <w:rPr>
          <w:rFonts w:asciiTheme="minorHAnsi" w:hAnsiTheme="minorHAnsi" w:cstheme="minorHAnsi"/>
        </w:rPr>
        <w:t>uncover</w:t>
      </w:r>
      <w:r w:rsidR="002037B2">
        <w:rPr>
          <w:rFonts w:asciiTheme="minorHAnsi" w:hAnsiTheme="minorHAnsi" w:cstheme="minorHAnsi"/>
        </w:rPr>
        <w:t xml:space="preserve"> how change</w:t>
      </w:r>
      <w:r w:rsidR="00336DC8">
        <w:rPr>
          <w:rFonts w:asciiTheme="minorHAnsi" w:hAnsiTheme="minorHAnsi" w:cstheme="minorHAnsi"/>
        </w:rPr>
        <w:t>s</w:t>
      </w:r>
      <w:r w:rsidR="002037B2">
        <w:rPr>
          <w:rFonts w:asciiTheme="minorHAnsi" w:hAnsiTheme="minorHAnsi" w:cstheme="minorHAnsi"/>
        </w:rPr>
        <w:t xml:space="preserve"> m</w:t>
      </w:r>
      <w:r w:rsidR="00987ABD">
        <w:rPr>
          <w:rFonts w:asciiTheme="minorHAnsi" w:hAnsiTheme="minorHAnsi" w:cstheme="minorHAnsi"/>
        </w:rPr>
        <w:t>ay</w:t>
      </w:r>
      <w:r w:rsidR="002037B2">
        <w:rPr>
          <w:rFonts w:asciiTheme="minorHAnsi" w:hAnsiTheme="minorHAnsi" w:cstheme="minorHAnsi"/>
        </w:rPr>
        <w:t xml:space="preserve"> </w:t>
      </w:r>
      <w:r w:rsidR="00336DC8">
        <w:rPr>
          <w:rFonts w:asciiTheme="minorHAnsi" w:hAnsiTheme="minorHAnsi" w:cstheme="minorHAnsi"/>
        </w:rPr>
        <w:t>be produced</w:t>
      </w:r>
      <w:r>
        <w:rPr>
          <w:rFonts w:asciiTheme="minorHAnsi" w:hAnsiTheme="minorHAnsi" w:cstheme="minorHAnsi"/>
        </w:rPr>
        <w:t xml:space="preserve">. </w:t>
      </w:r>
      <w:r w:rsidR="00EE1145">
        <w:rPr>
          <w:rFonts w:asciiTheme="minorHAnsi" w:hAnsiTheme="minorHAnsi" w:cstheme="minorHAnsi"/>
        </w:rPr>
        <w:t>I</w:t>
      </w:r>
      <w:r w:rsidR="00EE1145" w:rsidRPr="00A81945">
        <w:rPr>
          <w:rFonts w:asciiTheme="minorHAnsi" w:hAnsiTheme="minorHAnsi" w:cstheme="minorHAnsi"/>
        </w:rPr>
        <w:t>n the UK</w:t>
      </w:r>
      <w:r w:rsidR="00EE1145">
        <w:rPr>
          <w:rFonts w:asciiTheme="minorHAnsi" w:hAnsiTheme="minorHAnsi" w:cstheme="minorHAnsi"/>
        </w:rPr>
        <w:t xml:space="preserve">, </w:t>
      </w:r>
      <w:r w:rsidR="00EE1145" w:rsidRPr="00A81945">
        <w:rPr>
          <w:rFonts w:asciiTheme="minorHAnsi" w:hAnsiTheme="minorHAnsi" w:cstheme="minorHAnsi"/>
        </w:rPr>
        <w:t xml:space="preserve">claims </w:t>
      </w:r>
      <w:r w:rsidR="00EE1145">
        <w:rPr>
          <w:rFonts w:asciiTheme="minorHAnsi" w:hAnsiTheme="minorHAnsi" w:cstheme="minorHAnsi"/>
        </w:rPr>
        <w:t>of</w:t>
      </w:r>
      <w:r w:rsidR="00EE1145" w:rsidRPr="00A81945">
        <w:rPr>
          <w:rFonts w:asciiTheme="minorHAnsi" w:hAnsiTheme="minorHAnsi" w:cstheme="minorHAnsi"/>
        </w:rPr>
        <w:t xml:space="preserve"> veterinary negligence </w:t>
      </w:r>
      <w:r w:rsidR="00EE1145">
        <w:rPr>
          <w:rFonts w:asciiTheme="minorHAnsi" w:hAnsiTheme="minorHAnsi" w:cstheme="minorHAnsi"/>
        </w:rPr>
        <w:t>are often</w:t>
      </w:r>
      <w:r w:rsidR="00EE1145" w:rsidRPr="00A81945">
        <w:rPr>
          <w:rFonts w:asciiTheme="minorHAnsi" w:hAnsiTheme="minorHAnsi" w:cstheme="minorHAnsi"/>
        </w:rPr>
        <w:t xml:space="preserve"> </w:t>
      </w:r>
      <w:r w:rsidR="00EE1145">
        <w:rPr>
          <w:rFonts w:asciiTheme="minorHAnsi" w:hAnsiTheme="minorHAnsi" w:cstheme="minorHAnsi"/>
        </w:rPr>
        <w:t>resolved</w:t>
      </w:r>
      <w:r w:rsidR="00EE1145" w:rsidRPr="00A81945">
        <w:rPr>
          <w:rFonts w:asciiTheme="minorHAnsi" w:hAnsiTheme="minorHAnsi" w:cstheme="minorHAnsi"/>
        </w:rPr>
        <w:t xml:space="preserve"> at a lower level than the courts</w:t>
      </w:r>
      <w:r w:rsidR="00D129C6">
        <w:rPr>
          <w:rFonts w:asciiTheme="minorHAnsi" w:hAnsiTheme="minorHAnsi" w:cstheme="minorHAnsi"/>
        </w:rPr>
        <w:t>;</w:t>
      </w:r>
      <w:r w:rsidR="00EE1145" w:rsidRPr="00A81945">
        <w:rPr>
          <w:rFonts w:asciiTheme="minorHAnsi" w:hAnsiTheme="minorHAnsi" w:cstheme="minorHAnsi"/>
        </w:rPr>
        <w:t xml:space="preserve"> for example, by involvement of the recently formed Veterinary Client Mediation Service (VCMS)</w:t>
      </w:r>
      <w:r w:rsidR="00EE1145" w:rsidRPr="00A81945">
        <w:rPr>
          <w:rFonts w:asciiTheme="minorHAnsi" w:hAnsiTheme="minorHAnsi" w:cstheme="minorHAnsi"/>
          <w:vertAlign w:val="superscript"/>
        </w:rPr>
        <w:footnoteReference w:id="6"/>
      </w:r>
      <w:r w:rsidR="00EE1145" w:rsidRPr="00A81945">
        <w:rPr>
          <w:rFonts w:asciiTheme="minorHAnsi" w:hAnsiTheme="minorHAnsi" w:cstheme="minorHAnsi"/>
        </w:rPr>
        <w:t xml:space="preserve"> or through settlement </w:t>
      </w:r>
      <w:r w:rsidR="00EE1145">
        <w:rPr>
          <w:rFonts w:asciiTheme="minorHAnsi" w:hAnsiTheme="minorHAnsi" w:cstheme="minorHAnsi"/>
        </w:rPr>
        <w:t>by</w:t>
      </w:r>
      <w:r w:rsidR="00EE1145" w:rsidRPr="00A81945">
        <w:rPr>
          <w:rFonts w:asciiTheme="minorHAnsi" w:hAnsiTheme="minorHAnsi" w:cstheme="minorHAnsi"/>
        </w:rPr>
        <w:t xml:space="preserve"> professional indemnity insurers, often in </w:t>
      </w:r>
      <w:r w:rsidR="00EE1145">
        <w:rPr>
          <w:rFonts w:asciiTheme="minorHAnsi" w:hAnsiTheme="minorHAnsi" w:cstheme="minorHAnsi"/>
        </w:rPr>
        <w:t xml:space="preserve">the absence of </w:t>
      </w:r>
      <w:r w:rsidR="00EE1145" w:rsidRPr="00A81945">
        <w:rPr>
          <w:rFonts w:asciiTheme="minorHAnsi" w:hAnsiTheme="minorHAnsi" w:cstheme="minorHAnsi"/>
        </w:rPr>
        <w:t>court proceedings</w:t>
      </w:r>
      <w:r w:rsidR="00EE1145">
        <w:rPr>
          <w:rFonts w:asciiTheme="minorHAnsi" w:hAnsiTheme="minorHAnsi" w:cstheme="minorHAnsi"/>
        </w:rPr>
        <w:t>.</w:t>
      </w:r>
      <w:r w:rsidR="00EE1145" w:rsidRPr="00A81945">
        <w:rPr>
          <w:rFonts w:asciiTheme="minorHAnsi" w:hAnsiTheme="minorHAnsi" w:cstheme="minorHAnsi"/>
          <w:vertAlign w:val="superscript"/>
        </w:rPr>
        <w:footnoteReference w:id="7"/>
      </w:r>
      <w:r w:rsidR="00EE1145">
        <w:rPr>
          <w:rFonts w:asciiTheme="minorHAnsi" w:hAnsiTheme="minorHAnsi" w:cstheme="minorHAnsi"/>
        </w:rPr>
        <w:t xml:space="preserve"> Claims settled under either route do not automatically trigger investigation by the RCVS</w:t>
      </w:r>
      <w:r w:rsidR="00EE1145" w:rsidRPr="00A81945">
        <w:rPr>
          <w:rFonts w:asciiTheme="minorHAnsi" w:hAnsiTheme="minorHAnsi" w:cstheme="minorHAnsi"/>
        </w:rPr>
        <w:t xml:space="preserve">, </w:t>
      </w:r>
      <w:r w:rsidR="00D129C6">
        <w:rPr>
          <w:rFonts w:asciiTheme="minorHAnsi" w:hAnsiTheme="minorHAnsi" w:cstheme="minorHAnsi"/>
        </w:rPr>
        <w:t xml:space="preserve">therefore </w:t>
      </w:r>
      <w:r w:rsidR="00EE1145">
        <w:rPr>
          <w:rFonts w:asciiTheme="minorHAnsi" w:hAnsiTheme="minorHAnsi" w:cstheme="minorHAnsi"/>
        </w:rPr>
        <w:t xml:space="preserve">clients </w:t>
      </w:r>
      <w:r w:rsidR="00EE1145" w:rsidRPr="00A81945">
        <w:rPr>
          <w:rFonts w:asciiTheme="minorHAnsi" w:hAnsiTheme="minorHAnsi" w:cstheme="minorHAnsi"/>
        </w:rPr>
        <w:t xml:space="preserve">with serious complaints about standards of veterinary treatment </w:t>
      </w:r>
      <w:r w:rsidR="00EE1145">
        <w:rPr>
          <w:rFonts w:asciiTheme="minorHAnsi" w:hAnsiTheme="minorHAnsi" w:cstheme="minorHAnsi"/>
        </w:rPr>
        <w:t>must</w:t>
      </w:r>
      <w:r w:rsidR="00EE1145" w:rsidRPr="00A81945">
        <w:rPr>
          <w:rFonts w:asciiTheme="minorHAnsi" w:hAnsiTheme="minorHAnsi" w:cstheme="minorHAnsi"/>
        </w:rPr>
        <w:t xml:space="preserve"> rais</w:t>
      </w:r>
      <w:r w:rsidR="00EE1145">
        <w:rPr>
          <w:rFonts w:asciiTheme="minorHAnsi" w:hAnsiTheme="minorHAnsi" w:cstheme="minorHAnsi"/>
        </w:rPr>
        <w:t>e</w:t>
      </w:r>
      <w:r w:rsidR="00EE1145" w:rsidRPr="00A81945">
        <w:rPr>
          <w:rFonts w:asciiTheme="minorHAnsi" w:hAnsiTheme="minorHAnsi" w:cstheme="minorHAnsi"/>
        </w:rPr>
        <w:t xml:space="preserve"> </w:t>
      </w:r>
      <w:r w:rsidR="00EE1145">
        <w:rPr>
          <w:rFonts w:asciiTheme="minorHAnsi" w:hAnsiTheme="minorHAnsi" w:cstheme="minorHAnsi"/>
        </w:rPr>
        <w:t>their</w:t>
      </w:r>
      <w:r w:rsidR="00EE1145" w:rsidRPr="00A81945">
        <w:rPr>
          <w:rFonts w:asciiTheme="minorHAnsi" w:hAnsiTheme="minorHAnsi" w:cstheme="minorHAnsi"/>
        </w:rPr>
        <w:t xml:space="preserve"> concern</w:t>
      </w:r>
      <w:r w:rsidR="00EE1145">
        <w:rPr>
          <w:rFonts w:asciiTheme="minorHAnsi" w:hAnsiTheme="minorHAnsi" w:cstheme="minorHAnsi"/>
        </w:rPr>
        <w:t>s directly</w:t>
      </w:r>
      <w:r w:rsidR="00EE1145" w:rsidRPr="00A81945">
        <w:rPr>
          <w:rFonts w:asciiTheme="minorHAnsi" w:hAnsiTheme="minorHAnsi" w:cstheme="minorHAnsi"/>
        </w:rPr>
        <w:t xml:space="preserve"> with the RCVS. The College </w:t>
      </w:r>
      <w:r w:rsidR="00EE1145" w:rsidRPr="00A81945">
        <w:rPr>
          <w:rFonts w:asciiTheme="minorHAnsi" w:hAnsiTheme="minorHAnsi" w:cstheme="minorHAnsi"/>
          <w:i/>
          <w:iCs/>
        </w:rPr>
        <w:t>“can only deal with the most serious concerns that relate to a veterinary surgeon's professional conduct,”</w:t>
      </w:r>
      <w:r w:rsidR="00EE1145" w:rsidRPr="00A81945">
        <w:rPr>
          <w:rFonts w:asciiTheme="minorHAnsi" w:hAnsiTheme="minorHAnsi" w:cstheme="minorHAnsi"/>
        </w:rPr>
        <w:t xml:space="preserve"> such as </w:t>
      </w:r>
      <w:r w:rsidR="00EE1145" w:rsidRPr="00A81945">
        <w:rPr>
          <w:rFonts w:asciiTheme="minorHAnsi" w:hAnsiTheme="minorHAnsi" w:cstheme="minorHAnsi"/>
          <w:i/>
          <w:iCs/>
        </w:rPr>
        <w:t>“(v)ery poor professional performance where there are serious departures from the standards set out in the RCVS Code of Professional Conduct.</w:t>
      </w:r>
      <w:r w:rsidR="00EE1145" w:rsidRPr="00A81945">
        <w:rPr>
          <w:rFonts w:asciiTheme="minorHAnsi" w:hAnsiTheme="minorHAnsi" w:cstheme="minorHAnsi"/>
        </w:rPr>
        <w:t>”</w:t>
      </w:r>
      <w:r w:rsidR="00EE1145" w:rsidRPr="00A81945">
        <w:rPr>
          <w:rFonts w:asciiTheme="minorHAnsi" w:hAnsiTheme="minorHAnsi" w:cstheme="minorHAnsi"/>
          <w:vertAlign w:val="superscript"/>
        </w:rPr>
        <w:footnoteReference w:id="8"/>
      </w:r>
      <w:r w:rsidR="00EE1145" w:rsidRPr="00A81945">
        <w:rPr>
          <w:rFonts w:asciiTheme="minorHAnsi" w:hAnsiTheme="minorHAnsi" w:cstheme="minorHAnsi"/>
        </w:rPr>
        <w:t xml:space="preserve"> </w:t>
      </w:r>
    </w:p>
    <w:p w14:paraId="015BB8EE" w14:textId="77777777" w:rsidR="00520738" w:rsidRDefault="00520738" w:rsidP="00EE1145">
      <w:pPr>
        <w:spacing w:line="360" w:lineRule="auto"/>
        <w:rPr>
          <w:rFonts w:asciiTheme="minorHAnsi" w:hAnsiTheme="minorHAnsi" w:cstheme="minorHAnsi"/>
        </w:rPr>
      </w:pPr>
    </w:p>
    <w:p w14:paraId="68E5BF25" w14:textId="430B7575" w:rsidR="001144E7" w:rsidRDefault="00D129C6" w:rsidP="00A857D5">
      <w:pPr>
        <w:spacing w:line="360" w:lineRule="auto"/>
        <w:rPr>
          <w:rFonts w:asciiTheme="minorHAnsi" w:hAnsiTheme="minorHAnsi" w:cstheme="minorHAnsi"/>
        </w:rPr>
      </w:pPr>
      <w:r>
        <w:rPr>
          <w:rFonts w:asciiTheme="minorHAnsi" w:hAnsiTheme="minorHAnsi" w:cstheme="minorHAnsi"/>
        </w:rPr>
        <w:t>Complaints about standards of veterinary practice are considered by t</w:t>
      </w:r>
      <w:r w:rsidR="00EE1145">
        <w:rPr>
          <w:rFonts w:asciiTheme="minorHAnsi" w:hAnsiTheme="minorHAnsi" w:cstheme="minorHAnsi"/>
        </w:rPr>
        <w:t>he College’s Preliminary Investigation Committee</w:t>
      </w:r>
      <w:r w:rsidR="001672DF">
        <w:rPr>
          <w:rFonts w:asciiTheme="minorHAnsi" w:hAnsiTheme="minorHAnsi" w:cstheme="minorHAnsi"/>
        </w:rPr>
        <w:t xml:space="preserve"> (PIC)</w:t>
      </w:r>
      <w:r w:rsidR="00EE1145">
        <w:rPr>
          <w:rFonts w:asciiTheme="minorHAnsi" w:hAnsiTheme="minorHAnsi" w:cstheme="minorHAnsi"/>
        </w:rPr>
        <w:t xml:space="preserve"> and Disciplinary Committee </w:t>
      </w:r>
      <w:r w:rsidR="001672DF">
        <w:rPr>
          <w:rFonts w:asciiTheme="minorHAnsi" w:hAnsiTheme="minorHAnsi" w:cstheme="minorHAnsi"/>
        </w:rPr>
        <w:t>(DC)</w:t>
      </w:r>
      <w:r>
        <w:rPr>
          <w:rFonts w:asciiTheme="minorHAnsi" w:hAnsiTheme="minorHAnsi" w:cstheme="minorHAnsi"/>
        </w:rPr>
        <w:t xml:space="preserve"> and</w:t>
      </w:r>
      <w:r w:rsidR="00EE1145">
        <w:rPr>
          <w:rFonts w:asciiTheme="minorHAnsi" w:hAnsiTheme="minorHAnsi" w:cstheme="minorHAnsi"/>
        </w:rPr>
        <w:t xml:space="preserve"> progress</w:t>
      </w:r>
      <w:r w:rsidR="00EE1145" w:rsidRPr="00A81945">
        <w:rPr>
          <w:rFonts w:asciiTheme="minorHAnsi" w:hAnsiTheme="minorHAnsi" w:cstheme="minorHAnsi"/>
        </w:rPr>
        <w:t xml:space="preserve"> through th</w:t>
      </w:r>
      <w:r>
        <w:rPr>
          <w:rFonts w:asciiTheme="minorHAnsi" w:hAnsiTheme="minorHAnsi" w:cstheme="minorHAnsi"/>
        </w:rPr>
        <w:t>e</w:t>
      </w:r>
      <w:r w:rsidR="00EE1145" w:rsidRPr="00A81945">
        <w:rPr>
          <w:rFonts w:asciiTheme="minorHAnsi" w:hAnsiTheme="minorHAnsi" w:cstheme="minorHAnsi"/>
        </w:rPr>
        <w:t xml:space="preserve"> stages</w:t>
      </w:r>
      <w:r w:rsidR="00336DC8">
        <w:rPr>
          <w:rFonts w:asciiTheme="minorHAnsi" w:hAnsiTheme="minorHAnsi" w:cstheme="minorHAnsi"/>
        </w:rPr>
        <w:t xml:space="preserve"> </w:t>
      </w:r>
      <w:r w:rsidR="00EE1145" w:rsidRPr="00A81945">
        <w:rPr>
          <w:rFonts w:asciiTheme="minorHAnsi" w:hAnsiTheme="minorHAnsi" w:cstheme="minorHAnsi"/>
        </w:rPr>
        <w:t xml:space="preserve">outlined in Table </w:t>
      </w:r>
      <w:r w:rsidR="00EE1145">
        <w:rPr>
          <w:rFonts w:asciiTheme="minorHAnsi" w:hAnsiTheme="minorHAnsi" w:cstheme="minorHAnsi"/>
        </w:rPr>
        <w:t>1</w:t>
      </w:r>
      <w:r w:rsidR="00EE1145" w:rsidRPr="00A81945">
        <w:rPr>
          <w:rFonts w:asciiTheme="minorHAnsi" w:hAnsiTheme="minorHAnsi" w:cstheme="minorHAnsi"/>
        </w:rPr>
        <w:t>.</w:t>
      </w:r>
    </w:p>
    <w:p w14:paraId="7BB22381" w14:textId="75A82C9E" w:rsidR="000C0970" w:rsidRDefault="000C0970" w:rsidP="00680D9A">
      <w:pPr>
        <w:spacing w:line="360" w:lineRule="auto"/>
        <w:rPr>
          <w:rFonts w:asciiTheme="minorHAnsi" w:hAnsiTheme="minorHAnsi" w:cstheme="minorHAnsi"/>
        </w:rPr>
      </w:pPr>
    </w:p>
    <w:tbl>
      <w:tblPr>
        <w:tblStyle w:val="TableGrid"/>
        <w:tblW w:w="0" w:type="auto"/>
        <w:tblLook w:val="04A0" w:firstRow="1" w:lastRow="0" w:firstColumn="1" w:lastColumn="0" w:noHBand="0" w:noVBand="1"/>
      </w:tblPr>
      <w:tblGrid>
        <w:gridCol w:w="1555"/>
        <w:gridCol w:w="7461"/>
      </w:tblGrid>
      <w:tr w:rsidR="00A857D5" w:rsidRPr="00A81945" w14:paraId="696D7FA3" w14:textId="77777777" w:rsidTr="00E10E6B">
        <w:tc>
          <w:tcPr>
            <w:tcW w:w="1555" w:type="dxa"/>
          </w:tcPr>
          <w:p w14:paraId="592A24B6" w14:textId="77777777" w:rsidR="00A857D5" w:rsidRPr="00A81945" w:rsidRDefault="00A857D5" w:rsidP="00E10E6B">
            <w:pPr>
              <w:spacing w:line="360" w:lineRule="auto"/>
              <w:rPr>
                <w:rFonts w:asciiTheme="minorHAnsi" w:hAnsiTheme="minorHAnsi" w:cstheme="minorHAnsi"/>
                <w:b/>
                <w:bCs/>
              </w:rPr>
            </w:pPr>
            <w:r w:rsidRPr="00A81945">
              <w:rPr>
                <w:rFonts w:asciiTheme="minorHAnsi" w:hAnsiTheme="minorHAnsi" w:cstheme="minorHAnsi"/>
                <w:b/>
                <w:bCs/>
              </w:rPr>
              <w:t>Stage</w:t>
            </w:r>
          </w:p>
        </w:tc>
        <w:tc>
          <w:tcPr>
            <w:tcW w:w="7461" w:type="dxa"/>
          </w:tcPr>
          <w:p w14:paraId="40CF3D3F" w14:textId="77777777" w:rsidR="00A857D5" w:rsidRPr="00A81945" w:rsidRDefault="00A857D5" w:rsidP="00E10E6B">
            <w:pPr>
              <w:spacing w:line="360" w:lineRule="auto"/>
              <w:rPr>
                <w:rFonts w:asciiTheme="minorHAnsi" w:hAnsiTheme="minorHAnsi" w:cstheme="minorHAnsi"/>
                <w:b/>
                <w:bCs/>
              </w:rPr>
            </w:pPr>
            <w:r w:rsidRPr="00A81945">
              <w:rPr>
                <w:rFonts w:asciiTheme="minorHAnsi" w:hAnsiTheme="minorHAnsi" w:cstheme="minorHAnsi"/>
                <w:b/>
                <w:bCs/>
              </w:rPr>
              <w:t>Process and Personnel</w:t>
            </w:r>
          </w:p>
        </w:tc>
      </w:tr>
      <w:tr w:rsidR="00A857D5" w:rsidRPr="00A81945" w14:paraId="0E6D9E7A" w14:textId="77777777" w:rsidTr="00E10E6B">
        <w:tc>
          <w:tcPr>
            <w:tcW w:w="1555" w:type="dxa"/>
          </w:tcPr>
          <w:p w14:paraId="28C683AE" w14:textId="77777777" w:rsidR="00A857D5" w:rsidRPr="00A81945" w:rsidRDefault="00A857D5" w:rsidP="00E10E6B">
            <w:pPr>
              <w:spacing w:line="360" w:lineRule="auto"/>
              <w:rPr>
                <w:rFonts w:asciiTheme="minorHAnsi" w:hAnsiTheme="minorHAnsi" w:cstheme="minorHAnsi"/>
              </w:rPr>
            </w:pPr>
            <w:r w:rsidRPr="00A81945">
              <w:rPr>
                <w:rFonts w:asciiTheme="minorHAnsi" w:hAnsiTheme="minorHAnsi" w:cstheme="minorHAnsi"/>
              </w:rPr>
              <w:lastRenderedPageBreak/>
              <w:t>Stage 1</w:t>
            </w:r>
          </w:p>
        </w:tc>
        <w:tc>
          <w:tcPr>
            <w:tcW w:w="7461" w:type="dxa"/>
          </w:tcPr>
          <w:p w14:paraId="62B68087" w14:textId="77777777" w:rsidR="00A857D5" w:rsidRPr="00A81945" w:rsidRDefault="00A857D5" w:rsidP="00E10E6B">
            <w:pPr>
              <w:spacing w:line="360" w:lineRule="auto"/>
              <w:rPr>
                <w:rFonts w:asciiTheme="minorHAnsi" w:hAnsiTheme="minorHAnsi" w:cstheme="minorHAnsi"/>
              </w:rPr>
            </w:pPr>
            <w:r w:rsidRPr="00A81945">
              <w:rPr>
                <w:rFonts w:asciiTheme="minorHAnsi" w:hAnsiTheme="minorHAnsi" w:cstheme="minorHAnsi"/>
                <w:i/>
                <w:iCs/>
              </w:rPr>
              <w:t>examined by Case Manager (from RCVS Professional Conduct team) and two Case Examiners (one veterinary, one non-veterinary, both members of Preliminary Investigation Committee)</w:t>
            </w:r>
          </w:p>
        </w:tc>
      </w:tr>
      <w:tr w:rsidR="00A857D5" w:rsidRPr="00A81945" w14:paraId="2F0FCDF8" w14:textId="77777777" w:rsidTr="00E10E6B">
        <w:tc>
          <w:tcPr>
            <w:tcW w:w="1555" w:type="dxa"/>
          </w:tcPr>
          <w:p w14:paraId="1E656339" w14:textId="77777777" w:rsidR="00A857D5" w:rsidRPr="00A81945" w:rsidRDefault="00A857D5" w:rsidP="00E10E6B">
            <w:pPr>
              <w:spacing w:line="360" w:lineRule="auto"/>
              <w:rPr>
                <w:rFonts w:asciiTheme="minorHAnsi" w:hAnsiTheme="minorHAnsi" w:cstheme="minorHAnsi"/>
              </w:rPr>
            </w:pPr>
            <w:r w:rsidRPr="00A81945">
              <w:rPr>
                <w:rFonts w:asciiTheme="minorHAnsi" w:hAnsiTheme="minorHAnsi" w:cstheme="minorHAnsi"/>
              </w:rPr>
              <w:t>Stage 2</w:t>
            </w:r>
          </w:p>
        </w:tc>
        <w:tc>
          <w:tcPr>
            <w:tcW w:w="7461" w:type="dxa"/>
          </w:tcPr>
          <w:p w14:paraId="329C3E53" w14:textId="77777777" w:rsidR="00A857D5" w:rsidRPr="00A81945" w:rsidRDefault="00A857D5" w:rsidP="00E10E6B">
            <w:pPr>
              <w:spacing w:line="360" w:lineRule="auto"/>
              <w:rPr>
                <w:rFonts w:asciiTheme="minorHAnsi" w:hAnsiTheme="minorHAnsi" w:cstheme="minorHAnsi"/>
              </w:rPr>
            </w:pPr>
            <w:r w:rsidRPr="00A81945">
              <w:rPr>
                <w:rFonts w:asciiTheme="minorHAnsi" w:hAnsiTheme="minorHAnsi" w:cstheme="minorHAnsi"/>
                <w:i/>
                <w:iCs/>
              </w:rPr>
              <w:t>Preliminary Investigation Committee (10 members, 6 veterinary and 4 non-veterinary)</w:t>
            </w:r>
          </w:p>
        </w:tc>
      </w:tr>
      <w:tr w:rsidR="00A857D5" w:rsidRPr="00A81945" w14:paraId="19484617" w14:textId="77777777" w:rsidTr="00E10E6B">
        <w:tc>
          <w:tcPr>
            <w:tcW w:w="1555" w:type="dxa"/>
          </w:tcPr>
          <w:p w14:paraId="0C5D7871" w14:textId="77777777" w:rsidR="00A857D5" w:rsidRPr="00A81945" w:rsidRDefault="00A857D5" w:rsidP="00E10E6B">
            <w:pPr>
              <w:spacing w:line="360" w:lineRule="auto"/>
              <w:rPr>
                <w:rFonts w:asciiTheme="minorHAnsi" w:hAnsiTheme="minorHAnsi" w:cstheme="minorHAnsi"/>
              </w:rPr>
            </w:pPr>
            <w:r w:rsidRPr="00A81945">
              <w:rPr>
                <w:rFonts w:asciiTheme="minorHAnsi" w:hAnsiTheme="minorHAnsi" w:cstheme="minorHAnsi"/>
              </w:rPr>
              <w:t>Stage 3</w:t>
            </w:r>
          </w:p>
        </w:tc>
        <w:tc>
          <w:tcPr>
            <w:tcW w:w="7461" w:type="dxa"/>
          </w:tcPr>
          <w:p w14:paraId="78E23641" w14:textId="4FAA03A4" w:rsidR="00A857D5" w:rsidRPr="00A81945" w:rsidRDefault="00A857D5" w:rsidP="00E10E6B">
            <w:pPr>
              <w:spacing w:line="360" w:lineRule="auto"/>
              <w:rPr>
                <w:rFonts w:asciiTheme="minorHAnsi" w:hAnsiTheme="minorHAnsi" w:cstheme="minorHAnsi"/>
              </w:rPr>
            </w:pPr>
            <w:r w:rsidRPr="00A81945">
              <w:rPr>
                <w:rFonts w:asciiTheme="minorHAnsi" w:hAnsiTheme="minorHAnsi" w:cstheme="minorHAnsi"/>
                <w:i/>
                <w:iCs/>
              </w:rPr>
              <w:t>Disciplinary Committee (20 members – 10 veterinary and 10 non-veterinary</w:t>
            </w:r>
            <w:r w:rsidR="00336DC8">
              <w:rPr>
                <w:rFonts w:asciiTheme="minorHAnsi" w:hAnsiTheme="minorHAnsi" w:cstheme="minorHAnsi"/>
                <w:i/>
                <w:iCs/>
              </w:rPr>
              <w:t xml:space="preserve">; </w:t>
            </w:r>
            <w:r w:rsidRPr="00A81945">
              <w:rPr>
                <w:rFonts w:asciiTheme="minorHAnsi" w:hAnsiTheme="minorHAnsi" w:cstheme="minorHAnsi"/>
                <w:i/>
                <w:iCs/>
              </w:rPr>
              <w:t xml:space="preserve">usually 5 members hear </w:t>
            </w:r>
            <w:r w:rsidR="00923FEE">
              <w:rPr>
                <w:rFonts w:asciiTheme="minorHAnsi" w:hAnsiTheme="minorHAnsi" w:cstheme="minorHAnsi"/>
                <w:i/>
                <w:iCs/>
              </w:rPr>
              <w:t xml:space="preserve">each </w:t>
            </w:r>
            <w:r w:rsidRPr="00A81945">
              <w:rPr>
                <w:rFonts w:asciiTheme="minorHAnsi" w:hAnsiTheme="minorHAnsi" w:cstheme="minorHAnsi"/>
                <w:i/>
                <w:iCs/>
              </w:rPr>
              <w:t>case)</w:t>
            </w:r>
          </w:p>
        </w:tc>
      </w:tr>
    </w:tbl>
    <w:p w14:paraId="199D2CF9" w14:textId="77777777" w:rsidR="00A857D5" w:rsidRDefault="00A857D5" w:rsidP="00A857D5">
      <w:pPr>
        <w:spacing w:line="360" w:lineRule="auto"/>
        <w:rPr>
          <w:rFonts w:asciiTheme="minorHAnsi" w:hAnsiTheme="minorHAnsi" w:cstheme="minorHAnsi"/>
          <w:b/>
          <w:bCs/>
          <w:i/>
          <w:sz w:val="18"/>
          <w:szCs w:val="18"/>
        </w:rPr>
      </w:pPr>
      <w:r w:rsidRPr="00A81945">
        <w:rPr>
          <w:rFonts w:asciiTheme="minorHAnsi" w:hAnsiTheme="minorHAnsi" w:cstheme="minorHAnsi"/>
          <w:b/>
          <w:bCs/>
          <w:i/>
          <w:sz w:val="18"/>
          <w:szCs w:val="18"/>
        </w:rPr>
        <w:t xml:space="preserve">Table </w:t>
      </w:r>
      <w:r>
        <w:rPr>
          <w:rFonts w:asciiTheme="minorHAnsi" w:hAnsiTheme="minorHAnsi" w:cstheme="minorHAnsi"/>
          <w:b/>
          <w:bCs/>
          <w:i/>
          <w:sz w:val="18"/>
          <w:szCs w:val="18"/>
        </w:rPr>
        <w:t>1</w:t>
      </w:r>
      <w:r w:rsidRPr="00A81945">
        <w:rPr>
          <w:rFonts w:asciiTheme="minorHAnsi" w:hAnsiTheme="minorHAnsi" w:cstheme="minorHAnsi"/>
          <w:b/>
          <w:bCs/>
          <w:i/>
          <w:sz w:val="18"/>
          <w:szCs w:val="18"/>
        </w:rPr>
        <w:t>: stages in the RCVS disciplinary process following submission of a complaint, adapted from RCVS.</w:t>
      </w:r>
      <w:r w:rsidRPr="00A81945">
        <w:rPr>
          <w:rFonts w:asciiTheme="minorHAnsi" w:hAnsiTheme="minorHAnsi" w:cstheme="minorHAnsi"/>
          <w:b/>
          <w:bCs/>
          <w:i/>
          <w:sz w:val="18"/>
          <w:szCs w:val="18"/>
          <w:vertAlign w:val="superscript"/>
        </w:rPr>
        <w:footnoteReference w:id="9"/>
      </w:r>
      <w:r w:rsidRPr="00A81945">
        <w:rPr>
          <w:rFonts w:asciiTheme="minorHAnsi" w:hAnsiTheme="minorHAnsi" w:cstheme="minorHAnsi"/>
          <w:b/>
          <w:bCs/>
          <w:i/>
          <w:sz w:val="18"/>
          <w:szCs w:val="18"/>
        </w:rPr>
        <w:t xml:space="preserve"> Most complaints are dealt with at Stages 1 and 2.</w:t>
      </w:r>
    </w:p>
    <w:p w14:paraId="38804D44" w14:textId="77777777" w:rsidR="00EE1145" w:rsidRPr="005A33E6" w:rsidRDefault="00EE1145" w:rsidP="00EE1145">
      <w:pPr>
        <w:spacing w:line="360" w:lineRule="auto"/>
        <w:rPr>
          <w:rFonts w:asciiTheme="minorHAnsi" w:hAnsiTheme="minorHAnsi" w:cstheme="minorHAnsi"/>
        </w:rPr>
      </w:pPr>
    </w:p>
    <w:p w14:paraId="77472C65" w14:textId="2D82083A" w:rsidR="00EE1145" w:rsidRDefault="00D129C6" w:rsidP="00EE1145">
      <w:pPr>
        <w:spacing w:line="360" w:lineRule="auto"/>
        <w:rPr>
          <w:rFonts w:asciiTheme="minorHAnsi" w:hAnsiTheme="minorHAnsi" w:cstheme="minorHAnsi"/>
        </w:rPr>
      </w:pPr>
      <w:r>
        <w:rPr>
          <w:rFonts w:asciiTheme="minorHAnsi" w:hAnsiTheme="minorHAnsi" w:cstheme="minorHAnsi"/>
        </w:rPr>
        <w:t>The topic of consent was chosen as</w:t>
      </w:r>
      <w:r w:rsidR="00336DC8">
        <w:rPr>
          <w:rFonts w:asciiTheme="minorHAnsi" w:hAnsiTheme="minorHAnsi" w:cstheme="minorHAnsi"/>
        </w:rPr>
        <w:t xml:space="preserve"> the</w:t>
      </w:r>
      <w:r w:rsidR="00A11E70">
        <w:rPr>
          <w:rFonts w:asciiTheme="minorHAnsi" w:hAnsiTheme="minorHAnsi" w:cstheme="minorHAnsi"/>
        </w:rPr>
        <w:t xml:space="preserve"> ‘case study’ </w:t>
      </w:r>
      <w:r>
        <w:rPr>
          <w:rFonts w:asciiTheme="minorHAnsi" w:hAnsiTheme="minorHAnsi" w:cstheme="minorHAnsi"/>
        </w:rPr>
        <w:t>for this study</w:t>
      </w:r>
      <w:r w:rsidR="00A11E70">
        <w:rPr>
          <w:rFonts w:asciiTheme="minorHAnsi" w:hAnsiTheme="minorHAnsi" w:cstheme="minorHAnsi"/>
        </w:rPr>
        <w:t xml:space="preserve"> </w:t>
      </w:r>
      <w:r w:rsidR="00EE1145">
        <w:rPr>
          <w:rFonts w:asciiTheme="minorHAnsi" w:hAnsiTheme="minorHAnsi" w:cstheme="minorHAnsi"/>
        </w:rPr>
        <w:t xml:space="preserve">for two </w:t>
      </w:r>
      <w:r w:rsidR="00A11E70">
        <w:rPr>
          <w:rFonts w:asciiTheme="minorHAnsi" w:hAnsiTheme="minorHAnsi" w:cstheme="minorHAnsi"/>
        </w:rPr>
        <w:t xml:space="preserve">main </w:t>
      </w:r>
      <w:r w:rsidR="00EE1145">
        <w:rPr>
          <w:rFonts w:asciiTheme="minorHAnsi" w:hAnsiTheme="minorHAnsi" w:cstheme="minorHAnsi"/>
        </w:rPr>
        <w:t>reasons</w:t>
      </w:r>
      <w:r>
        <w:rPr>
          <w:rFonts w:asciiTheme="minorHAnsi" w:hAnsiTheme="minorHAnsi" w:cstheme="minorHAnsi"/>
        </w:rPr>
        <w:t>;</w:t>
      </w:r>
      <w:r w:rsidR="00336DC8">
        <w:rPr>
          <w:rFonts w:asciiTheme="minorHAnsi" w:hAnsiTheme="minorHAnsi" w:cstheme="minorHAnsi"/>
        </w:rPr>
        <w:t xml:space="preserve"> f</w:t>
      </w:r>
      <w:r w:rsidR="00EE1145">
        <w:rPr>
          <w:rFonts w:asciiTheme="minorHAnsi" w:hAnsiTheme="minorHAnsi" w:cstheme="minorHAnsi"/>
        </w:rPr>
        <w:t>irst,</w:t>
      </w:r>
      <w:r w:rsidR="00A11E70">
        <w:rPr>
          <w:rFonts w:asciiTheme="minorHAnsi" w:hAnsiTheme="minorHAnsi" w:cstheme="minorHAnsi"/>
        </w:rPr>
        <w:t xml:space="preserve"> </w:t>
      </w:r>
      <w:r w:rsidR="002B0DF0">
        <w:rPr>
          <w:rFonts w:asciiTheme="minorHAnsi" w:hAnsiTheme="minorHAnsi" w:cstheme="minorHAnsi"/>
        </w:rPr>
        <w:t xml:space="preserve">a </w:t>
      </w:r>
      <w:r w:rsidR="00A11E70">
        <w:rPr>
          <w:rFonts w:asciiTheme="minorHAnsi" w:hAnsiTheme="minorHAnsi" w:cstheme="minorHAnsi"/>
        </w:rPr>
        <w:t xml:space="preserve">reasonable </w:t>
      </w:r>
      <w:r w:rsidR="002B0DF0">
        <w:rPr>
          <w:rFonts w:asciiTheme="minorHAnsi" w:hAnsiTheme="minorHAnsi" w:cstheme="minorHAnsi"/>
        </w:rPr>
        <w:t>number of</w:t>
      </w:r>
      <w:r w:rsidR="00EE1145">
        <w:rPr>
          <w:rFonts w:asciiTheme="minorHAnsi" w:hAnsiTheme="minorHAnsi" w:cstheme="minorHAnsi"/>
        </w:rPr>
        <w:t xml:space="preserve"> cases involving a failure to obtain consent</w:t>
      </w:r>
      <w:r w:rsidR="002B0DF0">
        <w:rPr>
          <w:rFonts w:asciiTheme="minorHAnsi" w:hAnsiTheme="minorHAnsi" w:cstheme="minorHAnsi"/>
        </w:rPr>
        <w:t xml:space="preserve"> reach</w:t>
      </w:r>
      <w:r w:rsidR="00EE1145">
        <w:rPr>
          <w:rFonts w:asciiTheme="minorHAnsi" w:hAnsiTheme="minorHAnsi" w:cstheme="minorHAnsi"/>
        </w:rPr>
        <w:t xml:space="preserve"> </w:t>
      </w:r>
      <w:r w:rsidR="00A11E70">
        <w:rPr>
          <w:rFonts w:asciiTheme="minorHAnsi" w:hAnsiTheme="minorHAnsi" w:cstheme="minorHAnsi"/>
        </w:rPr>
        <w:t>Stage 3</w:t>
      </w:r>
      <w:r w:rsidR="00EE1145">
        <w:rPr>
          <w:rFonts w:asciiTheme="minorHAnsi" w:hAnsiTheme="minorHAnsi" w:cstheme="minorHAnsi"/>
        </w:rPr>
        <w:t>.</w:t>
      </w:r>
      <w:r w:rsidR="002037B2">
        <w:rPr>
          <w:rFonts w:asciiTheme="minorHAnsi" w:hAnsiTheme="minorHAnsi" w:cstheme="minorHAnsi"/>
        </w:rPr>
        <w:t xml:space="preserve"> </w:t>
      </w:r>
      <w:r w:rsidR="00571284" w:rsidRPr="00A81945">
        <w:rPr>
          <w:rFonts w:asciiTheme="minorHAnsi" w:hAnsiTheme="minorHAnsi" w:cstheme="minorHAnsi"/>
        </w:rPr>
        <w:t xml:space="preserve">Stage 1 Case Examiners </w:t>
      </w:r>
      <w:r>
        <w:rPr>
          <w:rFonts w:asciiTheme="minorHAnsi" w:hAnsiTheme="minorHAnsi" w:cstheme="minorHAnsi"/>
        </w:rPr>
        <w:t xml:space="preserve">are advised that </w:t>
      </w:r>
      <w:r w:rsidR="00571284" w:rsidRPr="00A81945">
        <w:rPr>
          <w:rFonts w:asciiTheme="minorHAnsi" w:hAnsiTheme="minorHAnsi" w:cstheme="minorHAnsi"/>
          <w:i/>
          <w:iCs/>
        </w:rPr>
        <w:t>“failure to obtain informed consent to treatment or to discuss treatment options and possible complications”</w:t>
      </w:r>
      <w:r w:rsidR="00571284" w:rsidRPr="00A81945">
        <w:rPr>
          <w:rFonts w:asciiTheme="minorHAnsi" w:hAnsiTheme="minorHAnsi" w:cstheme="minorHAnsi"/>
          <w:vertAlign w:val="superscript"/>
        </w:rPr>
        <w:footnoteReference w:id="10"/>
      </w:r>
      <w:r>
        <w:rPr>
          <w:rFonts w:asciiTheme="minorHAnsi" w:hAnsiTheme="minorHAnsi" w:cstheme="minorHAnsi"/>
          <w:i/>
          <w:iCs/>
        </w:rPr>
        <w:t xml:space="preserve"> </w:t>
      </w:r>
      <w:r>
        <w:rPr>
          <w:rFonts w:asciiTheme="minorHAnsi" w:hAnsiTheme="minorHAnsi" w:cstheme="minorHAnsi"/>
          <w:color w:val="000000" w:themeColor="text1"/>
        </w:rPr>
        <w:t xml:space="preserve">are </w:t>
      </w:r>
      <w:r w:rsidR="00F94098">
        <w:rPr>
          <w:rFonts w:asciiTheme="minorHAnsi" w:hAnsiTheme="minorHAnsi" w:cstheme="minorHAnsi"/>
          <w:color w:val="000000" w:themeColor="text1"/>
        </w:rPr>
        <w:t>grounds for referring a case to the Preliminary Investigation Committee.</w:t>
      </w:r>
      <w:r w:rsidR="00F94098">
        <w:rPr>
          <w:rFonts w:asciiTheme="minorHAnsi" w:hAnsiTheme="minorHAnsi" w:cstheme="minorHAnsi"/>
        </w:rPr>
        <w:t xml:space="preserve"> M</w:t>
      </w:r>
      <w:r w:rsidR="00EE1145">
        <w:rPr>
          <w:rFonts w:asciiTheme="minorHAnsi" w:hAnsiTheme="minorHAnsi" w:cstheme="minorHAnsi"/>
        </w:rPr>
        <w:t>ost c</w:t>
      </w:r>
      <w:r w:rsidR="0021214C">
        <w:rPr>
          <w:rFonts w:asciiTheme="minorHAnsi" w:hAnsiTheme="minorHAnsi" w:cstheme="minorHAnsi"/>
        </w:rPr>
        <w:t xml:space="preserve">omplaints </w:t>
      </w:r>
      <w:r w:rsidR="00EE1145">
        <w:rPr>
          <w:rFonts w:asciiTheme="minorHAnsi" w:hAnsiTheme="minorHAnsi" w:cstheme="minorHAnsi"/>
        </w:rPr>
        <w:t xml:space="preserve">are dealt with at </w:t>
      </w:r>
      <w:r w:rsidR="002B0DF0">
        <w:rPr>
          <w:rFonts w:asciiTheme="minorHAnsi" w:hAnsiTheme="minorHAnsi" w:cstheme="minorHAnsi"/>
        </w:rPr>
        <w:t>S</w:t>
      </w:r>
      <w:r w:rsidR="00EE1145">
        <w:rPr>
          <w:rFonts w:asciiTheme="minorHAnsi" w:hAnsiTheme="minorHAnsi" w:cstheme="minorHAnsi"/>
        </w:rPr>
        <w:t>tages</w:t>
      </w:r>
      <w:r w:rsidR="002B0DF0">
        <w:rPr>
          <w:rFonts w:asciiTheme="minorHAnsi" w:hAnsiTheme="minorHAnsi" w:cstheme="minorHAnsi"/>
        </w:rPr>
        <w:t xml:space="preserve"> 1 and 2</w:t>
      </w:r>
      <w:r w:rsidR="002037B2">
        <w:rPr>
          <w:rFonts w:asciiTheme="minorHAnsi" w:hAnsiTheme="minorHAnsi" w:cstheme="minorHAnsi"/>
        </w:rPr>
        <w:t xml:space="preserve">; </w:t>
      </w:r>
      <w:r w:rsidR="00C729BB">
        <w:rPr>
          <w:rFonts w:asciiTheme="minorHAnsi" w:hAnsiTheme="minorHAnsi" w:cstheme="minorHAnsi"/>
        </w:rPr>
        <w:t>f</w:t>
      </w:r>
      <w:r w:rsidR="00043AC5">
        <w:rPr>
          <w:rFonts w:asciiTheme="minorHAnsi" w:hAnsiTheme="minorHAnsi" w:cstheme="minorHAnsi"/>
        </w:rPr>
        <w:t xml:space="preserve">or example, </w:t>
      </w:r>
      <w:r w:rsidR="00667130">
        <w:rPr>
          <w:rFonts w:asciiTheme="minorHAnsi" w:hAnsiTheme="minorHAnsi" w:cstheme="minorHAnsi"/>
        </w:rPr>
        <w:t>out of</w:t>
      </w:r>
      <w:r w:rsidR="00EE1145">
        <w:rPr>
          <w:rFonts w:asciiTheme="minorHAnsi" w:hAnsiTheme="minorHAnsi" w:cstheme="minorHAnsi"/>
        </w:rPr>
        <w:t xml:space="preserve"> 539 concerns about veterinary surgeons raised in 2017-18,</w:t>
      </w:r>
      <w:r w:rsidR="00EE1145">
        <w:rPr>
          <w:rStyle w:val="FootnoteReference"/>
          <w:rFonts w:cstheme="minorHAnsi"/>
        </w:rPr>
        <w:footnoteReference w:id="11"/>
      </w:r>
      <w:r w:rsidR="00EE1145">
        <w:rPr>
          <w:rFonts w:asciiTheme="minorHAnsi" w:hAnsiTheme="minorHAnsi" w:cstheme="minorHAnsi"/>
        </w:rPr>
        <w:t xml:space="preserve"> only 29 cases </w:t>
      </w:r>
      <w:r w:rsidR="001672DF">
        <w:rPr>
          <w:rFonts w:asciiTheme="minorHAnsi" w:hAnsiTheme="minorHAnsi" w:cstheme="minorHAnsi"/>
        </w:rPr>
        <w:t>progressed to</w:t>
      </w:r>
      <w:r w:rsidR="00EE1145">
        <w:rPr>
          <w:rFonts w:asciiTheme="minorHAnsi" w:hAnsiTheme="minorHAnsi" w:cstheme="minorHAnsi"/>
        </w:rPr>
        <w:t xml:space="preserve"> hear</w:t>
      </w:r>
      <w:r w:rsidR="001672DF">
        <w:rPr>
          <w:rFonts w:asciiTheme="minorHAnsi" w:hAnsiTheme="minorHAnsi" w:cstheme="minorHAnsi"/>
        </w:rPr>
        <w:t>ings</w:t>
      </w:r>
      <w:r w:rsidR="00EE1145">
        <w:rPr>
          <w:rFonts w:asciiTheme="minorHAnsi" w:hAnsiTheme="minorHAnsi" w:cstheme="minorHAnsi"/>
        </w:rPr>
        <w:t xml:space="preserve"> by the Disciplinary Committee </w:t>
      </w:r>
      <w:r w:rsidR="001672DF">
        <w:rPr>
          <w:rFonts w:asciiTheme="minorHAnsi" w:hAnsiTheme="minorHAnsi" w:cstheme="minorHAnsi"/>
        </w:rPr>
        <w:t>from</w:t>
      </w:r>
      <w:r w:rsidR="00EE1145">
        <w:rPr>
          <w:rFonts w:asciiTheme="minorHAnsi" w:hAnsiTheme="minorHAnsi" w:cstheme="minorHAnsi"/>
        </w:rPr>
        <w:t xml:space="preserve"> 1</w:t>
      </w:r>
      <w:r w:rsidR="00EE1145" w:rsidRPr="00C6221C">
        <w:rPr>
          <w:rFonts w:asciiTheme="minorHAnsi" w:hAnsiTheme="minorHAnsi" w:cstheme="minorHAnsi"/>
          <w:vertAlign w:val="superscript"/>
        </w:rPr>
        <w:t>st</w:t>
      </w:r>
      <w:r w:rsidR="00EE1145">
        <w:rPr>
          <w:rFonts w:asciiTheme="minorHAnsi" w:hAnsiTheme="minorHAnsi" w:cstheme="minorHAnsi"/>
        </w:rPr>
        <w:t xml:space="preserve"> April 2018 </w:t>
      </w:r>
      <w:r w:rsidR="001672DF">
        <w:rPr>
          <w:rFonts w:asciiTheme="minorHAnsi" w:hAnsiTheme="minorHAnsi" w:cstheme="minorHAnsi"/>
        </w:rPr>
        <w:t>to</w:t>
      </w:r>
      <w:r w:rsidR="00EE1145">
        <w:rPr>
          <w:rFonts w:asciiTheme="minorHAnsi" w:hAnsiTheme="minorHAnsi" w:cstheme="minorHAnsi"/>
        </w:rPr>
        <w:t xml:space="preserve"> 1</w:t>
      </w:r>
      <w:r w:rsidR="00EE1145" w:rsidRPr="001C3DC3">
        <w:rPr>
          <w:rFonts w:asciiTheme="minorHAnsi" w:hAnsiTheme="minorHAnsi" w:cstheme="minorHAnsi"/>
          <w:vertAlign w:val="superscript"/>
        </w:rPr>
        <w:t>st</w:t>
      </w:r>
      <w:r w:rsidR="00EE1145">
        <w:rPr>
          <w:rFonts w:asciiTheme="minorHAnsi" w:hAnsiTheme="minorHAnsi" w:cstheme="minorHAnsi"/>
        </w:rPr>
        <w:t xml:space="preserve"> June 2019</w:t>
      </w:r>
      <w:r w:rsidR="002037B2">
        <w:rPr>
          <w:rFonts w:asciiTheme="minorHAnsi" w:hAnsiTheme="minorHAnsi" w:cstheme="minorHAnsi"/>
        </w:rPr>
        <w:t>.</w:t>
      </w:r>
      <w:r w:rsidR="00EE1145">
        <w:rPr>
          <w:rStyle w:val="FootnoteReference"/>
          <w:rFonts w:cstheme="minorHAnsi"/>
        </w:rPr>
        <w:footnoteReference w:id="12"/>
      </w:r>
      <w:r w:rsidR="00844B6A">
        <w:rPr>
          <w:rFonts w:asciiTheme="minorHAnsi" w:hAnsiTheme="minorHAnsi" w:cstheme="minorHAnsi"/>
        </w:rPr>
        <w:t xml:space="preserve"> </w:t>
      </w:r>
      <w:r w:rsidR="002037B2">
        <w:rPr>
          <w:rFonts w:asciiTheme="minorHAnsi" w:hAnsiTheme="minorHAnsi" w:cstheme="minorHAnsi"/>
        </w:rPr>
        <w:t>Nevertheless, a</w:t>
      </w:r>
      <w:r w:rsidR="00E10E6B">
        <w:rPr>
          <w:rFonts w:asciiTheme="minorHAnsi" w:hAnsiTheme="minorHAnsi" w:cstheme="minorHAnsi"/>
        </w:rPr>
        <w:t xml:space="preserve"> sufficient number of cases involving failure to obtain consent</w:t>
      </w:r>
      <w:r w:rsidR="00571284">
        <w:rPr>
          <w:rFonts w:asciiTheme="minorHAnsi" w:hAnsiTheme="minorHAnsi" w:cstheme="minorHAnsi"/>
        </w:rPr>
        <w:t xml:space="preserve"> progressed to</w:t>
      </w:r>
      <w:r w:rsidR="00E10E6B">
        <w:rPr>
          <w:rFonts w:asciiTheme="minorHAnsi" w:hAnsiTheme="minorHAnsi" w:cstheme="minorHAnsi"/>
        </w:rPr>
        <w:t xml:space="preserve"> hear</w:t>
      </w:r>
      <w:r w:rsidR="00571284">
        <w:rPr>
          <w:rFonts w:asciiTheme="minorHAnsi" w:hAnsiTheme="minorHAnsi" w:cstheme="minorHAnsi"/>
        </w:rPr>
        <w:t>ings</w:t>
      </w:r>
      <w:r w:rsidR="00E10E6B">
        <w:rPr>
          <w:rFonts w:asciiTheme="minorHAnsi" w:hAnsiTheme="minorHAnsi" w:cstheme="minorHAnsi"/>
        </w:rPr>
        <w:t xml:space="preserve"> by the </w:t>
      </w:r>
      <w:r w:rsidR="00A11E70">
        <w:rPr>
          <w:rFonts w:asciiTheme="minorHAnsi" w:hAnsiTheme="minorHAnsi" w:cstheme="minorHAnsi"/>
        </w:rPr>
        <w:t xml:space="preserve">Disciplinary </w:t>
      </w:r>
      <w:r w:rsidR="00E10E6B">
        <w:rPr>
          <w:rFonts w:asciiTheme="minorHAnsi" w:hAnsiTheme="minorHAnsi" w:cstheme="minorHAnsi"/>
        </w:rPr>
        <w:t>Committee to allow interrogation of the substance and outcomes of these cases.</w:t>
      </w:r>
    </w:p>
    <w:p w14:paraId="37FC1A6A" w14:textId="77777777" w:rsidR="00520738" w:rsidRDefault="00520738" w:rsidP="00EE1145">
      <w:pPr>
        <w:spacing w:line="360" w:lineRule="auto"/>
        <w:rPr>
          <w:rFonts w:asciiTheme="minorHAnsi" w:hAnsiTheme="minorHAnsi" w:cstheme="minorHAnsi"/>
        </w:rPr>
      </w:pPr>
    </w:p>
    <w:p w14:paraId="3644B56B" w14:textId="18730FC3" w:rsidR="000C0970" w:rsidRDefault="00E10E6B" w:rsidP="00680D9A">
      <w:pPr>
        <w:spacing w:line="360" w:lineRule="auto"/>
        <w:rPr>
          <w:rFonts w:asciiTheme="minorHAnsi" w:hAnsiTheme="minorHAnsi" w:cstheme="minorHAnsi"/>
        </w:rPr>
      </w:pPr>
      <w:r>
        <w:rPr>
          <w:rFonts w:asciiTheme="minorHAnsi" w:hAnsiTheme="minorHAnsi" w:cstheme="minorHAnsi"/>
        </w:rPr>
        <w:t>Second, and perhaps more importantly,</w:t>
      </w:r>
      <w:r w:rsidR="001144E7">
        <w:rPr>
          <w:rFonts w:asciiTheme="minorHAnsi" w:hAnsiTheme="minorHAnsi" w:cstheme="minorHAnsi"/>
        </w:rPr>
        <w:t xml:space="preserve"> </w:t>
      </w:r>
      <w:r w:rsidR="0065597A">
        <w:rPr>
          <w:rFonts w:asciiTheme="minorHAnsi" w:hAnsiTheme="minorHAnsi" w:cstheme="minorHAnsi"/>
        </w:rPr>
        <w:t xml:space="preserve">the </w:t>
      </w:r>
      <w:r w:rsidR="00043AC5">
        <w:rPr>
          <w:rFonts w:asciiTheme="minorHAnsi" w:hAnsiTheme="minorHAnsi" w:cstheme="minorHAnsi"/>
        </w:rPr>
        <w:t>RCVS</w:t>
      </w:r>
      <w:r w:rsidR="0065597A">
        <w:rPr>
          <w:rFonts w:asciiTheme="minorHAnsi" w:hAnsiTheme="minorHAnsi" w:cstheme="minorHAnsi"/>
        </w:rPr>
        <w:t>’s</w:t>
      </w:r>
      <w:r w:rsidR="001144E7">
        <w:rPr>
          <w:rFonts w:asciiTheme="minorHAnsi" w:hAnsiTheme="minorHAnsi" w:cstheme="minorHAnsi"/>
        </w:rPr>
        <w:t xml:space="preserve"> guidance on communication and consent</w:t>
      </w:r>
      <w:r w:rsidR="008D14F4">
        <w:rPr>
          <w:rFonts w:asciiTheme="minorHAnsi" w:hAnsiTheme="minorHAnsi" w:cstheme="minorHAnsi"/>
        </w:rPr>
        <w:t xml:space="preserve"> underwent major </w:t>
      </w:r>
      <w:r w:rsidR="00B80B3F">
        <w:rPr>
          <w:rFonts w:asciiTheme="minorHAnsi" w:hAnsiTheme="minorHAnsi" w:cstheme="minorHAnsi"/>
        </w:rPr>
        <w:t>review</w:t>
      </w:r>
      <w:r w:rsidR="001144E7">
        <w:rPr>
          <w:rFonts w:asciiTheme="minorHAnsi" w:hAnsiTheme="minorHAnsi" w:cstheme="minorHAnsi"/>
        </w:rPr>
        <w:t xml:space="preserve"> in March 2018</w:t>
      </w:r>
      <w:r w:rsidR="008D14F4">
        <w:rPr>
          <w:rFonts w:asciiTheme="minorHAnsi" w:hAnsiTheme="minorHAnsi" w:cstheme="minorHAnsi"/>
        </w:rPr>
        <w:t xml:space="preserve">, with further updates in </w:t>
      </w:r>
      <w:r w:rsidR="00B80B3F">
        <w:rPr>
          <w:rFonts w:asciiTheme="minorHAnsi" w:hAnsiTheme="minorHAnsi" w:cstheme="minorHAnsi"/>
        </w:rPr>
        <w:t xml:space="preserve">October 2019 and </w:t>
      </w:r>
      <w:r w:rsidR="008D14F4">
        <w:rPr>
          <w:rFonts w:asciiTheme="minorHAnsi" w:hAnsiTheme="minorHAnsi" w:cstheme="minorHAnsi"/>
        </w:rPr>
        <w:t>June 2020</w:t>
      </w:r>
      <w:r w:rsidR="003C4705">
        <w:rPr>
          <w:rFonts w:asciiTheme="minorHAnsi" w:hAnsiTheme="minorHAnsi" w:cstheme="minorHAnsi"/>
        </w:rPr>
        <w:t>.</w:t>
      </w:r>
      <w:r w:rsidR="001144E7">
        <w:rPr>
          <w:rStyle w:val="FootnoteReference"/>
          <w:rFonts w:cstheme="minorHAnsi"/>
        </w:rPr>
        <w:footnoteReference w:id="13"/>
      </w:r>
      <w:r w:rsidR="007D516A">
        <w:rPr>
          <w:rFonts w:asciiTheme="minorHAnsi" w:hAnsiTheme="minorHAnsi" w:cstheme="minorHAnsi"/>
        </w:rPr>
        <w:t xml:space="preserve"> </w:t>
      </w:r>
      <w:r w:rsidR="00F94098">
        <w:rPr>
          <w:rFonts w:asciiTheme="minorHAnsi" w:hAnsiTheme="minorHAnsi" w:cstheme="minorHAnsi"/>
        </w:rPr>
        <w:t xml:space="preserve">Furthermore, a </w:t>
      </w:r>
      <w:r w:rsidR="00194479">
        <w:rPr>
          <w:rFonts w:asciiTheme="minorHAnsi" w:hAnsiTheme="minorHAnsi" w:cstheme="minorHAnsi"/>
        </w:rPr>
        <w:t xml:space="preserve">direct link </w:t>
      </w:r>
      <w:r w:rsidR="001672DF">
        <w:rPr>
          <w:rFonts w:asciiTheme="minorHAnsi" w:hAnsiTheme="minorHAnsi" w:cstheme="minorHAnsi"/>
        </w:rPr>
        <w:t xml:space="preserve">exists </w:t>
      </w:r>
      <w:r w:rsidR="00194479">
        <w:rPr>
          <w:rFonts w:asciiTheme="minorHAnsi" w:hAnsiTheme="minorHAnsi" w:cstheme="minorHAnsi"/>
        </w:rPr>
        <w:t xml:space="preserve">between the disciplinary </w:t>
      </w:r>
      <w:r w:rsidR="002B0DF0">
        <w:rPr>
          <w:rFonts w:asciiTheme="minorHAnsi" w:hAnsiTheme="minorHAnsi" w:cstheme="minorHAnsi"/>
        </w:rPr>
        <w:t>process</w:t>
      </w:r>
      <w:r w:rsidR="00194479">
        <w:rPr>
          <w:rFonts w:asciiTheme="minorHAnsi" w:hAnsiTheme="minorHAnsi" w:cstheme="minorHAnsi"/>
        </w:rPr>
        <w:t>es of the College and the committee that reviews professional ethical guidance</w:t>
      </w:r>
      <w:r w:rsidR="002B0DF0">
        <w:rPr>
          <w:rFonts w:asciiTheme="minorHAnsi" w:hAnsiTheme="minorHAnsi" w:cstheme="minorHAnsi"/>
        </w:rPr>
        <w:t>; s</w:t>
      </w:r>
      <w:r w:rsidR="00194479">
        <w:rPr>
          <w:rFonts w:asciiTheme="minorHAnsi" w:hAnsiTheme="minorHAnsi" w:cstheme="minorHAnsi"/>
        </w:rPr>
        <w:t xml:space="preserve">pecifically, </w:t>
      </w:r>
      <w:r w:rsidR="002037B2">
        <w:rPr>
          <w:rFonts w:asciiTheme="minorHAnsi" w:hAnsiTheme="minorHAnsi" w:cstheme="minorHAnsi"/>
        </w:rPr>
        <w:lastRenderedPageBreak/>
        <w:t>membership of</w:t>
      </w:r>
      <w:r w:rsidR="00A11E70">
        <w:rPr>
          <w:rFonts w:asciiTheme="minorHAnsi" w:hAnsiTheme="minorHAnsi" w:cstheme="minorHAnsi"/>
        </w:rPr>
        <w:t xml:space="preserve"> </w:t>
      </w:r>
      <w:r w:rsidR="002037B2">
        <w:rPr>
          <w:rFonts w:asciiTheme="minorHAnsi" w:hAnsiTheme="minorHAnsi" w:cstheme="minorHAnsi"/>
        </w:rPr>
        <w:t>the</w:t>
      </w:r>
      <w:r w:rsidR="00194479" w:rsidRPr="00194479">
        <w:rPr>
          <w:rFonts w:asciiTheme="minorHAnsi" w:hAnsiTheme="minorHAnsi" w:cstheme="minorHAnsi"/>
        </w:rPr>
        <w:t xml:space="preserve"> liaison committee that serves to report findings from the PIC and DC</w:t>
      </w:r>
      <w:r w:rsidR="002037B2">
        <w:rPr>
          <w:rFonts w:asciiTheme="minorHAnsi" w:hAnsiTheme="minorHAnsi" w:cstheme="minorHAnsi"/>
        </w:rPr>
        <w:t xml:space="preserve"> </w:t>
      </w:r>
      <w:r w:rsidR="00194479" w:rsidRPr="00194479">
        <w:rPr>
          <w:rFonts w:asciiTheme="minorHAnsi" w:hAnsiTheme="minorHAnsi" w:cstheme="minorHAnsi"/>
        </w:rPr>
        <w:t xml:space="preserve">includes the Chair of the Standards Committee, </w:t>
      </w:r>
      <w:r w:rsidR="00A11E70">
        <w:rPr>
          <w:rFonts w:asciiTheme="minorHAnsi" w:hAnsiTheme="minorHAnsi" w:cstheme="minorHAnsi"/>
        </w:rPr>
        <w:t>the latter being</w:t>
      </w:r>
      <w:r w:rsidR="00194479" w:rsidRPr="00194479">
        <w:rPr>
          <w:rFonts w:asciiTheme="minorHAnsi" w:hAnsiTheme="minorHAnsi" w:cstheme="minorHAnsi"/>
        </w:rPr>
        <w:t xml:space="preserve"> responsible for producing guidance on standards of professional conduc</w:t>
      </w:r>
      <w:r w:rsidR="00194479">
        <w:rPr>
          <w:rFonts w:asciiTheme="minorHAnsi" w:hAnsiTheme="minorHAnsi" w:cstheme="minorHAnsi"/>
        </w:rPr>
        <w:t>t.</w:t>
      </w:r>
      <w:r w:rsidR="00194479">
        <w:rPr>
          <w:rStyle w:val="FootnoteReference"/>
          <w:rFonts w:cstheme="minorHAnsi"/>
        </w:rPr>
        <w:footnoteReference w:id="14"/>
      </w:r>
      <w:r w:rsidR="00194479">
        <w:rPr>
          <w:rFonts w:asciiTheme="minorHAnsi" w:hAnsiTheme="minorHAnsi" w:cstheme="minorHAnsi"/>
        </w:rPr>
        <w:t xml:space="preserve"> </w:t>
      </w:r>
      <w:r w:rsidR="007D516A">
        <w:rPr>
          <w:rFonts w:asciiTheme="minorHAnsi" w:hAnsiTheme="minorHAnsi" w:cstheme="minorHAnsi"/>
        </w:rPr>
        <w:t xml:space="preserve">Thus, any </w:t>
      </w:r>
      <w:r w:rsidR="00194479">
        <w:rPr>
          <w:rFonts w:asciiTheme="minorHAnsi" w:hAnsiTheme="minorHAnsi" w:cstheme="minorHAnsi"/>
        </w:rPr>
        <w:t xml:space="preserve">disciplinary </w:t>
      </w:r>
      <w:r w:rsidR="007D516A">
        <w:rPr>
          <w:rFonts w:asciiTheme="minorHAnsi" w:hAnsiTheme="minorHAnsi" w:cstheme="minorHAnsi"/>
        </w:rPr>
        <w:t xml:space="preserve">cases that were </w:t>
      </w:r>
      <w:r w:rsidR="0065597A">
        <w:rPr>
          <w:rFonts w:asciiTheme="minorHAnsi" w:hAnsiTheme="minorHAnsi" w:cstheme="minorHAnsi"/>
        </w:rPr>
        <w:t>proceed</w:t>
      </w:r>
      <w:r w:rsidR="007D516A">
        <w:rPr>
          <w:rFonts w:asciiTheme="minorHAnsi" w:hAnsiTheme="minorHAnsi" w:cstheme="minorHAnsi"/>
        </w:rPr>
        <w:t xml:space="preserve">ing through </w:t>
      </w:r>
      <w:r w:rsidR="00194479">
        <w:rPr>
          <w:rFonts w:asciiTheme="minorHAnsi" w:hAnsiTheme="minorHAnsi" w:cstheme="minorHAnsi"/>
        </w:rPr>
        <w:t>Stages 2 and 3</w:t>
      </w:r>
      <w:r w:rsidR="007D516A">
        <w:rPr>
          <w:rFonts w:asciiTheme="minorHAnsi" w:hAnsiTheme="minorHAnsi" w:cstheme="minorHAnsi"/>
        </w:rPr>
        <w:t xml:space="preserve"> </w:t>
      </w:r>
      <w:r w:rsidR="0065597A">
        <w:rPr>
          <w:rFonts w:asciiTheme="minorHAnsi" w:hAnsiTheme="minorHAnsi" w:cstheme="minorHAnsi"/>
        </w:rPr>
        <w:t>immediately prior to, or during, th</w:t>
      </w:r>
      <w:r w:rsidR="00194479">
        <w:rPr>
          <w:rFonts w:asciiTheme="minorHAnsi" w:hAnsiTheme="minorHAnsi" w:cstheme="minorHAnsi"/>
        </w:rPr>
        <w:t>e</w:t>
      </w:r>
      <w:r w:rsidR="0065597A">
        <w:rPr>
          <w:rFonts w:asciiTheme="minorHAnsi" w:hAnsiTheme="minorHAnsi" w:cstheme="minorHAnsi"/>
        </w:rPr>
        <w:t xml:space="preserve"> review</w:t>
      </w:r>
      <w:r w:rsidR="00194479">
        <w:rPr>
          <w:rFonts w:asciiTheme="minorHAnsi" w:hAnsiTheme="minorHAnsi" w:cstheme="minorHAnsi"/>
        </w:rPr>
        <w:t xml:space="preserve"> of the consent guidance</w:t>
      </w:r>
      <w:r w:rsidR="002037B2">
        <w:rPr>
          <w:rFonts w:asciiTheme="minorHAnsi" w:hAnsiTheme="minorHAnsi" w:cstheme="minorHAnsi"/>
        </w:rPr>
        <w:t xml:space="preserve"> were available for analysis to determine</w:t>
      </w:r>
      <w:r w:rsidR="00E00317">
        <w:rPr>
          <w:rFonts w:asciiTheme="minorHAnsi" w:hAnsiTheme="minorHAnsi" w:cstheme="minorHAnsi"/>
        </w:rPr>
        <w:t xml:space="preserve"> </w:t>
      </w:r>
      <w:r w:rsidR="00194479">
        <w:rPr>
          <w:rFonts w:asciiTheme="minorHAnsi" w:hAnsiTheme="minorHAnsi" w:cstheme="minorHAnsi"/>
        </w:rPr>
        <w:t xml:space="preserve">their potential to </w:t>
      </w:r>
      <w:r w:rsidR="00E00317">
        <w:rPr>
          <w:rFonts w:asciiTheme="minorHAnsi" w:hAnsiTheme="minorHAnsi" w:cstheme="minorHAnsi"/>
        </w:rPr>
        <w:t>direct</w:t>
      </w:r>
      <w:r w:rsidR="00194479">
        <w:rPr>
          <w:rFonts w:asciiTheme="minorHAnsi" w:hAnsiTheme="minorHAnsi" w:cstheme="minorHAnsi"/>
        </w:rPr>
        <w:t>ly influence</w:t>
      </w:r>
      <w:r w:rsidR="007D516A">
        <w:rPr>
          <w:rFonts w:asciiTheme="minorHAnsi" w:hAnsiTheme="minorHAnsi" w:cstheme="minorHAnsi"/>
        </w:rPr>
        <w:t xml:space="preserve"> th</w:t>
      </w:r>
      <w:r w:rsidR="0065597A">
        <w:rPr>
          <w:rFonts w:asciiTheme="minorHAnsi" w:hAnsiTheme="minorHAnsi" w:cstheme="minorHAnsi"/>
        </w:rPr>
        <w:t>e revis</w:t>
      </w:r>
      <w:r w:rsidR="001672DF">
        <w:rPr>
          <w:rFonts w:asciiTheme="minorHAnsi" w:hAnsiTheme="minorHAnsi" w:cstheme="minorHAnsi"/>
        </w:rPr>
        <w:t>ions</w:t>
      </w:r>
      <w:r w:rsidR="007D516A">
        <w:rPr>
          <w:rFonts w:asciiTheme="minorHAnsi" w:hAnsiTheme="minorHAnsi" w:cstheme="minorHAnsi"/>
        </w:rPr>
        <w:t>.</w:t>
      </w:r>
      <w:r w:rsidR="00194479">
        <w:rPr>
          <w:rFonts w:asciiTheme="minorHAnsi" w:hAnsiTheme="minorHAnsi" w:cstheme="minorHAnsi"/>
        </w:rPr>
        <w:t xml:space="preserve"> </w:t>
      </w:r>
    </w:p>
    <w:p w14:paraId="42B1D42B" w14:textId="79CE81D6" w:rsidR="00CB7736" w:rsidRDefault="00CB7736" w:rsidP="00680D9A">
      <w:pPr>
        <w:spacing w:line="360" w:lineRule="auto"/>
        <w:rPr>
          <w:rFonts w:asciiTheme="minorHAnsi" w:hAnsiTheme="minorHAnsi" w:cstheme="minorHAnsi"/>
        </w:rPr>
      </w:pPr>
    </w:p>
    <w:p w14:paraId="0257E236" w14:textId="0BCB05F3" w:rsidR="00CB7736" w:rsidRPr="00CB7736" w:rsidRDefault="00CB7736" w:rsidP="00680D9A">
      <w:pPr>
        <w:spacing w:line="360" w:lineRule="auto"/>
        <w:rPr>
          <w:rFonts w:asciiTheme="minorHAnsi" w:hAnsiTheme="minorHAnsi" w:cstheme="minorHAnsi"/>
          <w:b/>
          <w:bCs/>
        </w:rPr>
      </w:pPr>
      <w:r w:rsidRPr="00CB7736">
        <w:rPr>
          <w:rFonts w:asciiTheme="minorHAnsi" w:hAnsiTheme="minorHAnsi" w:cstheme="minorHAnsi"/>
          <w:b/>
          <w:bCs/>
        </w:rPr>
        <w:t>Informed consent in veterinary medicine</w:t>
      </w:r>
    </w:p>
    <w:p w14:paraId="12351A6C" w14:textId="4782AF89" w:rsidR="00F21770" w:rsidRDefault="00E00317" w:rsidP="00962631">
      <w:pPr>
        <w:spacing w:line="360" w:lineRule="auto"/>
        <w:rPr>
          <w:rFonts w:asciiTheme="minorHAnsi" w:hAnsiTheme="minorHAnsi" w:cstheme="minorHAnsi"/>
        </w:rPr>
      </w:pPr>
      <w:r>
        <w:rPr>
          <w:rFonts w:asciiTheme="minorHAnsi" w:hAnsiTheme="minorHAnsi" w:cstheme="minorHAnsi"/>
        </w:rPr>
        <w:t>Informed consent is a professional requirement for veterinary treatment. As t</w:t>
      </w:r>
      <w:r w:rsidR="008D14F4">
        <w:rPr>
          <w:rFonts w:asciiTheme="minorHAnsi" w:hAnsiTheme="minorHAnsi" w:cstheme="minorHAnsi"/>
        </w:rPr>
        <w:t xml:space="preserve">he RCVS </w:t>
      </w:r>
      <w:r w:rsidR="00680D9A" w:rsidRPr="00F72F9B">
        <w:rPr>
          <w:rFonts w:asciiTheme="minorHAnsi" w:hAnsiTheme="minorHAnsi" w:cstheme="minorHAnsi"/>
        </w:rPr>
        <w:t>stipulat</w:t>
      </w:r>
      <w:r>
        <w:rPr>
          <w:rFonts w:asciiTheme="minorHAnsi" w:hAnsiTheme="minorHAnsi" w:cstheme="minorHAnsi"/>
        </w:rPr>
        <w:t>es</w:t>
      </w:r>
      <w:r w:rsidR="00680D9A">
        <w:rPr>
          <w:rFonts w:asciiTheme="minorHAnsi" w:hAnsiTheme="minorHAnsi" w:cstheme="minorHAnsi"/>
        </w:rPr>
        <w:t xml:space="preserve"> in its Code of Professional Conduct</w:t>
      </w:r>
      <w:r w:rsidR="006978A2">
        <w:rPr>
          <w:rFonts w:asciiTheme="minorHAnsi" w:hAnsiTheme="minorHAnsi" w:cstheme="minorHAnsi"/>
        </w:rPr>
        <w:t xml:space="preserve"> (CoPC)</w:t>
      </w:r>
      <w:r>
        <w:rPr>
          <w:rFonts w:asciiTheme="minorHAnsi" w:hAnsiTheme="minorHAnsi" w:cstheme="minorHAnsi"/>
        </w:rPr>
        <w:t xml:space="preserve">, </w:t>
      </w:r>
      <w:r w:rsidR="00F21770">
        <w:rPr>
          <w:rFonts w:asciiTheme="minorHAnsi" w:hAnsiTheme="minorHAnsi" w:cstheme="minorHAnsi"/>
        </w:rPr>
        <w:t xml:space="preserve">which sets out professional responsibilities, </w:t>
      </w:r>
      <w:r w:rsidR="00680D9A">
        <w:rPr>
          <w:rFonts w:asciiTheme="minorHAnsi" w:hAnsiTheme="minorHAnsi" w:cstheme="minorHAnsi"/>
        </w:rPr>
        <w:t xml:space="preserve">registered veterinary surgeons must </w:t>
      </w:r>
      <w:r w:rsidR="00680D9A" w:rsidRPr="00F72F9B">
        <w:rPr>
          <w:rFonts w:asciiTheme="minorHAnsi" w:hAnsiTheme="minorHAnsi" w:cstheme="minorHAnsi"/>
          <w:i/>
          <w:iCs/>
          <w:color w:val="000000"/>
          <w:shd w:val="clear" w:color="auto" w:fill="FFFFFF"/>
        </w:rPr>
        <w:t>"ensure informed consent is obtained before treatments or procedures are carried ou</w:t>
      </w:r>
      <w:r w:rsidR="00E10E6B">
        <w:rPr>
          <w:rFonts w:asciiTheme="minorHAnsi" w:hAnsiTheme="minorHAnsi" w:cstheme="minorHAnsi"/>
          <w:i/>
          <w:iCs/>
          <w:color w:val="000000"/>
          <w:shd w:val="clear" w:color="auto" w:fill="FFFFFF"/>
        </w:rPr>
        <w:t>t</w:t>
      </w:r>
      <w:r>
        <w:rPr>
          <w:rFonts w:asciiTheme="minorHAnsi" w:hAnsiTheme="minorHAnsi" w:cstheme="minorHAnsi"/>
          <w:i/>
          <w:iCs/>
          <w:color w:val="000000"/>
          <w:shd w:val="clear" w:color="auto" w:fill="FFFFFF"/>
        </w:rPr>
        <w:t>.</w:t>
      </w:r>
      <w:r w:rsidR="00680D9A" w:rsidRPr="00F72F9B">
        <w:rPr>
          <w:rFonts w:asciiTheme="minorHAnsi" w:hAnsiTheme="minorHAnsi" w:cstheme="minorHAnsi"/>
          <w:i/>
          <w:iCs/>
          <w:color w:val="000000"/>
          <w:shd w:val="clear" w:color="auto" w:fill="FFFFFF"/>
        </w:rPr>
        <w:t>"</w:t>
      </w:r>
      <w:r w:rsidR="00680D9A" w:rsidRPr="00997B38">
        <w:rPr>
          <w:rStyle w:val="FootnoteReference"/>
          <w:rFonts w:cstheme="minorHAnsi"/>
          <w:color w:val="000000"/>
          <w:shd w:val="clear" w:color="auto" w:fill="FFFFFF"/>
        </w:rPr>
        <w:footnoteReference w:id="15"/>
      </w:r>
      <w:r w:rsidR="00E10E6B">
        <w:rPr>
          <w:rFonts w:asciiTheme="minorHAnsi" w:hAnsiTheme="minorHAnsi" w:cstheme="minorHAnsi"/>
          <w:i/>
          <w:iCs/>
          <w:color w:val="000000"/>
          <w:shd w:val="clear" w:color="auto" w:fill="FFFFFF"/>
        </w:rPr>
        <w:t xml:space="preserve"> </w:t>
      </w:r>
      <w:r>
        <w:rPr>
          <w:rFonts w:asciiTheme="minorHAnsi" w:hAnsiTheme="minorHAnsi" w:cstheme="minorHAnsi"/>
          <w:color w:val="000000"/>
          <w:shd w:val="clear" w:color="auto" w:fill="FFFFFF"/>
        </w:rPr>
        <w:t>Th</w:t>
      </w:r>
      <w:r w:rsidR="00411B99">
        <w:rPr>
          <w:rFonts w:asciiTheme="minorHAnsi" w:hAnsiTheme="minorHAnsi" w:cstheme="minorHAnsi"/>
          <w:color w:val="000000"/>
          <w:shd w:val="clear" w:color="auto" w:fill="FFFFFF"/>
        </w:rPr>
        <w:t xml:space="preserve">e details of what </w:t>
      </w:r>
      <w:r w:rsidR="001672DF">
        <w:rPr>
          <w:rFonts w:asciiTheme="minorHAnsi" w:hAnsiTheme="minorHAnsi" w:cstheme="minorHAnsi"/>
          <w:color w:val="000000"/>
          <w:shd w:val="clear" w:color="auto" w:fill="FFFFFF"/>
        </w:rPr>
        <w:t xml:space="preserve">that </w:t>
      </w:r>
      <w:r w:rsidR="00411B99">
        <w:rPr>
          <w:rFonts w:asciiTheme="minorHAnsi" w:hAnsiTheme="minorHAnsi" w:cstheme="minorHAnsi"/>
          <w:color w:val="000000"/>
          <w:shd w:val="clear" w:color="auto" w:fill="FFFFFF"/>
        </w:rPr>
        <w:t xml:space="preserve">informed consent </w:t>
      </w:r>
      <w:r w:rsidR="001672DF">
        <w:rPr>
          <w:rFonts w:asciiTheme="minorHAnsi" w:hAnsiTheme="minorHAnsi" w:cstheme="minorHAnsi"/>
          <w:color w:val="000000"/>
          <w:shd w:val="clear" w:color="auto" w:fill="FFFFFF"/>
        </w:rPr>
        <w:t xml:space="preserve">should </w:t>
      </w:r>
      <w:r w:rsidR="00411B99">
        <w:rPr>
          <w:rFonts w:asciiTheme="minorHAnsi" w:hAnsiTheme="minorHAnsi" w:cstheme="minorHAnsi"/>
          <w:color w:val="000000"/>
          <w:shd w:val="clear" w:color="auto" w:fill="FFFFFF"/>
        </w:rPr>
        <w:t>entail are expanded in the</w:t>
      </w:r>
      <w:r w:rsidR="00E10E6B">
        <w:rPr>
          <w:rFonts w:asciiTheme="minorHAnsi" w:hAnsiTheme="minorHAnsi" w:cstheme="minorHAnsi"/>
          <w:color w:val="000000"/>
          <w:shd w:val="clear" w:color="auto" w:fill="FFFFFF"/>
        </w:rPr>
        <w:t xml:space="preserve"> </w:t>
      </w:r>
      <w:r w:rsidR="008801F8">
        <w:rPr>
          <w:rFonts w:asciiTheme="minorHAnsi" w:hAnsiTheme="minorHAnsi" w:cstheme="minorHAnsi"/>
          <w:color w:val="000000"/>
          <w:shd w:val="clear" w:color="auto" w:fill="FFFFFF"/>
        </w:rPr>
        <w:t>Code’s S</w:t>
      </w:r>
      <w:r w:rsidR="00E10E6B">
        <w:rPr>
          <w:rFonts w:asciiTheme="minorHAnsi" w:hAnsiTheme="minorHAnsi" w:cstheme="minorHAnsi"/>
          <w:color w:val="000000"/>
          <w:shd w:val="clear" w:color="auto" w:fill="FFFFFF"/>
        </w:rPr>
        <w:t xml:space="preserve">upporting </w:t>
      </w:r>
      <w:r w:rsidR="008801F8">
        <w:rPr>
          <w:rFonts w:asciiTheme="minorHAnsi" w:hAnsiTheme="minorHAnsi" w:cstheme="minorHAnsi"/>
          <w:color w:val="000000"/>
          <w:shd w:val="clear" w:color="auto" w:fill="FFFFFF"/>
        </w:rPr>
        <w:t>G</w:t>
      </w:r>
      <w:r w:rsidR="00E10E6B">
        <w:rPr>
          <w:rFonts w:asciiTheme="minorHAnsi" w:hAnsiTheme="minorHAnsi" w:cstheme="minorHAnsi"/>
          <w:color w:val="000000"/>
          <w:shd w:val="clear" w:color="auto" w:fill="FFFFFF"/>
        </w:rPr>
        <w:t>uidance</w:t>
      </w:r>
      <w:r w:rsidR="00F21770">
        <w:rPr>
          <w:rFonts w:asciiTheme="minorHAnsi" w:hAnsiTheme="minorHAnsi" w:cstheme="minorHAnsi"/>
          <w:color w:val="000000"/>
          <w:shd w:val="clear" w:color="auto" w:fill="FFFFFF"/>
        </w:rPr>
        <w:t xml:space="preserve">, which provides further </w:t>
      </w:r>
      <w:r w:rsidR="001672DF">
        <w:rPr>
          <w:rFonts w:asciiTheme="minorHAnsi" w:hAnsiTheme="minorHAnsi" w:cstheme="minorHAnsi"/>
          <w:color w:val="000000"/>
          <w:shd w:val="clear" w:color="auto" w:fill="FFFFFF"/>
        </w:rPr>
        <w:t>information</w:t>
      </w:r>
      <w:r w:rsidR="00CB7736">
        <w:rPr>
          <w:rFonts w:asciiTheme="minorHAnsi" w:hAnsiTheme="minorHAnsi" w:cstheme="minorHAnsi"/>
          <w:color w:val="000000"/>
          <w:shd w:val="clear" w:color="auto" w:fill="FFFFFF"/>
        </w:rPr>
        <w:t xml:space="preserve"> and suggestions</w:t>
      </w:r>
      <w:r w:rsidR="00F21770">
        <w:rPr>
          <w:rFonts w:asciiTheme="minorHAnsi" w:hAnsiTheme="minorHAnsi" w:cstheme="minorHAnsi"/>
          <w:color w:val="000000"/>
          <w:shd w:val="clear" w:color="auto" w:fill="FFFFFF"/>
        </w:rPr>
        <w:t xml:space="preserve"> on the standards of professional practice</w:t>
      </w:r>
      <w:r w:rsidR="00E10E6B">
        <w:rPr>
          <w:rFonts w:asciiTheme="minorHAnsi" w:hAnsiTheme="minorHAnsi" w:cstheme="minorHAnsi"/>
          <w:color w:val="000000"/>
          <w:shd w:val="clear" w:color="auto" w:fill="FFFFFF"/>
        </w:rPr>
        <w:t>.</w:t>
      </w:r>
      <w:r w:rsidR="00043AC5">
        <w:rPr>
          <w:rStyle w:val="FootnoteReference"/>
          <w:rFonts w:cstheme="minorHAnsi"/>
          <w:color w:val="000000"/>
          <w:shd w:val="clear" w:color="auto" w:fill="FFFFFF"/>
        </w:rPr>
        <w:footnoteReference w:id="16"/>
      </w:r>
      <w:r w:rsidR="00520738">
        <w:rPr>
          <w:rFonts w:asciiTheme="minorHAnsi" w:hAnsiTheme="minorHAnsi" w:cstheme="minorHAnsi"/>
        </w:rPr>
        <w:t xml:space="preserve"> </w:t>
      </w:r>
      <w:r w:rsidR="001672DF">
        <w:rPr>
          <w:rFonts w:asciiTheme="minorHAnsi" w:hAnsiTheme="minorHAnsi" w:cstheme="minorHAnsi"/>
        </w:rPr>
        <w:t>Whereas t</w:t>
      </w:r>
      <w:r w:rsidR="00F21770">
        <w:rPr>
          <w:rFonts w:asciiTheme="minorHAnsi" w:hAnsiTheme="minorHAnsi" w:cstheme="minorHAnsi"/>
        </w:rPr>
        <w:t>he language of the Code conveys that its contents are an overriding professional requirement</w:t>
      </w:r>
      <w:r w:rsidR="001672DF">
        <w:rPr>
          <w:rFonts w:asciiTheme="minorHAnsi" w:hAnsiTheme="minorHAnsi" w:cstheme="minorHAnsi"/>
        </w:rPr>
        <w:t>, with</w:t>
      </w:r>
      <w:r w:rsidR="00F21770">
        <w:rPr>
          <w:rFonts w:asciiTheme="minorHAnsi" w:hAnsiTheme="minorHAnsi" w:cstheme="minorHAnsi"/>
        </w:rPr>
        <w:t xml:space="preserve"> all statements includ</w:t>
      </w:r>
      <w:r w:rsidR="001672DF">
        <w:rPr>
          <w:rFonts w:asciiTheme="minorHAnsi" w:hAnsiTheme="minorHAnsi" w:cstheme="minorHAnsi"/>
        </w:rPr>
        <w:t>ing</w:t>
      </w:r>
      <w:r w:rsidR="00F21770">
        <w:rPr>
          <w:rFonts w:asciiTheme="minorHAnsi" w:hAnsiTheme="minorHAnsi" w:cstheme="minorHAnsi"/>
        </w:rPr>
        <w:t xml:space="preserve"> the word “must</w:t>
      </w:r>
      <w:r w:rsidR="001672DF">
        <w:rPr>
          <w:rFonts w:asciiTheme="minorHAnsi" w:hAnsiTheme="minorHAnsi" w:cstheme="minorHAnsi"/>
        </w:rPr>
        <w:t>,</w:t>
      </w:r>
      <w:r w:rsidR="00F21770">
        <w:rPr>
          <w:rFonts w:asciiTheme="minorHAnsi" w:hAnsiTheme="minorHAnsi" w:cstheme="minorHAnsi"/>
        </w:rPr>
        <w:t>”</w:t>
      </w:r>
      <w:r w:rsidR="002037B2">
        <w:rPr>
          <w:rFonts w:asciiTheme="minorHAnsi" w:hAnsiTheme="minorHAnsi" w:cstheme="minorHAnsi"/>
        </w:rPr>
        <w:t xml:space="preserve"> t</w:t>
      </w:r>
      <w:r w:rsidR="00F21770">
        <w:rPr>
          <w:rFonts w:asciiTheme="minorHAnsi" w:hAnsiTheme="minorHAnsi" w:cstheme="minorHAnsi"/>
        </w:rPr>
        <w:t xml:space="preserve">he language used in the </w:t>
      </w:r>
      <w:r w:rsidR="00F21770" w:rsidRPr="00CB7736">
        <w:rPr>
          <w:rFonts w:asciiTheme="minorHAnsi" w:hAnsiTheme="minorHAnsi" w:cstheme="minorHAnsi"/>
        </w:rPr>
        <w:t>Supporting</w:t>
      </w:r>
      <w:r w:rsidR="00F21770">
        <w:rPr>
          <w:rFonts w:asciiTheme="minorHAnsi" w:hAnsiTheme="minorHAnsi" w:cstheme="minorHAnsi"/>
        </w:rPr>
        <w:t xml:space="preserve"> Guidance</w:t>
      </w:r>
      <w:r w:rsidR="001672DF">
        <w:rPr>
          <w:rFonts w:asciiTheme="minorHAnsi" w:hAnsiTheme="minorHAnsi" w:cstheme="minorHAnsi"/>
        </w:rPr>
        <w:t xml:space="preserve">, </w:t>
      </w:r>
      <w:r w:rsidR="00F94098">
        <w:rPr>
          <w:rFonts w:asciiTheme="minorHAnsi" w:hAnsiTheme="minorHAnsi" w:cstheme="minorHAnsi"/>
        </w:rPr>
        <w:t>for example,</w:t>
      </w:r>
      <w:r w:rsidR="001672DF">
        <w:rPr>
          <w:rFonts w:asciiTheme="minorHAnsi" w:hAnsiTheme="minorHAnsi" w:cstheme="minorHAnsi"/>
        </w:rPr>
        <w:t xml:space="preserve"> “should” or “have a responsibility to,” implie</w:t>
      </w:r>
      <w:r w:rsidR="00F21770">
        <w:rPr>
          <w:rFonts w:asciiTheme="minorHAnsi" w:hAnsiTheme="minorHAnsi" w:cstheme="minorHAnsi"/>
        </w:rPr>
        <w:t>s that its contents may not apply in certain situations</w:t>
      </w:r>
      <w:r w:rsidR="00BB0B88">
        <w:rPr>
          <w:rFonts w:asciiTheme="minorHAnsi" w:hAnsiTheme="minorHAnsi" w:cstheme="minorHAnsi"/>
        </w:rPr>
        <w:t>.</w:t>
      </w:r>
      <w:r w:rsidR="00F21770">
        <w:rPr>
          <w:rFonts w:asciiTheme="minorHAnsi" w:hAnsiTheme="minorHAnsi" w:cstheme="minorHAnsi"/>
        </w:rPr>
        <w:t xml:space="preserve"> </w:t>
      </w:r>
      <w:r w:rsidR="001672DF">
        <w:rPr>
          <w:rFonts w:asciiTheme="minorHAnsi" w:hAnsiTheme="minorHAnsi" w:cstheme="minorHAnsi"/>
        </w:rPr>
        <w:t>In summary, t</w:t>
      </w:r>
      <w:r w:rsidR="006A0F3A">
        <w:rPr>
          <w:rFonts w:asciiTheme="minorHAnsi" w:hAnsiTheme="minorHAnsi" w:cstheme="minorHAnsi"/>
        </w:rPr>
        <w:t>he</w:t>
      </w:r>
      <w:r w:rsidR="001672DF">
        <w:rPr>
          <w:rFonts w:asciiTheme="minorHAnsi" w:hAnsiTheme="minorHAnsi" w:cstheme="minorHAnsi"/>
        </w:rPr>
        <w:t xml:space="preserve"> Guidance</w:t>
      </w:r>
      <w:r w:rsidR="006A0F3A">
        <w:rPr>
          <w:rFonts w:asciiTheme="minorHAnsi" w:hAnsiTheme="minorHAnsi" w:cstheme="minorHAnsi"/>
        </w:rPr>
        <w:t xml:space="preserve"> </w:t>
      </w:r>
      <w:r w:rsidR="00F21770">
        <w:rPr>
          <w:rFonts w:asciiTheme="minorHAnsi" w:hAnsiTheme="minorHAnsi" w:cstheme="minorHAnsi"/>
        </w:rPr>
        <w:t xml:space="preserve">offers ways of meeting the professional </w:t>
      </w:r>
      <w:r w:rsidR="001672DF">
        <w:rPr>
          <w:rFonts w:asciiTheme="minorHAnsi" w:hAnsiTheme="minorHAnsi" w:cstheme="minorHAnsi"/>
        </w:rPr>
        <w:t>recommendation</w:t>
      </w:r>
      <w:r w:rsidR="00F21770">
        <w:rPr>
          <w:rFonts w:asciiTheme="minorHAnsi" w:hAnsiTheme="minorHAnsi" w:cstheme="minorHAnsi"/>
        </w:rPr>
        <w:t>s</w:t>
      </w:r>
      <w:r w:rsidR="001672DF">
        <w:rPr>
          <w:rFonts w:asciiTheme="minorHAnsi" w:hAnsiTheme="minorHAnsi" w:cstheme="minorHAnsi"/>
        </w:rPr>
        <w:t xml:space="preserve"> contained in the Code.</w:t>
      </w:r>
      <w:r w:rsidR="00F21770">
        <w:rPr>
          <w:rFonts w:asciiTheme="minorHAnsi" w:hAnsiTheme="minorHAnsi" w:cstheme="minorHAnsi"/>
        </w:rPr>
        <w:t xml:space="preserve"> </w:t>
      </w:r>
    </w:p>
    <w:p w14:paraId="2374A309" w14:textId="77777777" w:rsidR="00F21770" w:rsidRDefault="00F21770" w:rsidP="00962631">
      <w:pPr>
        <w:spacing w:line="360" w:lineRule="auto"/>
        <w:rPr>
          <w:rFonts w:asciiTheme="minorHAnsi" w:hAnsiTheme="minorHAnsi" w:cstheme="minorHAnsi"/>
        </w:rPr>
      </w:pPr>
    </w:p>
    <w:p w14:paraId="5FB4C9D7" w14:textId="04A75DD8" w:rsidR="00962631" w:rsidRDefault="00520738" w:rsidP="00962631">
      <w:pPr>
        <w:spacing w:line="360" w:lineRule="auto"/>
        <w:rPr>
          <w:rFonts w:asciiTheme="minorHAnsi" w:hAnsiTheme="minorHAnsi" w:cstheme="minorHAnsi"/>
        </w:rPr>
      </w:pPr>
      <w:r>
        <w:rPr>
          <w:rFonts w:asciiTheme="minorHAnsi" w:hAnsiTheme="minorHAnsi" w:cstheme="minorHAnsi"/>
        </w:rPr>
        <w:t>C</w:t>
      </w:r>
      <w:r w:rsidR="00962631" w:rsidRPr="00F72F9B">
        <w:rPr>
          <w:rFonts w:asciiTheme="minorHAnsi" w:hAnsiTheme="minorHAnsi" w:cstheme="minorHAnsi"/>
        </w:rPr>
        <w:t xml:space="preserve">onsent in </w:t>
      </w:r>
      <w:r w:rsidR="00411B99" w:rsidRPr="00F72F9B">
        <w:rPr>
          <w:rFonts w:asciiTheme="minorHAnsi" w:hAnsiTheme="minorHAnsi" w:cstheme="minorHAnsi"/>
        </w:rPr>
        <w:t xml:space="preserve">veterinary </w:t>
      </w:r>
      <w:r w:rsidR="00962631" w:rsidRPr="00F72F9B">
        <w:rPr>
          <w:rFonts w:asciiTheme="minorHAnsi" w:hAnsiTheme="minorHAnsi" w:cstheme="minorHAnsi"/>
        </w:rPr>
        <w:t xml:space="preserve">medicine </w:t>
      </w:r>
      <w:r w:rsidR="00411B99">
        <w:rPr>
          <w:rFonts w:asciiTheme="minorHAnsi" w:hAnsiTheme="minorHAnsi" w:cstheme="minorHAnsi"/>
        </w:rPr>
        <w:t>has several similarities to its human medical</w:t>
      </w:r>
      <w:r w:rsidR="00962631" w:rsidRPr="00F72F9B">
        <w:rPr>
          <w:rFonts w:asciiTheme="minorHAnsi" w:hAnsiTheme="minorHAnsi" w:cstheme="minorHAnsi"/>
        </w:rPr>
        <w:t xml:space="preserve"> counterpart</w:t>
      </w:r>
      <w:r w:rsidR="00B30156">
        <w:rPr>
          <w:rFonts w:asciiTheme="minorHAnsi" w:hAnsiTheme="minorHAnsi" w:cstheme="minorHAnsi"/>
        </w:rPr>
        <w:t>.</w:t>
      </w:r>
      <w:r w:rsidR="00962631" w:rsidRPr="00F72F9B">
        <w:rPr>
          <w:rFonts w:asciiTheme="minorHAnsi" w:hAnsiTheme="minorHAnsi" w:cstheme="minorHAnsi"/>
        </w:rPr>
        <w:t xml:space="preserve"> </w:t>
      </w:r>
      <w:r w:rsidR="00B30156">
        <w:rPr>
          <w:rFonts w:asciiTheme="minorHAnsi" w:hAnsiTheme="minorHAnsi" w:cstheme="minorHAnsi"/>
        </w:rPr>
        <w:t>F</w:t>
      </w:r>
      <w:r w:rsidR="006D7B7F">
        <w:rPr>
          <w:rFonts w:asciiTheme="minorHAnsi" w:hAnsiTheme="minorHAnsi" w:cstheme="minorHAnsi"/>
        </w:rPr>
        <w:t xml:space="preserve">or example, </w:t>
      </w:r>
      <w:r w:rsidR="00411B99">
        <w:rPr>
          <w:rFonts w:asciiTheme="minorHAnsi" w:hAnsiTheme="minorHAnsi" w:cstheme="minorHAnsi"/>
        </w:rPr>
        <w:t>to give informed consent, the patient</w:t>
      </w:r>
      <w:r w:rsidR="002037B2">
        <w:rPr>
          <w:rFonts w:asciiTheme="minorHAnsi" w:hAnsiTheme="minorHAnsi" w:cstheme="minorHAnsi"/>
        </w:rPr>
        <w:t>/</w:t>
      </w:r>
      <w:r w:rsidR="00411B99">
        <w:rPr>
          <w:rFonts w:asciiTheme="minorHAnsi" w:hAnsiTheme="minorHAnsi" w:cstheme="minorHAnsi"/>
        </w:rPr>
        <w:t xml:space="preserve">client must be provided with </w:t>
      </w:r>
      <w:r w:rsidR="00411B99" w:rsidRPr="00F72F9B">
        <w:rPr>
          <w:rFonts w:asciiTheme="minorHAnsi" w:hAnsiTheme="minorHAnsi" w:cstheme="minorHAnsi"/>
        </w:rPr>
        <w:t xml:space="preserve">a range of options for treatment, </w:t>
      </w:r>
      <w:r w:rsidR="00411B99">
        <w:rPr>
          <w:rFonts w:asciiTheme="minorHAnsi" w:hAnsiTheme="minorHAnsi" w:cstheme="minorHAnsi"/>
        </w:rPr>
        <w:t>including</w:t>
      </w:r>
      <w:r w:rsidR="00411B99" w:rsidRPr="00F72F9B">
        <w:rPr>
          <w:rFonts w:asciiTheme="minorHAnsi" w:hAnsiTheme="minorHAnsi" w:cstheme="minorHAnsi"/>
        </w:rPr>
        <w:t xml:space="preserve"> risks and benefits</w:t>
      </w:r>
      <w:r w:rsidR="00411B99">
        <w:rPr>
          <w:rFonts w:asciiTheme="minorHAnsi" w:hAnsiTheme="minorHAnsi" w:cstheme="minorHAnsi"/>
        </w:rPr>
        <w:t>.</w:t>
      </w:r>
      <w:r w:rsidR="00411B99" w:rsidRPr="00F72F9B">
        <w:rPr>
          <w:rStyle w:val="FootnoteReference"/>
          <w:rFonts w:cstheme="minorHAnsi"/>
        </w:rPr>
        <w:footnoteReference w:id="17"/>
      </w:r>
      <w:r w:rsidR="00411B99">
        <w:rPr>
          <w:rFonts w:asciiTheme="minorHAnsi" w:hAnsiTheme="minorHAnsi" w:cstheme="minorHAnsi"/>
          <w:vertAlign w:val="superscript"/>
        </w:rPr>
        <w:t>,</w:t>
      </w:r>
      <w:r w:rsidR="00411B99">
        <w:rPr>
          <w:rStyle w:val="FootnoteReference"/>
          <w:rFonts w:cstheme="minorHAnsi"/>
        </w:rPr>
        <w:footnoteReference w:id="18"/>
      </w:r>
      <w:r w:rsidR="00411B99">
        <w:rPr>
          <w:rFonts w:asciiTheme="minorHAnsi" w:hAnsiTheme="minorHAnsi" w:cstheme="minorHAnsi"/>
        </w:rPr>
        <w:t xml:space="preserve"> B</w:t>
      </w:r>
      <w:r w:rsidR="00E10E6B">
        <w:rPr>
          <w:rFonts w:asciiTheme="minorHAnsi" w:hAnsiTheme="minorHAnsi" w:cstheme="minorHAnsi"/>
        </w:rPr>
        <w:t>oth professions</w:t>
      </w:r>
      <w:r w:rsidR="00962631" w:rsidRPr="00F72F9B">
        <w:rPr>
          <w:rFonts w:asciiTheme="minorHAnsi" w:hAnsiTheme="minorHAnsi" w:cstheme="minorHAnsi"/>
        </w:rPr>
        <w:t xml:space="preserve"> </w:t>
      </w:r>
      <w:r w:rsidR="004A7E6C">
        <w:rPr>
          <w:rFonts w:asciiTheme="minorHAnsi" w:hAnsiTheme="minorHAnsi" w:cstheme="minorHAnsi"/>
        </w:rPr>
        <w:t>need to ensure that</w:t>
      </w:r>
      <w:r w:rsidR="00962631" w:rsidRPr="00F72F9B">
        <w:rPr>
          <w:rFonts w:asciiTheme="minorHAnsi" w:hAnsiTheme="minorHAnsi" w:cstheme="minorHAnsi"/>
        </w:rPr>
        <w:t xml:space="preserve"> the person giving consent has the capacity to weigh up the information</w:t>
      </w:r>
      <w:r w:rsidR="00E10E6B">
        <w:rPr>
          <w:rFonts w:asciiTheme="minorHAnsi" w:hAnsiTheme="minorHAnsi" w:cstheme="minorHAnsi"/>
        </w:rPr>
        <w:t xml:space="preserve"> and</w:t>
      </w:r>
      <w:r w:rsidR="00962631">
        <w:rPr>
          <w:rFonts w:asciiTheme="minorHAnsi" w:hAnsiTheme="minorHAnsi" w:cstheme="minorHAnsi"/>
        </w:rPr>
        <w:t xml:space="preserve"> </w:t>
      </w:r>
      <w:r w:rsidR="00962631" w:rsidRPr="00F72F9B">
        <w:rPr>
          <w:rFonts w:asciiTheme="minorHAnsi" w:hAnsiTheme="minorHAnsi" w:cstheme="minorHAnsi"/>
        </w:rPr>
        <w:t xml:space="preserve">to make and </w:t>
      </w:r>
      <w:r w:rsidR="00962631" w:rsidRPr="00F72F9B">
        <w:rPr>
          <w:rFonts w:asciiTheme="minorHAnsi" w:hAnsiTheme="minorHAnsi" w:cstheme="minorHAnsi"/>
        </w:rPr>
        <w:lastRenderedPageBreak/>
        <w:t>convey a decision</w:t>
      </w:r>
      <w:r w:rsidR="00E10E6B">
        <w:rPr>
          <w:rFonts w:asciiTheme="minorHAnsi" w:hAnsiTheme="minorHAnsi" w:cstheme="minorHAnsi"/>
        </w:rPr>
        <w:t>.</w:t>
      </w:r>
      <w:r w:rsidR="00962631" w:rsidRPr="00F72F9B">
        <w:rPr>
          <w:rStyle w:val="FootnoteReference"/>
          <w:rFonts w:cstheme="minorHAnsi"/>
        </w:rPr>
        <w:footnoteReference w:id="19"/>
      </w:r>
      <w:r w:rsidR="00962631">
        <w:rPr>
          <w:rFonts w:asciiTheme="minorHAnsi" w:hAnsiTheme="minorHAnsi" w:cstheme="minorHAnsi"/>
          <w:vertAlign w:val="superscript"/>
        </w:rPr>
        <w:t>,</w:t>
      </w:r>
      <w:r w:rsidR="00962631">
        <w:rPr>
          <w:rStyle w:val="FootnoteReference"/>
          <w:rFonts w:cstheme="minorHAnsi"/>
        </w:rPr>
        <w:footnoteReference w:id="20"/>
      </w:r>
      <w:r w:rsidR="00962631" w:rsidRPr="00F72F9B">
        <w:rPr>
          <w:rFonts w:asciiTheme="minorHAnsi" w:hAnsiTheme="minorHAnsi" w:cstheme="minorHAnsi"/>
        </w:rPr>
        <w:t xml:space="preserve"> </w:t>
      </w:r>
      <w:r w:rsidR="00B30156">
        <w:rPr>
          <w:rFonts w:asciiTheme="minorHAnsi" w:hAnsiTheme="minorHAnsi" w:cstheme="minorHAnsi"/>
        </w:rPr>
        <w:t xml:space="preserve"> </w:t>
      </w:r>
      <w:r w:rsidR="006A0F3A">
        <w:rPr>
          <w:rFonts w:asciiTheme="minorHAnsi" w:hAnsiTheme="minorHAnsi" w:cstheme="minorHAnsi"/>
        </w:rPr>
        <w:t>However, t</w:t>
      </w:r>
      <w:r w:rsidR="00962631">
        <w:rPr>
          <w:rFonts w:asciiTheme="minorHAnsi" w:hAnsiTheme="minorHAnsi" w:cstheme="minorHAnsi"/>
        </w:rPr>
        <w:t>her</w:t>
      </w:r>
      <w:r w:rsidR="006A0F3A">
        <w:rPr>
          <w:rFonts w:asciiTheme="minorHAnsi" w:hAnsiTheme="minorHAnsi" w:cstheme="minorHAnsi"/>
        </w:rPr>
        <w:t xml:space="preserve">e </w:t>
      </w:r>
      <w:r w:rsidR="002037B2">
        <w:rPr>
          <w:rFonts w:asciiTheme="minorHAnsi" w:hAnsiTheme="minorHAnsi" w:cstheme="minorHAnsi"/>
        </w:rPr>
        <w:t>are</w:t>
      </w:r>
      <w:r w:rsidR="00962631">
        <w:rPr>
          <w:rFonts w:asciiTheme="minorHAnsi" w:hAnsiTheme="minorHAnsi" w:cstheme="minorHAnsi"/>
        </w:rPr>
        <w:t xml:space="preserve"> important differences</w:t>
      </w:r>
      <w:r w:rsidR="002037B2">
        <w:rPr>
          <w:rFonts w:asciiTheme="minorHAnsi" w:hAnsiTheme="minorHAnsi" w:cstheme="minorHAnsi"/>
        </w:rPr>
        <w:t xml:space="preserve"> when the</w:t>
      </w:r>
      <w:r w:rsidR="006A0F3A">
        <w:rPr>
          <w:rFonts w:asciiTheme="minorHAnsi" w:hAnsiTheme="minorHAnsi" w:cstheme="minorHAnsi"/>
        </w:rPr>
        <w:t xml:space="preserve"> consent is given on behalf of an animal</w:t>
      </w:r>
      <w:r w:rsidR="00962631">
        <w:rPr>
          <w:rFonts w:asciiTheme="minorHAnsi" w:hAnsiTheme="minorHAnsi" w:cstheme="minorHAnsi"/>
        </w:rPr>
        <w:t>.</w:t>
      </w:r>
    </w:p>
    <w:p w14:paraId="578708A8" w14:textId="7263F66F" w:rsidR="0010016C" w:rsidRDefault="0010016C" w:rsidP="00962631">
      <w:pPr>
        <w:spacing w:line="360" w:lineRule="auto"/>
        <w:rPr>
          <w:rFonts w:asciiTheme="minorHAnsi" w:hAnsiTheme="minorHAnsi" w:cstheme="minorHAnsi"/>
        </w:rPr>
      </w:pPr>
    </w:p>
    <w:p w14:paraId="7FF2059E" w14:textId="5A3AD257" w:rsidR="0010016C" w:rsidRPr="0010016C" w:rsidRDefault="0010016C" w:rsidP="00962631">
      <w:pPr>
        <w:spacing w:line="360" w:lineRule="auto"/>
        <w:rPr>
          <w:rFonts w:asciiTheme="minorHAnsi" w:hAnsiTheme="minorHAnsi" w:cstheme="minorHAnsi"/>
          <w:b/>
          <w:bCs/>
        </w:rPr>
      </w:pPr>
      <w:r w:rsidRPr="0010016C">
        <w:rPr>
          <w:rFonts w:asciiTheme="minorHAnsi" w:hAnsiTheme="minorHAnsi" w:cstheme="minorHAnsi"/>
          <w:b/>
          <w:bCs/>
        </w:rPr>
        <w:t>The ‘best interests’ of the animal patient</w:t>
      </w:r>
    </w:p>
    <w:p w14:paraId="41A2E653" w14:textId="25A6E7C5" w:rsidR="00D169D7" w:rsidRDefault="00962631" w:rsidP="00962631">
      <w:pPr>
        <w:spacing w:line="360" w:lineRule="auto"/>
        <w:rPr>
          <w:rFonts w:asciiTheme="minorHAnsi" w:hAnsiTheme="minorHAnsi" w:cstheme="minorHAnsi"/>
        </w:rPr>
      </w:pPr>
      <w:r>
        <w:rPr>
          <w:rFonts w:asciiTheme="minorHAnsi" w:hAnsiTheme="minorHAnsi" w:cstheme="minorHAnsi"/>
        </w:rPr>
        <w:t>‘</w:t>
      </w:r>
      <w:r w:rsidR="00411178">
        <w:rPr>
          <w:rFonts w:asciiTheme="minorHAnsi" w:hAnsiTheme="minorHAnsi" w:cstheme="minorHAnsi"/>
        </w:rPr>
        <w:t>T</w:t>
      </w:r>
      <w:r>
        <w:rPr>
          <w:rFonts w:asciiTheme="minorHAnsi" w:hAnsiTheme="minorHAnsi" w:cstheme="minorHAnsi"/>
        </w:rPr>
        <w:t xml:space="preserve">hird party’ </w:t>
      </w:r>
      <w:r w:rsidRPr="00F72F9B">
        <w:rPr>
          <w:rFonts w:asciiTheme="minorHAnsi" w:hAnsiTheme="minorHAnsi" w:cstheme="minorHAnsi"/>
        </w:rPr>
        <w:t>consent</w:t>
      </w:r>
      <w:r w:rsidR="007839EE">
        <w:rPr>
          <w:rFonts w:asciiTheme="minorHAnsi" w:hAnsiTheme="minorHAnsi" w:cstheme="minorHAnsi"/>
        </w:rPr>
        <w:t>, as given</w:t>
      </w:r>
      <w:r w:rsidRPr="00F72F9B">
        <w:rPr>
          <w:rFonts w:asciiTheme="minorHAnsi" w:hAnsiTheme="minorHAnsi" w:cstheme="minorHAnsi"/>
        </w:rPr>
        <w:t xml:space="preserve"> by the owner of a veterinary patient</w:t>
      </w:r>
      <w:r w:rsidR="007839EE">
        <w:rPr>
          <w:rFonts w:asciiTheme="minorHAnsi" w:hAnsiTheme="minorHAnsi" w:cstheme="minorHAnsi"/>
        </w:rPr>
        <w:t>,</w:t>
      </w:r>
      <w:r w:rsidRPr="00F72F9B">
        <w:rPr>
          <w:rFonts w:asciiTheme="minorHAnsi" w:hAnsiTheme="minorHAnsi" w:cstheme="minorHAnsi"/>
        </w:rPr>
        <w:t xml:space="preserve"> </w:t>
      </w:r>
      <w:r w:rsidR="00411178">
        <w:rPr>
          <w:rFonts w:asciiTheme="minorHAnsi" w:hAnsiTheme="minorHAnsi" w:cstheme="minorHAnsi"/>
        </w:rPr>
        <w:t>differs markedly from</w:t>
      </w:r>
      <w:r w:rsidRPr="00F72F9B">
        <w:rPr>
          <w:rFonts w:asciiTheme="minorHAnsi" w:hAnsiTheme="minorHAnsi" w:cstheme="minorHAnsi"/>
        </w:rPr>
        <w:t xml:space="preserve"> the autonomy-based consent of an adult human patient.</w:t>
      </w:r>
      <w:r w:rsidR="004A7E6C">
        <w:rPr>
          <w:rStyle w:val="FootnoteReference"/>
          <w:rFonts w:cstheme="minorHAnsi"/>
        </w:rPr>
        <w:footnoteReference w:id="21"/>
      </w:r>
      <w:r w:rsidRPr="00F72F9B">
        <w:rPr>
          <w:rFonts w:asciiTheme="minorHAnsi" w:hAnsiTheme="minorHAnsi" w:cstheme="minorHAnsi"/>
        </w:rPr>
        <w:t xml:space="preserve"> Unlike the latter, who can refuse even life-saving treatment,</w:t>
      </w:r>
      <w:r w:rsidRPr="00F72F9B">
        <w:rPr>
          <w:rStyle w:val="FootnoteReference"/>
          <w:rFonts w:cstheme="minorHAnsi"/>
        </w:rPr>
        <w:footnoteReference w:id="22"/>
      </w:r>
      <w:r w:rsidRPr="00F72F9B">
        <w:rPr>
          <w:rFonts w:asciiTheme="minorHAnsi" w:hAnsiTheme="minorHAnsi" w:cstheme="minorHAnsi"/>
        </w:rPr>
        <w:t xml:space="preserve"> the animal owner</w:t>
      </w:r>
      <w:r>
        <w:rPr>
          <w:rFonts w:asciiTheme="minorHAnsi" w:hAnsiTheme="minorHAnsi" w:cstheme="minorHAnsi"/>
        </w:rPr>
        <w:t>’s</w:t>
      </w:r>
      <w:r w:rsidRPr="00F72F9B">
        <w:rPr>
          <w:rFonts w:asciiTheme="minorHAnsi" w:hAnsiTheme="minorHAnsi" w:cstheme="minorHAnsi"/>
        </w:rPr>
        <w:t xml:space="preserve"> </w:t>
      </w:r>
      <w:r>
        <w:rPr>
          <w:rFonts w:asciiTheme="minorHAnsi" w:hAnsiTheme="minorHAnsi" w:cstheme="minorHAnsi"/>
        </w:rPr>
        <w:t xml:space="preserve">ability to </w:t>
      </w:r>
      <w:r w:rsidRPr="00F72F9B">
        <w:rPr>
          <w:rFonts w:asciiTheme="minorHAnsi" w:hAnsiTheme="minorHAnsi" w:cstheme="minorHAnsi"/>
        </w:rPr>
        <w:t xml:space="preserve">decline options for veterinary treatment </w:t>
      </w:r>
      <w:r>
        <w:rPr>
          <w:rFonts w:asciiTheme="minorHAnsi" w:hAnsiTheme="minorHAnsi" w:cstheme="minorHAnsi"/>
        </w:rPr>
        <w:t>is valid only until</w:t>
      </w:r>
      <w:r w:rsidRPr="00F72F9B">
        <w:rPr>
          <w:rFonts w:asciiTheme="minorHAnsi" w:hAnsiTheme="minorHAnsi" w:cstheme="minorHAnsi"/>
        </w:rPr>
        <w:t xml:space="preserve"> the animal’s welfare is compromised. Legal sanctions </w:t>
      </w:r>
      <w:r w:rsidR="00F67B2B">
        <w:rPr>
          <w:rFonts w:asciiTheme="minorHAnsi" w:hAnsiTheme="minorHAnsi" w:cstheme="minorHAnsi"/>
        </w:rPr>
        <w:t xml:space="preserve">under the Animal Welfare Act 2006 </w:t>
      </w:r>
      <w:r w:rsidRPr="00F72F9B">
        <w:rPr>
          <w:rFonts w:asciiTheme="minorHAnsi" w:hAnsiTheme="minorHAnsi" w:cstheme="minorHAnsi"/>
        </w:rPr>
        <w:t xml:space="preserve">then compel the owner either to seek treatment, to agree to euthanasia of the animal to prevent </w:t>
      </w:r>
      <w:r w:rsidR="007839EE">
        <w:rPr>
          <w:rFonts w:asciiTheme="minorHAnsi" w:hAnsiTheme="minorHAnsi" w:cstheme="minorHAnsi"/>
        </w:rPr>
        <w:t xml:space="preserve">‘unnecessary </w:t>
      </w:r>
      <w:r w:rsidRPr="00F72F9B">
        <w:rPr>
          <w:rFonts w:asciiTheme="minorHAnsi" w:hAnsiTheme="minorHAnsi" w:cstheme="minorHAnsi"/>
        </w:rPr>
        <w:t>suffering</w:t>
      </w:r>
      <w:r w:rsidR="007839EE">
        <w:rPr>
          <w:rFonts w:asciiTheme="minorHAnsi" w:hAnsiTheme="minorHAnsi" w:cstheme="minorHAnsi"/>
        </w:rPr>
        <w:t>’</w:t>
      </w:r>
      <w:r w:rsidR="007839EE" w:rsidRPr="00F72F9B">
        <w:rPr>
          <w:rStyle w:val="FootnoteReference"/>
          <w:rFonts w:cstheme="minorHAnsi"/>
        </w:rPr>
        <w:footnoteReference w:id="23"/>
      </w:r>
      <w:r w:rsidR="007839EE" w:rsidRPr="00F72F9B">
        <w:rPr>
          <w:rFonts w:asciiTheme="minorHAnsi" w:hAnsiTheme="minorHAnsi" w:cstheme="minorHAnsi"/>
        </w:rPr>
        <w:t xml:space="preserve"> </w:t>
      </w:r>
      <w:r w:rsidRPr="00F72F9B">
        <w:rPr>
          <w:rFonts w:asciiTheme="minorHAnsi" w:hAnsiTheme="minorHAnsi" w:cstheme="minorHAnsi"/>
        </w:rPr>
        <w:t xml:space="preserve"> or to relinquish ownership.</w:t>
      </w:r>
      <w:r w:rsidRPr="00F72F9B">
        <w:rPr>
          <w:rStyle w:val="FootnoteReference"/>
          <w:rFonts w:cstheme="minorHAnsi"/>
        </w:rPr>
        <w:footnoteReference w:id="24"/>
      </w:r>
      <w:r w:rsidRPr="00F72F9B">
        <w:rPr>
          <w:rFonts w:asciiTheme="minorHAnsi" w:hAnsiTheme="minorHAnsi" w:cstheme="minorHAnsi"/>
        </w:rPr>
        <w:t xml:space="preserve"> </w:t>
      </w:r>
      <w:r>
        <w:rPr>
          <w:rFonts w:asciiTheme="minorHAnsi" w:hAnsiTheme="minorHAnsi" w:cstheme="minorHAnsi"/>
        </w:rPr>
        <w:t>Frequently</w:t>
      </w:r>
      <w:r w:rsidRPr="00F72F9B">
        <w:rPr>
          <w:rFonts w:asciiTheme="minorHAnsi" w:hAnsiTheme="minorHAnsi" w:cstheme="minorHAnsi"/>
        </w:rPr>
        <w:t xml:space="preserve">, the financial burden of treatment may dictate </w:t>
      </w:r>
      <w:r w:rsidR="002E6DAD">
        <w:rPr>
          <w:rFonts w:asciiTheme="minorHAnsi" w:hAnsiTheme="minorHAnsi" w:cstheme="minorHAnsi"/>
        </w:rPr>
        <w:t>which of these options is</w:t>
      </w:r>
      <w:r w:rsidRPr="00F72F9B">
        <w:rPr>
          <w:rFonts w:asciiTheme="minorHAnsi" w:hAnsiTheme="minorHAnsi" w:cstheme="minorHAnsi"/>
        </w:rPr>
        <w:t xml:space="preserve"> chosen by the animal owner.</w:t>
      </w:r>
      <w:r w:rsidRPr="00F72F9B">
        <w:rPr>
          <w:rStyle w:val="FootnoteReference"/>
          <w:rFonts w:cstheme="minorHAnsi"/>
        </w:rPr>
        <w:footnoteReference w:id="25"/>
      </w:r>
      <w:r w:rsidRPr="00F72F9B">
        <w:rPr>
          <w:rFonts w:asciiTheme="minorHAnsi" w:hAnsiTheme="minorHAnsi" w:cstheme="minorHAnsi"/>
        </w:rPr>
        <w:t xml:space="preserve"> </w:t>
      </w:r>
      <w:r w:rsidR="00F67B2B">
        <w:rPr>
          <w:rFonts w:asciiTheme="minorHAnsi" w:hAnsiTheme="minorHAnsi" w:cstheme="minorHAnsi"/>
        </w:rPr>
        <w:t xml:space="preserve">Thus, in veterinary medicine, </w:t>
      </w:r>
      <w:r w:rsidR="00C64F5E">
        <w:rPr>
          <w:rFonts w:asciiTheme="minorHAnsi" w:hAnsiTheme="minorHAnsi" w:cstheme="minorHAnsi"/>
        </w:rPr>
        <w:t>the wishes</w:t>
      </w:r>
      <w:r w:rsidR="00F67B2B">
        <w:rPr>
          <w:rFonts w:asciiTheme="minorHAnsi" w:hAnsiTheme="minorHAnsi" w:cstheme="minorHAnsi"/>
        </w:rPr>
        <w:t xml:space="preserve"> and interests (including financial)</w:t>
      </w:r>
      <w:r w:rsidR="00C64F5E">
        <w:rPr>
          <w:rFonts w:asciiTheme="minorHAnsi" w:hAnsiTheme="minorHAnsi" w:cstheme="minorHAnsi"/>
        </w:rPr>
        <w:t xml:space="preserve"> of the animal owner are</w:t>
      </w:r>
      <w:r w:rsidR="00E00317">
        <w:rPr>
          <w:rFonts w:asciiTheme="minorHAnsi" w:hAnsiTheme="minorHAnsi" w:cstheme="minorHAnsi"/>
        </w:rPr>
        <w:t xml:space="preserve"> sometimes in conflict</w:t>
      </w:r>
      <w:r w:rsidR="00C64F5E">
        <w:rPr>
          <w:rFonts w:asciiTheme="minorHAnsi" w:hAnsiTheme="minorHAnsi" w:cstheme="minorHAnsi"/>
        </w:rPr>
        <w:t xml:space="preserve"> with the ‘best interests’ of the animal patient, a</w:t>
      </w:r>
      <w:r w:rsidR="00F94098">
        <w:rPr>
          <w:rFonts w:asciiTheme="minorHAnsi" w:hAnsiTheme="minorHAnsi" w:cstheme="minorHAnsi"/>
        </w:rPr>
        <w:t xml:space="preserve"> dilemma</w:t>
      </w:r>
      <w:r w:rsidR="00C64F5E">
        <w:rPr>
          <w:rFonts w:asciiTheme="minorHAnsi" w:hAnsiTheme="minorHAnsi" w:cstheme="minorHAnsi"/>
        </w:rPr>
        <w:t xml:space="preserve"> that is reinforced in professional ethical guidance.</w:t>
      </w:r>
      <w:r w:rsidR="00C64F5E">
        <w:rPr>
          <w:rStyle w:val="FootnoteReference"/>
          <w:rFonts w:cstheme="minorHAnsi"/>
        </w:rPr>
        <w:footnoteReference w:id="26"/>
      </w:r>
      <w:r w:rsidR="00C64F5E">
        <w:rPr>
          <w:rFonts w:asciiTheme="minorHAnsi" w:hAnsiTheme="minorHAnsi" w:cstheme="minorHAnsi"/>
        </w:rPr>
        <w:t xml:space="preserve"> </w:t>
      </w:r>
      <w:r w:rsidR="00A82F62">
        <w:rPr>
          <w:rFonts w:asciiTheme="minorHAnsi" w:hAnsiTheme="minorHAnsi" w:cstheme="minorHAnsi"/>
        </w:rPr>
        <w:t xml:space="preserve">The balance, however, </w:t>
      </w:r>
      <w:r w:rsidR="00043AC5">
        <w:rPr>
          <w:rFonts w:asciiTheme="minorHAnsi" w:hAnsiTheme="minorHAnsi" w:cstheme="minorHAnsi"/>
        </w:rPr>
        <w:t>appears</w:t>
      </w:r>
      <w:r w:rsidR="00A82F62">
        <w:rPr>
          <w:rFonts w:asciiTheme="minorHAnsi" w:hAnsiTheme="minorHAnsi" w:cstheme="minorHAnsi"/>
        </w:rPr>
        <w:t xml:space="preserve"> heavily weighted in favour of the client</w:t>
      </w:r>
      <w:r w:rsidR="00CB7736">
        <w:rPr>
          <w:rFonts w:asciiTheme="minorHAnsi" w:hAnsiTheme="minorHAnsi" w:cstheme="minorHAnsi"/>
        </w:rPr>
        <w:t>, with</w:t>
      </w:r>
      <w:r w:rsidR="00C64F5E">
        <w:rPr>
          <w:rFonts w:asciiTheme="minorHAnsi" w:hAnsiTheme="minorHAnsi" w:cstheme="minorHAnsi"/>
        </w:rPr>
        <w:t xml:space="preserve"> consent in the veterinary context </w:t>
      </w:r>
      <w:r w:rsidR="00501ED7">
        <w:rPr>
          <w:rFonts w:asciiTheme="minorHAnsi" w:hAnsiTheme="minorHAnsi" w:cstheme="minorHAnsi"/>
        </w:rPr>
        <w:t>appear</w:t>
      </w:r>
      <w:r w:rsidR="00CB7736">
        <w:rPr>
          <w:rFonts w:asciiTheme="minorHAnsi" w:hAnsiTheme="minorHAnsi" w:cstheme="minorHAnsi"/>
        </w:rPr>
        <w:t>ing</w:t>
      </w:r>
      <w:r w:rsidR="00501ED7">
        <w:rPr>
          <w:rFonts w:asciiTheme="minorHAnsi" w:hAnsiTheme="minorHAnsi" w:cstheme="minorHAnsi"/>
        </w:rPr>
        <w:t xml:space="preserve"> to be</w:t>
      </w:r>
      <w:r w:rsidR="00C64F5E">
        <w:rPr>
          <w:rFonts w:asciiTheme="minorHAnsi" w:hAnsiTheme="minorHAnsi" w:cstheme="minorHAnsi"/>
        </w:rPr>
        <w:t xml:space="preserve"> constructed </w:t>
      </w:r>
      <w:r w:rsidR="00501ED7">
        <w:rPr>
          <w:rFonts w:asciiTheme="minorHAnsi" w:hAnsiTheme="minorHAnsi" w:cstheme="minorHAnsi"/>
        </w:rPr>
        <w:t xml:space="preserve">primarily </w:t>
      </w:r>
      <w:r w:rsidR="00C64F5E">
        <w:rPr>
          <w:rFonts w:asciiTheme="minorHAnsi" w:hAnsiTheme="minorHAnsi" w:cstheme="minorHAnsi"/>
        </w:rPr>
        <w:t xml:space="preserve">to protect the </w:t>
      </w:r>
      <w:r w:rsidR="007D516A">
        <w:rPr>
          <w:rFonts w:asciiTheme="minorHAnsi" w:hAnsiTheme="minorHAnsi" w:cstheme="minorHAnsi"/>
        </w:rPr>
        <w:t xml:space="preserve">client’s </w:t>
      </w:r>
      <w:r w:rsidR="00C64F5E">
        <w:rPr>
          <w:rFonts w:asciiTheme="minorHAnsi" w:hAnsiTheme="minorHAnsi" w:cstheme="minorHAnsi"/>
        </w:rPr>
        <w:t>interests</w:t>
      </w:r>
      <w:r w:rsidR="008D14F4">
        <w:rPr>
          <w:rFonts w:asciiTheme="minorHAnsi" w:hAnsiTheme="minorHAnsi" w:cstheme="minorHAnsi"/>
        </w:rPr>
        <w:t>.</w:t>
      </w:r>
      <w:r w:rsidR="00F67B2B">
        <w:rPr>
          <w:rFonts w:asciiTheme="minorHAnsi" w:hAnsiTheme="minorHAnsi" w:cstheme="minorHAnsi"/>
        </w:rPr>
        <w:t xml:space="preserve"> </w:t>
      </w:r>
      <w:r w:rsidR="00CB7736">
        <w:rPr>
          <w:rFonts w:asciiTheme="minorHAnsi" w:hAnsiTheme="minorHAnsi" w:cstheme="minorHAnsi"/>
        </w:rPr>
        <w:t xml:space="preserve">Here, I use a definition of best interests that encompasses the maintenance of the human-animal relationship, where this has positive benefits for the animal, </w:t>
      </w:r>
      <w:r w:rsidR="0010016C">
        <w:rPr>
          <w:rFonts w:asciiTheme="minorHAnsi" w:hAnsiTheme="minorHAnsi" w:cstheme="minorHAnsi"/>
        </w:rPr>
        <w:t>maintaining well-being and quality of life</w:t>
      </w:r>
      <w:r w:rsidR="00CB7736">
        <w:rPr>
          <w:rFonts w:asciiTheme="minorHAnsi" w:hAnsiTheme="minorHAnsi" w:cstheme="minorHAnsi"/>
        </w:rPr>
        <w:t xml:space="preserve">, and </w:t>
      </w:r>
      <w:r w:rsidR="00D169D7">
        <w:rPr>
          <w:rFonts w:asciiTheme="minorHAnsi" w:hAnsiTheme="minorHAnsi" w:cstheme="minorHAnsi"/>
        </w:rPr>
        <w:t>the avoidance of harm, including pain and suffering.</w:t>
      </w:r>
      <w:r w:rsidR="0010016C">
        <w:rPr>
          <w:rStyle w:val="FootnoteReference"/>
          <w:rFonts w:cstheme="minorHAnsi"/>
        </w:rPr>
        <w:footnoteReference w:id="27"/>
      </w:r>
      <w:r w:rsidR="00CB7736">
        <w:rPr>
          <w:rFonts w:asciiTheme="minorHAnsi" w:hAnsiTheme="minorHAnsi" w:cstheme="minorHAnsi"/>
        </w:rPr>
        <w:t xml:space="preserve"> </w:t>
      </w:r>
    </w:p>
    <w:p w14:paraId="183B1BFC" w14:textId="77777777" w:rsidR="00D169D7" w:rsidRDefault="00D169D7" w:rsidP="00962631">
      <w:pPr>
        <w:spacing w:line="360" w:lineRule="auto"/>
        <w:rPr>
          <w:rFonts w:asciiTheme="minorHAnsi" w:hAnsiTheme="minorHAnsi" w:cstheme="minorHAnsi"/>
        </w:rPr>
      </w:pPr>
    </w:p>
    <w:p w14:paraId="411C4030" w14:textId="0758B5AC" w:rsidR="00962631" w:rsidRDefault="006A0F3A" w:rsidP="00962631">
      <w:pPr>
        <w:spacing w:line="360" w:lineRule="auto"/>
        <w:rPr>
          <w:rFonts w:asciiTheme="minorHAnsi" w:hAnsiTheme="minorHAnsi" w:cstheme="minorHAnsi"/>
        </w:rPr>
      </w:pPr>
      <w:r>
        <w:rPr>
          <w:rFonts w:asciiTheme="minorHAnsi" w:hAnsiTheme="minorHAnsi" w:cstheme="minorHAnsi"/>
        </w:rPr>
        <w:lastRenderedPageBreak/>
        <w:t>S</w:t>
      </w:r>
      <w:r w:rsidR="00CB7736">
        <w:rPr>
          <w:rFonts w:asciiTheme="minorHAnsi" w:hAnsiTheme="minorHAnsi" w:cstheme="minorHAnsi"/>
        </w:rPr>
        <w:t>ometimes</w:t>
      </w:r>
      <w:r w:rsidR="0010016C">
        <w:rPr>
          <w:rFonts w:asciiTheme="minorHAnsi" w:hAnsiTheme="minorHAnsi" w:cstheme="minorHAnsi"/>
        </w:rPr>
        <w:t xml:space="preserve"> veterinary</w:t>
      </w:r>
      <w:r w:rsidR="00CB7736">
        <w:rPr>
          <w:rFonts w:asciiTheme="minorHAnsi" w:hAnsiTheme="minorHAnsi" w:cstheme="minorHAnsi"/>
        </w:rPr>
        <w:t xml:space="preserve"> </w:t>
      </w:r>
      <w:r w:rsidR="0010016C">
        <w:rPr>
          <w:rFonts w:asciiTheme="minorHAnsi" w:hAnsiTheme="minorHAnsi" w:cstheme="minorHAnsi"/>
        </w:rPr>
        <w:t>treatment</w:t>
      </w:r>
      <w:r w:rsidR="00CB7736">
        <w:rPr>
          <w:rFonts w:asciiTheme="minorHAnsi" w:hAnsiTheme="minorHAnsi" w:cstheme="minorHAnsi"/>
        </w:rPr>
        <w:t xml:space="preserve"> decisions are made </w:t>
      </w:r>
      <w:r w:rsidR="0010016C">
        <w:rPr>
          <w:rFonts w:asciiTheme="minorHAnsi" w:hAnsiTheme="minorHAnsi" w:cstheme="minorHAnsi"/>
        </w:rPr>
        <w:t xml:space="preserve">to reflect other interests, such as the owner’s financial interests or </w:t>
      </w:r>
      <w:r w:rsidR="00BA1AFD">
        <w:rPr>
          <w:rFonts w:asciiTheme="minorHAnsi" w:hAnsiTheme="minorHAnsi" w:cstheme="minorHAnsi"/>
        </w:rPr>
        <w:t xml:space="preserve">the owner’s </w:t>
      </w:r>
      <w:r w:rsidR="00D17FA4">
        <w:rPr>
          <w:rFonts w:asciiTheme="minorHAnsi" w:hAnsiTheme="minorHAnsi" w:cstheme="minorHAnsi"/>
        </w:rPr>
        <w:t xml:space="preserve">desire </w:t>
      </w:r>
      <w:r w:rsidR="0010016C">
        <w:rPr>
          <w:rFonts w:asciiTheme="minorHAnsi" w:hAnsiTheme="minorHAnsi" w:cstheme="minorHAnsi"/>
        </w:rPr>
        <w:t>to have an animal that is capable of working or competing</w:t>
      </w:r>
      <w:r w:rsidR="00CB7736">
        <w:rPr>
          <w:rFonts w:asciiTheme="minorHAnsi" w:hAnsiTheme="minorHAnsi" w:cstheme="minorHAnsi"/>
        </w:rPr>
        <w:t>. Where the interests of animal and owner collide, it</w:t>
      </w:r>
      <w:r w:rsidR="00F67B2B">
        <w:rPr>
          <w:rFonts w:asciiTheme="minorHAnsi" w:hAnsiTheme="minorHAnsi" w:cstheme="minorHAnsi"/>
        </w:rPr>
        <w:t xml:space="preserve"> is th</w:t>
      </w:r>
      <w:r w:rsidR="00CB7736">
        <w:rPr>
          <w:rFonts w:asciiTheme="minorHAnsi" w:hAnsiTheme="minorHAnsi" w:cstheme="minorHAnsi"/>
        </w:rPr>
        <w:t>e</w:t>
      </w:r>
      <w:r w:rsidR="00F67B2B">
        <w:rPr>
          <w:rFonts w:asciiTheme="minorHAnsi" w:hAnsiTheme="minorHAnsi" w:cstheme="minorHAnsi"/>
        </w:rPr>
        <w:t xml:space="preserve"> asymmetry between a decision </w:t>
      </w:r>
      <w:r w:rsidR="0010016C">
        <w:rPr>
          <w:rFonts w:asciiTheme="minorHAnsi" w:hAnsiTheme="minorHAnsi" w:cstheme="minorHAnsi"/>
        </w:rPr>
        <w:t>that safeguards</w:t>
      </w:r>
      <w:r w:rsidR="00F67B2B">
        <w:rPr>
          <w:rFonts w:asciiTheme="minorHAnsi" w:hAnsiTheme="minorHAnsi" w:cstheme="minorHAnsi"/>
        </w:rPr>
        <w:t xml:space="preserve"> the ‘best interests’ of the animal patient and </w:t>
      </w:r>
      <w:r w:rsidR="00CB7736">
        <w:rPr>
          <w:rFonts w:asciiTheme="minorHAnsi" w:hAnsiTheme="minorHAnsi" w:cstheme="minorHAnsi"/>
        </w:rPr>
        <w:t xml:space="preserve">one </w:t>
      </w:r>
      <w:r w:rsidR="0010016C">
        <w:rPr>
          <w:rFonts w:asciiTheme="minorHAnsi" w:hAnsiTheme="minorHAnsi" w:cstheme="minorHAnsi"/>
        </w:rPr>
        <w:t>made</w:t>
      </w:r>
      <w:r w:rsidR="00CB7736">
        <w:rPr>
          <w:rFonts w:asciiTheme="minorHAnsi" w:hAnsiTheme="minorHAnsi" w:cstheme="minorHAnsi"/>
        </w:rPr>
        <w:t xml:space="preserve"> in </w:t>
      </w:r>
      <w:r w:rsidR="00F67B2B">
        <w:rPr>
          <w:rFonts w:asciiTheme="minorHAnsi" w:hAnsiTheme="minorHAnsi" w:cstheme="minorHAnsi"/>
        </w:rPr>
        <w:t>the owner’s interests that is responsible for much of the ‘moral stress’ felt by veterinary surgeons.</w:t>
      </w:r>
      <w:r w:rsidR="006757D1">
        <w:rPr>
          <w:rStyle w:val="FootnoteReference"/>
          <w:rFonts w:cstheme="minorHAnsi"/>
        </w:rPr>
        <w:footnoteReference w:id="28"/>
      </w:r>
      <w:r w:rsidR="00F67B2B">
        <w:rPr>
          <w:rFonts w:asciiTheme="minorHAnsi" w:hAnsiTheme="minorHAnsi" w:cstheme="minorHAnsi"/>
        </w:rPr>
        <w:t xml:space="preserve"> </w:t>
      </w:r>
      <w:r w:rsidR="0021214C">
        <w:rPr>
          <w:rFonts w:asciiTheme="minorHAnsi" w:hAnsiTheme="minorHAnsi" w:cstheme="minorHAnsi"/>
        </w:rPr>
        <w:t>A</w:t>
      </w:r>
      <w:r w:rsidR="002B0DF0">
        <w:rPr>
          <w:rFonts w:asciiTheme="minorHAnsi" w:hAnsiTheme="minorHAnsi" w:cstheme="minorHAnsi"/>
        </w:rPr>
        <w:t xml:space="preserve">n </w:t>
      </w:r>
      <w:r w:rsidR="00B46B2E">
        <w:rPr>
          <w:rFonts w:asciiTheme="minorHAnsi" w:hAnsiTheme="minorHAnsi" w:cstheme="minorHAnsi"/>
        </w:rPr>
        <w:t>additional</w:t>
      </w:r>
      <w:r w:rsidR="002B0DF0">
        <w:rPr>
          <w:rFonts w:asciiTheme="minorHAnsi" w:hAnsiTheme="minorHAnsi" w:cstheme="minorHAnsi"/>
        </w:rPr>
        <w:t xml:space="preserve"> </w:t>
      </w:r>
      <w:r w:rsidR="00B46B2E">
        <w:rPr>
          <w:rFonts w:asciiTheme="minorHAnsi" w:hAnsiTheme="minorHAnsi" w:cstheme="minorHAnsi"/>
        </w:rPr>
        <w:t>aim</w:t>
      </w:r>
      <w:r w:rsidR="002B0DF0">
        <w:rPr>
          <w:rFonts w:asciiTheme="minorHAnsi" w:hAnsiTheme="minorHAnsi" w:cstheme="minorHAnsi"/>
        </w:rPr>
        <w:t xml:space="preserve"> of th</w:t>
      </w:r>
      <w:r w:rsidR="00B46B2E">
        <w:rPr>
          <w:rFonts w:asciiTheme="minorHAnsi" w:hAnsiTheme="minorHAnsi" w:cstheme="minorHAnsi"/>
        </w:rPr>
        <w:t>is</w:t>
      </w:r>
      <w:r w:rsidR="0021214C">
        <w:rPr>
          <w:rFonts w:asciiTheme="minorHAnsi" w:hAnsiTheme="minorHAnsi" w:cstheme="minorHAnsi"/>
        </w:rPr>
        <w:t xml:space="preserve"> study of disciplinary </w:t>
      </w:r>
      <w:r w:rsidR="00B46B2E">
        <w:rPr>
          <w:rFonts w:asciiTheme="minorHAnsi" w:hAnsiTheme="minorHAnsi" w:cstheme="minorHAnsi"/>
        </w:rPr>
        <w:t xml:space="preserve">‘consent’ </w:t>
      </w:r>
      <w:r w:rsidR="0021214C">
        <w:rPr>
          <w:rFonts w:asciiTheme="minorHAnsi" w:hAnsiTheme="minorHAnsi" w:cstheme="minorHAnsi"/>
        </w:rPr>
        <w:t xml:space="preserve">cases </w:t>
      </w:r>
      <w:r w:rsidR="002B0DF0">
        <w:rPr>
          <w:rFonts w:asciiTheme="minorHAnsi" w:hAnsiTheme="minorHAnsi" w:cstheme="minorHAnsi"/>
        </w:rPr>
        <w:t xml:space="preserve">therefore was </w:t>
      </w:r>
      <w:r>
        <w:rPr>
          <w:rFonts w:asciiTheme="minorHAnsi" w:hAnsiTheme="minorHAnsi" w:cstheme="minorHAnsi"/>
        </w:rPr>
        <w:t xml:space="preserve">to </w:t>
      </w:r>
      <w:r w:rsidR="00B46B2E">
        <w:rPr>
          <w:rFonts w:asciiTheme="minorHAnsi" w:hAnsiTheme="minorHAnsi" w:cstheme="minorHAnsi"/>
        </w:rPr>
        <w:t>evaluat</w:t>
      </w:r>
      <w:r>
        <w:rPr>
          <w:rFonts w:asciiTheme="minorHAnsi" w:hAnsiTheme="minorHAnsi" w:cstheme="minorHAnsi"/>
        </w:rPr>
        <w:t>e</w:t>
      </w:r>
      <w:r w:rsidR="0021214C">
        <w:rPr>
          <w:rFonts w:asciiTheme="minorHAnsi" w:hAnsiTheme="minorHAnsi" w:cstheme="minorHAnsi"/>
        </w:rPr>
        <w:t xml:space="preserve"> </w:t>
      </w:r>
      <w:r>
        <w:rPr>
          <w:rFonts w:asciiTheme="minorHAnsi" w:hAnsiTheme="minorHAnsi" w:cstheme="minorHAnsi"/>
        </w:rPr>
        <w:t>any reference to the interests of the owner and the animal patient</w:t>
      </w:r>
      <w:r w:rsidR="0021214C">
        <w:rPr>
          <w:rFonts w:asciiTheme="minorHAnsi" w:hAnsiTheme="minorHAnsi" w:cstheme="minorHAnsi"/>
        </w:rPr>
        <w:t xml:space="preserve"> </w:t>
      </w:r>
      <w:r w:rsidR="00BA1AFD">
        <w:rPr>
          <w:rFonts w:asciiTheme="minorHAnsi" w:hAnsiTheme="minorHAnsi" w:cstheme="minorHAnsi"/>
        </w:rPr>
        <w:t>contained in the</w:t>
      </w:r>
      <w:r>
        <w:rPr>
          <w:rFonts w:asciiTheme="minorHAnsi" w:hAnsiTheme="minorHAnsi" w:cstheme="minorHAnsi"/>
        </w:rPr>
        <w:t xml:space="preserve"> </w:t>
      </w:r>
      <w:r w:rsidR="0021214C">
        <w:rPr>
          <w:rFonts w:asciiTheme="minorHAnsi" w:hAnsiTheme="minorHAnsi" w:cstheme="minorHAnsi"/>
        </w:rPr>
        <w:t xml:space="preserve">decisions </w:t>
      </w:r>
      <w:r w:rsidR="00F94098">
        <w:rPr>
          <w:rFonts w:asciiTheme="minorHAnsi" w:hAnsiTheme="minorHAnsi" w:cstheme="minorHAnsi"/>
        </w:rPr>
        <w:t>reached</w:t>
      </w:r>
      <w:r w:rsidR="0021214C">
        <w:rPr>
          <w:rFonts w:asciiTheme="minorHAnsi" w:hAnsiTheme="minorHAnsi" w:cstheme="minorHAnsi"/>
        </w:rPr>
        <w:t xml:space="preserve"> by the Disciplinary Committee</w:t>
      </w:r>
      <w:r>
        <w:rPr>
          <w:rFonts w:asciiTheme="minorHAnsi" w:hAnsiTheme="minorHAnsi" w:cstheme="minorHAnsi"/>
        </w:rPr>
        <w:t>.</w:t>
      </w:r>
      <w:r w:rsidR="0010016C">
        <w:rPr>
          <w:rFonts w:asciiTheme="minorHAnsi" w:hAnsiTheme="minorHAnsi" w:cstheme="minorHAnsi"/>
        </w:rPr>
        <w:t xml:space="preserve"> </w:t>
      </w:r>
    </w:p>
    <w:p w14:paraId="76F0D048" w14:textId="0F735651" w:rsidR="0010016C" w:rsidRDefault="0010016C" w:rsidP="00962631">
      <w:pPr>
        <w:spacing w:line="360" w:lineRule="auto"/>
        <w:rPr>
          <w:rFonts w:asciiTheme="minorHAnsi" w:hAnsiTheme="minorHAnsi" w:cstheme="minorHAnsi"/>
        </w:rPr>
      </w:pPr>
    </w:p>
    <w:p w14:paraId="56C31427" w14:textId="455657C4" w:rsidR="0010016C" w:rsidRPr="0010016C" w:rsidRDefault="0010016C" w:rsidP="00962631">
      <w:pPr>
        <w:spacing w:line="360" w:lineRule="auto"/>
        <w:rPr>
          <w:rFonts w:asciiTheme="minorHAnsi" w:hAnsiTheme="minorHAnsi" w:cstheme="minorHAnsi"/>
          <w:b/>
          <w:bCs/>
        </w:rPr>
      </w:pPr>
      <w:r w:rsidRPr="0010016C">
        <w:rPr>
          <w:rFonts w:asciiTheme="minorHAnsi" w:hAnsiTheme="minorHAnsi" w:cstheme="minorHAnsi"/>
          <w:b/>
          <w:bCs/>
        </w:rPr>
        <w:t>The construction of consent in veterinary medicine and human medicine</w:t>
      </w:r>
    </w:p>
    <w:p w14:paraId="074A7906" w14:textId="43215FAB" w:rsidR="00CE3CCE" w:rsidRDefault="00377E7A" w:rsidP="002F231D">
      <w:pPr>
        <w:spacing w:line="360" w:lineRule="auto"/>
        <w:rPr>
          <w:rFonts w:asciiTheme="minorHAnsi" w:hAnsiTheme="minorHAnsi" w:cstheme="minorHAnsi"/>
        </w:rPr>
      </w:pPr>
      <w:r>
        <w:rPr>
          <w:rFonts w:asciiTheme="minorHAnsi" w:hAnsiTheme="minorHAnsi" w:cstheme="minorHAnsi"/>
        </w:rPr>
        <w:t xml:space="preserve">Underpinning this study is the assertion that </w:t>
      </w:r>
      <w:r w:rsidR="00411178">
        <w:rPr>
          <w:rFonts w:asciiTheme="minorHAnsi" w:hAnsiTheme="minorHAnsi" w:cstheme="minorHAnsi"/>
        </w:rPr>
        <w:t>c</w:t>
      </w:r>
      <w:r w:rsidR="00962631">
        <w:rPr>
          <w:rFonts w:asciiTheme="minorHAnsi" w:hAnsiTheme="minorHAnsi" w:cstheme="minorHAnsi"/>
        </w:rPr>
        <w:t>o</w:t>
      </w:r>
      <w:r w:rsidR="00962631" w:rsidRPr="00F72F9B">
        <w:rPr>
          <w:rFonts w:asciiTheme="minorHAnsi" w:hAnsiTheme="minorHAnsi" w:cstheme="minorHAnsi"/>
        </w:rPr>
        <w:t>n</w:t>
      </w:r>
      <w:r w:rsidR="00962631">
        <w:rPr>
          <w:rFonts w:asciiTheme="minorHAnsi" w:hAnsiTheme="minorHAnsi" w:cstheme="minorHAnsi"/>
        </w:rPr>
        <w:t>sent in</w:t>
      </w:r>
      <w:r w:rsidR="002E6DAD">
        <w:rPr>
          <w:rFonts w:asciiTheme="minorHAnsi" w:hAnsiTheme="minorHAnsi" w:cstheme="minorHAnsi"/>
        </w:rPr>
        <w:t xml:space="preserve"> </w:t>
      </w:r>
      <w:r w:rsidR="00BA1AFD">
        <w:rPr>
          <w:rFonts w:asciiTheme="minorHAnsi" w:hAnsiTheme="minorHAnsi" w:cstheme="minorHAnsi"/>
        </w:rPr>
        <w:t xml:space="preserve">human </w:t>
      </w:r>
      <w:r>
        <w:rPr>
          <w:rFonts w:asciiTheme="minorHAnsi" w:hAnsiTheme="minorHAnsi" w:cstheme="minorHAnsi"/>
        </w:rPr>
        <w:t>medical and veterinary</w:t>
      </w:r>
      <w:r w:rsidR="002E6DAD">
        <w:rPr>
          <w:rFonts w:asciiTheme="minorHAnsi" w:hAnsiTheme="minorHAnsi" w:cstheme="minorHAnsi"/>
        </w:rPr>
        <w:t xml:space="preserve"> </w:t>
      </w:r>
      <w:r w:rsidR="00BA1AFD">
        <w:rPr>
          <w:rFonts w:asciiTheme="minorHAnsi" w:hAnsiTheme="minorHAnsi" w:cstheme="minorHAnsi"/>
        </w:rPr>
        <w:t xml:space="preserve">medical </w:t>
      </w:r>
      <w:r w:rsidR="002E6DAD">
        <w:rPr>
          <w:rFonts w:asciiTheme="minorHAnsi" w:hAnsiTheme="minorHAnsi" w:cstheme="minorHAnsi"/>
        </w:rPr>
        <w:t>settings</w:t>
      </w:r>
      <w:r w:rsidR="00962631">
        <w:rPr>
          <w:rFonts w:asciiTheme="minorHAnsi" w:hAnsiTheme="minorHAnsi" w:cstheme="minorHAnsi"/>
        </w:rPr>
        <w:t xml:space="preserve"> is constructed</w:t>
      </w:r>
      <w:r w:rsidR="00411178">
        <w:rPr>
          <w:rFonts w:asciiTheme="minorHAnsi" w:hAnsiTheme="minorHAnsi" w:cstheme="minorHAnsi"/>
        </w:rPr>
        <w:t xml:space="preserve"> differently</w:t>
      </w:r>
      <w:r w:rsidR="00962631">
        <w:rPr>
          <w:rFonts w:asciiTheme="minorHAnsi" w:hAnsiTheme="minorHAnsi" w:cstheme="minorHAnsi"/>
        </w:rPr>
        <w:t>. In</w:t>
      </w:r>
      <w:r w:rsidR="00BB025E">
        <w:rPr>
          <w:rFonts w:asciiTheme="minorHAnsi" w:hAnsiTheme="minorHAnsi" w:cstheme="minorHAnsi"/>
        </w:rPr>
        <w:t xml:space="preserve"> </w:t>
      </w:r>
      <w:r w:rsidR="00F255F0">
        <w:rPr>
          <w:rFonts w:asciiTheme="minorHAnsi" w:hAnsiTheme="minorHAnsi" w:cstheme="minorHAnsi"/>
        </w:rPr>
        <w:t>human</w:t>
      </w:r>
      <w:r w:rsidR="00962631" w:rsidRPr="00F72F9B">
        <w:rPr>
          <w:rFonts w:asciiTheme="minorHAnsi" w:hAnsiTheme="minorHAnsi" w:cstheme="minorHAnsi"/>
        </w:rPr>
        <w:t xml:space="preserve"> medicine, professional ethical advice on consent</w:t>
      </w:r>
      <w:r w:rsidR="00183864">
        <w:rPr>
          <w:rFonts w:asciiTheme="minorHAnsi" w:hAnsiTheme="minorHAnsi" w:cstheme="minorHAnsi"/>
        </w:rPr>
        <w:t>,</w:t>
      </w:r>
      <w:r w:rsidR="002E6DAD">
        <w:rPr>
          <w:rFonts w:asciiTheme="minorHAnsi" w:hAnsiTheme="minorHAnsi" w:cstheme="minorHAnsi"/>
        </w:rPr>
        <w:t xml:space="preserve"> </w:t>
      </w:r>
      <w:r w:rsidR="004A33CC">
        <w:rPr>
          <w:rFonts w:asciiTheme="minorHAnsi" w:hAnsiTheme="minorHAnsi" w:cstheme="minorHAnsi"/>
        </w:rPr>
        <w:t>together with</w:t>
      </w:r>
      <w:r w:rsidR="00AC1CA6">
        <w:rPr>
          <w:rFonts w:asciiTheme="minorHAnsi" w:hAnsiTheme="minorHAnsi" w:cstheme="minorHAnsi"/>
        </w:rPr>
        <w:t xml:space="preserve"> the</w:t>
      </w:r>
      <w:r w:rsidR="004A7E6C">
        <w:rPr>
          <w:rFonts w:asciiTheme="minorHAnsi" w:hAnsiTheme="minorHAnsi" w:cstheme="minorHAnsi"/>
        </w:rPr>
        <w:t xml:space="preserve"> </w:t>
      </w:r>
      <w:r w:rsidR="006D7B7F">
        <w:rPr>
          <w:rFonts w:asciiTheme="minorHAnsi" w:hAnsiTheme="minorHAnsi" w:cstheme="minorHAnsi"/>
        </w:rPr>
        <w:t xml:space="preserve">normative guidance </w:t>
      </w:r>
      <w:r w:rsidR="004A7E6C">
        <w:rPr>
          <w:rFonts w:asciiTheme="minorHAnsi" w:hAnsiTheme="minorHAnsi" w:cstheme="minorHAnsi"/>
        </w:rPr>
        <w:t xml:space="preserve">that </w:t>
      </w:r>
      <w:r w:rsidR="00183864">
        <w:rPr>
          <w:rFonts w:asciiTheme="minorHAnsi" w:hAnsiTheme="minorHAnsi" w:cstheme="minorHAnsi"/>
        </w:rPr>
        <w:t>emanat</w:t>
      </w:r>
      <w:r w:rsidR="00F70095">
        <w:rPr>
          <w:rFonts w:asciiTheme="minorHAnsi" w:hAnsiTheme="minorHAnsi" w:cstheme="minorHAnsi"/>
        </w:rPr>
        <w:t>e</w:t>
      </w:r>
      <w:r w:rsidR="00501ED7">
        <w:rPr>
          <w:rFonts w:asciiTheme="minorHAnsi" w:hAnsiTheme="minorHAnsi" w:cstheme="minorHAnsi"/>
        </w:rPr>
        <w:t>s</w:t>
      </w:r>
      <w:r w:rsidR="00962631" w:rsidRPr="00F72F9B">
        <w:rPr>
          <w:rFonts w:asciiTheme="minorHAnsi" w:hAnsiTheme="minorHAnsi" w:cstheme="minorHAnsi"/>
        </w:rPr>
        <w:t xml:space="preserve"> from medicolegal judgments</w:t>
      </w:r>
      <w:r w:rsidR="004A33CC">
        <w:rPr>
          <w:rFonts w:asciiTheme="minorHAnsi" w:hAnsiTheme="minorHAnsi" w:cstheme="minorHAnsi"/>
        </w:rPr>
        <w:t xml:space="preserve"> </w:t>
      </w:r>
      <w:r w:rsidR="004A33CC" w:rsidRPr="00F72F9B">
        <w:rPr>
          <w:rFonts w:asciiTheme="minorHAnsi" w:hAnsiTheme="minorHAnsi" w:cstheme="minorHAnsi"/>
        </w:rPr>
        <w:t xml:space="preserve">has </w:t>
      </w:r>
      <w:r w:rsidR="004A33CC">
        <w:rPr>
          <w:rFonts w:asciiTheme="minorHAnsi" w:hAnsiTheme="minorHAnsi" w:cstheme="minorHAnsi"/>
        </w:rPr>
        <w:t xml:space="preserve">gradually become more focused on the patient’s right to be informed, particularly about risks. Starting with </w:t>
      </w:r>
      <w:r w:rsidR="004A33CC" w:rsidRPr="004A33CC">
        <w:rPr>
          <w:rFonts w:asciiTheme="minorHAnsi" w:hAnsiTheme="minorHAnsi" w:cstheme="minorHAnsi"/>
          <w:i/>
          <w:iCs/>
        </w:rPr>
        <w:t>Bolam</w:t>
      </w:r>
      <w:r w:rsidR="00667130">
        <w:rPr>
          <w:rFonts w:asciiTheme="minorHAnsi" w:hAnsiTheme="minorHAnsi" w:cstheme="minorHAnsi"/>
          <w:i/>
          <w:iCs/>
        </w:rPr>
        <w:t xml:space="preserve"> v Friern Hospital Committee</w:t>
      </w:r>
      <w:r w:rsidR="004A33CC">
        <w:rPr>
          <w:rFonts w:asciiTheme="minorHAnsi" w:hAnsiTheme="minorHAnsi" w:cstheme="minorHAnsi"/>
        </w:rPr>
        <w:t>,</w:t>
      </w:r>
      <w:r w:rsidR="00A11E70">
        <w:rPr>
          <w:rStyle w:val="FootnoteReference"/>
          <w:rFonts w:cstheme="minorHAnsi"/>
        </w:rPr>
        <w:footnoteReference w:id="29"/>
      </w:r>
      <w:r w:rsidR="004A33CC">
        <w:rPr>
          <w:rFonts w:asciiTheme="minorHAnsi" w:hAnsiTheme="minorHAnsi" w:cstheme="minorHAnsi"/>
        </w:rPr>
        <w:t xml:space="preserve"> then developing through </w:t>
      </w:r>
      <w:r w:rsidR="004A33CC" w:rsidRPr="004A33CC">
        <w:rPr>
          <w:rFonts w:asciiTheme="minorHAnsi" w:hAnsiTheme="minorHAnsi" w:cstheme="minorHAnsi"/>
          <w:i/>
          <w:iCs/>
        </w:rPr>
        <w:t>Sidaway</w:t>
      </w:r>
      <w:r w:rsidR="00D206C5">
        <w:rPr>
          <w:rFonts w:asciiTheme="minorHAnsi" w:hAnsiTheme="minorHAnsi" w:cstheme="minorHAnsi"/>
          <w:i/>
          <w:iCs/>
        </w:rPr>
        <w:t xml:space="preserve"> v Board of Governors of the Bethlem Royal Hospital</w:t>
      </w:r>
      <w:r w:rsidR="004A33CC">
        <w:rPr>
          <w:rFonts w:asciiTheme="minorHAnsi" w:hAnsiTheme="minorHAnsi" w:cstheme="minorHAnsi"/>
        </w:rPr>
        <w:t>,</w:t>
      </w:r>
      <w:r w:rsidR="00A11E70">
        <w:rPr>
          <w:rStyle w:val="FootnoteReference"/>
          <w:rFonts w:cstheme="minorHAnsi"/>
        </w:rPr>
        <w:footnoteReference w:id="30"/>
      </w:r>
      <w:r w:rsidR="004A33CC">
        <w:rPr>
          <w:rFonts w:asciiTheme="minorHAnsi" w:hAnsiTheme="minorHAnsi" w:cstheme="minorHAnsi"/>
        </w:rPr>
        <w:t xml:space="preserve"> </w:t>
      </w:r>
      <w:r w:rsidR="004A33CC" w:rsidRPr="004A33CC">
        <w:rPr>
          <w:rFonts w:asciiTheme="minorHAnsi" w:hAnsiTheme="minorHAnsi" w:cstheme="minorHAnsi"/>
          <w:i/>
          <w:iCs/>
        </w:rPr>
        <w:t>Chester</w:t>
      </w:r>
      <w:r w:rsidR="00D206C5">
        <w:rPr>
          <w:rFonts w:asciiTheme="minorHAnsi" w:hAnsiTheme="minorHAnsi" w:cstheme="minorHAnsi"/>
          <w:i/>
          <w:iCs/>
        </w:rPr>
        <w:t xml:space="preserve"> v Afshar</w:t>
      </w:r>
      <w:r w:rsidR="00A11E70">
        <w:rPr>
          <w:rStyle w:val="FootnoteReference"/>
          <w:rFonts w:cstheme="minorHAnsi"/>
          <w:i/>
          <w:iCs/>
        </w:rPr>
        <w:footnoteReference w:id="31"/>
      </w:r>
      <w:r w:rsidR="004A33CC" w:rsidRPr="004A33CC">
        <w:rPr>
          <w:rFonts w:asciiTheme="minorHAnsi" w:hAnsiTheme="minorHAnsi" w:cstheme="minorHAnsi"/>
          <w:i/>
          <w:iCs/>
        </w:rPr>
        <w:t xml:space="preserve"> </w:t>
      </w:r>
      <w:r w:rsidR="00AC1CA6">
        <w:rPr>
          <w:rFonts w:asciiTheme="minorHAnsi" w:hAnsiTheme="minorHAnsi" w:cstheme="minorHAnsi"/>
        </w:rPr>
        <w:t xml:space="preserve">and </w:t>
      </w:r>
      <w:r w:rsidR="003C690A">
        <w:rPr>
          <w:rFonts w:asciiTheme="minorHAnsi" w:hAnsiTheme="minorHAnsi" w:cstheme="minorHAnsi"/>
        </w:rPr>
        <w:t xml:space="preserve">most </w:t>
      </w:r>
      <w:r w:rsidR="00AC1CA6">
        <w:rPr>
          <w:rFonts w:asciiTheme="minorHAnsi" w:hAnsiTheme="minorHAnsi" w:cstheme="minorHAnsi"/>
        </w:rPr>
        <w:t>recen</w:t>
      </w:r>
      <w:r w:rsidR="003C690A">
        <w:rPr>
          <w:rFonts w:asciiTheme="minorHAnsi" w:hAnsiTheme="minorHAnsi" w:cstheme="minorHAnsi"/>
        </w:rPr>
        <w:t xml:space="preserve">tly </w:t>
      </w:r>
      <w:r w:rsidR="003C690A" w:rsidRPr="003C690A">
        <w:rPr>
          <w:rFonts w:asciiTheme="minorHAnsi" w:hAnsiTheme="minorHAnsi" w:cstheme="minorHAnsi"/>
          <w:i/>
          <w:iCs/>
        </w:rPr>
        <w:t>Montgomery v Lanarkshire Health</w:t>
      </w:r>
      <w:r w:rsidR="004A33CC">
        <w:rPr>
          <w:rFonts w:asciiTheme="minorHAnsi" w:hAnsiTheme="minorHAnsi" w:cstheme="minorHAnsi"/>
          <w:i/>
          <w:iCs/>
        </w:rPr>
        <w:t xml:space="preserve"> Board,</w:t>
      </w:r>
      <w:r w:rsidR="00962631" w:rsidRPr="00F72F9B">
        <w:rPr>
          <w:rStyle w:val="FootnoteReference"/>
          <w:rFonts w:cstheme="minorHAnsi"/>
        </w:rPr>
        <w:footnoteReference w:id="32"/>
      </w:r>
      <w:r w:rsidR="00962631" w:rsidRPr="00F72F9B">
        <w:rPr>
          <w:rFonts w:asciiTheme="minorHAnsi" w:hAnsiTheme="minorHAnsi" w:cstheme="minorHAnsi"/>
        </w:rPr>
        <w:t xml:space="preserve"> </w:t>
      </w:r>
      <w:r w:rsidR="004A33CC">
        <w:rPr>
          <w:rFonts w:asciiTheme="minorHAnsi" w:hAnsiTheme="minorHAnsi" w:cstheme="minorHAnsi"/>
        </w:rPr>
        <w:t>t</w:t>
      </w:r>
      <w:r w:rsidR="00962631" w:rsidRPr="00F72F9B">
        <w:rPr>
          <w:rFonts w:asciiTheme="minorHAnsi" w:hAnsiTheme="minorHAnsi" w:cstheme="minorHAnsi"/>
        </w:rPr>
        <w:t xml:space="preserve">he narrative on consent </w:t>
      </w:r>
      <w:r w:rsidR="004A33CC">
        <w:rPr>
          <w:rFonts w:asciiTheme="minorHAnsi" w:hAnsiTheme="minorHAnsi" w:cstheme="minorHAnsi"/>
        </w:rPr>
        <w:t xml:space="preserve">has afforded increasing weight to patient autonomy. This is reflected in </w:t>
      </w:r>
      <w:r w:rsidR="00B90EC7">
        <w:rPr>
          <w:rFonts w:asciiTheme="minorHAnsi" w:hAnsiTheme="minorHAnsi" w:cstheme="minorHAnsi"/>
        </w:rPr>
        <w:t xml:space="preserve">human medical </w:t>
      </w:r>
      <w:r w:rsidR="004A33CC">
        <w:rPr>
          <w:rFonts w:asciiTheme="minorHAnsi" w:hAnsiTheme="minorHAnsi" w:cstheme="minorHAnsi"/>
        </w:rPr>
        <w:t>professional guidance, leading to the latest General Medical Council publication “Decision Making and Consent”</w:t>
      </w:r>
      <w:r w:rsidR="002F231D">
        <w:rPr>
          <w:rFonts w:asciiTheme="minorHAnsi" w:hAnsiTheme="minorHAnsi" w:cstheme="minorHAnsi"/>
        </w:rPr>
        <w:t xml:space="preserve"> advis</w:t>
      </w:r>
      <w:r w:rsidR="00B90EC7">
        <w:rPr>
          <w:rFonts w:asciiTheme="minorHAnsi" w:hAnsiTheme="minorHAnsi" w:cstheme="minorHAnsi"/>
        </w:rPr>
        <w:t>ing</w:t>
      </w:r>
      <w:r w:rsidR="002F231D">
        <w:rPr>
          <w:rFonts w:asciiTheme="minorHAnsi" w:hAnsiTheme="minorHAnsi" w:cstheme="minorHAnsi"/>
        </w:rPr>
        <w:t xml:space="preserve"> that when </w:t>
      </w:r>
      <w:r w:rsidR="00D4309D">
        <w:rPr>
          <w:rFonts w:asciiTheme="minorHAnsi" w:hAnsiTheme="minorHAnsi" w:cstheme="minorHAnsi"/>
        </w:rPr>
        <w:t>discussing risks,</w:t>
      </w:r>
      <w:r w:rsidR="002F231D">
        <w:rPr>
          <w:rFonts w:asciiTheme="minorHAnsi" w:hAnsiTheme="minorHAnsi" w:cstheme="minorHAnsi"/>
        </w:rPr>
        <w:t xml:space="preserve"> “… </w:t>
      </w:r>
      <w:r w:rsidR="002F231D" w:rsidRPr="00D4309D">
        <w:rPr>
          <w:rFonts w:asciiTheme="minorHAnsi" w:hAnsiTheme="minorHAnsi" w:cstheme="minorHAnsi"/>
          <w:i/>
          <w:iCs/>
        </w:rPr>
        <w:t>you</w:t>
      </w:r>
      <w:r w:rsidR="00D4309D" w:rsidRPr="00D4309D">
        <w:rPr>
          <w:rFonts w:asciiTheme="minorHAnsi" w:hAnsiTheme="minorHAnsi" w:cstheme="minorHAnsi"/>
          <w:i/>
          <w:iCs/>
        </w:rPr>
        <w:t xml:space="preserve"> </w:t>
      </w:r>
      <w:r w:rsidR="002F231D" w:rsidRPr="00D4309D">
        <w:rPr>
          <w:rFonts w:asciiTheme="minorHAnsi" w:hAnsiTheme="minorHAnsi" w:cstheme="minorHAnsi"/>
          <w:i/>
          <w:iCs/>
        </w:rPr>
        <w:t>should tailor the discussion to each individual patient, guided by what matters to them</w:t>
      </w:r>
      <w:r w:rsidR="002F231D">
        <w:rPr>
          <w:rFonts w:asciiTheme="minorHAnsi" w:hAnsiTheme="minorHAnsi" w:cstheme="minorHAnsi"/>
        </w:rPr>
        <w:t>…”</w:t>
      </w:r>
      <w:r w:rsidR="00D4309D">
        <w:rPr>
          <w:rStyle w:val="FootnoteReference"/>
          <w:rFonts w:cstheme="minorHAnsi"/>
        </w:rPr>
        <w:footnoteReference w:id="33"/>
      </w:r>
      <w:r w:rsidR="00D4309D">
        <w:rPr>
          <w:rFonts w:asciiTheme="minorHAnsi" w:hAnsiTheme="minorHAnsi" w:cstheme="minorHAnsi"/>
        </w:rPr>
        <w:t xml:space="preserve"> </w:t>
      </w:r>
      <w:r w:rsidR="003F1004">
        <w:rPr>
          <w:rFonts w:asciiTheme="minorHAnsi" w:hAnsiTheme="minorHAnsi" w:cstheme="minorHAnsi"/>
        </w:rPr>
        <w:t>I</w:t>
      </w:r>
      <w:r w:rsidR="00D4309D">
        <w:rPr>
          <w:rFonts w:asciiTheme="minorHAnsi" w:hAnsiTheme="minorHAnsi" w:cstheme="minorHAnsi"/>
        </w:rPr>
        <w:t>n human medicine</w:t>
      </w:r>
      <w:r w:rsidR="003F1004">
        <w:rPr>
          <w:rFonts w:asciiTheme="minorHAnsi" w:hAnsiTheme="minorHAnsi" w:cstheme="minorHAnsi"/>
        </w:rPr>
        <w:t>,</w:t>
      </w:r>
      <w:r w:rsidR="00D4309D">
        <w:rPr>
          <w:rFonts w:asciiTheme="minorHAnsi" w:hAnsiTheme="minorHAnsi" w:cstheme="minorHAnsi"/>
        </w:rPr>
        <w:t xml:space="preserve"> </w:t>
      </w:r>
      <w:r w:rsidR="00D17FA4">
        <w:rPr>
          <w:rFonts w:asciiTheme="minorHAnsi" w:hAnsiTheme="minorHAnsi" w:cstheme="minorHAnsi"/>
        </w:rPr>
        <w:t xml:space="preserve">therefore, </w:t>
      </w:r>
      <w:r w:rsidR="00D4309D">
        <w:rPr>
          <w:rFonts w:asciiTheme="minorHAnsi" w:hAnsiTheme="minorHAnsi" w:cstheme="minorHAnsi"/>
        </w:rPr>
        <w:t>the guidance</w:t>
      </w:r>
      <w:r w:rsidR="003F1004">
        <w:rPr>
          <w:rFonts w:asciiTheme="minorHAnsi" w:hAnsiTheme="minorHAnsi" w:cstheme="minorHAnsi"/>
        </w:rPr>
        <w:t xml:space="preserve"> on consent</w:t>
      </w:r>
      <w:r w:rsidR="00D4309D">
        <w:rPr>
          <w:rFonts w:asciiTheme="minorHAnsi" w:hAnsiTheme="minorHAnsi" w:cstheme="minorHAnsi"/>
        </w:rPr>
        <w:t xml:space="preserve"> has </w:t>
      </w:r>
      <w:r w:rsidR="008841E4">
        <w:rPr>
          <w:rFonts w:asciiTheme="minorHAnsi" w:hAnsiTheme="minorHAnsi" w:cstheme="minorHAnsi"/>
        </w:rPr>
        <w:t xml:space="preserve">been </w:t>
      </w:r>
      <w:r>
        <w:rPr>
          <w:rFonts w:asciiTheme="minorHAnsi" w:hAnsiTheme="minorHAnsi" w:cstheme="minorHAnsi"/>
        </w:rPr>
        <w:t>steered towards the</w:t>
      </w:r>
      <w:r w:rsidR="00D4309D">
        <w:rPr>
          <w:rFonts w:asciiTheme="minorHAnsi" w:hAnsiTheme="minorHAnsi" w:cstheme="minorHAnsi"/>
        </w:rPr>
        <w:t xml:space="preserve"> </w:t>
      </w:r>
      <w:r w:rsidR="008841E4">
        <w:rPr>
          <w:rFonts w:asciiTheme="minorHAnsi" w:hAnsiTheme="minorHAnsi" w:cstheme="minorHAnsi"/>
        </w:rPr>
        <w:t>needs</w:t>
      </w:r>
      <w:r>
        <w:rPr>
          <w:rFonts w:asciiTheme="minorHAnsi" w:hAnsiTheme="minorHAnsi" w:cstheme="minorHAnsi"/>
        </w:rPr>
        <w:t xml:space="preserve"> of the</w:t>
      </w:r>
      <w:r w:rsidR="00D4309D">
        <w:rPr>
          <w:rFonts w:asciiTheme="minorHAnsi" w:hAnsiTheme="minorHAnsi" w:cstheme="minorHAnsi"/>
        </w:rPr>
        <w:t xml:space="preserve"> </w:t>
      </w:r>
      <w:r>
        <w:rPr>
          <w:rFonts w:asciiTheme="minorHAnsi" w:hAnsiTheme="minorHAnsi" w:cstheme="minorHAnsi"/>
        </w:rPr>
        <w:t>‘</w:t>
      </w:r>
      <w:r w:rsidR="00D4309D">
        <w:rPr>
          <w:rFonts w:asciiTheme="minorHAnsi" w:hAnsiTheme="minorHAnsi" w:cstheme="minorHAnsi"/>
        </w:rPr>
        <w:t xml:space="preserve">individual </w:t>
      </w:r>
      <w:r w:rsidR="00D4309D">
        <w:rPr>
          <w:rFonts w:asciiTheme="minorHAnsi" w:hAnsiTheme="minorHAnsi" w:cstheme="minorHAnsi"/>
        </w:rPr>
        <w:lastRenderedPageBreak/>
        <w:t>patient</w:t>
      </w:r>
      <w:r>
        <w:rPr>
          <w:rFonts w:asciiTheme="minorHAnsi" w:hAnsiTheme="minorHAnsi" w:cstheme="minorHAnsi"/>
        </w:rPr>
        <w:t>’</w:t>
      </w:r>
      <w:r w:rsidR="00D4309D">
        <w:rPr>
          <w:rFonts w:asciiTheme="minorHAnsi" w:hAnsiTheme="minorHAnsi" w:cstheme="minorHAnsi"/>
        </w:rPr>
        <w:t xml:space="preserve">, </w:t>
      </w:r>
      <w:r w:rsidR="003F1004">
        <w:rPr>
          <w:rFonts w:asciiTheme="minorHAnsi" w:hAnsiTheme="minorHAnsi" w:cstheme="minorHAnsi"/>
        </w:rPr>
        <w:t>closely following the similar direction taken by the law.</w:t>
      </w:r>
      <w:r w:rsidR="003F1004">
        <w:rPr>
          <w:rStyle w:val="FootnoteReference"/>
          <w:rFonts w:cstheme="minorHAnsi"/>
        </w:rPr>
        <w:footnoteReference w:id="34"/>
      </w:r>
      <w:r w:rsidR="003F1004">
        <w:rPr>
          <w:rFonts w:asciiTheme="minorHAnsi" w:hAnsiTheme="minorHAnsi" w:cstheme="minorHAnsi"/>
        </w:rPr>
        <w:t xml:space="preserve">  In contrast, </w:t>
      </w:r>
      <w:r w:rsidR="00D4309D">
        <w:rPr>
          <w:rFonts w:asciiTheme="minorHAnsi" w:hAnsiTheme="minorHAnsi" w:cstheme="minorHAnsi"/>
        </w:rPr>
        <w:t xml:space="preserve">the narrative </w:t>
      </w:r>
      <w:r w:rsidR="003F1004">
        <w:rPr>
          <w:rFonts w:asciiTheme="minorHAnsi" w:hAnsiTheme="minorHAnsi" w:cstheme="minorHAnsi"/>
        </w:rPr>
        <w:t xml:space="preserve">in veterinary medicine </w:t>
      </w:r>
      <w:r w:rsidR="00D4309D">
        <w:rPr>
          <w:rFonts w:asciiTheme="minorHAnsi" w:hAnsiTheme="minorHAnsi" w:cstheme="minorHAnsi"/>
        </w:rPr>
        <w:t xml:space="preserve">still relies on the test of </w:t>
      </w:r>
      <w:r>
        <w:rPr>
          <w:rFonts w:asciiTheme="minorHAnsi" w:hAnsiTheme="minorHAnsi" w:cstheme="minorHAnsi"/>
        </w:rPr>
        <w:t>‘</w:t>
      </w:r>
      <w:r w:rsidR="00D4309D">
        <w:rPr>
          <w:rFonts w:asciiTheme="minorHAnsi" w:hAnsiTheme="minorHAnsi" w:cstheme="minorHAnsi"/>
        </w:rPr>
        <w:t>reasonableness.</w:t>
      </w:r>
      <w:r>
        <w:rPr>
          <w:rFonts w:asciiTheme="minorHAnsi" w:hAnsiTheme="minorHAnsi" w:cstheme="minorHAnsi"/>
        </w:rPr>
        <w:t>’</w:t>
      </w:r>
      <w:r w:rsidR="00D4309D">
        <w:rPr>
          <w:rFonts w:asciiTheme="minorHAnsi" w:hAnsiTheme="minorHAnsi" w:cstheme="minorHAnsi"/>
        </w:rPr>
        <w:t xml:space="preserve"> </w:t>
      </w:r>
      <w:r w:rsidR="00C31AF9">
        <w:rPr>
          <w:rFonts w:asciiTheme="minorHAnsi" w:hAnsiTheme="minorHAnsi" w:cstheme="minorHAnsi"/>
        </w:rPr>
        <w:t>For example, the RCVS guidance on consent advises that “</w:t>
      </w:r>
      <w:r w:rsidR="00C31AF9" w:rsidRPr="00C31AF9">
        <w:rPr>
          <w:rFonts w:asciiTheme="minorHAnsi" w:hAnsiTheme="minorHAnsi" w:cstheme="minorHAnsi"/>
          <w:i/>
          <w:iCs/>
        </w:rPr>
        <w:t xml:space="preserve">Informed consent …(…)… can only be given by a client who has had the opportunity to consider </w:t>
      </w:r>
      <w:r w:rsidR="00C31AF9" w:rsidRPr="00C31AF9">
        <w:rPr>
          <w:rFonts w:asciiTheme="minorHAnsi" w:hAnsiTheme="minorHAnsi" w:cstheme="minorHAnsi"/>
          <w:b/>
          <w:bCs/>
          <w:i/>
          <w:iCs/>
        </w:rPr>
        <w:t>a range of reasonable treatment options</w:t>
      </w:r>
      <w:r w:rsidR="00C31AF9">
        <w:rPr>
          <w:rFonts w:asciiTheme="minorHAnsi" w:hAnsiTheme="minorHAnsi" w:cstheme="minorHAnsi"/>
        </w:rPr>
        <w:t>…..”</w:t>
      </w:r>
      <w:r w:rsidR="00C31AF9">
        <w:rPr>
          <w:rStyle w:val="FootnoteReference"/>
          <w:rFonts w:cstheme="minorHAnsi"/>
        </w:rPr>
        <w:footnoteReference w:id="35"/>
      </w:r>
      <w:r w:rsidR="00C31AF9">
        <w:rPr>
          <w:rFonts w:asciiTheme="minorHAnsi" w:hAnsiTheme="minorHAnsi" w:cstheme="minorHAnsi"/>
        </w:rPr>
        <w:t xml:space="preserve"> </w:t>
      </w:r>
    </w:p>
    <w:p w14:paraId="11EE4092" w14:textId="77777777" w:rsidR="00043AC5" w:rsidRDefault="00043AC5" w:rsidP="002F231D">
      <w:pPr>
        <w:spacing w:line="360" w:lineRule="auto"/>
        <w:rPr>
          <w:rFonts w:asciiTheme="minorHAnsi" w:hAnsiTheme="minorHAnsi" w:cstheme="minorHAnsi"/>
        </w:rPr>
      </w:pPr>
    </w:p>
    <w:p w14:paraId="0DD6C5F4" w14:textId="65258046" w:rsidR="00A81945" w:rsidRDefault="00CE3CCE" w:rsidP="00962631">
      <w:pPr>
        <w:spacing w:line="360" w:lineRule="auto"/>
        <w:rPr>
          <w:rFonts w:asciiTheme="minorHAnsi" w:hAnsiTheme="minorHAnsi" w:cstheme="minorHAnsi"/>
        </w:rPr>
      </w:pPr>
      <w:r>
        <w:rPr>
          <w:rFonts w:asciiTheme="minorHAnsi" w:hAnsiTheme="minorHAnsi" w:cstheme="minorHAnsi"/>
        </w:rPr>
        <w:t xml:space="preserve">Furthermore, human medical guidance requires that those without capacity to consent for themselves have decisions made that will protect their ‘best interests’ </w:t>
      </w:r>
      <w:r w:rsidR="00D206C5">
        <w:rPr>
          <w:rFonts w:asciiTheme="minorHAnsi" w:hAnsiTheme="minorHAnsi" w:cstheme="minorHAnsi"/>
        </w:rPr>
        <w:t xml:space="preserve">or </w:t>
      </w:r>
      <w:r w:rsidR="00183864">
        <w:rPr>
          <w:rFonts w:asciiTheme="minorHAnsi" w:hAnsiTheme="minorHAnsi" w:cstheme="minorHAnsi"/>
        </w:rPr>
        <w:t xml:space="preserve">that </w:t>
      </w:r>
      <w:r w:rsidR="00D206C5">
        <w:rPr>
          <w:rFonts w:asciiTheme="minorHAnsi" w:hAnsiTheme="minorHAnsi" w:cstheme="minorHAnsi"/>
        </w:rPr>
        <w:t>will be of ‘overall benefit’ to them</w:t>
      </w:r>
      <w:r>
        <w:rPr>
          <w:rFonts w:asciiTheme="minorHAnsi" w:hAnsiTheme="minorHAnsi" w:cstheme="minorHAnsi"/>
        </w:rPr>
        <w:t>.</w:t>
      </w:r>
      <w:r w:rsidR="00183864">
        <w:rPr>
          <w:rStyle w:val="FootnoteReference"/>
          <w:rFonts w:cstheme="minorHAnsi"/>
        </w:rPr>
        <w:footnoteReference w:id="36"/>
      </w:r>
      <w:r>
        <w:rPr>
          <w:rFonts w:asciiTheme="minorHAnsi" w:hAnsiTheme="minorHAnsi" w:cstheme="minorHAnsi"/>
        </w:rPr>
        <w:t xml:space="preserve"> </w:t>
      </w:r>
      <w:r w:rsidR="00037BC5">
        <w:rPr>
          <w:rFonts w:asciiTheme="minorHAnsi" w:hAnsiTheme="minorHAnsi" w:cstheme="minorHAnsi"/>
        </w:rPr>
        <w:t>V</w:t>
      </w:r>
      <w:r>
        <w:rPr>
          <w:rFonts w:asciiTheme="minorHAnsi" w:hAnsiTheme="minorHAnsi" w:cstheme="minorHAnsi"/>
        </w:rPr>
        <w:t xml:space="preserve">eterinary </w:t>
      </w:r>
      <w:r w:rsidR="00C31AF9">
        <w:rPr>
          <w:rFonts w:asciiTheme="minorHAnsi" w:hAnsiTheme="minorHAnsi" w:cstheme="minorHAnsi"/>
        </w:rPr>
        <w:t>guidance</w:t>
      </w:r>
      <w:r w:rsidR="00A35908">
        <w:rPr>
          <w:rFonts w:asciiTheme="minorHAnsi" w:hAnsiTheme="minorHAnsi" w:cstheme="minorHAnsi"/>
        </w:rPr>
        <w:t xml:space="preserve"> on consent</w:t>
      </w:r>
      <w:r w:rsidR="00C31AF9">
        <w:rPr>
          <w:rFonts w:asciiTheme="minorHAnsi" w:hAnsiTheme="minorHAnsi" w:cstheme="minorHAnsi"/>
        </w:rPr>
        <w:t xml:space="preserve"> makes little reference to the ‘best interests’ of the animal patient, </w:t>
      </w:r>
      <w:r>
        <w:rPr>
          <w:rFonts w:asciiTheme="minorHAnsi" w:hAnsiTheme="minorHAnsi" w:cstheme="minorHAnsi"/>
        </w:rPr>
        <w:t xml:space="preserve">instead </w:t>
      </w:r>
      <w:r w:rsidR="00C31AF9">
        <w:rPr>
          <w:rFonts w:asciiTheme="minorHAnsi" w:hAnsiTheme="minorHAnsi" w:cstheme="minorHAnsi"/>
        </w:rPr>
        <w:t>referring to the animal</w:t>
      </w:r>
      <w:r>
        <w:rPr>
          <w:rFonts w:asciiTheme="minorHAnsi" w:hAnsiTheme="minorHAnsi" w:cstheme="minorHAnsi"/>
        </w:rPr>
        <w:t xml:space="preserve"> patient</w:t>
      </w:r>
      <w:r w:rsidR="00C31AF9">
        <w:rPr>
          <w:rFonts w:asciiTheme="minorHAnsi" w:hAnsiTheme="minorHAnsi" w:cstheme="minorHAnsi"/>
        </w:rPr>
        <w:t xml:space="preserve">’s </w:t>
      </w:r>
      <w:r w:rsidR="00D206C5">
        <w:rPr>
          <w:rFonts w:asciiTheme="minorHAnsi" w:hAnsiTheme="minorHAnsi" w:cstheme="minorHAnsi"/>
        </w:rPr>
        <w:t>‘</w:t>
      </w:r>
      <w:r w:rsidR="00C31AF9">
        <w:rPr>
          <w:rFonts w:asciiTheme="minorHAnsi" w:hAnsiTheme="minorHAnsi" w:cstheme="minorHAnsi"/>
        </w:rPr>
        <w:t>welfare</w:t>
      </w:r>
      <w:r w:rsidR="00D206C5">
        <w:rPr>
          <w:rFonts w:asciiTheme="minorHAnsi" w:hAnsiTheme="minorHAnsi" w:cstheme="minorHAnsi"/>
        </w:rPr>
        <w:t>’</w:t>
      </w:r>
      <w:r w:rsidR="00C31AF9">
        <w:rPr>
          <w:rFonts w:asciiTheme="minorHAnsi" w:hAnsiTheme="minorHAnsi" w:cstheme="minorHAnsi"/>
        </w:rPr>
        <w:t xml:space="preserve"> </w:t>
      </w:r>
      <w:r>
        <w:rPr>
          <w:rFonts w:asciiTheme="minorHAnsi" w:hAnsiTheme="minorHAnsi" w:cstheme="minorHAnsi"/>
        </w:rPr>
        <w:t>throughout.</w:t>
      </w:r>
      <w:r w:rsidR="00812250">
        <w:rPr>
          <w:rStyle w:val="FootnoteReference"/>
          <w:rFonts w:cstheme="minorHAnsi"/>
        </w:rPr>
        <w:footnoteReference w:id="37"/>
      </w:r>
      <w:r>
        <w:rPr>
          <w:rFonts w:asciiTheme="minorHAnsi" w:hAnsiTheme="minorHAnsi" w:cstheme="minorHAnsi"/>
        </w:rPr>
        <w:t xml:space="preserve"> </w:t>
      </w:r>
      <w:r w:rsidR="00472311">
        <w:rPr>
          <w:rFonts w:asciiTheme="minorHAnsi" w:hAnsiTheme="minorHAnsi" w:cstheme="minorHAnsi"/>
        </w:rPr>
        <w:t>There are</w:t>
      </w:r>
      <w:r>
        <w:rPr>
          <w:rFonts w:asciiTheme="minorHAnsi" w:hAnsiTheme="minorHAnsi" w:cstheme="minorHAnsi"/>
        </w:rPr>
        <w:t>,</w:t>
      </w:r>
      <w:r w:rsidR="00472311">
        <w:rPr>
          <w:rFonts w:asciiTheme="minorHAnsi" w:hAnsiTheme="minorHAnsi" w:cstheme="minorHAnsi"/>
        </w:rPr>
        <w:t xml:space="preserve"> however, </w:t>
      </w:r>
      <w:r w:rsidR="00A35908">
        <w:rPr>
          <w:rFonts w:asciiTheme="minorHAnsi" w:hAnsiTheme="minorHAnsi" w:cstheme="minorHAnsi"/>
        </w:rPr>
        <w:t>two</w:t>
      </w:r>
      <w:r w:rsidR="00472311">
        <w:rPr>
          <w:rFonts w:asciiTheme="minorHAnsi" w:hAnsiTheme="minorHAnsi" w:cstheme="minorHAnsi"/>
        </w:rPr>
        <w:t xml:space="preserve"> notable ex</w:t>
      </w:r>
      <w:r w:rsidR="0021214C">
        <w:rPr>
          <w:rFonts w:asciiTheme="minorHAnsi" w:hAnsiTheme="minorHAnsi" w:cstheme="minorHAnsi"/>
        </w:rPr>
        <w:t>cep</w:t>
      </w:r>
      <w:r w:rsidR="00472311">
        <w:rPr>
          <w:rFonts w:asciiTheme="minorHAnsi" w:hAnsiTheme="minorHAnsi" w:cstheme="minorHAnsi"/>
        </w:rPr>
        <w:t>tions. First,</w:t>
      </w:r>
      <w:r>
        <w:rPr>
          <w:rFonts w:asciiTheme="minorHAnsi" w:hAnsiTheme="minorHAnsi" w:cstheme="minorHAnsi"/>
        </w:rPr>
        <w:t xml:space="preserve"> when referring to wildlife patients, “</w:t>
      </w:r>
      <w:r w:rsidRPr="00CE3CCE">
        <w:rPr>
          <w:rFonts w:asciiTheme="minorHAnsi" w:hAnsiTheme="minorHAnsi" w:cstheme="minorHAnsi"/>
          <w:i/>
          <w:iCs/>
        </w:rPr>
        <w:t xml:space="preserve">it is </w:t>
      </w:r>
      <w:r>
        <w:rPr>
          <w:rFonts w:asciiTheme="minorHAnsi" w:hAnsiTheme="minorHAnsi" w:cstheme="minorHAnsi"/>
          <w:i/>
          <w:iCs/>
        </w:rPr>
        <w:t xml:space="preserve">…. </w:t>
      </w:r>
      <w:r w:rsidRPr="00CE3CCE">
        <w:rPr>
          <w:rFonts w:asciiTheme="minorHAnsi" w:hAnsiTheme="minorHAnsi" w:cstheme="minorHAnsi"/>
          <w:i/>
          <w:iCs/>
        </w:rPr>
        <w:t xml:space="preserve"> a matter for the veterinary surgeon to decide what treatment is in the animal’s best interest</w:t>
      </w:r>
      <w:r>
        <w:rPr>
          <w:rFonts w:asciiTheme="minorHAnsi" w:hAnsiTheme="minorHAnsi" w:cstheme="minorHAnsi"/>
          <w:i/>
          <w:iCs/>
        </w:rPr>
        <w:t>……</w:t>
      </w:r>
      <w:r>
        <w:rPr>
          <w:rFonts w:asciiTheme="minorHAnsi" w:hAnsiTheme="minorHAnsi" w:cstheme="minorHAnsi"/>
        </w:rPr>
        <w:t>.”</w:t>
      </w:r>
      <w:r w:rsidR="00D206C5">
        <w:rPr>
          <w:rStyle w:val="FootnoteReference"/>
          <w:rFonts w:cstheme="minorHAnsi"/>
        </w:rPr>
        <w:footnoteReference w:id="38"/>
      </w:r>
      <w:r>
        <w:rPr>
          <w:rFonts w:asciiTheme="minorHAnsi" w:hAnsiTheme="minorHAnsi" w:cstheme="minorHAnsi"/>
        </w:rPr>
        <w:t xml:space="preserve"> </w:t>
      </w:r>
      <w:r w:rsidR="00472311">
        <w:rPr>
          <w:rFonts w:asciiTheme="minorHAnsi" w:hAnsiTheme="minorHAnsi" w:cstheme="minorHAnsi"/>
        </w:rPr>
        <w:t xml:space="preserve">Second, </w:t>
      </w:r>
      <w:r w:rsidR="00BA1AFD">
        <w:rPr>
          <w:rFonts w:asciiTheme="minorHAnsi" w:hAnsiTheme="minorHAnsi" w:cstheme="minorHAnsi"/>
        </w:rPr>
        <w:t xml:space="preserve">advice </w:t>
      </w:r>
      <w:r w:rsidR="00B86DEE">
        <w:rPr>
          <w:rFonts w:asciiTheme="minorHAnsi" w:hAnsiTheme="minorHAnsi" w:cstheme="minorHAnsi"/>
        </w:rPr>
        <w:t xml:space="preserve">concerning </w:t>
      </w:r>
      <w:r w:rsidR="00472311">
        <w:rPr>
          <w:rFonts w:asciiTheme="minorHAnsi" w:hAnsiTheme="minorHAnsi" w:cstheme="minorHAnsi"/>
        </w:rPr>
        <w:t xml:space="preserve">a client </w:t>
      </w:r>
      <w:r w:rsidR="00B86DEE">
        <w:rPr>
          <w:rFonts w:asciiTheme="minorHAnsi" w:hAnsiTheme="minorHAnsi" w:cstheme="minorHAnsi"/>
        </w:rPr>
        <w:t xml:space="preserve">who </w:t>
      </w:r>
      <w:r w:rsidR="00472311">
        <w:rPr>
          <w:rFonts w:asciiTheme="minorHAnsi" w:hAnsiTheme="minorHAnsi" w:cstheme="minorHAnsi"/>
        </w:rPr>
        <w:t>lacks the mental capacity to give consent</w:t>
      </w:r>
      <w:r w:rsidR="00B86DEE">
        <w:rPr>
          <w:rFonts w:asciiTheme="minorHAnsi" w:hAnsiTheme="minorHAnsi" w:cstheme="minorHAnsi"/>
        </w:rPr>
        <w:t xml:space="preserve"> suggests that</w:t>
      </w:r>
      <w:r w:rsidR="00472311">
        <w:rPr>
          <w:rFonts w:asciiTheme="minorHAnsi" w:hAnsiTheme="minorHAnsi" w:cstheme="minorHAnsi"/>
        </w:rPr>
        <w:t xml:space="preserve"> a legally appointed representative should be sought, but </w:t>
      </w:r>
      <w:r w:rsidR="00472311" w:rsidRPr="00472311">
        <w:rPr>
          <w:rFonts w:asciiTheme="minorHAnsi" w:hAnsiTheme="minorHAnsi" w:cstheme="minorHAnsi"/>
          <w:i/>
          <w:iCs/>
        </w:rPr>
        <w:t>“(i)f there is no such person, veterinary surgeons should act in the best interests of the animal</w:t>
      </w:r>
      <w:r w:rsidR="00472311">
        <w:rPr>
          <w:rFonts w:asciiTheme="minorHAnsi" w:hAnsiTheme="minorHAnsi" w:cstheme="minorHAnsi"/>
          <w:i/>
          <w:iCs/>
        </w:rPr>
        <w:t>.”</w:t>
      </w:r>
      <w:r w:rsidR="00472311">
        <w:rPr>
          <w:rStyle w:val="FootnoteReference"/>
          <w:rFonts w:cstheme="minorHAnsi"/>
          <w:i/>
          <w:iCs/>
        </w:rPr>
        <w:footnoteReference w:id="39"/>
      </w:r>
      <w:r w:rsidR="00A11E70">
        <w:rPr>
          <w:rFonts w:asciiTheme="minorHAnsi" w:hAnsiTheme="minorHAnsi" w:cstheme="minorHAnsi"/>
        </w:rPr>
        <w:t xml:space="preserve"> </w:t>
      </w:r>
      <w:r>
        <w:rPr>
          <w:rFonts w:asciiTheme="minorHAnsi" w:hAnsiTheme="minorHAnsi" w:cstheme="minorHAnsi"/>
        </w:rPr>
        <w:t xml:space="preserve">Accordingly, it </w:t>
      </w:r>
      <w:r w:rsidR="00F94098">
        <w:rPr>
          <w:rFonts w:asciiTheme="minorHAnsi" w:hAnsiTheme="minorHAnsi" w:cstheme="minorHAnsi"/>
        </w:rPr>
        <w:t>appear</w:t>
      </w:r>
      <w:r>
        <w:rPr>
          <w:rFonts w:asciiTheme="minorHAnsi" w:hAnsiTheme="minorHAnsi" w:cstheme="minorHAnsi"/>
        </w:rPr>
        <w:t xml:space="preserve">s that </w:t>
      </w:r>
      <w:r w:rsidR="006A0F3A">
        <w:rPr>
          <w:rFonts w:asciiTheme="minorHAnsi" w:hAnsiTheme="minorHAnsi" w:cstheme="minorHAnsi"/>
        </w:rPr>
        <w:t>professional ethical guidance protects the</w:t>
      </w:r>
      <w:r>
        <w:rPr>
          <w:rFonts w:asciiTheme="minorHAnsi" w:hAnsiTheme="minorHAnsi" w:cstheme="minorHAnsi"/>
        </w:rPr>
        <w:t xml:space="preserve"> </w:t>
      </w:r>
      <w:r w:rsidR="006A0F3A">
        <w:rPr>
          <w:rFonts w:asciiTheme="minorHAnsi" w:hAnsiTheme="minorHAnsi" w:cstheme="minorHAnsi"/>
        </w:rPr>
        <w:t>‘best interests’ of unowned animals or animals</w:t>
      </w:r>
      <w:r>
        <w:rPr>
          <w:rFonts w:asciiTheme="minorHAnsi" w:hAnsiTheme="minorHAnsi" w:cstheme="minorHAnsi"/>
        </w:rPr>
        <w:t xml:space="preserve"> </w:t>
      </w:r>
      <w:r w:rsidR="006A0F3A">
        <w:rPr>
          <w:rFonts w:asciiTheme="minorHAnsi" w:hAnsiTheme="minorHAnsi" w:cstheme="minorHAnsi"/>
        </w:rPr>
        <w:t>whose owners lack capacity, but not those of animals w</w:t>
      </w:r>
      <w:r w:rsidR="00BB0B88">
        <w:rPr>
          <w:rFonts w:asciiTheme="minorHAnsi" w:hAnsiTheme="minorHAnsi" w:cstheme="minorHAnsi"/>
        </w:rPr>
        <w:t>hose</w:t>
      </w:r>
      <w:r>
        <w:rPr>
          <w:rFonts w:asciiTheme="minorHAnsi" w:hAnsiTheme="minorHAnsi" w:cstheme="minorHAnsi"/>
        </w:rPr>
        <w:t xml:space="preserve"> owners</w:t>
      </w:r>
      <w:r w:rsidR="00472311">
        <w:rPr>
          <w:rFonts w:asciiTheme="minorHAnsi" w:hAnsiTheme="minorHAnsi" w:cstheme="minorHAnsi"/>
        </w:rPr>
        <w:t xml:space="preserve"> have capacity to consent</w:t>
      </w:r>
      <w:r w:rsidR="00B86DEE">
        <w:rPr>
          <w:rFonts w:asciiTheme="minorHAnsi" w:hAnsiTheme="minorHAnsi" w:cstheme="minorHAnsi"/>
        </w:rPr>
        <w:t>, raising the question of whether this ethical stance is reflected in disciplinary hearings.</w:t>
      </w:r>
    </w:p>
    <w:p w14:paraId="79FE99B3" w14:textId="375B62FC" w:rsidR="00377E7A" w:rsidRDefault="00377E7A" w:rsidP="00962631">
      <w:pPr>
        <w:spacing w:line="360" w:lineRule="auto"/>
        <w:rPr>
          <w:rFonts w:asciiTheme="minorHAnsi" w:hAnsiTheme="minorHAnsi" w:cstheme="minorHAnsi"/>
        </w:rPr>
      </w:pPr>
    </w:p>
    <w:p w14:paraId="47F13A3C" w14:textId="3E5DA4AC" w:rsidR="00377E7A" w:rsidRDefault="00F94098" w:rsidP="00962631">
      <w:pPr>
        <w:spacing w:line="360" w:lineRule="auto"/>
        <w:rPr>
          <w:rFonts w:asciiTheme="minorHAnsi" w:hAnsiTheme="minorHAnsi" w:cstheme="minorHAnsi"/>
        </w:rPr>
      </w:pPr>
      <w:r>
        <w:rPr>
          <w:rFonts w:asciiTheme="minorHAnsi" w:hAnsiTheme="minorHAnsi" w:cstheme="minorHAnsi"/>
        </w:rPr>
        <w:t>In summary, t</w:t>
      </w:r>
      <w:r w:rsidR="00BB0B88">
        <w:rPr>
          <w:rFonts w:asciiTheme="minorHAnsi" w:hAnsiTheme="minorHAnsi" w:cstheme="minorHAnsi"/>
        </w:rPr>
        <w:t>his study</w:t>
      </w:r>
      <w:r>
        <w:rPr>
          <w:rFonts w:asciiTheme="minorHAnsi" w:hAnsiTheme="minorHAnsi" w:cstheme="minorHAnsi"/>
        </w:rPr>
        <w:t xml:space="preserve"> aimed to examine</w:t>
      </w:r>
      <w:r w:rsidR="00BB0B88">
        <w:rPr>
          <w:rFonts w:asciiTheme="minorHAnsi" w:hAnsiTheme="minorHAnsi" w:cstheme="minorHAnsi"/>
        </w:rPr>
        <w:t xml:space="preserve"> findings </w:t>
      </w:r>
      <w:r w:rsidR="00377E7A">
        <w:rPr>
          <w:rFonts w:asciiTheme="minorHAnsi" w:hAnsiTheme="minorHAnsi" w:cstheme="minorHAnsi"/>
        </w:rPr>
        <w:t>of the Disciplinary Committee</w:t>
      </w:r>
      <w:r w:rsidR="00F43B70">
        <w:rPr>
          <w:rFonts w:asciiTheme="minorHAnsi" w:hAnsiTheme="minorHAnsi" w:cstheme="minorHAnsi"/>
        </w:rPr>
        <w:t xml:space="preserve"> in cases of failure to obtain consent</w:t>
      </w:r>
      <w:r w:rsidR="00606DE5">
        <w:rPr>
          <w:rFonts w:asciiTheme="minorHAnsi" w:hAnsiTheme="minorHAnsi" w:cstheme="minorHAnsi"/>
        </w:rPr>
        <w:t>, t</w:t>
      </w:r>
      <w:r>
        <w:rPr>
          <w:rFonts w:asciiTheme="minorHAnsi" w:hAnsiTheme="minorHAnsi" w:cstheme="minorHAnsi"/>
        </w:rPr>
        <w:t>o relate t</w:t>
      </w:r>
      <w:r w:rsidR="00606DE5">
        <w:rPr>
          <w:rFonts w:asciiTheme="minorHAnsi" w:hAnsiTheme="minorHAnsi" w:cstheme="minorHAnsi"/>
        </w:rPr>
        <w:t>hese</w:t>
      </w:r>
      <w:r w:rsidR="00377E7A">
        <w:rPr>
          <w:rFonts w:asciiTheme="minorHAnsi" w:hAnsiTheme="minorHAnsi" w:cstheme="minorHAnsi"/>
        </w:rPr>
        <w:t xml:space="preserve"> </w:t>
      </w:r>
      <w:r w:rsidR="00F43B70">
        <w:rPr>
          <w:rFonts w:asciiTheme="minorHAnsi" w:hAnsiTheme="minorHAnsi" w:cstheme="minorHAnsi"/>
        </w:rPr>
        <w:t xml:space="preserve">findings </w:t>
      </w:r>
      <w:r w:rsidR="00377E7A">
        <w:rPr>
          <w:rFonts w:asciiTheme="minorHAnsi" w:hAnsiTheme="minorHAnsi" w:cstheme="minorHAnsi"/>
        </w:rPr>
        <w:t xml:space="preserve">to </w:t>
      </w:r>
      <w:r>
        <w:rPr>
          <w:rFonts w:asciiTheme="minorHAnsi" w:hAnsiTheme="minorHAnsi" w:cstheme="minorHAnsi"/>
        </w:rPr>
        <w:t>concurrent</w:t>
      </w:r>
      <w:r w:rsidR="00377E7A">
        <w:rPr>
          <w:rFonts w:asciiTheme="minorHAnsi" w:hAnsiTheme="minorHAnsi" w:cstheme="minorHAnsi"/>
        </w:rPr>
        <w:t xml:space="preserve"> changes </w:t>
      </w:r>
      <w:r w:rsidR="00606DE5">
        <w:rPr>
          <w:rFonts w:asciiTheme="minorHAnsi" w:hAnsiTheme="minorHAnsi" w:cstheme="minorHAnsi"/>
        </w:rPr>
        <w:t>to</w:t>
      </w:r>
      <w:r w:rsidR="00F43B70">
        <w:rPr>
          <w:rFonts w:asciiTheme="minorHAnsi" w:hAnsiTheme="minorHAnsi" w:cstheme="minorHAnsi"/>
        </w:rPr>
        <w:t xml:space="preserve"> </w:t>
      </w:r>
      <w:r w:rsidR="00BB0B88">
        <w:rPr>
          <w:rFonts w:asciiTheme="minorHAnsi" w:hAnsiTheme="minorHAnsi" w:cstheme="minorHAnsi"/>
        </w:rPr>
        <w:t>the ‘Communication and Consent’ section</w:t>
      </w:r>
      <w:r w:rsidR="00F43B70">
        <w:rPr>
          <w:rFonts w:asciiTheme="minorHAnsi" w:hAnsiTheme="minorHAnsi" w:cstheme="minorHAnsi"/>
        </w:rPr>
        <w:t xml:space="preserve"> of</w:t>
      </w:r>
      <w:r w:rsidR="00377E7A">
        <w:rPr>
          <w:rFonts w:asciiTheme="minorHAnsi" w:hAnsiTheme="minorHAnsi" w:cstheme="minorHAnsi"/>
        </w:rPr>
        <w:t xml:space="preserve"> </w:t>
      </w:r>
      <w:r w:rsidR="00BB0B88">
        <w:rPr>
          <w:rFonts w:asciiTheme="minorHAnsi" w:hAnsiTheme="minorHAnsi" w:cstheme="minorHAnsi"/>
        </w:rPr>
        <w:t>the Code of Professional Conduct and</w:t>
      </w:r>
      <w:r w:rsidR="00377E7A">
        <w:rPr>
          <w:rFonts w:asciiTheme="minorHAnsi" w:hAnsiTheme="minorHAnsi" w:cstheme="minorHAnsi"/>
        </w:rPr>
        <w:t xml:space="preserve"> </w:t>
      </w:r>
      <w:r>
        <w:rPr>
          <w:rFonts w:asciiTheme="minorHAnsi" w:hAnsiTheme="minorHAnsi" w:cstheme="minorHAnsi"/>
        </w:rPr>
        <w:t xml:space="preserve">to evaluate how </w:t>
      </w:r>
      <w:r w:rsidR="00377E7A">
        <w:rPr>
          <w:rFonts w:asciiTheme="minorHAnsi" w:hAnsiTheme="minorHAnsi" w:cstheme="minorHAnsi"/>
        </w:rPr>
        <w:t xml:space="preserve">the relative interests of the animal patient and the </w:t>
      </w:r>
      <w:r w:rsidR="0085692B">
        <w:rPr>
          <w:rFonts w:asciiTheme="minorHAnsi" w:hAnsiTheme="minorHAnsi" w:cstheme="minorHAnsi"/>
        </w:rPr>
        <w:t xml:space="preserve">client </w:t>
      </w:r>
      <w:r w:rsidR="00377E7A">
        <w:rPr>
          <w:rFonts w:asciiTheme="minorHAnsi" w:hAnsiTheme="minorHAnsi" w:cstheme="minorHAnsi"/>
        </w:rPr>
        <w:t xml:space="preserve">were </w:t>
      </w:r>
      <w:r>
        <w:rPr>
          <w:rFonts w:asciiTheme="minorHAnsi" w:hAnsiTheme="minorHAnsi" w:cstheme="minorHAnsi"/>
        </w:rPr>
        <w:t xml:space="preserve">considered in </w:t>
      </w:r>
      <w:r w:rsidR="00377E7A">
        <w:rPr>
          <w:rFonts w:asciiTheme="minorHAnsi" w:hAnsiTheme="minorHAnsi" w:cstheme="minorHAnsi"/>
        </w:rPr>
        <w:t>each case.</w:t>
      </w:r>
    </w:p>
    <w:p w14:paraId="0CB2DC43" w14:textId="77777777" w:rsidR="00377E7A" w:rsidRDefault="00377E7A" w:rsidP="00962631">
      <w:pPr>
        <w:spacing w:line="360" w:lineRule="auto"/>
        <w:rPr>
          <w:rFonts w:asciiTheme="minorHAnsi" w:hAnsiTheme="minorHAnsi" w:cstheme="minorHAnsi"/>
        </w:rPr>
      </w:pPr>
    </w:p>
    <w:p w14:paraId="0374E980" w14:textId="463E82A8" w:rsidR="00A81945" w:rsidRPr="004F67B4" w:rsidRDefault="00A81945" w:rsidP="00A81945">
      <w:pPr>
        <w:spacing w:line="360" w:lineRule="auto"/>
        <w:rPr>
          <w:rFonts w:asciiTheme="minorHAnsi" w:hAnsiTheme="minorHAnsi" w:cstheme="minorHAnsi"/>
          <w:b/>
          <w:bCs/>
          <w:sz w:val="28"/>
          <w:szCs w:val="28"/>
        </w:rPr>
      </w:pPr>
      <w:r w:rsidRPr="004F67B4">
        <w:rPr>
          <w:rFonts w:asciiTheme="minorHAnsi" w:hAnsiTheme="minorHAnsi" w:cstheme="minorHAnsi"/>
          <w:b/>
          <w:bCs/>
          <w:sz w:val="28"/>
          <w:szCs w:val="28"/>
        </w:rPr>
        <w:t>Methods</w:t>
      </w:r>
    </w:p>
    <w:p w14:paraId="021A3290" w14:textId="08DEFF9B" w:rsidR="00962631" w:rsidRDefault="00962631" w:rsidP="00962631">
      <w:pPr>
        <w:spacing w:line="360" w:lineRule="auto"/>
        <w:rPr>
          <w:rFonts w:asciiTheme="minorHAnsi" w:hAnsiTheme="minorHAnsi" w:cstheme="minorHAnsi"/>
        </w:rPr>
      </w:pPr>
    </w:p>
    <w:p w14:paraId="56066230" w14:textId="57FFC19C" w:rsidR="00962631" w:rsidRDefault="004779D9" w:rsidP="00962631">
      <w:pPr>
        <w:spacing w:line="360" w:lineRule="auto"/>
        <w:rPr>
          <w:rFonts w:asciiTheme="minorHAnsi" w:hAnsiTheme="minorHAnsi" w:cstheme="minorHAnsi"/>
        </w:rPr>
      </w:pPr>
      <w:r>
        <w:rPr>
          <w:rFonts w:asciiTheme="minorHAnsi" w:hAnsiTheme="minorHAnsi" w:cstheme="minorHAnsi"/>
        </w:rPr>
        <w:t>P</w:t>
      </w:r>
      <w:r w:rsidR="00962631" w:rsidRPr="00F72F9B">
        <w:rPr>
          <w:rFonts w:asciiTheme="minorHAnsi" w:hAnsiTheme="minorHAnsi" w:cstheme="minorHAnsi"/>
        </w:rPr>
        <w:t>ubli</w:t>
      </w:r>
      <w:r w:rsidR="00962631">
        <w:rPr>
          <w:rFonts w:asciiTheme="minorHAnsi" w:hAnsiTheme="minorHAnsi" w:cstheme="minorHAnsi"/>
        </w:rPr>
        <w:t>cly available</w:t>
      </w:r>
      <w:r w:rsidR="00962631" w:rsidRPr="00F72F9B">
        <w:rPr>
          <w:rFonts w:asciiTheme="minorHAnsi" w:hAnsiTheme="minorHAnsi" w:cstheme="minorHAnsi"/>
        </w:rPr>
        <w:t xml:space="preserve"> documents </w:t>
      </w:r>
      <w:r w:rsidR="00962631">
        <w:rPr>
          <w:rFonts w:asciiTheme="minorHAnsi" w:hAnsiTheme="minorHAnsi" w:cstheme="minorHAnsi"/>
        </w:rPr>
        <w:t>detailing</w:t>
      </w:r>
      <w:r w:rsidR="00962631" w:rsidRPr="00F72F9B">
        <w:rPr>
          <w:rFonts w:asciiTheme="minorHAnsi" w:hAnsiTheme="minorHAnsi" w:cstheme="minorHAnsi"/>
        </w:rPr>
        <w:t xml:space="preserve"> </w:t>
      </w:r>
      <w:r>
        <w:rPr>
          <w:rFonts w:asciiTheme="minorHAnsi" w:hAnsiTheme="minorHAnsi" w:cstheme="minorHAnsi"/>
        </w:rPr>
        <w:t xml:space="preserve">RCVS </w:t>
      </w:r>
      <w:r w:rsidR="00962631" w:rsidRPr="00F72F9B">
        <w:rPr>
          <w:rFonts w:asciiTheme="minorHAnsi" w:hAnsiTheme="minorHAnsi" w:cstheme="minorHAnsi"/>
        </w:rPr>
        <w:t>disciplinary hearings</w:t>
      </w:r>
      <w:r w:rsidR="00962631" w:rsidRPr="00F72F9B">
        <w:rPr>
          <w:rStyle w:val="FootnoteReference"/>
          <w:rFonts w:cstheme="minorHAnsi"/>
        </w:rPr>
        <w:footnoteReference w:id="40"/>
      </w:r>
      <w:r w:rsidR="00962631" w:rsidRPr="00F72F9B">
        <w:rPr>
          <w:rFonts w:asciiTheme="minorHAnsi" w:hAnsiTheme="minorHAnsi" w:cstheme="minorHAnsi"/>
        </w:rPr>
        <w:t xml:space="preserve"> were accessed</w:t>
      </w:r>
      <w:r w:rsidR="00F61ADC">
        <w:rPr>
          <w:rFonts w:asciiTheme="minorHAnsi" w:hAnsiTheme="minorHAnsi" w:cstheme="minorHAnsi"/>
        </w:rPr>
        <w:t xml:space="preserve"> and analysed</w:t>
      </w:r>
      <w:r w:rsidR="0021214C">
        <w:rPr>
          <w:rFonts w:asciiTheme="minorHAnsi" w:hAnsiTheme="minorHAnsi" w:cstheme="minorHAnsi"/>
        </w:rPr>
        <w:t>, with relevant cases</w:t>
      </w:r>
      <w:r w:rsidR="00F61ADC">
        <w:rPr>
          <w:rFonts w:asciiTheme="minorHAnsi" w:hAnsiTheme="minorHAnsi" w:cstheme="minorHAnsi"/>
        </w:rPr>
        <w:t xml:space="preserve"> download</w:t>
      </w:r>
      <w:r w:rsidR="0021214C">
        <w:rPr>
          <w:rFonts w:asciiTheme="minorHAnsi" w:hAnsiTheme="minorHAnsi" w:cstheme="minorHAnsi"/>
        </w:rPr>
        <w:t>ed</w:t>
      </w:r>
      <w:r w:rsidR="00F61ADC">
        <w:rPr>
          <w:rFonts w:asciiTheme="minorHAnsi" w:hAnsiTheme="minorHAnsi" w:cstheme="minorHAnsi"/>
        </w:rPr>
        <w:t xml:space="preserve"> for further scrutiny</w:t>
      </w:r>
      <w:r w:rsidR="00962631" w:rsidRPr="00F72F9B">
        <w:rPr>
          <w:rFonts w:asciiTheme="minorHAnsi" w:hAnsiTheme="minorHAnsi" w:cstheme="minorHAnsi"/>
        </w:rPr>
        <w:t>. A</w:t>
      </w:r>
      <w:r>
        <w:rPr>
          <w:rFonts w:asciiTheme="minorHAnsi" w:hAnsiTheme="minorHAnsi" w:cstheme="minorHAnsi"/>
        </w:rPr>
        <w:t>ll</w:t>
      </w:r>
      <w:r w:rsidR="00962631" w:rsidRPr="00F72F9B">
        <w:rPr>
          <w:rFonts w:asciiTheme="minorHAnsi" w:hAnsiTheme="minorHAnsi" w:cstheme="minorHAnsi"/>
        </w:rPr>
        <w:t xml:space="preserve"> cases</w:t>
      </w:r>
      <w:r w:rsidR="00962631">
        <w:rPr>
          <w:rFonts w:asciiTheme="minorHAnsi" w:hAnsiTheme="minorHAnsi" w:cstheme="minorHAnsi"/>
        </w:rPr>
        <w:t xml:space="preserve"> </w:t>
      </w:r>
      <w:r w:rsidR="0021214C">
        <w:rPr>
          <w:rFonts w:asciiTheme="minorHAnsi" w:hAnsiTheme="minorHAnsi" w:cstheme="minorHAnsi"/>
        </w:rPr>
        <w:t xml:space="preserve">between 31 January 2018 and 31 January 2020 that </w:t>
      </w:r>
      <w:r w:rsidRPr="00F72F9B">
        <w:rPr>
          <w:rFonts w:asciiTheme="minorHAnsi" w:hAnsiTheme="minorHAnsi" w:cstheme="minorHAnsi"/>
        </w:rPr>
        <w:t>involv</w:t>
      </w:r>
      <w:r w:rsidR="0021214C">
        <w:rPr>
          <w:rFonts w:asciiTheme="minorHAnsi" w:hAnsiTheme="minorHAnsi" w:cstheme="minorHAnsi"/>
        </w:rPr>
        <w:t>ed</w:t>
      </w:r>
      <w:r w:rsidRPr="00F72F9B">
        <w:rPr>
          <w:rFonts w:asciiTheme="minorHAnsi" w:hAnsiTheme="minorHAnsi" w:cstheme="minorHAnsi"/>
        </w:rPr>
        <w:t xml:space="preserve"> charges relat</w:t>
      </w:r>
      <w:r>
        <w:rPr>
          <w:rFonts w:asciiTheme="minorHAnsi" w:hAnsiTheme="minorHAnsi" w:cstheme="minorHAnsi"/>
        </w:rPr>
        <w:t>ing</w:t>
      </w:r>
      <w:r w:rsidRPr="00F72F9B">
        <w:rPr>
          <w:rFonts w:asciiTheme="minorHAnsi" w:hAnsiTheme="minorHAnsi" w:cstheme="minorHAnsi"/>
        </w:rPr>
        <w:t xml:space="preserve"> to informed consent </w:t>
      </w:r>
      <w:r w:rsidR="00962631" w:rsidRPr="00F72F9B">
        <w:rPr>
          <w:rFonts w:asciiTheme="minorHAnsi" w:hAnsiTheme="minorHAnsi" w:cstheme="minorHAnsi"/>
        </w:rPr>
        <w:t>were s</w:t>
      </w:r>
      <w:r w:rsidR="00F61ADC">
        <w:rPr>
          <w:rFonts w:asciiTheme="minorHAnsi" w:hAnsiTheme="minorHAnsi" w:cstheme="minorHAnsi"/>
        </w:rPr>
        <w:t>tudied</w:t>
      </w:r>
      <w:r w:rsidR="0021214C">
        <w:rPr>
          <w:rFonts w:asciiTheme="minorHAnsi" w:hAnsiTheme="minorHAnsi" w:cstheme="minorHAnsi"/>
        </w:rPr>
        <w:t>,</w:t>
      </w:r>
      <w:r w:rsidR="00962631">
        <w:rPr>
          <w:rFonts w:asciiTheme="minorHAnsi" w:hAnsiTheme="minorHAnsi" w:cstheme="minorHAnsi"/>
        </w:rPr>
        <w:t xml:space="preserve"> </w:t>
      </w:r>
      <w:r>
        <w:rPr>
          <w:rFonts w:asciiTheme="minorHAnsi" w:hAnsiTheme="minorHAnsi" w:cstheme="minorHAnsi"/>
        </w:rPr>
        <w:t>with</w:t>
      </w:r>
      <w:r w:rsidR="00962631">
        <w:rPr>
          <w:rFonts w:asciiTheme="minorHAnsi" w:hAnsiTheme="minorHAnsi" w:cstheme="minorHAnsi"/>
        </w:rPr>
        <w:t xml:space="preserve"> charges, decisions and sanctions</w:t>
      </w:r>
      <w:r>
        <w:rPr>
          <w:rFonts w:asciiTheme="minorHAnsi" w:hAnsiTheme="minorHAnsi" w:cstheme="minorHAnsi"/>
        </w:rPr>
        <w:t xml:space="preserve"> analysed in detail</w:t>
      </w:r>
      <w:r w:rsidR="00962631">
        <w:rPr>
          <w:rFonts w:asciiTheme="minorHAnsi" w:hAnsiTheme="minorHAnsi" w:cstheme="minorHAnsi"/>
        </w:rPr>
        <w:t>.</w:t>
      </w:r>
      <w:r w:rsidR="00962631" w:rsidRPr="00F72F9B">
        <w:rPr>
          <w:rFonts w:asciiTheme="minorHAnsi" w:hAnsiTheme="minorHAnsi" w:cstheme="minorHAnsi"/>
        </w:rPr>
        <w:t xml:space="preserve"> </w:t>
      </w:r>
      <w:r>
        <w:rPr>
          <w:rFonts w:asciiTheme="minorHAnsi" w:hAnsiTheme="minorHAnsi" w:cstheme="minorHAnsi"/>
        </w:rPr>
        <w:t>R</w:t>
      </w:r>
      <w:r w:rsidR="00962631" w:rsidRPr="00F72F9B">
        <w:rPr>
          <w:rFonts w:asciiTheme="minorHAnsi" w:hAnsiTheme="minorHAnsi" w:cstheme="minorHAnsi"/>
        </w:rPr>
        <w:t>elevant guidance underpinning the Co</w:t>
      </w:r>
      <w:r w:rsidR="006978A2">
        <w:rPr>
          <w:rFonts w:asciiTheme="minorHAnsi" w:hAnsiTheme="minorHAnsi" w:cstheme="minorHAnsi"/>
        </w:rPr>
        <w:t>PC</w:t>
      </w:r>
      <w:r w:rsidR="00962631" w:rsidRPr="00F72F9B">
        <w:rPr>
          <w:rFonts w:asciiTheme="minorHAnsi" w:hAnsiTheme="minorHAnsi" w:cstheme="minorHAnsi"/>
        </w:rPr>
        <w:t xml:space="preserve"> was matched to the charges in each case</w:t>
      </w:r>
      <w:r w:rsidR="00962631">
        <w:rPr>
          <w:rFonts w:asciiTheme="minorHAnsi" w:hAnsiTheme="minorHAnsi" w:cstheme="minorHAnsi"/>
        </w:rPr>
        <w:t xml:space="preserve"> in order </w:t>
      </w:r>
      <w:r w:rsidR="00962631" w:rsidRPr="00F72F9B">
        <w:rPr>
          <w:rFonts w:asciiTheme="minorHAnsi" w:hAnsiTheme="minorHAnsi" w:cstheme="minorHAnsi"/>
        </w:rPr>
        <w:t xml:space="preserve">to clarify the components of consent </w:t>
      </w:r>
      <w:r w:rsidR="00962631">
        <w:rPr>
          <w:rFonts w:asciiTheme="minorHAnsi" w:hAnsiTheme="minorHAnsi" w:cstheme="minorHAnsi"/>
        </w:rPr>
        <w:t>involved.</w:t>
      </w:r>
      <w:r w:rsidR="00962631" w:rsidRPr="00F72F9B">
        <w:rPr>
          <w:rFonts w:asciiTheme="minorHAnsi" w:hAnsiTheme="minorHAnsi" w:cstheme="minorHAnsi"/>
        </w:rPr>
        <w:t xml:space="preserve"> </w:t>
      </w:r>
      <w:r w:rsidR="003C0DEB">
        <w:rPr>
          <w:rFonts w:asciiTheme="minorHAnsi" w:hAnsiTheme="minorHAnsi" w:cstheme="minorHAnsi"/>
        </w:rPr>
        <w:t xml:space="preserve">Cases were examined to evaluate </w:t>
      </w:r>
      <w:r w:rsidR="007D516A">
        <w:rPr>
          <w:rFonts w:asciiTheme="minorHAnsi" w:hAnsiTheme="minorHAnsi" w:cstheme="minorHAnsi"/>
        </w:rPr>
        <w:t xml:space="preserve">the </w:t>
      </w:r>
      <w:r w:rsidR="003C0DEB">
        <w:rPr>
          <w:rFonts w:asciiTheme="minorHAnsi" w:hAnsiTheme="minorHAnsi" w:cstheme="minorHAnsi"/>
        </w:rPr>
        <w:t>Committee’s interpretation of the</w:t>
      </w:r>
      <w:r w:rsidR="007D516A">
        <w:rPr>
          <w:rFonts w:asciiTheme="minorHAnsi" w:hAnsiTheme="minorHAnsi" w:cstheme="minorHAnsi"/>
        </w:rPr>
        <w:t xml:space="preserve"> interests of </w:t>
      </w:r>
      <w:r w:rsidR="003C0DEB">
        <w:rPr>
          <w:rFonts w:asciiTheme="minorHAnsi" w:hAnsiTheme="minorHAnsi" w:cstheme="minorHAnsi"/>
        </w:rPr>
        <w:t xml:space="preserve">both </w:t>
      </w:r>
      <w:r w:rsidR="007D516A">
        <w:rPr>
          <w:rFonts w:asciiTheme="minorHAnsi" w:hAnsiTheme="minorHAnsi" w:cstheme="minorHAnsi"/>
        </w:rPr>
        <w:t>the animal patient</w:t>
      </w:r>
      <w:r w:rsidR="00606DE5">
        <w:rPr>
          <w:rFonts w:asciiTheme="minorHAnsi" w:hAnsiTheme="minorHAnsi" w:cstheme="minorHAnsi"/>
        </w:rPr>
        <w:t xml:space="preserve"> and the client</w:t>
      </w:r>
      <w:r w:rsidR="007D516A">
        <w:rPr>
          <w:rFonts w:asciiTheme="minorHAnsi" w:hAnsiTheme="minorHAnsi" w:cstheme="minorHAnsi"/>
        </w:rPr>
        <w:t>.</w:t>
      </w:r>
      <w:r w:rsidR="003C0DEB">
        <w:rPr>
          <w:rFonts w:asciiTheme="minorHAnsi" w:hAnsiTheme="minorHAnsi" w:cstheme="minorHAnsi"/>
        </w:rPr>
        <w:t xml:space="preserve"> Finally, the findings in each case were matched to recent changes in the Guidance on informed consent.</w:t>
      </w:r>
    </w:p>
    <w:p w14:paraId="0F7E9CEA" w14:textId="0756738F" w:rsidR="00F3544B" w:rsidRDefault="00F3544B" w:rsidP="00962631">
      <w:pPr>
        <w:spacing w:line="360" w:lineRule="auto"/>
        <w:rPr>
          <w:rFonts w:asciiTheme="minorHAnsi" w:hAnsiTheme="minorHAnsi" w:cstheme="minorHAnsi"/>
        </w:rPr>
      </w:pPr>
    </w:p>
    <w:p w14:paraId="1A9BF16B" w14:textId="322FC828" w:rsidR="00F3544B" w:rsidRDefault="0085692B" w:rsidP="00962631">
      <w:pPr>
        <w:spacing w:line="360" w:lineRule="auto"/>
        <w:rPr>
          <w:rFonts w:asciiTheme="minorHAnsi" w:hAnsiTheme="minorHAnsi" w:cstheme="minorHAnsi"/>
        </w:rPr>
      </w:pPr>
      <w:r>
        <w:rPr>
          <w:rFonts w:asciiTheme="minorHAnsi" w:hAnsiTheme="minorHAnsi" w:cstheme="minorHAnsi"/>
        </w:rPr>
        <w:t>The s</w:t>
      </w:r>
      <w:r w:rsidR="00F3544B" w:rsidRPr="00F72F9B">
        <w:rPr>
          <w:rFonts w:asciiTheme="minorHAnsi" w:hAnsiTheme="minorHAnsi" w:cstheme="minorHAnsi"/>
        </w:rPr>
        <w:t xml:space="preserve">earch of disciplinary hearings </w:t>
      </w:r>
      <w:r w:rsidR="00F3544B">
        <w:rPr>
          <w:rFonts w:asciiTheme="minorHAnsi" w:hAnsiTheme="minorHAnsi" w:cstheme="minorHAnsi"/>
        </w:rPr>
        <w:t>for the selected two-year period</w:t>
      </w:r>
      <w:r w:rsidR="00F3544B" w:rsidRPr="00F72F9B">
        <w:rPr>
          <w:rFonts w:asciiTheme="minorHAnsi" w:hAnsiTheme="minorHAnsi" w:cstheme="minorHAnsi"/>
        </w:rPr>
        <w:t xml:space="preserve"> </w:t>
      </w:r>
      <w:r w:rsidR="00F3544B">
        <w:rPr>
          <w:rFonts w:asciiTheme="minorHAnsi" w:hAnsiTheme="minorHAnsi" w:cstheme="minorHAnsi"/>
        </w:rPr>
        <w:t>produced</w:t>
      </w:r>
      <w:r w:rsidR="00F3544B" w:rsidRPr="00F72F9B">
        <w:rPr>
          <w:rFonts w:asciiTheme="minorHAnsi" w:hAnsiTheme="minorHAnsi" w:cstheme="minorHAnsi"/>
        </w:rPr>
        <w:t xml:space="preserve"> </w:t>
      </w:r>
      <w:r w:rsidR="00F3544B">
        <w:rPr>
          <w:rFonts w:asciiTheme="minorHAnsi" w:hAnsiTheme="minorHAnsi" w:cstheme="minorHAnsi"/>
        </w:rPr>
        <w:t>6</w:t>
      </w:r>
      <w:r w:rsidR="00F3544B" w:rsidRPr="00F72F9B">
        <w:rPr>
          <w:rFonts w:asciiTheme="minorHAnsi" w:hAnsiTheme="minorHAnsi" w:cstheme="minorHAnsi"/>
        </w:rPr>
        <w:t xml:space="preserve"> cases </w:t>
      </w:r>
      <w:r w:rsidR="00F3544B">
        <w:rPr>
          <w:rFonts w:asciiTheme="minorHAnsi" w:hAnsiTheme="minorHAnsi" w:cstheme="minorHAnsi"/>
        </w:rPr>
        <w:t>(</w:t>
      </w:r>
      <w:r w:rsidR="001D6D60">
        <w:rPr>
          <w:rFonts w:asciiTheme="minorHAnsi" w:hAnsiTheme="minorHAnsi" w:cstheme="minorHAnsi"/>
        </w:rPr>
        <w:t>from</w:t>
      </w:r>
      <w:r w:rsidR="00F3544B">
        <w:rPr>
          <w:rFonts w:asciiTheme="minorHAnsi" w:hAnsiTheme="minorHAnsi" w:cstheme="minorHAnsi"/>
        </w:rPr>
        <w:t xml:space="preserve"> a total of 20) </w:t>
      </w:r>
      <w:r w:rsidR="001D6D60">
        <w:rPr>
          <w:rFonts w:asciiTheme="minorHAnsi" w:hAnsiTheme="minorHAnsi" w:cstheme="minorHAnsi"/>
        </w:rPr>
        <w:t xml:space="preserve">that </w:t>
      </w:r>
      <w:r w:rsidR="00F3544B" w:rsidRPr="00F72F9B">
        <w:rPr>
          <w:rFonts w:asciiTheme="minorHAnsi" w:hAnsiTheme="minorHAnsi" w:cstheme="minorHAnsi"/>
        </w:rPr>
        <w:t>contain</w:t>
      </w:r>
      <w:r w:rsidR="001D6D60">
        <w:rPr>
          <w:rFonts w:asciiTheme="minorHAnsi" w:hAnsiTheme="minorHAnsi" w:cstheme="minorHAnsi"/>
        </w:rPr>
        <w:t>ed</w:t>
      </w:r>
      <w:r w:rsidR="00F3544B" w:rsidRPr="00F72F9B">
        <w:rPr>
          <w:rFonts w:asciiTheme="minorHAnsi" w:hAnsiTheme="minorHAnsi" w:cstheme="minorHAnsi"/>
        </w:rPr>
        <w:t xml:space="preserve"> reference to </w:t>
      </w:r>
      <w:r w:rsidR="001D6D60">
        <w:rPr>
          <w:rFonts w:asciiTheme="minorHAnsi" w:hAnsiTheme="minorHAnsi" w:cstheme="minorHAnsi"/>
        </w:rPr>
        <w:t xml:space="preserve">a </w:t>
      </w:r>
      <w:r w:rsidR="00F3544B" w:rsidRPr="00F72F9B">
        <w:rPr>
          <w:rFonts w:asciiTheme="minorHAnsi" w:hAnsiTheme="minorHAnsi" w:cstheme="minorHAnsi"/>
        </w:rPr>
        <w:t>failure to obtain consent. F</w:t>
      </w:r>
      <w:r w:rsidR="00F3544B">
        <w:rPr>
          <w:rFonts w:asciiTheme="minorHAnsi" w:hAnsiTheme="minorHAnsi" w:cstheme="minorHAnsi"/>
        </w:rPr>
        <w:t>ive</w:t>
      </w:r>
      <w:r w:rsidR="00F3544B" w:rsidRPr="00F72F9B">
        <w:rPr>
          <w:rFonts w:asciiTheme="minorHAnsi" w:hAnsiTheme="minorHAnsi" w:cstheme="minorHAnsi"/>
        </w:rPr>
        <w:t xml:space="preserve"> cases involved consent to veterinary treatment, </w:t>
      </w:r>
      <w:r w:rsidR="001D6D60">
        <w:rPr>
          <w:rFonts w:asciiTheme="minorHAnsi" w:hAnsiTheme="minorHAnsi" w:cstheme="minorHAnsi"/>
        </w:rPr>
        <w:t xml:space="preserve">with </w:t>
      </w:r>
      <w:r w:rsidR="00F3544B">
        <w:rPr>
          <w:rFonts w:asciiTheme="minorHAnsi" w:hAnsiTheme="minorHAnsi" w:cstheme="minorHAnsi"/>
        </w:rPr>
        <w:t>one of these pertaining to consent to euthanasia</w:t>
      </w:r>
      <w:r w:rsidR="001D6D60">
        <w:rPr>
          <w:rFonts w:asciiTheme="minorHAnsi" w:hAnsiTheme="minorHAnsi" w:cstheme="minorHAnsi"/>
        </w:rPr>
        <w:t>;</w:t>
      </w:r>
      <w:r w:rsidR="00F3544B" w:rsidRPr="00F72F9B">
        <w:rPr>
          <w:rFonts w:asciiTheme="minorHAnsi" w:hAnsiTheme="minorHAnsi" w:cstheme="minorHAnsi"/>
        </w:rPr>
        <w:t xml:space="preserve"> one case involved consent to post photographs and videos </w:t>
      </w:r>
      <w:r w:rsidR="00F3544B">
        <w:rPr>
          <w:rFonts w:asciiTheme="minorHAnsi" w:hAnsiTheme="minorHAnsi" w:cstheme="minorHAnsi"/>
        </w:rPr>
        <w:t xml:space="preserve">of veterinary patients and colleagues </w:t>
      </w:r>
      <w:r w:rsidR="00F3544B" w:rsidRPr="00F72F9B">
        <w:rPr>
          <w:rFonts w:asciiTheme="minorHAnsi" w:hAnsiTheme="minorHAnsi" w:cstheme="minorHAnsi"/>
        </w:rPr>
        <w:t xml:space="preserve">on social media platforms. </w:t>
      </w:r>
      <w:r w:rsidR="00F3544B">
        <w:rPr>
          <w:rFonts w:asciiTheme="minorHAnsi" w:hAnsiTheme="minorHAnsi" w:cstheme="minorHAnsi"/>
        </w:rPr>
        <w:t>As the latter case did not involve informed consent to veterinary treatment</w:t>
      </w:r>
      <w:r w:rsidR="0021214C">
        <w:rPr>
          <w:rFonts w:asciiTheme="minorHAnsi" w:hAnsiTheme="minorHAnsi" w:cstheme="minorHAnsi"/>
        </w:rPr>
        <w:t xml:space="preserve">, </w:t>
      </w:r>
      <w:r w:rsidR="00F3544B">
        <w:rPr>
          <w:rFonts w:asciiTheme="minorHAnsi" w:hAnsiTheme="minorHAnsi" w:cstheme="minorHAnsi"/>
        </w:rPr>
        <w:t xml:space="preserve">it was excluded from the analysis. </w:t>
      </w:r>
      <w:r w:rsidR="00F3544B" w:rsidRPr="00F72F9B">
        <w:rPr>
          <w:rFonts w:asciiTheme="minorHAnsi" w:hAnsiTheme="minorHAnsi" w:cstheme="minorHAnsi"/>
        </w:rPr>
        <w:t>The</w:t>
      </w:r>
      <w:r w:rsidR="00F3544B">
        <w:rPr>
          <w:rFonts w:asciiTheme="minorHAnsi" w:hAnsiTheme="minorHAnsi" w:cstheme="minorHAnsi"/>
        </w:rPr>
        <w:t xml:space="preserve"> charges and findings for </w:t>
      </w:r>
      <w:r w:rsidR="008841E4">
        <w:rPr>
          <w:rFonts w:asciiTheme="minorHAnsi" w:hAnsiTheme="minorHAnsi" w:cstheme="minorHAnsi"/>
        </w:rPr>
        <w:t>the</w:t>
      </w:r>
      <w:r w:rsidR="00F3544B">
        <w:rPr>
          <w:rFonts w:asciiTheme="minorHAnsi" w:hAnsiTheme="minorHAnsi" w:cstheme="minorHAnsi"/>
        </w:rPr>
        <w:t xml:space="preserve"> selected cases</w:t>
      </w:r>
      <w:r w:rsidR="00F3544B" w:rsidRPr="00F72F9B">
        <w:rPr>
          <w:rFonts w:asciiTheme="minorHAnsi" w:hAnsiTheme="minorHAnsi" w:cstheme="minorHAnsi"/>
        </w:rPr>
        <w:t xml:space="preserve"> are detailed in Table </w:t>
      </w:r>
      <w:r w:rsidR="00B61AA1">
        <w:rPr>
          <w:rFonts w:asciiTheme="minorHAnsi" w:hAnsiTheme="minorHAnsi" w:cstheme="minorHAnsi"/>
        </w:rPr>
        <w:t>2</w:t>
      </w:r>
      <w:r w:rsidR="00F3544B">
        <w:rPr>
          <w:rFonts w:asciiTheme="minorHAnsi" w:hAnsiTheme="minorHAnsi" w:cstheme="minorHAnsi"/>
        </w:rPr>
        <w:t>. The following section examines each case in more detail.</w:t>
      </w:r>
    </w:p>
    <w:p w14:paraId="4DF1BCF4" w14:textId="77777777" w:rsidR="00962631" w:rsidRPr="00F72F9B" w:rsidRDefault="00962631" w:rsidP="00962631">
      <w:pPr>
        <w:spacing w:line="360" w:lineRule="auto"/>
        <w:rPr>
          <w:rFonts w:asciiTheme="minorHAnsi" w:hAnsiTheme="minorHAnsi" w:cstheme="minorHAnsi"/>
        </w:rPr>
      </w:pPr>
    </w:p>
    <w:p w14:paraId="1224D6C5" w14:textId="1BB2CEAC" w:rsidR="00F72F9B" w:rsidRPr="004F67B4" w:rsidRDefault="00037BC5" w:rsidP="00934427">
      <w:pPr>
        <w:spacing w:line="360" w:lineRule="auto"/>
        <w:rPr>
          <w:rFonts w:asciiTheme="minorHAnsi" w:hAnsiTheme="minorHAnsi" w:cstheme="minorHAnsi"/>
          <w:b/>
          <w:bCs/>
          <w:sz w:val="28"/>
          <w:szCs w:val="28"/>
        </w:rPr>
      </w:pPr>
      <w:r w:rsidRPr="004F67B4">
        <w:rPr>
          <w:rFonts w:asciiTheme="minorHAnsi" w:hAnsiTheme="minorHAnsi" w:cstheme="minorHAnsi"/>
          <w:b/>
          <w:bCs/>
          <w:sz w:val="28"/>
          <w:szCs w:val="28"/>
        </w:rPr>
        <w:t>Case Analysis</w:t>
      </w:r>
    </w:p>
    <w:p w14:paraId="2A4FFDF0" w14:textId="69F3CE96" w:rsidR="006978A2" w:rsidRDefault="00D5574A" w:rsidP="00934427">
      <w:pPr>
        <w:spacing w:line="360" w:lineRule="auto"/>
        <w:rPr>
          <w:rFonts w:asciiTheme="minorHAnsi" w:hAnsiTheme="minorHAnsi" w:cstheme="minorHAnsi"/>
          <w:bCs/>
        </w:rPr>
      </w:pPr>
      <w:r w:rsidRPr="00F72F9B">
        <w:rPr>
          <w:rFonts w:asciiTheme="minorHAnsi" w:hAnsiTheme="minorHAnsi" w:cstheme="minorHAnsi"/>
          <w:b/>
        </w:rPr>
        <w:t xml:space="preserve">Case </w:t>
      </w:r>
      <w:r w:rsidR="00F61ADC">
        <w:rPr>
          <w:rFonts w:asciiTheme="minorHAnsi" w:hAnsiTheme="minorHAnsi" w:cstheme="minorHAnsi"/>
          <w:b/>
        </w:rPr>
        <w:t>1</w:t>
      </w:r>
      <w:r w:rsidR="007F48FD">
        <w:rPr>
          <w:rFonts w:asciiTheme="minorHAnsi" w:hAnsiTheme="minorHAnsi" w:cstheme="minorHAnsi"/>
          <w:b/>
        </w:rPr>
        <w:t xml:space="preserve">, </w:t>
      </w:r>
      <w:r w:rsidR="007F48FD" w:rsidRPr="007F48FD">
        <w:rPr>
          <w:rFonts w:asciiTheme="minorHAnsi" w:hAnsiTheme="minorHAnsi" w:cstheme="minorHAnsi"/>
          <w:bCs/>
        </w:rPr>
        <w:t>which</w:t>
      </w:r>
      <w:r w:rsidR="00031155" w:rsidRPr="00F72F9B">
        <w:rPr>
          <w:rFonts w:asciiTheme="minorHAnsi" w:hAnsiTheme="minorHAnsi" w:cstheme="minorHAnsi"/>
          <w:b/>
        </w:rPr>
        <w:t xml:space="preserve"> </w:t>
      </w:r>
      <w:r w:rsidR="00476279">
        <w:rPr>
          <w:rFonts w:asciiTheme="minorHAnsi" w:hAnsiTheme="minorHAnsi" w:cstheme="minorHAnsi"/>
          <w:bCs/>
        </w:rPr>
        <w:t>involved</w:t>
      </w:r>
      <w:r w:rsidR="008208A0">
        <w:rPr>
          <w:rFonts w:asciiTheme="minorHAnsi" w:hAnsiTheme="minorHAnsi" w:cstheme="minorHAnsi"/>
          <w:bCs/>
        </w:rPr>
        <w:t xml:space="preserve"> a</w:t>
      </w:r>
      <w:r w:rsidR="0085692B">
        <w:rPr>
          <w:rFonts w:asciiTheme="minorHAnsi" w:hAnsiTheme="minorHAnsi" w:cstheme="minorHAnsi"/>
          <w:bCs/>
        </w:rPr>
        <w:t xml:space="preserve"> veterinary surgeon who performed a home</w:t>
      </w:r>
      <w:r w:rsidR="00476279">
        <w:rPr>
          <w:rFonts w:asciiTheme="minorHAnsi" w:hAnsiTheme="minorHAnsi" w:cstheme="minorHAnsi"/>
          <w:bCs/>
        </w:rPr>
        <w:t xml:space="preserve"> visit to examine an elderly arthritic dog,</w:t>
      </w:r>
      <w:r w:rsidR="007F48FD">
        <w:rPr>
          <w:rFonts w:asciiTheme="minorHAnsi" w:hAnsiTheme="minorHAnsi" w:cstheme="minorHAnsi"/>
          <w:bCs/>
        </w:rPr>
        <w:t xml:space="preserve"> turned on whether </w:t>
      </w:r>
      <w:r w:rsidR="0085692B">
        <w:rPr>
          <w:rFonts w:asciiTheme="minorHAnsi" w:hAnsiTheme="minorHAnsi" w:cstheme="minorHAnsi"/>
          <w:bCs/>
        </w:rPr>
        <w:t>he</w:t>
      </w:r>
      <w:r w:rsidR="007F48FD">
        <w:rPr>
          <w:rFonts w:asciiTheme="minorHAnsi" w:hAnsiTheme="minorHAnsi" w:cstheme="minorHAnsi"/>
          <w:bCs/>
        </w:rPr>
        <w:t xml:space="preserve"> had consent to perform euthanasia (there was no debate that the canine patient would have required euthanasia at some point in the near future)</w:t>
      </w:r>
      <w:r w:rsidR="008208A0">
        <w:rPr>
          <w:rFonts w:asciiTheme="minorHAnsi" w:hAnsiTheme="minorHAnsi" w:cstheme="minorHAnsi"/>
          <w:bCs/>
        </w:rPr>
        <w:t xml:space="preserve">. </w:t>
      </w:r>
      <w:r w:rsidR="007F48FD">
        <w:rPr>
          <w:rFonts w:asciiTheme="minorHAnsi" w:hAnsiTheme="minorHAnsi" w:cstheme="minorHAnsi"/>
          <w:bCs/>
        </w:rPr>
        <w:t>D</w:t>
      </w:r>
      <w:r w:rsidR="00211367">
        <w:rPr>
          <w:rFonts w:asciiTheme="minorHAnsi" w:hAnsiTheme="minorHAnsi" w:cstheme="minorHAnsi"/>
          <w:bCs/>
        </w:rPr>
        <w:t xml:space="preserve">espite being asked </w:t>
      </w:r>
      <w:r w:rsidR="0085692B">
        <w:rPr>
          <w:rFonts w:asciiTheme="minorHAnsi" w:hAnsiTheme="minorHAnsi" w:cstheme="minorHAnsi"/>
          <w:bCs/>
        </w:rPr>
        <w:t xml:space="preserve">by the family member who was present </w:t>
      </w:r>
      <w:r w:rsidR="00211367">
        <w:rPr>
          <w:rFonts w:asciiTheme="minorHAnsi" w:hAnsiTheme="minorHAnsi" w:cstheme="minorHAnsi"/>
          <w:bCs/>
        </w:rPr>
        <w:t>to wait until the owner</w:t>
      </w:r>
      <w:r w:rsidR="003F2F9F">
        <w:rPr>
          <w:rFonts w:asciiTheme="minorHAnsi" w:hAnsiTheme="minorHAnsi" w:cstheme="minorHAnsi"/>
          <w:bCs/>
        </w:rPr>
        <w:t>s could be contacted</w:t>
      </w:r>
      <w:r w:rsidR="00211367">
        <w:rPr>
          <w:rFonts w:asciiTheme="minorHAnsi" w:hAnsiTheme="minorHAnsi" w:cstheme="minorHAnsi"/>
          <w:bCs/>
        </w:rPr>
        <w:t>,</w:t>
      </w:r>
      <w:r w:rsidR="00E50923">
        <w:rPr>
          <w:rFonts w:asciiTheme="minorHAnsi" w:hAnsiTheme="minorHAnsi" w:cstheme="minorHAnsi"/>
          <w:bCs/>
        </w:rPr>
        <w:t xml:space="preserve"> </w:t>
      </w:r>
      <w:r w:rsidR="007F48FD">
        <w:rPr>
          <w:rFonts w:asciiTheme="minorHAnsi" w:hAnsiTheme="minorHAnsi" w:cstheme="minorHAnsi"/>
          <w:bCs/>
        </w:rPr>
        <w:t xml:space="preserve">he </w:t>
      </w:r>
      <w:r w:rsidR="00E50923">
        <w:rPr>
          <w:rFonts w:asciiTheme="minorHAnsi" w:hAnsiTheme="minorHAnsi" w:cstheme="minorHAnsi"/>
          <w:bCs/>
        </w:rPr>
        <w:t>proceeded with the euthanasia</w:t>
      </w:r>
      <w:r w:rsidR="007F48FD">
        <w:rPr>
          <w:rFonts w:asciiTheme="minorHAnsi" w:hAnsiTheme="minorHAnsi" w:cstheme="minorHAnsi"/>
          <w:bCs/>
        </w:rPr>
        <w:t>, relying on a defence</w:t>
      </w:r>
      <w:r w:rsidR="00E50923">
        <w:rPr>
          <w:rFonts w:asciiTheme="minorHAnsi" w:hAnsiTheme="minorHAnsi" w:cstheme="minorHAnsi"/>
          <w:bCs/>
        </w:rPr>
        <w:t xml:space="preserve"> that there had been a discussion about possible euthanasia during a previous consultation with the owners</w:t>
      </w:r>
      <w:r w:rsidR="007F48FD">
        <w:rPr>
          <w:rFonts w:asciiTheme="minorHAnsi" w:hAnsiTheme="minorHAnsi" w:cstheme="minorHAnsi"/>
          <w:bCs/>
        </w:rPr>
        <w:t>. His defence</w:t>
      </w:r>
      <w:r w:rsidR="00E50923">
        <w:rPr>
          <w:rFonts w:asciiTheme="minorHAnsi" w:hAnsiTheme="minorHAnsi" w:cstheme="minorHAnsi"/>
          <w:bCs/>
        </w:rPr>
        <w:t xml:space="preserve"> </w:t>
      </w:r>
      <w:r w:rsidR="003F2F9F">
        <w:rPr>
          <w:rFonts w:asciiTheme="minorHAnsi" w:hAnsiTheme="minorHAnsi" w:cstheme="minorHAnsi"/>
          <w:bCs/>
        </w:rPr>
        <w:t>was undermined by a lack of any</w:t>
      </w:r>
      <w:r w:rsidR="00E50923">
        <w:rPr>
          <w:rFonts w:asciiTheme="minorHAnsi" w:hAnsiTheme="minorHAnsi" w:cstheme="minorHAnsi"/>
          <w:bCs/>
        </w:rPr>
        <w:t xml:space="preserve"> record of this discussion.</w:t>
      </w:r>
      <w:r w:rsidR="00142D24">
        <w:rPr>
          <w:rFonts w:asciiTheme="minorHAnsi" w:hAnsiTheme="minorHAnsi" w:cstheme="minorHAnsi"/>
          <w:bCs/>
        </w:rPr>
        <w:t xml:space="preserve"> The D</w:t>
      </w:r>
      <w:r w:rsidR="00A42F2E">
        <w:rPr>
          <w:rFonts w:asciiTheme="minorHAnsi" w:hAnsiTheme="minorHAnsi" w:cstheme="minorHAnsi"/>
          <w:bCs/>
        </w:rPr>
        <w:t>isciplinary Committee</w:t>
      </w:r>
      <w:r w:rsidR="00142D24">
        <w:rPr>
          <w:rFonts w:asciiTheme="minorHAnsi" w:hAnsiTheme="minorHAnsi" w:cstheme="minorHAnsi"/>
          <w:bCs/>
        </w:rPr>
        <w:t xml:space="preserve"> relied on Section 2.4 of the </w:t>
      </w:r>
      <w:r w:rsidR="007F48FD">
        <w:rPr>
          <w:rFonts w:asciiTheme="minorHAnsi" w:hAnsiTheme="minorHAnsi" w:cstheme="minorHAnsi"/>
          <w:bCs/>
        </w:rPr>
        <w:t>main</w:t>
      </w:r>
      <w:r w:rsidR="00142D24">
        <w:rPr>
          <w:rFonts w:asciiTheme="minorHAnsi" w:hAnsiTheme="minorHAnsi" w:cstheme="minorHAnsi"/>
          <w:bCs/>
        </w:rPr>
        <w:t xml:space="preserve"> </w:t>
      </w:r>
      <w:r w:rsidR="007F48FD">
        <w:rPr>
          <w:rFonts w:asciiTheme="minorHAnsi" w:hAnsiTheme="minorHAnsi" w:cstheme="minorHAnsi"/>
          <w:bCs/>
        </w:rPr>
        <w:t>CoPC</w:t>
      </w:r>
      <w:r w:rsidR="00142D24">
        <w:rPr>
          <w:rFonts w:asciiTheme="minorHAnsi" w:hAnsiTheme="minorHAnsi" w:cstheme="minorHAnsi"/>
          <w:bCs/>
        </w:rPr>
        <w:t xml:space="preserve"> regarding the lack of consent, but also referred to the supporting guidance, specifically outlining the requirement to “</w:t>
      </w:r>
      <w:r w:rsidR="00142D24" w:rsidRPr="00142D24">
        <w:rPr>
          <w:rFonts w:asciiTheme="minorHAnsi" w:hAnsiTheme="minorHAnsi" w:cstheme="minorHAnsi"/>
          <w:bCs/>
          <w:i/>
          <w:iCs/>
        </w:rPr>
        <w:t xml:space="preserve">obtain the client's consent to treatment unless delay would adversely affect their animal's </w:t>
      </w:r>
      <w:r w:rsidR="00142D24" w:rsidRPr="00142D24">
        <w:rPr>
          <w:rFonts w:asciiTheme="minorHAnsi" w:hAnsiTheme="minorHAnsi" w:cstheme="minorHAnsi"/>
          <w:bCs/>
          <w:i/>
          <w:iCs/>
        </w:rPr>
        <w:lastRenderedPageBreak/>
        <w:t>welfare</w:t>
      </w:r>
      <w:r w:rsidR="00142D24">
        <w:rPr>
          <w:rFonts w:asciiTheme="minorHAnsi" w:hAnsiTheme="minorHAnsi" w:cstheme="minorHAnsi"/>
          <w:bCs/>
          <w:i/>
          <w:iCs/>
        </w:rPr>
        <w:t>.</w:t>
      </w:r>
      <w:r w:rsidR="00142D24" w:rsidRPr="00142D24">
        <w:rPr>
          <w:rFonts w:asciiTheme="minorHAnsi" w:hAnsiTheme="minorHAnsi" w:cstheme="minorHAnsi"/>
          <w:bCs/>
        </w:rPr>
        <w:t>”</w:t>
      </w:r>
      <w:r w:rsidR="00113EED">
        <w:rPr>
          <w:rStyle w:val="FootnoteReference"/>
          <w:rFonts w:cstheme="minorHAnsi"/>
          <w:bCs/>
        </w:rPr>
        <w:footnoteReference w:id="41"/>
      </w:r>
      <w:r w:rsidR="00142D24">
        <w:rPr>
          <w:rFonts w:asciiTheme="minorHAnsi" w:hAnsiTheme="minorHAnsi" w:cstheme="minorHAnsi"/>
          <w:bCs/>
        </w:rPr>
        <w:t xml:space="preserve"> The Committee </w:t>
      </w:r>
      <w:r w:rsidR="00474DAC">
        <w:rPr>
          <w:rFonts w:asciiTheme="minorHAnsi" w:hAnsiTheme="minorHAnsi" w:cstheme="minorHAnsi"/>
          <w:bCs/>
        </w:rPr>
        <w:t>rejected the defence that</w:t>
      </w:r>
      <w:r w:rsidR="00142D24">
        <w:rPr>
          <w:rFonts w:asciiTheme="minorHAnsi" w:hAnsiTheme="minorHAnsi" w:cstheme="minorHAnsi"/>
          <w:bCs/>
        </w:rPr>
        <w:t xml:space="preserve"> the</w:t>
      </w:r>
      <w:r w:rsidR="00113EED">
        <w:rPr>
          <w:rFonts w:asciiTheme="minorHAnsi" w:hAnsiTheme="minorHAnsi" w:cstheme="minorHAnsi"/>
          <w:bCs/>
        </w:rPr>
        <w:t xml:space="preserve"> dog</w:t>
      </w:r>
      <w:r w:rsidR="00142D24">
        <w:rPr>
          <w:rFonts w:asciiTheme="minorHAnsi" w:hAnsiTheme="minorHAnsi" w:cstheme="minorHAnsi"/>
          <w:bCs/>
        </w:rPr>
        <w:t xml:space="preserve"> was suffering to the extent that</w:t>
      </w:r>
      <w:r w:rsidR="00113EED">
        <w:rPr>
          <w:rFonts w:asciiTheme="minorHAnsi" w:hAnsiTheme="minorHAnsi" w:cstheme="minorHAnsi"/>
          <w:bCs/>
        </w:rPr>
        <w:t xml:space="preserve"> require</w:t>
      </w:r>
      <w:r w:rsidR="00474DAC">
        <w:rPr>
          <w:rFonts w:asciiTheme="minorHAnsi" w:hAnsiTheme="minorHAnsi" w:cstheme="minorHAnsi"/>
          <w:bCs/>
        </w:rPr>
        <w:t>d</w:t>
      </w:r>
      <w:r w:rsidR="00142D24">
        <w:rPr>
          <w:rFonts w:asciiTheme="minorHAnsi" w:hAnsiTheme="minorHAnsi" w:cstheme="minorHAnsi"/>
          <w:bCs/>
        </w:rPr>
        <w:t xml:space="preserve"> immediate euthanasia. </w:t>
      </w:r>
      <w:r w:rsidR="00A42F2E">
        <w:rPr>
          <w:rFonts w:asciiTheme="minorHAnsi" w:hAnsiTheme="minorHAnsi" w:cstheme="minorHAnsi"/>
          <w:bCs/>
        </w:rPr>
        <w:t>In this case</w:t>
      </w:r>
      <w:r w:rsidR="00603936">
        <w:rPr>
          <w:rFonts w:asciiTheme="minorHAnsi" w:hAnsiTheme="minorHAnsi" w:cstheme="minorHAnsi"/>
          <w:bCs/>
        </w:rPr>
        <w:t xml:space="preserve">, the client’s interests </w:t>
      </w:r>
      <w:r w:rsidR="00E60962">
        <w:rPr>
          <w:rFonts w:asciiTheme="minorHAnsi" w:hAnsiTheme="minorHAnsi" w:cstheme="minorHAnsi"/>
          <w:bCs/>
        </w:rPr>
        <w:t xml:space="preserve">in making </w:t>
      </w:r>
      <w:r w:rsidR="0021214C">
        <w:rPr>
          <w:rFonts w:asciiTheme="minorHAnsi" w:hAnsiTheme="minorHAnsi" w:cstheme="minorHAnsi"/>
          <w:bCs/>
        </w:rPr>
        <w:t>an autonomous</w:t>
      </w:r>
      <w:r w:rsidR="00E60962">
        <w:rPr>
          <w:rFonts w:asciiTheme="minorHAnsi" w:hAnsiTheme="minorHAnsi" w:cstheme="minorHAnsi"/>
          <w:bCs/>
        </w:rPr>
        <w:t xml:space="preserve"> decision about </w:t>
      </w:r>
      <w:r w:rsidR="0021214C">
        <w:rPr>
          <w:rFonts w:asciiTheme="minorHAnsi" w:hAnsiTheme="minorHAnsi" w:cstheme="minorHAnsi"/>
          <w:bCs/>
        </w:rPr>
        <w:t xml:space="preserve">the timing of the patient’s </w:t>
      </w:r>
      <w:r w:rsidR="00E60962">
        <w:rPr>
          <w:rFonts w:asciiTheme="minorHAnsi" w:hAnsiTheme="minorHAnsi" w:cstheme="minorHAnsi"/>
          <w:bCs/>
        </w:rPr>
        <w:t xml:space="preserve">euthanasia </w:t>
      </w:r>
      <w:r w:rsidR="00DE444C">
        <w:rPr>
          <w:rFonts w:asciiTheme="minorHAnsi" w:hAnsiTheme="minorHAnsi" w:cstheme="minorHAnsi"/>
          <w:bCs/>
        </w:rPr>
        <w:t>seemed to be</w:t>
      </w:r>
      <w:r w:rsidR="00603936">
        <w:rPr>
          <w:rFonts w:asciiTheme="minorHAnsi" w:hAnsiTheme="minorHAnsi" w:cstheme="minorHAnsi"/>
          <w:bCs/>
        </w:rPr>
        <w:t xml:space="preserve"> the main focus. </w:t>
      </w:r>
      <w:r w:rsidR="0031436D">
        <w:rPr>
          <w:rFonts w:asciiTheme="minorHAnsi" w:hAnsiTheme="minorHAnsi" w:cstheme="minorHAnsi"/>
          <w:bCs/>
        </w:rPr>
        <w:t xml:space="preserve">No reference was made to the patient’s ‘best interests’ </w:t>
      </w:r>
      <w:r w:rsidR="00A42F2E">
        <w:rPr>
          <w:rFonts w:asciiTheme="minorHAnsi" w:hAnsiTheme="minorHAnsi" w:cstheme="minorHAnsi"/>
          <w:bCs/>
        </w:rPr>
        <w:t xml:space="preserve">in being euthanised sooner to prevent any suffering, as his suffering was deemed not to be sufficient to require immediate euthanasia (thereby acknowledging that he was suffering to some extent). </w:t>
      </w:r>
      <w:r w:rsidR="00142D24">
        <w:rPr>
          <w:rFonts w:asciiTheme="minorHAnsi" w:hAnsiTheme="minorHAnsi" w:cstheme="minorHAnsi"/>
          <w:bCs/>
        </w:rPr>
        <w:t xml:space="preserve">The sanction applied, a reprimand and advice, was </w:t>
      </w:r>
      <w:r w:rsidR="00A42F2E">
        <w:rPr>
          <w:rFonts w:asciiTheme="minorHAnsi" w:hAnsiTheme="minorHAnsi" w:cstheme="minorHAnsi"/>
          <w:bCs/>
        </w:rPr>
        <w:t>considered</w:t>
      </w:r>
      <w:r w:rsidR="00142D24">
        <w:rPr>
          <w:rFonts w:asciiTheme="minorHAnsi" w:hAnsiTheme="minorHAnsi" w:cstheme="minorHAnsi"/>
          <w:bCs/>
        </w:rPr>
        <w:t xml:space="preserve"> appropriate as </w:t>
      </w:r>
      <w:r w:rsidR="00603936">
        <w:rPr>
          <w:rFonts w:asciiTheme="minorHAnsi" w:hAnsiTheme="minorHAnsi" w:cstheme="minorHAnsi"/>
          <w:bCs/>
        </w:rPr>
        <w:t xml:space="preserve">the case </w:t>
      </w:r>
      <w:r w:rsidR="00142D24">
        <w:rPr>
          <w:rFonts w:asciiTheme="minorHAnsi" w:hAnsiTheme="minorHAnsi" w:cstheme="minorHAnsi"/>
          <w:bCs/>
        </w:rPr>
        <w:t xml:space="preserve">involved a single isolated incident of lack of consent with </w:t>
      </w:r>
      <w:r w:rsidR="003F2F9F">
        <w:rPr>
          <w:rFonts w:asciiTheme="minorHAnsi" w:hAnsiTheme="minorHAnsi" w:cstheme="minorHAnsi"/>
          <w:bCs/>
        </w:rPr>
        <w:t xml:space="preserve">a perceived </w:t>
      </w:r>
      <w:r w:rsidR="00142D24">
        <w:rPr>
          <w:rFonts w:asciiTheme="minorHAnsi" w:hAnsiTheme="minorHAnsi" w:cstheme="minorHAnsi"/>
          <w:bCs/>
        </w:rPr>
        <w:t>low risk of repetition</w:t>
      </w:r>
      <w:r w:rsidR="00FF1DD0">
        <w:rPr>
          <w:rFonts w:asciiTheme="minorHAnsi" w:hAnsiTheme="minorHAnsi" w:cstheme="minorHAnsi"/>
          <w:bCs/>
        </w:rPr>
        <w:t>.</w:t>
      </w:r>
    </w:p>
    <w:p w14:paraId="59CDA6C5" w14:textId="77777777" w:rsidR="00142D24" w:rsidRPr="00476279" w:rsidRDefault="007F48FD" w:rsidP="00934427">
      <w:pPr>
        <w:spacing w:line="360" w:lineRule="auto"/>
        <w:rPr>
          <w:rFonts w:asciiTheme="minorHAnsi" w:hAnsiTheme="minorHAnsi" w:cstheme="minorHAnsi"/>
          <w:bCs/>
        </w:rPr>
      </w:pPr>
      <w:r>
        <w:rPr>
          <w:rFonts w:asciiTheme="minorHAnsi" w:hAnsiTheme="minorHAnsi" w:cstheme="minorHAnsi"/>
          <w:bCs/>
        </w:rPr>
        <w:t xml:space="preserve"> </w:t>
      </w:r>
    </w:p>
    <w:p w14:paraId="4183B174" w14:textId="290DBD7E" w:rsidR="003F2F9F" w:rsidRPr="00314E01" w:rsidRDefault="00B35B91" w:rsidP="00934427">
      <w:pPr>
        <w:spacing w:line="360" w:lineRule="auto"/>
        <w:rPr>
          <w:rFonts w:asciiTheme="minorHAnsi" w:hAnsiTheme="minorHAnsi" w:cstheme="minorHAnsi"/>
          <w:b/>
        </w:rPr>
      </w:pPr>
      <w:r>
        <w:rPr>
          <w:rFonts w:asciiTheme="minorHAnsi" w:hAnsiTheme="minorHAnsi" w:cstheme="minorHAnsi"/>
          <w:b/>
        </w:rPr>
        <w:t xml:space="preserve">Case </w:t>
      </w:r>
      <w:r w:rsidR="00F61ADC">
        <w:rPr>
          <w:rFonts w:asciiTheme="minorHAnsi" w:hAnsiTheme="minorHAnsi" w:cstheme="minorHAnsi"/>
          <w:b/>
        </w:rPr>
        <w:t>2</w:t>
      </w:r>
      <w:r>
        <w:rPr>
          <w:rFonts w:asciiTheme="minorHAnsi" w:hAnsiTheme="minorHAnsi" w:cstheme="minorHAnsi"/>
          <w:b/>
        </w:rPr>
        <w:t xml:space="preserve"> </w:t>
      </w:r>
      <w:r w:rsidR="00031155" w:rsidRPr="00F72F9B">
        <w:rPr>
          <w:rFonts w:asciiTheme="minorHAnsi" w:hAnsiTheme="minorHAnsi" w:cstheme="minorHAnsi"/>
        </w:rPr>
        <w:t xml:space="preserve">involved </w:t>
      </w:r>
      <w:r w:rsidR="008208A0">
        <w:rPr>
          <w:rFonts w:asciiTheme="minorHAnsi" w:hAnsiTheme="minorHAnsi" w:cstheme="minorHAnsi"/>
        </w:rPr>
        <w:t xml:space="preserve">a veterinary surgeon’s </w:t>
      </w:r>
      <w:r w:rsidR="00031155" w:rsidRPr="00F72F9B">
        <w:rPr>
          <w:rFonts w:asciiTheme="minorHAnsi" w:hAnsiTheme="minorHAnsi" w:cstheme="minorHAnsi"/>
        </w:rPr>
        <w:t>failure t</w:t>
      </w:r>
      <w:r w:rsidR="008208A0">
        <w:rPr>
          <w:rFonts w:asciiTheme="minorHAnsi" w:hAnsiTheme="minorHAnsi" w:cstheme="minorHAnsi"/>
        </w:rPr>
        <w:t>o</w:t>
      </w:r>
      <w:r w:rsidR="00031155" w:rsidRPr="00F72F9B">
        <w:rPr>
          <w:rFonts w:asciiTheme="minorHAnsi" w:hAnsiTheme="minorHAnsi" w:cstheme="minorHAnsi"/>
        </w:rPr>
        <w:t xml:space="preserve"> obtain informed consent for the treatment of a </w:t>
      </w:r>
      <w:r>
        <w:rPr>
          <w:rFonts w:asciiTheme="minorHAnsi" w:hAnsiTheme="minorHAnsi" w:cstheme="minorHAnsi"/>
        </w:rPr>
        <w:t xml:space="preserve">canine surgical patient </w:t>
      </w:r>
      <w:r w:rsidR="00031155" w:rsidRPr="00F72F9B">
        <w:rPr>
          <w:rFonts w:asciiTheme="minorHAnsi" w:hAnsiTheme="minorHAnsi" w:cstheme="minorHAnsi"/>
        </w:rPr>
        <w:t xml:space="preserve">over a prolonged period of time. </w:t>
      </w:r>
      <w:r w:rsidR="007F48FD">
        <w:rPr>
          <w:rFonts w:asciiTheme="minorHAnsi" w:hAnsiTheme="minorHAnsi" w:cstheme="minorHAnsi"/>
        </w:rPr>
        <w:t>Following</w:t>
      </w:r>
      <w:r w:rsidR="00131C18" w:rsidRPr="00F72F9B">
        <w:rPr>
          <w:rFonts w:asciiTheme="minorHAnsi" w:hAnsiTheme="minorHAnsi" w:cstheme="minorHAnsi"/>
        </w:rPr>
        <w:t xml:space="preserve"> the removal of a</w:t>
      </w:r>
      <w:r w:rsidR="00B86366" w:rsidRPr="00F72F9B">
        <w:rPr>
          <w:rFonts w:asciiTheme="minorHAnsi" w:hAnsiTheme="minorHAnsi" w:cstheme="minorHAnsi"/>
        </w:rPr>
        <w:t xml:space="preserve"> </w:t>
      </w:r>
      <w:r w:rsidR="00131C18" w:rsidRPr="00F72F9B">
        <w:rPr>
          <w:rFonts w:asciiTheme="minorHAnsi" w:hAnsiTheme="minorHAnsi" w:cstheme="minorHAnsi"/>
        </w:rPr>
        <w:t>tumour,</w:t>
      </w:r>
      <w:r w:rsidR="007F48FD">
        <w:rPr>
          <w:rFonts w:asciiTheme="minorHAnsi" w:hAnsiTheme="minorHAnsi" w:cstheme="minorHAnsi"/>
        </w:rPr>
        <w:t xml:space="preserve"> </w:t>
      </w:r>
      <w:r w:rsidR="00131C18" w:rsidRPr="00F72F9B">
        <w:rPr>
          <w:rFonts w:asciiTheme="minorHAnsi" w:hAnsiTheme="minorHAnsi" w:cstheme="minorHAnsi"/>
        </w:rPr>
        <w:t>the surgical wound failed to heal</w:t>
      </w:r>
      <w:r w:rsidR="007F48FD">
        <w:rPr>
          <w:rFonts w:asciiTheme="minorHAnsi" w:hAnsiTheme="minorHAnsi" w:cstheme="minorHAnsi"/>
        </w:rPr>
        <w:t xml:space="preserve"> and</w:t>
      </w:r>
      <w:r w:rsidR="00131C18" w:rsidRPr="00F72F9B">
        <w:rPr>
          <w:rFonts w:asciiTheme="minorHAnsi" w:hAnsiTheme="minorHAnsi" w:cstheme="minorHAnsi"/>
        </w:rPr>
        <w:t xml:space="preserve"> requir</w:t>
      </w:r>
      <w:r w:rsidR="007F48FD">
        <w:rPr>
          <w:rFonts w:asciiTheme="minorHAnsi" w:hAnsiTheme="minorHAnsi" w:cstheme="minorHAnsi"/>
        </w:rPr>
        <w:t xml:space="preserve">ed </w:t>
      </w:r>
      <w:r w:rsidR="00131C18" w:rsidRPr="00F72F9B">
        <w:rPr>
          <w:rFonts w:asciiTheme="minorHAnsi" w:hAnsiTheme="minorHAnsi" w:cstheme="minorHAnsi"/>
        </w:rPr>
        <w:t xml:space="preserve">further surgery. Although consent </w:t>
      </w:r>
      <w:r w:rsidR="007F48FD">
        <w:rPr>
          <w:rFonts w:asciiTheme="minorHAnsi" w:hAnsiTheme="minorHAnsi" w:cstheme="minorHAnsi"/>
        </w:rPr>
        <w:t xml:space="preserve">had been obtained </w:t>
      </w:r>
      <w:r w:rsidR="00131C18" w:rsidRPr="00F72F9B">
        <w:rPr>
          <w:rFonts w:asciiTheme="minorHAnsi" w:hAnsiTheme="minorHAnsi" w:cstheme="minorHAnsi"/>
        </w:rPr>
        <w:t xml:space="preserve">for the initial surgery, </w:t>
      </w:r>
      <w:r w:rsidR="007F48FD">
        <w:rPr>
          <w:rFonts w:asciiTheme="minorHAnsi" w:hAnsiTheme="minorHAnsi" w:cstheme="minorHAnsi"/>
        </w:rPr>
        <w:t>it</w:t>
      </w:r>
      <w:r w:rsidR="00131C18" w:rsidRPr="00F72F9B">
        <w:rPr>
          <w:rFonts w:asciiTheme="minorHAnsi" w:hAnsiTheme="minorHAnsi" w:cstheme="minorHAnsi"/>
        </w:rPr>
        <w:t xml:space="preserve"> was not sought for the subsequent multiple surgeries</w:t>
      </w:r>
      <w:r w:rsidR="00AF5F68" w:rsidRPr="00F72F9B">
        <w:rPr>
          <w:rFonts w:asciiTheme="minorHAnsi" w:hAnsiTheme="minorHAnsi" w:cstheme="minorHAnsi"/>
        </w:rPr>
        <w:t xml:space="preserve"> </w:t>
      </w:r>
      <w:r w:rsidR="0064110B">
        <w:rPr>
          <w:rFonts w:asciiTheme="minorHAnsi" w:hAnsiTheme="minorHAnsi" w:cstheme="minorHAnsi"/>
        </w:rPr>
        <w:t>required in an attempt</w:t>
      </w:r>
      <w:r w:rsidR="00AF5F68" w:rsidRPr="00F72F9B">
        <w:rPr>
          <w:rFonts w:asciiTheme="minorHAnsi" w:hAnsiTheme="minorHAnsi" w:cstheme="minorHAnsi"/>
        </w:rPr>
        <w:t xml:space="preserve"> to </w:t>
      </w:r>
      <w:r w:rsidR="00683543" w:rsidRPr="00F72F9B">
        <w:rPr>
          <w:rFonts w:asciiTheme="minorHAnsi" w:hAnsiTheme="minorHAnsi" w:cstheme="minorHAnsi"/>
        </w:rPr>
        <w:t>repair</w:t>
      </w:r>
      <w:r w:rsidR="00AF5F68" w:rsidRPr="00F72F9B">
        <w:rPr>
          <w:rFonts w:asciiTheme="minorHAnsi" w:hAnsiTheme="minorHAnsi" w:cstheme="minorHAnsi"/>
        </w:rPr>
        <w:t xml:space="preserve"> the wound.</w:t>
      </w:r>
      <w:r w:rsidR="00B86366" w:rsidRPr="00F72F9B">
        <w:rPr>
          <w:rFonts w:asciiTheme="minorHAnsi" w:hAnsiTheme="minorHAnsi" w:cstheme="minorHAnsi"/>
        </w:rPr>
        <w:t xml:space="preserve"> The case rested on failure to provide estimate</w:t>
      </w:r>
      <w:r w:rsidR="007F48FD">
        <w:rPr>
          <w:rFonts w:asciiTheme="minorHAnsi" w:hAnsiTheme="minorHAnsi" w:cstheme="minorHAnsi"/>
        </w:rPr>
        <w:t>d</w:t>
      </w:r>
      <w:r w:rsidR="00B86366" w:rsidRPr="00F72F9B">
        <w:rPr>
          <w:rFonts w:asciiTheme="minorHAnsi" w:hAnsiTheme="minorHAnsi" w:cstheme="minorHAnsi"/>
        </w:rPr>
        <w:t xml:space="preserve"> fees for repeat surgeries, failure to inform the clients of the repeat surgeries and the risks involved, and failure to suggest referral to another practice when the wound was failing to heal</w:t>
      </w:r>
      <w:r w:rsidR="00AB1116" w:rsidRPr="00F72F9B">
        <w:rPr>
          <w:rFonts w:asciiTheme="minorHAnsi" w:hAnsiTheme="minorHAnsi" w:cstheme="minorHAnsi"/>
        </w:rPr>
        <w:t>;</w:t>
      </w:r>
      <w:r w:rsidR="00B86366" w:rsidRPr="00F72F9B">
        <w:rPr>
          <w:rFonts w:asciiTheme="minorHAnsi" w:hAnsiTheme="minorHAnsi" w:cstheme="minorHAnsi"/>
        </w:rPr>
        <w:t xml:space="preserve"> </w:t>
      </w:r>
      <w:r w:rsidR="00474DAC">
        <w:rPr>
          <w:rFonts w:asciiTheme="minorHAnsi" w:hAnsiTheme="minorHAnsi" w:cstheme="minorHAnsi"/>
        </w:rPr>
        <w:t>finding all three</w:t>
      </w:r>
      <w:r w:rsidR="00AB1116" w:rsidRPr="00F72F9B">
        <w:rPr>
          <w:rFonts w:asciiTheme="minorHAnsi" w:hAnsiTheme="minorHAnsi" w:cstheme="minorHAnsi"/>
        </w:rPr>
        <w:t xml:space="preserve"> proved</w:t>
      </w:r>
      <w:r w:rsidR="00B86366" w:rsidRPr="00F72F9B">
        <w:rPr>
          <w:rFonts w:asciiTheme="minorHAnsi" w:hAnsiTheme="minorHAnsi" w:cstheme="minorHAnsi"/>
        </w:rPr>
        <w:t xml:space="preserve"> </w:t>
      </w:r>
      <w:r w:rsidR="00AB1116" w:rsidRPr="00F72F9B">
        <w:rPr>
          <w:rFonts w:asciiTheme="minorHAnsi" w:hAnsiTheme="minorHAnsi" w:cstheme="minorHAnsi"/>
        </w:rPr>
        <w:t xml:space="preserve">led </w:t>
      </w:r>
      <w:r w:rsidR="00B86366" w:rsidRPr="00F72F9B">
        <w:rPr>
          <w:rFonts w:asciiTheme="minorHAnsi" w:hAnsiTheme="minorHAnsi" w:cstheme="minorHAnsi"/>
        </w:rPr>
        <w:t xml:space="preserve">to the charge of failure to obtain informed consent. In deciding that this amounted to </w:t>
      </w:r>
      <w:r w:rsidR="00295641" w:rsidRPr="00F72F9B">
        <w:rPr>
          <w:rFonts w:asciiTheme="minorHAnsi" w:hAnsiTheme="minorHAnsi" w:cstheme="minorHAnsi"/>
        </w:rPr>
        <w:t>serious professional misconduct, the</w:t>
      </w:r>
      <w:r w:rsidR="0037239A">
        <w:rPr>
          <w:rFonts w:asciiTheme="minorHAnsi" w:hAnsiTheme="minorHAnsi" w:cstheme="minorHAnsi"/>
        </w:rPr>
        <w:t xml:space="preserve"> </w:t>
      </w:r>
      <w:r w:rsidR="00A42F2E">
        <w:rPr>
          <w:rFonts w:asciiTheme="minorHAnsi" w:hAnsiTheme="minorHAnsi" w:cstheme="minorHAnsi"/>
        </w:rPr>
        <w:t>C</w:t>
      </w:r>
      <w:r w:rsidR="0037239A">
        <w:rPr>
          <w:rFonts w:asciiTheme="minorHAnsi" w:hAnsiTheme="minorHAnsi" w:cstheme="minorHAnsi"/>
        </w:rPr>
        <w:t>ommittee</w:t>
      </w:r>
      <w:r w:rsidR="00295641" w:rsidRPr="00F72F9B">
        <w:rPr>
          <w:rFonts w:asciiTheme="minorHAnsi" w:hAnsiTheme="minorHAnsi" w:cstheme="minorHAnsi"/>
        </w:rPr>
        <w:t xml:space="preserve"> “</w:t>
      </w:r>
      <w:r w:rsidR="00295641" w:rsidRPr="00F72F9B">
        <w:rPr>
          <w:rFonts w:asciiTheme="minorHAnsi" w:hAnsiTheme="minorHAnsi" w:cstheme="minorHAnsi"/>
          <w:i/>
        </w:rPr>
        <w:t xml:space="preserve">was satisfied that the treatment administered required options, risks, prognoses and costs to have been discussed with </w:t>
      </w:r>
      <w:r w:rsidR="00295641" w:rsidRPr="00F72F9B">
        <w:rPr>
          <w:rFonts w:asciiTheme="minorHAnsi" w:hAnsiTheme="minorHAnsi" w:cstheme="minorHAnsi"/>
        </w:rPr>
        <w:t>[dog]</w:t>
      </w:r>
      <w:r w:rsidR="00295641" w:rsidRPr="00F72F9B">
        <w:rPr>
          <w:rFonts w:asciiTheme="minorHAnsi" w:hAnsiTheme="minorHAnsi" w:cstheme="minorHAnsi"/>
          <w:i/>
        </w:rPr>
        <w:t xml:space="preserve">’s owners before each further surgical procedure and general anaesthetic; particularly because </w:t>
      </w:r>
      <w:r w:rsidR="00295641" w:rsidRPr="00F72F9B">
        <w:rPr>
          <w:rFonts w:asciiTheme="minorHAnsi" w:hAnsiTheme="minorHAnsi" w:cstheme="minorHAnsi"/>
        </w:rPr>
        <w:t>[</w:t>
      </w:r>
      <w:r w:rsidR="0037239A">
        <w:rPr>
          <w:rFonts w:asciiTheme="minorHAnsi" w:hAnsiTheme="minorHAnsi" w:cstheme="minorHAnsi"/>
        </w:rPr>
        <w:t xml:space="preserve">the </w:t>
      </w:r>
      <w:r w:rsidR="00295641" w:rsidRPr="00F72F9B">
        <w:rPr>
          <w:rFonts w:asciiTheme="minorHAnsi" w:hAnsiTheme="minorHAnsi" w:cstheme="minorHAnsi"/>
        </w:rPr>
        <w:t>veterinary surgeon]</w:t>
      </w:r>
      <w:r w:rsidR="00295641" w:rsidRPr="00F72F9B">
        <w:rPr>
          <w:rFonts w:asciiTheme="minorHAnsi" w:hAnsiTheme="minorHAnsi" w:cstheme="minorHAnsi"/>
          <w:i/>
        </w:rPr>
        <w:t xml:space="preserve"> was aware of </w:t>
      </w:r>
      <w:r w:rsidR="00295641" w:rsidRPr="00F72F9B">
        <w:rPr>
          <w:rFonts w:asciiTheme="minorHAnsi" w:hAnsiTheme="minorHAnsi" w:cstheme="minorHAnsi"/>
        </w:rPr>
        <w:t>[client 1]</w:t>
      </w:r>
      <w:r w:rsidR="00295641" w:rsidRPr="00F72F9B">
        <w:rPr>
          <w:rFonts w:asciiTheme="minorHAnsi" w:hAnsiTheme="minorHAnsi" w:cstheme="minorHAnsi"/>
          <w:i/>
        </w:rPr>
        <w:t xml:space="preserve"> and </w:t>
      </w:r>
      <w:r w:rsidR="00295641" w:rsidRPr="00F72F9B">
        <w:rPr>
          <w:rFonts w:asciiTheme="minorHAnsi" w:hAnsiTheme="minorHAnsi" w:cstheme="minorHAnsi"/>
        </w:rPr>
        <w:t>[client 2]</w:t>
      </w:r>
      <w:r w:rsidR="00295641" w:rsidRPr="00F72F9B">
        <w:rPr>
          <w:rFonts w:asciiTheme="minorHAnsi" w:hAnsiTheme="minorHAnsi" w:cstheme="minorHAnsi"/>
          <w:i/>
        </w:rPr>
        <w:t>’s concern about general anaesthesia</w:t>
      </w:r>
      <w:r w:rsidR="00B47129" w:rsidRPr="00F72F9B">
        <w:rPr>
          <w:rFonts w:asciiTheme="minorHAnsi" w:hAnsiTheme="minorHAnsi" w:cstheme="minorHAnsi"/>
          <w:i/>
        </w:rPr>
        <w:t>.</w:t>
      </w:r>
      <w:r w:rsidR="00295641" w:rsidRPr="00F72F9B">
        <w:rPr>
          <w:rFonts w:asciiTheme="minorHAnsi" w:hAnsiTheme="minorHAnsi" w:cstheme="minorHAnsi"/>
        </w:rPr>
        <w:t>”</w:t>
      </w:r>
      <w:r w:rsidR="0064110B">
        <w:rPr>
          <w:rStyle w:val="FootnoteReference"/>
          <w:rFonts w:cstheme="minorHAnsi"/>
        </w:rPr>
        <w:footnoteReference w:id="42"/>
      </w:r>
      <w:r w:rsidR="00F5221C">
        <w:rPr>
          <w:rFonts w:asciiTheme="minorHAnsi" w:hAnsiTheme="minorHAnsi" w:cstheme="minorHAnsi"/>
          <w:b/>
        </w:rPr>
        <w:t xml:space="preserve"> </w:t>
      </w:r>
      <w:r w:rsidR="00B47129" w:rsidRPr="00F72F9B">
        <w:rPr>
          <w:rFonts w:asciiTheme="minorHAnsi" w:hAnsiTheme="minorHAnsi" w:cstheme="minorHAnsi"/>
        </w:rPr>
        <w:t xml:space="preserve">The reprimand given was accompanied by a warning as to the veterinary surgeon’s future conduct, specifically: </w:t>
      </w:r>
    </w:p>
    <w:p w14:paraId="743B7977" w14:textId="77777777" w:rsidR="00031155" w:rsidRPr="00314E01" w:rsidRDefault="003F2F9F" w:rsidP="00314E01">
      <w:pPr>
        <w:spacing w:line="360" w:lineRule="auto"/>
        <w:ind w:left="720"/>
        <w:rPr>
          <w:rFonts w:asciiTheme="minorHAnsi" w:hAnsiTheme="minorHAnsi" w:cstheme="minorHAnsi"/>
          <w:i/>
        </w:rPr>
      </w:pPr>
      <w:r>
        <w:rPr>
          <w:rFonts w:asciiTheme="minorHAnsi" w:hAnsiTheme="minorHAnsi" w:cstheme="minorHAnsi"/>
          <w:i/>
        </w:rPr>
        <w:t>“</w:t>
      </w:r>
      <w:r w:rsidR="00B47129" w:rsidRPr="00F72F9B">
        <w:rPr>
          <w:rFonts w:asciiTheme="minorHAnsi" w:hAnsiTheme="minorHAnsi" w:cstheme="minorHAnsi"/>
          <w:i/>
        </w:rPr>
        <w:t>keeping full and accurate clinical records</w:t>
      </w:r>
      <w:r w:rsidR="00314E01">
        <w:rPr>
          <w:rFonts w:asciiTheme="minorHAnsi" w:hAnsiTheme="minorHAnsi" w:cstheme="minorHAnsi"/>
          <w:i/>
        </w:rPr>
        <w:t xml:space="preserve">; </w:t>
      </w:r>
      <w:r w:rsidR="00B47129" w:rsidRPr="00F72F9B">
        <w:rPr>
          <w:rFonts w:asciiTheme="minorHAnsi" w:hAnsiTheme="minorHAnsi" w:cstheme="minorHAnsi"/>
          <w:i/>
        </w:rPr>
        <w:t>offering referral on appropriate cases without undue delay</w:t>
      </w:r>
      <w:r w:rsidR="00314E01">
        <w:rPr>
          <w:rFonts w:asciiTheme="minorHAnsi" w:hAnsiTheme="minorHAnsi" w:cstheme="minorHAnsi"/>
          <w:i/>
        </w:rPr>
        <w:t xml:space="preserve">; </w:t>
      </w:r>
      <w:r w:rsidR="00B47129" w:rsidRPr="00F72F9B">
        <w:rPr>
          <w:rFonts w:asciiTheme="minorHAnsi" w:hAnsiTheme="minorHAnsi" w:cstheme="minorHAnsi"/>
          <w:i/>
        </w:rPr>
        <w:t>communicating fully and accurately with clients and colleagues</w:t>
      </w:r>
      <w:r w:rsidR="00314E01">
        <w:rPr>
          <w:rFonts w:asciiTheme="minorHAnsi" w:hAnsiTheme="minorHAnsi" w:cstheme="minorHAnsi"/>
          <w:i/>
        </w:rPr>
        <w:t>;</w:t>
      </w:r>
      <w:r w:rsidR="00B47129" w:rsidRPr="00F72F9B">
        <w:rPr>
          <w:rFonts w:asciiTheme="minorHAnsi" w:hAnsiTheme="minorHAnsi" w:cstheme="minorHAnsi"/>
          <w:i/>
        </w:rPr>
        <w:t xml:space="preserve"> giving estimates of treatment whether or not any payment will be required</w:t>
      </w:r>
      <w:r w:rsidR="00314E01">
        <w:rPr>
          <w:rFonts w:asciiTheme="minorHAnsi" w:hAnsiTheme="minorHAnsi" w:cstheme="minorHAnsi"/>
          <w:i/>
        </w:rPr>
        <w:t xml:space="preserve"> (and)</w:t>
      </w:r>
      <w:r w:rsidR="00B47129" w:rsidRPr="00F72F9B">
        <w:rPr>
          <w:rFonts w:asciiTheme="minorHAnsi" w:hAnsiTheme="minorHAnsi" w:cstheme="minorHAnsi"/>
          <w:i/>
        </w:rPr>
        <w:t xml:space="preserve"> obtaining informed consent.”</w:t>
      </w:r>
      <w:r w:rsidR="0064110B">
        <w:rPr>
          <w:rStyle w:val="FootnoteReference"/>
          <w:rFonts w:cstheme="minorHAnsi"/>
          <w:i/>
        </w:rPr>
        <w:footnoteReference w:id="43"/>
      </w:r>
    </w:p>
    <w:p w14:paraId="28AFD1A1" w14:textId="5D042218" w:rsidR="00AA45F6" w:rsidRDefault="00D206C5" w:rsidP="00934427">
      <w:pPr>
        <w:spacing w:line="360" w:lineRule="auto"/>
        <w:rPr>
          <w:rFonts w:asciiTheme="minorHAnsi" w:hAnsiTheme="minorHAnsi" w:cstheme="minorHAnsi"/>
        </w:rPr>
      </w:pPr>
      <w:r>
        <w:rPr>
          <w:rFonts w:asciiTheme="minorHAnsi" w:hAnsiTheme="minorHAnsi" w:cstheme="minorHAnsi"/>
        </w:rPr>
        <w:lastRenderedPageBreak/>
        <w:t xml:space="preserve">It is worth pointing out that the </w:t>
      </w:r>
      <w:r w:rsidR="0021214C">
        <w:rPr>
          <w:rFonts w:asciiTheme="minorHAnsi" w:hAnsiTheme="minorHAnsi" w:cstheme="minorHAnsi"/>
        </w:rPr>
        <w:t xml:space="preserve">Committee’s </w:t>
      </w:r>
      <w:r>
        <w:rPr>
          <w:rFonts w:asciiTheme="minorHAnsi" w:hAnsiTheme="minorHAnsi" w:cstheme="minorHAnsi"/>
        </w:rPr>
        <w:t>reference to the veterinary surgeon’s awareness of the</w:t>
      </w:r>
      <w:r w:rsidR="00A42F2E">
        <w:rPr>
          <w:rFonts w:asciiTheme="minorHAnsi" w:hAnsiTheme="minorHAnsi" w:cstheme="minorHAnsi"/>
        </w:rPr>
        <w:t>se</w:t>
      </w:r>
      <w:r>
        <w:rPr>
          <w:rFonts w:asciiTheme="minorHAnsi" w:hAnsiTheme="minorHAnsi" w:cstheme="minorHAnsi"/>
        </w:rPr>
        <w:t xml:space="preserve"> </w:t>
      </w:r>
      <w:r w:rsidR="00A42F2E">
        <w:rPr>
          <w:rFonts w:asciiTheme="minorHAnsi" w:hAnsiTheme="minorHAnsi" w:cstheme="minorHAnsi"/>
        </w:rPr>
        <w:t xml:space="preserve">particular </w:t>
      </w:r>
      <w:r>
        <w:rPr>
          <w:rFonts w:asciiTheme="minorHAnsi" w:hAnsiTheme="minorHAnsi" w:cstheme="minorHAnsi"/>
        </w:rPr>
        <w:t>clients’ concerns</w:t>
      </w:r>
      <w:r w:rsidR="0021214C">
        <w:rPr>
          <w:rFonts w:asciiTheme="minorHAnsi" w:hAnsiTheme="minorHAnsi" w:cstheme="minorHAnsi"/>
        </w:rPr>
        <w:t xml:space="preserve"> regarding anaesthesia</w:t>
      </w:r>
      <w:r>
        <w:rPr>
          <w:rFonts w:asciiTheme="minorHAnsi" w:hAnsiTheme="minorHAnsi" w:cstheme="minorHAnsi"/>
        </w:rPr>
        <w:t xml:space="preserve"> resonates with the ‘particular patient’ basis to consent </w:t>
      </w:r>
      <w:r w:rsidR="00E60962">
        <w:rPr>
          <w:rFonts w:asciiTheme="minorHAnsi" w:hAnsiTheme="minorHAnsi" w:cstheme="minorHAnsi"/>
        </w:rPr>
        <w:t xml:space="preserve">that is now promoted </w:t>
      </w:r>
      <w:r>
        <w:rPr>
          <w:rFonts w:asciiTheme="minorHAnsi" w:hAnsiTheme="minorHAnsi" w:cstheme="minorHAnsi"/>
        </w:rPr>
        <w:t>in the human medical arena</w:t>
      </w:r>
      <w:r w:rsidR="0021214C">
        <w:rPr>
          <w:rFonts w:asciiTheme="minorHAnsi" w:hAnsiTheme="minorHAnsi" w:cstheme="minorHAnsi"/>
        </w:rPr>
        <w:t xml:space="preserve"> post-</w:t>
      </w:r>
      <w:r w:rsidR="0021214C" w:rsidRPr="0021214C">
        <w:rPr>
          <w:rFonts w:asciiTheme="minorHAnsi" w:hAnsiTheme="minorHAnsi" w:cstheme="minorHAnsi"/>
          <w:i/>
          <w:iCs/>
        </w:rPr>
        <w:t>Montgomery</w:t>
      </w:r>
      <w:r>
        <w:rPr>
          <w:rFonts w:asciiTheme="minorHAnsi" w:hAnsiTheme="minorHAnsi" w:cstheme="minorHAnsi"/>
        </w:rPr>
        <w:t xml:space="preserve">. </w:t>
      </w:r>
      <w:r w:rsidR="00DE444C">
        <w:rPr>
          <w:rFonts w:asciiTheme="minorHAnsi" w:hAnsiTheme="minorHAnsi" w:cstheme="minorHAnsi"/>
        </w:rPr>
        <w:t xml:space="preserve"> </w:t>
      </w:r>
      <w:r w:rsidR="0031436D">
        <w:rPr>
          <w:rFonts w:asciiTheme="minorHAnsi" w:hAnsiTheme="minorHAnsi" w:cstheme="minorHAnsi"/>
        </w:rPr>
        <w:t>However, this is a rare example of a post-</w:t>
      </w:r>
      <w:r w:rsidR="0031436D" w:rsidRPr="0031436D">
        <w:rPr>
          <w:rFonts w:asciiTheme="minorHAnsi" w:hAnsiTheme="minorHAnsi" w:cstheme="minorHAnsi"/>
          <w:i/>
          <w:iCs/>
        </w:rPr>
        <w:t>Montgomery</w:t>
      </w:r>
      <w:r w:rsidR="0031436D">
        <w:rPr>
          <w:rFonts w:asciiTheme="minorHAnsi" w:hAnsiTheme="minorHAnsi" w:cstheme="minorHAnsi"/>
        </w:rPr>
        <w:t xml:space="preserve"> response in the veterinary </w:t>
      </w:r>
      <w:r w:rsidR="005E4DBB">
        <w:rPr>
          <w:rFonts w:asciiTheme="minorHAnsi" w:hAnsiTheme="minorHAnsi" w:cstheme="minorHAnsi"/>
        </w:rPr>
        <w:t>context</w:t>
      </w:r>
      <w:r w:rsidR="0031436D">
        <w:rPr>
          <w:rFonts w:asciiTheme="minorHAnsi" w:hAnsiTheme="minorHAnsi" w:cstheme="minorHAnsi"/>
        </w:rPr>
        <w:t xml:space="preserve">. </w:t>
      </w:r>
      <w:r>
        <w:rPr>
          <w:rFonts w:asciiTheme="minorHAnsi" w:hAnsiTheme="minorHAnsi" w:cstheme="minorHAnsi"/>
        </w:rPr>
        <w:t xml:space="preserve">In this case, the patient survived after extensive surgery at a </w:t>
      </w:r>
      <w:r w:rsidR="005E4DBB">
        <w:rPr>
          <w:rFonts w:asciiTheme="minorHAnsi" w:hAnsiTheme="minorHAnsi" w:cstheme="minorHAnsi"/>
        </w:rPr>
        <w:t>specialist</w:t>
      </w:r>
      <w:r>
        <w:rPr>
          <w:rFonts w:asciiTheme="minorHAnsi" w:hAnsiTheme="minorHAnsi" w:cstheme="minorHAnsi"/>
        </w:rPr>
        <w:t xml:space="preserve"> hospital. However, the clients’ interests in making an informed decision </w:t>
      </w:r>
      <w:r w:rsidR="0031436D">
        <w:rPr>
          <w:rFonts w:asciiTheme="minorHAnsi" w:hAnsiTheme="minorHAnsi" w:cstheme="minorHAnsi"/>
        </w:rPr>
        <w:t xml:space="preserve">about whether to persist with treatment </w:t>
      </w:r>
      <w:r>
        <w:rPr>
          <w:rFonts w:asciiTheme="minorHAnsi" w:hAnsiTheme="minorHAnsi" w:cstheme="minorHAnsi"/>
        </w:rPr>
        <w:t>and in being kept informed about fees etc. seemed to be prioritised</w:t>
      </w:r>
      <w:r w:rsidR="0031436D">
        <w:rPr>
          <w:rFonts w:asciiTheme="minorHAnsi" w:hAnsiTheme="minorHAnsi" w:cstheme="minorHAnsi"/>
        </w:rPr>
        <w:t>, with no mention of the ‘best</w:t>
      </w:r>
      <w:r>
        <w:rPr>
          <w:rFonts w:asciiTheme="minorHAnsi" w:hAnsiTheme="minorHAnsi" w:cstheme="minorHAnsi"/>
        </w:rPr>
        <w:t xml:space="preserve"> interests</w:t>
      </w:r>
      <w:r w:rsidR="0031436D">
        <w:rPr>
          <w:rFonts w:asciiTheme="minorHAnsi" w:hAnsiTheme="minorHAnsi" w:cstheme="minorHAnsi"/>
        </w:rPr>
        <w:t>’</w:t>
      </w:r>
      <w:r>
        <w:rPr>
          <w:rFonts w:asciiTheme="minorHAnsi" w:hAnsiTheme="minorHAnsi" w:cstheme="minorHAnsi"/>
        </w:rPr>
        <w:t xml:space="preserve"> of the animal patient.  </w:t>
      </w:r>
    </w:p>
    <w:p w14:paraId="7C09C9A7" w14:textId="77777777" w:rsidR="006978A2" w:rsidRPr="00F72F9B" w:rsidRDefault="006978A2" w:rsidP="00934427">
      <w:pPr>
        <w:spacing w:line="360" w:lineRule="auto"/>
        <w:rPr>
          <w:rFonts w:asciiTheme="minorHAnsi" w:hAnsiTheme="minorHAnsi" w:cstheme="minorHAnsi"/>
        </w:rPr>
      </w:pPr>
    </w:p>
    <w:p w14:paraId="30246547" w14:textId="255C4C79" w:rsidR="0059499D" w:rsidRDefault="00AB1116" w:rsidP="00934427">
      <w:pPr>
        <w:spacing w:line="360" w:lineRule="auto"/>
        <w:rPr>
          <w:rFonts w:asciiTheme="minorHAnsi" w:hAnsiTheme="minorHAnsi" w:cstheme="minorHAnsi"/>
        </w:rPr>
      </w:pPr>
      <w:r w:rsidRPr="00F72F9B">
        <w:rPr>
          <w:rFonts w:asciiTheme="minorHAnsi" w:hAnsiTheme="minorHAnsi" w:cstheme="minorHAnsi"/>
          <w:b/>
        </w:rPr>
        <w:t xml:space="preserve">Case </w:t>
      </w:r>
      <w:r w:rsidR="00F61ADC">
        <w:rPr>
          <w:rFonts w:asciiTheme="minorHAnsi" w:hAnsiTheme="minorHAnsi" w:cstheme="minorHAnsi"/>
          <w:b/>
        </w:rPr>
        <w:t>3</w:t>
      </w:r>
      <w:r w:rsidR="00166C37" w:rsidRPr="00F72F9B">
        <w:rPr>
          <w:rFonts w:asciiTheme="minorHAnsi" w:hAnsiTheme="minorHAnsi" w:cstheme="minorHAnsi"/>
          <w:b/>
        </w:rPr>
        <w:t xml:space="preserve"> </w:t>
      </w:r>
      <w:r w:rsidR="00166C37" w:rsidRPr="00F72F9B">
        <w:rPr>
          <w:rFonts w:asciiTheme="minorHAnsi" w:hAnsiTheme="minorHAnsi" w:cstheme="minorHAnsi"/>
        </w:rPr>
        <w:t xml:space="preserve">involved </w:t>
      </w:r>
      <w:r w:rsidR="00F915B3" w:rsidRPr="00F72F9B">
        <w:rPr>
          <w:rFonts w:asciiTheme="minorHAnsi" w:hAnsiTheme="minorHAnsi" w:cstheme="minorHAnsi"/>
        </w:rPr>
        <w:t>two veterinary surgeons</w:t>
      </w:r>
      <w:r w:rsidR="005245E2" w:rsidRPr="00F72F9B">
        <w:rPr>
          <w:rFonts w:asciiTheme="minorHAnsi" w:hAnsiTheme="minorHAnsi" w:cstheme="minorHAnsi"/>
        </w:rPr>
        <w:t xml:space="preserve"> </w:t>
      </w:r>
      <w:r w:rsidR="005E4DBB">
        <w:rPr>
          <w:rFonts w:asciiTheme="minorHAnsi" w:hAnsiTheme="minorHAnsi" w:cstheme="minorHAnsi"/>
        </w:rPr>
        <w:t>who provided</w:t>
      </w:r>
      <w:r w:rsidR="005245E2" w:rsidRPr="00F72F9B">
        <w:rPr>
          <w:rFonts w:asciiTheme="minorHAnsi" w:hAnsiTheme="minorHAnsi" w:cstheme="minorHAnsi"/>
        </w:rPr>
        <w:t xml:space="preserve"> dental treatment</w:t>
      </w:r>
      <w:r w:rsidR="005E4DBB">
        <w:rPr>
          <w:rFonts w:asciiTheme="minorHAnsi" w:hAnsiTheme="minorHAnsi" w:cstheme="minorHAnsi"/>
        </w:rPr>
        <w:t xml:space="preserve"> to a canine patient;</w:t>
      </w:r>
      <w:r w:rsidR="00314E01">
        <w:rPr>
          <w:rFonts w:asciiTheme="minorHAnsi" w:hAnsiTheme="minorHAnsi" w:cstheme="minorHAnsi"/>
        </w:rPr>
        <w:t xml:space="preserve"> </w:t>
      </w:r>
      <w:r w:rsidR="00D81236">
        <w:rPr>
          <w:rFonts w:asciiTheme="minorHAnsi" w:hAnsiTheme="minorHAnsi" w:cstheme="minorHAnsi"/>
        </w:rPr>
        <w:t xml:space="preserve">charges were dropped against one </w:t>
      </w:r>
      <w:r w:rsidR="005E4DBB">
        <w:rPr>
          <w:rFonts w:asciiTheme="minorHAnsi" w:hAnsiTheme="minorHAnsi" w:cstheme="minorHAnsi"/>
        </w:rPr>
        <w:t xml:space="preserve">veterinary surgeon </w:t>
      </w:r>
      <w:r w:rsidR="00D81236">
        <w:rPr>
          <w:rFonts w:asciiTheme="minorHAnsi" w:hAnsiTheme="minorHAnsi" w:cstheme="minorHAnsi"/>
        </w:rPr>
        <w:t>due to lack of evidence.</w:t>
      </w:r>
      <w:r w:rsidR="00F915B3" w:rsidRPr="00F72F9B">
        <w:rPr>
          <w:rFonts w:asciiTheme="minorHAnsi" w:hAnsiTheme="minorHAnsi" w:cstheme="minorHAnsi"/>
        </w:rPr>
        <w:t xml:space="preserve"> </w:t>
      </w:r>
      <w:r w:rsidR="00874FE9">
        <w:rPr>
          <w:rFonts w:asciiTheme="minorHAnsi" w:hAnsiTheme="minorHAnsi" w:cstheme="minorHAnsi"/>
        </w:rPr>
        <w:t xml:space="preserve">The </w:t>
      </w:r>
      <w:r w:rsidR="00A42F2E">
        <w:rPr>
          <w:rFonts w:asciiTheme="minorHAnsi" w:hAnsiTheme="minorHAnsi" w:cstheme="minorHAnsi"/>
        </w:rPr>
        <w:t>C</w:t>
      </w:r>
      <w:r w:rsidR="00AA035E">
        <w:rPr>
          <w:rFonts w:asciiTheme="minorHAnsi" w:hAnsiTheme="minorHAnsi" w:cstheme="minorHAnsi"/>
        </w:rPr>
        <w:t>ommittee</w:t>
      </w:r>
      <w:r w:rsidR="00874FE9">
        <w:rPr>
          <w:rFonts w:asciiTheme="minorHAnsi" w:hAnsiTheme="minorHAnsi" w:cstheme="minorHAnsi"/>
        </w:rPr>
        <w:t xml:space="preserve"> relied on </w:t>
      </w:r>
      <w:r w:rsidR="00282D0F">
        <w:rPr>
          <w:rFonts w:asciiTheme="minorHAnsi" w:hAnsiTheme="minorHAnsi" w:cstheme="minorHAnsi"/>
        </w:rPr>
        <w:t>Section 11</w:t>
      </w:r>
      <w:r w:rsidR="00780858">
        <w:rPr>
          <w:rFonts w:asciiTheme="minorHAnsi" w:hAnsiTheme="minorHAnsi" w:cstheme="minorHAnsi"/>
        </w:rPr>
        <w:t>.1</w:t>
      </w:r>
      <w:r w:rsidR="00282D0F">
        <w:rPr>
          <w:rFonts w:asciiTheme="minorHAnsi" w:hAnsiTheme="minorHAnsi" w:cstheme="minorHAnsi"/>
        </w:rPr>
        <w:t xml:space="preserve"> of the</w:t>
      </w:r>
      <w:r w:rsidR="00874FE9">
        <w:rPr>
          <w:rFonts w:asciiTheme="minorHAnsi" w:hAnsiTheme="minorHAnsi" w:cstheme="minorHAnsi"/>
        </w:rPr>
        <w:t xml:space="preserve"> Supporting Guidance </w:t>
      </w:r>
      <w:r w:rsidR="00282D0F">
        <w:rPr>
          <w:rFonts w:asciiTheme="minorHAnsi" w:hAnsiTheme="minorHAnsi" w:cstheme="minorHAnsi"/>
        </w:rPr>
        <w:t>to the Co</w:t>
      </w:r>
      <w:r w:rsidR="00314E01">
        <w:rPr>
          <w:rFonts w:asciiTheme="minorHAnsi" w:hAnsiTheme="minorHAnsi" w:cstheme="minorHAnsi"/>
        </w:rPr>
        <w:t>PC</w:t>
      </w:r>
      <w:r w:rsidR="00282D0F">
        <w:rPr>
          <w:rFonts w:asciiTheme="minorHAnsi" w:hAnsiTheme="minorHAnsi" w:cstheme="minorHAnsi"/>
        </w:rPr>
        <w:t xml:space="preserve">, which </w:t>
      </w:r>
      <w:r w:rsidR="00F3544B">
        <w:rPr>
          <w:rFonts w:asciiTheme="minorHAnsi" w:hAnsiTheme="minorHAnsi" w:cstheme="minorHAnsi"/>
        </w:rPr>
        <w:t xml:space="preserve">refers to </w:t>
      </w:r>
      <w:r w:rsidR="00282D0F" w:rsidRPr="00780858">
        <w:rPr>
          <w:rFonts w:asciiTheme="minorHAnsi" w:hAnsiTheme="minorHAnsi" w:cstheme="minorHAnsi"/>
          <w:iCs/>
        </w:rPr>
        <w:t>reasonable treatment</w:t>
      </w:r>
      <w:r w:rsidR="00F3544B" w:rsidRPr="00780858">
        <w:rPr>
          <w:rFonts w:asciiTheme="minorHAnsi" w:hAnsiTheme="minorHAnsi" w:cstheme="minorHAnsi"/>
          <w:iCs/>
        </w:rPr>
        <w:t xml:space="preserve"> </w:t>
      </w:r>
      <w:r w:rsidR="00282D0F" w:rsidRPr="00780858">
        <w:rPr>
          <w:rFonts w:asciiTheme="minorHAnsi" w:hAnsiTheme="minorHAnsi" w:cstheme="minorHAnsi"/>
          <w:iCs/>
        </w:rPr>
        <w:t>options</w:t>
      </w:r>
      <w:r w:rsidR="00F3544B">
        <w:rPr>
          <w:rFonts w:asciiTheme="minorHAnsi" w:hAnsiTheme="minorHAnsi" w:cstheme="minorHAnsi"/>
          <w:i/>
        </w:rPr>
        <w:t>.</w:t>
      </w:r>
      <w:r w:rsidR="00780858">
        <w:rPr>
          <w:rFonts w:asciiTheme="minorHAnsi" w:hAnsiTheme="minorHAnsi" w:cstheme="minorHAnsi"/>
        </w:rPr>
        <w:t xml:space="preserve"> </w:t>
      </w:r>
      <w:r w:rsidR="00314E01">
        <w:rPr>
          <w:rFonts w:asciiTheme="minorHAnsi" w:hAnsiTheme="minorHAnsi" w:cstheme="minorHAnsi"/>
        </w:rPr>
        <w:t xml:space="preserve">In this case, the canine patient had underlying health problems, and died soon after surgery. </w:t>
      </w:r>
      <w:r w:rsidR="00D81236">
        <w:rPr>
          <w:rFonts w:asciiTheme="minorHAnsi" w:hAnsiTheme="minorHAnsi" w:cstheme="minorHAnsi"/>
        </w:rPr>
        <w:t>T</w:t>
      </w:r>
      <w:r w:rsidR="00B9053F" w:rsidRPr="00F72F9B">
        <w:rPr>
          <w:rFonts w:asciiTheme="minorHAnsi" w:hAnsiTheme="minorHAnsi" w:cstheme="minorHAnsi"/>
        </w:rPr>
        <w:t xml:space="preserve">he </w:t>
      </w:r>
      <w:r w:rsidR="00474DAC">
        <w:rPr>
          <w:rFonts w:asciiTheme="minorHAnsi" w:hAnsiTheme="minorHAnsi" w:cstheme="minorHAnsi"/>
        </w:rPr>
        <w:t xml:space="preserve">charge </w:t>
      </w:r>
      <w:r w:rsidR="00314E01">
        <w:rPr>
          <w:rFonts w:asciiTheme="minorHAnsi" w:hAnsiTheme="minorHAnsi" w:cstheme="minorHAnsi"/>
        </w:rPr>
        <w:t xml:space="preserve">therefore </w:t>
      </w:r>
      <w:r w:rsidR="00780858">
        <w:rPr>
          <w:rFonts w:asciiTheme="minorHAnsi" w:hAnsiTheme="minorHAnsi" w:cstheme="minorHAnsi"/>
        </w:rPr>
        <w:t>required</w:t>
      </w:r>
      <w:r w:rsidR="00EE340A" w:rsidRPr="00F72F9B">
        <w:rPr>
          <w:rFonts w:asciiTheme="minorHAnsi" w:hAnsiTheme="minorHAnsi" w:cstheme="minorHAnsi"/>
        </w:rPr>
        <w:t xml:space="preserve"> that </w:t>
      </w:r>
      <w:r w:rsidR="00314E01">
        <w:rPr>
          <w:rFonts w:asciiTheme="minorHAnsi" w:hAnsiTheme="minorHAnsi" w:cstheme="minorHAnsi"/>
        </w:rPr>
        <w:t xml:space="preserve">the client should have been offered the alternative option of </w:t>
      </w:r>
      <w:r w:rsidR="00EE340A" w:rsidRPr="00F72F9B">
        <w:rPr>
          <w:rFonts w:asciiTheme="minorHAnsi" w:hAnsiTheme="minorHAnsi" w:cstheme="minorHAnsi"/>
        </w:rPr>
        <w:t xml:space="preserve">delaying </w:t>
      </w:r>
      <w:r w:rsidR="00780858">
        <w:rPr>
          <w:rFonts w:asciiTheme="minorHAnsi" w:hAnsiTheme="minorHAnsi" w:cstheme="minorHAnsi"/>
        </w:rPr>
        <w:t xml:space="preserve">the </w:t>
      </w:r>
      <w:r w:rsidR="00314E01">
        <w:rPr>
          <w:rFonts w:asciiTheme="minorHAnsi" w:hAnsiTheme="minorHAnsi" w:cstheme="minorHAnsi"/>
        </w:rPr>
        <w:t>dental</w:t>
      </w:r>
      <w:r w:rsidR="00EE340A" w:rsidRPr="00F72F9B">
        <w:rPr>
          <w:rFonts w:asciiTheme="minorHAnsi" w:hAnsiTheme="minorHAnsi" w:cstheme="minorHAnsi"/>
        </w:rPr>
        <w:t xml:space="preserve"> surgery. This was accepted by the Committee, which found that there had been inadequate discussion about delaying the surgery in view of the dog’s pre-existing health problems.</w:t>
      </w:r>
      <w:r w:rsidR="00597EE6">
        <w:rPr>
          <w:rFonts w:asciiTheme="minorHAnsi" w:hAnsiTheme="minorHAnsi" w:cstheme="minorHAnsi"/>
        </w:rPr>
        <w:t xml:space="preserve"> </w:t>
      </w:r>
      <w:r w:rsidR="00EE340A" w:rsidRPr="00F72F9B">
        <w:rPr>
          <w:rFonts w:asciiTheme="minorHAnsi" w:hAnsiTheme="minorHAnsi" w:cstheme="minorHAnsi"/>
        </w:rPr>
        <w:t xml:space="preserve">In finding </w:t>
      </w:r>
      <w:r w:rsidR="00314E01">
        <w:rPr>
          <w:rFonts w:asciiTheme="minorHAnsi" w:hAnsiTheme="minorHAnsi" w:cstheme="minorHAnsi"/>
        </w:rPr>
        <w:t>a</w:t>
      </w:r>
      <w:r w:rsidR="00EE340A" w:rsidRPr="00F72F9B">
        <w:rPr>
          <w:rFonts w:asciiTheme="minorHAnsi" w:hAnsiTheme="minorHAnsi" w:cstheme="minorHAnsi"/>
        </w:rPr>
        <w:t xml:space="preserve"> second charge</w:t>
      </w:r>
      <w:r w:rsidR="00474DAC">
        <w:rPr>
          <w:rFonts w:asciiTheme="minorHAnsi" w:hAnsiTheme="minorHAnsi" w:cstheme="minorHAnsi"/>
        </w:rPr>
        <w:t xml:space="preserve"> of</w:t>
      </w:r>
      <w:r w:rsidR="00EE340A" w:rsidRPr="00F72F9B">
        <w:rPr>
          <w:rFonts w:asciiTheme="minorHAnsi" w:hAnsiTheme="minorHAnsi" w:cstheme="minorHAnsi"/>
        </w:rPr>
        <w:t xml:space="preserve"> fail</w:t>
      </w:r>
      <w:r w:rsidR="00474DAC">
        <w:rPr>
          <w:rFonts w:asciiTheme="minorHAnsi" w:hAnsiTheme="minorHAnsi" w:cstheme="minorHAnsi"/>
        </w:rPr>
        <w:t>ure</w:t>
      </w:r>
      <w:r w:rsidR="00EE340A" w:rsidRPr="00F72F9B">
        <w:rPr>
          <w:rFonts w:asciiTheme="minorHAnsi" w:hAnsiTheme="minorHAnsi" w:cstheme="minorHAnsi"/>
        </w:rPr>
        <w:t xml:space="preserve"> to discuss risks proved, the Committee noted the failure of the consent form to make specific reference to the dental surgery itself, </w:t>
      </w:r>
      <w:r w:rsidR="00D81236">
        <w:rPr>
          <w:rFonts w:asciiTheme="minorHAnsi" w:hAnsiTheme="minorHAnsi" w:cstheme="minorHAnsi"/>
        </w:rPr>
        <w:t>or</w:t>
      </w:r>
      <w:r w:rsidR="00EE340A" w:rsidRPr="00F72F9B">
        <w:rPr>
          <w:rFonts w:asciiTheme="minorHAnsi" w:hAnsiTheme="minorHAnsi" w:cstheme="minorHAnsi"/>
        </w:rPr>
        <w:t xml:space="preserve"> to the associated particular risks of the procedure</w:t>
      </w:r>
      <w:r w:rsidR="00314E01">
        <w:rPr>
          <w:rFonts w:asciiTheme="minorHAnsi" w:hAnsiTheme="minorHAnsi" w:cstheme="minorHAnsi"/>
        </w:rPr>
        <w:t xml:space="preserve"> in the patient’s situation</w:t>
      </w:r>
      <w:r w:rsidR="00EE340A" w:rsidRPr="00F72F9B">
        <w:rPr>
          <w:rFonts w:asciiTheme="minorHAnsi" w:hAnsiTheme="minorHAnsi" w:cstheme="minorHAnsi"/>
        </w:rPr>
        <w:t>. These two charges led to the failure to obtain informed consent.</w:t>
      </w:r>
      <w:r w:rsidR="00AA45F6">
        <w:rPr>
          <w:rFonts w:asciiTheme="minorHAnsi" w:hAnsiTheme="minorHAnsi" w:cstheme="minorHAnsi"/>
        </w:rPr>
        <w:t xml:space="preserve"> </w:t>
      </w:r>
      <w:r w:rsidR="0031436D">
        <w:rPr>
          <w:rFonts w:asciiTheme="minorHAnsi" w:hAnsiTheme="minorHAnsi" w:cstheme="minorHAnsi"/>
        </w:rPr>
        <w:t xml:space="preserve">In this case, the patient’s ‘best interests’ were not </w:t>
      </w:r>
      <w:r w:rsidR="00780858">
        <w:rPr>
          <w:rFonts w:asciiTheme="minorHAnsi" w:hAnsiTheme="minorHAnsi" w:cstheme="minorHAnsi"/>
        </w:rPr>
        <w:t>considered. It could be proposed that undergoing general anaesthesia was not in the patient’s interests, however, the dog may have been in considerable pain from dental disease. These aspects were not discussed.</w:t>
      </w:r>
      <w:r w:rsidR="0031436D">
        <w:rPr>
          <w:rFonts w:asciiTheme="minorHAnsi" w:hAnsiTheme="minorHAnsi" w:cstheme="minorHAnsi"/>
        </w:rPr>
        <w:t xml:space="preserve"> The case </w:t>
      </w:r>
      <w:r w:rsidR="00780858">
        <w:rPr>
          <w:rFonts w:asciiTheme="minorHAnsi" w:hAnsiTheme="minorHAnsi" w:cstheme="minorHAnsi"/>
        </w:rPr>
        <w:t xml:space="preserve">instead </w:t>
      </w:r>
      <w:r w:rsidR="0031436D">
        <w:rPr>
          <w:rFonts w:asciiTheme="minorHAnsi" w:hAnsiTheme="minorHAnsi" w:cstheme="minorHAnsi"/>
        </w:rPr>
        <w:t>turned on the client’s interests in making an informed decision about the proposed surgery, particularly in being informed about risks and the alternative</w:t>
      </w:r>
      <w:r w:rsidR="00780858">
        <w:rPr>
          <w:rFonts w:asciiTheme="minorHAnsi" w:hAnsiTheme="minorHAnsi" w:cstheme="minorHAnsi"/>
        </w:rPr>
        <w:t xml:space="preserve"> option</w:t>
      </w:r>
      <w:r w:rsidR="0031436D">
        <w:rPr>
          <w:rFonts w:asciiTheme="minorHAnsi" w:hAnsiTheme="minorHAnsi" w:cstheme="minorHAnsi"/>
        </w:rPr>
        <w:t xml:space="preserve"> of delaying surgery.</w:t>
      </w:r>
      <w:r w:rsidR="0031436D" w:rsidRPr="0031436D">
        <w:rPr>
          <w:rFonts w:asciiTheme="minorHAnsi" w:hAnsiTheme="minorHAnsi" w:cstheme="minorHAnsi"/>
        </w:rPr>
        <w:t xml:space="preserve"> </w:t>
      </w:r>
      <w:r w:rsidR="0031436D" w:rsidRPr="00F72F9B">
        <w:rPr>
          <w:rFonts w:asciiTheme="minorHAnsi" w:hAnsiTheme="minorHAnsi" w:cstheme="minorHAnsi"/>
        </w:rPr>
        <w:t xml:space="preserve">However, the Committee found that while this </w:t>
      </w:r>
      <w:r w:rsidR="0031436D">
        <w:rPr>
          <w:rFonts w:asciiTheme="minorHAnsi" w:hAnsiTheme="minorHAnsi" w:cstheme="minorHAnsi"/>
        </w:rPr>
        <w:t xml:space="preserve">breach of the CoPC </w:t>
      </w:r>
      <w:r w:rsidR="0031436D" w:rsidRPr="00F72F9B">
        <w:rPr>
          <w:rFonts w:asciiTheme="minorHAnsi" w:hAnsiTheme="minorHAnsi" w:cstheme="minorHAnsi"/>
        </w:rPr>
        <w:t xml:space="preserve">amounted to professional misconduct, it did not amount to serious professional misconduct, therefore </w:t>
      </w:r>
      <w:r w:rsidR="00780858">
        <w:rPr>
          <w:rFonts w:asciiTheme="minorHAnsi" w:hAnsiTheme="minorHAnsi" w:cstheme="minorHAnsi"/>
        </w:rPr>
        <w:t>the veterinary surgeon</w:t>
      </w:r>
      <w:r w:rsidR="0031436D" w:rsidRPr="00F72F9B">
        <w:rPr>
          <w:rFonts w:asciiTheme="minorHAnsi" w:hAnsiTheme="minorHAnsi" w:cstheme="minorHAnsi"/>
        </w:rPr>
        <w:t xml:space="preserve"> was not guilty of disgraceful conduct in a professional respect</w:t>
      </w:r>
      <w:r w:rsidR="00780858">
        <w:rPr>
          <w:rFonts w:asciiTheme="minorHAnsi" w:hAnsiTheme="minorHAnsi" w:cstheme="minorHAnsi"/>
        </w:rPr>
        <w:t>.</w:t>
      </w:r>
    </w:p>
    <w:p w14:paraId="7F4E0FAF" w14:textId="77777777" w:rsidR="006978A2" w:rsidRPr="00F72F9B" w:rsidRDefault="006978A2" w:rsidP="00934427">
      <w:pPr>
        <w:spacing w:line="360" w:lineRule="auto"/>
        <w:rPr>
          <w:rFonts w:asciiTheme="minorHAnsi" w:hAnsiTheme="minorHAnsi" w:cstheme="minorHAnsi"/>
        </w:rPr>
      </w:pPr>
    </w:p>
    <w:p w14:paraId="70BCA3EF" w14:textId="73723F80" w:rsidR="00597EE6" w:rsidRDefault="005245E2" w:rsidP="00934427">
      <w:pPr>
        <w:spacing w:line="360" w:lineRule="auto"/>
        <w:rPr>
          <w:rFonts w:asciiTheme="minorHAnsi" w:hAnsiTheme="minorHAnsi" w:cstheme="minorHAnsi"/>
        </w:rPr>
      </w:pPr>
      <w:r w:rsidRPr="00F72F9B">
        <w:rPr>
          <w:rFonts w:asciiTheme="minorHAnsi" w:hAnsiTheme="minorHAnsi" w:cstheme="minorHAnsi"/>
          <w:b/>
        </w:rPr>
        <w:t xml:space="preserve">Case </w:t>
      </w:r>
      <w:r w:rsidR="00F61ADC">
        <w:rPr>
          <w:rFonts w:asciiTheme="minorHAnsi" w:hAnsiTheme="minorHAnsi" w:cstheme="minorHAnsi"/>
          <w:b/>
        </w:rPr>
        <w:t>4</w:t>
      </w:r>
      <w:r w:rsidRPr="00F72F9B">
        <w:rPr>
          <w:rFonts w:asciiTheme="minorHAnsi" w:hAnsiTheme="minorHAnsi" w:cstheme="minorHAnsi"/>
        </w:rPr>
        <w:t xml:space="preserve"> involved two veterinary surgeons charge</w:t>
      </w:r>
      <w:r w:rsidR="00314E01">
        <w:rPr>
          <w:rFonts w:asciiTheme="minorHAnsi" w:hAnsiTheme="minorHAnsi" w:cstheme="minorHAnsi"/>
        </w:rPr>
        <w:t>d with</w:t>
      </w:r>
      <w:r w:rsidRPr="00F72F9B">
        <w:rPr>
          <w:rFonts w:asciiTheme="minorHAnsi" w:hAnsiTheme="minorHAnsi" w:cstheme="minorHAnsi"/>
        </w:rPr>
        <w:t xml:space="preserve"> failure to obtain informed consent from the owners of a cat which suffered complications following a routine neutering </w:t>
      </w:r>
      <w:r w:rsidRPr="00F72F9B">
        <w:rPr>
          <w:rFonts w:asciiTheme="minorHAnsi" w:hAnsiTheme="minorHAnsi" w:cstheme="minorHAnsi"/>
        </w:rPr>
        <w:lastRenderedPageBreak/>
        <w:t>procedure.</w:t>
      </w:r>
      <w:r w:rsidR="00323946" w:rsidRPr="00F72F9B">
        <w:rPr>
          <w:rFonts w:asciiTheme="minorHAnsi" w:hAnsiTheme="minorHAnsi" w:cstheme="minorHAnsi"/>
        </w:rPr>
        <w:t xml:space="preserve"> Although much of the case rested on the veterinary surgeons' failure to realise that there had been a</w:t>
      </w:r>
      <w:r w:rsidR="008120AB">
        <w:rPr>
          <w:rFonts w:asciiTheme="minorHAnsi" w:hAnsiTheme="minorHAnsi" w:cstheme="minorHAnsi"/>
        </w:rPr>
        <w:t xml:space="preserve"> subsequently</w:t>
      </w:r>
      <w:r w:rsidR="00323946" w:rsidRPr="00F72F9B">
        <w:rPr>
          <w:rFonts w:asciiTheme="minorHAnsi" w:hAnsiTheme="minorHAnsi" w:cstheme="minorHAnsi"/>
        </w:rPr>
        <w:t xml:space="preserve"> fatal mistake made during surgery, there were important aspects of consent that contributed to the case. First, the owners had </w:t>
      </w:r>
      <w:r w:rsidR="00A672B9">
        <w:rPr>
          <w:rFonts w:asciiTheme="minorHAnsi" w:hAnsiTheme="minorHAnsi" w:cstheme="minorHAnsi"/>
        </w:rPr>
        <w:t>opted for</w:t>
      </w:r>
      <w:r w:rsidR="00A672B9" w:rsidRPr="00F72F9B">
        <w:rPr>
          <w:rFonts w:asciiTheme="minorHAnsi" w:hAnsiTheme="minorHAnsi" w:cstheme="minorHAnsi"/>
        </w:rPr>
        <w:t xml:space="preserve"> pre-anaesthetic blood tests </w:t>
      </w:r>
      <w:r w:rsidR="00A672B9">
        <w:rPr>
          <w:rFonts w:asciiTheme="minorHAnsi" w:hAnsiTheme="minorHAnsi" w:cstheme="minorHAnsi"/>
        </w:rPr>
        <w:t xml:space="preserve">and </w:t>
      </w:r>
      <w:r w:rsidR="00A672B9" w:rsidRPr="00F72F9B">
        <w:rPr>
          <w:rFonts w:asciiTheme="minorHAnsi" w:hAnsiTheme="minorHAnsi" w:cstheme="minorHAnsi"/>
        </w:rPr>
        <w:t xml:space="preserve">intravenous fluids </w:t>
      </w:r>
      <w:r w:rsidR="00323946" w:rsidRPr="00F72F9B">
        <w:rPr>
          <w:rFonts w:asciiTheme="minorHAnsi" w:hAnsiTheme="minorHAnsi" w:cstheme="minorHAnsi"/>
        </w:rPr>
        <w:t xml:space="preserve">on consent forms signed before </w:t>
      </w:r>
      <w:r w:rsidR="00474DAC">
        <w:rPr>
          <w:rFonts w:asciiTheme="minorHAnsi" w:hAnsiTheme="minorHAnsi" w:cstheme="minorHAnsi"/>
        </w:rPr>
        <w:t>both surgeries</w:t>
      </w:r>
      <w:r w:rsidR="00323946" w:rsidRPr="00F72F9B">
        <w:rPr>
          <w:rFonts w:asciiTheme="minorHAnsi" w:hAnsiTheme="minorHAnsi" w:cstheme="minorHAnsi"/>
        </w:rPr>
        <w:t xml:space="preserve">, but these </w:t>
      </w:r>
      <w:r w:rsidR="007A50EA" w:rsidRPr="00F72F9B">
        <w:rPr>
          <w:rFonts w:asciiTheme="minorHAnsi" w:hAnsiTheme="minorHAnsi" w:cstheme="minorHAnsi"/>
        </w:rPr>
        <w:t xml:space="preserve">procedures </w:t>
      </w:r>
      <w:r w:rsidR="00323946" w:rsidRPr="00F72F9B">
        <w:rPr>
          <w:rFonts w:asciiTheme="minorHAnsi" w:hAnsiTheme="minorHAnsi" w:cstheme="minorHAnsi"/>
        </w:rPr>
        <w:t xml:space="preserve">were not carried out </w:t>
      </w:r>
      <w:r w:rsidR="00A672B9">
        <w:rPr>
          <w:rFonts w:asciiTheme="minorHAnsi" w:hAnsiTheme="minorHAnsi" w:cstheme="minorHAnsi"/>
        </w:rPr>
        <w:t>for</w:t>
      </w:r>
      <w:r w:rsidR="00323946" w:rsidRPr="00F72F9B">
        <w:rPr>
          <w:rFonts w:asciiTheme="minorHAnsi" w:hAnsiTheme="minorHAnsi" w:cstheme="minorHAnsi"/>
        </w:rPr>
        <w:t xml:space="preserve"> either </w:t>
      </w:r>
      <w:r w:rsidR="00A672B9">
        <w:rPr>
          <w:rFonts w:asciiTheme="minorHAnsi" w:hAnsiTheme="minorHAnsi" w:cstheme="minorHAnsi"/>
        </w:rPr>
        <w:t>surgery</w:t>
      </w:r>
      <w:r w:rsidR="00323946" w:rsidRPr="00F72F9B">
        <w:rPr>
          <w:rFonts w:asciiTheme="minorHAnsi" w:hAnsiTheme="minorHAnsi" w:cstheme="minorHAnsi"/>
        </w:rPr>
        <w:t xml:space="preserve"> (</w:t>
      </w:r>
      <w:r w:rsidR="00A672B9">
        <w:rPr>
          <w:rFonts w:asciiTheme="minorHAnsi" w:hAnsiTheme="minorHAnsi" w:cstheme="minorHAnsi"/>
        </w:rPr>
        <w:t>o</w:t>
      </w:r>
      <w:r w:rsidR="00323946" w:rsidRPr="00F72F9B">
        <w:rPr>
          <w:rFonts w:asciiTheme="minorHAnsi" w:hAnsiTheme="minorHAnsi" w:cstheme="minorHAnsi"/>
        </w:rPr>
        <w:t xml:space="preserve">n the second </w:t>
      </w:r>
      <w:r w:rsidR="00A672B9">
        <w:rPr>
          <w:rFonts w:asciiTheme="minorHAnsi" w:hAnsiTheme="minorHAnsi" w:cstheme="minorHAnsi"/>
        </w:rPr>
        <w:t>occasion</w:t>
      </w:r>
      <w:r w:rsidR="00323946" w:rsidRPr="00F72F9B">
        <w:rPr>
          <w:rFonts w:asciiTheme="minorHAnsi" w:hAnsiTheme="minorHAnsi" w:cstheme="minorHAnsi"/>
        </w:rPr>
        <w:t xml:space="preserve">, </w:t>
      </w:r>
      <w:r w:rsidR="007A50EA" w:rsidRPr="00F72F9B">
        <w:rPr>
          <w:rFonts w:asciiTheme="minorHAnsi" w:hAnsiTheme="minorHAnsi" w:cstheme="minorHAnsi"/>
        </w:rPr>
        <w:t xml:space="preserve">blood tests </w:t>
      </w:r>
      <w:r w:rsidR="00323946" w:rsidRPr="00F72F9B">
        <w:rPr>
          <w:rFonts w:asciiTheme="minorHAnsi" w:hAnsiTheme="minorHAnsi" w:cstheme="minorHAnsi"/>
        </w:rPr>
        <w:t xml:space="preserve">would have indicated the presence of disastrous kidney </w:t>
      </w:r>
      <w:r w:rsidR="00D81236">
        <w:rPr>
          <w:rFonts w:asciiTheme="minorHAnsi" w:hAnsiTheme="minorHAnsi" w:cstheme="minorHAnsi"/>
        </w:rPr>
        <w:t>injury</w:t>
      </w:r>
      <w:r w:rsidR="00323946" w:rsidRPr="00F72F9B">
        <w:rPr>
          <w:rFonts w:asciiTheme="minorHAnsi" w:hAnsiTheme="minorHAnsi" w:cstheme="minorHAnsi"/>
        </w:rPr>
        <w:t xml:space="preserve">). </w:t>
      </w:r>
      <w:r w:rsidR="006B6778">
        <w:rPr>
          <w:rFonts w:asciiTheme="minorHAnsi" w:hAnsiTheme="minorHAnsi" w:cstheme="minorHAnsi"/>
        </w:rPr>
        <w:t>Next, t</w:t>
      </w:r>
      <w:r w:rsidR="00323946" w:rsidRPr="00F72F9B">
        <w:rPr>
          <w:rFonts w:asciiTheme="minorHAnsi" w:hAnsiTheme="minorHAnsi" w:cstheme="minorHAnsi"/>
        </w:rPr>
        <w:t xml:space="preserve">he </w:t>
      </w:r>
      <w:r w:rsidR="00D81236">
        <w:rPr>
          <w:rFonts w:asciiTheme="minorHAnsi" w:hAnsiTheme="minorHAnsi" w:cstheme="minorHAnsi"/>
        </w:rPr>
        <w:t xml:space="preserve">second </w:t>
      </w:r>
      <w:r w:rsidR="00323946" w:rsidRPr="00F72F9B">
        <w:rPr>
          <w:rFonts w:asciiTheme="minorHAnsi" w:hAnsiTheme="minorHAnsi" w:cstheme="minorHAnsi"/>
        </w:rPr>
        <w:t>surgery was identified as</w:t>
      </w:r>
      <w:r w:rsidR="006933E2">
        <w:rPr>
          <w:rFonts w:asciiTheme="minorHAnsi" w:hAnsiTheme="minorHAnsi" w:cstheme="minorHAnsi"/>
        </w:rPr>
        <w:t xml:space="preserve"> a</w:t>
      </w:r>
      <w:r w:rsidR="00323946" w:rsidRPr="00F72F9B">
        <w:rPr>
          <w:rFonts w:asciiTheme="minorHAnsi" w:hAnsiTheme="minorHAnsi" w:cstheme="minorHAnsi"/>
        </w:rPr>
        <w:t xml:space="preserve"> "hernia repair" when the cat was </w:t>
      </w:r>
      <w:r w:rsidR="00D81236">
        <w:rPr>
          <w:rFonts w:asciiTheme="minorHAnsi" w:hAnsiTheme="minorHAnsi" w:cstheme="minorHAnsi"/>
        </w:rPr>
        <w:t xml:space="preserve">in fact </w:t>
      </w:r>
      <w:r w:rsidR="00323946" w:rsidRPr="00F72F9B">
        <w:rPr>
          <w:rFonts w:asciiTheme="minorHAnsi" w:hAnsiTheme="minorHAnsi" w:cstheme="minorHAnsi"/>
        </w:rPr>
        <w:t>suffering from blocked ureters</w:t>
      </w:r>
      <w:r w:rsidR="0059499D">
        <w:rPr>
          <w:rStyle w:val="FootnoteReference"/>
          <w:rFonts w:cstheme="minorHAnsi"/>
        </w:rPr>
        <w:footnoteReference w:id="44"/>
      </w:r>
      <w:r w:rsidR="00323946" w:rsidRPr="00F72F9B">
        <w:rPr>
          <w:rFonts w:asciiTheme="minorHAnsi" w:hAnsiTheme="minorHAnsi" w:cstheme="minorHAnsi"/>
        </w:rPr>
        <w:t xml:space="preserve"> due to </w:t>
      </w:r>
      <w:r w:rsidR="0059499D">
        <w:rPr>
          <w:rFonts w:asciiTheme="minorHAnsi" w:hAnsiTheme="minorHAnsi" w:cstheme="minorHAnsi"/>
        </w:rPr>
        <w:t xml:space="preserve">a </w:t>
      </w:r>
      <w:r w:rsidR="00D81236">
        <w:rPr>
          <w:rFonts w:asciiTheme="minorHAnsi" w:hAnsiTheme="minorHAnsi" w:cstheme="minorHAnsi"/>
        </w:rPr>
        <w:t xml:space="preserve">serious mistake </w:t>
      </w:r>
      <w:r w:rsidR="003F6478">
        <w:rPr>
          <w:rFonts w:asciiTheme="minorHAnsi" w:hAnsiTheme="minorHAnsi" w:cstheme="minorHAnsi"/>
        </w:rPr>
        <w:t xml:space="preserve">made </w:t>
      </w:r>
      <w:r w:rsidR="00D81236">
        <w:rPr>
          <w:rFonts w:asciiTheme="minorHAnsi" w:hAnsiTheme="minorHAnsi" w:cstheme="minorHAnsi"/>
        </w:rPr>
        <w:t xml:space="preserve">during </w:t>
      </w:r>
      <w:r w:rsidR="00323946" w:rsidRPr="00F72F9B">
        <w:rPr>
          <w:rFonts w:asciiTheme="minorHAnsi" w:hAnsiTheme="minorHAnsi" w:cstheme="minorHAnsi"/>
        </w:rPr>
        <w:t>the initial neutering surgery.</w:t>
      </w:r>
      <w:r w:rsidR="007A50EA" w:rsidRPr="00F72F9B">
        <w:rPr>
          <w:rFonts w:asciiTheme="minorHAnsi" w:hAnsiTheme="minorHAnsi" w:cstheme="minorHAnsi"/>
        </w:rPr>
        <w:t xml:space="preserve"> </w:t>
      </w:r>
      <w:r w:rsidR="006B6778">
        <w:rPr>
          <w:rFonts w:asciiTheme="minorHAnsi" w:hAnsiTheme="minorHAnsi" w:cstheme="minorHAnsi"/>
        </w:rPr>
        <w:t>Finally, d</w:t>
      </w:r>
      <w:r w:rsidR="00A672B9">
        <w:rPr>
          <w:rFonts w:asciiTheme="minorHAnsi" w:hAnsiTheme="minorHAnsi" w:cstheme="minorHAnsi"/>
        </w:rPr>
        <w:t>uring the hearing</w:t>
      </w:r>
      <w:r w:rsidR="00D81236">
        <w:rPr>
          <w:rFonts w:asciiTheme="minorHAnsi" w:hAnsiTheme="minorHAnsi" w:cstheme="minorHAnsi"/>
        </w:rPr>
        <w:t>, i</w:t>
      </w:r>
      <w:r w:rsidR="00211367">
        <w:rPr>
          <w:rFonts w:asciiTheme="minorHAnsi" w:hAnsiTheme="minorHAnsi" w:cstheme="minorHAnsi"/>
        </w:rPr>
        <w:t>t came to light that</w:t>
      </w:r>
      <w:r w:rsidR="007A50EA" w:rsidRPr="00F72F9B">
        <w:rPr>
          <w:rFonts w:asciiTheme="minorHAnsi" w:hAnsiTheme="minorHAnsi" w:cstheme="minorHAnsi"/>
        </w:rPr>
        <w:t xml:space="preserve"> </w:t>
      </w:r>
      <w:r w:rsidR="006B6778">
        <w:rPr>
          <w:rFonts w:asciiTheme="minorHAnsi" w:hAnsiTheme="minorHAnsi" w:cstheme="minorHAnsi"/>
        </w:rPr>
        <w:t xml:space="preserve">the </w:t>
      </w:r>
      <w:r w:rsidR="007A50EA" w:rsidRPr="00F72F9B">
        <w:rPr>
          <w:rFonts w:asciiTheme="minorHAnsi" w:hAnsiTheme="minorHAnsi" w:cstheme="minorHAnsi"/>
        </w:rPr>
        <w:t>admi</w:t>
      </w:r>
      <w:r w:rsidR="00A672B9">
        <w:rPr>
          <w:rFonts w:asciiTheme="minorHAnsi" w:hAnsiTheme="minorHAnsi" w:cstheme="minorHAnsi"/>
        </w:rPr>
        <w:t>ssion</w:t>
      </w:r>
      <w:r w:rsidR="006B6778">
        <w:rPr>
          <w:rFonts w:asciiTheme="minorHAnsi" w:hAnsiTheme="minorHAnsi" w:cstheme="minorHAnsi"/>
        </w:rPr>
        <w:t xml:space="preserve"> and </w:t>
      </w:r>
      <w:r w:rsidR="00A672B9">
        <w:rPr>
          <w:rFonts w:asciiTheme="minorHAnsi" w:hAnsiTheme="minorHAnsi" w:cstheme="minorHAnsi"/>
        </w:rPr>
        <w:t>consent</w:t>
      </w:r>
      <w:r w:rsidR="006B6778">
        <w:rPr>
          <w:rFonts w:asciiTheme="minorHAnsi" w:hAnsiTheme="minorHAnsi" w:cstheme="minorHAnsi"/>
        </w:rPr>
        <w:t xml:space="preserve"> process</w:t>
      </w:r>
      <w:r w:rsidR="007A50EA" w:rsidRPr="00F72F9B">
        <w:rPr>
          <w:rFonts w:asciiTheme="minorHAnsi" w:hAnsiTheme="minorHAnsi" w:cstheme="minorHAnsi"/>
        </w:rPr>
        <w:t xml:space="preserve"> for </w:t>
      </w:r>
      <w:r w:rsidR="00474DAC">
        <w:rPr>
          <w:rFonts w:asciiTheme="minorHAnsi" w:hAnsiTheme="minorHAnsi" w:cstheme="minorHAnsi"/>
        </w:rPr>
        <w:t>the routine neutering surgery</w:t>
      </w:r>
      <w:r w:rsidR="00A672B9">
        <w:rPr>
          <w:rFonts w:asciiTheme="minorHAnsi" w:hAnsiTheme="minorHAnsi" w:cstheme="minorHAnsi"/>
        </w:rPr>
        <w:t xml:space="preserve"> w</w:t>
      </w:r>
      <w:r w:rsidR="006B6778">
        <w:rPr>
          <w:rFonts w:asciiTheme="minorHAnsi" w:hAnsiTheme="minorHAnsi" w:cstheme="minorHAnsi"/>
        </w:rPr>
        <w:t>ere</w:t>
      </w:r>
      <w:r w:rsidR="00A672B9">
        <w:rPr>
          <w:rFonts w:asciiTheme="minorHAnsi" w:hAnsiTheme="minorHAnsi" w:cstheme="minorHAnsi"/>
        </w:rPr>
        <w:t xml:space="preserve"> performed by </w:t>
      </w:r>
      <w:r w:rsidR="007A50EA" w:rsidRPr="00F72F9B">
        <w:rPr>
          <w:rFonts w:asciiTheme="minorHAnsi" w:hAnsiTheme="minorHAnsi" w:cstheme="minorHAnsi"/>
        </w:rPr>
        <w:t xml:space="preserve">a receptionist. The veterinary surgeon who performed both </w:t>
      </w:r>
      <w:r w:rsidR="00A672B9">
        <w:rPr>
          <w:rFonts w:asciiTheme="minorHAnsi" w:hAnsiTheme="minorHAnsi" w:cstheme="minorHAnsi"/>
        </w:rPr>
        <w:t>procedures</w:t>
      </w:r>
      <w:r w:rsidR="007A50EA" w:rsidRPr="00F72F9B">
        <w:rPr>
          <w:rFonts w:asciiTheme="minorHAnsi" w:hAnsiTheme="minorHAnsi" w:cstheme="minorHAnsi"/>
        </w:rPr>
        <w:t xml:space="preserve"> admitted not reading the consent forms before commencing surgery, and was found guilty of failing to obtain the owners' informed consent to the second surgery on the basis of failing to take a medical history </w:t>
      </w:r>
      <w:r w:rsidR="00211367">
        <w:rPr>
          <w:rFonts w:asciiTheme="minorHAnsi" w:hAnsiTheme="minorHAnsi" w:cstheme="minorHAnsi"/>
        </w:rPr>
        <w:t>and to</w:t>
      </w:r>
      <w:r w:rsidR="007A50EA" w:rsidRPr="00F72F9B">
        <w:rPr>
          <w:rFonts w:asciiTheme="minorHAnsi" w:hAnsiTheme="minorHAnsi" w:cstheme="minorHAnsi"/>
        </w:rPr>
        <w:t xml:space="preserve"> assess the cat's condition before commencing the surgery</w:t>
      </w:r>
      <w:r w:rsidR="00BA5540" w:rsidRPr="00F72F9B">
        <w:rPr>
          <w:rFonts w:asciiTheme="minorHAnsi" w:hAnsiTheme="minorHAnsi" w:cstheme="minorHAnsi"/>
        </w:rPr>
        <w:t>.</w:t>
      </w:r>
      <w:r w:rsidR="00F5221C">
        <w:rPr>
          <w:rFonts w:asciiTheme="minorHAnsi" w:hAnsiTheme="minorHAnsi" w:cstheme="minorHAnsi"/>
        </w:rPr>
        <w:t xml:space="preserve"> </w:t>
      </w:r>
      <w:r w:rsidR="00BA5540" w:rsidRPr="00F72F9B">
        <w:rPr>
          <w:rFonts w:asciiTheme="minorHAnsi" w:hAnsiTheme="minorHAnsi" w:cstheme="minorHAnsi"/>
        </w:rPr>
        <w:t xml:space="preserve">The second veterinary surgeon had </w:t>
      </w:r>
      <w:r w:rsidR="00A672B9">
        <w:rPr>
          <w:rFonts w:asciiTheme="minorHAnsi" w:hAnsiTheme="minorHAnsi" w:cstheme="minorHAnsi"/>
        </w:rPr>
        <w:t>supervised both surgeries</w:t>
      </w:r>
      <w:r w:rsidR="00F3544B">
        <w:rPr>
          <w:rFonts w:asciiTheme="minorHAnsi" w:hAnsiTheme="minorHAnsi" w:cstheme="minorHAnsi"/>
        </w:rPr>
        <w:t xml:space="preserve"> and</w:t>
      </w:r>
      <w:r w:rsidR="00BA5540" w:rsidRPr="00F72F9B">
        <w:rPr>
          <w:rFonts w:asciiTheme="minorHAnsi" w:hAnsiTheme="minorHAnsi" w:cstheme="minorHAnsi"/>
        </w:rPr>
        <w:t xml:space="preserve"> communicat</w:t>
      </w:r>
      <w:r w:rsidR="00AA035E">
        <w:rPr>
          <w:rFonts w:asciiTheme="minorHAnsi" w:hAnsiTheme="minorHAnsi" w:cstheme="minorHAnsi"/>
        </w:rPr>
        <w:t>ed</w:t>
      </w:r>
      <w:r w:rsidR="00BA5540" w:rsidRPr="00F72F9B">
        <w:rPr>
          <w:rFonts w:asciiTheme="minorHAnsi" w:hAnsiTheme="minorHAnsi" w:cstheme="minorHAnsi"/>
        </w:rPr>
        <w:t xml:space="preserve"> with the owners on several occasions</w:t>
      </w:r>
      <w:r w:rsidR="00F3544B">
        <w:rPr>
          <w:rFonts w:asciiTheme="minorHAnsi" w:hAnsiTheme="minorHAnsi" w:cstheme="minorHAnsi"/>
        </w:rPr>
        <w:t>.</w:t>
      </w:r>
      <w:r w:rsidR="00474DAC">
        <w:rPr>
          <w:rFonts w:asciiTheme="minorHAnsi" w:hAnsiTheme="minorHAnsi" w:cstheme="minorHAnsi"/>
        </w:rPr>
        <w:t xml:space="preserve"> </w:t>
      </w:r>
      <w:r w:rsidR="00F3544B">
        <w:rPr>
          <w:rFonts w:asciiTheme="minorHAnsi" w:hAnsiTheme="minorHAnsi" w:cstheme="minorHAnsi"/>
        </w:rPr>
        <w:t>He</w:t>
      </w:r>
      <w:r w:rsidR="00BA5540" w:rsidRPr="00F72F9B">
        <w:rPr>
          <w:rFonts w:asciiTheme="minorHAnsi" w:hAnsiTheme="minorHAnsi" w:cstheme="minorHAnsi"/>
        </w:rPr>
        <w:t xml:space="preserve"> was found guilty of failing to obtain the owners' consent for overnight hospitalisation of the cat</w:t>
      </w:r>
      <w:r w:rsidR="00F3544B">
        <w:rPr>
          <w:rFonts w:asciiTheme="minorHAnsi" w:hAnsiTheme="minorHAnsi" w:cstheme="minorHAnsi"/>
        </w:rPr>
        <w:t xml:space="preserve"> and</w:t>
      </w:r>
      <w:r w:rsidR="00BA5540" w:rsidRPr="00F72F9B">
        <w:rPr>
          <w:rFonts w:asciiTheme="minorHAnsi" w:hAnsiTheme="minorHAnsi" w:cstheme="minorHAnsi"/>
        </w:rPr>
        <w:t xml:space="preserve"> </w:t>
      </w:r>
      <w:r w:rsidR="00A672B9">
        <w:rPr>
          <w:rFonts w:asciiTheme="minorHAnsi" w:hAnsiTheme="minorHAnsi" w:cstheme="minorHAnsi"/>
        </w:rPr>
        <w:t xml:space="preserve">failing to disclose that </w:t>
      </w:r>
      <w:r w:rsidR="00BA5540" w:rsidRPr="00F72F9B">
        <w:rPr>
          <w:rFonts w:asciiTheme="minorHAnsi" w:hAnsiTheme="minorHAnsi" w:cstheme="minorHAnsi"/>
        </w:rPr>
        <w:t>she w</w:t>
      </w:r>
      <w:r w:rsidR="00A672B9">
        <w:rPr>
          <w:rFonts w:asciiTheme="minorHAnsi" w:hAnsiTheme="minorHAnsi" w:cstheme="minorHAnsi"/>
        </w:rPr>
        <w:t>ould be</w:t>
      </w:r>
      <w:r w:rsidR="00BA5540" w:rsidRPr="00F72F9B">
        <w:rPr>
          <w:rFonts w:asciiTheme="minorHAnsi" w:hAnsiTheme="minorHAnsi" w:cstheme="minorHAnsi"/>
        </w:rPr>
        <w:t xml:space="preserve"> left on intravenous fluids</w:t>
      </w:r>
      <w:r w:rsidR="008120AB">
        <w:rPr>
          <w:rFonts w:asciiTheme="minorHAnsi" w:hAnsiTheme="minorHAnsi" w:cstheme="minorHAnsi"/>
        </w:rPr>
        <w:t xml:space="preserve"> overnight</w:t>
      </w:r>
      <w:r w:rsidR="00BA5540" w:rsidRPr="00F72F9B">
        <w:rPr>
          <w:rFonts w:asciiTheme="minorHAnsi" w:hAnsiTheme="minorHAnsi" w:cstheme="minorHAnsi"/>
        </w:rPr>
        <w:t xml:space="preserve"> with no supervision.</w:t>
      </w:r>
      <w:r w:rsidR="00F5221C">
        <w:rPr>
          <w:rFonts w:asciiTheme="minorHAnsi" w:hAnsiTheme="minorHAnsi" w:cstheme="minorHAnsi"/>
        </w:rPr>
        <w:t xml:space="preserve"> </w:t>
      </w:r>
      <w:r w:rsidR="00BA5540" w:rsidRPr="006933E2">
        <w:rPr>
          <w:rFonts w:asciiTheme="minorHAnsi" w:hAnsiTheme="minorHAnsi" w:cstheme="minorHAnsi"/>
        </w:rPr>
        <w:t xml:space="preserve">The first veterinary surgeon received a reprimand, with evidence that he had been open and honest, shown insight into his behaviour and </w:t>
      </w:r>
      <w:r w:rsidR="00BA5540" w:rsidRPr="006933E2">
        <w:rPr>
          <w:rFonts w:asciiTheme="minorHAnsi" w:hAnsiTheme="minorHAnsi" w:cstheme="minorHAnsi"/>
          <w:i/>
          <w:iCs/>
        </w:rPr>
        <w:t>"</w:t>
      </w:r>
      <w:r w:rsidR="006933E2" w:rsidRPr="006933E2">
        <w:rPr>
          <w:rFonts w:asciiTheme="minorHAnsi" w:hAnsiTheme="minorHAnsi" w:cstheme="minorHAnsi"/>
          <w:i/>
          <w:iCs/>
        </w:rPr>
        <w:t xml:space="preserve"> learned from his mistakes, matured in his practice and shown he is most unlikely to repeat his conduct</w:t>
      </w:r>
      <w:r w:rsidR="006933E2">
        <w:rPr>
          <w:rFonts w:asciiTheme="minorHAnsi" w:hAnsiTheme="minorHAnsi" w:cstheme="minorHAnsi"/>
          <w:i/>
          <w:iCs/>
        </w:rPr>
        <w:t>."</w:t>
      </w:r>
      <w:r w:rsidR="006933E2" w:rsidRPr="006933E2">
        <w:rPr>
          <w:rStyle w:val="FootnoteReference"/>
          <w:rFonts w:cstheme="minorHAnsi"/>
        </w:rPr>
        <w:footnoteReference w:id="45"/>
      </w:r>
      <w:r w:rsidR="006933E2" w:rsidRPr="006933E2">
        <w:rPr>
          <w:rFonts w:asciiTheme="minorHAnsi" w:hAnsiTheme="minorHAnsi" w:cstheme="minorHAnsi"/>
          <w:i/>
          <w:iCs/>
        </w:rPr>
        <w:t xml:space="preserve"> </w:t>
      </w:r>
      <w:r w:rsidR="00BA5540" w:rsidRPr="00F72F9B">
        <w:rPr>
          <w:rFonts w:asciiTheme="minorHAnsi" w:hAnsiTheme="minorHAnsi" w:cstheme="minorHAnsi"/>
        </w:rPr>
        <w:t>The second veterinary surgeon, however,</w:t>
      </w:r>
      <w:r w:rsidR="00020142" w:rsidRPr="00F72F9B">
        <w:rPr>
          <w:rFonts w:asciiTheme="minorHAnsi" w:hAnsiTheme="minorHAnsi" w:cstheme="minorHAnsi"/>
        </w:rPr>
        <w:t xml:space="preserve"> had made the </w:t>
      </w:r>
      <w:r w:rsidR="00211367">
        <w:rPr>
          <w:rFonts w:asciiTheme="minorHAnsi" w:hAnsiTheme="minorHAnsi" w:cstheme="minorHAnsi"/>
        </w:rPr>
        <w:t xml:space="preserve">subsequently </w:t>
      </w:r>
      <w:r w:rsidR="00020142" w:rsidRPr="00F72F9B">
        <w:rPr>
          <w:rFonts w:asciiTheme="minorHAnsi" w:hAnsiTheme="minorHAnsi" w:cstheme="minorHAnsi"/>
        </w:rPr>
        <w:t>fatal mistake of placing the cat on fluids overnight with no supervision</w:t>
      </w:r>
      <w:r w:rsidR="006B6778">
        <w:rPr>
          <w:rFonts w:asciiTheme="minorHAnsi" w:hAnsiTheme="minorHAnsi" w:cstheme="minorHAnsi"/>
        </w:rPr>
        <w:t>; he</w:t>
      </w:r>
      <w:r w:rsidR="00020142" w:rsidRPr="00F72F9B">
        <w:rPr>
          <w:rFonts w:asciiTheme="minorHAnsi" w:hAnsiTheme="minorHAnsi" w:cstheme="minorHAnsi"/>
        </w:rPr>
        <w:t xml:space="preserve"> was suspended from the Register for a period of four months.</w:t>
      </w:r>
      <w:r w:rsidR="00603936">
        <w:rPr>
          <w:rFonts w:asciiTheme="minorHAnsi" w:hAnsiTheme="minorHAnsi" w:cstheme="minorHAnsi"/>
        </w:rPr>
        <w:t xml:space="preserve"> </w:t>
      </w:r>
      <w:r w:rsidR="00DE444C">
        <w:rPr>
          <w:rFonts w:asciiTheme="minorHAnsi" w:hAnsiTheme="minorHAnsi" w:cstheme="minorHAnsi"/>
        </w:rPr>
        <w:t>T</w:t>
      </w:r>
      <w:r w:rsidR="00603936">
        <w:rPr>
          <w:rFonts w:asciiTheme="minorHAnsi" w:hAnsiTheme="minorHAnsi" w:cstheme="minorHAnsi"/>
        </w:rPr>
        <w:t xml:space="preserve">he </w:t>
      </w:r>
      <w:r w:rsidR="00DE444C">
        <w:rPr>
          <w:rFonts w:asciiTheme="minorHAnsi" w:hAnsiTheme="minorHAnsi" w:cstheme="minorHAnsi"/>
        </w:rPr>
        <w:t>debate over</w:t>
      </w:r>
      <w:r w:rsidR="00603936">
        <w:rPr>
          <w:rFonts w:asciiTheme="minorHAnsi" w:hAnsiTheme="minorHAnsi" w:cstheme="minorHAnsi"/>
        </w:rPr>
        <w:t xml:space="preserve"> whose interests were prioritised in this case </w:t>
      </w:r>
      <w:r w:rsidR="00DE444C">
        <w:rPr>
          <w:rFonts w:asciiTheme="minorHAnsi" w:hAnsiTheme="minorHAnsi" w:cstheme="minorHAnsi"/>
        </w:rPr>
        <w:t xml:space="preserve">will be addressed </w:t>
      </w:r>
      <w:r w:rsidR="00354F92">
        <w:rPr>
          <w:rFonts w:asciiTheme="minorHAnsi" w:hAnsiTheme="minorHAnsi" w:cstheme="minorHAnsi"/>
        </w:rPr>
        <w:t>in the discussion</w:t>
      </w:r>
      <w:r w:rsidR="00603936">
        <w:rPr>
          <w:rFonts w:asciiTheme="minorHAnsi" w:hAnsiTheme="minorHAnsi" w:cstheme="minorHAnsi"/>
        </w:rPr>
        <w:t>.</w:t>
      </w:r>
    </w:p>
    <w:p w14:paraId="0FE9EF4E" w14:textId="77777777" w:rsidR="006978A2" w:rsidRPr="00F72F9B" w:rsidRDefault="006978A2" w:rsidP="00934427">
      <w:pPr>
        <w:spacing w:line="360" w:lineRule="auto"/>
        <w:rPr>
          <w:rFonts w:asciiTheme="minorHAnsi" w:hAnsiTheme="minorHAnsi" w:cstheme="minorHAnsi"/>
        </w:rPr>
      </w:pPr>
    </w:p>
    <w:p w14:paraId="1C8E30F8" w14:textId="6CD01C71" w:rsidR="00BA1008" w:rsidRDefault="00020142" w:rsidP="00934427">
      <w:pPr>
        <w:spacing w:line="360" w:lineRule="auto"/>
        <w:rPr>
          <w:rFonts w:asciiTheme="minorHAnsi" w:hAnsiTheme="minorHAnsi" w:cstheme="minorHAnsi"/>
        </w:rPr>
      </w:pPr>
      <w:r w:rsidRPr="00F72F9B">
        <w:rPr>
          <w:rFonts w:asciiTheme="minorHAnsi" w:hAnsiTheme="minorHAnsi" w:cstheme="minorHAnsi"/>
          <w:b/>
          <w:bCs/>
        </w:rPr>
        <w:t xml:space="preserve">Case </w:t>
      </w:r>
      <w:r w:rsidR="00F61ADC">
        <w:rPr>
          <w:rFonts w:asciiTheme="minorHAnsi" w:hAnsiTheme="minorHAnsi" w:cstheme="minorHAnsi"/>
          <w:b/>
          <w:bCs/>
        </w:rPr>
        <w:t>5</w:t>
      </w:r>
      <w:r w:rsidRPr="00F72F9B">
        <w:rPr>
          <w:rFonts w:asciiTheme="minorHAnsi" w:hAnsiTheme="minorHAnsi" w:cstheme="minorHAnsi"/>
          <w:b/>
          <w:bCs/>
        </w:rPr>
        <w:t xml:space="preserve"> </w:t>
      </w:r>
      <w:r w:rsidR="00A672B9" w:rsidRPr="00A672B9">
        <w:rPr>
          <w:rFonts w:asciiTheme="minorHAnsi" w:hAnsiTheme="minorHAnsi" w:cstheme="minorHAnsi"/>
        </w:rPr>
        <w:t>also</w:t>
      </w:r>
      <w:r w:rsidR="00A672B9">
        <w:rPr>
          <w:rFonts w:asciiTheme="minorHAnsi" w:hAnsiTheme="minorHAnsi" w:cstheme="minorHAnsi"/>
          <w:b/>
          <w:bCs/>
        </w:rPr>
        <w:t xml:space="preserve"> </w:t>
      </w:r>
      <w:r w:rsidRPr="00F72F9B">
        <w:rPr>
          <w:rFonts w:asciiTheme="minorHAnsi" w:hAnsiTheme="minorHAnsi" w:cstheme="minorHAnsi"/>
        </w:rPr>
        <w:t>involved overnight care</w:t>
      </w:r>
      <w:r w:rsidR="00A672B9">
        <w:rPr>
          <w:rFonts w:asciiTheme="minorHAnsi" w:hAnsiTheme="minorHAnsi" w:cstheme="minorHAnsi"/>
        </w:rPr>
        <w:t>, this time</w:t>
      </w:r>
      <w:r w:rsidRPr="00F72F9B">
        <w:rPr>
          <w:rFonts w:asciiTheme="minorHAnsi" w:hAnsiTheme="minorHAnsi" w:cstheme="minorHAnsi"/>
        </w:rPr>
        <w:t xml:space="preserve"> of a canine patient following surgery to correct a gastric dilation-volvulus</w:t>
      </w:r>
      <w:r w:rsidR="0059499D">
        <w:rPr>
          <w:rFonts w:asciiTheme="minorHAnsi" w:hAnsiTheme="minorHAnsi" w:cstheme="minorHAnsi"/>
        </w:rPr>
        <w:t>.</w:t>
      </w:r>
      <w:r w:rsidR="0059499D">
        <w:rPr>
          <w:rStyle w:val="FootnoteReference"/>
          <w:rFonts w:cstheme="minorHAnsi"/>
        </w:rPr>
        <w:footnoteReference w:id="46"/>
      </w:r>
      <w:r w:rsidRPr="00F72F9B">
        <w:rPr>
          <w:rFonts w:asciiTheme="minorHAnsi" w:hAnsiTheme="minorHAnsi" w:cstheme="minorHAnsi"/>
        </w:rPr>
        <w:t xml:space="preserve">  </w:t>
      </w:r>
      <w:r w:rsidR="00A64A94">
        <w:rPr>
          <w:rFonts w:asciiTheme="minorHAnsi" w:hAnsiTheme="minorHAnsi" w:cstheme="minorHAnsi"/>
        </w:rPr>
        <w:t>Both t</w:t>
      </w:r>
      <w:r w:rsidRPr="00F72F9B">
        <w:rPr>
          <w:rFonts w:asciiTheme="minorHAnsi" w:hAnsiTheme="minorHAnsi" w:cstheme="minorHAnsi"/>
        </w:rPr>
        <w:t>he practice owner, a veterinary surgeon, and the assistant veterinary surgeon who performed the surgery were charged</w:t>
      </w:r>
      <w:r w:rsidR="00AC3D41">
        <w:rPr>
          <w:rFonts w:asciiTheme="minorHAnsi" w:hAnsiTheme="minorHAnsi" w:cstheme="minorHAnsi"/>
        </w:rPr>
        <w:t xml:space="preserve">. The practice owner </w:t>
      </w:r>
      <w:r w:rsidR="00AC3D41">
        <w:rPr>
          <w:rFonts w:asciiTheme="minorHAnsi" w:hAnsiTheme="minorHAnsi" w:cstheme="minorHAnsi"/>
        </w:rPr>
        <w:lastRenderedPageBreak/>
        <w:t>was charged with failing to clarify the practice</w:t>
      </w:r>
      <w:r w:rsidR="004C2448">
        <w:rPr>
          <w:rFonts w:asciiTheme="minorHAnsi" w:hAnsiTheme="minorHAnsi" w:cstheme="minorHAnsi"/>
        </w:rPr>
        <w:t>’s</w:t>
      </w:r>
      <w:r w:rsidR="00AC3D41">
        <w:rPr>
          <w:rFonts w:asciiTheme="minorHAnsi" w:hAnsiTheme="minorHAnsi" w:cstheme="minorHAnsi"/>
        </w:rPr>
        <w:t xml:space="preserve"> arrangements for overnight care in previous dealings with the client,</w:t>
      </w:r>
      <w:r w:rsidRPr="00F72F9B">
        <w:rPr>
          <w:rFonts w:asciiTheme="minorHAnsi" w:hAnsiTheme="minorHAnsi" w:cstheme="minorHAnsi"/>
        </w:rPr>
        <w:t xml:space="preserve"> and the assistant</w:t>
      </w:r>
      <w:r w:rsidR="00A672B9">
        <w:rPr>
          <w:rFonts w:asciiTheme="minorHAnsi" w:hAnsiTheme="minorHAnsi" w:cstheme="minorHAnsi"/>
        </w:rPr>
        <w:t xml:space="preserve"> with</w:t>
      </w:r>
      <w:r w:rsidRPr="00F72F9B">
        <w:rPr>
          <w:rFonts w:asciiTheme="minorHAnsi" w:hAnsiTheme="minorHAnsi" w:cstheme="minorHAnsi"/>
        </w:rPr>
        <w:t xml:space="preserve"> failure to obtain informed consent</w:t>
      </w:r>
      <w:r w:rsidR="0031436D">
        <w:rPr>
          <w:rFonts w:asciiTheme="minorHAnsi" w:hAnsiTheme="minorHAnsi" w:cstheme="minorHAnsi"/>
        </w:rPr>
        <w:t xml:space="preserve"> to overnight care that was unsupervised</w:t>
      </w:r>
      <w:r w:rsidRPr="00F72F9B">
        <w:rPr>
          <w:rFonts w:asciiTheme="minorHAnsi" w:hAnsiTheme="minorHAnsi" w:cstheme="minorHAnsi"/>
        </w:rPr>
        <w:t xml:space="preserve">. </w:t>
      </w:r>
      <w:r w:rsidR="0059499D">
        <w:rPr>
          <w:rFonts w:asciiTheme="minorHAnsi" w:hAnsiTheme="minorHAnsi" w:cstheme="minorHAnsi"/>
        </w:rPr>
        <w:t>Although t</w:t>
      </w:r>
      <w:r w:rsidRPr="00F72F9B">
        <w:rPr>
          <w:rFonts w:asciiTheme="minorHAnsi" w:hAnsiTheme="minorHAnsi" w:cstheme="minorHAnsi"/>
        </w:rPr>
        <w:t>he charges against the practice owner were dismissed, the assistant admitted several charges, including failure to obtain informed consent from the owners.</w:t>
      </w:r>
      <w:r w:rsidR="00B866D1" w:rsidRPr="00F72F9B">
        <w:rPr>
          <w:rFonts w:asciiTheme="minorHAnsi" w:hAnsiTheme="minorHAnsi" w:cstheme="minorHAnsi"/>
        </w:rPr>
        <w:t xml:space="preserve"> The Committee found that this failure fell below the conduct expected of a reasonably competent veterinary surgeon in general practice but did not amount to disgraceful professional conduct</w:t>
      </w:r>
      <w:r w:rsidR="00AC3D41">
        <w:rPr>
          <w:rFonts w:asciiTheme="minorHAnsi" w:hAnsiTheme="minorHAnsi" w:cstheme="minorHAnsi"/>
        </w:rPr>
        <w:t>.</w:t>
      </w:r>
      <w:r w:rsidR="00B866D1" w:rsidRPr="00F72F9B">
        <w:rPr>
          <w:rFonts w:asciiTheme="minorHAnsi" w:hAnsiTheme="minorHAnsi" w:cstheme="minorHAnsi"/>
        </w:rPr>
        <w:t xml:space="preserve"> </w:t>
      </w:r>
      <w:r w:rsidR="00AC3D41">
        <w:rPr>
          <w:rFonts w:asciiTheme="minorHAnsi" w:hAnsiTheme="minorHAnsi" w:cstheme="minorHAnsi"/>
        </w:rPr>
        <w:t>H</w:t>
      </w:r>
      <w:r w:rsidR="00B866D1" w:rsidRPr="00F72F9B">
        <w:rPr>
          <w:rFonts w:asciiTheme="minorHAnsi" w:hAnsiTheme="minorHAnsi" w:cstheme="minorHAnsi"/>
        </w:rPr>
        <w:t xml:space="preserve">owever, the </w:t>
      </w:r>
      <w:r w:rsidR="00E236E7" w:rsidRPr="00F72F9B">
        <w:rPr>
          <w:rFonts w:asciiTheme="minorHAnsi" w:hAnsiTheme="minorHAnsi" w:cstheme="minorHAnsi"/>
        </w:rPr>
        <w:t>charge</w:t>
      </w:r>
      <w:r w:rsidR="00B866D1" w:rsidRPr="00F72F9B">
        <w:rPr>
          <w:rFonts w:asciiTheme="minorHAnsi" w:hAnsiTheme="minorHAnsi" w:cstheme="minorHAnsi"/>
        </w:rPr>
        <w:t xml:space="preserve"> that she left the dog alone in the practice for seven hours without adequate monitoring or postoperative aftercare</w:t>
      </w:r>
      <w:r w:rsidR="00E236E7" w:rsidRPr="00F72F9B">
        <w:rPr>
          <w:rFonts w:asciiTheme="minorHAnsi" w:hAnsiTheme="minorHAnsi" w:cstheme="minorHAnsi"/>
        </w:rPr>
        <w:t xml:space="preserve"> was proved and</w:t>
      </w:r>
      <w:r w:rsidR="00B866D1" w:rsidRPr="00F72F9B">
        <w:rPr>
          <w:rFonts w:asciiTheme="minorHAnsi" w:hAnsiTheme="minorHAnsi" w:cstheme="minorHAnsi"/>
        </w:rPr>
        <w:t xml:space="preserve"> </w:t>
      </w:r>
      <w:r w:rsidR="00B866D1" w:rsidRPr="00F72F9B">
        <w:rPr>
          <w:rFonts w:asciiTheme="minorHAnsi" w:hAnsiTheme="minorHAnsi" w:cstheme="minorHAnsi"/>
          <w:i/>
          <w:iCs/>
        </w:rPr>
        <w:t xml:space="preserve">did </w:t>
      </w:r>
      <w:r w:rsidR="00B866D1" w:rsidRPr="00F72F9B">
        <w:rPr>
          <w:rFonts w:asciiTheme="minorHAnsi" w:hAnsiTheme="minorHAnsi" w:cstheme="minorHAnsi"/>
        </w:rPr>
        <w:t>amount to disgraceful conduct in a professional respect, for which she received a reprimand.</w:t>
      </w:r>
      <w:r w:rsidR="006978A2">
        <w:rPr>
          <w:rFonts w:asciiTheme="minorHAnsi" w:hAnsiTheme="minorHAnsi" w:cstheme="minorHAnsi"/>
        </w:rPr>
        <w:t xml:space="preserve"> The dog died during the period that he was left unsupervised</w:t>
      </w:r>
      <w:r w:rsidR="00354F92">
        <w:rPr>
          <w:rFonts w:asciiTheme="minorHAnsi" w:hAnsiTheme="minorHAnsi" w:cstheme="minorHAnsi"/>
        </w:rPr>
        <w:t>, however the case did not make any reference to the patient’s ‘best interests</w:t>
      </w:r>
      <w:r w:rsidR="00DE444C">
        <w:rPr>
          <w:rFonts w:asciiTheme="minorHAnsi" w:hAnsiTheme="minorHAnsi" w:cstheme="minorHAnsi"/>
        </w:rPr>
        <w:t>.</w:t>
      </w:r>
      <w:r w:rsidR="00354F92">
        <w:rPr>
          <w:rFonts w:asciiTheme="minorHAnsi" w:hAnsiTheme="minorHAnsi" w:cstheme="minorHAnsi"/>
        </w:rPr>
        <w:t>’</w:t>
      </w:r>
    </w:p>
    <w:p w14:paraId="15F96553" w14:textId="77777777" w:rsidR="00BA1008" w:rsidRPr="00F72F9B" w:rsidRDefault="00BA1008" w:rsidP="00934427">
      <w:pPr>
        <w:spacing w:line="360" w:lineRule="auto"/>
        <w:rPr>
          <w:rFonts w:asciiTheme="minorHAnsi" w:hAnsiTheme="minorHAnsi" w:cstheme="minorHAnsi"/>
        </w:rPr>
      </w:pPr>
    </w:p>
    <w:tbl>
      <w:tblPr>
        <w:tblStyle w:val="TableGrid"/>
        <w:tblW w:w="0" w:type="auto"/>
        <w:tblLook w:val="04A0" w:firstRow="1" w:lastRow="0" w:firstColumn="1" w:lastColumn="0" w:noHBand="0" w:noVBand="1"/>
      </w:tblPr>
      <w:tblGrid>
        <w:gridCol w:w="704"/>
        <w:gridCol w:w="3827"/>
        <w:gridCol w:w="3969"/>
      </w:tblGrid>
      <w:tr w:rsidR="00EF61F1" w:rsidRPr="00F72F9B" w14:paraId="3F7D10F1" w14:textId="77777777" w:rsidTr="00EF61F1">
        <w:tc>
          <w:tcPr>
            <w:tcW w:w="704" w:type="dxa"/>
            <w:shd w:val="clear" w:color="auto" w:fill="E7E6E6" w:themeFill="background2"/>
          </w:tcPr>
          <w:p w14:paraId="1BB0E2B8" w14:textId="77777777" w:rsidR="00EF61F1" w:rsidRPr="00F72F9B" w:rsidRDefault="00EF61F1" w:rsidP="00934427">
            <w:pPr>
              <w:spacing w:line="360" w:lineRule="auto"/>
              <w:rPr>
                <w:rFonts w:asciiTheme="minorHAnsi" w:hAnsiTheme="minorHAnsi" w:cstheme="minorHAnsi"/>
                <w:b/>
                <w:sz w:val="18"/>
                <w:szCs w:val="18"/>
              </w:rPr>
            </w:pPr>
            <w:r w:rsidRPr="00F72F9B">
              <w:rPr>
                <w:rFonts w:asciiTheme="minorHAnsi" w:hAnsiTheme="minorHAnsi" w:cstheme="minorHAnsi"/>
                <w:b/>
                <w:sz w:val="18"/>
                <w:szCs w:val="18"/>
              </w:rPr>
              <w:t>Case no:</w:t>
            </w:r>
          </w:p>
        </w:tc>
        <w:tc>
          <w:tcPr>
            <w:tcW w:w="3827" w:type="dxa"/>
            <w:shd w:val="clear" w:color="auto" w:fill="E7E6E6" w:themeFill="background2"/>
          </w:tcPr>
          <w:p w14:paraId="6BF65DD8" w14:textId="77777777" w:rsidR="00EF61F1" w:rsidRPr="00F72F9B" w:rsidRDefault="00EF61F1" w:rsidP="00934427">
            <w:pPr>
              <w:spacing w:line="360" w:lineRule="auto"/>
              <w:rPr>
                <w:rFonts w:asciiTheme="minorHAnsi" w:hAnsiTheme="minorHAnsi" w:cstheme="minorHAnsi"/>
                <w:b/>
                <w:sz w:val="18"/>
                <w:szCs w:val="18"/>
              </w:rPr>
            </w:pPr>
            <w:r w:rsidRPr="00F72F9B">
              <w:rPr>
                <w:rFonts w:asciiTheme="minorHAnsi" w:hAnsiTheme="minorHAnsi" w:cstheme="minorHAnsi"/>
                <w:b/>
                <w:sz w:val="18"/>
                <w:szCs w:val="18"/>
              </w:rPr>
              <w:t>Charges relating to informed consent</w:t>
            </w:r>
          </w:p>
        </w:tc>
        <w:tc>
          <w:tcPr>
            <w:tcW w:w="3969" w:type="dxa"/>
            <w:shd w:val="clear" w:color="auto" w:fill="E7E6E6" w:themeFill="background2"/>
          </w:tcPr>
          <w:p w14:paraId="657B1FBA" w14:textId="77777777" w:rsidR="00EF61F1" w:rsidRPr="00F72F9B" w:rsidRDefault="00EF61F1" w:rsidP="00934427">
            <w:pPr>
              <w:spacing w:line="360" w:lineRule="auto"/>
              <w:rPr>
                <w:rFonts w:asciiTheme="minorHAnsi" w:hAnsiTheme="minorHAnsi" w:cstheme="minorHAnsi"/>
                <w:b/>
                <w:sz w:val="18"/>
                <w:szCs w:val="18"/>
              </w:rPr>
            </w:pPr>
            <w:r w:rsidRPr="00F72F9B">
              <w:rPr>
                <w:rFonts w:asciiTheme="minorHAnsi" w:hAnsiTheme="minorHAnsi" w:cstheme="minorHAnsi"/>
                <w:b/>
                <w:sz w:val="18"/>
                <w:szCs w:val="18"/>
              </w:rPr>
              <w:t>Decisions and sanctions</w:t>
            </w:r>
          </w:p>
        </w:tc>
      </w:tr>
      <w:tr w:rsidR="00EF61F1" w:rsidRPr="00F72F9B" w14:paraId="23405A94" w14:textId="77777777" w:rsidTr="00EF61F1">
        <w:tc>
          <w:tcPr>
            <w:tcW w:w="704" w:type="dxa"/>
          </w:tcPr>
          <w:p w14:paraId="3BFFB662" w14:textId="77777777" w:rsidR="00EF61F1" w:rsidRPr="00F72F9B" w:rsidRDefault="00EF61F1" w:rsidP="00934427">
            <w:pPr>
              <w:spacing w:line="360" w:lineRule="auto"/>
              <w:rPr>
                <w:rFonts w:asciiTheme="minorHAnsi" w:hAnsiTheme="minorHAnsi" w:cstheme="minorHAnsi"/>
                <w:sz w:val="18"/>
                <w:szCs w:val="18"/>
              </w:rPr>
            </w:pPr>
            <w:r w:rsidRPr="00F72F9B">
              <w:rPr>
                <w:rFonts w:asciiTheme="minorHAnsi" w:hAnsiTheme="minorHAnsi" w:cstheme="minorHAnsi"/>
                <w:sz w:val="18"/>
                <w:szCs w:val="18"/>
              </w:rPr>
              <w:t>1</w:t>
            </w:r>
          </w:p>
        </w:tc>
        <w:tc>
          <w:tcPr>
            <w:tcW w:w="3827" w:type="dxa"/>
          </w:tcPr>
          <w:p w14:paraId="5C04965B" w14:textId="77777777" w:rsidR="00EF61F1" w:rsidRPr="00F72F9B" w:rsidRDefault="00F61ADC" w:rsidP="00EF61F1">
            <w:pPr>
              <w:spacing w:line="276" w:lineRule="auto"/>
              <w:rPr>
                <w:rFonts w:asciiTheme="minorHAnsi" w:hAnsiTheme="minorHAnsi" w:cstheme="minorHAnsi"/>
                <w:sz w:val="18"/>
                <w:szCs w:val="18"/>
              </w:rPr>
            </w:pPr>
            <w:r>
              <w:rPr>
                <w:rFonts w:asciiTheme="minorHAnsi" w:hAnsiTheme="minorHAnsi" w:cstheme="minorHAnsi"/>
                <w:sz w:val="18"/>
                <w:szCs w:val="18"/>
              </w:rPr>
              <w:t>“euthanased [dog] without the owner’s consent”</w:t>
            </w:r>
          </w:p>
        </w:tc>
        <w:tc>
          <w:tcPr>
            <w:tcW w:w="3969" w:type="dxa"/>
          </w:tcPr>
          <w:p w14:paraId="37090936" w14:textId="77777777" w:rsidR="00F61ADC" w:rsidRDefault="00F61ADC" w:rsidP="00F61ADC">
            <w:pPr>
              <w:spacing w:line="276" w:lineRule="auto"/>
              <w:rPr>
                <w:rFonts w:asciiTheme="minorHAnsi" w:hAnsiTheme="minorHAnsi" w:cstheme="minorHAnsi"/>
                <w:sz w:val="18"/>
                <w:szCs w:val="18"/>
              </w:rPr>
            </w:pPr>
            <w:r>
              <w:rPr>
                <w:rFonts w:asciiTheme="minorHAnsi" w:hAnsiTheme="minorHAnsi" w:cstheme="minorHAnsi"/>
                <w:sz w:val="18"/>
                <w:szCs w:val="18"/>
              </w:rPr>
              <w:t>Conduct amounted to disgraceful conduct in a professional respect</w:t>
            </w:r>
          </w:p>
          <w:p w14:paraId="70B32286" w14:textId="77777777" w:rsidR="00EF61F1" w:rsidRPr="00F72F9B" w:rsidRDefault="00F61ADC" w:rsidP="00F61ADC">
            <w:pPr>
              <w:spacing w:line="276" w:lineRule="auto"/>
              <w:rPr>
                <w:rFonts w:asciiTheme="minorHAnsi" w:hAnsiTheme="minorHAnsi" w:cstheme="minorHAnsi"/>
                <w:b/>
                <w:sz w:val="18"/>
                <w:szCs w:val="18"/>
              </w:rPr>
            </w:pPr>
            <w:r>
              <w:rPr>
                <w:rFonts w:asciiTheme="minorHAnsi" w:hAnsiTheme="minorHAnsi" w:cstheme="minorHAnsi"/>
                <w:b/>
                <w:bCs/>
                <w:sz w:val="18"/>
                <w:szCs w:val="18"/>
              </w:rPr>
              <w:t>Reprimanded</w:t>
            </w:r>
          </w:p>
        </w:tc>
      </w:tr>
      <w:tr w:rsidR="00B35B91" w:rsidRPr="00F72F9B" w14:paraId="495B743D" w14:textId="77777777" w:rsidTr="00EF61F1">
        <w:tc>
          <w:tcPr>
            <w:tcW w:w="704" w:type="dxa"/>
          </w:tcPr>
          <w:p w14:paraId="76DFA8D1" w14:textId="77777777" w:rsidR="00B35B91" w:rsidRPr="00F72F9B" w:rsidRDefault="00B35B91" w:rsidP="00934427">
            <w:pPr>
              <w:spacing w:line="360" w:lineRule="auto"/>
              <w:rPr>
                <w:rFonts w:asciiTheme="minorHAnsi" w:hAnsiTheme="minorHAnsi" w:cstheme="minorHAnsi"/>
                <w:sz w:val="18"/>
                <w:szCs w:val="18"/>
              </w:rPr>
            </w:pPr>
            <w:r>
              <w:rPr>
                <w:rFonts w:asciiTheme="minorHAnsi" w:hAnsiTheme="minorHAnsi" w:cstheme="minorHAnsi"/>
                <w:sz w:val="18"/>
                <w:szCs w:val="18"/>
              </w:rPr>
              <w:t>2</w:t>
            </w:r>
          </w:p>
        </w:tc>
        <w:tc>
          <w:tcPr>
            <w:tcW w:w="3827" w:type="dxa"/>
          </w:tcPr>
          <w:p w14:paraId="7D5C5DF2" w14:textId="77777777" w:rsidR="00B35B91" w:rsidRPr="00F72F9B" w:rsidRDefault="00F61ADC" w:rsidP="00EF61F1">
            <w:pPr>
              <w:spacing w:line="276" w:lineRule="auto"/>
              <w:rPr>
                <w:rFonts w:asciiTheme="minorHAnsi" w:hAnsiTheme="minorHAnsi" w:cstheme="minorHAnsi"/>
                <w:sz w:val="18"/>
                <w:szCs w:val="18"/>
              </w:rPr>
            </w:pPr>
            <w:r w:rsidRPr="00F72F9B">
              <w:rPr>
                <w:rFonts w:asciiTheme="minorHAnsi" w:hAnsiTheme="minorHAnsi" w:cstheme="minorHAnsi"/>
                <w:sz w:val="18"/>
                <w:szCs w:val="18"/>
              </w:rPr>
              <w:t>“failure to obtain informed consent from [client 1] and [client 2] to a number of procedures performed on [patient]”</w:t>
            </w:r>
          </w:p>
        </w:tc>
        <w:tc>
          <w:tcPr>
            <w:tcW w:w="3969" w:type="dxa"/>
          </w:tcPr>
          <w:p w14:paraId="5B8D0F37"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Conduct fell far below the standard to be expected and therefore amounted to serious professional misconduct</w:t>
            </w:r>
          </w:p>
          <w:p w14:paraId="4D8D8606" w14:textId="77777777" w:rsidR="00476279" w:rsidRPr="00476279" w:rsidRDefault="00F61ADC" w:rsidP="00F61ADC">
            <w:pPr>
              <w:spacing w:line="276" w:lineRule="auto"/>
              <w:rPr>
                <w:rFonts w:asciiTheme="minorHAnsi" w:hAnsiTheme="minorHAnsi" w:cstheme="minorHAnsi"/>
                <w:b/>
                <w:bCs/>
                <w:sz w:val="18"/>
                <w:szCs w:val="18"/>
              </w:rPr>
            </w:pPr>
            <w:r w:rsidRPr="00F72F9B">
              <w:rPr>
                <w:rFonts w:asciiTheme="minorHAnsi" w:hAnsiTheme="minorHAnsi" w:cstheme="minorHAnsi"/>
                <w:b/>
                <w:sz w:val="18"/>
                <w:szCs w:val="18"/>
              </w:rPr>
              <w:t>Reprimanded and warned as to future conduct</w:t>
            </w:r>
          </w:p>
        </w:tc>
      </w:tr>
      <w:tr w:rsidR="00EF61F1" w:rsidRPr="00F72F9B" w14:paraId="3AF8CF6F" w14:textId="77777777" w:rsidTr="00EF61F1">
        <w:tc>
          <w:tcPr>
            <w:tcW w:w="704" w:type="dxa"/>
          </w:tcPr>
          <w:p w14:paraId="54871CC1" w14:textId="77777777" w:rsidR="00EF61F1" w:rsidRPr="00F72F9B" w:rsidRDefault="00B35B91" w:rsidP="00EF61F1">
            <w:pPr>
              <w:spacing w:line="276" w:lineRule="auto"/>
              <w:rPr>
                <w:rFonts w:asciiTheme="minorHAnsi" w:hAnsiTheme="minorHAnsi" w:cstheme="minorHAnsi"/>
                <w:sz w:val="18"/>
                <w:szCs w:val="18"/>
              </w:rPr>
            </w:pPr>
            <w:r>
              <w:rPr>
                <w:rFonts w:asciiTheme="minorHAnsi" w:hAnsiTheme="minorHAnsi" w:cstheme="minorHAnsi"/>
                <w:sz w:val="18"/>
                <w:szCs w:val="18"/>
              </w:rPr>
              <w:t>3</w:t>
            </w:r>
          </w:p>
        </w:tc>
        <w:tc>
          <w:tcPr>
            <w:tcW w:w="3827" w:type="dxa"/>
          </w:tcPr>
          <w:p w14:paraId="5E66F4B9"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 xml:space="preserve">“(failure) to: </w:t>
            </w:r>
          </w:p>
          <w:p w14:paraId="2EC74A87"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 xml:space="preserve">(i) discuss with [client 1] and/or [client 2], adequately or at all, alternative treatment options to dental surgery under general anaesthetic; (ii) discuss with [client 1] and/or [client 2], adequately or at all, the risks of dental surgery under general anaesthetic; </w:t>
            </w:r>
          </w:p>
          <w:p w14:paraId="2E82F768"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(iii) obtain informed consent from [client 1] and/or [client 2] to dental surgery under general anaesthetic”</w:t>
            </w:r>
          </w:p>
          <w:p w14:paraId="715A2CDE" w14:textId="77777777" w:rsidR="00EF61F1" w:rsidRPr="00F72F9B" w:rsidRDefault="00EF61F1" w:rsidP="00EF61F1">
            <w:pPr>
              <w:spacing w:line="276" w:lineRule="auto"/>
              <w:rPr>
                <w:rFonts w:asciiTheme="minorHAnsi" w:hAnsiTheme="minorHAnsi" w:cstheme="minorHAnsi"/>
                <w:sz w:val="18"/>
                <w:szCs w:val="18"/>
              </w:rPr>
            </w:pPr>
          </w:p>
        </w:tc>
        <w:tc>
          <w:tcPr>
            <w:tcW w:w="3969" w:type="dxa"/>
          </w:tcPr>
          <w:p w14:paraId="2B78238E" w14:textId="77777777" w:rsidR="00EF61F1" w:rsidRPr="00F72F9B" w:rsidRDefault="00F61ADC" w:rsidP="00EF61F1">
            <w:pPr>
              <w:spacing w:line="276" w:lineRule="auto"/>
              <w:rPr>
                <w:rFonts w:asciiTheme="minorHAnsi" w:hAnsiTheme="minorHAnsi" w:cstheme="minorHAnsi"/>
                <w:sz w:val="18"/>
                <w:szCs w:val="18"/>
              </w:rPr>
            </w:pPr>
            <w:r w:rsidRPr="00F72F9B">
              <w:rPr>
                <w:rFonts w:asciiTheme="minorHAnsi" w:hAnsiTheme="minorHAnsi" w:cstheme="minorHAnsi"/>
                <w:sz w:val="18"/>
                <w:szCs w:val="18"/>
              </w:rPr>
              <w:t xml:space="preserve">The Committee decided the conduct of [vet] was in breach of the Code because he failed to inform [client 2] of all the treatment options and risks on 10 July 2017. It found his conduct fell below the standard to be expected but not far below the standard to be expected because some discussion had taken place albeit an inadequate discussion given [dog]’s changing clinical picture. </w:t>
            </w:r>
            <w:r w:rsidRPr="00F72F9B">
              <w:rPr>
                <w:rFonts w:asciiTheme="minorHAnsi" w:hAnsiTheme="minorHAnsi" w:cstheme="minorHAnsi"/>
                <w:b/>
                <w:sz w:val="18"/>
                <w:szCs w:val="18"/>
              </w:rPr>
              <w:t>Not guilty of disgraceful conduct in a professional respect</w:t>
            </w:r>
          </w:p>
        </w:tc>
      </w:tr>
      <w:tr w:rsidR="00EF61F1" w:rsidRPr="00F72F9B" w14:paraId="1A044A29" w14:textId="77777777" w:rsidTr="00EF61F1">
        <w:tc>
          <w:tcPr>
            <w:tcW w:w="704" w:type="dxa"/>
          </w:tcPr>
          <w:p w14:paraId="763AAEC9" w14:textId="77777777" w:rsidR="00EF61F1" w:rsidRPr="00F72F9B" w:rsidRDefault="00B35B91" w:rsidP="00EF61F1">
            <w:pPr>
              <w:spacing w:line="276" w:lineRule="auto"/>
              <w:rPr>
                <w:rFonts w:asciiTheme="minorHAnsi" w:hAnsiTheme="minorHAnsi" w:cstheme="minorHAnsi"/>
                <w:sz w:val="18"/>
                <w:szCs w:val="18"/>
              </w:rPr>
            </w:pPr>
            <w:r>
              <w:rPr>
                <w:rFonts w:asciiTheme="minorHAnsi" w:hAnsiTheme="minorHAnsi" w:cstheme="minorHAnsi"/>
                <w:sz w:val="18"/>
                <w:szCs w:val="18"/>
              </w:rPr>
              <w:t>4</w:t>
            </w:r>
          </w:p>
        </w:tc>
        <w:tc>
          <w:tcPr>
            <w:tcW w:w="3827" w:type="dxa"/>
          </w:tcPr>
          <w:p w14:paraId="44505094"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Vet 1:</w:t>
            </w:r>
          </w:p>
          <w:p w14:paraId="58300579"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a) Failed to read the anaesthesia consent form completed by [client] </w:t>
            </w:r>
          </w:p>
          <w:p w14:paraId="454EC647"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b) Failed to undertake an adequate assessment of [pet]’s presenting condition </w:t>
            </w:r>
          </w:p>
          <w:p w14:paraId="7A196B08"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c) Performed surgery to [pet]’s abdomen, in particular to repair a hernia:  </w:t>
            </w:r>
          </w:p>
          <w:p w14:paraId="3C2BF88F"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 Without taking the steps identified at (b);  </w:t>
            </w:r>
          </w:p>
          <w:p w14:paraId="7DEB5A17"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(ii) When that surgery would not address the illness from which [pet] was suffering;  </w:t>
            </w:r>
          </w:p>
          <w:p w14:paraId="48EC23E2"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(iii) Without providing intravenous fluids to [pet] </w:t>
            </w:r>
          </w:p>
          <w:p w14:paraId="262974F0"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lastRenderedPageBreak/>
              <w:t>In the circumstances described at each or all of (a) to (c) above failed to obtain the owners’ informed consent to the surgery</w:t>
            </w:r>
          </w:p>
          <w:p w14:paraId="1F77DAE1" w14:textId="77777777" w:rsidR="00F61ADC" w:rsidRPr="00F61ADC" w:rsidRDefault="00F61ADC" w:rsidP="00F61ADC">
            <w:pPr>
              <w:spacing w:line="276" w:lineRule="auto"/>
              <w:rPr>
                <w:rFonts w:asciiTheme="minorHAnsi" w:hAnsiTheme="minorHAnsi" w:cstheme="minorHAnsi"/>
                <w:sz w:val="18"/>
                <w:szCs w:val="18"/>
              </w:rPr>
            </w:pPr>
          </w:p>
          <w:p w14:paraId="5414AC59"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Vet 2: </w:t>
            </w:r>
          </w:p>
          <w:p w14:paraId="3824BE87"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(f) Admitted [pet] for surgery to her abdomen, in particular to repair a hernia, and supervised that surgery:  </w:t>
            </w:r>
          </w:p>
          <w:p w14:paraId="74AE25F8"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 Without taking the steps identified in (b);  </w:t>
            </w:r>
          </w:p>
          <w:p w14:paraId="57F38EA2"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(ii) When that surgery would not address the illness from which [pet] was suffering;  </w:t>
            </w:r>
          </w:p>
          <w:p w14:paraId="35B3BA4A"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(g) For the purpose of the surgery described at (f) permitted [pet] to be anaesthetised:  </w:t>
            </w:r>
          </w:p>
          <w:p w14:paraId="4AFE6FC4"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 Without any or any adequate regard to the seriousness of her illness and the deterioration in her condition since 5 August 2016;  </w:t>
            </w:r>
          </w:p>
          <w:p w14:paraId="1E12859A"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(ii) Without providing intravenous fluids to [pet];</w:t>
            </w:r>
          </w:p>
          <w:p w14:paraId="479C1ECA" w14:textId="77777777" w:rsidR="00F61ADC" w:rsidRPr="00F61ADC" w:rsidRDefault="00F61ADC" w:rsidP="00F61ADC">
            <w:pPr>
              <w:spacing w:line="276" w:lineRule="auto"/>
              <w:rPr>
                <w:rFonts w:asciiTheme="minorHAnsi" w:hAnsiTheme="minorHAnsi" w:cstheme="minorHAnsi"/>
                <w:sz w:val="18"/>
                <w:szCs w:val="18"/>
              </w:rPr>
            </w:pPr>
            <w:r w:rsidRPr="00F61ADC">
              <w:rPr>
                <w:rFonts w:asciiTheme="minorHAnsi" w:hAnsiTheme="minorHAnsi" w:cstheme="minorHAnsi"/>
                <w:sz w:val="18"/>
                <w:szCs w:val="18"/>
              </w:rPr>
              <w:t xml:space="preserve">  (h) In the circumstances described at (f) and (g) above failed to obtain the owners’ informed consent to the surgery;  </w:t>
            </w:r>
          </w:p>
          <w:p w14:paraId="4B560DEA" w14:textId="77777777" w:rsidR="00EF61F1" w:rsidRPr="00F72F9B" w:rsidRDefault="00EF61F1" w:rsidP="00EF61F1">
            <w:pPr>
              <w:spacing w:line="276" w:lineRule="auto"/>
              <w:rPr>
                <w:rFonts w:asciiTheme="minorHAnsi" w:hAnsiTheme="minorHAnsi" w:cstheme="minorHAnsi"/>
                <w:sz w:val="18"/>
                <w:szCs w:val="18"/>
              </w:rPr>
            </w:pPr>
          </w:p>
        </w:tc>
        <w:tc>
          <w:tcPr>
            <w:tcW w:w="3969" w:type="dxa"/>
          </w:tcPr>
          <w:p w14:paraId="3F609E61"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lastRenderedPageBreak/>
              <w:t>Vet 1:</w:t>
            </w:r>
          </w:p>
          <w:p w14:paraId="78A8B6F1"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Conduct fell far below the standard expected of a reasonably competent veterinary surgeon and amounted to disgraceful conduct in a professional respect</w:t>
            </w:r>
          </w:p>
          <w:p w14:paraId="7B7F353B" w14:textId="77777777" w:rsidR="00F61ADC" w:rsidRPr="00F72F9B" w:rsidRDefault="00F61ADC" w:rsidP="00F61ADC">
            <w:pPr>
              <w:spacing w:line="276" w:lineRule="auto"/>
              <w:rPr>
                <w:rFonts w:asciiTheme="minorHAnsi" w:hAnsiTheme="minorHAnsi" w:cstheme="minorHAnsi"/>
                <w:b/>
                <w:sz w:val="18"/>
                <w:szCs w:val="18"/>
              </w:rPr>
            </w:pPr>
            <w:r w:rsidRPr="00F72F9B">
              <w:rPr>
                <w:rFonts w:asciiTheme="minorHAnsi" w:hAnsiTheme="minorHAnsi" w:cstheme="minorHAnsi"/>
                <w:b/>
                <w:sz w:val="18"/>
                <w:szCs w:val="18"/>
              </w:rPr>
              <w:t>Reprimanded</w:t>
            </w:r>
          </w:p>
          <w:p w14:paraId="5A2A1809" w14:textId="77777777" w:rsidR="00F61ADC" w:rsidRDefault="00F61ADC" w:rsidP="00F61ADC">
            <w:pPr>
              <w:spacing w:line="276" w:lineRule="auto"/>
              <w:rPr>
                <w:rFonts w:asciiTheme="minorHAnsi" w:hAnsiTheme="minorHAnsi" w:cstheme="minorHAnsi"/>
                <w:sz w:val="18"/>
                <w:szCs w:val="18"/>
              </w:rPr>
            </w:pPr>
          </w:p>
          <w:p w14:paraId="1BE8F800" w14:textId="77777777" w:rsidR="00F61ADC" w:rsidRDefault="00F61ADC" w:rsidP="00F61ADC">
            <w:pPr>
              <w:spacing w:line="276" w:lineRule="auto"/>
              <w:rPr>
                <w:rFonts w:asciiTheme="minorHAnsi" w:hAnsiTheme="minorHAnsi" w:cstheme="minorHAnsi"/>
                <w:sz w:val="18"/>
                <w:szCs w:val="18"/>
              </w:rPr>
            </w:pPr>
          </w:p>
          <w:p w14:paraId="537ECC99" w14:textId="77777777" w:rsidR="00F61ADC" w:rsidRDefault="00F61ADC" w:rsidP="00F61ADC">
            <w:pPr>
              <w:spacing w:line="276" w:lineRule="auto"/>
              <w:rPr>
                <w:rFonts w:asciiTheme="minorHAnsi" w:hAnsiTheme="minorHAnsi" w:cstheme="minorHAnsi"/>
                <w:sz w:val="18"/>
                <w:szCs w:val="18"/>
              </w:rPr>
            </w:pPr>
          </w:p>
          <w:p w14:paraId="427BF70D" w14:textId="77777777" w:rsidR="00F61ADC" w:rsidRDefault="00F61ADC" w:rsidP="00F61ADC">
            <w:pPr>
              <w:spacing w:line="276" w:lineRule="auto"/>
              <w:rPr>
                <w:rFonts w:asciiTheme="minorHAnsi" w:hAnsiTheme="minorHAnsi" w:cstheme="minorHAnsi"/>
                <w:sz w:val="18"/>
                <w:szCs w:val="18"/>
              </w:rPr>
            </w:pPr>
          </w:p>
          <w:p w14:paraId="28C19606" w14:textId="77777777" w:rsidR="00F61ADC" w:rsidRDefault="00F61ADC" w:rsidP="00F61ADC">
            <w:pPr>
              <w:spacing w:line="276" w:lineRule="auto"/>
              <w:rPr>
                <w:rFonts w:asciiTheme="minorHAnsi" w:hAnsiTheme="minorHAnsi" w:cstheme="minorHAnsi"/>
                <w:sz w:val="18"/>
                <w:szCs w:val="18"/>
              </w:rPr>
            </w:pPr>
          </w:p>
          <w:p w14:paraId="25A53807" w14:textId="77777777" w:rsidR="00F61ADC" w:rsidRDefault="00F61ADC" w:rsidP="00F61ADC">
            <w:pPr>
              <w:spacing w:line="276" w:lineRule="auto"/>
              <w:rPr>
                <w:rFonts w:asciiTheme="minorHAnsi" w:hAnsiTheme="minorHAnsi" w:cstheme="minorHAnsi"/>
                <w:sz w:val="18"/>
                <w:szCs w:val="18"/>
              </w:rPr>
            </w:pPr>
          </w:p>
          <w:p w14:paraId="4E6321D5" w14:textId="77777777" w:rsidR="00F61ADC" w:rsidRDefault="00F61ADC" w:rsidP="00F61ADC">
            <w:pPr>
              <w:spacing w:line="276" w:lineRule="auto"/>
              <w:rPr>
                <w:rFonts w:asciiTheme="minorHAnsi" w:hAnsiTheme="minorHAnsi" w:cstheme="minorHAnsi"/>
                <w:sz w:val="18"/>
                <w:szCs w:val="18"/>
              </w:rPr>
            </w:pPr>
          </w:p>
          <w:p w14:paraId="4C15D88C" w14:textId="77777777" w:rsidR="00F61ADC" w:rsidRDefault="00F61ADC" w:rsidP="00F61ADC">
            <w:pPr>
              <w:spacing w:line="276" w:lineRule="auto"/>
              <w:rPr>
                <w:rFonts w:asciiTheme="minorHAnsi" w:hAnsiTheme="minorHAnsi" w:cstheme="minorHAnsi"/>
                <w:sz w:val="18"/>
                <w:szCs w:val="18"/>
              </w:rPr>
            </w:pPr>
          </w:p>
          <w:p w14:paraId="7D214979" w14:textId="77777777" w:rsidR="00F61ADC" w:rsidRDefault="00F61ADC" w:rsidP="00F61ADC">
            <w:pPr>
              <w:spacing w:line="276" w:lineRule="auto"/>
              <w:rPr>
                <w:rFonts w:asciiTheme="minorHAnsi" w:hAnsiTheme="minorHAnsi" w:cstheme="minorHAnsi"/>
                <w:sz w:val="18"/>
                <w:szCs w:val="18"/>
              </w:rPr>
            </w:pPr>
          </w:p>
          <w:p w14:paraId="010CA644" w14:textId="77777777" w:rsidR="00F61ADC" w:rsidRDefault="00F61ADC" w:rsidP="00F61ADC">
            <w:pPr>
              <w:spacing w:line="276" w:lineRule="auto"/>
              <w:rPr>
                <w:rFonts w:asciiTheme="minorHAnsi" w:hAnsiTheme="minorHAnsi" w:cstheme="minorHAnsi"/>
                <w:sz w:val="18"/>
                <w:szCs w:val="18"/>
              </w:rPr>
            </w:pPr>
          </w:p>
          <w:p w14:paraId="5D532331"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Vet 2:</w:t>
            </w:r>
          </w:p>
          <w:p w14:paraId="5979FA3F"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(T)he Committee was in no doubt that his entire course of conduct fell far short of that which is expected of a member of the profession, would be considered deplorable by fellow members of the profession and amounted to disgraceful conduct in a professional respect.</w:t>
            </w:r>
          </w:p>
          <w:p w14:paraId="37823A53" w14:textId="77777777" w:rsidR="00EF61F1"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b/>
                <w:sz w:val="18"/>
                <w:szCs w:val="18"/>
              </w:rPr>
              <w:t>Registration suspended for four months</w:t>
            </w:r>
          </w:p>
        </w:tc>
      </w:tr>
      <w:tr w:rsidR="00EF61F1" w:rsidRPr="00F72F9B" w14:paraId="06A9BF4B" w14:textId="77777777" w:rsidTr="00EF61F1">
        <w:tc>
          <w:tcPr>
            <w:tcW w:w="704" w:type="dxa"/>
          </w:tcPr>
          <w:p w14:paraId="319DCFBA" w14:textId="77777777" w:rsidR="00EF61F1" w:rsidRPr="00F72F9B" w:rsidRDefault="00B35B91" w:rsidP="00EF61F1">
            <w:pPr>
              <w:spacing w:line="276" w:lineRule="auto"/>
              <w:rPr>
                <w:rFonts w:asciiTheme="minorHAnsi" w:hAnsiTheme="minorHAnsi" w:cstheme="minorHAnsi"/>
                <w:sz w:val="18"/>
                <w:szCs w:val="18"/>
              </w:rPr>
            </w:pPr>
            <w:r>
              <w:rPr>
                <w:rFonts w:asciiTheme="minorHAnsi" w:hAnsiTheme="minorHAnsi" w:cstheme="minorHAnsi"/>
                <w:sz w:val="18"/>
                <w:szCs w:val="18"/>
              </w:rPr>
              <w:lastRenderedPageBreak/>
              <w:t>5</w:t>
            </w:r>
          </w:p>
        </w:tc>
        <w:tc>
          <w:tcPr>
            <w:tcW w:w="3827" w:type="dxa"/>
          </w:tcPr>
          <w:p w14:paraId="0E36DB54" w14:textId="77777777" w:rsidR="00EF61F1"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1 (i) failed to obtain informed consent to the entirety of the surgical process and management, to include post-operative aftercare</w:t>
            </w:r>
          </w:p>
        </w:tc>
        <w:tc>
          <w:tcPr>
            <w:tcW w:w="3969" w:type="dxa"/>
          </w:tcPr>
          <w:p w14:paraId="6988E74D" w14:textId="77777777" w:rsidR="00F61ADC"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sz w:val="18"/>
                <w:szCs w:val="18"/>
              </w:rPr>
              <w:t xml:space="preserve">Conduct did not amount to serious professional misconduct, but found guilty on another charge </w:t>
            </w:r>
          </w:p>
          <w:p w14:paraId="441E613E" w14:textId="77777777" w:rsidR="00EF61F1" w:rsidRPr="00F72F9B" w:rsidRDefault="00F61ADC" w:rsidP="00F61ADC">
            <w:pPr>
              <w:spacing w:line="276" w:lineRule="auto"/>
              <w:rPr>
                <w:rFonts w:asciiTheme="minorHAnsi" w:hAnsiTheme="minorHAnsi" w:cstheme="minorHAnsi"/>
                <w:sz w:val="18"/>
                <w:szCs w:val="18"/>
              </w:rPr>
            </w:pPr>
            <w:r w:rsidRPr="00F72F9B">
              <w:rPr>
                <w:rFonts w:asciiTheme="minorHAnsi" w:hAnsiTheme="minorHAnsi" w:cstheme="minorHAnsi"/>
                <w:b/>
                <w:bCs/>
                <w:sz w:val="18"/>
                <w:szCs w:val="18"/>
              </w:rPr>
              <w:t>Reprimanded</w:t>
            </w:r>
          </w:p>
          <w:p w14:paraId="5C85736B" w14:textId="77777777" w:rsidR="00EF61F1" w:rsidRPr="00F72F9B" w:rsidRDefault="00EF61F1" w:rsidP="00EF61F1">
            <w:pPr>
              <w:spacing w:line="276" w:lineRule="auto"/>
              <w:rPr>
                <w:rFonts w:asciiTheme="minorHAnsi" w:hAnsiTheme="minorHAnsi" w:cstheme="minorHAnsi"/>
                <w:b/>
                <w:sz w:val="18"/>
                <w:szCs w:val="18"/>
              </w:rPr>
            </w:pPr>
          </w:p>
        </w:tc>
      </w:tr>
    </w:tbl>
    <w:p w14:paraId="391C578B" w14:textId="60E17B1D" w:rsidR="003D72AE" w:rsidRPr="00F61ADC" w:rsidRDefault="003D72AE" w:rsidP="00934427">
      <w:pPr>
        <w:spacing w:line="360" w:lineRule="auto"/>
        <w:rPr>
          <w:rFonts w:asciiTheme="minorHAnsi" w:hAnsiTheme="minorHAnsi" w:cstheme="minorHAnsi"/>
          <w:b/>
          <w:bCs/>
          <w:i/>
          <w:sz w:val="18"/>
          <w:szCs w:val="18"/>
        </w:rPr>
      </w:pPr>
      <w:r w:rsidRPr="00F61ADC">
        <w:rPr>
          <w:rFonts w:asciiTheme="minorHAnsi" w:hAnsiTheme="minorHAnsi" w:cstheme="minorHAnsi"/>
          <w:b/>
          <w:bCs/>
          <w:i/>
          <w:sz w:val="18"/>
          <w:szCs w:val="18"/>
        </w:rPr>
        <w:t xml:space="preserve">Table </w:t>
      </w:r>
      <w:r w:rsidR="00B61AA1">
        <w:rPr>
          <w:rFonts w:asciiTheme="minorHAnsi" w:hAnsiTheme="minorHAnsi" w:cstheme="minorHAnsi"/>
          <w:b/>
          <w:bCs/>
          <w:i/>
          <w:sz w:val="18"/>
          <w:szCs w:val="18"/>
        </w:rPr>
        <w:t>2</w:t>
      </w:r>
      <w:r w:rsidRPr="00F61ADC">
        <w:rPr>
          <w:rFonts w:asciiTheme="minorHAnsi" w:hAnsiTheme="minorHAnsi" w:cstheme="minorHAnsi"/>
          <w:b/>
          <w:bCs/>
          <w:i/>
          <w:sz w:val="18"/>
          <w:szCs w:val="18"/>
        </w:rPr>
        <w:t>: details of charges, decisio</w:t>
      </w:r>
      <w:r w:rsidR="00EF61F1" w:rsidRPr="00F61ADC">
        <w:rPr>
          <w:rFonts w:asciiTheme="minorHAnsi" w:hAnsiTheme="minorHAnsi" w:cstheme="minorHAnsi"/>
          <w:b/>
          <w:bCs/>
          <w:i/>
          <w:sz w:val="18"/>
          <w:szCs w:val="18"/>
        </w:rPr>
        <w:t>ns</w:t>
      </w:r>
      <w:r w:rsidRPr="00F61ADC">
        <w:rPr>
          <w:rFonts w:asciiTheme="minorHAnsi" w:hAnsiTheme="minorHAnsi" w:cstheme="minorHAnsi"/>
          <w:b/>
          <w:bCs/>
          <w:i/>
          <w:sz w:val="18"/>
          <w:szCs w:val="18"/>
        </w:rPr>
        <w:t xml:space="preserve"> and sanctions in RCVS Disciplinary Committee hearings involving informed consent January 2018 – January 2020.</w:t>
      </w:r>
    </w:p>
    <w:p w14:paraId="0F574B49" w14:textId="77777777" w:rsidR="003F6478" w:rsidRDefault="003F6478" w:rsidP="00934427">
      <w:pPr>
        <w:spacing w:line="360" w:lineRule="auto"/>
        <w:rPr>
          <w:rFonts w:asciiTheme="minorHAnsi" w:hAnsiTheme="minorHAnsi" w:cstheme="minorHAnsi"/>
          <w:b/>
          <w:bCs/>
        </w:rPr>
      </w:pPr>
    </w:p>
    <w:p w14:paraId="22EFF68E" w14:textId="3B551111" w:rsidR="006721A2" w:rsidRPr="00F72F9B" w:rsidRDefault="00037BC5" w:rsidP="006721A2">
      <w:pPr>
        <w:spacing w:line="360" w:lineRule="auto"/>
        <w:rPr>
          <w:rFonts w:asciiTheme="minorHAnsi" w:hAnsiTheme="minorHAnsi" w:cstheme="minorHAnsi"/>
        </w:rPr>
      </w:pPr>
      <w:r>
        <w:rPr>
          <w:rFonts w:asciiTheme="minorHAnsi" w:hAnsiTheme="minorHAnsi" w:cstheme="minorHAnsi"/>
        </w:rPr>
        <w:t>Summarising the outcomes of these cases</w:t>
      </w:r>
      <w:r w:rsidR="006721A2">
        <w:rPr>
          <w:rFonts w:asciiTheme="minorHAnsi" w:hAnsiTheme="minorHAnsi" w:cstheme="minorHAnsi"/>
        </w:rPr>
        <w:t>, four</w:t>
      </w:r>
      <w:r w:rsidR="006721A2" w:rsidRPr="00F72F9B">
        <w:rPr>
          <w:rFonts w:asciiTheme="minorHAnsi" w:hAnsiTheme="minorHAnsi" w:cstheme="minorHAnsi"/>
        </w:rPr>
        <w:t xml:space="preserve"> </w:t>
      </w:r>
      <w:r w:rsidR="006721A2">
        <w:rPr>
          <w:rFonts w:asciiTheme="minorHAnsi" w:hAnsiTheme="minorHAnsi" w:cstheme="minorHAnsi"/>
        </w:rPr>
        <w:t xml:space="preserve">veterinary surgeons were found </w:t>
      </w:r>
      <w:r w:rsidR="006721A2" w:rsidRPr="00F72F9B">
        <w:rPr>
          <w:rFonts w:asciiTheme="minorHAnsi" w:hAnsiTheme="minorHAnsi" w:cstheme="minorHAnsi"/>
        </w:rPr>
        <w:t>guilty of serious professional misconduct</w:t>
      </w:r>
      <w:r w:rsidR="006978A2">
        <w:rPr>
          <w:rFonts w:asciiTheme="minorHAnsi" w:hAnsiTheme="minorHAnsi" w:cstheme="minorHAnsi"/>
        </w:rPr>
        <w:t xml:space="preserve"> as a result of failing to obtain informed consent</w:t>
      </w:r>
      <w:r w:rsidR="006721A2">
        <w:rPr>
          <w:rFonts w:asciiTheme="minorHAnsi" w:hAnsiTheme="minorHAnsi" w:cstheme="minorHAnsi"/>
        </w:rPr>
        <w:t>, with sanctions</w:t>
      </w:r>
      <w:r w:rsidR="006721A2" w:rsidRPr="00F72F9B">
        <w:rPr>
          <w:rFonts w:asciiTheme="minorHAnsi" w:hAnsiTheme="minorHAnsi" w:cstheme="minorHAnsi"/>
        </w:rPr>
        <w:t xml:space="preserve"> consist</w:t>
      </w:r>
      <w:r w:rsidR="006721A2">
        <w:rPr>
          <w:rFonts w:asciiTheme="minorHAnsi" w:hAnsiTheme="minorHAnsi" w:cstheme="minorHAnsi"/>
        </w:rPr>
        <w:t>ing</w:t>
      </w:r>
      <w:r w:rsidR="006721A2" w:rsidRPr="00F72F9B">
        <w:rPr>
          <w:rFonts w:asciiTheme="minorHAnsi" w:hAnsiTheme="minorHAnsi" w:cstheme="minorHAnsi"/>
        </w:rPr>
        <w:t xml:space="preserve"> of a </w:t>
      </w:r>
      <w:r w:rsidR="006721A2">
        <w:rPr>
          <w:rFonts w:asciiTheme="minorHAnsi" w:hAnsiTheme="minorHAnsi" w:cstheme="minorHAnsi"/>
        </w:rPr>
        <w:t xml:space="preserve">suspension (one case), </w:t>
      </w:r>
      <w:r w:rsidR="006721A2" w:rsidRPr="00F72F9B">
        <w:rPr>
          <w:rFonts w:asciiTheme="minorHAnsi" w:hAnsiTheme="minorHAnsi" w:cstheme="minorHAnsi"/>
        </w:rPr>
        <w:t>reprimand (t</w:t>
      </w:r>
      <w:r w:rsidR="006721A2">
        <w:rPr>
          <w:rFonts w:asciiTheme="minorHAnsi" w:hAnsiTheme="minorHAnsi" w:cstheme="minorHAnsi"/>
        </w:rPr>
        <w:t>hree</w:t>
      </w:r>
      <w:r w:rsidR="006721A2" w:rsidRPr="00F72F9B">
        <w:rPr>
          <w:rFonts w:asciiTheme="minorHAnsi" w:hAnsiTheme="minorHAnsi" w:cstheme="minorHAnsi"/>
        </w:rPr>
        <w:t xml:space="preserve"> cases) and a reprimand plus warning (</w:t>
      </w:r>
      <w:r w:rsidR="006721A2">
        <w:rPr>
          <w:rFonts w:asciiTheme="minorHAnsi" w:hAnsiTheme="minorHAnsi" w:cstheme="minorHAnsi"/>
        </w:rPr>
        <w:t>one</w:t>
      </w:r>
      <w:r w:rsidR="006721A2" w:rsidRPr="00F72F9B">
        <w:rPr>
          <w:rFonts w:asciiTheme="minorHAnsi" w:hAnsiTheme="minorHAnsi" w:cstheme="minorHAnsi"/>
        </w:rPr>
        <w:t xml:space="preserve"> case).</w:t>
      </w:r>
      <w:r w:rsidR="006721A2">
        <w:rPr>
          <w:rFonts w:asciiTheme="minorHAnsi" w:hAnsiTheme="minorHAnsi" w:cstheme="minorHAnsi"/>
        </w:rPr>
        <w:t xml:space="preserve"> No cases resulted in</w:t>
      </w:r>
      <w:r w:rsidR="00A672B9">
        <w:rPr>
          <w:rFonts w:asciiTheme="minorHAnsi" w:hAnsiTheme="minorHAnsi" w:cstheme="minorHAnsi"/>
        </w:rPr>
        <w:t xml:space="preserve"> </w:t>
      </w:r>
      <w:r w:rsidR="00354F92">
        <w:rPr>
          <w:rFonts w:asciiTheme="minorHAnsi" w:hAnsiTheme="minorHAnsi" w:cstheme="minorHAnsi"/>
        </w:rPr>
        <w:t>the</w:t>
      </w:r>
      <w:r w:rsidR="00A672B9">
        <w:rPr>
          <w:rFonts w:asciiTheme="minorHAnsi" w:hAnsiTheme="minorHAnsi" w:cstheme="minorHAnsi"/>
        </w:rPr>
        <w:t xml:space="preserve"> veterinary surgeon being</w:t>
      </w:r>
      <w:r w:rsidR="006721A2">
        <w:rPr>
          <w:rFonts w:asciiTheme="minorHAnsi" w:hAnsiTheme="minorHAnsi" w:cstheme="minorHAnsi"/>
        </w:rPr>
        <w:t xml:space="preserve"> "str</w:t>
      </w:r>
      <w:r w:rsidR="00A672B9">
        <w:rPr>
          <w:rFonts w:asciiTheme="minorHAnsi" w:hAnsiTheme="minorHAnsi" w:cstheme="minorHAnsi"/>
        </w:rPr>
        <w:t>uck</w:t>
      </w:r>
      <w:r w:rsidR="006721A2">
        <w:rPr>
          <w:rFonts w:asciiTheme="minorHAnsi" w:hAnsiTheme="minorHAnsi" w:cstheme="minorHAnsi"/>
        </w:rPr>
        <w:t xml:space="preserve"> off," </w:t>
      </w:r>
      <w:r w:rsidR="00A672B9">
        <w:rPr>
          <w:rFonts w:asciiTheme="minorHAnsi" w:hAnsiTheme="minorHAnsi" w:cstheme="minorHAnsi"/>
        </w:rPr>
        <w:t xml:space="preserve">that is, having their name </w:t>
      </w:r>
      <w:r w:rsidR="006721A2">
        <w:rPr>
          <w:rFonts w:asciiTheme="minorHAnsi" w:hAnsiTheme="minorHAnsi" w:cstheme="minorHAnsi"/>
        </w:rPr>
        <w:t>permanent</w:t>
      </w:r>
      <w:r w:rsidR="00A672B9">
        <w:rPr>
          <w:rFonts w:asciiTheme="minorHAnsi" w:hAnsiTheme="minorHAnsi" w:cstheme="minorHAnsi"/>
        </w:rPr>
        <w:t>ly</w:t>
      </w:r>
      <w:r w:rsidR="006721A2">
        <w:rPr>
          <w:rFonts w:asciiTheme="minorHAnsi" w:hAnsiTheme="minorHAnsi" w:cstheme="minorHAnsi"/>
        </w:rPr>
        <w:t xml:space="preserve"> remov</w:t>
      </w:r>
      <w:r w:rsidR="00A672B9">
        <w:rPr>
          <w:rFonts w:asciiTheme="minorHAnsi" w:hAnsiTheme="minorHAnsi" w:cstheme="minorHAnsi"/>
        </w:rPr>
        <w:t>ed</w:t>
      </w:r>
      <w:r w:rsidR="006721A2">
        <w:rPr>
          <w:rFonts w:asciiTheme="minorHAnsi" w:hAnsiTheme="minorHAnsi" w:cstheme="minorHAnsi"/>
        </w:rPr>
        <w:t xml:space="preserve"> from the Register.</w:t>
      </w:r>
      <w:r w:rsidR="006978A2">
        <w:rPr>
          <w:rFonts w:asciiTheme="minorHAnsi" w:hAnsiTheme="minorHAnsi" w:cstheme="minorHAnsi"/>
        </w:rPr>
        <w:t xml:space="preserve"> Four of the five patients </w:t>
      </w:r>
      <w:r w:rsidR="004C2448">
        <w:rPr>
          <w:rFonts w:asciiTheme="minorHAnsi" w:hAnsiTheme="minorHAnsi" w:cstheme="minorHAnsi"/>
        </w:rPr>
        <w:t>in these cases</w:t>
      </w:r>
      <w:r w:rsidR="006978A2">
        <w:rPr>
          <w:rFonts w:asciiTheme="minorHAnsi" w:hAnsiTheme="minorHAnsi" w:cstheme="minorHAnsi"/>
        </w:rPr>
        <w:t xml:space="preserve"> died, three as a consequence of the veterinary surgeon’s conduct.</w:t>
      </w:r>
    </w:p>
    <w:p w14:paraId="6AD2608D" w14:textId="77777777" w:rsidR="006721A2" w:rsidRDefault="006721A2" w:rsidP="00934427">
      <w:pPr>
        <w:spacing w:line="360" w:lineRule="auto"/>
        <w:rPr>
          <w:rFonts w:asciiTheme="minorHAnsi" w:hAnsiTheme="minorHAnsi" w:cstheme="minorHAnsi"/>
          <w:b/>
          <w:bCs/>
        </w:rPr>
      </w:pPr>
    </w:p>
    <w:p w14:paraId="23CEFF8E" w14:textId="682CD9F7" w:rsidR="00533DE9" w:rsidRDefault="00037BC5" w:rsidP="00934427">
      <w:pPr>
        <w:spacing w:line="360" w:lineRule="auto"/>
        <w:rPr>
          <w:rFonts w:asciiTheme="minorHAnsi" w:hAnsiTheme="minorHAnsi" w:cstheme="minorHAnsi"/>
          <w:b/>
          <w:bCs/>
        </w:rPr>
      </w:pPr>
      <w:r>
        <w:rPr>
          <w:rFonts w:asciiTheme="minorHAnsi" w:hAnsiTheme="minorHAnsi" w:cstheme="minorHAnsi"/>
          <w:b/>
          <w:bCs/>
        </w:rPr>
        <w:t>Effects on professional guidance</w:t>
      </w:r>
    </w:p>
    <w:p w14:paraId="45A7470D"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Turning to the influence of these cases on professional ethical guidance, it does appear that their findings have led to revisions to the</w:t>
      </w:r>
      <w:r w:rsidRPr="00F72F9B">
        <w:rPr>
          <w:rFonts w:asciiTheme="minorHAnsi" w:hAnsiTheme="minorHAnsi" w:cstheme="minorHAnsi"/>
        </w:rPr>
        <w:t xml:space="preserve"> supporting guidance on communication and consent</w:t>
      </w:r>
      <w:r>
        <w:rPr>
          <w:rFonts w:asciiTheme="minorHAnsi" w:hAnsiTheme="minorHAnsi" w:cstheme="minorHAnsi"/>
        </w:rPr>
        <w:t>, primarily during the major review</w:t>
      </w:r>
      <w:r w:rsidRPr="00F72F9B">
        <w:rPr>
          <w:rFonts w:asciiTheme="minorHAnsi" w:hAnsiTheme="minorHAnsi" w:cstheme="minorHAnsi"/>
        </w:rPr>
        <w:t xml:space="preserve"> in March 2018</w:t>
      </w:r>
      <w:r>
        <w:rPr>
          <w:rFonts w:asciiTheme="minorHAnsi" w:hAnsiTheme="minorHAnsi" w:cstheme="minorHAnsi"/>
        </w:rPr>
        <w:t xml:space="preserve"> (although there were additional updates in October 2019 and June 2020)</w:t>
      </w:r>
      <w:r w:rsidRPr="00F72F9B">
        <w:rPr>
          <w:rFonts w:asciiTheme="minorHAnsi" w:hAnsiTheme="minorHAnsi" w:cstheme="minorHAnsi"/>
        </w:rPr>
        <w:t xml:space="preserve">. </w:t>
      </w:r>
      <w:r>
        <w:rPr>
          <w:rFonts w:asciiTheme="minorHAnsi" w:hAnsiTheme="minorHAnsi" w:cstheme="minorHAnsi"/>
        </w:rPr>
        <w:t>As specific</w:t>
      </w:r>
      <w:r w:rsidRPr="00F72F9B">
        <w:rPr>
          <w:rFonts w:asciiTheme="minorHAnsi" w:hAnsiTheme="minorHAnsi" w:cstheme="minorHAnsi"/>
        </w:rPr>
        <w:t xml:space="preserve"> example</w:t>
      </w:r>
      <w:r>
        <w:rPr>
          <w:rFonts w:asciiTheme="minorHAnsi" w:hAnsiTheme="minorHAnsi" w:cstheme="minorHAnsi"/>
        </w:rPr>
        <w:t>s</w:t>
      </w:r>
      <w:r w:rsidRPr="00F72F9B">
        <w:rPr>
          <w:rFonts w:asciiTheme="minorHAnsi" w:hAnsiTheme="minorHAnsi" w:cstheme="minorHAnsi"/>
        </w:rPr>
        <w:t xml:space="preserve">, </w:t>
      </w:r>
      <w:r>
        <w:rPr>
          <w:rFonts w:asciiTheme="minorHAnsi" w:hAnsiTheme="minorHAnsi" w:cstheme="minorHAnsi"/>
        </w:rPr>
        <w:t>the advice</w:t>
      </w:r>
      <w:r w:rsidRPr="00F72F9B">
        <w:rPr>
          <w:rFonts w:asciiTheme="minorHAnsi" w:hAnsiTheme="minorHAnsi" w:cstheme="minorHAnsi"/>
        </w:rPr>
        <w:t xml:space="preserve"> that informed consent involves</w:t>
      </w:r>
      <w:r>
        <w:rPr>
          <w:rFonts w:asciiTheme="minorHAnsi" w:hAnsiTheme="minorHAnsi" w:cstheme="minorHAnsi"/>
        </w:rPr>
        <w:t xml:space="preserve"> </w:t>
      </w:r>
      <w:r w:rsidRPr="00F72F9B">
        <w:rPr>
          <w:rFonts w:asciiTheme="minorHAnsi" w:hAnsiTheme="minorHAnsi" w:cstheme="minorHAnsi"/>
        </w:rPr>
        <w:t>"</w:t>
      </w:r>
      <w:r w:rsidRPr="00F72F9B">
        <w:rPr>
          <w:rFonts w:asciiTheme="minorHAnsi" w:hAnsiTheme="minorHAnsi" w:cstheme="minorHAnsi"/>
          <w:i/>
          <w:iCs/>
        </w:rPr>
        <w:t xml:space="preserve">Informing the client (where appropriate) that other treatment is available </w:t>
      </w:r>
      <w:r w:rsidRPr="00F72F9B">
        <w:rPr>
          <w:rFonts w:asciiTheme="minorHAnsi" w:hAnsiTheme="minorHAnsi" w:cstheme="minorHAnsi"/>
          <w:i/>
          <w:iCs/>
        </w:rPr>
        <w:lastRenderedPageBreak/>
        <w:t>that may have greater potential benefit than those available at the practice</w:t>
      </w:r>
      <w:r>
        <w:rPr>
          <w:rFonts w:asciiTheme="minorHAnsi" w:hAnsiTheme="minorHAnsi" w:cstheme="minorHAnsi"/>
          <w:i/>
          <w:iCs/>
        </w:rPr>
        <w:t>,</w:t>
      </w:r>
      <w:r w:rsidRPr="00F72F9B">
        <w:rPr>
          <w:rFonts w:asciiTheme="minorHAnsi" w:hAnsiTheme="minorHAnsi" w:cstheme="minorHAnsi"/>
        </w:rPr>
        <w:t>"</w:t>
      </w:r>
      <w:r>
        <w:rPr>
          <w:rStyle w:val="FootnoteReference"/>
          <w:rFonts w:cstheme="minorHAnsi"/>
        </w:rPr>
        <w:footnoteReference w:id="47"/>
      </w:r>
      <w:r w:rsidRPr="00F72F9B">
        <w:rPr>
          <w:rFonts w:asciiTheme="minorHAnsi" w:hAnsiTheme="minorHAnsi" w:cstheme="minorHAnsi"/>
        </w:rPr>
        <w:t> </w:t>
      </w:r>
      <w:r>
        <w:rPr>
          <w:rFonts w:asciiTheme="minorHAnsi" w:hAnsiTheme="minorHAnsi" w:cstheme="minorHAnsi"/>
        </w:rPr>
        <w:t>reflects the</w:t>
      </w:r>
      <w:r w:rsidRPr="00F72F9B">
        <w:rPr>
          <w:rFonts w:asciiTheme="minorHAnsi" w:hAnsiTheme="minorHAnsi" w:cstheme="minorHAnsi"/>
        </w:rPr>
        <w:t xml:space="preserve"> failures to offer treatment at specialist or referral practices that were considered in cases </w:t>
      </w:r>
      <w:r>
        <w:rPr>
          <w:rFonts w:asciiTheme="minorHAnsi" w:hAnsiTheme="minorHAnsi" w:cstheme="minorHAnsi"/>
        </w:rPr>
        <w:t>2</w:t>
      </w:r>
      <w:r w:rsidRPr="00F72F9B">
        <w:rPr>
          <w:rFonts w:asciiTheme="minorHAnsi" w:hAnsiTheme="minorHAnsi" w:cstheme="minorHAnsi"/>
        </w:rPr>
        <w:t xml:space="preserve"> and </w:t>
      </w:r>
      <w:r>
        <w:rPr>
          <w:rFonts w:asciiTheme="minorHAnsi" w:hAnsiTheme="minorHAnsi" w:cstheme="minorHAnsi"/>
        </w:rPr>
        <w:t>4</w:t>
      </w:r>
      <w:r w:rsidRPr="00F72F9B">
        <w:rPr>
          <w:rFonts w:asciiTheme="minorHAnsi" w:hAnsiTheme="minorHAnsi" w:cstheme="minorHAnsi"/>
        </w:rPr>
        <w:t>.</w:t>
      </w:r>
    </w:p>
    <w:p w14:paraId="3D5D99CF" w14:textId="77777777" w:rsidR="00163EAE" w:rsidRPr="00F72F9B" w:rsidRDefault="00163EAE" w:rsidP="00163EAE">
      <w:pPr>
        <w:spacing w:line="360" w:lineRule="auto"/>
        <w:rPr>
          <w:rFonts w:asciiTheme="minorHAnsi" w:hAnsiTheme="minorHAnsi" w:cstheme="minorHAnsi"/>
        </w:rPr>
      </w:pPr>
    </w:p>
    <w:p w14:paraId="4AE27D1B"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Next, the f</w:t>
      </w:r>
      <w:r w:rsidRPr="00F72F9B">
        <w:rPr>
          <w:rFonts w:asciiTheme="minorHAnsi" w:hAnsiTheme="minorHAnsi" w:cstheme="minorHAnsi"/>
        </w:rPr>
        <w:t xml:space="preserve">ailure to discuss and advise </w:t>
      </w:r>
      <w:r>
        <w:rPr>
          <w:rFonts w:asciiTheme="minorHAnsi" w:hAnsiTheme="minorHAnsi" w:cstheme="minorHAnsi"/>
        </w:rPr>
        <w:t xml:space="preserve">clients </w:t>
      </w:r>
      <w:r w:rsidRPr="00F72F9B">
        <w:rPr>
          <w:rFonts w:asciiTheme="minorHAnsi" w:hAnsiTheme="minorHAnsi" w:cstheme="minorHAnsi"/>
        </w:rPr>
        <w:t xml:space="preserve">regarding blood tests or intra-operative fluid therapy was highlighted in Case </w:t>
      </w:r>
      <w:r>
        <w:rPr>
          <w:rFonts w:asciiTheme="minorHAnsi" w:hAnsiTheme="minorHAnsi" w:cstheme="minorHAnsi"/>
        </w:rPr>
        <w:t>2</w:t>
      </w:r>
      <w:r w:rsidRPr="00F72F9B">
        <w:rPr>
          <w:rFonts w:asciiTheme="minorHAnsi" w:hAnsiTheme="minorHAnsi" w:cstheme="minorHAnsi"/>
        </w:rPr>
        <w:t>, where the vet</w:t>
      </w:r>
      <w:r>
        <w:rPr>
          <w:rFonts w:asciiTheme="minorHAnsi" w:hAnsiTheme="minorHAnsi" w:cstheme="minorHAnsi"/>
        </w:rPr>
        <w:t>erinarians</w:t>
      </w:r>
      <w:r w:rsidRPr="00F72F9B">
        <w:rPr>
          <w:rFonts w:asciiTheme="minorHAnsi" w:hAnsiTheme="minorHAnsi" w:cstheme="minorHAnsi"/>
        </w:rPr>
        <w:t xml:space="preserve"> involved neither read the consent forms, nor discussed the additional procedures with the clients. </w:t>
      </w:r>
      <w:r>
        <w:rPr>
          <w:rFonts w:asciiTheme="minorHAnsi" w:hAnsiTheme="minorHAnsi" w:cstheme="minorHAnsi"/>
        </w:rPr>
        <w:t>The requirement for proper discussion and advice regarding these additional procedures</w:t>
      </w:r>
      <w:r w:rsidRPr="00F72F9B">
        <w:rPr>
          <w:rFonts w:asciiTheme="minorHAnsi" w:hAnsiTheme="minorHAnsi" w:cstheme="minorHAnsi"/>
        </w:rPr>
        <w:t xml:space="preserve"> is incorporated in the </w:t>
      </w:r>
      <w:r>
        <w:rPr>
          <w:rFonts w:asciiTheme="minorHAnsi" w:hAnsiTheme="minorHAnsi" w:cstheme="minorHAnsi"/>
        </w:rPr>
        <w:t>revised guidance</w:t>
      </w:r>
      <w:r w:rsidRPr="00F72F9B">
        <w:rPr>
          <w:rFonts w:asciiTheme="minorHAnsi" w:hAnsiTheme="minorHAnsi" w:cstheme="minorHAnsi"/>
        </w:rPr>
        <w:t xml:space="preserve">, which </w:t>
      </w:r>
      <w:r>
        <w:rPr>
          <w:rFonts w:asciiTheme="minorHAnsi" w:hAnsiTheme="minorHAnsi" w:cstheme="minorHAnsi"/>
        </w:rPr>
        <w:t xml:space="preserve">now </w:t>
      </w:r>
      <w:r w:rsidRPr="00F72F9B">
        <w:rPr>
          <w:rFonts w:asciiTheme="minorHAnsi" w:hAnsiTheme="minorHAnsi" w:cstheme="minorHAnsi"/>
        </w:rPr>
        <w:t>states</w:t>
      </w:r>
      <w:r>
        <w:rPr>
          <w:rFonts w:asciiTheme="minorHAnsi" w:hAnsiTheme="minorHAnsi" w:cstheme="minorHAnsi"/>
        </w:rPr>
        <w:t>:</w:t>
      </w:r>
    </w:p>
    <w:p w14:paraId="6DE645A7" w14:textId="77777777" w:rsidR="00163EAE" w:rsidRDefault="00163EAE" w:rsidP="00163EAE">
      <w:pPr>
        <w:spacing w:line="360" w:lineRule="auto"/>
        <w:rPr>
          <w:rFonts w:asciiTheme="minorHAnsi" w:hAnsiTheme="minorHAnsi" w:cstheme="minorHAnsi"/>
        </w:rPr>
      </w:pPr>
    </w:p>
    <w:p w14:paraId="360B177F" w14:textId="77777777" w:rsidR="00163EAE" w:rsidRDefault="00163EAE" w:rsidP="00163EAE">
      <w:pPr>
        <w:spacing w:line="360" w:lineRule="auto"/>
        <w:ind w:left="720"/>
        <w:rPr>
          <w:rFonts w:asciiTheme="minorHAnsi" w:hAnsiTheme="minorHAnsi" w:cstheme="minorHAnsi"/>
        </w:rPr>
      </w:pPr>
      <w:r w:rsidRPr="00F72F9B">
        <w:rPr>
          <w:rFonts w:asciiTheme="minorHAnsi" w:hAnsiTheme="minorHAnsi" w:cstheme="minorHAnsi"/>
        </w:rPr>
        <w:t>"</w:t>
      </w:r>
      <w:r w:rsidRPr="00F72F9B">
        <w:rPr>
          <w:rFonts w:asciiTheme="minorHAnsi" w:hAnsiTheme="minorHAnsi" w:cstheme="minorHAnsi"/>
          <w:i/>
          <w:iCs/>
        </w:rPr>
        <w:t>If additional procedures or tests are offered on the consent form (e.g pre-op bloods) the veterinary surgeon should ensure that the client has been advised as to the potential advantages and advised of the associated costs. This should be documented on the consent form</w:t>
      </w:r>
      <w:r w:rsidRPr="00DE2E76">
        <w:rPr>
          <w:rFonts w:asciiTheme="minorHAnsi" w:hAnsiTheme="minorHAnsi" w:cstheme="minorHAnsi"/>
        </w:rPr>
        <w:t>."</w:t>
      </w:r>
      <w:r>
        <w:rPr>
          <w:rStyle w:val="FootnoteReference"/>
          <w:rFonts w:cstheme="minorHAnsi"/>
        </w:rPr>
        <w:footnoteReference w:id="48"/>
      </w:r>
      <w:r w:rsidRPr="00F72F9B">
        <w:rPr>
          <w:rFonts w:asciiTheme="minorHAnsi" w:hAnsiTheme="minorHAnsi" w:cstheme="minorHAnsi"/>
        </w:rPr>
        <w:t xml:space="preserve"> </w:t>
      </w:r>
    </w:p>
    <w:p w14:paraId="6291387A" w14:textId="77777777" w:rsidR="00163EAE" w:rsidRDefault="00163EAE" w:rsidP="00163EAE">
      <w:pPr>
        <w:spacing w:line="360" w:lineRule="auto"/>
        <w:rPr>
          <w:rFonts w:asciiTheme="minorHAnsi" w:hAnsiTheme="minorHAnsi" w:cstheme="minorHAnsi"/>
        </w:rPr>
      </w:pPr>
    </w:p>
    <w:p w14:paraId="78309C40"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Although this case</w:t>
      </w:r>
      <w:r w:rsidRPr="00F72F9B">
        <w:rPr>
          <w:rFonts w:asciiTheme="minorHAnsi" w:hAnsiTheme="minorHAnsi" w:cstheme="minorHAnsi"/>
        </w:rPr>
        <w:t xml:space="preserve"> </w:t>
      </w:r>
      <w:r>
        <w:rPr>
          <w:rFonts w:asciiTheme="minorHAnsi" w:hAnsiTheme="minorHAnsi" w:cstheme="minorHAnsi"/>
        </w:rPr>
        <w:t>was heard by the Committee</w:t>
      </w:r>
      <w:r w:rsidRPr="00F72F9B">
        <w:rPr>
          <w:rFonts w:asciiTheme="minorHAnsi" w:hAnsiTheme="minorHAnsi" w:cstheme="minorHAnsi"/>
        </w:rPr>
        <w:t xml:space="preserve"> in November 2019, the clinical events </w:t>
      </w:r>
      <w:r>
        <w:rPr>
          <w:rFonts w:asciiTheme="minorHAnsi" w:hAnsiTheme="minorHAnsi" w:cstheme="minorHAnsi"/>
        </w:rPr>
        <w:t>took</w:t>
      </w:r>
      <w:r w:rsidRPr="00F72F9B">
        <w:rPr>
          <w:rFonts w:asciiTheme="minorHAnsi" w:hAnsiTheme="minorHAnsi" w:cstheme="minorHAnsi"/>
        </w:rPr>
        <w:t xml:space="preserve"> place in August 2016</w:t>
      </w:r>
      <w:r>
        <w:rPr>
          <w:rFonts w:asciiTheme="minorHAnsi" w:hAnsiTheme="minorHAnsi" w:cstheme="minorHAnsi"/>
        </w:rPr>
        <w:t>; it is therefore likely</w:t>
      </w:r>
      <w:r w:rsidRPr="00F72F9B">
        <w:rPr>
          <w:rFonts w:asciiTheme="minorHAnsi" w:hAnsiTheme="minorHAnsi" w:cstheme="minorHAnsi"/>
        </w:rPr>
        <w:t xml:space="preserve"> that this case </w:t>
      </w:r>
      <w:r>
        <w:rPr>
          <w:rFonts w:asciiTheme="minorHAnsi" w:hAnsiTheme="minorHAnsi" w:cstheme="minorHAnsi"/>
        </w:rPr>
        <w:t>was</w:t>
      </w:r>
      <w:r w:rsidRPr="00F72F9B">
        <w:rPr>
          <w:rFonts w:asciiTheme="minorHAnsi" w:hAnsiTheme="minorHAnsi" w:cstheme="minorHAnsi"/>
        </w:rPr>
        <w:t xml:space="preserve"> pro</w:t>
      </w:r>
      <w:r>
        <w:rPr>
          <w:rFonts w:asciiTheme="minorHAnsi" w:hAnsiTheme="minorHAnsi" w:cstheme="minorHAnsi"/>
        </w:rPr>
        <w:t>gress</w:t>
      </w:r>
      <w:r w:rsidRPr="00F72F9B">
        <w:rPr>
          <w:rFonts w:asciiTheme="minorHAnsi" w:hAnsiTheme="minorHAnsi" w:cstheme="minorHAnsi"/>
        </w:rPr>
        <w:t xml:space="preserve">ing through the preliminary stages of the disciplinary process around the time </w:t>
      </w:r>
      <w:r>
        <w:rPr>
          <w:rFonts w:asciiTheme="minorHAnsi" w:hAnsiTheme="minorHAnsi" w:cstheme="minorHAnsi"/>
        </w:rPr>
        <w:t>of review of</w:t>
      </w:r>
      <w:r w:rsidRPr="00F72F9B">
        <w:rPr>
          <w:rFonts w:asciiTheme="minorHAnsi" w:hAnsiTheme="minorHAnsi" w:cstheme="minorHAnsi"/>
        </w:rPr>
        <w:t xml:space="preserve"> the consent guidance.</w:t>
      </w:r>
      <w:r>
        <w:rPr>
          <w:rFonts w:asciiTheme="minorHAnsi" w:hAnsiTheme="minorHAnsi" w:cstheme="minorHAnsi"/>
        </w:rPr>
        <w:t xml:space="preserve"> </w:t>
      </w:r>
    </w:p>
    <w:p w14:paraId="7BE72DB8" w14:textId="77777777" w:rsidR="00163EAE" w:rsidRDefault="00163EAE" w:rsidP="00163EAE">
      <w:pPr>
        <w:spacing w:line="360" w:lineRule="auto"/>
        <w:rPr>
          <w:rFonts w:asciiTheme="minorHAnsi" w:hAnsiTheme="minorHAnsi" w:cstheme="minorHAnsi"/>
        </w:rPr>
      </w:pPr>
    </w:p>
    <w:p w14:paraId="6ED1F064"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 xml:space="preserve">Cases 3 and 4 included references to consent forms; the former highlighting the failure to document the dental procedure and its associated risks on the form, the latter identifying the failure to read the consent form before surgery. </w:t>
      </w:r>
      <w:r w:rsidRPr="00F72F9B">
        <w:rPr>
          <w:rFonts w:asciiTheme="minorHAnsi" w:hAnsiTheme="minorHAnsi" w:cstheme="minorHAnsi"/>
        </w:rPr>
        <w:t xml:space="preserve">Case </w:t>
      </w:r>
      <w:r>
        <w:rPr>
          <w:rFonts w:asciiTheme="minorHAnsi" w:hAnsiTheme="minorHAnsi" w:cstheme="minorHAnsi"/>
        </w:rPr>
        <w:t>3 relied on the term</w:t>
      </w:r>
      <w:r w:rsidRPr="00F72F9B">
        <w:rPr>
          <w:rFonts w:asciiTheme="minorHAnsi" w:hAnsiTheme="minorHAnsi" w:cstheme="minorHAnsi"/>
        </w:rPr>
        <w:t xml:space="preserve"> "treatment options" </w:t>
      </w:r>
      <w:r>
        <w:rPr>
          <w:rFonts w:asciiTheme="minorHAnsi" w:hAnsiTheme="minorHAnsi" w:cstheme="minorHAnsi"/>
        </w:rPr>
        <w:t xml:space="preserve">as </w:t>
      </w:r>
      <w:r w:rsidRPr="00F72F9B">
        <w:rPr>
          <w:rFonts w:asciiTheme="minorHAnsi" w:hAnsiTheme="minorHAnsi" w:cstheme="minorHAnsi"/>
        </w:rPr>
        <w:t>includ</w:t>
      </w:r>
      <w:r>
        <w:rPr>
          <w:rFonts w:asciiTheme="minorHAnsi" w:hAnsiTheme="minorHAnsi" w:cstheme="minorHAnsi"/>
        </w:rPr>
        <w:t>ing</w:t>
      </w:r>
      <w:r w:rsidRPr="00F72F9B">
        <w:rPr>
          <w:rFonts w:asciiTheme="minorHAnsi" w:hAnsiTheme="minorHAnsi" w:cstheme="minorHAnsi"/>
        </w:rPr>
        <w:t xml:space="preserve"> the option of </w:t>
      </w:r>
      <w:r>
        <w:rPr>
          <w:rFonts w:asciiTheme="minorHAnsi" w:hAnsiTheme="minorHAnsi" w:cstheme="minorHAnsi"/>
        </w:rPr>
        <w:t xml:space="preserve">delayed or no treatment. However, the Supporting Guidance refers to </w:t>
      </w:r>
      <w:r w:rsidRPr="00DE2E76">
        <w:rPr>
          <w:rFonts w:asciiTheme="minorHAnsi" w:hAnsiTheme="minorHAnsi" w:cstheme="minorHAnsi"/>
          <w:i/>
          <w:iCs/>
        </w:rPr>
        <w:t>"a range of treatment options (including euthanasia)"</w:t>
      </w:r>
      <w:r>
        <w:rPr>
          <w:rStyle w:val="FootnoteReference"/>
          <w:rFonts w:cstheme="minorHAnsi"/>
          <w:i/>
          <w:iCs/>
        </w:rPr>
        <w:footnoteReference w:id="49"/>
      </w:r>
      <w:r>
        <w:rPr>
          <w:rFonts w:asciiTheme="minorHAnsi" w:hAnsiTheme="minorHAnsi" w:cstheme="minorHAnsi"/>
          <w:i/>
          <w:iCs/>
        </w:rPr>
        <w:t xml:space="preserve"> </w:t>
      </w:r>
      <w:r>
        <w:rPr>
          <w:rFonts w:asciiTheme="minorHAnsi" w:hAnsiTheme="minorHAnsi" w:cstheme="minorHAnsi"/>
        </w:rPr>
        <w:t>rather than specifying delayed or no treatment as options.</w:t>
      </w:r>
      <w:r w:rsidRPr="00F72F9B">
        <w:rPr>
          <w:rFonts w:asciiTheme="minorHAnsi" w:hAnsiTheme="minorHAnsi" w:cstheme="minorHAnsi"/>
        </w:rPr>
        <w:t xml:space="preserve"> </w:t>
      </w:r>
      <w:r>
        <w:rPr>
          <w:rFonts w:asciiTheme="minorHAnsi" w:hAnsiTheme="minorHAnsi" w:cstheme="minorHAnsi"/>
        </w:rPr>
        <w:t>More cases whose judgments recommend the offering of no/ delayed treatment as options may be required to elicit clearer guidance in this area.</w:t>
      </w:r>
    </w:p>
    <w:p w14:paraId="0700129C" w14:textId="77777777" w:rsidR="00163EAE" w:rsidRPr="00F72F9B" w:rsidRDefault="00163EAE" w:rsidP="00163EAE">
      <w:pPr>
        <w:spacing w:line="360" w:lineRule="auto"/>
        <w:rPr>
          <w:rFonts w:asciiTheme="minorHAnsi" w:hAnsiTheme="minorHAnsi" w:cstheme="minorHAnsi"/>
          <w:color w:val="FF0000"/>
        </w:rPr>
      </w:pPr>
    </w:p>
    <w:p w14:paraId="28D69BE7"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 xml:space="preserve">Cases 4 and 5 highlighted the failure </w:t>
      </w:r>
      <w:r w:rsidRPr="00F72F9B">
        <w:rPr>
          <w:rFonts w:asciiTheme="minorHAnsi" w:hAnsiTheme="minorHAnsi" w:cstheme="minorHAnsi"/>
        </w:rPr>
        <w:t xml:space="preserve">to inform clients about the level of </w:t>
      </w:r>
      <w:r>
        <w:rPr>
          <w:rFonts w:asciiTheme="minorHAnsi" w:hAnsiTheme="minorHAnsi" w:cstheme="minorHAnsi"/>
        </w:rPr>
        <w:t xml:space="preserve">overnight </w:t>
      </w:r>
      <w:r w:rsidRPr="00F72F9B">
        <w:rPr>
          <w:rFonts w:asciiTheme="minorHAnsi" w:hAnsiTheme="minorHAnsi" w:cstheme="minorHAnsi"/>
        </w:rPr>
        <w:t>care provided at the practice</w:t>
      </w:r>
      <w:r>
        <w:rPr>
          <w:rFonts w:asciiTheme="minorHAnsi" w:hAnsiTheme="minorHAnsi" w:cstheme="minorHAnsi"/>
        </w:rPr>
        <w:t>; specific advice</w:t>
      </w:r>
      <w:r w:rsidRPr="00F72F9B">
        <w:rPr>
          <w:rFonts w:asciiTheme="minorHAnsi" w:hAnsiTheme="minorHAnsi" w:cstheme="minorHAnsi"/>
        </w:rPr>
        <w:t xml:space="preserve"> </w:t>
      </w:r>
      <w:r>
        <w:rPr>
          <w:rFonts w:asciiTheme="minorHAnsi" w:hAnsiTheme="minorHAnsi" w:cstheme="minorHAnsi"/>
        </w:rPr>
        <w:t xml:space="preserve">on this topic </w:t>
      </w:r>
      <w:r w:rsidRPr="00F72F9B">
        <w:rPr>
          <w:rFonts w:asciiTheme="minorHAnsi" w:hAnsiTheme="minorHAnsi" w:cstheme="minorHAnsi"/>
        </w:rPr>
        <w:t xml:space="preserve">is </w:t>
      </w:r>
      <w:r>
        <w:rPr>
          <w:rFonts w:asciiTheme="minorHAnsi" w:hAnsiTheme="minorHAnsi" w:cstheme="minorHAnsi"/>
        </w:rPr>
        <w:t xml:space="preserve">now </w:t>
      </w:r>
      <w:r w:rsidRPr="00F72F9B">
        <w:rPr>
          <w:rFonts w:asciiTheme="minorHAnsi" w:hAnsiTheme="minorHAnsi" w:cstheme="minorHAnsi"/>
        </w:rPr>
        <w:t xml:space="preserve">included in </w:t>
      </w:r>
      <w:r>
        <w:rPr>
          <w:rFonts w:asciiTheme="minorHAnsi" w:hAnsiTheme="minorHAnsi" w:cstheme="minorHAnsi"/>
        </w:rPr>
        <w:t>the updated Supporting Guidance</w:t>
      </w:r>
      <w:r w:rsidRPr="00F72F9B">
        <w:rPr>
          <w:rFonts w:asciiTheme="minorHAnsi" w:hAnsiTheme="minorHAnsi" w:cstheme="minorHAnsi"/>
        </w:rPr>
        <w:t xml:space="preserve"> </w:t>
      </w:r>
      <w:r>
        <w:rPr>
          <w:rFonts w:asciiTheme="minorHAnsi" w:hAnsiTheme="minorHAnsi" w:cstheme="minorHAnsi"/>
        </w:rPr>
        <w:t xml:space="preserve">on </w:t>
      </w:r>
      <w:r w:rsidRPr="00F72F9B">
        <w:rPr>
          <w:rFonts w:asciiTheme="minorHAnsi" w:hAnsiTheme="minorHAnsi" w:cstheme="minorHAnsi"/>
        </w:rPr>
        <w:t>Veterinary Care:</w:t>
      </w:r>
    </w:p>
    <w:p w14:paraId="4C27AD5B" w14:textId="77777777" w:rsidR="00163EAE" w:rsidRPr="00F72F9B" w:rsidRDefault="00163EAE" w:rsidP="00163EAE">
      <w:pPr>
        <w:spacing w:line="360" w:lineRule="auto"/>
        <w:rPr>
          <w:rFonts w:asciiTheme="minorHAnsi" w:hAnsiTheme="minorHAnsi" w:cstheme="minorHAnsi"/>
        </w:rPr>
      </w:pPr>
    </w:p>
    <w:p w14:paraId="29325DFE" w14:textId="05BD1536" w:rsidR="00163EAE" w:rsidRPr="00972E38" w:rsidRDefault="00972E38" w:rsidP="00972E38">
      <w:pPr>
        <w:spacing w:line="360" w:lineRule="auto"/>
        <w:ind w:left="720"/>
        <w:rPr>
          <w:rFonts w:asciiTheme="minorHAnsi" w:hAnsiTheme="minorHAnsi" w:cstheme="minorHAnsi"/>
          <w:i/>
          <w:iCs/>
        </w:rPr>
      </w:pPr>
      <w:r w:rsidRPr="00972E38">
        <w:rPr>
          <w:rFonts w:asciiTheme="minorHAnsi" w:hAnsiTheme="minorHAnsi" w:cstheme="minorHAnsi"/>
          <w:i/>
          <w:iCs/>
        </w:rPr>
        <w:t>2.13  Informed consent from the outset should, as necessary, include the arrangements to be made in the event that an animal needs to be hospitalised, including clarity about the level of supervision and possible transfer arrangements.</w:t>
      </w:r>
      <w:r w:rsidR="00163EAE" w:rsidRPr="00F72F9B">
        <w:rPr>
          <w:rFonts w:asciiTheme="minorHAnsi" w:hAnsiTheme="minorHAnsi" w:cstheme="minorHAnsi"/>
        </w:rPr>
        <w:t>"</w:t>
      </w:r>
      <w:r w:rsidR="00163EAE">
        <w:rPr>
          <w:rStyle w:val="FootnoteReference"/>
          <w:rFonts w:cstheme="minorHAnsi"/>
        </w:rPr>
        <w:footnoteReference w:id="50"/>
      </w:r>
    </w:p>
    <w:p w14:paraId="0C4C9C43" w14:textId="77777777" w:rsidR="00163EAE" w:rsidRPr="00F72F9B" w:rsidRDefault="00163EAE" w:rsidP="00163EAE">
      <w:pPr>
        <w:spacing w:line="360" w:lineRule="auto"/>
        <w:ind w:left="720"/>
        <w:rPr>
          <w:rFonts w:asciiTheme="minorHAnsi" w:hAnsiTheme="minorHAnsi" w:cstheme="minorHAnsi"/>
        </w:rPr>
      </w:pPr>
    </w:p>
    <w:p w14:paraId="721378A6"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T</w:t>
      </w:r>
      <w:r w:rsidRPr="00F72F9B">
        <w:rPr>
          <w:rFonts w:asciiTheme="minorHAnsi" w:hAnsiTheme="minorHAnsi" w:cstheme="minorHAnsi"/>
        </w:rPr>
        <w:t xml:space="preserve">he Disciplinary Committee </w:t>
      </w:r>
      <w:r>
        <w:rPr>
          <w:rFonts w:asciiTheme="minorHAnsi" w:hAnsiTheme="minorHAnsi" w:cstheme="minorHAnsi"/>
        </w:rPr>
        <w:t>failed to make specific</w:t>
      </w:r>
      <w:r w:rsidRPr="00F72F9B">
        <w:rPr>
          <w:rFonts w:asciiTheme="minorHAnsi" w:hAnsiTheme="minorHAnsi" w:cstheme="minorHAnsi"/>
        </w:rPr>
        <w:t xml:space="preserve"> comment</w:t>
      </w:r>
      <w:r>
        <w:rPr>
          <w:rFonts w:asciiTheme="minorHAnsi" w:hAnsiTheme="minorHAnsi" w:cstheme="minorHAnsi"/>
        </w:rPr>
        <w:t xml:space="preserve"> during Case 4</w:t>
      </w:r>
      <w:r w:rsidRPr="00F72F9B">
        <w:rPr>
          <w:rFonts w:asciiTheme="minorHAnsi" w:hAnsiTheme="minorHAnsi" w:cstheme="minorHAnsi"/>
        </w:rPr>
        <w:t xml:space="preserve"> on the fact that a receptionist had obtained consent from clients</w:t>
      </w:r>
      <w:r>
        <w:rPr>
          <w:rFonts w:asciiTheme="minorHAnsi" w:hAnsiTheme="minorHAnsi" w:cstheme="minorHAnsi"/>
        </w:rPr>
        <w:t>. This case was heard prior to</w:t>
      </w:r>
      <w:r w:rsidRPr="00F72F9B">
        <w:rPr>
          <w:rFonts w:asciiTheme="minorHAnsi" w:hAnsiTheme="minorHAnsi" w:cstheme="minorHAnsi"/>
        </w:rPr>
        <w:t xml:space="preserve"> the 2018 changes to consent</w:t>
      </w:r>
      <w:r>
        <w:rPr>
          <w:rFonts w:asciiTheme="minorHAnsi" w:hAnsiTheme="minorHAnsi" w:cstheme="minorHAnsi"/>
        </w:rPr>
        <w:t xml:space="preserve"> guidance, which now</w:t>
      </w:r>
      <w:r w:rsidRPr="00F72F9B">
        <w:rPr>
          <w:rFonts w:asciiTheme="minorHAnsi" w:hAnsiTheme="minorHAnsi" w:cstheme="minorHAnsi"/>
        </w:rPr>
        <w:t xml:space="preserve"> stipulat</w:t>
      </w:r>
      <w:r>
        <w:rPr>
          <w:rFonts w:asciiTheme="minorHAnsi" w:hAnsiTheme="minorHAnsi" w:cstheme="minorHAnsi"/>
        </w:rPr>
        <w:t>es</w:t>
      </w:r>
      <w:r w:rsidRPr="00F72F9B">
        <w:rPr>
          <w:rFonts w:asciiTheme="minorHAnsi" w:hAnsiTheme="minorHAnsi" w:cstheme="minorHAnsi"/>
        </w:rPr>
        <w:t xml:space="preserve"> that the </w:t>
      </w:r>
      <w:r>
        <w:rPr>
          <w:rFonts w:asciiTheme="minorHAnsi" w:hAnsiTheme="minorHAnsi" w:cstheme="minorHAnsi"/>
        </w:rPr>
        <w:t>most suitable</w:t>
      </w:r>
      <w:r w:rsidRPr="00F72F9B">
        <w:rPr>
          <w:rFonts w:asciiTheme="minorHAnsi" w:hAnsiTheme="minorHAnsi" w:cstheme="minorHAnsi"/>
        </w:rPr>
        <w:t xml:space="preserve"> person to obtain consent is the veterinary surgeon who will perform the treatment</w:t>
      </w:r>
      <w:r>
        <w:rPr>
          <w:rFonts w:asciiTheme="minorHAnsi" w:hAnsiTheme="minorHAnsi" w:cstheme="minorHAnsi"/>
        </w:rPr>
        <w:t>. D</w:t>
      </w:r>
      <w:r w:rsidRPr="00F72F9B">
        <w:rPr>
          <w:rFonts w:asciiTheme="minorHAnsi" w:hAnsiTheme="minorHAnsi" w:cstheme="minorHAnsi"/>
        </w:rPr>
        <w:t>elegat</w:t>
      </w:r>
      <w:r>
        <w:rPr>
          <w:rFonts w:asciiTheme="minorHAnsi" w:hAnsiTheme="minorHAnsi" w:cstheme="minorHAnsi"/>
        </w:rPr>
        <w:t>ion is limited</w:t>
      </w:r>
      <w:r w:rsidRPr="00F72F9B">
        <w:rPr>
          <w:rFonts w:asciiTheme="minorHAnsi" w:hAnsiTheme="minorHAnsi" w:cstheme="minorHAnsi"/>
        </w:rPr>
        <w:t xml:space="preserve"> to a qualified or student veterinary nurse</w:t>
      </w:r>
      <w:r>
        <w:rPr>
          <w:rFonts w:asciiTheme="minorHAnsi" w:hAnsiTheme="minorHAnsi" w:cstheme="minorHAnsi"/>
        </w:rPr>
        <w:t xml:space="preserve"> who has</w:t>
      </w:r>
      <w:r w:rsidRPr="00F72F9B">
        <w:rPr>
          <w:rFonts w:asciiTheme="minorHAnsi" w:hAnsiTheme="minorHAnsi" w:cstheme="minorHAnsi"/>
        </w:rPr>
        <w:t xml:space="preserve"> had appropriate training</w:t>
      </w:r>
      <w:r>
        <w:rPr>
          <w:rFonts w:asciiTheme="minorHAnsi" w:hAnsiTheme="minorHAnsi" w:cstheme="minorHAnsi"/>
        </w:rPr>
        <w:t>,</w:t>
      </w:r>
      <w:r>
        <w:rPr>
          <w:rStyle w:val="FootnoteReference"/>
          <w:rFonts w:cstheme="minorHAnsi"/>
        </w:rPr>
        <w:footnoteReference w:id="51"/>
      </w:r>
      <w:r>
        <w:rPr>
          <w:rFonts w:asciiTheme="minorHAnsi" w:hAnsiTheme="minorHAnsi" w:cstheme="minorHAnsi"/>
        </w:rPr>
        <w:t xml:space="preserve"> thus excluding receptionists from performing this task.</w:t>
      </w:r>
      <w:r w:rsidRPr="00F72F9B">
        <w:rPr>
          <w:rFonts w:asciiTheme="minorHAnsi" w:hAnsiTheme="minorHAnsi" w:cstheme="minorHAnsi"/>
        </w:rPr>
        <w:t xml:space="preserve"> </w:t>
      </w:r>
    </w:p>
    <w:p w14:paraId="70086EFD" w14:textId="77777777" w:rsidR="00163EAE" w:rsidRDefault="00163EAE" w:rsidP="00163EAE">
      <w:pPr>
        <w:spacing w:line="360" w:lineRule="auto"/>
        <w:rPr>
          <w:rFonts w:asciiTheme="minorHAnsi" w:hAnsiTheme="minorHAnsi" w:cstheme="minorHAnsi"/>
        </w:rPr>
      </w:pPr>
    </w:p>
    <w:p w14:paraId="0E96D553" w14:textId="77777777" w:rsidR="00163EAE" w:rsidRDefault="00163EAE" w:rsidP="00163EAE">
      <w:pPr>
        <w:spacing w:line="360" w:lineRule="auto"/>
        <w:rPr>
          <w:rFonts w:asciiTheme="minorHAnsi" w:hAnsiTheme="minorHAnsi" w:cstheme="minorHAnsi"/>
        </w:rPr>
      </w:pPr>
      <w:r>
        <w:rPr>
          <w:rFonts w:asciiTheme="minorHAnsi" w:hAnsiTheme="minorHAnsi" w:cstheme="minorHAnsi"/>
        </w:rPr>
        <w:t xml:space="preserve">It therefore seems that in the veterinary medical field, findings from disciplinary hearings can produce changes to professional ethical guidance, with cases 2, 3, 4 and 5 linked to changes made to the guidance on consent in the latest review of that guidance. </w:t>
      </w:r>
    </w:p>
    <w:p w14:paraId="2C4DF470" w14:textId="77777777" w:rsidR="00163EAE" w:rsidRPr="00F72F9B" w:rsidRDefault="00163EAE" w:rsidP="00934427">
      <w:pPr>
        <w:spacing w:line="360" w:lineRule="auto"/>
        <w:rPr>
          <w:rFonts w:asciiTheme="minorHAnsi" w:hAnsiTheme="minorHAnsi" w:cstheme="minorHAnsi"/>
          <w:b/>
          <w:bCs/>
        </w:rPr>
      </w:pPr>
    </w:p>
    <w:p w14:paraId="6FA0B25C" w14:textId="35AF4C37" w:rsidR="00163EAE" w:rsidRPr="004F67B4" w:rsidRDefault="00163EAE" w:rsidP="00934427">
      <w:pPr>
        <w:spacing w:line="360" w:lineRule="auto"/>
        <w:rPr>
          <w:rFonts w:asciiTheme="minorHAnsi" w:hAnsiTheme="minorHAnsi" w:cstheme="minorHAnsi"/>
          <w:b/>
          <w:bCs/>
          <w:sz w:val="28"/>
          <w:szCs w:val="28"/>
        </w:rPr>
      </w:pPr>
      <w:r w:rsidRPr="004F67B4">
        <w:rPr>
          <w:rFonts w:asciiTheme="minorHAnsi" w:hAnsiTheme="minorHAnsi" w:cstheme="minorHAnsi"/>
          <w:b/>
          <w:bCs/>
          <w:sz w:val="28"/>
          <w:szCs w:val="28"/>
        </w:rPr>
        <w:t>Discussion</w:t>
      </w:r>
    </w:p>
    <w:p w14:paraId="7502F932" w14:textId="1E565193" w:rsidR="004C2448" w:rsidRDefault="00035184" w:rsidP="00934427">
      <w:pPr>
        <w:spacing w:line="360" w:lineRule="auto"/>
        <w:rPr>
          <w:rFonts w:asciiTheme="minorHAnsi" w:hAnsiTheme="minorHAnsi" w:cstheme="minorHAnsi"/>
        </w:rPr>
      </w:pPr>
      <w:r>
        <w:rPr>
          <w:rFonts w:asciiTheme="minorHAnsi" w:hAnsiTheme="minorHAnsi" w:cstheme="minorHAnsi"/>
        </w:rPr>
        <w:t xml:space="preserve">In setting out to examine the formation of consent in veterinary medicine, it was expected that the </w:t>
      </w:r>
      <w:r w:rsidR="0031436D">
        <w:rPr>
          <w:rFonts w:asciiTheme="minorHAnsi" w:hAnsiTheme="minorHAnsi" w:cstheme="minorHAnsi"/>
        </w:rPr>
        <w:t xml:space="preserve">RCVS </w:t>
      </w:r>
      <w:r w:rsidR="006978A2">
        <w:rPr>
          <w:rFonts w:asciiTheme="minorHAnsi" w:hAnsiTheme="minorHAnsi" w:cstheme="minorHAnsi"/>
        </w:rPr>
        <w:t xml:space="preserve">CoPC </w:t>
      </w:r>
      <w:r>
        <w:rPr>
          <w:rFonts w:asciiTheme="minorHAnsi" w:hAnsiTheme="minorHAnsi" w:cstheme="minorHAnsi"/>
        </w:rPr>
        <w:t xml:space="preserve">would play a key role in </w:t>
      </w:r>
      <w:r w:rsidR="004C2448">
        <w:rPr>
          <w:rFonts w:asciiTheme="minorHAnsi" w:hAnsiTheme="minorHAnsi" w:cstheme="minorHAnsi"/>
        </w:rPr>
        <w:t>stipulating</w:t>
      </w:r>
      <w:r>
        <w:rPr>
          <w:rFonts w:asciiTheme="minorHAnsi" w:hAnsiTheme="minorHAnsi" w:cstheme="minorHAnsi"/>
        </w:rPr>
        <w:t xml:space="preserve"> the normative requirements for consent. </w:t>
      </w:r>
      <w:r w:rsidR="00AC3D41">
        <w:rPr>
          <w:rFonts w:asciiTheme="minorHAnsi" w:hAnsiTheme="minorHAnsi" w:cstheme="minorHAnsi"/>
        </w:rPr>
        <w:t xml:space="preserve">Indeed, </w:t>
      </w:r>
      <w:r w:rsidR="003C0DEB">
        <w:rPr>
          <w:rFonts w:asciiTheme="minorHAnsi" w:hAnsiTheme="minorHAnsi" w:cstheme="minorHAnsi"/>
        </w:rPr>
        <w:t>the</w:t>
      </w:r>
      <w:r>
        <w:rPr>
          <w:rFonts w:asciiTheme="minorHAnsi" w:hAnsiTheme="minorHAnsi" w:cstheme="minorHAnsi"/>
        </w:rPr>
        <w:t xml:space="preserve"> profession</w:t>
      </w:r>
      <w:r w:rsidR="003C0DEB">
        <w:rPr>
          <w:rFonts w:asciiTheme="minorHAnsi" w:hAnsiTheme="minorHAnsi" w:cstheme="minorHAnsi"/>
        </w:rPr>
        <w:t>’s</w:t>
      </w:r>
      <w:r>
        <w:rPr>
          <w:rFonts w:asciiTheme="minorHAnsi" w:hAnsiTheme="minorHAnsi" w:cstheme="minorHAnsi"/>
        </w:rPr>
        <w:t xml:space="preserve"> ethical guidance was used to demonstrate</w:t>
      </w:r>
      <w:r w:rsidR="00354F92">
        <w:rPr>
          <w:rFonts w:asciiTheme="minorHAnsi" w:hAnsiTheme="minorHAnsi" w:cstheme="minorHAnsi"/>
        </w:rPr>
        <w:t xml:space="preserve"> a</w:t>
      </w:r>
      <w:r>
        <w:rPr>
          <w:rFonts w:asciiTheme="minorHAnsi" w:hAnsiTheme="minorHAnsi" w:cstheme="minorHAnsi"/>
        </w:rPr>
        <w:t xml:space="preserve"> failure to obtain consent in all of the disciplinary cases examined.</w:t>
      </w:r>
      <w:r w:rsidR="0020428B">
        <w:rPr>
          <w:rFonts w:asciiTheme="minorHAnsi" w:hAnsiTheme="minorHAnsi" w:cstheme="minorHAnsi"/>
        </w:rPr>
        <w:t xml:space="preserve"> </w:t>
      </w:r>
      <w:r w:rsidR="00163EAE">
        <w:rPr>
          <w:rFonts w:asciiTheme="minorHAnsi" w:hAnsiTheme="minorHAnsi" w:cstheme="minorHAnsi"/>
        </w:rPr>
        <w:t xml:space="preserve">It also appears that </w:t>
      </w:r>
      <w:r w:rsidR="004C2448">
        <w:rPr>
          <w:rFonts w:asciiTheme="minorHAnsi" w:hAnsiTheme="minorHAnsi" w:cstheme="minorHAnsi"/>
        </w:rPr>
        <w:t xml:space="preserve">disciplinary hearings may influence </w:t>
      </w:r>
      <w:r w:rsidR="003C0DEB">
        <w:rPr>
          <w:rFonts w:asciiTheme="minorHAnsi" w:hAnsiTheme="minorHAnsi" w:cstheme="minorHAnsi"/>
        </w:rPr>
        <w:t>changes to this</w:t>
      </w:r>
      <w:r w:rsidR="004C2448">
        <w:rPr>
          <w:rFonts w:asciiTheme="minorHAnsi" w:hAnsiTheme="minorHAnsi" w:cstheme="minorHAnsi"/>
        </w:rPr>
        <w:t xml:space="preserve"> guidance, </w:t>
      </w:r>
      <w:r w:rsidR="00163EAE">
        <w:rPr>
          <w:rFonts w:asciiTheme="minorHAnsi" w:hAnsiTheme="minorHAnsi" w:cstheme="minorHAnsi"/>
        </w:rPr>
        <w:t>as has been demonstrated</w:t>
      </w:r>
      <w:r w:rsidR="004C2448">
        <w:rPr>
          <w:rFonts w:asciiTheme="minorHAnsi" w:hAnsiTheme="minorHAnsi" w:cstheme="minorHAnsi"/>
        </w:rPr>
        <w:t>.</w:t>
      </w:r>
    </w:p>
    <w:p w14:paraId="526CF5D0" w14:textId="77777777" w:rsidR="004C2448" w:rsidRDefault="004C2448" w:rsidP="00934427">
      <w:pPr>
        <w:spacing w:line="360" w:lineRule="auto"/>
        <w:rPr>
          <w:rFonts w:asciiTheme="minorHAnsi" w:hAnsiTheme="minorHAnsi" w:cstheme="minorHAnsi"/>
        </w:rPr>
      </w:pPr>
    </w:p>
    <w:p w14:paraId="15456972" w14:textId="0CFA3D8F" w:rsidR="00035184" w:rsidRDefault="003C0DEB" w:rsidP="00934427">
      <w:pPr>
        <w:spacing w:line="360" w:lineRule="auto"/>
        <w:rPr>
          <w:rFonts w:asciiTheme="minorHAnsi" w:hAnsiTheme="minorHAnsi" w:cstheme="minorHAnsi"/>
        </w:rPr>
      </w:pPr>
      <w:r>
        <w:rPr>
          <w:rFonts w:asciiTheme="minorHAnsi" w:hAnsiTheme="minorHAnsi" w:cstheme="minorHAnsi"/>
        </w:rPr>
        <w:lastRenderedPageBreak/>
        <w:t>During the 12-month period selected for this study, a</w:t>
      </w:r>
      <w:r w:rsidR="0020428B">
        <w:rPr>
          <w:rFonts w:asciiTheme="minorHAnsi" w:hAnsiTheme="minorHAnsi" w:cstheme="minorHAnsi"/>
        </w:rPr>
        <w:t xml:space="preserve"> reasonably high ratio of cases (6 out of 20) involv</w:t>
      </w:r>
      <w:r w:rsidR="00035184">
        <w:rPr>
          <w:rFonts w:asciiTheme="minorHAnsi" w:hAnsiTheme="minorHAnsi" w:cstheme="minorHAnsi"/>
        </w:rPr>
        <w:t>ed</w:t>
      </w:r>
      <w:r w:rsidR="0020428B">
        <w:rPr>
          <w:rFonts w:asciiTheme="minorHAnsi" w:hAnsiTheme="minorHAnsi" w:cstheme="minorHAnsi"/>
        </w:rPr>
        <w:t xml:space="preserve"> consent</w:t>
      </w:r>
      <w:r>
        <w:rPr>
          <w:rFonts w:asciiTheme="minorHAnsi" w:hAnsiTheme="minorHAnsi" w:cstheme="minorHAnsi"/>
        </w:rPr>
        <w:t>. This figure is</w:t>
      </w:r>
      <w:r w:rsidR="0020428B">
        <w:rPr>
          <w:rFonts w:asciiTheme="minorHAnsi" w:hAnsiTheme="minorHAnsi" w:cstheme="minorHAnsi"/>
        </w:rPr>
        <w:t xml:space="preserve"> </w:t>
      </w:r>
      <w:r w:rsidR="00035184">
        <w:rPr>
          <w:rFonts w:asciiTheme="minorHAnsi" w:hAnsiTheme="minorHAnsi" w:cstheme="minorHAnsi"/>
        </w:rPr>
        <w:t>considerably higher than</w:t>
      </w:r>
      <w:r w:rsidR="0020428B">
        <w:rPr>
          <w:rFonts w:asciiTheme="minorHAnsi" w:hAnsiTheme="minorHAnsi" w:cstheme="minorHAnsi"/>
        </w:rPr>
        <w:t xml:space="preserve"> a similar study in the USA, which examined disciplinary records for selected state Veterinary Medical Boards</w:t>
      </w:r>
      <w:r w:rsidR="00035184">
        <w:rPr>
          <w:rFonts w:asciiTheme="minorHAnsi" w:hAnsiTheme="minorHAnsi" w:cstheme="minorHAnsi"/>
        </w:rPr>
        <w:t>.</w:t>
      </w:r>
      <w:r w:rsidR="00035184">
        <w:rPr>
          <w:rStyle w:val="FootnoteReference"/>
          <w:rFonts w:cstheme="minorHAnsi"/>
        </w:rPr>
        <w:footnoteReference w:id="52"/>
      </w:r>
      <w:r w:rsidR="001C6823">
        <w:rPr>
          <w:rFonts w:asciiTheme="minorHAnsi" w:hAnsiTheme="minorHAnsi" w:cstheme="minorHAnsi"/>
        </w:rPr>
        <w:t xml:space="preserve"> </w:t>
      </w:r>
      <w:r w:rsidR="00035184">
        <w:rPr>
          <w:rFonts w:asciiTheme="minorHAnsi" w:hAnsiTheme="minorHAnsi" w:cstheme="minorHAnsi"/>
        </w:rPr>
        <w:t>N</w:t>
      </w:r>
      <w:r w:rsidR="001C6823">
        <w:rPr>
          <w:rFonts w:asciiTheme="minorHAnsi" w:hAnsiTheme="minorHAnsi" w:cstheme="minorHAnsi"/>
        </w:rPr>
        <w:t xml:space="preserve">one of the cases </w:t>
      </w:r>
      <w:r w:rsidR="00035184">
        <w:rPr>
          <w:rFonts w:asciiTheme="minorHAnsi" w:hAnsiTheme="minorHAnsi" w:cstheme="minorHAnsi"/>
        </w:rPr>
        <w:t xml:space="preserve">in the American study </w:t>
      </w:r>
      <w:r w:rsidR="001C6823">
        <w:rPr>
          <w:rFonts w:asciiTheme="minorHAnsi" w:hAnsiTheme="minorHAnsi" w:cstheme="minorHAnsi"/>
        </w:rPr>
        <w:t>involved failure to obtain consent.</w:t>
      </w:r>
      <w:r w:rsidR="00035184">
        <w:rPr>
          <w:rStyle w:val="FootnoteReference"/>
          <w:rFonts w:cstheme="minorHAnsi"/>
        </w:rPr>
        <w:footnoteReference w:id="53"/>
      </w:r>
      <w:r w:rsidR="006721A2">
        <w:rPr>
          <w:rFonts w:asciiTheme="minorHAnsi" w:hAnsiTheme="minorHAnsi" w:cstheme="minorHAnsi"/>
        </w:rPr>
        <w:t xml:space="preserve"> </w:t>
      </w:r>
      <w:r w:rsidR="006978A2">
        <w:rPr>
          <w:rFonts w:asciiTheme="minorHAnsi" w:hAnsiTheme="minorHAnsi" w:cstheme="minorHAnsi"/>
        </w:rPr>
        <w:t>A possible explanation for th</w:t>
      </w:r>
      <w:r w:rsidR="00354F92">
        <w:rPr>
          <w:rFonts w:asciiTheme="minorHAnsi" w:hAnsiTheme="minorHAnsi" w:cstheme="minorHAnsi"/>
        </w:rPr>
        <w:t>e</w:t>
      </w:r>
      <w:r w:rsidR="006978A2">
        <w:rPr>
          <w:rFonts w:asciiTheme="minorHAnsi" w:hAnsiTheme="minorHAnsi" w:cstheme="minorHAnsi"/>
        </w:rPr>
        <w:t xml:space="preserve"> lack of </w:t>
      </w:r>
      <w:r w:rsidR="00354F92">
        <w:rPr>
          <w:rFonts w:asciiTheme="minorHAnsi" w:hAnsiTheme="minorHAnsi" w:cstheme="minorHAnsi"/>
        </w:rPr>
        <w:t xml:space="preserve">US </w:t>
      </w:r>
      <w:r w:rsidR="006978A2">
        <w:rPr>
          <w:rFonts w:asciiTheme="minorHAnsi" w:hAnsiTheme="minorHAnsi" w:cstheme="minorHAnsi"/>
        </w:rPr>
        <w:t>disciplinary cases</w:t>
      </w:r>
      <w:r w:rsidR="006721A2">
        <w:rPr>
          <w:rFonts w:asciiTheme="minorHAnsi" w:hAnsiTheme="minorHAnsi" w:cstheme="minorHAnsi"/>
        </w:rPr>
        <w:t xml:space="preserve"> </w:t>
      </w:r>
      <w:r w:rsidR="00354F92">
        <w:rPr>
          <w:rFonts w:asciiTheme="minorHAnsi" w:hAnsiTheme="minorHAnsi" w:cstheme="minorHAnsi"/>
        </w:rPr>
        <w:t xml:space="preserve">involving consent </w:t>
      </w:r>
      <w:r w:rsidR="006721A2">
        <w:rPr>
          <w:rFonts w:asciiTheme="minorHAnsi" w:hAnsiTheme="minorHAnsi" w:cstheme="minorHAnsi"/>
        </w:rPr>
        <w:t xml:space="preserve">may be that negligence claims </w:t>
      </w:r>
      <w:r w:rsidR="00354F92">
        <w:rPr>
          <w:rFonts w:asciiTheme="minorHAnsi" w:hAnsiTheme="minorHAnsi" w:cstheme="minorHAnsi"/>
        </w:rPr>
        <w:t xml:space="preserve">are more likely to be taken </w:t>
      </w:r>
      <w:r w:rsidR="006721A2">
        <w:rPr>
          <w:rFonts w:asciiTheme="minorHAnsi" w:hAnsiTheme="minorHAnsi" w:cstheme="minorHAnsi"/>
        </w:rPr>
        <w:t>to litigation</w:t>
      </w:r>
      <w:r w:rsidR="00354F92">
        <w:rPr>
          <w:rFonts w:asciiTheme="minorHAnsi" w:hAnsiTheme="minorHAnsi" w:cstheme="minorHAnsi"/>
        </w:rPr>
        <w:t xml:space="preserve"> in this setting</w:t>
      </w:r>
      <w:r w:rsidR="00AC3D41">
        <w:rPr>
          <w:rFonts w:asciiTheme="minorHAnsi" w:hAnsiTheme="minorHAnsi" w:cstheme="minorHAnsi"/>
        </w:rPr>
        <w:t xml:space="preserve">, but as discussed </w:t>
      </w:r>
      <w:r>
        <w:rPr>
          <w:rFonts w:asciiTheme="minorHAnsi" w:hAnsiTheme="minorHAnsi" w:cstheme="minorHAnsi"/>
        </w:rPr>
        <w:t>earlier</w:t>
      </w:r>
      <w:r w:rsidR="00AC3D41">
        <w:rPr>
          <w:rFonts w:asciiTheme="minorHAnsi" w:hAnsiTheme="minorHAnsi" w:cstheme="minorHAnsi"/>
        </w:rPr>
        <w:t xml:space="preserve">, </w:t>
      </w:r>
      <w:r w:rsidR="004C2448">
        <w:rPr>
          <w:rFonts w:asciiTheme="minorHAnsi" w:hAnsiTheme="minorHAnsi" w:cstheme="minorHAnsi"/>
        </w:rPr>
        <w:t>few</w:t>
      </w:r>
      <w:r w:rsidR="00AC3D41">
        <w:rPr>
          <w:rFonts w:asciiTheme="minorHAnsi" w:hAnsiTheme="minorHAnsi" w:cstheme="minorHAnsi"/>
        </w:rPr>
        <w:t xml:space="preserve"> case</w:t>
      </w:r>
      <w:r w:rsidR="004C2448">
        <w:rPr>
          <w:rFonts w:asciiTheme="minorHAnsi" w:hAnsiTheme="minorHAnsi" w:cstheme="minorHAnsi"/>
        </w:rPr>
        <w:t>s</w:t>
      </w:r>
      <w:r w:rsidR="00AC3D41">
        <w:rPr>
          <w:rFonts w:asciiTheme="minorHAnsi" w:hAnsiTheme="minorHAnsi" w:cstheme="minorHAnsi"/>
        </w:rPr>
        <w:t xml:space="preserve"> </w:t>
      </w:r>
      <w:r w:rsidR="004C2448">
        <w:rPr>
          <w:rFonts w:asciiTheme="minorHAnsi" w:hAnsiTheme="minorHAnsi" w:cstheme="minorHAnsi"/>
        </w:rPr>
        <w:t>of veterinary negligence are heard in</w:t>
      </w:r>
      <w:r w:rsidR="00AC3D41">
        <w:rPr>
          <w:rFonts w:asciiTheme="minorHAnsi" w:hAnsiTheme="minorHAnsi" w:cstheme="minorHAnsi"/>
        </w:rPr>
        <w:t xml:space="preserve"> the UK.</w:t>
      </w:r>
      <w:r w:rsidR="00163EAE">
        <w:rPr>
          <w:rFonts w:asciiTheme="minorHAnsi" w:hAnsiTheme="minorHAnsi" w:cstheme="minorHAnsi"/>
        </w:rPr>
        <w:t xml:space="preserve"> </w:t>
      </w:r>
      <w:r w:rsidR="00035184">
        <w:rPr>
          <w:rFonts w:asciiTheme="minorHAnsi" w:hAnsiTheme="minorHAnsi" w:cstheme="minorHAnsi"/>
        </w:rPr>
        <w:t>For</w:t>
      </w:r>
      <w:r w:rsidR="00533DE9" w:rsidRPr="00F72F9B">
        <w:rPr>
          <w:rFonts w:asciiTheme="minorHAnsi" w:hAnsiTheme="minorHAnsi" w:cstheme="minorHAnsi"/>
        </w:rPr>
        <w:t xml:space="preserve"> </w:t>
      </w:r>
      <w:r w:rsidR="006B2743">
        <w:rPr>
          <w:rFonts w:asciiTheme="minorHAnsi" w:hAnsiTheme="minorHAnsi" w:cstheme="minorHAnsi"/>
        </w:rPr>
        <w:t>most</w:t>
      </w:r>
      <w:r w:rsidR="004C2448">
        <w:rPr>
          <w:rFonts w:asciiTheme="minorHAnsi" w:hAnsiTheme="minorHAnsi" w:cstheme="minorHAnsi"/>
        </w:rPr>
        <w:t xml:space="preserve"> </w:t>
      </w:r>
      <w:r w:rsidR="00533DE9" w:rsidRPr="00F72F9B">
        <w:rPr>
          <w:rFonts w:asciiTheme="minorHAnsi" w:hAnsiTheme="minorHAnsi" w:cstheme="minorHAnsi"/>
        </w:rPr>
        <w:t>cases included in th</w:t>
      </w:r>
      <w:r w:rsidR="001C6823">
        <w:rPr>
          <w:rFonts w:asciiTheme="minorHAnsi" w:hAnsiTheme="minorHAnsi" w:cstheme="minorHAnsi"/>
        </w:rPr>
        <w:t>e current</w:t>
      </w:r>
      <w:r w:rsidR="00533DE9" w:rsidRPr="00F72F9B">
        <w:rPr>
          <w:rFonts w:asciiTheme="minorHAnsi" w:hAnsiTheme="minorHAnsi" w:cstheme="minorHAnsi"/>
        </w:rPr>
        <w:t xml:space="preserve"> analysis, failure to obtain informed consent was </w:t>
      </w:r>
      <w:r w:rsidR="00354F92">
        <w:rPr>
          <w:rFonts w:asciiTheme="minorHAnsi" w:hAnsiTheme="minorHAnsi" w:cstheme="minorHAnsi"/>
        </w:rPr>
        <w:t xml:space="preserve">only </w:t>
      </w:r>
      <w:r w:rsidR="00533DE9" w:rsidRPr="00F72F9B">
        <w:rPr>
          <w:rFonts w:asciiTheme="minorHAnsi" w:hAnsiTheme="minorHAnsi" w:cstheme="minorHAnsi"/>
        </w:rPr>
        <w:t xml:space="preserve">one of several charges levelled at the veterinary surgeons involved. </w:t>
      </w:r>
      <w:r w:rsidR="00211367">
        <w:rPr>
          <w:rFonts w:asciiTheme="minorHAnsi" w:hAnsiTheme="minorHAnsi" w:cstheme="minorHAnsi"/>
        </w:rPr>
        <w:t>However, two</w:t>
      </w:r>
      <w:r w:rsidR="00533DE9" w:rsidRPr="00F72F9B">
        <w:rPr>
          <w:rFonts w:asciiTheme="minorHAnsi" w:hAnsiTheme="minorHAnsi" w:cstheme="minorHAnsi"/>
        </w:rPr>
        <w:t xml:space="preserve"> of the investigations</w:t>
      </w:r>
      <w:r w:rsidR="006B2743">
        <w:rPr>
          <w:rFonts w:asciiTheme="minorHAnsi" w:hAnsiTheme="minorHAnsi" w:cstheme="minorHAnsi"/>
        </w:rPr>
        <w:t xml:space="preserve"> (Case</w:t>
      </w:r>
      <w:r w:rsidR="00211367">
        <w:rPr>
          <w:rFonts w:asciiTheme="minorHAnsi" w:hAnsiTheme="minorHAnsi" w:cstheme="minorHAnsi"/>
        </w:rPr>
        <w:t xml:space="preserve">s </w:t>
      </w:r>
      <w:r w:rsidR="00F97543">
        <w:rPr>
          <w:rFonts w:asciiTheme="minorHAnsi" w:hAnsiTheme="minorHAnsi" w:cstheme="minorHAnsi"/>
        </w:rPr>
        <w:t>1</w:t>
      </w:r>
      <w:r w:rsidR="00211367">
        <w:rPr>
          <w:rFonts w:asciiTheme="minorHAnsi" w:hAnsiTheme="minorHAnsi" w:cstheme="minorHAnsi"/>
        </w:rPr>
        <w:t xml:space="preserve"> and</w:t>
      </w:r>
      <w:r w:rsidR="006B2743">
        <w:rPr>
          <w:rFonts w:asciiTheme="minorHAnsi" w:hAnsiTheme="minorHAnsi" w:cstheme="minorHAnsi"/>
        </w:rPr>
        <w:t xml:space="preserve"> </w:t>
      </w:r>
      <w:r w:rsidR="00F97543">
        <w:rPr>
          <w:rFonts w:asciiTheme="minorHAnsi" w:hAnsiTheme="minorHAnsi" w:cstheme="minorHAnsi"/>
        </w:rPr>
        <w:t>3</w:t>
      </w:r>
      <w:r w:rsidR="006B2743">
        <w:rPr>
          <w:rFonts w:asciiTheme="minorHAnsi" w:hAnsiTheme="minorHAnsi" w:cstheme="minorHAnsi"/>
        </w:rPr>
        <w:t>)</w:t>
      </w:r>
      <w:r w:rsidR="00533DE9" w:rsidRPr="00F72F9B">
        <w:rPr>
          <w:rFonts w:asciiTheme="minorHAnsi" w:hAnsiTheme="minorHAnsi" w:cstheme="minorHAnsi"/>
        </w:rPr>
        <w:t xml:space="preserve"> </w:t>
      </w:r>
      <w:r w:rsidR="006B2743">
        <w:rPr>
          <w:rFonts w:asciiTheme="minorHAnsi" w:hAnsiTheme="minorHAnsi" w:cstheme="minorHAnsi"/>
        </w:rPr>
        <w:t>listed a</w:t>
      </w:r>
      <w:r w:rsidR="00533DE9" w:rsidRPr="00F72F9B">
        <w:rPr>
          <w:rFonts w:asciiTheme="minorHAnsi" w:hAnsiTheme="minorHAnsi" w:cstheme="minorHAnsi"/>
        </w:rPr>
        <w:t xml:space="preserve"> failure to obtain consent as the </w:t>
      </w:r>
      <w:r w:rsidR="00211367">
        <w:rPr>
          <w:rFonts w:asciiTheme="minorHAnsi" w:hAnsiTheme="minorHAnsi" w:cstheme="minorHAnsi"/>
        </w:rPr>
        <w:t>main</w:t>
      </w:r>
      <w:r w:rsidR="00533DE9" w:rsidRPr="00F72F9B">
        <w:rPr>
          <w:rFonts w:asciiTheme="minorHAnsi" w:hAnsiTheme="minorHAnsi" w:cstheme="minorHAnsi"/>
        </w:rPr>
        <w:t xml:space="preserve"> </w:t>
      </w:r>
      <w:r w:rsidR="006B2743">
        <w:rPr>
          <w:rFonts w:asciiTheme="minorHAnsi" w:hAnsiTheme="minorHAnsi" w:cstheme="minorHAnsi"/>
        </w:rPr>
        <w:t>charge</w:t>
      </w:r>
      <w:r w:rsidR="00533DE9" w:rsidRPr="00F72F9B">
        <w:rPr>
          <w:rFonts w:asciiTheme="minorHAnsi" w:hAnsiTheme="minorHAnsi" w:cstheme="minorHAnsi"/>
        </w:rPr>
        <w:t xml:space="preserve"> </w:t>
      </w:r>
      <w:r w:rsidR="006B2743">
        <w:rPr>
          <w:rFonts w:asciiTheme="minorHAnsi" w:hAnsiTheme="minorHAnsi" w:cstheme="minorHAnsi"/>
        </w:rPr>
        <w:t xml:space="preserve">investigated for </w:t>
      </w:r>
      <w:r w:rsidR="004C2448">
        <w:rPr>
          <w:rFonts w:asciiTheme="minorHAnsi" w:hAnsiTheme="minorHAnsi" w:cstheme="minorHAnsi"/>
        </w:rPr>
        <w:t>serious professional</w:t>
      </w:r>
      <w:r w:rsidR="00533DE9" w:rsidRPr="00F72F9B">
        <w:rPr>
          <w:rFonts w:asciiTheme="minorHAnsi" w:hAnsiTheme="minorHAnsi" w:cstheme="minorHAnsi"/>
        </w:rPr>
        <w:t xml:space="preserve"> </w:t>
      </w:r>
      <w:r w:rsidR="006B2743">
        <w:rPr>
          <w:rFonts w:asciiTheme="minorHAnsi" w:hAnsiTheme="minorHAnsi" w:cstheme="minorHAnsi"/>
        </w:rPr>
        <w:t>mis</w:t>
      </w:r>
      <w:r w:rsidR="00533DE9" w:rsidRPr="00F72F9B">
        <w:rPr>
          <w:rFonts w:asciiTheme="minorHAnsi" w:hAnsiTheme="minorHAnsi" w:cstheme="minorHAnsi"/>
        </w:rPr>
        <w:t xml:space="preserve">conduct. </w:t>
      </w:r>
      <w:r w:rsidR="006B2743">
        <w:rPr>
          <w:rFonts w:asciiTheme="minorHAnsi" w:hAnsiTheme="minorHAnsi" w:cstheme="minorHAnsi"/>
        </w:rPr>
        <w:t>Other</w:t>
      </w:r>
      <w:r w:rsidR="00954826" w:rsidRPr="00F72F9B">
        <w:rPr>
          <w:rFonts w:asciiTheme="minorHAnsi" w:hAnsiTheme="minorHAnsi" w:cstheme="minorHAnsi"/>
        </w:rPr>
        <w:t xml:space="preserve"> cases involved failing to obtain consent as a consequence of other misdemeanours, such as failing to refer a case to a specialist</w:t>
      </w:r>
      <w:r w:rsidR="00DE2E76">
        <w:rPr>
          <w:rFonts w:asciiTheme="minorHAnsi" w:hAnsiTheme="minorHAnsi" w:cstheme="minorHAnsi"/>
        </w:rPr>
        <w:t xml:space="preserve"> or for a second opinion</w:t>
      </w:r>
      <w:r w:rsidR="00954826" w:rsidRPr="00F72F9B">
        <w:rPr>
          <w:rFonts w:asciiTheme="minorHAnsi" w:hAnsiTheme="minorHAnsi" w:cstheme="minorHAnsi"/>
        </w:rPr>
        <w:t xml:space="preserve"> (Cases </w:t>
      </w:r>
      <w:r w:rsidR="00F97543">
        <w:rPr>
          <w:rFonts w:asciiTheme="minorHAnsi" w:hAnsiTheme="minorHAnsi" w:cstheme="minorHAnsi"/>
        </w:rPr>
        <w:t>2</w:t>
      </w:r>
      <w:r w:rsidR="00954826" w:rsidRPr="00F72F9B">
        <w:rPr>
          <w:rFonts w:asciiTheme="minorHAnsi" w:hAnsiTheme="minorHAnsi" w:cstheme="minorHAnsi"/>
        </w:rPr>
        <w:t xml:space="preserve"> and </w:t>
      </w:r>
      <w:r w:rsidR="00F97543">
        <w:rPr>
          <w:rFonts w:asciiTheme="minorHAnsi" w:hAnsiTheme="minorHAnsi" w:cstheme="minorHAnsi"/>
        </w:rPr>
        <w:t>4</w:t>
      </w:r>
      <w:r w:rsidR="00954826" w:rsidRPr="00F72F9B">
        <w:rPr>
          <w:rFonts w:asciiTheme="minorHAnsi" w:hAnsiTheme="minorHAnsi" w:cstheme="minorHAnsi"/>
        </w:rPr>
        <w:t xml:space="preserve">) or failing to communicate adequately with clients (Cases </w:t>
      </w:r>
      <w:r w:rsidR="00F97543">
        <w:rPr>
          <w:rFonts w:asciiTheme="minorHAnsi" w:hAnsiTheme="minorHAnsi" w:cstheme="minorHAnsi"/>
        </w:rPr>
        <w:t>2</w:t>
      </w:r>
      <w:r w:rsidR="006B2743">
        <w:rPr>
          <w:rFonts w:asciiTheme="minorHAnsi" w:hAnsiTheme="minorHAnsi" w:cstheme="minorHAnsi"/>
        </w:rPr>
        <w:t xml:space="preserve"> </w:t>
      </w:r>
      <w:r w:rsidR="00954826" w:rsidRPr="00F72F9B">
        <w:rPr>
          <w:rFonts w:asciiTheme="minorHAnsi" w:hAnsiTheme="minorHAnsi" w:cstheme="minorHAnsi"/>
        </w:rPr>
        <w:t xml:space="preserve">and </w:t>
      </w:r>
      <w:r w:rsidR="00F97543">
        <w:rPr>
          <w:rFonts w:asciiTheme="minorHAnsi" w:hAnsiTheme="minorHAnsi" w:cstheme="minorHAnsi"/>
        </w:rPr>
        <w:t>5</w:t>
      </w:r>
      <w:r w:rsidR="00954826" w:rsidRPr="00F72F9B">
        <w:rPr>
          <w:rFonts w:asciiTheme="minorHAnsi" w:hAnsiTheme="minorHAnsi" w:cstheme="minorHAnsi"/>
        </w:rPr>
        <w:t>).</w:t>
      </w:r>
      <w:r w:rsidR="00A64A94">
        <w:rPr>
          <w:rFonts w:asciiTheme="minorHAnsi" w:hAnsiTheme="minorHAnsi" w:cstheme="minorHAnsi"/>
        </w:rPr>
        <w:t xml:space="preserve"> </w:t>
      </w:r>
    </w:p>
    <w:p w14:paraId="22EAEBDE" w14:textId="77777777" w:rsidR="00035184" w:rsidRDefault="00035184" w:rsidP="00934427">
      <w:pPr>
        <w:spacing w:line="360" w:lineRule="auto"/>
        <w:rPr>
          <w:rFonts w:asciiTheme="minorHAnsi" w:hAnsiTheme="minorHAnsi" w:cstheme="minorHAnsi"/>
        </w:rPr>
      </w:pPr>
    </w:p>
    <w:p w14:paraId="1FED91DE" w14:textId="14A8AC86" w:rsidR="00597EE6" w:rsidRDefault="00491232" w:rsidP="00934427">
      <w:pPr>
        <w:spacing w:line="360" w:lineRule="auto"/>
        <w:rPr>
          <w:rFonts w:asciiTheme="minorHAnsi" w:hAnsiTheme="minorHAnsi" w:cstheme="minorHAnsi"/>
        </w:rPr>
      </w:pPr>
      <w:r>
        <w:rPr>
          <w:rFonts w:asciiTheme="minorHAnsi" w:hAnsiTheme="minorHAnsi" w:cstheme="minorHAnsi"/>
        </w:rPr>
        <w:t>The place of professional guidance in claims of professional negligence is perhaps less transparent.</w:t>
      </w:r>
      <w:r w:rsidRPr="004A4C1D">
        <w:rPr>
          <w:rFonts w:asciiTheme="minorHAnsi" w:hAnsiTheme="minorHAnsi" w:cstheme="minorHAnsi"/>
        </w:rPr>
        <w:t xml:space="preserve"> </w:t>
      </w:r>
      <w:r>
        <w:rPr>
          <w:rFonts w:asciiTheme="minorHAnsi" w:hAnsiTheme="minorHAnsi" w:cstheme="minorHAnsi"/>
        </w:rPr>
        <w:t>Where there is lack of clarity in the law regarding professional responsibility, courts are compelled to consult non-legal professional guidelines to provide a more complete picture of what that responsibility should entail.</w:t>
      </w:r>
      <w:r>
        <w:rPr>
          <w:rStyle w:val="FootnoteReference"/>
          <w:rFonts w:cstheme="minorHAnsi"/>
        </w:rPr>
        <w:footnoteReference w:id="54"/>
      </w:r>
      <w:r>
        <w:rPr>
          <w:rFonts w:asciiTheme="minorHAnsi" w:hAnsiTheme="minorHAnsi" w:cstheme="minorHAnsi"/>
        </w:rPr>
        <w:t xml:space="preserve"> As noted by Campbell and Glass, courts will "</w:t>
      </w:r>
      <w:r w:rsidRPr="002C5CFA">
        <w:rPr>
          <w:rFonts w:asciiTheme="minorHAnsi" w:hAnsiTheme="minorHAnsi" w:cstheme="minorHAnsi"/>
          <w:i/>
          <w:iCs/>
        </w:rPr>
        <w:t>challenge professional standards to ensure that they are commensurate with the obligations exacted by law</w:t>
      </w:r>
      <w:r>
        <w:rPr>
          <w:rFonts w:asciiTheme="minorHAnsi" w:hAnsiTheme="minorHAnsi" w:cstheme="minorHAnsi"/>
        </w:rPr>
        <w:t>."</w:t>
      </w:r>
      <w:r>
        <w:rPr>
          <w:rStyle w:val="FootnoteReference"/>
          <w:rFonts w:cstheme="minorHAnsi"/>
        </w:rPr>
        <w:footnoteReference w:id="55"/>
      </w:r>
      <w:r>
        <w:rPr>
          <w:rFonts w:asciiTheme="minorHAnsi" w:hAnsiTheme="minorHAnsi" w:cstheme="minorHAnsi"/>
        </w:rPr>
        <w:t xml:space="preserve"> In veterinary medicine, the lack of legal input may partly explain the criticism that it has been slow to regulate its own processes.</w:t>
      </w:r>
      <w:r w:rsidRPr="00466B17">
        <w:rPr>
          <w:rStyle w:val="FootnoteReference"/>
          <w:rFonts w:cstheme="minorHAnsi"/>
        </w:rPr>
        <w:t xml:space="preserve"> </w:t>
      </w:r>
      <w:r>
        <w:rPr>
          <w:rStyle w:val="FootnoteReference"/>
          <w:rFonts w:cstheme="minorHAnsi"/>
        </w:rPr>
        <w:footnoteReference w:id="56"/>
      </w:r>
      <w:r>
        <w:rPr>
          <w:rFonts w:asciiTheme="minorHAnsi" w:hAnsiTheme="minorHAnsi" w:cstheme="minorHAnsi"/>
        </w:rPr>
        <w:t xml:space="preserve"> However, this study provides at least a glimmer of hope that disciplinary hearings can lead to change</w:t>
      </w:r>
      <w:r w:rsidR="003C0DEB">
        <w:rPr>
          <w:rFonts w:asciiTheme="minorHAnsi" w:hAnsiTheme="minorHAnsi" w:cstheme="minorHAnsi"/>
        </w:rPr>
        <w:t>s to</w:t>
      </w:r>
      <w:r>
        <w:rPr>
          <w:rFonts w:asciiTheme="minorHAnsi" w:hAnsiTheme="minorHAnsi" w:cstheme="minorHAnsi"/>
        </w:rPr>
        <w:t xml:space="preserve"> professional guidance.</w:t>
      </w:r>
      <w:r w:rsidR="006F3B41">
        <w:rPr>
          <w:rFonts w:asciiTheme="minorHAnsi" w:hAnsiTheme="minorHAnsi" w:cstheme="minorHAnsi"/>
        </w:rPr>
        <w:t xml:space="preserve"> Case 3 dealt with a single charge of</w:t>
      </w:r>
      <w:r w:rsidR="006F3B41" w:rsidRPr="00F72F9B">
        <w:rPr>
          <w:rFonts w:asciiTheme="minorHAnsi" w:hAnsiTheme="minorHAnsi" w:cstheme="minorHAnsi"/>
        </w:rPr>
        <w:t xml:space="preserve"> a failure to obtain consent</w:t>
      </w:r>
      <w:r w:rsidR="006F3B41">
        <w:rPr>
          <w:rFonts w:asciiTheme="minorHAnsi" w:hAnsiTheme="minorHAnsi" w:cstheme="minorHAnsi"/>
        </w:rPr>
        <w:t xml:space="preserve"> to veterinary treatment, in not offering the client the options of delaying or not performing the dental surgery that led to the death of the patient.</w:t>
      </w:r>
      <w:r w:rsidR="006F3B41" w:rsidRPr="00F72F9B">
        <w:rPr>
          <w:rFonts w:asciiTheme="minorHAnsi" w:hAnsiTheme="minorHAnsi" w:cstheme="minorHAnsi"/>
        </w:rPr>
        <w:t xml:space="preserve"> </w:t>
      </w:r>
      <w:r w:rsidR="006F3B41">
        <w:rPr>
          <w:rFonts w:asciiTheme="minorHAnsi" w:hAnsiTheme="minorHAnsi" w:cstheme="minorHAnsi"/>
        </w:rPr>
        <w:t xml:space="preserve">In finding the </w:t>
      </w:r>
      <w:r w:rsidR="006F3B41" w:rsidRPr="00F72F9B">
        <w:rPr>
          <w:rFonts w:asciiTheme="minorHAnsi" w:hAnsiTheme="minorHAnsi" w:cstheme="minorHAnsi"/>
        </w:rPr>
        <w:t>veterinary surgeon not guilty of serious professional misconduct</w:t>
      </w:r>
      <w:r w:rsidR="006F3B41">
        <w:rPr>
          <w:rFonts w:asciiTheme="minorHAnsi" w:hAnsiTheme="minorHAnsi" w:cstheme="minorHAnsi"/>
        </w:rPr>
        <w:t xml:space="preserve">, the DC considered that his </w:t>
      </w:r>
      <w:r w:rsidR="006F3B41" w:rsidRPr="00F72F9B">
        <w:rPr>
          <w:rFonts w:asciiTheme="minorHAnsi" w:hAnsiTheme="minorHAnsi" w:cstheme="minorHAnsi"/>
        </w:rPr>
        <w:t>behaviour</w:t>
      </w:r>
      <w:r w:rsidR="006F3B41">
        <w:rPr>
          <w:rFonts w:asciiTheme="minorHAnsi" w:hAnsiTheme="minorHAnsi" w:cstheme="minorHAnsi"/>
        </w:rPr>
        <w:t xml:space="preserve"> did </w:t>
      </w:r>
      <w:r w:rsidR="006F3B41" w:rsidRPr="00F72F9B">
        <w:rPr>
          <w:rFonts w:asciiTheme="minorHAnsi" w:hAnsiTheme="minorHAnsi" w:cstheme="minorHAnsi"/>
        </w:rPr>
        <w:t xml:space="preserve">not fall </w:t>
      </w:r>
      <w:r w:rsidR="006F3B41" w:rsidRPr="00F72F9B">
        <w:rPr>
          <w:rFonts w:asciiTheme="minorHAnsi" w:hAnsiTheme="minorHAnsi" w:cstheme="minorHAnsi"/>
          <w:i/>
          <w:iCs/>
        </w:rPr>
        <w:t>far</w:t>
      </w:r>
      <w:r w:rsidR="006F3B41" w:rsidRPr="00F72F9B">
        <w:rPr>
          <w:rFonts w:asciiTheme="minorHAnsi" w:hAnsiTheme="minorHAnsi" w:cstheme="minorHAnsi"/>
        </w:rPr>
        <w:t xml:space="preserve"> below the behaviour expected of a member of the profession. </w:t>
      </w:r>
      <w:r w:rsidR="006F3B41">
        <w:rPr>
          <w:rFonts w:asciiTheme="minorHAnsi" w:hAnsiTheme="minorHAnsi" w:cstheme="minorHAnsi"/>
        </w:rPr>
        <w:t>A</w:t>
      </w:r>
      <w:r w:rsidR="006F3B41" w:rsidRPr="00F72F9B">
        <w:rPr>
          <w:rFonts w:asciiTheme="minorHAnsi" w:hAnsiTheme="minorHAnsi" w:cstheme="minorHAnsi"/>
        </w:rPr>
        <w:t xml:space="preserve">lthough a charge of </w:t>
      </w:r>
      <w:r w:rsidR="006F3B41" w:rsidRPr="00F72F9B">
        <w:rPr>
          <w:rFonts w:asciiTheme="minorHAnsi" w:hAnsiTheme="minorHAnsi" w:cstheme="minorHAnsi"/>
        </w:rPr>
        <w:lastRenderedPageBreak/>
        <w:t xml:space="preserve">professional misconduct </w:t>
      </w:r>
      <w:r w:rsidR="006F3B41">
        <w:rPr>
          <w:rFonts w:asciiTheme="minorHAnsi" w:hAnsiTheme="minorHAnsi" w:cstheme="minorHAnsi"/>
        </w:rPr>
        <w:t>was not</w:t>
      </w:r>
      <w:r w:rsidR="006F3B41" w:rsidRPr="00F72F9B">
        <w:rPr>
          <w:rFonts w:asciiTheme="minorHAnsi" w:hAnsiTheme="minorHAnsi" w:cstheme="minorHAnsi"/>
        </w:rPr>
        <w:t xml:space="preserve"> upheld, </w:t>
      </w:r>
      <w:r w:rsidR="006F3B41">
        <w:rPr>
          <w:rFonts w:asciiTheme="minorHAnsi" w:hAnsiTheme="minorHAnsi" w:cstheme="minorHAnsi"/>
        </w:rPr>
        <w:t xml:space="preserve">it is interesting to hypothesise whether </w:t>
      </w:r>
      <w:r w:rsidR="006F3B41" w:rsidRPr="00F72F9B">
        <w:rPr>
          <w:rFonts w:asciiTheme="minorHAnsi" w:hAnsiTheme="minorHAnsi" w:cstheme="minorHAnsi"/>
        </w:rPr>
        <w:t xml:space="preserve">a failure to obtain consent </w:t>
      </w:r>
      <w:r w:rsidR="006F3B41">
        <w:rPr>
          <w:rFonts w:asciiTheme="minorHAnsi" w:hAnsiTheme="minorHAnsi" w:cstheme="minorHAnsi"/>
        </w:rPr>
        <w:t xml:space="preserve">could be used </w:t>
      </w:r>
      <w:r w:rsidR="006F3B41" w:rsidRPr="00F72F9B">
        <w:rPr>
          <w:rFonts w:asciiTheme="minorHAnsi" w:hAnsiTheme="minorHAnsi" w:cstheme="minorHAnsi"/>
        </w:rPr>
        <w:t>to support a civil litigation process</w:t>
      </w:r>
      <w:r w:rsidR="006F3B41">
        <w:rPr>
          <w:rFonts w:asciiTheme="minorHAnsi" w:hAnsiTheme="minorHAnsi" w:cstheme="minorHAnsi"/>
        </w:rPr>
        <w:t>.</w:t>
      </w:r>
      <w:r w:rsidR="006F3B41" w:rsidRPr="00F72F9B">
        <w:rPr>
          <w:rFonts w:asciiTheme="minorHAnsi" w:hAnsiTheme="minorHAnsi" w:cstheme="minorHAnsi"/>
        </w:rPr>
        <w:t xml:space="preserve"> Testing such a hypothesis, however, would require an increase in the number of veterinary negligence cases that are heard in the civil courts.</w:t>
      </w:r>
      <w:r w:rsidR="006F3B41">
        <w:rPr>
          <w:rFonts w:asciiTheme="minorHAnsi" w:hAnsiTheme="minorHAnsi" w:cstheme="minorHAnsi"/>
        </w:rPr>
        <w:t xml:space="preserve"> As previously discussed, while awards are limited to the economic value of the animal, the number of veterinary negligence cases is likely to remain low.</w:t>
      </w:r>
    </w:p>
    <w:p w14:paraId="7801B694" w14:textId="77777777" w:rsidR="00F94282" w:rsidRPr="00F72F9B" w:rsidRDefault="00F94282" w:rsidP="00934427">
      <w:pPr>
        <w:spacing w:line="360" w:lineRule="auto"/>
        <w:rPr>
          <w:rFonts w:asciiTheme="minorHAnsi" w:hAnsiTheme="minorHAnsi" w:cstheme="minorHAnsi"/>
        </w:rPr>
      </w:pPr>
    </w:p>
    <w:p w14:paraId="74C65029" w14:textId="1F92F391" w:rsidR="00F94282" w:rsidRDefault="002477BB" w:rsidP="00934427">
      <w:pPr>
        <w:spacing w:line="360" w:lineRule="auto"/>
        <w:rPr>
          <w:rFonts w:asciiTheme="minorHAnsi" w:hAnsiTheme="minorHAnsi" w:cstheme="minorHAnsi"/>
        </w:rPr>
      </w:pPr>
      <w:r>
        <w:rPr>
          <w:rFonts w:asciiTheme="minorHAnsi" w:hAnsiTheme="minorHAnsi" w:cstheme="minorHAnsi"/>
        </w:rPr>
        <w:t>In comparison,</w:t>
      </w:r>
      <w:r w:rsidR="003D3729" w:rsidRPr="00F72F9B">
        <w:rPr>
          <w:rFonts w:asciiTheme="minorHAnsi" w:hAnsiTheme="minorHAnsi" w:cstheme="minorHAnsi"/>
        </w:rPr>
        <w:t xml:space="preserve"> the medico-legal field</w:t>
      </w:r>
      <w:r>
        <w:rPr>
          <w:rFonts w:asciiTheme="minorHAnsi" w:hAnsiTheme="minorHAnsi" w:cstheme="minorHAnsi"/>
        </w:rPr>
        <w:t xml:space="preserve"> contains</w:t>
      </w:r>
      <w:r w:rsidR="003D3729" w:rsidRPr="00F72F9B">
        <w:rPr>
          <w:rFonts w:asciiTheme="minorHAnsi" w:hAnsiTheme="minorHAnsi" w:cstheme="minorHAnsi"/>
        </w:rPr>
        <w:t xml:space="preserve"> a rich vein of negligence cases that turn on failure to obtain informed consent</w:t>
      </w:r>
      <w:r w:rsidR="00FE5197">
        <w:rPr>
          <w:rFonts w:asciiTheme="minorHAnsi" w:hAnsiTheme="minorHAnsi" w:cstheme="minorHAnsi"/>
        </w:rPr>
        <w:t>. These</w:t>
      </w:r>
      <w:r>
        <w:rPr>
          <w:rFonts w:asciiTheme="minorHAnsi" w:hAnsiTheme="minorHAnsi" w:cstheme="minorHAnsi"/>
        </w:rPr>
        <w:t xml:space="preserve"> rang</w:t>
      </w:r>
      <w:r w:rsidR="00FE5197">
        <w:rPr>
          <w:rFonts w:asciiTheme="minorHAnsi" w:hAnsiTheme="minorHAnsi" w:cstheme="minorHAnsi"/>
        </w:rPr>
        <w:t>e</w:t>
      </w:r>
      <w:r w:rsidR="003D3729" w:rsidRPr="00F72F9B">
        <w:rPr>
          <w:rFonts w:asciiTheme="minorHAnsi" w:hAnsiTheme="minorHAnsi" w:cstheme="minorHAnsi"/>
        </w:rPr>
        <w:t xml:space="preserve"> from </w:t>
      </w:r>
      <w:r w:rsidR="00FA6C5A" w:rsidRPr="00F72F9B">
        <w:rPr>
          <w:rFonts w:asciiTheme="minorHAnsi" w:hAnsiTheme="minorHAnsi" w:cstheme="minorHAnsi"/>
          <w:i/>
          <w:iCs/>
        </w:rPr>
        <w:t>Bolam</w:t>
      </w:r>
      <w:r w:rsidR="00FA6C5A" w:rsidRPr="00CB2220">
        <w:rPr>
          <w:rFonts w:asciiTheme="minorHAnsi" w:hAnsiTheme="minorHAnsi" w:cstheme="minorHAnsi"/>
        </w:rPr>
        <w:t>,</w:t>
      </w:r>
      <w:r w:rsidR="00FA6C5A" w:rsidRPr="00CB2220">
        <w:rPr>
          <w:rStyle w:val="FootnoteReference"/>
          <w:rFonts w:cstheme="minorHAnsi"/>
        </w:rPr>
        <w:footnoteReference w:id="57"/>
      </w:r>
      <w:r w:rsidR="00FA6C5A" w:rsidRPr="00F72F9B">
        <w:rPr>
          <w:rFonts w:asciiTheme="minorHAnsi" w:hAnsiTheme="minorHAnsi" w:cstheme="minorHAnsi"/>
        </w:rPr>
        <w:t xml:space="preserve"> </w:t>
      </w:r>
      <w:r w:rsidR="008841E4">
        <w:rPr>
          <w:rFonts w:asciiTheme="minorHAnsi" w:hAnsiTheme="minorHAnsi" w:cstheme="minorHAnsi"/>
        </w:rPr>
        <w:t>which</w:t>
      </w:r>
      <w:r w:rsidR="00FE5197">
        <w:rPr>
          <w:rFonts w:asciiTheme="minorHAnsi" w:hAnsiTheme="minorHAnsi" w:cstheme="minorHAnsi"/>
        </w:rPr>
        <w:t xml:space="preserve"> set</w:t>
      </w:r>
      <w:r w:rsidR="00E705C4">
        <w:rPr>
          <w:rFonts w:asciiTheme="minorHAnsi" w:hAnsiTheme="minorHAnsi" w:cstheme="minorHAnsi"/>
        </w:rPr>
        <w:t xml:space="preserve"> </w:t>
      </w:r>
      <w:r w:rsidR="00FA6C5A">
        <w:rPr>
          <w:rFonts w:asciiTheme="minorHAnsi" w:hAnsiTheme="minorHAnsi" w:cstheme="minorHAnsi"/>
        </w:rPr>
        <w:t xml:space="preserve">the </w:t>
      </w:r>
      <w:r w:rsidR="00E705C4">
        <w:rPr>
          <w:rFonts w:asciiTheme="minorHAnsi" w:hAnsiTheme="minorHAnsi" w:cstheme="minorHAnsi"/>
        </w:rPr>
        <w:t>professional standard of care</w:t>
      </w:r>
      <w:r w:rsidR="00FA6C5A">
        <w:rPr>
          <w:rFonts w:asciiTheme="minorHAnsi" w:hAnsiTheme="minorHAnsi" w:cstheme="minorHAnsi"/>
        </w:rPr>
        <w:t xml:space="preserve"> through consideration of which risks </w:t>
      </w:r>
      <w:r w:rsidR="008841E4">
        <w:rPr>
          <w:rFonts w:asciiTheme="minorHAnsi" w:hAnsiTheme="minorHAnsi" w:cstheme="minorHAnsi"/>
        </w:rPr>
        <w:t>would normally be</w:t>
      </w:r>
      <w:r w:rsidR="00FA6C5A">
        <w:rPr>
          <w:rFonts w:asciiTheme="minorHAnsi" w:hAnsiTheme="minorHAnsi" w:cstheme="minorHAnsi"/>
        </w:rPr>
        <w:t xml:space="preserve"> disclosed to patients,</w:t>
      </w:r>
      <w:r w:rsidR="00FA6C5A" w:rsidRPr="00F72F9B">
        <w:rPr>
          <w:rFonts w:asciiTheme="minorHAnsi" w:hAnsiTheme="minorHAnsi" w:cstheme="minorHAnsi"/>
        </w:rPr>
        <w:t xml:space="preserve"> </w:t>
      </w:r>
      <w:r w:rsidR="00403EAB" w:rsidRPr="00F72F9B">
        <w:rPr>
          <w:rFonts w:asciiTheme="minorHAnsi" w:hAnsiTheme="minorHAnsi" w:cstheme="minorHAnsi"/>
        </w:rPr>
        <w:t xml:space="preserve">through </w:t>
      </w:r>
      <w:r w:rsidR="00FE5197">
        <w:rPr>
          <w:rFonts w:asciiTheme="minorHAnsi" w:hAnsiTheme="minorHAnsi" w:cstheme="minorHAnsi"/>
        </w:rPr>
        <w:t xml:space="preserve">Lord Scarman’s dissenting judgment in </w:t>
      </w:r>
      <w:r w:rsidR="00FE5197" w:rsidRPr="00FE5197">
        <w:rPr>
          <w:rFonts w:asciiTheme="minorHAnsi" w:hAnsiTheme="minorHAnsi" w:cstheme="minorHAnsi"/>
          <w:i/>
          <w:iCs/>
        </w:rPr>
        <w:t>Sidaway</w:t>
      </w:r>
      <w:r w:rsidR="00FA6C5A">
        <w:rPr>
          <w:rFonts w:asciiTheme="minorHAnsi" w:hAnsiTheme="minorHAnsi" w:cstheme="minorHAnsi"/>
        </w:rPr>
        <w:t xml:space="preserve"> that paved the way for a consent based on </w:t>
      </w:r>
      <w:r w:rsidR="00CB2220">
        <w:rPr>
          <w:rFonts w:asciiTheme="minorHAnsi" w:hAnsiTheme="minorHAnsi" w:cstheme="minorHAnsi"/>
        </w:rPr>
        <w:t>what the ‘</w:t>
      </w:r>
      <w:r w:rsidR="00A43F77" w:rsidRPr="00A43F77">
        <w:rPr>
          <w:rFonts w:asciiTheme="minorHAnsi" w:hAnsiTheme="minorHAnsi" w:cstheme="minorHAnsi"/>
          <w:i/>
          <w:iCs/>
        </w:rPr>
        <w:t>reasonable</w:t>
      </w:r>
      <w:r w:rsidR="00CB2220" w:rsidRPr="00A43F77">
        <w:rPr>
          <w:rFonts w:asciiTheme="minorHAnsi" w:hAnsiTheme="minorHAnsi" w:cstheme="minorHAnsi"/>
          <w:i/>
          <w:iCs/>
        </w:rPr>
        <w:t xml:space="preserve"> </w:t>
      </w:r>
      <w:r w:rsidR="00A43F77" w:rsidRPr="00A43F77">
        <w:rPr>
          <w:rFonts w:asciiTheme="minorHAnsi" w:hAnsiTheme="minorHAnsi" w:cstheme="minorHAnsi"/>
          <w:i/>
          <w:iCs/>
        </w:rPr>
        <w:t>person in the patient’s position</w:t>
      </w:r>
      <w:r w:rsidR="00CB2220" w:rsidRPr="00A43F77">
        <w:rPr>
          <w:rFonts w:asciiTheme="minorHAnsi" w:hAnsiTheme="minorHAnsi" w:cstheme="minorHAnsi"/>
          <w:i/>
          <w:iCs/>
        </w:rPr>
        <w:t>’</w:t>
      </w:r>
      <w:r w:rsidR="00A43F77" w:rsidRPr="008841E4">
        <w:rPr>
          <w:rStyle w:val="FootnoteReference"/>
          <w:rFonts w:cstheme="minorHAnsi"/>
        </w:rPr>
        <w:footnoteReference w:id="58"/>
      </w:r>
      <w:r w:rsidR="00CB2220">
        <w:rPr>
          <w:rFonts w:asciiTheme="minorHAnsi" w:hAnsiTheme="minorHAnsi" w:cstheme="minorHAnsi"/>
        </w:rPr>
        <w:t xml:space="preserve"> needed to know</w:t>
      </w:r>
      <w:r w:rsidR="00FA6C5A">
        <w:rPr>
          <w:rFonts w:asciiTheme="minorHAnsi" w:hAnsiTheme="minorHAnsi" w:cstheme="minorHAnsi"/>
          <w:i/>
          <w:iCs/>
        </w:rPr>
        <w:t xml:space="preserve">, </w:t>
      </w:r>
      <w:r w:rsidR="00403EAB" w:rsidRPr="00F72F9B">
        <w:rPr>
          <w:rFonts w:asciiTheme="minorHAnsi" w:hAnsiTheme="minorHAnsi" w:cstheme="minorHAnsi"/>
        </w:rPr>
        <w:t xml:space="preserve">to the more recent decision in </w:t>
      </w:r>
      <w:r w:rsidR="00403EAB" w:rsidRPr="00F72F9B">
        <w:rPr>
          <w:rFonts w:asciiTheme="minorHAnsi" w:hAnsiTheme="minorHAnsi" w:cstheme="minorHAnsi"/>
          <w:i/>
          <w:iCs/>
        </w:rPr>
        <w:t>Montgomery</w:t>
      </w:r>
      <w:r w:rsidR="00972E38">
        <w:rPr>
          <w:rStyle w:val="FootnoteReference"/>
          <w:rFonts w:cstheme="minorHAnsi"/>
          <w:i/>
          <w:iCs/>
        </w:rPr>
        <w:footnoteReference w:id="59"/>
      </w:r>
      <w:r w:rsidR="00CB2220">
        <w:rPr>
          <w:rFonts w:asciiTheme="minorHAnsi" w:hAnsiTheme="minorHAnsi" w:cstheme="minorHAnsi"/>
          <w:i/>
          <w:iCs/>
        </w:rPr>
        <w:t xml:space="preserve"> </w:t>
      </w:r>
      <w:r w:rsidR="00CB2220">
        <w:rPr>
          <w:rFonts w:asciiTheme="minorHAnsi" w:hAnsiTheme="minorHAnsi" w:cstheme="minorHAnsi"/>
        </w:rPr>
        <w:t>that reinforced a consent rooted in patient autonomy and a ‘particular patient’ standard</w:t>
      </w:r>
      <w:r w:rsidR="002D082B">
        <w:rPr>
          <w:rFonts w:asciiTheme="minorHAnsi" w:hAnsiTheme="minorHAnsi" w:cstheme="minorHAnsi"/>
          <w:i/>
          <w:iCs/>
        </w:rPr>
        <w:t>.</w:t>
      </w:r>
      <w:r w:rsidR="00403EAB" w:rsidRPr="00F72F9B">
        <w:rPr>
          <w:rFonts w:asciiTheme="minorHAnsi" w:hAnsiTheme="minorHAnsi" w:cstheme="minorHAnsi"/>
        </w:rPr>
        <w:t xml:space="preserve"> </w:t>
      </w:r>
      <w:r w:rsidR="00FA6C5A">
        <w:rPr>
          <w:rFonts w:asciiTheme="minorHAnsi" w:hAnsiTheme="minorHAnsi" w:cstheme="minorHAnsi"/>
        </w:rPr>
        <w:t xml:space="preserve">The direction of travel in human medicine has </w:t>
      </w:r>
      <w:r w:rsidR="00CB2220">
        <w:rPr>
          <w:rFonts w:asciiTheme="minorHAnsi" w:hAnsiTheme="minorHAnsi" w:cstheme="minorHAnsi"/>
        </w:rPr>
        <w:t xml:space="preserve">therefore </w:t>
      </w:r>
      <w:r w:rsidR="00FA6C5A">
        <w:rPr>
          <w:rFonts w:asciiTheme="minorHAnsi" w:hAnsiTheme="minorHAnsi" w:cstheme="minorHAnsi"/>
        </w:rPr>
        <w:t>been towards a consent grounded in the patient’s right to self-determination.</w:t>
      </w:r>
    </w:p>
    <w:p w14:paraId="76FE3398" w14:textId="77777777" w:rsidR="00F94282" w:rsidRDefault="00F94282" w:rsidP="00934427">
      <w:pPr>
        <w:spacing w:line="360" w:lineRule="auto"/>
        <w:rPr>
          <w:rFonts w:asciiTheme="minorHAnsi" w:hAnsiTheme="minorHAnsi" w:cstheme="minorHAnsi"/>
        </w:rPr>
      </w:pPr>
    </w:p>
    <w:p w14:paraId="391D6712" w14:textId="55604729" w:rsidR="00D17FA4" w:rsidRDefault="00CB2220" w:rsidP="00934427">
      <w:pPr>
        <w:spacing w:line="360" w:lineRule="auto"/>
        <w:rPr>
          <w:rFonts w:asciiTheme="minorHAnsi" w:hAnsiTheme="minorHAnsi" w:cstheme="minorHAnsi"/>
        </w:rPr>
      </w:pPr>
      <w:r>
        <w:rPr>
          <w:rFonts w:asciiTheme="minorHAnsi" w:hAnsiTheme="minorHAnsi" w:cstheme="minorHAnsi"/>
        </w:rPr>
        <w:t>Consent in veterinary medicine, however, is set against a backdrop of competing interests</w:t>
      </w:r>
      <w:r w:rsidR="002B3097">
        <w:rPr>
          <w:rFonts w:asciiTheme="minorHAnsi" w:hAnsiTheme="minorHAnsi" w:cstheme="minorHAnsi"/>
        </w:rPr>
        <w:t>.</w:t>
      </w:r>
      <w:r>
        <w:rPr>
          <w:rFonts w:asciiTheme="minorHAnsi" w:hAnsiTheme="minorHAnsi" w:cstheme="minorHAnsi"/>
        </w:rPr>
        <w:t xml:space="preserve"> There are the interests of the client/animal owner, the interests of the veterinary professional and the interests of the animal. A consent based on the</w:t>
      </w:r>
      <w:r w:rsidR="008D4BF3">
        <w:rPr>
          <w:rFonts w:asciiTheme="minorHAnsi" w:hAnsiTheme="minorHAnsi" w:cstheme="minorHAnsi"/>
        </w:rPr>
        <w:t xml:space="preserve"> ‘best interests’</w:t>
      </w:r>
      <w:r>
        <w:rPr>
          <w:rFonts w:asciiTheme="minorHAnsi" w:hAnsiTheme="minorHAnsi" w:cstheme="minorHAnsi"/>
        </w:rPr>
        <w:t xml:space="preserve"> of the animal patient would</w:t>
      </w:r>
      <w:r w:rsidR="008D4BF3">
        <w:rPr>
          <w:rFonts w:asciiTheme="minorHAnsi" w:hAnsiTheme="minorHAnsi" w:cstheme="minorHAnsi"/>
        </w:rPr>
        <w:t xml:space="preserve"> seem appropriate for a profession that maximises respect for animal welfare throughout its ethical guidance</w:t>
      </w:r>
      <w:r w:rsidR="00F94282">
        <w:rPr>
          <w:rFonts w:asciiTheme="minorHAnsi" w:hAnsiTheme="minorHAnsi" w:cstheme="minorHAnsi"/>
        </w:rPr>
        <w:t>;</w:t>
      </w:r>
      <w:r w:rsidR="008D4BF3">
        <w:rPr>
          <w:rFonts w:asciiTheme="minorHAnsi" w:hAnsiTheme="minorHAnsi" w:cstheme="minorHAnsi"/>
        </w:rPr>
        <w:t xml:space="preserve"> </w:t>
      </w:r>
      <w:r>
        <w:rPr>
          <w:rFonts w:asciiTheme="minorHAnsi" w:hAnsiTheme="minorHAnsi" w:cstheme="minorHAnsi"/>
        </w:rPr>
        <w:t xml:space="preserve">after all, </w:t>
      </w:r>
      <w:r w:rsidR="008D4BF3">
        <w:rPr>
          <w:rFonts w:asciiTheme="minorHAnsi" w:hAnsiTheme="minorHAnsi" w:cstheme="minorHAnsi"/>
        </w:rPr>
        <w:t xml:space="preserve">the veterinary </w:t>
      </w:r>
      <w:r w:rsidR="0054600A">
        <w:rPr>
          <w:rFonts w:asciiTheme="minorHAnsi" w:hAnsiTheme="minorHAnsi" w:cstheme="minorHAnsi"/>
        </w:rPr>
        <w:t>oath</w:t>
      </w:r>
      <w:r w:rsidR="008D4BF3">
        <w:rPr>
          <w:rFonts w:asciiTheme="minorHAnsi" w:hAnsiTheme="minorHAnsi" w:cstheme="minorHAnsi"/>
        </w:rPr>
        <w:t xml:space="preserve"> includes the phrase “….</w:t>
      </w:r>
      <w:r w:rsidR="008D4BF3" w:rsidRPr="008D4BF3">
        <w:rPr>
          <w:rFonts w:asciiTheme="minorHAnsi" w:hAnsiTheme="minorHAnsi" w:cstheme="minorHAnsi"/>
          <w:i/>
          <w:iCs/>
        </w:rPr>
        <w:t>ABOVE ALL, my constant endeavour will be to ensure the health and welfare of animals committed to my care</w:t>
      </w:r>
      <w:r w:rsidR="00D50F47" w:rsidRPr="00D17FA4">
        <w:rPr>
          <w:rFonts w:asciiTheme="minorHAnsi" w:hAnsiTheme="minorHAnsi" w:cstheme="minorHAnsi"/>
        </w:rPr>
        <w:t>.</w:t>
      </w:r>
      <w:r w:rsidR="008D4BF3" w:rsidRPr="00D17FA4">
        <w:rPr>
          <w:rFonts w:asciiTheme="minorHAnsi" w:hAnsiTheme="minorHAnsi" w:cstheme="minorHAnsi"/>
        </w:rPr>
        <w:t>"</w:t>
      </w:r>
      <w:r w:rsidR="00D50F47" w:rsidRPr="00D17FA4">
        <w:rPr>
          <w:rStyle w:val="FootnoteReference"/>
          <w:rFonts w:cstheme="minorHAnsi"/>
        </w:rPr>
        <w:footnoteReference w:id="60"/>
      </w:r>
      <w:r w:rsidR="0054600A">
        <w:rPr>
          <w:rFonts w:asciiTheme="minorHAnsi" w:hAnsiTheme="minorHAnsi" w:cstheme="minorHAnsi"/>
        </w:rPr>
        <w:t xml:space="preserve"> </w:t>
      </w:r>
      <w:r w:rsidR="00E0591A">
        <w:rPr>
          <w:rFonts w:asciiTheme="minorHAnsi" w:hAnsiTheme="minorHAnsi" w:cstheme="minorHAnsi"/>
        </w:rPr>
        <w:t xml:space="preserve">Nonetheless, the legal status of animals as property, together with the </w:t>
      </w:r>
      <w:r w:rsidR="00384FC6">
        <w:rPr>
          <w:rFonts w:asciiTheme="minorHAnsi" w:hAnsiTheme="minorHAnsi" w:cstheme="minorHAnsi"/>
        </w:rPr>
        <w:t>obligation</w:t>
      </w:r>
      <w:r w:rsidR="00E0591A">
        <w:rPr>
          <w:rFonts w:asciiTheme="minorHAnsi" w:hAnsiTheme="minorHAnsi" w:cstheme="minorHAnsi"/>
        </w:rPr>
        <w:t xml:space="preserve"> for animal owners to pay for their animals’ veterinary treatment, </w:t>
      </w:r>
      <w:r w:rsidR="00B04B8F">
        <w:rPr>
          <w:rFonts w:asciiTheme="minorHAnsi" w:hAnsiTheme="minorHAnsi" w:cstheme="minorHAnsi"/>
        </w:rPr>
        <w:t>seems to</w:t>
      </w:r>
      <w:r w:rsidR="00E0591A">
        <w:rPr>
          <w:rFonts w:asciiTheme="minorHAnsi" w:hAnsiTheme="minorHAnsi" w:cstheme="minorHAnsi"/>
        </w:rPr>
        <w:t xml:space="preserve"> thwart any idealistic promotion of ‘best interests’ as the central consideration when making decisions about their healthcare. </w:t>
      </w:r>
      <w:r w:rsidR="00846F25">
        <w:rPr>
          <w:rFonts w:asciiTheme="minorHAnsi" w:hAnsiTheme="minorHAnsi" w:cstheme="minorHAnsi"/>
        </w:rPr>
        <w:t>As an</w:t>
      </w:r>
      <w:r w:rsidR="00B04B8F">
        <w:rPr>
          <w:rFonts w:asciiTheme="minorHAnsi" w:hAnsiTheme="minorHAnsi" w:cstheme="minorHAnsi"/>
        </w:rPr>
        <w:t xml:space="preserve"> example, </w:t>
      </w:r>
      <w:r w:rsidR="00846F25">
        <w:rPr>
          <w:rFonts w:asciiTheme="minorHAnsi" w:hAnsiTheme="minorHAnsi" w:cstheme="minorHAnsi"/>
        </w:rPr>
        <w:t>if</w:t>
      </w:r>
      <w:r w:rsidR="00B04B8F">
        <w:rPr>
          <w:rFonts w:asciiTheme="minorHAnsi" w:hAnsiTheme="minorHAnsi" w:cstheme="minorHAnsi"/>
        </w:rPr>
        <w:t xml:space="preserve"> the best interests of the animal patient would be served by </w:t>
      </w:r>
      <w:r w:rsidR="00846F25">
        <w:rPr>
          <w:rFonts w:asciiTheme="minorHAnsi" w:hAnsiTheme="minorHAnsi" w:cstheme="minorHAnsi"/>
        </w:rPr>
        <w:t xml:space="preserve">undergoing </w:t>
      </w:r>
      <w:r w:rsidR="00B04B8F">
        <w:rPr>
          <w:rFonts w:asciiTheme="minorHAnsi" w:hAnsiTheme="minorHAnsi" w:cstheme="minorHAnsi"/>
        </w:rPr>
        <w:t xml:space="preserve">an expensive surgical procedure, which the client is unable to afford, </w:t>
      </w:r>
      <w:r w:rsidR="00846F25">
        <w:rPr>
          <w:rFonts w:asciiTheme="minorHAnsi" w:hAnsiTheme="minorHAnsi" w:cstheme="minorHAnsi"/>
        </w:rPr>
        <w:t xml:space="preserve">either the interests of the client in maintaining ownership of the animal or the interests of the veterinarian in receiving payment for performing the surgery would </w:t>
      </w:r>
      <w:r w:rsidR="00F2696A">
        <w:rPr>
          <w:rFonts w:asciiTheme="minorHAnsi" w:hAnsiTheme="minorHAnsi" w:cstheme="minorHAnsi"/>
        </w:rPr>
        <w:t xml:space="preserve">need to </w:t>
      </w:r>
      <w:r w:rsidR="00846F25">
        <w:rPr>
          <w:rFonts w:asciiTheme="minorHAnsi" w:hAnsiTheme="minorHAnsi" w:cstheme="minorHAnsi"/>
        </w:rPr>
        <w:lastRenderedPageBreak/>
        <w:t>be relinquished</w:t>
      </w:r>
      <w:r w:rsidR="00F2696A">
        <w:rPr>
          <w:rFonts w:asciiTheme="minorHAnsi" w:hAnsiTheme="minorHAnsi" w:cstheme="minorHAnsi"/>
        </w:rPr>
        <w:t xml:space="preserve"> to satisfy </w:t>
      </w:r>
      <w:r w:rsidR="00EC7925">
        <w:rPr>
          <w:rFonts w:asciiTheme="minorHAnsi" w:hAnsiTheme="minorHAnsi" w:cstheme="minorHAnsi"/>
        </w:rPr>
        <w:t>a</w:t>
      </w:r>
      <w:r w:rsidR="00F2696A">
        <w:rPr>
          <w:rFonts w:asciiTheme="minorHAnsi" w:hAnsiTheme="minorHAnsi" w:cstheme="minorHAnsi"/>
        </w:rPr>
        <w:t xml:space="preserve"> </w:t>
      </w:r>
      <w:r w:rsidR="00EC7925">
        <w:rPr>
          <w:rFonts w:asciiTheme="minorHAnsi" w:hAnsiTheme="minorHAnsi" w:cstheme="minorHAnsi"/>
        </w:rPr>
        <w:t>‘</w:t>
      </w:r>
      <w:r w:rsidR="00F2696A">
        <w:rPr>
          <w:rFonts w:asciiTheme="minorHAnsi" w:hAnsiTheme="minorHAnsi" w:cstheme="minorHAnsi"/>
        </w:rPr>
        <w:t>best interests</w:t>
      </w:r>
      <w:r w:rsidR="00EC7925">
        <w:rPr>
          <w:rFonts w:asciiTheme="minorHAnsi" w:hAnsiTheme="minorHAnsi" w:cstheme="minorHAnsi"/>
        </w:rPr>
        <w:t>’</w:t>
      </w:r>
      <w:r w:rsidR="00E8676F">
        <w:rPr>
          <w:rFonts w:asciiTheme="minorHAnsi" w:hAnsiTheme="minorHAnsi" w:cstheme="minorHAnsi"/>
        </w:rPr>
        <w:t>-</w:t>
      </w:r>
      <w:r w:rsidR="00F2696A">
        <w:rPr>
          <w:rFonts w:asciiTheme="minorHAnsi" w:hAnsiTheme="minorHAnsi" w:cstheme="minorHAnsi"/>
        </w:rPr>
        <w:t xml:space="preserve"> based decision</w:t>
      </w:r>
      <w:r w:rsidR="00846F25">
        <w:rPr>
          <w:rFonts w:asciiTheme="minorHAnsi" w:hAnsiTheme="minorHAnsi" w:cstheme="minorHAnsi"/>
        </w:rPr>
        <w:t>. Thus, there are problems in grounding consent to veterinary treatment in the best interests of the patient.</w:t>
      </w:r>
    </w:p>
    <w:p w14:paraId="225CD06D" w14:textId="77777777" w:rsidR="00D17FA4" w:rsidRDefault="00D17FA4" w:rsidP="00934427">
      <w:pPr>
        <w:spacing w:line="360" w:lineRule="auto"/>
        <w:rPr>
          <w:rFonts w:asciiTheme="minorHAnsi" w:hAnsiTheme="minorHAnsi" w:cstheme="minorHAnsi"/>
        </w:rPr>
      </w:pPr>
    </w:p>
    <w:p w14:paraId="110E546B" w14:textId="343DAEA4" w:rsidR="001008B3" w:rsidRPr="00AF23BC" w:rsidRDefault="00E0591A" w:rsidP="00934427">
      <w:pPr>
        <w:spacing w:line="360" w:lineRule="auto"/>
        <w:rPr>
          <w:rFonts w:asciiTheme="minorHAnsi" w:hAnsiTheme="minorHAnsi" w:cstheme="minorHAnsi"/>
        </w:rPr>
      </w:pPr>
      <w:r>
        <w:rPr>
          <w:rFonts w:asciiTheme="minorHAnsi" w:hAnsiTheme="minorHAnsi" w:cstheme="minorHAnsi"/>
        </w:rPr>
        <w:t>I</w:t>
      </w:r>
      <w:r w:rsidR="0054600A">
        <w:rPr>
          <w:rFonts w:asciiTheme="minorHAnsi" w:hAnsiTheme="minorHAnsi" w:cstheme="minorHAnsi"/>
        </w:rPr>
        <w:t>n</w:t>
      </w:r>
      <w:r w:rsidR="002B3097">
        <w:rPr>
          <w:rFonts w:asciiTheme="minorHAnsi" w:hAnsiTheme="minorHAnsi" w:cstheme="minorHAnsi"/>
        </w:rPr>
        <w:t xml:space="preserve"> </w:t>
      </w:r>
      <w:r w:rsidR="002D082B">
        <w:rPr>
          <w:rFonts w:asciiTheme="minorHAnsi" w:hAnsiTheme="minorHAnsi" w:cstheme="minorHAnsi"/>
        </w:rPr>
        <w:t>the</w:t>
      </w:r>
      <w:r w:rsidR="002B3097">
        <w:rPr>
          <w:rFonts w:asciiTheme="minorHAnsi" w:hAnsiTheme="minorHAnsi" w:cstheme="minorHAnsi"/>
        </w:rPr>
        <w:t xml:space="preserve"> cases examined</w:t>
      </w:r>
      <w:r w:rsidR="001C3674">
        <w:rPr>
          <w:rFonts w:asciiTheme="minorHAnsi" w:hAnsiTheme="minorHAnsi" w:cstheme="minorHAnsi"/>
        </w:rPr>
        <w:t>,</w:t>
      </w:r>
      <w:r w:rsidR="00450ECF">
        <w:rPr>
          <w:rFonts w:asciiTheme="minorHAnsi" w:hAnsiTheme="minorHAnsi" w:cstheme="minorHAnsi"/>
        </w:rPr>
        <w:t xml:space="preserve"> </w:t>
      </w:r>
      <w:r w:rsidR="001C3674">
        <w:rPr>
          <w:rFonts w:asciiTheme="minorHAnsi" w:hAnsiTheme="minorHAnsi" w:cstheme="minorHAnsi"/>
        </w:rPr>
        <w:t>the</w:t>
      </w:r>
      <w:r w:rsidR="00450ECF">
        <w:rPr>
          <w:rFonts w:asciiTheme="minorHAnsi" w:hAnsiTheme="minorHAnsi" w:cstheme="minorHAnsi"/>
        </w:rPr>
        <w:t xml:space="preserve"> lack of</w:t>
      </w:r>
      <w:r w:rsidR="002B4AEB">
        <w:rPr>
          <w:rFonts w:asciiTheme="minorHAnsi" w:hAnsiTheme="minorHAnsi" w:cstheme="minorHAnsi"/>
        </w:rPr>
        <w:t xml:space="preserve"> discussion </w:t>
      </w:r>
      <w:r w:rsidR="00450ECF">
        <w:rPr>
          <w:rFonts w:asciiTheme="minorHAnsi" w:hAnsiTheme="minorHAnsi" w:cstheme="minorHAnsi"/>
        </w:rPr>
        <w:t>regarding</w:t>
      </w:r>
      <w:r w:rsidR="002B4AEB">
        <w:rPr>
          <w:rFonts w:asciiTheme="minorHAnsi" w:hAnsiTheme="minorHAnsi" w:cstheme="minorHAnsi"/>
        </w:rPr>
        <w:t xml:space="preserve"> the animal's best interests</w:t>
      </w:r>
      <w:r w:rsidR="0054600A">
        <w:rPr>
          <w:rFonts w:asciiTheme="minorHAnsi" w:hAnsiTheme="minorHAnsi" w:cstheme="minorHAnsi"/>
        </w:rPr>
        <w:t xml:space="preserve"> is notable</w:t>
      </w:r>
      <w:r w:rsidR="00846F25">
        <w:rPr>
          <w:rFonts w:asciiTheme="minorHAnsi" w:hAnsiTheme="minorHAnsi" w:cstheme="minorHAnsi"/>
        </w:rPr>
        <w:t xml:space="preserve">, but understandable. The clients’ complaints </w:t>
      </w:r>
      <w:r w:rsidR="00F2696A">
        <w:rPr>
          <w:rFonts w:asciiTheme="minorHAnsi" w:hAnsiTheme="minorHAnsi" w:cstheme="minorHAnsi"/>
        </w:rPr>
        <w:t>encompassed a</w:t>
      </w:r>
      <w:r w:rsidR="00846F25">
        <w:rPr>
          <w:rFonts w:asciiTheme="minorHAnsi" w:hAnsiTheme="minorHAnsi" w:cstheme="minorHAnsi"/>
        </w:rPr>
        <w:t xml:space="preserve"> lack of consent to what was done to their animals</w:t>
      </w:r>
      <w:r w:rsidR="00F2696A">
        <w:rPr>
          <w:rFonts w:asciiTheme="minorHAnsi" w:hAnsiTheme="minorHAnsi" w:cstheme="minorHAnsi"/>
        </w:rPr>
        <w:t>,</w:t>
      </w:r>
      <w:r w:rsidR="00846F25">
        <w:rPr>
          <w:rFonts w:asciiTheme="minorHAnsi" w:hAnsiTheme="minorHAnsi" w:cstheme="minorHAnsi"/>
        </w:rPr>
        <w:t xml:space="preserve"> based on an entitlement to make decisions </w:t>
      </w:r>
      <w:r w:rsidR="00F2696A">
        <w:rPr>
          <w:rFonts w:asciiTheme="minorHAnsi" w:hAnsiTheme="minorHAnsi" w:cstheme="minorHAnsi"/>
        </w:rPr>
        <w:t>regarding</w:t>
      </w:r>
      <w:r w:rsidR="00846F25">
        <w:rPr>
          <w:rFonts w:asciiTheme="minorHAnsi" w:hAnsiTheme="minorHAnsi" w:cstheme="minorHAnsi"/>
        </w:rPr>
        <w:t xml:space="preserve"> treatment of their property and to agree to specific financial obligations.</w:t>
      </w:r>
      <w:r w:rsidR="006F3B41">
        <w:rPr>
          <w:rFonts w:asciiTheme="minorHAnsi" w:hAnsiTheme="minorHAnsi" w:cstheme="minorHAnsi"/>
        </w:rPr>
        <w:t xml:space="preserve"> </w:t>
      </w:r>
      <w:r w:rsidR="00846F25">
        <w:rPr>
          <w:rFonts w:asciiTheme="minorHAnsi" w:hAnsiTheme="minorHAnsi" w:cstheme="minorHAnsi"/>
        </w:rPr>
        <w:t>T</w:t>
      </w:r>
      <w:r w:rsidR="00E705C4">
        <w:rPr>
          <w:rFonts w:asciiTheme="minorHAnsi" w:hAnsiTheme="minorHAnsi" w:cstheme="minorHAnsi"/>
        </w:rPr>
        <w:t xml:space="preserve">he </w:t>
      </w:r>
      <w:r w:rsidR="0037349E">
        <w:rPr>
          <w:rFonts w:asciiTheme="minorHAnsi" w:hAnsiTheme="minorHAnsi" w:cstheme="minorHAnsi"/>
        </w:rPr>
        <w:t xml:space="preserve">exception </w:t>
      </w:r>
      <w:r w:rsidR="00E705C4">
        <w:rPr>
          <w:rFonts w:asciiTheme="minorHAnsi" w:hAnsiTheme="minorHAnsi" w:cstheme="minorHAnsi"/>
        </w:rPr>
        <w:t>is</w:t>
      </w:r>
      <w:r w:rsidR="00450ECF">
        <w:rPr>
          <w:rFonts w:asciiTheme="minorHAnsi" w:hAnsiTheme="minorHAnsi" w:cstheme="minorHAnsi"/>
        </w:rPr>
        <w:t xml:space="preserve"> </w:t>
      </w:r>
      <w:r w:rsidR="00846F25">
        <w:rPr>
          <w:rFonts w:asciiTheme="minorHAnsi" w:hAnsiTheme="minorHAnsi" w:cstheme="minorHAnsi"/>
        </w:rPr>
        <w:t xml:space="preserve">the report on </w:t>
      </w:r>
      <w:r w:rsidR="00834A90">
        <w:rPr>
          <w:rFonts w:asciiTheme="minorHAnsi" w:hAnsiTheme="minorHAnsi" w:cstheme="minorHAnsi"/>
        </w:rPr>
        <w:t xml:space="preserve">Case </w:t>
      </w:r>
      <w:r w:rsidR="00F97543">
        <w:rPr>
          <w:rFonts w:asciiTheme="minorHAnsi" w:hAnsiTheme="minorHAnsi" w:cstheme="minorHAnsi"/>
        </w:rPr>
        <w:t>4</w:t>
      </w:r>
      <w:r w:rsidR="00834A90">
        <w:rPr>
          <w:rFonts w:asciiTheme="minorHAnsi" w:hAnsiTheme="minorHAnsi" w:cstheme="minorHAnsi"/>
        </w:rPr>
        <w:t>, which refer</w:t>
      </w:r>
      <w:r w:rsidR="00846F25">
        <w:rPr>
          <w:rFonts w:asciiTheme="minorHAnsi" w:hAnsiTheme="minorHAnsi" w:cstheme="minorHAnsi"/>
        </w:rPr>
        <w:t>s</w:t>
      </w:r>
      <w:r w:rsidR="00834A90">
        <w:rPr>
          <w:rFonts w:asciiTheme="minorHAnsi" w:hAnsiTheme="minorHAnsi" w:cstheme="minorHAnsi"/>
        </w:rPr>
        <w:t xml:space="preserve"> on two occasions to the 'best interests' of the patient.</w:t>
      </w:r>
      <w:r w:rsidR="002B3097">
        <w:rPr>
          <w:rFonts w:asciiTheme="minorHAnsi" w:hAnsiTheme="minorHAnsi" w:cstheme="minorHAnsi"/>
        </w:rPr>
        <w:t xml:space="preserve"> </w:t>
      </w:r>
      <w:r w:rsidR="00D50F47">
        <w:rPr>
          <w:rFonts w:asciiTheme="minorHAnsi" w:hAnsiTheme="minorHAnsi" w:cstheme="minorHAnsi"/>
        </w:rPr>
        <w:t>First, w</w:t>
      </w:r>
      <w:r w:rsidR="001008B3">
        <w:rPr>
          <w:rFonts w:asciiTheme="minorHAnsi" w:hAnsiTheme="minorHAnsi" w:cstheme="minorHAnsi"/>
        </w:rPr>
        <w:t xml:space="preserve">hen referring to the hernia surgery, the </w:t>
      </w:r>
      <w:r w:rsidR="00AC3D41">
        <w:rPr>
          <w:rFonts w:asciiTheme="minorHAnsi" w:hAnsiTheme="minorHAnsi" w:cstheme="minorHAnsi"/>
        </w:rPr>
        <w:t>committee</w:t>
      </w:r>
      <w:r w:rsidR="001008B3">
        <w:rPr>
          <w:rFonts w:asciiTheme="minorHAnsi" w:hAnsiTheme="minorHAnsi" w:cstheme="minorHAnsi"/>
        </w:rPr>
        <w:t xml:space="preserve"> noted that it</w:t>
      </w:r>
      <w:r w:rsidR="001008B3" w:rsidRPr="001008B3">
        <w:rPr>
          <w:rFonts w:asciiTheme="minorHAnsi" w:hAnsiTheme="minorHAnsi" w:cstheme="minorHAnsi"/>
        </w:rPr>
        <w:t xml:space="preserve"> </w:t>
      </w:r>
      <w:r w:rsidR="001008B3">
        <w:rPr>
          <w:rFonts w:asciiTheme="minorHAnsi" w:hAnsiTheme="minorHAnsi" w:cstheme="minorHAnsi"/>
        </w:rPr>
        <w:t>"</w:t>
      </w:r>
      <w:r w:rsidR="001008B3" w:rsidRPr="001008B3">
        <w:rPr>
          <w:rFonts w:asciiTheme="minorHAnsi" w:hAnsiTheme="minorHAnsi" w:cstheme="minorHAnsi"/>
          <w:i/>
          <w:iCs/>
        </w:rPr>
        <w:t>would not address the underlying condition that was making [cat] ill and, more importantly, that the hernia surgery would not have been in [cat]’s best interests.</w:t>
      </w:r>
      <w:r w:rsidR="001008B3" w:rsidRPr="008841E4">
        <w:rPr>
          <w:rFonts w:asciiTheme="minorHAnsi" w:hAnsiTheme="minorHAnsi" w:cstheme="minorHAnsi"/>
        </w:rPr>
        <w:t>"</w:t>
      </w:r>
      <w:r w:rsidR="001008B3" w:rsidRPr="008841E4">
        <w:rPr>
          <w:rStyle w:val="FootnoteReference"/>
          <w:rFonts w:cstheme="minorHAnsi"/>
        </w:rPr>
        <w:footnoteReference w:id="61"/>
      </w:r>
      <w:r w:rsidR="001008B3">
        <w:rPr>
          <w:rFonts w:asciiTheme="minorHAnsi" w:hAnsiTheme="minorHAnsi" w:cstheme="minorHAnsi"/>
          <w:i/>
          <w:iCs/>
        </w:rPr>
        <w:t xml:space="preserve"> </w:t>
      </w:r>
      <w:r w:rsidR="001008B3">
        <w:rPr>
          <w:rFonts w:asciiTheme="minorHAnsi" w:hAnsiTheme="minorHAnsi" w:cstheme="minorHAnsi"/>
        </w:rPr>
        <w:t xml:space="preserve">and later, </w:t>
      </w:r>
      <w:r w:rsidR="00AF23BC">
        <w:rPr>
          <w:rFonts w:asciiTheme="minorHAnsi" w:hAnsiTheme="minorHAnsi" w:cstheme="minorHAnsi"/>
        </w:rPr>
        <w:t>stating that neither the general anaesthetic nor the operation "</w:t>
      </w:r>
      <w:r w:rsidR="00AF23BC" w:rsidRPr="00AF23BC">
        <w:rPr>
          <w:rFonts w:asciiTheme="minorHAnsi" w:hAnsiTheme="minorHAnsi" w:cstheme="minorHAnsi"/>
          <w:i/>
          <w:iCs/>
        </w:rPr>
        <w:t>were in her best interests.</w:t>
      </w:r>
      <w:r w:rsidR="00AF23BC" w:rsidRPr="008841E4">
        <w:rPr>
          <w:rFonts w:asciiTheme="minorHAnsi" w:hAnsiTheme="minorHAnsi" w:cstheme="minorHAnsi"/>
        </w:rPr>
        <w:t>"</w:t>
      </w:r>
      <w:r w:rsidR="00AF23BC" w:rsidRPr="008841E4">
        <w:rPr>
          <w:rStyle w:val="FootnoteReference"/>
          <w:rFonts w:cstheme="minorHAnsi"/>
        </w:rPr>
        <w:footnoteReference w:id="62"/>
      </w:r>
      <w:r w:rsidR="00AF23BC">
        <w:rPr>
          <w:rFonts w:asciiTheme="minorHAnsi" w:hAnsiTheme="minorHAnsi" w:cstheme="minorHAnsi"/>
          <w:i/>
          <w:iCs/>
        </w:rPr>
        <w:t xml:space="preserve"> </w:t>
      </w:r>
      <w:r w:rsidR="001C3674">
        <w:rPr>
          <w:rFonts w:asciiTheme="minorHAnsi" w:hAnsiTheme="minorHAnsi" w:cstheme="minorHAnsi"/>
        </w:rPr>
        <w:t xml:space="preserve">As </w:t>
      </w:r>
      <w:r w:rsidR="00AF23BC">
        <w:rPr>
          <w:rFonts w:asciiTheme="minorHAnsi" w:hAnsiTheme="minorHAnsi" w:cstheme="minorHAnsi"/>
        </w:rPr>
        <w:t xml:space="preserve">the only case </w:t>
      </w:r>
      <w:r w:rsidR="00A82F62">
        <w:rPr>
          <w:rFonts w:asciiTheme="minorHAnsi" w:hAnsiTheme="minorHAnsi" w:cstheme="minorHAnsi"/>
        </w:rPr>
        <w:t xml:space="preserve">examined </w:t>
      </w:r>
      <w:r w:rsidR="00C64F5E">
        <w:rPr>
          <w:rFonts w:asciiTheme="minorHAnsi" w:hAnsiTheme="minorHAnsi" w:cstheme="minorHAnsi"/>
        </w:rPr>
        <w:t xml:space="preserve">to </w:t>
      </w:r>
      <w:r w:rsidR="00AF23BC">
        <w:rPr>
          <w:rFonts w:asciiTheme="minorHAnsi" w:hAnsiTheme="minorHAnsi" w:cstheme="minorHAnsi"/>
        </w:rPr>
        <w:t>correlat</w:t>
      </w:r>
      <w:r w:rsidR="00D50F47">
        <w:rPr>
          <w:rFonts w:asciiTheme="minorHAnsi" w:hAnsiTheme="minorHAnsi" w:cstheme="minorHAnsi"/>
        </w:rPr>
        <w:t>e</w:t>
      </w:r>
      <w:r w:rsidR="00AF23BC">
        <w:rPr>
          <w:rFonts w:asciiTheme="minorHAnsi" w:hAnsiTheme="minorHAnsi" w:cstheme="minorHAnsi"/>
        </w:rPr>
        <w:t xml:space="preserve"> </w:t>
      </w:r>
      <w:r w:rsidR="00D50F47">
        <w:rPr>
          <w:rFonts w:asciiTheme="minorHAnsi" w:hAnsiTheme="minorHAnsi" w:cstheme="minorHAnsi"/>
        </w:rPr>
        <w:t>a</w:t>
      </w:r>
      <w:r w:rsidR="00AF23BC">
        <w:rPr>
          <w:rFonts w:asciiTheme="minorHAnsi" w:hAnsiTheme="minorHAnsi" w:cstheme="minorHAnsi"/>
        </w:rPr>
        <w:t xml:space="preserve"> failure to act in the patient's best interests </w:t>
      </w:r>
      <w:r w:rsidR="00D50F47">
        <w:rPr>
          <w:rFonts w:asciiTheme="minorHAnsi" w:hAnsiTheme="minorHAnsi" w:cstheme="minorHAnsi"/>
        </w:rPr>
        <w:t>with</w:t>
      </w:r>
      <w:r w:rsidR="00AF23BC">
        <w:rPr>
          <w:rFonts w:asciiTheme="minorHAnsi" w:hAnsiTheme="minorHAnsi" w:cstheme="minorHAnsi"/>
        </w:rPr>
        <w:t xml:space="preserve"> a finding of disgraceful professional conduct</w:t>
      </w:r>
      <w:r w:rsidR="001C3674">
        <w:rPr>
          <w:rFonts w:asciiTheme="minorHAnsi" w:hAnsiTheme="minorHAnsi" w:cstheme="minorHAnsi"/>
        </w:rPr>
        <w:t xml:space="preserve">, this case </w:t>
      </w:r>
      <w:r w:rsidR="00F94282">
        <w:rPr>
          <w:rFonts w:asciiTheme="minorHAnsi" w:hAnsiTheme="minorHAnsi" w:cstheme="minorHAnsi"/>
        </w:rPr>
        <w:t xml:space="preserve">could </w:t>
      </w:r>
      <w:r w:rsidR="00384FC6">
        <w:rPr>
          <w:rFonts w:asciiTheme="minorHAnsi" w:hAnsiTheme="minorHAnsi" w:cstheme="minorHAnsi"/>
        </w:rPr>
        <w:t>offer</w:t>
      </w:r>
      <w:r w:rsidR="001C3674">
        <w:rPr>
          <w:rFonts w:asciiTheme="minorHAnsi" w:hAnsiTheme="minorHAnsi" w:cstheme="minorHAnsi"/>
        </w:rPr>
        <w:t xml:space="preserve"> a model for case</w:t>
      </w:r>
      <w:r w:rsidR="00D50F47">
        <w:rPr>
          <w:rFonts w:asciiTheme="minorHAnsi" w:hAnsiTheme="minorHAnsi" w:cstheme="minorHAnsi"/>
        </w:rPr>
        <w:t xml:space="preserve"> reasoning</w:t>
      </w:r>
      <w:r w:rsidR="001C3674">
        <w:rPr>
          <w:rFonts w:asciiTheme="minorHAnsi" w:hAnsiTheme="minorHAnsi" w:cstheme="minorHAnsi"/>
        </w:rPr>
        <w:t xml:space="preserve"> going forward</w:t>
      </w:r>
      <w:r w:rsidR="00D50F47">
        <w:rPr>
          <w:rFonts w:asciiTheme="minorHAnsi" w:hAnsiTheme="minorHAnsi" w:cstheme="minorHAnsi"/>
        </w:rPr>
        <w:t>, demonstrating professional ethical protection of the animal patient’s best interests</w:t>
      </w:r>
      <w:r w:rsidR="001C3674">
        <w:rPr>
          <w:rFonts w:asciiTheme="minorHAnsi" w:hAnsiTheme="minorHAnsi" w:cstheme="minorHAnsi"/>
        </w:rPr>
        <w:t>.</w:t>
      </w:r>
      <w:r w:rsidR="00F94282">
        <w:rPr>
          <w:rFonts w:asciiTheme="minorHAnsi" w:hAnsiTheme="minorHAnsi" w:cstheme="minorHAnsi"/>
        </w:rPr>
        <w:t xml:space="preserve"> I</w:t>
      </w:r>
      <w:r w:rsidR="00E705C4">
        <w:rPr>
          <w:rFonts w:asciiTheme="minorHAnsi" w:hAnsiTheme="minorHAnsi" w:cstheme="minorHAnsi"/>
        </w:rPr>
        <w:t xml:space="preserve">nformed consent </w:t>
      </w:r>
      <w:r w:rsidR="00EC7925">
        <w:rPr>
          <w:rFonts w:asciiTheme="minorHAnsi" w:hAnsiTheme="minorHAnsi" w:cstheme="minorHAnsi"/>
        </w:rPr>
        <w:t>would then</w:t>
      </w:r>
      <w:r w:rsidR="008841E4">
        <w:rPr>
          <w:rFonts w:asciiTheme="minorHAnsi" w:hAnsiTheme="minorHAnsi" w:cstheme="minorHAnsi"/>
        </w:rPr>
        <w:t xml:space="preserve"> </w:t>
      </w:r>
      <w:r w:rsidR="00F94282">
        <w:rPr>
          <w:rFonts w:asciiTheme="minorHAnsi" w:hAnsiTheme="minorHAnsi" w:cstheme="minorHAnsi"/>
        </w:rPr>
        <w:t>be</w:t>
      </w:r>
      <w:r w:rsidR="00CB2220">
        <w:rPr>
          <w:rFonts w:asciiTheme="minorHAnsi" w:hAnsiTheme="minorHAnsi" w:cstheme="minorHAnsi"/>
        </w:rPr>
        <w:t>come a mechanism for protection</w:t>
      </w:r>
      <w:r w:rsidR="00AC3D41">
        <w:rPr>
          <w:rFonts w:asciiTheme="minorHAnsi" w:hAnsiTheme="minorHAnsi" w:cstheme="minorHAnsi"/>
        </w:rPr>
        <w:t xml:space="preserve"> of</w:t>
      </w:r>
      <w:r w:rsidR="00CB2220">
        <w:rPr>
          <w:rFonts w:asciiTheme="minorHAnsi" w:hAnsiTheme="minorHAnsi" w:cstheme="minorHAnsi"/>
        </w:rPr>
        <w:t xml:space="preserve"> these interests, while also </w:t>
      </w:r>
      <w:r w:rsidR="00E8676F">
        <w:rPr>
          <w:rFonts w:asciiTheme="minorHAnsi" w:hAnsiTheme="minorHAnsi" w:cstheme="minorHAnsi"/>
        </w:rPr>
        <w:t>acknowledg</w:t>
      </w:r>
      <w:r w:rsidR="00CB2220">
        <w:rPr>
          <w:rFonts w:asciiTheme="minorHAnsi" w:hAnsiTheme="minorHAnsi" w:cstheme="minorHAnsi"/>
        </w:rPr>
        <w:t>ing the interests of the owner</w:t>
      </w:r>
      <w:r w:rsidR="005212B4">
        <w:rPr>
          <w:rFonts w:asciiTheme="minorHAnsi" w:hAnsiTheme="minorHAnsi" w:cstheme="minorHAnsi"/>
        </w:rPr>
        <w:t xml:space="preserve"> in making decisions about the</w:t>
      </w:r>
      <w:r w:rsidR="00845A3D">
        <w:rPr>
          <w:rFonts w:asciiTheme="minorHAnsi" w:hAnsiTheme="minorHAnsi" w:cstheme="minorHAnsi"/>
        </w:rPr>
        <w:t xml:space="preserve"> </w:t>
      </w:r>
      <w:r w:rsidR="005212B4">
        <w:rPr>
          <w:rFonts w:asciiTheme="minorHAnsi" w:hAnsiTheme="minorHAnsi" w:cstheme="minorHAnsi"/>
        </w:rPr>
        <w:t>animal</w:t>
      </w:r>
      <w:r w:rsidR="00845A3D">
        <w:rPr>
          <w:rFonts w:asciiTheme="minorHAnsi" w:hAnsiTheme="minorHAnsi" w:cstheme="minorHAnsi"/>
        </w:rPr>
        <w:t xml:space="preserve">. </w:t>
      </w:r>
      <w:r w:rsidR="00F2696A">
        <w:rPr>
          <w:rFonts w:asciiTheme="minorHAnsi" w:hAnsiTheme="minorHAnsi" w:cstheme="minorHAnsi"/>
        </w:rPr>
        <w:t xml:space="preserve">Treatment options would </w:t>
      </w:r>
      <w:r w:rsidR="00845A3D">
        <w:rPr>
          <w:rFonts w:asciiTheme="minorHAnsi" w:hAnsiTheme="minorHAnsi" w:cstheme="minorHAnsi"/>
        </w:rPr>
        <w:t>be limited to those that protected</w:t>
      </w:r>
      <w:r w:rsidR="00F2696A">
        <w:rPr>
          <w:rFonts w:asciiTheme="minorHAnsi" w:hAnsiTheme="minorHAnsi" w:cstheme="minorHAnsi"/>
        </w:rPr>
        <w:t xml:space="preserve"> the best interests of the </w:t>
      </w:r>
      <w:r w:rsidR="00845A3D">
        <w:rPr>
          <w:rFonts w:asciiTheme="minorHAnsi" w:hAnsiTheme="minorHAnsi" w:cstheme="minorHAnsi"/>
        </w:rPr>
        <w:t xml:space="preserve">animal </w:t>
      </w:r>
      <w:r w:rsidR="00F2696A">
        <w:rPr>
          <w:rFonts w:asciiTheme="minorHAnsi" w:hAnsiTheme="minorHAnsi" w:cstheme="minorHAnsi"/>
        </w:rPr>
        <w:t>patient,</w:t>
      </w:r>
      <w:r w:rsidR="00845A3D">
        <w:rPr>
          <w:rFonts w:asciiTheme="minorHAnsi" w:hAnsiTheme="minorHAnsi" w:cstheme="minorHAnsi"/>
        </w:rPr>
        <w:t xml:space="preserve"> ensuring that standards of veterinary care also reflected these interests. Such an approach would</w:t>
      </w:r>
      <w:r w:rsidR="00F2696A">
        <w:rPr>
          <w:rFonts w:asciiTheme="minorHAnsi" w:hAnsiTheme="minorHAnsi" w:cstheme="minorHAnsi"/>
        </w:rPr>
        <w:t xml:space="preserve"> </w:t>
      </w:r>
      <w:r w:rsidR="00845A3D">
        <w:rPr>
          <w:rFonts w:asciiTheme="minorHAnsi" w:hAnsiTheme="minorHAnsi" w:cstheme="minorHAnsi"/>
        </w:rPr>
        <w:t>require</w:t>
      </w:r>
      <w:r w:rsidR="00CB2220">
        <w:rPr>
          <w:rFonts w:asciiTheme="minorHAnsi" w:hAnsiTheme="minorHAnsi" w:cstheme="minorHAnsi"/>
        </w:rPr>
        <w:t xml:space="preserve"> g</w:t>
      </w:r>
      <w:r w:rsidR="00E705C4">
        <w:rPr>
          <w:rFonts w:asciiTheme="minorHAnsi" w:hAnsiTheme="minorHAnsi" w:cstheme="minorHAnsi"/>
        </w:rPr>
        <w:t>enuine sharing of information between the veterinary professional and the animal owner</w:t>
      </w:r>
      <w:r w:rsidR="00845A3D">
        <w:rPr>
          <w:rFonts w:asciiTheme="minorHAnsi" w:hAnsiTheme="minorHAnsi" w:cstheme="minorHAnsi"/>
        </w:rPr>
        <w:t>, encompassing</w:t>
      </w:r>
      <w:r w:rsidR="00E705C4">
        <w:rPr>
          <w:rFonts w:asciiTheme="minorHAnsi" w:hAnsiTheme="minorHAnsi" w:cstheme="minorHAnsi"/>
        </w:rPr>
        <w:t xml:space="preserve"> </w:t>
      </w:r>
      <w:r w:rsidR="00CB2220">
        <w:rPr>
          <w:rFonts w:asciiTheme="minorHAnsi" w:hAnsiTheme="minorHAnsi" w:cstheme="minorHAnsi"/>
        </w:rPr>
        <w:t xml:space="preserve">a </w:t>
      </w:r>
      <w:r w:rsidR="00E705C4">
        <w:rPr>
          <w:rFonts w:asciiTheme="minorHAnsi" w:hAnsiTheme="minorHAnsi" w:cstheme="minorHAnsi"/>
        </w:rPr>
        <w:t>valid and informed consent</w:t>
      </w:r>
      <w:r w:rsidR="00E8676F">
        <w:rPr>
          <w:rFonts w:asciiTheme="minorHAnsi" w:hAnsiTheme="minorHAnsi" w:cstheme="minorHAnsi"/>
        </w:rPr>
        <w:t xml:space="preserve"> </w:t>
      </w:r>
      <w:r w:rsidR="00845A3D">
        <w:rPr>
          <w:rFonts w:asciiTheme="minorHAnsi" w:hAnsiTheme="minorHAnsi" w:cstheme="minorHAnsi"/>
        </w:rPr>
        <w:t xml:space="preserve">that </w:t>
      </w:r>
      <w:r w:rsidR="00E8676F">
        <w:rPr>
          <w:rFonts w:asciiTheme="minorHAnsi" w:hAnsiTheme="minorHAnsi" w:cstheme="minorHAnsi"/>
        </w:rPr>
        <w:t>allow</w:t>
      </w:r>
      <w:r w:rsidR="00845A3D">
        <w:rPr>
          <w:rFonts w:asciiTheme="minorHAnsi" w:hAnsiTheme="minorHAnsi" w:cstheme="minorHAnsi"/>
        </w:rPr>
        <w:t>ed</w:t>
      </w:r>
      <w:r w:rsidR="00E705C4">
        <w:rPr>
          <w:rFonts w:asciiTheme="minorHAnsi" w:hAnsiTheme="minorHAnsi" w:cstheme="minorHAnsi"/>
        </w:rPr>
        <w:t xml:space="preserve"> </w:t>
      </w:r>
      <w:r w:rsidR="00E8676F">
        <w:rPr>
          <w:rFonts w:asciiTheme="minorHAnsi" w:hAnsiTheme="minorHAnsi" w:cstheme="minorHAnsi"/>
        </w:rPr>
        <w:t>b</w:t>
      </w:r>
      <w:r w:rsidR="00E705C4">
        <w:rPr>
          <w:rFonts w:asciiTheme="minorHAnsi" w:hAnsiTheme="minorHAnsi" w:cstheme="minorHAnsi"/>
        </w:rPr>
        <w:t>oth parties to reach a decision that maximise</w:t>
      </w:r>
      <w:r w:rsidR="00F2696A">
        <w:rPr>
          <w:rFonts w:asciiTheme="minorHAnsi" w:hAnsiTheme="minorHAnsi" w:cstheme="minorHAnsi"/>
        </w:rPr>
        <w:t>d</w:t>
      </w:r>
      <w:r w:rsidR="00E705C4">
        <w:rPr>
          <w:rFonts w:asciiTheme="minorHAnsi" w:hAnsiTheme="minorHAnsi" w:cstheme="minorHAnsi"/>
        </w:rPr>
        <w:t xml:space="preserve"> the interests of the animal. </w:t>
      </w:r>
    </w:p>
    <w:p w14:paraId="1C57ED69" w14:textId="77777777" w:rsidR="00491232" w:rsidRDefault="00491232" w:rsidP="00934427">
      <w:pPr>
        <w:spacing w:line="360" w:lineRule="auto"/>
        <w:rPr>
          <w:rFonts w:asciiTheme="minorHAnsi" w:hAnsiTheme="minorHAnsi" w:cstheme="minorHAnsi"/>
        </w:rPr>
      </w:pPr>
    </w:p>
    <w:p w14:paraId="07A52656" w14:textId="6559EF90" w:rsidR="00466B17" w:rsidRDefault="00D9426B" w:rsidP="00934427">
      <w:pPr>
        <w:spacing w:line="360" w:lineRule="auto"/>
        <w:rPr>
          <w:rFonts w:asciiTheme="minorHAnsi" w:hAnsiTheme="minorHAnsi" w:cstheme="minorHAnsi"/>
        </w:rPr>
      </w:pPr>
      <w:r>
        <w:rPr>
          <w:rFonts w:asciiTheme="minorHAnsi" w:hAnsiTheme="minorHAnsi" w:cstheme="minorHAnsi"/>
        </w:rPr>
        <w:t xml:space="preserve">In summary, consent in veterinary </w:t>
      </w:r>
      <w:r w:rsidR="00491232">
        <w:rPr>
          <w:rFonts w:asciiTheme="minorHAnsi" w:hAnsiTheme="minorHAnsi" w:cstheme="minorHAnsi"/>
        </w:rPr>
        <w:t>medicine</w:t>
      </w:r>
      <w:r>
        <w:rPr>
          <w:rFonts w:asciiTheme="minorHAnsi" w:hAnsiTheme="minorHAnsi" w:cstheme="minorHAnsi"/>
        </w:rPr>
        <w:t xml:space="preserve"> </w:t>
      </w:r>
      <w:r w:rsidR="00491232">
        <w:rPr>
          <w:rFonts w:asciiTheme="minorHAnsi" w:hAnsiTheme="minorHAnsi" w:cstheme="minorHAnsi"/>
        </w:rPr>
        <w:t>relies</w:t>
      </w:r>
      <w:r>
        <w:rPr>
          <w:rFonts w:asciiTheme="minorHAnsi" w:hAnsiTheme="minorHAnsi" w:cstheme="minorHAnsi"/>
        </w:rPr>
        <w:t xml:space="preserve"> on professional ethical guidance, which </w:t>
      </w:r>
      <w:r w:rsidR="00163EAE">
        <w:rPr>
          <w:rFonts w:asciiTheme="minorHAnsi" w:hAnsiTheme="minorHAnsi" w:cstheme="minorHAnsi"/>
        </w:rPr>
        <w:t xml:space="preserve">is </w:t>
      </w:r>
      <w:r>
        <w:rPr>
          <w:rFonts w:asciiTheme="minorHAnsi" w:hAnsiTheme="minorHAnsi" w:cstheme="minorHAnsi"/>
        </w:rPr>
        <w:t>respon</w:t>
      </w:r>
      <w:r w:rsidR="00163EAE">
        <w:rPr>
          <w:rFonts w:asciiTheme="minorHAnsi" w:hAnsiTheme="minorHAnsi" w:cstheme="minorHAnsi"/>
        </w:rPr>
        <w:t>sive</w:t>
      </w:r>
      <w:r>
        <w:rPr>
          <w:rFonts w:asciiTheme="minorHAnsi" w:hAnsiTheme="minorHAnsi" w:cstheme="minorHAnsi"/>
        </w:rPr>
        <w:t xml:space="preserve"> to evidence of </w:t>
      </w:r>
      <w:r w:rsidR="00163EAE">
        <w:rPr>
          <w:rFonts w:asciiTheme="minorHAnsi" w:hAnsiTheme="minorHAnsi" w:cstheme="minorHAnsi"/>
        </w:rPr>
        <w:t xml:space="preserve">failures in </w:t>
      </w:r>
      <w:r w:rsidR="00F2696A">
        <w:rPr>
          <w:rFonts w:asciiTheme="minorHAnsi" w:hAnsiTheme="minorHAnsi" w:cstheme="minorHAnsi"/>
        </w:rPr>
        <w:t xml:space="preserve">the </w:t>
      </w:r>
      <w:r w:rsidR="00163EAE">
        <w:rPr>
          <w:rFonts w:asciiTheme="minorHAnsi" w:hAnsiTheme="minorHAnsi" w:cstheme="minorHAnsi"/>
        </w:rPr>
        <w:t>consent process</w:t>
      </w:r>
      <w:r>
        <w:rPr>
          <w:rFonts w:asciiTheme="minorHAnsi" w:hAnsiTheme="minorHAnsi" w:cstheme="minorHAnsi"/>
        </w:rPr>
        <w:t xml:space="preserve"> revealed by complaints </w:t>
      </w:r>
      <w:r w:rsidR="00466B17">
        <w:rPr>
          <w:rFonts w:asciiTheme="minorHAnsi" w:hAnsiTheme="minorHAnsi" w:cstheme="minorHAnsi"/>
        </w:rPr>
        <w:t>and disciplinary hearings involving</w:t>
      </w:r>
      <w:r>
        <w:rPr>
          <w:rFonts w:asciiTheme="minorHAnsi" w:hAnsiTheme="minorHAnsi" w:cstheme="minorHAnsi"/>
        </w:rPr>
        <w:t xml:space="preserve"> veterinary surgeons. </w:t>
      </w:r>
      <w:r w:rsidR="00466B17">
        <w:rPr>
          <w:rFonts w:asciiTheme="minorHAnsi" w:hAnsiTheme="minorHAnsi" w:cstheme="minorHAnsi"/>
        </w:rPr>
        <w:t>While c</w:t>
      </w:r>
      <w:r>
        <w:rPr>
          <w:rFonts w:asciiTheme="minorHAnsi" w:hAnsiTheme="minorHAnsi" w:cstheme="minorHAnsi"/>
        </w:rPr>
        <w:t>urrently focus</w:t>
      </w:r>
      <w:r w:rsidR="00466B17">
        <w:rPr>
          <w:rFonts w:asciiTheme="minorHAnsi" w:hAnsiTheme="minorHAnsi" w:cstheme="minorHAnsi"/>
        </w:rPr>
        <w:t xml:space="preserve">ing </w:t>
      </w:r>
      <w:r>
        <w:rPr>
          <w:rFonts w:asciiTheme="minorHAnsi" w:hAnsiTheme="minorHAnsi" w:cstheme="minorHAnsi"/>
        </w:rPr>
        <w:t xml:space="preserve">on the relationship between veterinary professional and client, </w:t>
      </w:r>
      <w:r w:rsidR="00466B17">
        <w:rPr>
          <w:rFonts w:asciiTheme="minorHAnsi" w:hAnsiTheme="minorHAnsi" w:cstheme="minorHAnsi"/>
        </w:rPr>
        <w:t>the guidance</w:t>
      </w:r>
      <w:r>
        <w:rPr>
          <w:rFonts w:asciiTheme="minorHAnsi" w:hAnsiTheme="minorHAnsi" w:cstheme="minorHAnsi"/>
        </w:rPr>
        <w:t xml:space="preserve"> </w:t>
      </w:r>
      <w:r w:rsidR="00491232">
        <w:rPr>
          <w:rFonts w:asciiTheme="minorHAnsi" w:hAnsiTheme="minorHAnsi" w:cstheme="minorHAnsi"/>
        </w:rPr>
        <w:t xml:space="preserve">on consent </w:t>
      </w:r>
      <w:r w:rsidR="00466B17">
        <w:rPr>
          <w:rFonts w:asciiTheme="minorHAnsi" w:hAnsiTheme="minorHAnsi" w:cstheme="minorHAnsi"/>
        </w:rPr>
        <w:t xml:space="preserve">could usefully </w:t>
      </w:r>
      <w:r w:rsidR="004A4C1D">
        <w:rPr>
          <w:rFonts w:asciiTheme="minorHAnsi" w:hAnsiTheme="minorHAnsi" w:cstheme="minorHAnsi"/>
        </w:rPr>
        <w:t>advocate</w:t>
      </w:r>
      <w:r>
        <w:rPr>
          <w:rFonts w:asciiTheme="minorHAnsi" w:hAnsiTheme="minorHAnsi" w:cstheme="minorHAnsi"/>
        </w:rPr>
        <w:t xml:space="preserve"> </w:t>
      </w:r>
      <w:r w:rsidR="004548BD">
        <w:rPr>
          <w:rFonts w:asciiTheme="minorHAnsi" w:hAnsiTheme="minorHAnsi" w:cstheme="minorHAnsi"/>
        </w:rPr>
        <w:t xml:space="preserve">for </w:t>
      </w:r>
      <w:r>
        <w:rPr>
          <w:rFonts w:asciiTheme="minorHAnsi" w:hAnsiTheme="minorHAnsi" w:cstheme="minorHAnsi"/>
        </w:rPr>
        <w:t>the ‘best interests’ of the animal patient</w:t>
      </w:r>
      <w:r w:rsidR="00845A3D">
        <w:rPr>
          <w:rFonts w:asciiTheme="minorHAnsi" w:hAnsiTheme="minorHAnsi" w:cstheme="minorHAnsi"/>
        </w:rPr>
        <w:t>, with wider application to professional standards of care</w:t>
      </w:r>
      <w:r w:rsidR="00466B17">
        <w:rPr>
          <w:rFonts w:asciiTheme="minorHAnsi" w:hAnsiTheme="minorHAnsi" w:cstheme="minorHAnsi"/>
        </w:rPr>
        <w:t xml:space="preserve">. </w:t>
      </w:r>
      <w:r w:rsidR="00384FC6">
        <w:rPr>
          <w:rFonts w:asciiTheme="minorHAnsi" w:hAnsiTheme="minorHAnsi" w:cstheme="minorHAnsi"/>
        </w:rPr>
        <w:t xml:space="preserve">Although there remain some areas of </w:t>
      </w:r>
      <w:r w:rsidR="00BC261D">
        <w:rPr>
          <w:rFonts w:asciiTheme="minorHAnsi" w:hAnsiTheme="minorHAnsi" w:cstheme="minorHAnsi"/>
        </w:rPr>
        <w:t xml:space="preserve">legal and </w:t>
      </w:r>
      <w:r w:rsidR="00384FC6">
        <w:rPr>
          <w:rFonts w:asciiTheme="minorHAnsi" w:hAnsiTheme="minorHAnsi" w:cstheme="minorHAnsi"/>
        </w:rPr>
        <w:t xml:space="preserve">ethical </w:t>
      </w:r>
      <w:r w:rsidR="00384FC6">
        <w:rPr>
          <w:rFonts w:asciiTheme="minorHAnsi" w:hAnsiTheme="minorHAnsi" w:cstheme="minorHAnsi"/>
        </w:rPr>
        <w:lastRenderedPageBreak/>
        <w:t>dispute</w:t>
      </w:r>
      <w:r w:rsidR="004A4C1D">
        <w:rPr>
          <w:rFonts w:asciiTheme="minorHAnsi" w:hAnsiTheme="minorHAnsi" w:cstheme="minorHAnsi"/>
        </w:rPr>
        <w:t xml:space="preserve">, </w:t>
      </w:r>
      <w:r w:rsidR="00384FC6">
        <w:rPr>
          <w:rFonts w:asciiTheme="minorHAnsi" w:hAnsiTheme="minorHAnsi" w:cstheme="minorHAnsi"/>
        </w:rPr>
        <w:t xml:space="preserve">such as financial obligations, </w:t>
      </w:r>
      <w:r w:rsidR="007547B0">
        <w:rPr>
          <w:rFonts w:asciiTheme="minorHAnsi" w:hAnsiTheme="minorHAnsi" w:cstheme="minorHAnsi"/>
        </w:rPr>
        <w:t xml:space="preserve">the </w:t>
      </w:r>
      <w:r w:rsidR="00384FC6">
        <w:rPr>
          <w:rFonts w:asciiTheme="minorHAnsi" w:hAnsiTheme="minorHAnsi" w:cstheme="minorHAnsi"/>
        </w:rPr>
        <w:t>adoption of a ‘best interests’-based consent would better reflect whose interests should prevail in a profession dedicated to animal welfare.</w:t>
      </w:r>
    </w:p>
    <w:p w14:paraId="65BC72A8" w14:textId="210BA882" w:rsidR="00343859" w:rsidRDefault="00343859" w:rsidP="00934427">
      <w:pPr>
        <w:spacing w:line="360" w:lineRule="auto"/>
        <w:rPr>
          <w:rFonts w:asciiTheme="minorHAnsi" w:hAnsiTheme="minorHAnsi" w:cstheme="minorHAnsi"/>
        </w:rPr>
      </w:pPr>
    </w:p>
    <w:p w14:paraId="574C447D" w14:textId="23EC5145" w:rsidR="004F67B4" w:rsidRDefault="004F67B4" w:rsidP="00934427">
      <w:pPr>
        <w:spacing w:line="360" w:lineRule="auto"/>
        <w:rPr>
          <w:rFonts w:asciiTheme="minorHAnsi" w:hAnsiTheme="minorHAnsi" w:cstheme="minorHAnsi"/>
        </w:rPr>
      </w:pPr>
    </w:p>
    <w:p w14:paraId="3BF68016" w14:textId="49949A50" w:rsidR="004F67B4" w:rsidRDefault="004F67B4" w:rsidP="004F67B4">
      <w:pPr>
        <w:spacing w:line="360" w:lineRule="auto"/>
        <w:ind w:left="5040"/>
        <w:jc w:val="right"/>
        <w:rPr>
          <w:rFonts w:asciiTheme="minorHAnsi" w:hAnsiTheme="minorHAnsi" w:cstheme="minorHAnsi"/>
        </w:rPr>
      </w:pPr>
      <w:r>
        <w:rPr>
          <w:rFonts w:asciiTheme="minorHAnsi" w:hAnsiTheme="minorHAnsi" w:cstheme="minorHAnsi"/>
        </w:rPr>
        <w:t>Carol Gray</w:t>
      </w:r>
    </w:p>
    <w:p w14:paraId="750DC9D5" w14:textId="77777777" w:rsidR="004F67B4" w:rsidRPr="004F67B4" w:rsidRDefault="004F67B4" w:rsidP="004F67B4">
      <w:pPr>
        <w:spacing w:line="360" w:lineRule="auto"/>
        <w:ind w:left="5040"/>
        <w:jc w:val="right"/>
        <w:rPr>
          <w:rFonts w:asciiTheme="minorHAnsi" w:hAnsiTheme="minorHAnsi" w:cstheme="minorHAnsi"/>
        </w:rPr>
      </w:pPr>
      <w:r w:rsidRPr="004F67B4">
        <w:rPr>
          <w:rFonts w:asciiTheme="minorHAnsi" w:hAnsiTheme="minorHAnsi" w:cstheme="minorHAnsi"/>
        </w:rPr>
        <w:t>School of Law and Social Justice</w:t>
      </w:r>
    </w:p>
    <w:p w14:paraId="64F0DD17" w14:textId="2D04E545" w:rsidR="004F67B4" w:rsidRPr="00F72F9B" w:rsidRDefault="004F67B4" w:rsidP="004F67B4">
      <w:pPr>
        <w:spacing w:line="360" w:lineRule="auto"/>
        <w:ind w:left="5040"/>
        <w:jc w:val="right"/>
        <w:rPr>
          <w:rFonts w:asciiTheme="minorHAnsi" w:hAnsiTheme="minorHAnsi" w:cstheme="minorHAnsi"/>
        </w:rPr>
      </w:pPr>
      <w:r w:rsidRPr="004F67B4">
        <w:rPr>
          <w:rFonts w:asciiTheme="minorHAnsi" w:hAnsiTheme="minorHAnsi" w:cstheme="minorHAnsi"/>
        </w:rPr>
        <w:t>University of Liverpool</w:t>
      </w:r>
    </w:p>
    <w:sectPr w:rsidR="004F67B4" w:rsidRPr="00F72F9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D1A3" w14:textId="77777777" w:rsidR="00B8361D" w:rsidRDefault="00B8361D" w:rsidP="005410AB">
      <w:r>
        <w:separator/>
      </w:r>
    </w:p>
  </w:endnote>
  <w:endnote w:type="continuationSeparator" w:id="0">
    <w:p w14:paraId="1FE826ED" w14:textId="77777777" w:rsidR="00B8361D" w:rsidRDefault="00B8361D" w:rsidP="0054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0016274"/>
      <w:docPartObj>
        <w:docPartGallery w:val="Page Numbers (Bottom of Page)"/>
        <w:docPartUnique/>
      </w:docPartObj>
    </w:sdtPr>
    <w:sdtEndPr>
      <w:rPr>
        <w:rStyle w:val="PageNumber"/>
      </w:rPr>
    </w:sdtEndPr>
    <w:sdtContent>
      <w:p w14:paraId="5729E89C" w14:textId="52595323" w:rsidR="00D17FA4" w:rsidRDefault="00D17FA4" w:rsidP="001007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7E5DC" w14:textId="77777777" w:rsidR="00D17FA4" w:rsidRDefault="00D17FA4" w:rsidP="00D17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4323192"/>
      <w:docPartObj>
        <w:docPartGallery w:val="Page Numbers (Bottom of Page)"/>
        <w:docPartUnique/>
      </w:docPartObj>
    </w:sdtPr>
    <w:sdtEndPr>
      <w:rPr>
        <w:rStyle w:val="PageNumber"/>
      </w:rPr>
    </w:sdtEndPr>
    <w:sdtContent>
      <w:p w14:paraId="079D243F" w14:textId="03BAFEEF" w:rsidR="00D17FA4" w:rsidRDefault="00D17FA4" w:rsidP="001007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03CC">
          <w:rPr>
            <w:rStyle w:val="PageNumber"/>
            <w:noProof/>
          </w:rPr>
          <w:t>1</w:t>
        </w:r>
        <w:r>
          <w:rPr>
            <w:rStyle w:val="PageNumber"/>
          </w:rPr>
          <w:fldChar w:fldCharType="end"/>
        </w:r>
      </w:p>
    </w:sdtContent>
  </w:sdt>
  <w:p w14:paraId="4277C3BE" w14:textId="77777777" w:rsidR="00D17FA4" w:rsidRDefault="00D17FA4" w:rsidP="00D17F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C0F13" w14:textId="77777777" w:rsidR="00B8361D" w:rsidRDefault="00B8361D" w:rsidP="005410AB">
      <w:r>
        <w:separator/>
      </w:r>
    </w:p>
  </w:footnote>
  <w:footnote w:type="continuationSeparator" w:id="0">
    <w:p w14:paraId="719B9E9C" w14:textId="77777777" w:rsidR="00B8361D" w:rsidRDefault="00B8361D" w:rsidP="005410AB">
      <w:r>
        <w:continuationSeparator/>
      </w:r>
    </w:p>
  </w:footnote>
  <w:footnote w:id="1">
    <w:p w14:paraId="486F0383" w14:textId="5EB23454" w:rsidR="0031436D" w:rsidRPr="00EC4813" w:rsidRDefault="0031436D" w:rsidP="0036370A">
      <w:pPr>
        <w:pStyle w:val="FootnoteText"/>
        <w:rPr>
          <w:lang w:val="en-GB"/>
        </w:rPr>
      </w:pPr>
      <w:r>
        <w:rPr>
          <w:rStyle w:val="FootnoteReference"/>
        </w:rPr>
        <w:footnoteRef/>
      </w:r>
      <w:r>
        <w:t xml:space="preserve"> Royal College of Veterinary Surgeons. ‘How We Work’ </w:t>
      </w:r>
      <w:hyperlink r:id="rId1" w:history="1">
        <w:r w:rsidRPr="000F251B">
          <w:rPr>
            <w:rStyle w:val="Hyperlink"/>
          </w:rPr>
          <w:t>https://www.rcvs.org.uk/how-we-work/the-role-of-the-rcvs/</w:t>
        </w:r>
      </w:hyperlink>
      <w:r>
        <w:t xml:space="preserve"> accessed 21 August 2020</w:t>
      </w:r>
    </w:p>
  </w:footnote>
  <w:footnote w:id="2">
    <w:p w14:paraId="2DC3C088" w14:textId="2A232F09" w:rsidR="0031436D" w:rsidRPr="00EC4813" w:rsidRDefault="0031436D" w:rsidP="0036370A">
      <w:pPr>
        <w:pStyle w:val="FootnoteText"/>
        <w:rPr>
          <w:b/>
        </w:rPr>
      </w:pPr>
      <w:r>
        <w:rPr>
          <w:rStyle w:val="FootnoteReference"/>
        </w:rPr>
        <w:footnoteRef/>
      </w:r>
      <w:r>
        <w:t xml:space="preserve"> S</w:t>
      </w:r>
      <w:r w:rsidRPr="00DC7472">
        <w:t xml:space="preserve"> Schnobel</w:t>
      </w:r>
      <w:r w:rsidRPr="00DC7472">
        <w:rPr>
          <w:b/>
        </w:rPr>
        <w:t xml:space="preserve"> </w:t>
      </w:r>
      <w:r w:rsidRPr="00DC7472">
        <w:t xml:space="preserve">, ‘Regulating the veterinary profession: taking seriously the best interests of the animal.’ (2017) 33 </w:t>
      </w:r>
      <w:r w:rsidRPr="00DC7472">
        <w:rPr>
          <w:i/>
        </w:rPr>
        <w:t>Professional Negligence</w:t>
      </w:r>
      <w:r w:rsidRPr="00DC7472">
        <w:t xml:space="preserve"> 239 </w:t>
      </w:r>
    </w:p>
  </w:footnote>
  <w:footnote w:id="3">
    <w:p w14:paraId="14B9B80E" w14:textId="1BA54EFC" w:rsidR="0031436D" w:rsidRPr="002E5C1A" w:rsidRDefault="0031436D" w:rsidP="0036370A">
      <w:pPr>
        <w:pStyle w:val="FootnoteText"/>
      </w:pPr>
      <w:r>
        <w:rPr>
          <w:rStyle w:val="FootnoteReference"/>
        </w:rPr>
        <w:footnoteRef/>
      </w:r>
      <w:r>
        <w:t xml:space="preserve"> </w:t>
      </w:r>
      <w:r w:rsidRPr="002E5C1A">
        <w:t>M Fox ‘Veterinary Ethics and Law’, in CM Wathes and others (eds) Veterinary &amp; Animal Ethics: Proceedings of the First International Conference on Veterinary and Animal Ethics, September 2011 (Blackwell Publishing 2012)</w:t>
      </w:r>
    </w:p>
  </w:footnote>
  <w:footnote w:id="4">
    <w:p w14:paraId="1AA8FD0F" w14:textId="2F684436" w:rsidR="0031436D" w:rsidRPr="00EC4813" w:rsidRDefault="0031436D" w:rsidP="0036370A">
      <w:pPr>
        <w:pStyle w:val="FootnoteText"/>
        <w:rPr>
          <w:b/>
        </w:rPr>
      </w:pPr>
      <w:r>
        <w:rPr>
          <w:rStyle w:val="FootnoteReference"/>
        </w:rPr>
        <w:footnoteRef/>
      </w:r>
      <w:r>
        <w:t xml:space="preserve"> </w:t>
      </w:r>
      <w:r>
        <w:rPr>
          <w:lang w:val="en-GB"/>
        </w:rPr>
        <w:t xml:space="preserve">See, for example, </w:t>
      </w:r>
      <w:r w:rsidRPr="00DC16BD">
        <w:rPr>
          <w:i/>
        </w:rPr>
        <w:t xml:space="preserve">Calver v Westwood Veterinary Group </w:t>
      </w:r>
      <w:r w:rsidRPr="00DC16BD">
        <w:t xml:space="preserve">[2000] All ER (D) 1973 </w:t>
      </w:r>
      <w:r>
        <w:rPr>
          <w:bCs/>
        </w:rPr>
        <w:t xml:space="preserve">and </w:t>
      </w:r>
      <w:r w:rsidRPr="00DC16BD">
        <w:rPr>
          <w:i/>
        </w:rPr>
        <w:t xml:space="preserve">Glyn v McGarel –Groves </w:t>
      </w:r>
      <w:r w:rsidRPr="00DC16BD">
        <w:t>[2006] EWCA Civ 998</w:t>
      </w:r>
      <w:r>
        <w:t>, both of which concern</w:t>
      </w:r>
      <w:r w:rsidR="00520738">
        <w:t>ed</w:t>
      </w:r>
      <w:r>
        <w:t xml:space="preserve"> expensive sports horses  </w:t>
      </w:r>
      <w:r w:rsidRPr="00DC16BD">
        <w:t xml:space="preserve"> </w:t>
      </w:r>
    </w:p>
  </w:footnote>
  <w:footnote w:id="5">
    <w:p w14:paraId="0682CDD8" w14:textId="313D7BFC" w:rsidR="0031436D" w:rsidRPr="00EC4813" w:rsidRDefault="0031436D" w:rsidP="0036370A">
      <w:pPr>
        <w:pStyle w:val="FootnoteText"/>
      </w:pPr>
      <w:r>
        <w:rPr>
          <w:rStyle w:val="FootnoteReference"/>
        </w:rPr>
        <w:footnoteRef/>
      </w:r>
      <w:r>
        <w:t xml:space="preserve"> Schnobel (n2) at 248</w:t>
      </w:r>
    </w:p>
  </w:footnote>
  <w:footnote w:id="6">
    <w:p w14:paraId="480B96AD" w14:textId="77777777" w:rsidR="0031436D" w:rsidRPr="00EC4813" w:rsidRDefault="0031436D" w:rsidP="0036370A">
      <w:pPr>
        <w:pStyle w:val="FootnoteText"/>
      </w:pPr>
      <w:r>
        <w:rPr>
          <w:rStyle w:val="FootnoteReference"/>
        </w:rPr>
        <w:footnoteRef/>
      </w:r>
      <w:r>
        <w:t xml:space="preserve"> The Veterinary Client Mediation Service was set up by the RCVS and an independent firm of solicitors in October 2016 as a trial scheme and was formally established in September 2017. </w:t>
      </w:r>
      <w:hyperlink r:id="rId2" w:history="1">
        <w:r w:rsidRPr="00AF37E1">
          <w:rPr>
            <w:rStyle w:val="Hyperlink"/>
          </w:rPr>
          <w:t>https://www.vetmediation.co.uk/complaints</w:t>
        </w:r>
      </w:hyperlink>
      <w:r>
        <w:t xml:space="preserve">  accessed 18 May 2020</w:t>
      </w:r>
    </w:p>
  </w:footnote>
  <w:footnote w:id="7">
    <w:p w14:paraId="3DEE2C27" w14:textId="774A4FE2" w:rsidR="00520738" w:rsidRPr="00961A3F" w:rsidRDefault="0031436D" w:rsidP="0036370A">
      <w:pPr>
        <w:pStyle w:val="FootnoteText"/>
      </w:pPr>
      <w:r>
        <w:rPr>
          <w:rStyle w:val="FootnoteReference"/>
        </w:rPr>
        <w:footnoteRef/>
      </w:r>
      <w:r>
        <w:t xml:space="preserve"> For example, the Veterinary Defence Society, the veterinary profession's largest professional indemnity insurer, paid out over £5million in claims in 2018 </w:t>
      </w:r>
      <w:hyperlink r:id="rId3" w:history="1">
        <w:r w:rsidRPr="00AF37E1">
          <w:rPr>
            <w:rStyle w:val="Hyperlink"/>
            <w:lang w:val="en-GB"/>
          </w:rPr>
          <w:t>https://thevds.co.uk/reports</w:t>
        </w:r>
      </w:hyperlink>
      <w:r>
        <w:t xml:space="preserve">  accessed 20 May 2020</w:t>
      </w:r>
    </w:p>
  </w:footnote>
  <w:footnote w:id="8">
    <w:p w14:paraId="70D8CF18" w14:textId="78E79187" w:rsidR="0031436D" w:rsidRPr="002E4678" w:rsidRDefault="0031436D" w:rsidP="0036370A">
      <w:pPr>
        <w:pStyle w:val="FootnoteText"/>
      </w:pPr>
      <w:r>
        <w:rPr>
          <w:rStyle w:val="FootnoteReference"/>
        </w:rPr>
        <w:footnoteRef/>
      </w:r>
      <w:r>
        <w:t xml:space="preserve"> The RCVS provides guidance for animal owners on its web pages &lt;</w:t>
      </w:r>
      <w:r w:rsidRPr="00B12467">
        <w:t xml:space="preserve"> </w:t>
      </w:r>
      <w:hyperlink r:id="rId4" w:history="1">
        <w:r w:rsidRPr="00AF37E1">
          <w:rPr>
            <w:rStyle w:val="Hyperlink"/>
          </w:rPr>
          <w:t>https://animalowners.rcvs.org.uk/concerns/i-want-to-raise-a-concern-about-a-veterinary-surgeon/</w:t>
        </w:r>
      </w:hyperlink>
      <w:r>
        <w:t>&gt;  accessed 20 May 2020</w:t>
      </w:r>
    </w:p>
  </w:footnote>
  <w:footnote w:id="9">
    <w:p w14:paraId="64CACD4F" w14:textId="5FF21E13" w:rsidR="0031436D" w:rsidRDefault="0031436D" w:rsidP="0036370A">
      <w:pPr>
        <w:pStyle w:val="FootnoteText"/>
      </w:pPr>
      <w:r>
        <w:rPr>
          <w:rStyle w:val="FootnoteReference"/>
        </w:rPr>
        <w:footnoteRef/>
      </w:r>
      <w:r>
        <w:t xml:space="preserve"> RCVS 'Concerns: Information for Veterinary Surgeons' </w:t>
      </w:r>
      <w:hyperlink r:id="rId5" w:history="1">
        <w:r w:rsidRPr="00AF37E1">
          <w:rPr>
            <w:rStyle w:val="Hyperlink"/>
          </w:rPr>
          <w:t>https://www.rcvs.org.uk/concerns/a-concern-has-been-raised-about-me/information-for-veterinary-surgeons/</w:t>
        </w:r>
      </w:hyperlink>
      <w:r>
        <w:t xml:space="preserve">  accessed 18 May 2020</w:t>
      </w:r>
    </w:p>
    <w:p w14:paraId="6678BB22" w14:textId="77777777" w:rsidR="0031436D" w:rsidRPr="00B12467" w:rsidRDefault="0031436D" w:rsidP="0036370A">
      <w:pPr>
        <w:pStyle w:val="FootnoteText"/>
      </w:pPr>
    </w:p>
  </w:footnote>
  <w:footnote w:id="10">
    <w:p w14:paraId="024F2CE9" w14:textId="66C6CEC5" w:rsidR="0031436D" w:rsidRPr="0011102F" w:rsidRDefault="0031436D" w:rsidP="0036370A">
      <w:pPr>
        <w:pStyle w:val="FootnoteText"/>
      </w:pPr>
      <w:r>
        <w:rPr>
          <w:rStyle w:val="FootnoteReference"/>
        </w:rPr>
        <w:footnoteRef/>
      </w:r>
      <w:r>
        <w:t xml:space="preserve"> RCVS 'Vet Case Examiner Group Decision-Making Guidelines' </w:t>
      </w:r>
      <w:hyperlink r:id="rId6" w:history="1">
        <w:r w:rsidRPr="00AF37E1">
          <w:rPr>
            <w:rStyle w:val="Hyperlink"/>
            <w:lang w:val="en-GB"/>
          </w:rPr>
          <w:t>https://www.rcvs.org.uk/document-library/vet-case-examiner-group-decision-making-guidance-stage-1/</w:t>
        </w:r>
      </w:hyperlink>
      <w:r>
        <w:t xml:space="preserve">  accessed 18 May 2020</w:t>
      </w:r>
    </w:p>
  </w:footnote>
  <w:footnote w:id="11">
    <w:p w14:paraId="3CA7AE88" w14:textId="73F7369A" w:rsidR="0031436D" w:rsidRPr="00A35908" w:rsidRDefault="0031436D" w:rsidP="0036370A">
      <w:pPr>
        <w:pStyle w:val="FootnoteText"/>
        <w:rPr>
          <w:lang w:val="en-GB"/>
        </w:rPr>
      </w:pPr>
      <w:r>
        <w:rPr>
          <w:rStyle w:val="FootnoteReference"/>
        </w:rPr>
        <w:footnoteRef/>
      </w:r>
      <w:r>
        <w:t xml:space="preserve"> </w:t>
      </w:r>
      <w:r>
        <w:rPr>
          <w:lang w:val="en-GB"/>
        </w:rPr>
        <w:t xml:space="preserve">RCVS Facts 2018 p21 </w:t>
      </w:r>
      <w:hyperlink r:id="rId7" w:history="1">
        <w:r w:rsidRPr="00AF37E1">
          <w:rPr>
            <w:rStyle w:val="Hyperlink"/>
            <w:lang w:val="en-GB"/>
          </w:rPr>
          <w:t>https://www.rcvs.org.uk/news-and-views/publications/rcvs-facts-2018/?destination=%2Fnews-and-views%2Fpublications%2F</w:t>
        </w:r>
      </w:hyperlink>
      <w:r>
        <w:rPr>
          <w:lang w:val="en-GB"/>
        </w:rPr>
        <w:t xml:space="preserve"> accessed 27 July 2020</w:t>
      </w:r>
    </w:p>
  </w:footnote>
  <w:footnote w:id="12">
    <w:p w14:paraId="1E91877F" w14:textId="6DF6A662" w:rsidR="0031436D" w:rsidRPr="001C3DC3" w:rsidRDefault="0031436D" w:rsidP="0036370A">
      <w:pPr>
        <w:pStyle w:val="FootnoteText"/>
      </w:pPr>
      <w:r>
        <w:rPr>
          <w:rStyle w:val="FootnoteReference"/>
        </w:rPr>
        <w:footnoteRef/>
      </w:r>
      <w:r>
        <w:t xml:space="preserve"> RCVS (n9) </w:t>
      </w:r>
      <w:r w:rsidRPr="00043AC5">
        <w:t xml:space="preserve">14 months </w:t>
      </w:r>
      <w:r>
        <w:t>is</w:t>
      </w:r>
      <w:r w:rsidRPr="00043AC5">
        <w:t xml:space="preserve"> the maximum time quoted for a registered concern to be taken through to a Disciplinary Committee hearing</w:t>
      </w:r>
    </w:p>
  </w:footnote>
  <w:footnote w:id="13">
    <w:p w14:paraId="70BF0EB9" w14:textId="2A59E1EF" w:rsidR="0031436D" w:rsidRPr="00EC4813" w:rsidRDefault="0031436D" w:rsidP="0036370A">
      <w:pPr>
        <w:pStyle w:val="FootnoteText"/>
      </w:pPr>
      <w:r>
        <w:rPr>
          <w:rStyle w:val="FootnoteReference"/>
        </w:rPr>
        <w:footnoteRef/>
      </w:r>
      <w:r>
        <w:t xml:space="preserve"> </w:t>
      </w:r>
      <w:r w:rsidRPr="00F0216F">
        <w:t>Royal College of Veterinary Surgeons, ‘RCVS Code of Professional Conduct for Veterinary Surgeons- Supporting Guidance</w:t>
      </w:r>
      <w:r>
        <w:t xml:space="preserve">: Communication and Consent’ </w:t>
      </w:r>
      <w:hyperlink r:id="rId8" w:history="1">
        <w:r w:rsidRPr="006E0518">
          <w:rPr>
            <w:rStyle w:val="Hyperlink"/>
            <w:lang w:val="en-GB"/>
          </w:rPr>
          <w:t>https://www.rcvs.org.uk/setting-standards/advice-and-guidance/code-of-professional-conduct-for-veterinary-surgeons/supporting-guidance/communication-and-consent/</w:t>
        </w:r>
      </w:hyperlink>
      <w:r>
        <w:t xml:space="preserve"> accessed 3 Jun</w:t>
      </w:r>
      <w:r w:rsidR="00194479">
        <w:t>e</w:t>
      </w:r>
      <w:r>
        <w:t xml:space="preserve"> 2020</w:t>
      </w:r>
    </w:p>
  </w:footnote>
  <w:footnote w:id="14">
    <w:p w14:paraId="632FD122" w14:textId="748AF771" w:rsidR="00194479" w:rsidRPr="00194479" w:rsidRDefault="00194479" w:rsidP="0036370A">
      <w:pPr>
        <w:pStyle w:val="FootnoteText"/>
        <w:rPr>
          <w:lang w:val="en-GB"/>
        </w:rPr>
      </w:pPr>
      <w:r>
        <w:rPr>
          <w:rStyle w:val="FootnoteReference"/>
        </w:rPr>
        <w:footnoteRef/>
      </w:r>
      <w:r>
        <w:t xml:space="preserve"> RCVS “Who we are: committees and subcommittees: PIC and DC Liaison Committee </w:t>
      </w:r>
      <w:hyperlink r:id="rId9" w:history="1">
        <w:r w:rsidRPr="00B97AAB">
          <w:rPr>
            <w:rStyle w:val="Hyperlink"/>
          </w:rPr>
          <w:t>https://www.rcvs.org.uk/who-we-are/committees/preliminary-investigation-committee-and-disciplinary-committee/</w:t>
        </w:r>
      </w:hyperlink>
      <w:r>
        <w:t xml:space="preserve"> accessed 2 November 2020</w:t>
      </w:r>
    </w:p>
  </w:footnote>
  <w:footnote w:id="15">
    <w:p w14:paraId="4F645316" w14:textId="4516085D" w:rsidR="0031436D" w:rsidRPr="00874FE9" w:rsidRDefault="0031436D" w:rsidP="00680D9A">
      <w:pPr>
        <w:rPr>
          <w:rFonts w:asciiTheme="minorHAnsi" w:hAnsiTheme="minorHAnsi" w:cstheme="minorHAnsi"/>
        </w:rPr>
      </w:pPr>
      <w:r>
        <w:rPr>
          <w:rStyle w:val="FootnoteReference"/>
        </w:rPr>
        <w:footnoteRef/>
      </w:r>
      <w:r>
        <w:t xml:space="preserve"> </w:t>
      </w:r>
      <w:r w:rsidRPr="005E3F5F">
        <w:rPr>
          <w:rFonts w:asciiTheme="minorHAnsi" w:hAnsiTheme="minorHAnsi" w:cstheme="minorHAnsi"/>
          <w:sz w:val="18"/>
          <w:szCs w:val="18"/>
        </w:rPr>
        <w:t xml:space="preserve">RCVS 'Code of Professional Conduct for Veterinary Surgeons' </w:t>
      </w:r>
      <w:r>
        <w:rPr>
          <w:rFonts w:asciiTheme="minorHAnsi" w:hAnsiTheme="minorHAnsi" w:cstheme="minorHAnsi"/>
          <w:sz w:val="18"/>
          <w:szCs w:val="18"/>
        </w:rPr>
        <w:t xml:space="preserve">Section 2.4 </w:t>
      </w:r>
      <w:r w:rsidRPr="005E3F5F">
        <w:rPr>
          <w:rFonts w:asciiTheme="minorHAnsi" w:hAnsiTheme="minorHAnsi" w:cstheme="minorHAnsi"/>
          <w:sz w:val="18"/>
          <w:szCs w:val="18"/>
        </w:rPr>
        <w:t>&lt;https://www.rcvs.org.uk/setting-standards/advice-and-guidance/code-of-professional-conduct-for-veterinary-surgeons/&gt; accessed 22 May 2020</w:t>
      </w:r>
      <w:r>
        <w:rPr>
          <w:rFonts w:asciiTheme="minorHAnsi" w:hAnsiTheme="minorHAnsi" w:cstheme="minorHAnsi"/>
          <w:sz w:val="18"/>
          <w:szCs w:val="18"/>
        </w:rPr>
        <w:t xml:space="preserve"> </w:t>
      </w:r>
    </w:p>
  </w:footnote>
  <w:footnote w:id="16">
    <w:p w14:paraId="32B5C223" w14:textId="553D49B1" w:rsidR="00411B99" w:rsidRPr="00043AC5" w:rsidRDefault="0031436D" w:rsidP="0036370A">
      <w:pPr>
        <w:pStyle w:val="FootnoteText"/>
      </w:pPr>
      <w:r>
        <w:rPr>
          <w:rStyle w:val="FootnoteReference"/>
        </w:rPr>
        <w:footnoteRef/>
      </w:r>
      <w:r>
        <w:t xml:space="preserve"> RCVS (n1</w:t>
      </w:r>
      <w:r w:rsidR="00520738">
        <w:t>3</w:t>
      </w:r>
      <w:r>
        <w:t>)</w:t>
      </w:r>
    </w:p>
  </w:footnote>
  <w:footnote w:id="17">
    <w:p w14:paraId="11D2707A" w14:textId="2B40EA29" w:rsidR="00411B99" w:rsidRPr="006C12D7" w:rsidRDefault="00411B99" w:rsidP="0036370A">
      <w:pPr>
        <w:pStyle w:val="FootnoteText"/>
      </w:pPr>
      <w:r>
        <w:rPr>
          <w:rStyle w:val="FootnoteReference"/>
        </w:rPr>
        <w:footnoteRef/>
      </w:r>
      <w:r>
        <w:t xml:space="preserve"> </w:t>
      </w:r>
      <w:r w:rsidRPr="006C12D7">
        <w:t xml:space="preserve">J V McHale, ‘Consent to Treatment: the Competent Patient’ in Judith Laing and Jean V McHale (eds), </w:t>
      </w:r>
      <w:r w:rsidRPr="006C12D7">
        <w:rPr>
          <w:i/>
          <w:iCs/>
        </w:rPr>
        <w:t>Principles of Medical Law</w:t>
      </w:r>
      <w:r w:rsidRPr="006C12D7">
        <w:t xml:space="preserve"> (4</w:t>
      </w:r>
      <w:r w:rsidRPr="006C12D7">
        <w:rPr>
          <w:vertAlign w:val="superscript"/>
        </w:rPr>
        <w:t>th</w:t>
      </w:r>
      <w:r w:rsidRPr="006C12D7">
        <w:t xml:space="preserve"> edn, Oxford University Press 2017) 8.06, 422</w:t>
      </w:r>
    </w:p>
  </w:footnote>
  <w:footnote w:id="18">
    <w:p w14:paraId="7BF9E75C" w14:textId="7463FF15" w:rsidR="00411B99" w:rsidRPr="002024BE" w:rsidRDefault="00411B99" w:rsidP="0036370A">
      <w:pPr>
        <w:pStyle w:val="FootnoteText"/>
      </w:pPr>
      <w:r>
        <w:rPr>
          <w:rStyle w:val="FootnoteReference"/>
        </w:rPr>
        <w:footnoteRef/>
      </w:r>
      <w:r>
        <w:t xml:space="preserve"> RCVS (n1</w:t>
      </w:r>
      <w:r w:rsidR="00520738">
        <w:t>3</w:t>
      </w:r>
      <w:r>
        <w:t>)11.2</w:t>
      </w:r>
    </w:p>
  </w:footnote>
  <w:footnote w:id="19">
    <w:p w14:paraId="6CC4E7C7" w14:textId="3B3DC0D1" w:rsidR="0031436D" w:rsidRPr="001C3437" w:rsidRDefault="0031436D" w:rsidP="0036370A">
      <w:pPr>
        <w:pStyle w:val="FootnoteText"/>
      </w:pPr>
      <w:r w:rsidRPr="001C3437">
        <w:rPr>
          <w:rStyle w:val="FootnoteReference"/>
          <w:rFonts w:cstheme="minorHAnsi"/>
        </w:rPr>
        <w:footnoteRef/>
      </w:r>
      <w:r w:rsidRPr="001C3437">
        <w:t xml:space="preserve"> </w:t>
      </w:r>
      <w:r>
        <w:t xml:space="preserve">A </w:t>
      </w:r>
      <w:r w:rsidRPr="001C3437">
        <w:t>Maclean</w:t>
      </w:r>
      <w:r>
        <w:t>,</w:t>
      </w:r>
      <w:r w:rsidRPr="001C3437">
        <w:t> Autonomy, Informed Consent and Medical Law: A Relational Challenge</w:t>
      </w:r>
      <w:r>
        <w:t xml:space="preserve"> (</w:t>
      </w:r>
      <w:r w:rsidRPr="001C3437">
        <w:t>Cambridge University Press</w:t>
      </w:r>
      <w:r>
        <w:t xml:space="preserve"> </w:t>
      </w:r>
      <w:r w:rsidRPr="001C3437">
        <w:t>2009</w:t>
      </w:r>
      <w:r>
        <w:t>) 156</w:t>
      </w:r>
    </w:p>
  </w:footnote>
  <w:footnote w:id="20">
    <w:p w14:paraId="6EF9712E" w14:textId="4B1AD2E3" w:rsidR="0031436D" w:rsidRPr="00F0216F" w:rsidRDefault="0031436D" w:rsidP="0036370A">
      <w:pPr>
        <w:pStyle w:val="FootnoteText"/>
      </w:pPr>
      <w:r>
        <w:rPr>
          <w:rStyle w:val="FootnoteReference"/>
        </w:rPr>
        <w:footnoteRef/>
      </w:r>
      <w:r>
        <w:t xml:space="preserve"> </w:t>
      </w:r>
      <w:r w:rsidR="00411B99">
        <w:t>RCVS (n1</w:t>
      </w:r>
      <w:r w:rsidR="00520738">
        <w:t>3</w:t>
      </w:r>
      <w:r w:rsidR="00411B99">
        <w:t>) 11.31, 11.32</w:t>
      </w:r>
    </w:p>
  </w:footnote>
  <w:footnote w:id="21">
    <w:p w14:paraId="3061919A" w14:textId="5F193ACF" w:rsidR="0031436D" w:rsidRPr="004A7E6C" w:rsidRDefault="0031436D" w:rsidP="0036370A">
      <w:pPr>
        <w:pStyle w:val="FootnoteText"/>
      </w:pPr>
      <w:r>
        <w:rPr>
          <w:rStyle w:val="FootnoteReference"/>
        </w:rPr>
        <w:footnoteRef/>
      </w:r>
      <w:r>
        <w:t xml:space="preserve"> V </w:t>
      </w:r>
      <w:r w:rsidRPr="004A7E6C">
        <w:t>Ashall, K.M Millar, P Hobson-West</w:t>
      </w:r>
      <w:r>
        <w:t>,</w:t>
      </w:r>
      <w:r w:rsidRPr="004A7E6C">
        <w:t xml:space="preserve"> </w:t>
      </w:r>
      <w:r>
        <w:t>‘</w:t>
      </w:r>
      <w:r w:rsidRPr="004A7E6C">
        <w:t>Informed consent in veterinary medicine: Ethical implications for the profession and the animal “patient”</w:t>
      </w:r>
      <w:r w:rsidR="006757D1">
        <w:t xml:space="preserve">’ </w:t>
      </w:r>
      <w:r>
        <w:t>(2018) 1</w:t>
      </w:r>
      <w:r w:rsidRPr="004A7E6C">
        <w:t xml:space="preserve"> </w:t>
      </w:r>
      <w:r w:rsidRPr="004A7E6C">
        <w:rPr>
          <w:i/>
          <w:iCs/>
        </w:rPr>
        <w:t>Food Ethics</w:t>
      </w:r>
      <w:r w:rsidRPr="004A7E6C">
        <w:t xml:space="preserve"> 247</w:t>
      </w:r>
    </w:p>
  </w:footnote>
  <w:footnote w:id="22">
    <w:p w14:paraId="7EC6316E" w14:textId="65F20A10" w:rsidR="0031436D" w:rsidRPr="003E3E4F" w:rsidRDefault="0031436D" w:rsidP="0036370A">
      <w:pPr>
        <w:pStyle w:val="FootnoteText"/>
      </w:pPr>
      <w:r>
        <w:rPr>
          <w:rStyle w:val="FootnoteReference"/>
        </w:rPr>
        <w:footnoteRef/>
      </w:r>
      <w:r>
        <w:t xml:space="preserve"> S-L Bingham, 'Refusal of Treatment and Decision-making Capacity' (2012) 19 </w:t>
      </w:r>
      <w:r w:rsidRPr="003E3E4F">
        <w:rPr>
          <w:i/>
          <w:iCs/>
        </w:rPr>
        <w:t>Nursing Ethics</w:t>
      </w:r>
      <w:r>
        <w:rPr>
          <w:i/>
          <w:iCs/>
        </w:rPr>
        <w:t xml:space="preserve"> </w:t>
      </w:r>
      <w:r>
        <w:t>167</w:t>
      </w:r>
    </w:p>
  </w:footnote>
  <w:footnote w:id="23">
    <w:p w14:paraId="4153927C" w14:textId="1178F31D" w:rsidR="0031436D" w:rsidRPr="003E3E4F" w:rsidRDefault="0031436D" w:rsidP="0036370A">
      <w:pPr>
        <w:pStyle w:val="FootnoteText"/>
      </w:pPr>
      <w:r>
        <w:rPr>
          <w:rStyle w:val="FootnoteReference"/>
        </w:rPr>
        <w:footnoteRef/>
      </w:r>
      <w:r>
        <w:t xml:space="preserve"> UK Animal Welfare Act 2006.</w:t>
      </w:r>
      <w:r w:rsidRPr="007839EE">
        <w:t xml:space="preserve"> </w:t>
      </w:r>
      <w:r>
        <w:t xml:space="preserve">Under Section 9.2e, the owner has an obligation </w:t>
      </w:r>
      <w:r w:rsidRPr="003E3E4F">
        <w:t>to provide veterinary treatment</w:t>
      </w:r>
      <w:r>
        <w:t xml:space="preserve"> when required</w:t>
      </w:r>
      <w:r w:rsidRPr="003E3E4F">
        <w:t>, and to ensure that the animal is “protected from pain, suffering, injury and disease.”</w:t>
      </w:r>
    </w:p>
  </w:footnote>
  <w:footnote w:id="24">
    <w:p w14:paraId="0CF07BA6" w14:textId="68135734" w:rsidR="0031436D" w:rsidRPr="0061707A" w:rsidRDefault="0031436D" w:rsidP="0036370A">
      <w:pPr>
        <w:pStyle w:val="FootnoteText"/>
      </w:pPr>
      <w:r>
        <w:rPr>
          <w:rStyle w:val="FootnoteReference"/>
        </w:rPr>
        <w:footnoteRef/>
      </w:r>
      <w:r>
        <w:t xml:space="preserve"> G </w:t>
      </w:r>
      <w:r w:rsidRPr="007839EE">
        <w:t>Diesel</w:t>
      </w:r>
      <w:r>
        <w:t>,</w:t>
      </w:r>
      <w:r w:rsidRPr="007839EE">
        <w:t xml:space="preserve"> </w:t>
      </w:r>
      <w:r>
        <w:t xml:space="preserve">D </w:t>
      </w:r>
      <w:r w:rsidRPr="007839EE">
        <w:t>Brodbelt</w:t>
      </w:r>
      <w:r>
        <w:t>,</w:t>
      </w:r>
      <w:r w:rsidRPr="007839EE">
        <w:t xml:space="preserve"> </w:t>
      </w:r>
      <w:r>
        <w:t xml:space="preserve">DU </w:t>
      </w:r>
      <w:r w:rsidRPr="007839EE">
        <w:t>Pfeiffer</w:t>
      </w:r>
      <w:r>
        <w:t>,</w:t>
      </w:r>
      <w:r w:rsidRPr="007839EE">
        <w:t xml:space="preserve"> </w:t>
      </w:r>
      <w:r>
        <w:t>‘</w:t>
      </w:r>
      <w:r w:rsidRPr="007839EE">
        <w:t>Characteristics of relinquished dogs and their owners at 14 rehoming centers in the United Kingdom</w:t>
      </w:r>
      <w:r>
        <w:t>’</w:t>
      </w:r>
      <w:r w:rsidRPr="007839EE">
        <w:t xml:space="preserve"> </w:t>
      </w:r>
      <w:r>
        <w:t xml:space="preserve">(2009) 13 </w:t>
      </w:r>
      <w:r w:rsidRPr="00857315">
        <w:rPr>
          <w:i/>
          <w:iCs/>
        </w:rPr>
        <w:t>Journal of Applied Animal Welfare Science</w:t>
      </w:r>
      <w:r>
        <w:t xml:space="preserve"> </w:t>
      </w:r>
      <w:r w:rsidRPr="007839EE">
        <w:t>15</w:t>
      </w:r>
    </w:p>
  </w:footnote>
  <w:footnote w:id="25">
    <w:p w14:paraId="021DBD09" w14:textId="49056485" w:rsidR="0031436D" w:rsidRPr="0061707A" w:rsidRDefault="0031436D" w:rsidP="0036370A">
      <w:pPr>
        <w:pStyle w:val="FootnoteText"/>
      </w:pPr>
      <w:r>
        <w:rPr>
          <w:rStyle w:val="FootnoteReference"/>
        </w:rPr>
        <w:footnoteRef/>
      </w:r>
      <w:r>
        <w:t xml:space="preserve"> JG </w:t>
      </w:r>
      <w:r w:rsidRPr="0061707A">
        <w:t xml:space="preserve">DeVries, </w:t>
      </w:r>
      <w:r>
        <w:t xml:space="preserve">RG </w:t>
      </w:r>
      <w:r w:rsidRPr="0061707A">
        <w:t>De Vries</w:t>
      </w:r>
      <w:r>
        <w:t>,</w:t>
      </w:r>
      <w:r w:rsidRPr="0061707A">
        <w:t xml:space="preserve"> </w:t>
      </w:r>
      <w:r>
        <w:t>'</w:t>
      </w:r>
      <w:r w:rsidRPr="0061707A">
        <w:t>The Veterinarian’s Burden: The Cost of Ethical Care for Animals</w:t>
      </w:r>
      <w:r>
        <w:t>' (2018) 18</w:t>
      </w:r>
      <w:r w:rsidRPr="0061707A">
        <w:t> </w:t>
      </w:r>
      <w:r w:rsidRPr="0061707A">
        <w:rPr>
          <w:i/>
          <w:iCs/>
        </w:rPr>
        <w:t>American Journal of Bioethics</w:t>
      </w:r>
      <w:r>
        <w:t xml:space="preserve"> </w:t>
      </w:r>
      <w:r w:rsidRPr="0061707A">
        <w:t>60</w:t>
      </w:r>
    </w:p>
  </w:footnote>
  <w:footnote w:id="26">
    <w:p w14:paraId="2316FE47" w14:textId="14199099" w:rsidR="0031436D" w:rsidRPr="00C64F5E" w:rsidRDefault="0031436D" w:rsidP="0036370A">
      <w:pPr>
        <w:pStyle w:val="FootnoteText"/>
      </w:pPr>
      <w:r>
        <w:rPr>
          <w:rStyle w:val="FootnoteReference"/>
        </w:rPr>
        <w:footnoteRef/>
      </w:r>
      <w:r>
        <w:t xml:space="preserve"> For example, Section 2.2d of the Supporting Guidance states that vets should “</w:t>
      </w:r>
      <w:r w:rsidRPr="00C64F5E">
        <w:t>recognise the need, in some cases, to balance what treatment might be necessary, appropriate or possible against the circumstances, wishes and financial considerations of the client</w:t>
      </w:r>
      <w:r>
        <w:t xml:space="preserve">.” </w:t>
      </w:r>
      <w:hyperlink r:id="rId10" w:history="1">
        <w:r w:rsidRPr="00AF37E1">
          <w:rPr>
            <w:rStyle w:val="Hyperlink"/>
            <w:lang w:val="en-GB"/>
          </w:rPr>
          <w:t>https://www.rcvs.org.uk/setting-standards/advice-and-guidance/code-of-professional-conduct-for-veterinary-surgeons/supporting-guidance/veterinary-care/</w:t>
        </w:r>
      </w:hyperlink>
      <w:r>
        <w:t xml:space="preserve"> accessed 28 July 2020</w:t>
      </w:r>
    </w:p>
  </w:footnote>
  <w:footnote w:id="27">
    <w:p w14:paraId="005006CC" w14:textId="5ED00390" w:rsidR="0010016C" w:rsidRPr="0010016C" w:rsidRDefault="0010016C" w:rsidP="0036370A">
      <w:pPr>
        <w:pStyle w:val="FootnoteText"/>
        <w:rPr>
          <w:lang w:bidi="en-US"/>
        </w:rPr>
      </w:pPr>
      <w:r>
        <w:rPr>
          <w:rStyle w:val="FootnoteReference"/>
        </w:rPr>
        <w:footnoteRef/>
      </w:r>
      <w:r>
        <w:t xml:space="preserve"> See, for example, the suggested topics for </w:t>
      </w:r>
      <w:r w:rsidR="00F94098">
        <w:t>‘</w:t>
      </w:r>
      <w:r>
        <w:t>best interests</w:t>
      </w:r>
      <w:r w:rsidR="00F94098">
        <w:t>’</w:t>
      </w:r>
      <w:r>
        <w:t xml:space="preserve"> calculations for animals in C </w:t>
      </w:r>
      <w:r w:rsidRPr="0010016C">
        <w:t xml:space="preserve">Gray, P Fordyce, </w:t>
      </w:r>
      <w:r>
        <w:t>‘</w:t>
      </w:r>
      <w:r w:rsidRPr="0010016C">
        <w:t>Legal and Ethical Aspects of ‘Best Interests’ Decision-Making for Medical Treatment of Companion Animals in the UK.</w:t>
      </w:r>
      <w:r>
        <w:t>’</w:t>
      </w:r>
      <w:r w:rsidRPr="0010016C">
        <w:t> </w:t>
      </w:r>
      <w:r>
        <w:t xml:space="preserve">(2020) 10 </w:t>
      </w:r>
      <w:r w:rsidRPr="0010016C">
        <w:rPr>
          <w:i/>
          <w:iCs/>
        </w:rPr>
        <w:t>Animals</w:t>
      </w:r>
      <w:r w:rsidRPr="0010016C">
        <w:t xml:space="preserve"> 1009</w:t>
      </w:r>
      <w:r w:rsidR="0036370A">
        <w:t xml:space="preserve">, and in K </w:t>
      </w:r>
      <w:r w:rsidR="0036370A" w:rsidRPr="0036370A">
        <w:rPr>
          <w:lang w:bidi="en-US"/>
        </w:rPr>
        <w:t xml:space="preserve">Weich, </w:t>
      </w:r>
      <w:r w:rsidR="0036370A">
        <w:rPr>
          <w:lang w:bidi="en-US"/>
        </w:rPr>
        <w:t xml:space="preserve">H </w:t>
      </w:r>
      <w:r w:rsidR="0036370A" w:rsidRPr="0036370A">
        <w:rPr>
          <w:lang w:bidi="en-US"/>
        </w:rPr>
        <w:t xml:space="preserve">Grimm,  </w:t>
      </w:r>
      <w:r w:rsidR="0036370A">
        <w:rPr>
          <w:lang w:bidi="en-US"/>
        </w:rPr>
        <w:t>‘</w:t>
      </w:r>
      <w:r w:rsidR="0036370A" w:rsidRPr="0036370A">
        <w:rPr>
          <w:lang w:bidi="en-US"/>
        </w:rPr>
        <w:t>Meeting the patient’s interest in veterinary clinics. Ethical dimensions of the 21st Century animal patient.</w:t>
      </w:r>
      <w:r w:rsidR="0036370A">
        <w:rPr>
          <w:lang w:bidi="en-US"/>
        </w:rPr>
        <w:t>’</w:t>
      </w:r>
      <w:r w:rsidR="0036370A" w:rsidRPr="0036370A">
        <w:rPr>
          <w:lang w:bidi="en-US"/>
        </w:rPr>
        <w:t xml:space="preserve"> </w:t>
      </w:r>
      <w:r w:rsidR="0036370A">
        <w:rPr>
          <w:lang w:bidi="en-US"/>
        </w:rPr>
        <w:t xml:space="preserve">(2018) 1 </w:t>
      </w:r>
      <w:r w:rsidR="0036370A" w:rsidRPr="0036370A">
        <w:rPr>
          <w:i/>
          <w:iCs/>
          <w:lang w:bidi="en-US"/>
        </w:rPr>
        <w:t xml:space="preserve">Food Ethics </w:t>
      </w:r>
      <w:r w:rsidR="0036370A" w:rsidRPr="0036370A">
        <w:rPr>
          <w:lang w:bidi="en-US"/>
        </w:rPr>
        <w:t xml:space="preserve">259 </w:t>
      </w:r>
      <w:r>
        <w:t xml:space="preserve"> </w:t>
      </w:r>
    </w:p>
  </w:footnote>
  <w:footnote w:id="28">
    <w:p w14:paraId="2B365E28" w14:textId="6EEE1B1B" w:rsidR="00812250" w:rsidRPr="00812250" w:rsidRDefault="006757D1" w:rsidP="0036370A">
      <w:pPr>
        <w:pStyle w:val="FootnoteText"/>
      </w:pPr>
      <w:r>
        <w:rPr>
          <w:rStyle w:val="FootnoteReference"/>
        </w:rPr>
        <w:footnoteRef/>
      </w:r>
      <w:r>
        <w:t xml:space="preserve"> See, for example, C Batchelor, D McKeegan ‘Survey of the frequency and perceived stressfulness of ethical dilemmas in UK veterinary practice</w:t>
      </w:r>
      <w:r w:rsidR="00812250">
        <w:t xml:space="preserve">’ (2012) 170 </w:t>
      </w:r>
      <w:r w:rsidR="00812250" w:rsidRPr="00812250">
        <w:rPr>
          <w:i/>
          <w:iCs/>
        </w:rPr>
        <w:t>Veterinary Record</w:t>
      </w:r>
      <w:r w:rsidR="00812250">
        <w:t xml:space="preserve"> 19, and also L Moses, M Malowney, J Wesley Boyd ‘Ethical conflict and moral distress in veterinary practice: A survey of North American veterinarians’ (2018) 32 </w:t>
      </w:r>
      <w:r w:rsidR="00812250" w:rsidRPr="00812250">
        <w:rPr>
          <w:i/>
          <w:iCs/>
        </w:rPr>
        <w:t>Journal of Veterinary Internal Medicine</w:t>
      </w:r>
      <w:r w:rsidR="00812250">
        <w:rPr>
          <w:i/>
          <w:iCs/>
        </w:rPr>
        <w:t xml:space="preserve"> </w:t>
      </w:r>
      <w:r w:rsidR="00812250">
        <w:t>2115</w:t>
      </w:r>
    </w:p>
  </w:footnote>
  <w:footnote w:id="29">
    <w:p w14:paraId="5E40227F" w14:textId="084E1C9E" w:rsidR="00A11E70" w:rsidRPr="009B7F2A" w:rsidRDefault="00A11E70" w:rsidP="0036370A">
      <w:pPr>
        <w:pStyle w:val="FootnoteText"/>
        <w:rPr>
          <w:b/>
          <w:i/>
        </w:rPr>
      </w:pPr>
      <w:r>
        <w:rPr>
          <w:rStyle w:val="FootnoteReference"/>
        </w:rPr>
        <w:footnoteRef/>
      </w:r>
      <w:r>
        <w:t xml:space="preserve"> </w:t>
      </w:r>
      <w:r w:rsidR="00A35908" w:rsidRPr="00A35908">
        <w:rPr>
          <w:i/>
        </w:rPr>
        <w:t xml:space="preserve">Bolam v Friern Hospital Management Committee </w:t>
      </w:r>
      <w:r w:rsidR="00A35908" w:rsidRPr="00A35908">
        <w:t xml:space="preserve">[1957] 2 All ER </w:t>
      </w:r>
      <w:r w:rsidR="009B7F2A">
        <w:t>This case set the doctor-centred standard for risk disclosure, based on what a responsible body of the profession would disclose.</w:t>
      </w:r>
    </w:p>
  </w:footnote>
  <w:footnote w:id="30">
    <w:p w14:paraId="5A9B7209" w14:textId="0318585A" w:rsidR="00A11E70" w:rsidRPr="009B7F2A" w:rsidRDefault="00A11E70" w:rsidP="0036370A">
      <w:pPr>
        <w:pStyle w:val="FootnoteText"/>
        <w:rPr>
          <w:b/>
          <w:i/>
        </w:rPr>
      </w:pPr>
      <w:r>
        <w:rPr>
          <w:rStyle w:val="FootnoteReference"/>
        </w:rPr>
        <w:footnoteRef/>
      </w:r>
      <w:r>
        <w:t xml:space="preserve"> </w:t>
      </w:r>
      <w:r w:rsidR="009B7F2A" w:rsidRPr="009B7F2A">
        <w:rPr>
          <w:i/>
        </w:rPr>
        <w:t xml:space="preserve">Sidaway v Board of Governors of the Bethlem Royal Hospital </w:t>
      </w:r>
      <w:r w:rsidR="009B7F2A" w:rsidRPr="009B7F2A">
        <w:t xml:space="preserve">[1985] 871 AC 1 </w:t>
      </w:r>
      <w:r w:rsidR="009B7F2A">
        <w:t>In his dissenting judgment, Lord Scarman maintained that Bolam did not apply to risk disclosure, and that the UK should adopt the doctrine of informed consent, based on a ‘prudent patient’ centred approach to risk disclosure</w:t>
      </w:r>
    </w:p>
  </w:footnote>
  <w:footnote w:id="31">
    <w:p w14:paraId="22F20D64" w14:textId="437852B8" w:rsidR="00A11E70" w:rsidRPr="009B7F2A" w:rsidRDefault="00A11E70" w:rsidP="0036370A">
      <w:pPr>
        <w:pStyle w:val="FootnoteText"/>
        <w:rPr>
          <w:b/>
        </w:rPr>
      </w:pPr>
      <w:r>
        <w:rPr>
          <w:rStyle w:val="FootnoteReference"/>
        </w:rPr>
        <w:footnoteRef/>
      </w:r>
      <w:r>
        <w:t xml:space="preserve"> </w:t>
      </w:r>
      <w:r w:rsidR="009B7F2A" w:rsidRPr="009B7F2A">
        <w:rPr>
          <w:i/>
        </w:rPr>
        <w:t>Chester v Afshar</w:t>
      </w:r>
      <w:r w:rsidR="009B7F2A" w:rsidRPr="009B7F2A">
        <w:t xml:space="preserve"> [2005] 1 AC 134 </w:t>
      </w:r>
      <w:r w:rsidR="009B7F2A">
        <w:t>Although more notable for the dissociation of causation from the failure to warn the patient of risks, this case effectively awarded damages for the failure to be warned</w:t>
      </w:r>
      <w:r w:rsidR="00037BC5">
        <w:t xml:space="preserve"> of a material risk.</w:t>
      </w:r>
    </w:p>
  </w:footnote>
  <w:footnote w:id="32">
    <w:p w14:paraId="778432E2" w14:textId="6C9A709E" w:rsidR="0031436D" w:rsidRPr="00A35908" w:rsidRDefault="0031436D" w:rsidP="00A35908">
      <w:pPr>
        <w:rPr>
          <w:rFonts w:asciiTheme="minorHAnsi" w:hAnsiTheme="minorHAnsi" w:cstheme="minorHAnsi"/>
          <w:b/>
        </w:rPr>
      </w:pPr>
      <w:r>
        <w:rPr>
          <w:rStyle w:val="FootnoteReference"/>
        </w:rPr>
        <w:footnoteRef/>
      </w:r>
      <w:r>
        <w:t xml:space="preserve"> </w:t>
      </w:r>
      <w:r w:rsidRPr="00532F30">
        <w:rPr>
          <w:rFonts w:asciiTheme="minorHAnsi" w:hAnsiTheme="minorHAnsi" w:cstheme="minorHAnsi"/>
          <w:i/>
          <w:sz w:val="18"/>
          <w:szCs w:val="18"/>
        </w:rPr>
        <w:t xml:space="preserve">Montgomery v Lanarkshire Health Board </w:t>
      </w:r>
      <w:r w:rsidRPr="00532F30">
        <w:rPr>
          <w:rFonts w:asciiTheme="minorHAnsi" w:hAnsiTheme="minorHAnsi" w:cstheme="minorHAnsi"/>
          <w:sz w:val="18"/>
          <w:szCs w:val="18"/>
        </w:rPr>
        <w:t>[2015] UKSC 11</w:t>
      </w:r>
      <w:r w:rsidR="00037BC5">
        <w:rPr>
          <w:rFonts w:asciiTheme="minorHAnsi" w:hAnsiTheme="minorHAnsi" w:cstheme="minorHAnsi"/>
          <w:sz w:val="18"/>
          <w:szCs w:val="18"/>
        </w:rPr>
        <w:t xml:space="preserve"> finally adopted the doctrine of informed consent into UK law, basing risk disclosure on the ‘reasonable patient’ basis, but also applying it to the particular patient</w:t>
      </w:r>
      <w:r>
        <w:rPr>
          <w:rFonts w:asciiTheme="minorHAnsi" w:hAnsiTheme="minorHAnsi" w:cstheme="minorHAnsi"/>
          <w:sz w:val="18"/>
          <w:szCs w:val="18"/>
        </w:rPr>
        <w:t>; see also</w:t>
      </w:r>
      <w:r w:rsidRPr="00532F30">
        <w:t xml:space="preserve"> </w:t>
      </w:r>
      <w:r>
        <w:rPr>
          <w:rFonts w:asciiTheme="minorHAnsi" w:hAnsiTheme="minorHAnsi" w:cstheme="minorHAnsi"/>
          <w:sz w:val="18"/>
          <w:szCs w:val="18"/>
        </w:rPr>
        <w:t xml:space="preserve">R </w:t>
      </w:r>
      <w:r w:rsidRPr="00874FE9">
        <w:rPr>
          <w:rFonts w:asciiTheme="minorHAnsi" w:hAnsiTheme="minorHAnsi" w:cstheme="minorHAnsi"/>
          <w:sz w:val="18"/>
          <w:szCs w:val="18"/>
        </w:rPr>
        <w:t>Heywood, ‘R.I.P. Sidaway: patient-oriented disclosure - a standard worth waiting for</w:t>
      </w:r>
      <w:r w:rsidRPr="00874FE9">
        <w:rPr>
          <w:rFonts w:asciiTheme="minorHAnsi" w:hAnsiTheme="minorHAnsi" w:cstheme="minorHAnsi"/>
          <w:i/>
          <w:sz w:val="18"/>
          <w:szCs w:val="18"/>
        </w:rPr>
        <w:t>? Montgomery v Lanarkshire Health Board</w:t>
      </w:r>
      <w:r w:rsidRPr="00874FE9">
        <w:rPr>
          <w:rFonts w:asciiTheme="minorHAnsi" w:hAnsiTheme="minorHAnsi" w:cstheme="minorHAnsi"/>
          <w:sz w:val="18"/>
          <w:szCs w:val="18"/>
        </w:rPr>
        <w:t xml:space="preserve"> 2015 UKSC 11’ (2015) 23 </w:t>
      </w:r>
      <w:r w:rsidRPr="00874FE9">
        <w:rPr>
          <w:rFonts w:asciiTheme="minorHAnsi" w:hAnsiTheme="minorHAnsi" w:cstheme="minorHAnsi"/>
          <w:i/>
          <w:sz w:val="18"/>
          <w:szCs w:val="18"/>
        </w:rPr>
        <w:t>Medical Law Review</w:t>
      </w:r>
      <w:r w:rsidRPr="00874FE9">
        <w:rPr>
          <w:rFonts w:asciiTheme="minorHAnsi" w:hAnsiTheme="minorHAnsi" w:cstheme="minorHAnsi"/>
          <w:sz w:val="18"/>
          <w:szCs w:val="18"/>
        </w:rPr>
        <w:t xml:space="preserve"> 455 </w:t>
      </w:r>
    </w:p>
  </w:footnote>
  <w:footnote w:id="33">
    <w:p w14:paraId="2E4BB96D" w14:textId="2711DBD7" w:rsidR="0031436D" w:rsidRPr="00D4309D" w:rsidRDefault="0031436D" w:rsidP="0036370A">
      <w:pPr>
        <w:pStyle w:val="FootnoteText"/>
      </w:pPr>
      <w:r>
        <w:rPr>
          <w:rStyle w:val="FootnoteReference"/>
        </w:rPr>
        <w:footnoteRef/>
      </w:r>
      <w:r>
        <w:t xml:space="preserve"> GMC ‘Decision Making and Consent’ November 2020 </w:t>
      </w:r>
      <w:hyperlink r:id="rId11" w:history="1">
        <w:r w:rsidRPr="00AF2A6F">
          <w:rPr>
            <w:rStyle w:val="Hyperlink"/>
            <w:lang w:val="en-GB"/>
          </w:rPr>
          <w:t>https://www.gmc-uk.org/ethical-guidance/ethical-guidance-for-doctors/decision-making-and-consent</w:t>
        </w:r>
      </w:hyperlink>
      <w:r>
        <w:t xml:space="preserve"> , 22</w:t>
      </w:r>
    </w:p>
  </w:footnote>
  <w:footnote w:id="34">
    <w:p w14:paraId="7BCF4A80" w14:textId="5E7D86EE" w:rsidR="003F1004" w:rsidRPr="003F1004" w:rsidRDefault="003F1004">
      <w:pPr>
        <w:pStyle w:val="FootnoteText"/>
        <w:rPr>
          <w:lang w:val="en-GB"/>
        </w:rPr>
      </w:pPr>
      <w:r>
        <w:rPr>
          <w:rStyle w:val="FootnoteReference"/>
        </w:rPr>
        <w:footnoteRef/>
      </w:r>
      <w:r>
        <w:t xml:space="preserve"> </w:t>
      </w:r>
      <w:r w:rsidRPr="003F1004">
        <w:rPr>
          <w:lang w:val="en-GB"/>
        </w:rPr>
        <w:t xml:space="preserve">A Farrell, M Brazier ‘Not so new directions in the law of consent? Examining </w:t>
      </w:r>
      <w:r w:rsidRPr="003F1004">
        <w:rPr>
          <w:i/>
          <w:lang w:val="en-GB"/>
        </w:rPr>
        <w:t xml:space="preserve">Montgomery v Lanarkshire Health Board’ </w:t>
      </w:r>
      <w:r w:rsidRPr="003F1004">
        <w:rPr>
          <w:lang w:val="en-GB"/>
        </w:rPr>
        <w:t>(2016)</w:t>
      </w:r>
      <w:r w:rsidRPr="003F1004">
        <w:rPr>
          <w:i/>
          <w:lang w:val="en-GB"/>
        </w:rPr>
        <w:t xml:space="preserve"> </w:t>
      </w:r>
      <w:r w:rsidRPr="003F1004">
        <w:rPr>
          <w:lang w:val="en-GB"/>
        </w:rPr>
        <w:t xml:space="preserve">42 </w:t>
      </w:r>
      <w:r w:rsidRPr="003F1004">
        <w:rPr>
          <w:i/>
          <w:lang w:val="en-GB"/>
        </w:rPr>
        <w:t>Journal of Medical Ethics</w:t>
      </w:r>
      <w:r w:rsidRPr="003F1004">
        <w:rPr>
          <w:lang w:val="en-GB"/>
        </w:rPr>
        <w:t xml:space="preserve"> 85</w:t>
      </w:r>
    </w:p>
  </w:footnote>
  <w:footnote w:id="35">
    <w:p w14:paraId="301E006A" w14:textId="47D65980" w:rsidR="0031436D" w:rsidRPr="00C31AF9" w:rsidRDefault="0031436D" w:rsidP="0036370A">
      <w:pPr>
        <w:pStyle w:val="FootnoteText"/>
      </w:pPr>
      <w:r>
        <w:rPr>
          <w:rStyle w:val="FootnoteReference"/>
        </w:rPr>
        <w:footnoteRef/>
      </w:r>
      <w:r>
        <w:t xml:space="preserve"> RCVS </w:t>
      </w:r>
      <w:r w:rsidR="00037BC5">
        <w:t xml:space="preserve">(n13) 11.2 -  </w:t>
      </w:r>
      <w:r>
        <w:t>emphasis in original</w:t>
      </w:r>
    </w:p>
  </w:footnote>
  <w:footnote w:id="36">
    <w:p w14:paraId="0EB77531" w14:textId="5C9FBE09" w:rsidR="0031436D" w:rsidRPr="00183864" w:rsidRDefault="0031436D" w:rsidP="0036370A">
      <w:pPr>
        <w:pStyle w:val="FootnoteText"/>
      </w:pPr>
      <w:r>
        <w:rPr>
          <w:rStyle w:val="FootnoteReference"/>
        </w:rPr>
        <w:footnoteRef/>
      </w:r>
      <w:r>
        <w:t xml:space="preserve"> GMC (n</w:t>
      </w:r>
      <w:r w:rsidR="00A35908">
        <w:t>32</w:t>
      </w:r>
      <w:r>
        <w:t>), 87</w:t>
      </w:r>
    </w:p>
  </w:footnote>
  <w:footnote w:id="37">
    <w:p w14:paraId="0B0458C0" w14:textId="1413499C" w:rsidR="00812250" w:rsidRPr="00812250" w:rsidRDefault="00812250" w:rsidP="0036370A">
      <w:pPr>
        <w:pStyle w:val="FootnoteText"/>
      </w:pPr>
      <w:r>
        <w:rPr>
          <w:rStyle w:val="FootnoteReference"/>
        </w:rPr>
        <w:footnoteRef/>
      </w:r>
      <w:r>
        <w:t xml:space="preserve"> There is an ongoing debate over whether ‘animal welfare’ equates to ‘best interests</w:t>
      </w:r>
      <w:r w:rsidR="00B90EC7">
        <w:t>,</w:t>
      </w:r>
      <w:r>
        <w:t xml:space="preserve">’ </w:t>
      </w:r>
      <w:r w:rsidR="00B90EC7">
        <w:t xml:space="preserve">with </w:t>
      </w:r>
      <w:r>
        <w:t xml:space="preserve">the consensus </w:t>
      </w:r>
      <w:r w:rsidR="00B90EC7">
        <w:t>being</w:t>
      </w:r>
      <w:r>
        <w:t xml:space="preserve"> that welfare focuses on an absence of harmful experiences, whereas </w:t>
      </w:r>
      <w:r w:rsidR="00BB0B88">
        <w:t>‘</w:t>
      </w:r>
      <w:r>
        <w:t>best interests</w:t>
      </w:r>
      <w:r w:rsidR="00BB0B88">
        <w:t>’</w:t>
      </w:r>
      <w:r>
        <w:t xml:space="preserve"> includes maximising positive experiences.</w:t>
      </w:r>
      <w:r w:rsidR="00B90EC7">
        <w:t xml:space="preserve"> The debate comes to a head over whether death is a harm to animals</w:t>
      </w:r>
      <w:r w:rsidR="00A35908">
        <w:t>;</w:t>
      </w:r>
      <w:r w:rsidR="00B90EC7">
        <w:t xml:space="preserve"> it is often not regarded as such by ‘welfarists’. See, for example, GL Francione ‘Animal Welfare and the Moral Value of Nonhuman Animals’ (2010) 6 </w:t>
      </w:r>
      <w:r w:rsidR="00B90EC7" w:rsidRPr="00B90EC7">
        <w:rPr>
          <w:i/>
          <w:iCs/>
        </w:rPr>
        <w:t>Law, Culture and the Humanities</w:t>
      </w:r>
      <w:r w:rsidR="00B90EC7">
        <w:t xml:space="preserve"> 24</w:t>
      </w:r>
    </w:p>
  </w:footnote>
  <w:footnote w:id="38">
    <w:p w14:paraId="73FF9B06" w14:textId="75CFCBCF" w:rsidR="0031436D" w:rsidRPr="00D206C5" w:rsidRDefault="0031436D" w:rsidP="0036370A">
      <w:pPr>
        <w:pStyle w:val="FootnoteText"/>
      </w:pPr>
      <w:r>
        <w:rPr>
          <w:rStyle w:val="FootnoteReference"/>
        </w:rPr>
        <w:footnoteRef/>
      </w:r>
      <w:r>
        <w:t xml:space="preserve"> RCVS </w:t>
      </w:r>
      <w:r w:rsidR="00163EAE">
        <w:t xml:space="preserve">(n13) </w:t>
      </w:r>
      <w:r>
        <w:t>11.35</w:t>
      </w:r>
    </w:p>
  </w:footnote>
  <w:footnote w:id="39">
    <w:p w14:paraId="71FF0FF9" w14:textId="576F5AB2" w:rsidR="0031436D" w:rsidRPr="00472311" w:rsidRDefault="0031436D" w:rsidP="0036370A">
      <w:pPr>
        <w:pStyle w:val="FootnoteText"/>
      </w:pPr>
      <w:r>
        <w:rPr>
          <w:rStyle w:val="FootnoteReference"/>
        </w:rPr>
        <w:footnoteRef/>
      </w:r>
      <w:r>
        <w:t xml:space="preserve"> RCVS </w:t>
      </w:r>
      <w:r w:rsidR="00163EAE">
        <w:t>(n13)</w:t>
      </w:r>
      <w:r>
        <w:t xml:space="preserve"> 11.32</w:t>
      </w:r>
    </w:p>
  </w:footnote>
  <w:footnote w:id="40">
    <w:p w14:paraId="0CDC02A9" w14:textId="77777777" w:rsidR="0031436D" w:rsidRDefault="0031436D" w:rsidP="0036370A">
      <w:pPr>
        <w:pStyle w:val="FootnoteText"/>
      </w:pPr>
      <w:r>
        <w:rPr>
          <w:rStyle w:val="FootnoteReference"/>
        </w:rPr>
        <w:footnoteRef/>
      </w:r>
      <w:r>
        <w:t xml:space="preserve"> RCVS 'Disciplinary Committee Hearings' </w:t>
      </w:r>
      <w:r w:rsidRPr="00560148">
        <w:t xml:space="preserve"> </w:t>
      </w:r>
      <w:hyperlink r:id="rId12" w:history="1">
        <w:r w:rsidRPr="00AF37E1">
          <w:rPr>
            <w:rStyle w:val="Hyperlink"/>
          </w:rPr>
          <w:t>https://www.rcvs.org.uk/concerns/disciplinary-hearings/</w:t>
        </w:r>
      </w:hyperlink>
      <w:r>
        <w:t xml:space="preserve">  accessed 07 May 2020</w:t>
      </w:r>
    </w:p>
    <w:p w14:paraId="6F5ECF68" w14:textId="77777777" w:rsidR="0031436D" w:rsidRPr="00CD1F49" w:rsidRDefault="0031436D" w:rsidP="0036370A">
      <w:pPr>
        <w:pStyle w:val="FootnoteText"/>
      </w:pPr>
    </w:p>
  </w:footnote>
  <w:footnote w:id="41">
    <w:p w14:paraId="2600FA69" w14:textId="04B01CA0" w:rsidR="0031436D" w:rsidRDefault="0031436D" w:rsidP="0036370A">
      <w:pPr>
        <w:pStyle w:val="FootnoteText"/>
      </w:pPr>
      <w:r>
        <w:rPr>
          <w:rStyle w:val="FootnoteReference"/>
        </w:rPr>
        <w:footnoteRef/>
      </w:r>
      <w:r>
        <w:t xml:space="preserve"> RCVS (n1</w:t>
      </w:r>
      <w:r w:rsidR="00163EAE">
        <w:t>3</w:t>
      </w:r>
      <w:r>
        <w:t>) 11.2i</w:t>
      </w:r>
    </w:p>
    <w:p w14:paraId="0E9359C0" w14:textId="77777777" w:rsidR="0031436D" w:rsidRPr="00113EED" w:rsidRDefault="0031436D" w:rsidP="0036370A">
      <w:pPr>
        <w:pStyle w:val="FootnoteText"/>
      </w:pPr>
    </w:p>
  </w:footnote>
  <w:footnote w:id="42">
    <w:p w14:paraId="4417A682" w14:textId="7BEEEB94" w:rsidR="0031436D" w:rsidRPr="0064110B" w:rsidRDefault="0031436D" w:rsidP="0036370A">
      <w:pPr>
        <w:pStyle w:val="FootnoteText"/>
      </w:pPr>
      <w:r>
        <w:rPr>
          <w:rStyle w:val="FootnoteReference"/>
        </w:rPr>
        <w:footnoteRef/>
      </w:r>
      <w:r>
        <w:t xml:space="preserve"> RCVS (2020) Gunn Decision </w:t>
      </w:r>
      <w:hyperlink r:id="rId13" w:history="1">
        <w:r w:rsidRPr="00AF37E1">
          <w:rPr>
            <w:rStyle w:val="Hyperlink"/>
            <w:lang w:val="en-GB"/>
          </w:rPr>
          <w:t>https://www.rcvs.org.uk/document-library/gunn-john-january-2020-disgraceful-conduct-in-a-professional/</w:t>
        </w:r>
      </w:hyperlink>
      <w:r>
        <w:t xml:space="preserve">  accessed 21 May 2020, para36</w:t>
      </w:r>
    </w:p>
  </w:footnote>
  <w:footnote w:id="43">
    <w:p w14:paraId="5A5B9CFF" w14:textId="77777777" w:rsidR="0031436D" w:rsidRDefault="0031436D" w:rsidP="0036370A">
      <w:pPr>
        <w:pStyle w:val="FootnoteText"/>
      </w:pPr>
      <w:r>
        <w:rPr>
          <w:rStyle w:val="FootnoteReference"/>
        </w:rPr>
        <w:footnoteRef/>
      </w:r>
      <w:r>
        <w:t xml:space="preserve"> RCVS (2020) Gunn Sanction </w:t>
      </w:r>
      <w:hyperlink r:id="rId14" w:history="1">
        <w:r w:rsidRPr="00AF37E1">
          <w:rPr>
            <w:rStyle w:val="Hyperlink"/>
            <w:lang w:val="en-GB"/>
          </w:rPr>
          <w:t>https://www.rcvs.org.uk/document-library/gunn-john-january-2020-decision-on-sanction/</w:t>
        </w:r>
      </w:hyperlink>
      <w:r>
        <w:t xml:space="preserve">  accessed 21 May 2020</w:t>
      </w:r>
    </w:p>
    <w:p w14:paraId="07A2BF54" w14:textId="77777777" w:rsidR="0031436D" w:rsidRPr="0064110B" w:rsidRDefault="0031436D" w:rsidP="0036370A">
      <w:pPr>
        <w:pStyle w:val="FootnoteText"/>
      </w:pPr>
    </w:p>
  </w:footnote>
  <w:footnote w:id="44">
    <w:p w14:paraId="2D7C21B1" w14:textId="17D075F8" w:rsidR="0031436D" w:rsidRPr="0059499D" w:rsidRDefault="0031436D" w:rsidP="0036370A">
      <w:pPr>
        <w:pStyle w:val="FootnoteText"/>
      </w:pPr>
      <w:r>
        <w:rPr>
          <w:rStyle w:val="FootnoteReference"/>
        </w:rPr>
        <w:footnoteRef/>
      </w:r>
      <w:r>
        <w:t xml:space="preserve"> The ureters transport urine from the kidneys to the bladder. If they are inadvertently blocked during surgery, the patient will go into kidney failure</w:t>
      </w:r>
    </w:p>
  </w:footnote>
  <w:footnote w:id="45">
    <w:p w14:paraId="4587F865" w14:textId="334A5F78" w:rsidR="0031436D" w:rsidRPr="006933E2" w:rsidRDefault="0031436D" w:rsidP="0036370A">
      <w:pPr>
        <w:pStyle w:val="FootnoteText"/>
      </w:pPr>
      <w:r>
        <w:rPr>
          <w:rStyle w:val="FootnoteReference"/>
        </w:rPr>
        <w:footnoteRef/>
      </w:r>
      <w:r>
        <w:t xml:space="preserve"> RCVS (2019) 'Kristin and Navarro Decision on Sanction' </w:t>
      </w:r>
      <w:hyperlink r:id="rId15" w:history="1">
        <w:r w:rsidRPr="00AF37E1">
          <w:rPr>
            <w:rStyle w:val="Hyperlink"/>
          </w:rPr>
          <w:t>https://www.rcvs.org.uk/document-library/kristin-roman-and-salas-navarro-javier-december-2019-decision/</w:t>
        </w:r>
      </w:hyperlink>
      <w:r>
        <w:t xml:space="preserve">  accessed 22 May 2020</w:t>
      </w:r>
    </w:p>
  </w:footnote>
  <w:footnote w:id="46">
    <w:p w14:paraId="0C511608" w14:textId="77777777" w:rsidR="0031436D" w:rsidRPr="0059499D" w:rsidRDefault="0031436D" w:rsidP="0036370A">
      <w:pPr>
        <w:pStyle w:val="FootnoteText"/>
      </w:pPr>
      <w:r>
        <w:rPr>
          <w:rStyle w:val="FootnoteReference"/>
        </w:rPr>
        <w:footnoteRef/>
      </w:r>
      <w:r>
        <w:t xml:space="preserve"> A life-threatening condition where the stomach inflates with air, twists and cuts off its own blood supply.</w:t>
      </w:r>
    </w:p>
  </w:footnote>
  <w:footnote w:id="47">
    <w:p w14:paraId="4B829CE8" w14:textId="4EA0F5A9" w:rsidR="00163EAE" w:rsidRDefault="00163EAE" w:rsidP="0036370A">
      <w:pPr>
        <w:pStyle w:val="FootnoteText"/>
      </w:pPr>
      <w:r>
        <w:rPr>
          <w:rStyle w:val="FootnoteReference"/>
        </w:rPr>
        <w:footnoteRef/>
      </w:r>
      <w:r>
        <w:t xml:space="preserve"> RCVS (n13) 11.2g</w:t>
      </w:r>
    </w:p>
    <w:p w14:paraId="6CCA3C42" w14:textId="77777777" w:rsidR="00163EAE" w:rsidRPr="00DE2E76" w:rsidRDefault="00163EAE" w:rsidP="0036370A">
      <w:pPr>
        <w:pStyle w:val="FootnoteText"/>
      </w:pPr>
    </w:p>
  </w:footnote>
  <w:footnote w:id="48">
    <w:p w14:paraId="50A01C84" w14:textId="234E3DAC" w:rsidR="00163EAE" w:rsidRPr="00DE2E76" w:rsidRDefault="00163EAE" w:rsidP="0036370A">
      <w:pPr>
        <w:pStyle w:val="FootnoteText"/>
      </w:pPr>
      <w:r>
        <w:rPr>
          <w:rStyle w:val="FootnoteReference"/>
        </w:rPr>
        <w:footnoteRef/>
      </w:r>
      <w:r>
        <w:t xml:space="preserve"> ibid, 11.8</w:t>
      </w:r>
    </w:p>
  </w:footnote>
  <w:footnote w:id="49">
    <w:p w14:paraId="2972D091" w14:textId="6E6CC00C" w:rsidR="00163EAE" w:rsidRDefault="00163EAE" w:rsidP="0036370A">
      <w:pPr>
        <w:pStyle w:val="FootnoteText"/>
      </w:pPr>
      <w:r>
        <w:rPr>
          <w:rStyle w:val="FootnoteReference"/>
        </w:rPr>
        <w:footnoteRef/>
      </w:r>
      <w:r>
        <w:t xml:space="preserve"> ibid, 11.2</w:t>
      </w:r>
    </w:p>
    <w:p w14:paraId="34B811A2" w14:textId="77777777" w:rsidR="00163EAE" w:rsidRPr="00AA45F6" w:rsidRDefault="00163EAE" w:rsidP="0036370A">
      <w:pPr>
        <w:pStyle w:val="FootnoteText"/>
      </w:pPr>
    </w:p>
  </w:footnote>
  <w:footnote w:id="50">
    <w:p w14:paraId="728A7011" w14:textId="4FC1889F" w:rsidR="00163EAE" w:rsidRPr="00925A02" w:rsidRDefault="00163EAE" w:rsidP="0036370A">
      <w:pPr>
        <w:pStyle w:val="FootnoteText"/>
      </w:pPr>
      <w:r>
        <w:rPr>
          <w:rStyle w:val="FootnoteReference"/>
        </w:rPr>
        <w:footnoteRef/>
      </w:r>
      <w:r>
        <w:t xml:space="preserve"> </w:t>
      </w:r>
      <w:r w:rsidR="00972E38" w:rsidRPr="00972E38">
        <w:t xml:space="preserve">Royal College of Veterinary Surgeons, ‘RCVS Code of Professional Conduct for Veterinary Surgeons- Supporting Guidance: </w:t>
      </w:r>
      <w:r w:rsidR="00972E38">
        <w:t>Veterinary Care</w:t>
      </w:r>
      <w:r w:rsidR="00972E38" w:rsidRPr="00972E38">
        <w:t>’</w:t>
      </w:r>
      <w:r w:rsidR="00972E38">
        <w:t xml:space="preserve"> </w:t>
      </w:r>
      <w:hyperlink r:id="rId16" w:history="1">
        <w:r w:rsidR="00972E38" w:rsidRPr="00925D26">
          <w:rPr>
            <w:rStyle w:val="Hyperlink"/>
            <w:lang w:val="en-GB"/>
          </w:rPr>
          <w:t>https://www.rcvs.org.uk/setting-standards/advice-and-guidance/code-of-professional-conduct-for-veterinary-surgeons/supporting-guidance/veterinary-care/</w:t>
        </w:r>
      </w:hyperlink>
      <w:r w:rsidR="00972E38">
        <w:t xml:space="preserve"> </w:t>
      </w:r>
      <w:r>
        <w:t xml:space="preserve"> 2.</w:t>
      </w:r>
      <w:r w:rsidR="00972E38">
        <w:t>13 Accessed 6 November 2020</w:t>
      </w:r>
    </w:p>
  </w:footnote>
  <w:footnote w:id="51">
    <w:p w14:paraId="6D873979" w14:textId="15C0207D" w:rsidR="00163EAE" w:rsidRPr="00925A02" w:rsidRDefault="00163EAE" w:rsidP="0036370A">
      <w:pPr>
        <w:pStyle w:val="FootnoteText"/>
      </w:pPr>
      <w:r>
        <w:rPr>
          <w:rStyle w:val="FootnoteReference"/>
        </w:rPr>
        <w:footnoteRef/>
      </w:r>
      <w:r>
        <w:t xml:space="preserve"> RCVS (n13) 11.3-11.5</w:t>
      </w:r>
    </w:p>
  </w:footnote>
  <w:footnote w:id="52">
    <w:p w14:paraId="749E5977" w14:textId="06AB20F3" w:rsidR="0031436D" w:rsidRPr="00035184" w:rsidRDefault="0031436D" w:rsidP="0036370A">
      <w:pPr>
        <w:pStyle w:val="FootnoteText"/>
      </w:pPr>
      <w:r>
        <w:rPr>
          <w:rStyle w:val="FootnoteReference"/>
        </w:rPr>
        <w:footnoteRef/>
      </w:r>
      <w:r>
        <w:t xml:space="preserve"> These Veterinary Medical Boards are responsible for individual licensure of veterinary surgeons in each state in the USA.</w:t>
      </w:r>
    </w:p>
  </w:footnote>
  <w:footnote w:id="53">
    <w:p w14:paraId="79DB264F" w14:textId="778A9B82" w:rsidR="0031436D" w:rsidRPr="004E0D5E" w:rsidRDefault="0031436D" w:rsidP="0036370A">
      <w:pPr>
        <w:pStyle w:val="FootnoteText"/>
      </w:pPr>
      <w:r>
        <w:rPr>
          <w:rStyle w:val="FootnoteReference"/>
        </w:rPr>
        <w:footnoteRef/>
      </w:r>
      <w:r>
        <w:t xml:space="preserve"> SL Babcock, JR Doehne, EP Carlin ‘Trends in veterinary medical board state disciplinary actions, 2005-2011’  (2014) 244(12) </w:t>
      </w:r>
      <w:r w:rsidRPr="004E0D5E">
        <w:rPr>
          <w:i/>
          <w:iCs/>
        </w:rPr>
        <w:t>J</w:t>
      </w:r>
      <w:r>
        <w:rPr>
          <w:i/>
          <w:iCs/>
        </w:rPr>
        <w:t xml:space="preserve">ournal of the </w:t>
      </w:r>
      <w:r w:rsidRPr="004E0D5E">
        <w:rPr>
          <w:i/>
          <w:iCs/>
        </w:rPr>
        <w:t>A</w:t>
      </w:r>
      <w:r>
        <w:rPr>
          <w:i/>
          <w:iCs/>
        </w:rPr>
        <w:t xml:space="preserve">merican </w:t>
      </w:r>
      <w:r w:rsidRPr="004E0D5E">
        <w:rPr>
          <w:i/>
          <w:iCs/>
        </w:rPr>
        <w:t>V</w:t>
      </w:r>
      <w:r>
        <w:rPr>
          <w:i/>
          <w:iCs/>
        </w:rPr>
        <w:t xml:space="preserve">eterinary </w:t>
      </w:r>
      <w:r w:rsidRPr="004E0D5E">
        <w:rPr>
          <w:i/>
          <w:iCs/>
        </w:rPr>
        <w:t>M</w:t>
      </w:r>
      <w:r>
        <w:rPr>
          <w:i/>
          <w:iCs/>
        </w:rPr>
        <w:t xml:space="preserve">edical </w:t>
      </w:r>
      <w:r w:rsidRPr="004E0D5E">
        <w:rPr>
          <w:i/>
          <w:iCs/>
        </w:rPr>
        <w:t>A</w:t>
      </w:r>
      <w:r>
        <w:rPr>
          <w:i/>
          <w:iCs/>
        </w:rPr>
        <w:t>ssociation</w:t>
      </w:r>
      <w:r w:rsidRPr="004E0D5E">
        <w:rPr>
          <w:i/>
          <w:iCs/>
        </w:rPr>
        <w:t xml:space="preserve"> </w:t>
      </w:r>
      <w:r>
        <w:t>1397</w:t>
      </w:r>
    </w:p>
  </w:footnote>
  <w:footnote w:id="54">
    <w:p w14:paraId="04BE9052" w14:textId="7273979F" w:rsidR="00491232" w:rsidRPr="00195AEA" w:rsidRDefault="00491232" w:rsidP="0036370A">
      <w:pPr>
        <w:pStyle w:val="FootnoteText"/>
      </w:pPr>
      <w:r>
        <w:rPr>
          <w:rStyle w:val="FootnoteReference"/>
        </w:rPr>
        <w:footnoteRef/>
      </w:r>
      <w:r>
        <w:t xml:space="preserve"> </w:t>
      </w:r>
      <w:r w:rsidR="00351FF8" w:rsidRPr="00351FF8">
        <w:t xml:space="preserve">A Campbell, KC Glass 'The Legal Status of Clinical and Ethics Policies, Codes, and Guidelines in Medical Practice and Research' (2001) 46 </w:t>
      </w:r>
      <w:r w:rsidR="00351FF8" w:rsidRPr="00351FF8">
        <w:rPr>
          <w:i/>
          <w:iCs/>
        </w:rPr>
        <w:t xml:space="preserve">McGill Law Journal </w:t>
      </w:r>
      <w:r w:rsidR="00351FF8" w:rsidRPr="00351FF8">
        <w:t>473</w:t>
      </w:r>
    </w:p>
  </w:footnote>
  <w:footnote w:id="55">
    <w:p w14:paraId="00CAD0D9" w14:textId="1F165F0D" w:rsidR="00491232" w:rsidRPr="002C5CFA" w:rsidRDefault="00491232" w:rsidP="0036370A">
      <w:pPr>
        <w:pStyle w:val="FootnoteText"/>
      </w:pPr>
      <w:r>
        <w:rPr>
          <w:rStyle w:val="FootnoteReference"/>
        </w:rPr>
        <w:footnoteRef/>
      </w:r>
      <w:r>
        <w:t xml:space="preserve"> Ibid, 467</w:t>
      </w:r>
    </w:p>
  </w:footnote>
  <w:footnote w:id="56">
    <w:p w14:paraId="7FBAC169" w14:textId="77777777" w:rsidR="00491232" w:rsidRPr="00F90AD6" w:rsidRDefault="00491232" w:rsidP="0036370A">
      <w:pPr>
        <w:pStyle w:val="FootnoteText"/>
        <w:rPr>
          <w:b/>
        </w:rPr>
      </w:pPr>
      <w:r>
        <w:rPr>
          <w:rStyle w:val="FootnoteReference"/>
        </w:rPr>
        <w:footnoteRef/>
      </w:r>
      <w:r>
        <w:t xml:space="preserve"> </w:t>
      </w:r>
      <w:r w:rsidRPr="00F90AD6">
        <w:t>Schnobel</w:t>
      </w:r>
      <w:r w:rsidRPr="00F90AD6">
        <w:rPr>
          <w:b/>
        </w:rPr>
        <w:t xml:space="preserve"> </w:t>
      </w:r>
      <w:r>
        <w:rPr>
          <w:b/>
        </w:rPr>
        <w:t>(n2)</w:t>
      </w:r>
    </w:p>
    <w:p w14:paraId="3A9ADC45" w14:textId="77777777" w:rsidR="00491232" w:rsidRPr="00F90AD6" w:rsidRDefault="00491232" w:rsidP="0036370A">
      <w:pPr>
        <w:pStyle w:val="FootnoteText"/>
      </w:pPr>
    </w:p>
  </w:footnote>
  <w:footnote w:id="57">
    <w:p w14:paraId="6A41DAC1" w14:textId="609A74FF" w:rsidR="00FA6C5A" w:rsidRPr="00972E38" w:rsidRDefault="00FA6C5A" w:rsidP="0036370A">
      <w:pPr>
        <w:pStyle w:val="FootnoteText"/>
        <w:rPr>
          <w:b/>
        </w:rPr>
      </w:pPr>
      <w:r>
        <w:rPr>
          <w:rStyle w:val="FootnoteReference"/>
        </w:rPr>
        <w:footnoteRef/>
      </w:r>
      <w:r>
        <w:t xml:space="preserve"> </w:t>
      </w:r>
      <w:r w:rsidRPr="008841E4">
        <w:rPr>
          <w:i/>
          <w:iCs/>
        </w:rPr>
        <w:t xml:space="preserve">Bolam </w:t>
      </w:r>
      <w:r w:rsidR="00972E38">
        <w:t>(n28)</w:t>
      </w:r>
    </w:p>
  </w:footnote>
  <w:footnote w:id="58">
    <w:p w14:paraId="32C27931" w14:textId="724D6E72" w:rsidR="00A43F77" w:rsidRPr="00A43F77" w:rsidRDefault="00A43F77" w:rsidP="0036370A">
      <w:pPr>
        <w:pStyle w:val="FootnoteText"/>
      </w:pPr>
      <w:r>
        <w:rPr>
          <w:rStyle w:val="FootnoteReference"/>
        </w:rPr>
        <w:footnoteRef/>
      </w:r>
      <w:r>
        <w:t xml:space="preserve"> </w:t>
      </w:r>
      <w:r w:rsidRPr="00A43F77">
        <w:rPr>
          <w:i/>
          <w:iCs/>
        </w:rPr>
        <w:t>Sidaway</w:t>
      </w:r>
      <w:r>
        <w:t xml:space="preserve"> (n</w:t>
      </w:r>
      <w:r w:rsidR="00972E38">
        <w:t>29</w:t>
      </w:r>
      <w:r>
        <w:t>) at 889H</w:t>
      </w:r>
    </w:p>
  </w:footnote>
  <w:footnote w:id="59">
    <w:p w14:paraId="6396C7BB" w14:textId="726EFA6D" w:rsidR="00972E38" w:rsidRPr="00972E38" w:rsidRDefault="00972E38" w:rsidP="0036370A">
      <w:pPr>
        <w:pStyle w:val="FootnoteText"/>
      </w:pPr>
      <w:r>
        <w:rPr>
          <w:rStyle w:val="FootnoteReference"/>
        </w:rPr>
        <w:footnoteRef/>
      </w:r>
      <w:r>
        <w:t xml:space="preserve"> </w:t>
      </w:r>
      <w:r w:rsidRPr="00972E38">
        <w:t>Montgomery</w:t>
      </w:r>
      <w:r>
        <w:t xml:space="preserve"> (n31)</w:t>
      </w:r>
    </w:p>
  </w:footnote>
  <w:footnote w:id="60">
    <w:p w14:paraId="75EEA707" w14:textId="13330461" w:rsidR="0031436D" w:rsidRPr="00D50F47" w:rsidRDefault="0031436D" w:rsidP="0036370A">
      <w:pPr>
        <w:pStyle w:val="FootnoteText"/>
      </w:pPr>
      <w:r>
        <w:rPr>
          <w:rStyle w:val="FootnoteReference"/>
        </w:rPr>
        <w:footnoteRef/>
      </w:r>
      <w:r>
        <w:t xml:space="preserve"> RCVS “Declaration on admission to the profession’ </w:t>
      </w:r>
      <w:hyperlink r:id="rId17" w:anchor="declaration" w:history="1">
        <w:r w:rsidRPr="00224F2F">
          <w:rPr>
            <w:rStyle w:val="Hyperlink"/>
          </w:rPr>
          <w:t>https://www.rcvs.org.uk/setting-standards/advice-and-guidance/code-of-professional-conduct-for-veterinary-surgeons/#declaration</w:t>
        </w:r>
      </w:hyperlink>
      <w:r>
        <w:t xml:space="preserve"> Accessed 05 Jun 2020</w:t>
      </w:r>
    </w:p>
  </w:footnote>
  <w:footnote w:id="61">
    <w:p w14:paraId="67E5EA10" w14:textId="408A42D7" w:rsidR="0031436D" w:rsidRPr="001008B3" w:rsidRDefault="0031436D" w:rsidP="0036370A">
      <w:pPr>
        <w:pStyle w:val="FootnoteText"/>
      </w:pPr>
      <w:r>
        <w:rPr>
          <w:rStyle w:val="FootnoteReference"/>
        </w:rPr>
        <w:footnoteRef/>
      </w:r>
      <w:r>
        <w:t xml:space="preserve"> RCVS (2019) 'Kristin and Navarro: Decision on Facts and Conduct' </w:t>
      </w:r>
      <w:hyperlink r:id="rId18" w:history="1">
        <w:r w:rsidRPr="00AF37E1">
          <w:rPr>
            <w:rStyle w:val="Hyperlink"/>
            <w:lang w:val="en-GB"/>
          </w:rPr>
          <w:t>https://www.rcvs.org.uk/document-library/kristin-roman-and-salas-navarro-javier-december-2019-facts/</w:t>
        </w:r>
      </w:hyperlink>
      <w:r>
        <w:t xml:space="preserve">  para 145, Accessed 22 May 2020</w:t>
      </w:r>
    </w:p>
  </w:footnote>
  <w:footnote w:id="62">
    <w:p w14:paraId="7A5152F5" w14:textId="7DE5FFDB" w:rsidR="0031436D" w:rsidRDefault="0031436D" w:rsidP="0036370A">
      <w:pPr>
        <w:pStyle w:val="FootnoteText"/>
      </w:pPr>
      <w:r>
        <w:rPr>
          <w:rStyle w:val="FootnoteReference"/>
        </w:rPr>
        <w:footnoteRef/>
      </w:r>
      <w:r>
        <w:t xml:space="preserve"> ibid, para 146</w:t>
      </w:r>
    </w:p>
    <w:p w14:paraId="1CE87778" w14:textId="77777777" w:rsidR="0031436D" w:rsidRPr="00AF23BC" w:rsidRDefault="0031436D" w:rsidP="00363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B64C2D"/>
    <w:multiLevelType w:val="hybridMultilevel"/>
    <w:tmpl w:val="4CD605D8"/>
    <w:lvl w:ilvl="0" w:tplc="A4CCB0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08"/>
    <w:rsid w:val="0000199D"/>
    <w:rsid w:val="00006DA5"/>
    <w:rsid w:val="00020142"/>
    <w:rsid w:val="00031155"/>
    <w:rsid w:val="00035184"/>
    <w:rsid w:val="00037BC5"/>
    <w:rsid w:val="00043AC5"/>
    <w:rsid w:val="00052BB0"/>
    <w:rsid w:val="000744D3"/>
    <w:rsid w:val="00083479"/>
    <w:rsid w:val="0008450B"/>
    <w:rsid w:val="000A58E6"/>
    <w:rsid w:val="000C0970"/>
    <w:rsid w:val="000D49E8"/>
    <w:rsid w:val="000F6E10"/>
    <w:rsid w:val="0010016C"/>
    <w:rsid w:val="001008B3"/>
    <w:rsid w:val="00104F2F"/>
    <w:rsid w:val="0011102F"/>
    <w:rsid w:val="00113EED"/>
    <w:rsid w:val="001144E7"/>
    <w:rsid w:val="00131C18"/>
    <w:rsid w:val="00134986"/>
    <w:rsid w:val="001425DB"/>
    <w:rsid w:val="00142D24"/>
    <w:rsid w:val="00143E61"/>
    <w:rsid w:val="00163EAE"/>
    <w:rsid w:val="00166C37"/>
    <w:rsid w:val="001672DF"/>
    <w:rsid w:val="00171031"/>
    <w:rsid w:val="00183864"/>
    <w:rsid w:val="0018690E"/>
    <w:rsid w:val="00194479"/>
    <w:rsid w:val="00195AEA"/>
    <w:rsid w:val="001C3437"/>
    <w:rsid w:val="001C3674"/>
    <w:rsid w:val="001C3DC3"/>
    <w:rsid w:val="001C6823"/>
    <w:rsid w:val="001D5F06"/>
    <w:rsid w:val="001D6D60"/>
    <w:rsid w:val="001E3F03"/>
    <w:rsid w:val="001E5021"/>
    <w:rsid w:val="001F1F44"/>
    <w:rsid w:val="0020236D"/>
    <w:rsid w:val="002037B2"/>
    <w:rsid w:val="00203B45"/>
    <w:rsid w:val="0020428B"/>
    <w:rsid w:val="00204A87"/>
    <w:rsid w:val="00205700"/>
    <w:rsid w:val="002072E8"/>
    <w:rsid w:val="00207C9A"/>
    <w:rsid w:val="00211367"/>
    <w:rsid w:val="0021214C"/>
    <w:rsid w:val="00222FE0"/>
    <w:rsid w:val="0023640A"/>
    <w:rsid w:val="002477BB"/>
    <w:rsid w:val="002523F8"/>
    <w:rsid w:val="0025664D"/>
    <w:rsid w:val="00276B3A"/>
    <w:rsid w:val="00282D0F"/>
    <w:rsid w:val="00295641"/>
    <w:rsid w:val="002B0DF0"/>
    <w:rsid w:val="002B3097"/>
    <w:rsid w:val="002B4AEB"/>
    <w:rsid w:val="002B5875"/>
    <w:rsid w:val="002C5CFA"/>
    <w:rsid w:val="002D082B"/>
    <w:rsid w:val="002D2B20"/>
    <w:rsid w:val="002E25C4"/>
    <w:rsid w:val="002E4678"/>
    <w:rsid w:val="002E588C"/>
    <w:rsid w:val="002E5C1A"/>
    <w:rsid w:val="002E6DAD"/>
    <w:rsid w:val="002F231D"/>
    <w:rsid w:val="0031436D"/>
    <w:rsid w:val="00314E01"/>
    <w:rsid w:val="003167DB"/>
    <w:rsid w:val="00322CB1"/>
    <w:rsid w:val="00323946"/>
    <w:rsid w:val="00324507"/>
    <w:rsid w:val="00331BAB"/>
    <w:rsid w:val="00336DC8"/>
    <w:rsid w:val="00343859"/>
    <w:rsid w:val="00351FF8"/>
    <w:rsid w:val="00354F92"/>
    <w:rsid w:val="00362067"/>
    <w:rsid w:val="0036370A"/>
    <w:rsid w:val="00366227"/>
    <w:rsid w:val="00367CAD"/>
    <w:rsid w:val="00370DBC"/>
    <w:rsid w:val="0037239A"/>
    <w:rsid w:val="0037349E"/>
    <w:rsid w:val="00377E7A"/>
    <w:rsid w:val="00384FC6"/>
    <w:rsid w:val="00390351"/>
    <w:rsid w:val="0039605D"/>
    <w:rsid w:val="003B0083"/>
    <w:rsid w:val="003B3C9D"/>
    <w:rsid w:val="003C0DEB"/>
    <w:rsid w:val="003C1603"/>
    <w:rsid w:val="003C4705"/>
    <w:rsid w:val="003C690A"/>
    <w:rsid w:val="003D3729"/>
    <w:rsid w:val="003D72AE"/>
    <w:rsid w:val="003E3201"/>
    <w:rsid w:val="003E3E4F"/>
    <w:rsid w:val="003E4A46"/>
    <w:rsid w:val="003F1004"/>
    <w:rsid w:val="003F2F9F"/>
    <w:rsid w:val="003F6478"/>
    <w:rsid w:val="00403EAB"/>
    <w:rsid w:val="0040525C"/>
    <w:rsid w:val="00411178"/>
    <w:rsid w:val="00411B99"/>
    <w:rsid w:val="00415334"/>
    <w:rsid w:val="00417F6F"/>
    <w:rsid w:val="004270CC"/>
    <w:rsid w:val="00436E03"/>
    <w:rsid w:val="004500D0"/>
    <w:rsid w:val="00450ECF"/>
    <w:rsid w:val="004548BD"/>
    <w:rsid w:val="00466B17"/>
    <w:rsid w:val="00472311"/>
    <w:rsid w:val="00474DAC"/>
    <w:rsid w:val="00476279"/>
    <w:rsid w:val="004779D9"/>
    <w:rsid w:val="00491232"/>
    <w:rsid w:val="0049338D"/>
    <w:rsid w:val="004A038B"/>
    <w:rsid w:val="004A27FA"/>
    <w:rsid w:val="004A33CC"/>
    <w:rsid w:val="004A4C1D"/>
    <w:rsid w:val="004A7E6C"/>
    <w:rsid w:val="004C2448"/>
    <w:rsid w:val="004C54A8"/>
    <w:rsid w:val="004D02BF"/>
    <w:rsid w:val="004D0C71"/>
    <w:rsid w:val="004D2BA0"/>
    <w:rsid w:val="004D5DDA"/>
    <w:rsid w:val="004E0D5E"/>
    <w:rsid w:val="004E3F1D"/>
    <w:rsid w:val="004E6AC6"/>
    <w:rsid w:val="004F67B4"/>
    <w:rsid w:val="00501ED7"/>
    <w:rsid w:val="00502486"/>
    <w:rsid w:val="00504CCC"/>
    <w:rsid w:val="00520738"/>
    <w:rsid w:val="00520D67"/>
    <w:rsid w:val="005212B4"/>
    <w:rsid w:val="005245E2"/>
    <w:rsid w:val="00526766"/>
    <w:rsid w:val="00532F30"/>
    <w:rsid w:val="00533DE9"/>
    <w:rsid w:val="00537F21"/>
    <w:rsid w:val="005410AB"/>
    <w:rsid w:val="0054600A"/>
    <w:rsid w:val="00560148"/>
    <w:rsid w:val="0056645B"/>
    <w:rsid w:val="00571284"/>
    <w:rsid w:val="005832DF"/>
    <w:rsid w:val="00585FD8"/>
    <w:rsid w:val="0059318D"/>
    <w:rsid w:val="0059499D"/>
    <w:rsid w:val="00597EE6"/>
    <w:rsid w:val="005A0936"/>
    <w:rsid w:val="005A284E"/>
    <w:rsid w:val="005A33E6"/>
    <w:rsid w:val="005D0D82"/>
    <w:rsid w:val="005E3F5F"/>
    <w:rsid w:val="005E4DBB"/>
    <w:rsid w:val="005F374D"/>
    <w:rsid w:val="00603936"/>
    <w:rsid w:val="00606AC7"/>
    <w:rsid w:val="00606DE5"/>
    <w:rsid w:val="0061207D"/>
    <w:rsid w:val="0061707A"/>
    <w:rsid w:val="006365D9"/>
    <w:rsid w:val="006370DF"/>
    <w:rsid w:val="0064110B"/>
    <w:rsid w:val="00655410"/>
    <w:rsid w:val="0065597A"/>
    <w:rsid w:val="00662F80"/>
    <w:rsid w:val="00664A30"/>
    <w:rsid w:val="00667130"/>
    <w:rsid w:val="006721A2"/>
    <w:rsid w:val="006757D1"/>
    <w:rsid w:val="00680D9A"/>
    <w:rsid w:val="00683543"/>
    <w:rsid w:val="00686E24"/>
    <w:rsid w:val="0069158F"/>
    <w:rsid w:val="006933E2"/>
    <w:rsid w:val="006978A2"/>
    <w:rsid w:val="006A0F3A"/>
    <w:rsid w:val="006B2198"/>
    <w:rsid w:val="006B2743"/>
    <w:rsid w:val="006B6778"/>
    <w:rsid w:val="006C12D7"/>
    <w:rsid w:val="006C6EC0"/>
    <w:rsid w:val="006D37F9"/>
    <w:rsid w:val="006D7B7F"/>
    <w:rsid w:val="006F3B41"/>
    <w:rsid w:val="0070307D"/>
    <w:rsid w:val="007040BB"/>
    <w:rsid w:val="00722F42"/>
    <w:rsid w:val="00723C5F"/>
    <w:rsid w:val="00726939"/>
    <w:rsid w:val="00740168"/>
    <w:rsid w:val="007461CE"/>
    <w:rsid w:val="007547B0"/>
    <w:rsid w:val="007610E7"/>
    <w:rsid w:val="0076474C"/>
    <w:rsid w:val="00764F00"/>
    <w:rsid w:val="00765531"/>
    <w:rsid w:val="0076724F"/>
    <w:rsid w:val="007762EF"/>
    <w:rsid w:val="00780858"/>
    <w:rsid w:val="007839EE"/>
    <w:rsid w:val="00787CAB"/>
    <w:rsid w:val="007A50EA"/>
    <w:rsid w:val="007D516A"/>
    <w:rsid w:val="007D5EFD"/>
    <w:rsid w:val="007F48FD"/>
    <w:rsid w:val="007F5A89"/>
    <w:rsid w:val="007F604F"/>
    <w:rsid w:val="007F6360"/>
    <w:rsid w:val="007F6770"/>
    <w:rsid w:val="008001EA"/>
    <w:rsid w:val="008054E4"/>
    <w:rsid w:val="008075FA"/>
    <w:rsid w:val="0081197F"/>
    <w:rsid w:val="008120AB"/>
    <w:rsid w:val="00812250"/>
    <w:rsid w:val="008208A0"/>
    <w:rsid w:val="00834A90"/>
    <w:rsid w:val="00843C97"/>
    <w:rsid w:val="00844B6A"/>
    <w:rsid w:val="00845A3D"/>
    <w:rsid w:val="00846F25"/>
    <w:rsid w:val="0085692B"/>
    <w:rsid w:val="00857315"/>
    <w:rsid w:val="008601E4"/>
    <w:rsid w:val="0086462E"/>
    <w:rsid w:val="00874FE9"/>
    <w:rsid w:val="00875520"/>
    <w:rsid w:val="00876048"/>
    <w:rsid w:val="008801F8"/>
    <w:rsid w:val="00882C01"/>
    <w:rsid w:val="008833A1"/>
    <w:rsid w:val="008841E4"/>
    <w:rsid w:val="00895BCD"/>
    <w:rsid w:val="008A1335"/>
    <w:rsid w:val="008A6FC2"/>
    <w:rsid w:val="008B1106"/>
    <w:rsid w:val="008D14F4"/>
    <w:rsid w:val="008D4BF3"/>
    <w:rsid w:val="008E0ACC"/>
    <w:rsid w:val="008E6A0F"/>
    <w:rsid w:val="00911388"/>
    <w:rsid w:val="0091396B"/>
    <w:rsid w:val="00923FEE"/>
    <w:rsid w:val="00925A02"/>
    <w:rsid w:val="00934427"/>
    <w:rsid w:val="0093480F"/>
    <w:rsid w:val="009358D9"/>
    <w:rsid w:val="00940DD1"/>
    <w:rsid w:val="00954826"/>
    <w:rsid w:val="00961A3F"/>
    <w:rsid w:val="00962631"/>
    <w:rsid w:val="00964D9A"/>
    <w:rsid w:val="00972E38"/>
    <w:rsid w:val="009810A9"/>
    <w:rsid w:val="009855F5"/>
    <w:rsid w:val="00987ABD"/>
    <w:rsid w:val="009B3F80"/>
    <w:rsid w:val="009B3F9A"/>
    <w:rsid w:val="009B7F2A"/>
    <w:rsid w:val="009C3824"/>
    <w:rsid w:val="009C5333"/>
    <w:rsid w:val="009C6083"/>
    <w:rsid w:val="009D47CF"/>
    <w:rsid w:val="00A055A2"/>
    <w:rsid w:val="00A11E70"/>
    <w:rsid w:val="00A20139"/>
    <w:rsid w:val="00A24574"/>
    <w:rsid w:val="00A24600"/>
    <w:rsid w:val="00A35908"/>
    <w:rsid w:val="00A42F2E"/>
    <w:rsid w:val="00A43F77"/>
    <w:rsid w:val="00A54011"/>
    <w:rsid w:val="00A64A94"/>
    <w:rsid w:val="00A672B9"/>
    <w:rsid w:val="00A70389"/>
    <w:rsid w:val="00A81945"/>
    <w:rsid w:val="00A82F62"/>
    <w:rsid w:val="00A857D5"/>
    <w:rsid w:val="00AA035E"/>
    <w:rsid w:val="00AA45F6"/>
    <w:rsid w:val="00AB1116"/>
    <w:rsid w:val="00AB6981"/>
    <w:rsid w:val="00AC1CA6"/>
    <w:rsid w:val="00AC3D41"/>
    <w:rsid w:val="00AC5477"/>
    <w:rsid w:val="00AC55F2"/>
    <w:rsid w:val="00AD344F"/>
    <w:rsid w:val="00AF23BC"/>
    <w:rsid w:val="00AF5F68"/>
    <w:rsid w:val="00B00B0A"/>
    <w:rsid w:val="00B02D37"/>
    <w:rsid w:val="00B04B8F"/>
    <w:rsid w:val="00B10E3B"/>
    <w:rsid w:val="00B12467"/>
    <w:rsid w:val="00B30156"/>
    <w:rsid w:val="00B35B91"/>
    <w:rsid w:val="00B46B2E"/>
    <w:rsid w:val="00B47129"/>
    <w:rsid w:val="00B61AA1"/>
    <w:rsid w:val="00B7025E"/>
    <w:rsid w:val="00B765F6"/>
    <w:rsid w:val="00B80B3F"/>
    <w:rsid w:val="00B8361D"/>
    <w:rsid w:val="00B86366"/>
    <w:rsid w:val="00B866D1"/>
    <w:rsid w:val="00B86DEE"/>
    <w:rsid w:val="00B9053F"/>
    <w:rsid w:val="00B90EC7"/>
    <w:rsid w:val="00BA1008"/>
    <w:rsid w:val="00BA1AFD"/>
    <w:rsid w:val="00BA5540"/>
    <w:rsid w:val="00BB025E"/>
    <w:rsid w:val="00BB0B88"/>
    <w:rsid w:val="00BB523A"/>
    <w:rsid w:val="00BC261D"/>
    <w:rsid w:val="00BE359C"/>
    <w:rsid w:val="00BF0E5C"/>
    <w:rsid w:val="00C003CC"/>
    <w:rsid w:val="00C20C32"/>
    <w:rsid w:val="00C21E89"/>
    <w:rsid w:val="00C31AF9"/>
    <w:rsid w:val="00C46BBA"/>
    <w:rsid w:val="00C50CE2"/>
    <w:rsid w:val="00C54C85"/>
    <w:rsid w:val="00C6221C"/>
    <w:rsid w:val="00C64F5E"/>
    <w:rsid w:val="00C65ABA"/>
    <w:rsid w:val="00C668F3"/>
    <w:rsid w:val="00C7187A"/>
    <w:rsid w:val="00C729BB"/>
    <w:rsid w:val="00C813D3"/>
    <w:rsid w:val="00C91980"/>
    <w:rsid w:val="00CB2220"/>
    <w:rsid w:val="00CB4488"/>
    <w:rsid w:val="00CB59E2"/>
    <w:rsid w:val="00CB7736"/>
    <w:rsid w:val="00CC1551"/>
    <w:rsid w:val="00CC7B5E"/>
    <w:rsid w:val="00CD1F49"/>
    <w:rsid w:val="00CE3CCE"/>
    <w:rsid w:val="00CF68D7"/>
    <w:rsid w:val="00D129C6"/>
    <w:rsid w:val="00D169D7"/>
    <w:rsid w:val="00D17FA4"/>
    <w:rsid w:val="00D206C5"/>
    <w:rsid w:val="00D25922"/>
    <w:rsid w:val="00D40E72"/>
    <w:rsid w:val="00D4309D"/>
    <w:rsid w:val="00D5084D"/>
    <w:rsid w:val="00D50F47"/>
    <w:rsid w:val="00D5562A"/>
    <w:rsid w:val="00D5574A"/>
    <w:rsid w:val="00D55FEE"/>
    <w:rsid w:val="00D72816"/>
    <w:rsid w:val="00D81236"/>
    <w:rsid w:val="00D81B4E"/>
    <w:rsid w:val="00D9426B"/>
    <w:rsid w:val="00DA7FCE"/>
    <w:rsid w:val="00DB4321"/>
    <w:rsid w:val="00DC1153"/>
    <w:rsid w:val="00DC16BD"/>
    <w:rsid w:val="00DC7472"/>
    <w:rsid w:val="00DD52B0"/>
    <w:rsid w:val="00DE2E76"/>
    <w:rsid w:val="00DE444C"/>
    <w:rsid w:val="00E00317"/>
    <w:rsid w:val="00E0591A"/>
    <w:rsid w:val="00E10E6B"/>
    <w:rsid w:val="00E236E7"/>
    <w:rsid w:val="00E2713F"/>
    <w:rsid w:val="00E50923"/>
    <w:rsid w:val="00E527C5"/>
    <w:rsid w:val="00E56733"/>
    <w:rsid w:val="00E60962"/>
    <w:rsid w:val="00E626E4"/>
    <w:rsid w:val="00E70330"/>
    <w:rsid w:val="00E705C4"/>
    <w:rsid w:val="00E73427"/>
    <w:rsid w:val="00E81867"/>
    <w:rsid w:val="00E8394F"/>
    <w:rsid w:val="00E8676F"/>
    <w:rsid w:val="00EC4813"/>
    <w:rsid w:val="00EC4DBA"/>
    <w:rsid w:val="00EC7925"/>
    <w:rsid w:val="00EE1145"/>
    <w:rsid w:val="00EE340A"/>
    <w:rsid w:val="00EE4A38"/>
    <w:rsid w:val="00EF3FA1"/>
    <w:rsid w:val="00EF61F1"/>
    <w:rsid w:val="00F015F2"/>
    <w:rsid w:val="00F03143"/>
    <w:rsid w:val="00F03CAD"/>
    <w:rsid w:val="00F065BA"/>
    <w:rsid w:val="00F16716"/>
    <w:rsid w:val="00F21770"/>
    <w:rsid w:val="00F255F0"/>
    <w:rsid w:val="00F2696A"/>
    <w:rsid w:val="00F32749"/>
    <w:rsid w:val="00F3544B"/>
    <w:rsid w:val="00F35F31"/>
    <w:rsid w:val="00F40657"/>
    <w:rsid w:val="00F43B70"/>
    <w:rsid w:val="00F4707A"/>
    <w:rsid w:val="00F5221C"/>
    <w:rsid w:val="00F61ADC"/>
    <w:rsid w:val="00F63F53"/>
    <w:rsid w:val="00F67B2B"/>
    <w:rsid w:val="00F70095"/>
    <w:rsid w:val="00F72F9B"/>
    <w:rsid w:val="00F75897"/>
    <w:rsid w:val="00F77E4E"/>
    <w:rsid w:val="00F90AD6"/>
    <w:rsid w:val="00F915B3"/>
    <w:rsid w:val="00F94098"/>
    <w:rsid w:val="00F94282"/>
    <w:rsid w:val="00F97543"/>
    <w:rsid w:val="00FA6C5A"/>
    <w:rsid w:val="00FB0761"/>
    <w:rsid w:val="00FC5E60"/>
    <w:rsid w:val="00FD1556"/>
    <w:rsid w:val="00FE2626"/>
    <w:rsid w:val="00FE5197"/>
    <w:rsid w:val="00FE7923"/>
    <w:rsid w:val="00FF1DD0"/>
    <w:rsid w:val="00FF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02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1F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36370A"/>
    <w:rPr>
      <w:rFonts w:asciiTheme="minorHAnsi" w:eastAsiaTheme="minorHAnsi" w:hAnsiTheme="minorHAnsi" w:cstheme="majorHAnsi"/>
      <w:sz w:val="18"/>
      <w:lang w:val="en-US" w:eastAsia="en-US"/>
    </w:rPr>
  </w:style>
  <w:style w:type="character" w:customStyle="1" w:styleId="FootnoteTextChar">
    <w:name w:val="Footnote Text Char"/>
    <w:basedOn w:val="DefaultParagraphFont"/>
    <w:link w:val="FootnoteText"/>
    <w:uiPriority w:val="99"/>
    <w:rsid w:val="0036370A"/>
    <w:rPr>
      <w:rFonts w:cstheme="majorHAnsi"/>
      <w:sz w:val="18"/>
      <w:szCs w:val="24"/>
      <w:lang w:val="en-US"/>
    </w:rPr>
  </w:style>
  <w:style w:type="character" w:styleId="FootnoteReference">
    <w:name w:val="footnote reference"/>
    <w:basedOn w:val="DefaultParagraphFont"/>
    <w:uiPriority w:val="99"/>
    <w:unhideWhenUsed/>
    <w:rsid w:val="003E3E4F"/>
    <w:rPr>
      <w:rFonts w:asciiTheme="minorHAnsi" w:hAnsiTheme="minorHAnsi"/>
      <w:sz w:val="18"/>
      <w:vertAlign w:val="superscript"/>
    </w:rPr>
  </w:style>
  <w:style w:type="table" w:customStyle="1" w:styleId="TableGrid1">
    <w:name w:val="Table Grid1"/>
    <w:basedOn w:val="TableNormal"/>
    <w:next w:val="TableGrid"/>
    <w:uiPriority w:val="39"/>
    <w:rsid w:val="005410AB"/>
    <w:pPr>
      <w:spacing w:after="0" w:line="240" w:lineRule="auto"/>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4C85"/>
    <w:rPr>
      <w:i/>
      <w:iCs/>
    </w:rPr>
  </w:style>
  <w:style w:type="paragraph" w:styleId="ListParagraph">
    <w:name w:val="List Paragraph"/>
    <w:basedOn w:val="Normal"/>
    <w:uiPriority w:val="34"/>
    <w:qFormat/>
    <w:rsid w:val="005245E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934427"/>
    <w:rPr>
      <w:color w:val="0563C1" w:themeColor="hyperlink"/>
      <w:u w:val="single"/>
    </w:rPr>
  </w:style>
  <w:style w:type="character" w:customStyle="1" w:styleId="UnresolvedMention">
    <w:name w:val="Unresolved Mention"/>
    <w:basedOn w:val="DefaultParagraphFont"/>
    <w:uiPriority w:val="99"/>
    <w:semiHidden/>
    <w:unhideWhenUsed/>
    <w:rsid w:val="00934427"/>
    <w:rPr>
      <w:color w:val="605E5C"/>
      <w:shd w:val="clear" w:color="auto" w:fill="E1DFDD"/>
    </w:rPr>
  </w:style>
  <w:style w:type="character" w:styleId="FollowedHyperlink">
    <w:name w:val="FollowedHyperlink"/>
    <w:basedOn w:val="DefaultParagraphFont"/>
    <w:uiPriority w:val="99"/>
    <w:semiHidden/>
    <w:unhideWhenUsed/>
    <w:rsid w:val="0008450B"/>
    <w:rPr>
      <w:color w:val="954F72" w:themeColor="followedHyperlink"/>
      <w:u w:val="single"/>
    </w:rPr>
  </w:style>
  <w:style w:type="character" w:styleId="CommentReference">
    <w:name w:val="annotation reference"/>
    <w:basedOn w:val="DefaultParagraphFont"/>
    <w:uiPriority w:val="99"/>
    <w:semiHidden/>
    <w:unhideWhenUsed/>
    <w:rsid w:val="00203B45"/>
    <w:rPr>
      <w:sz w:val="16"/>
      <w:szCs w:val="16"/>
    </w:rPr>
  </w:style>
  <w:style w:type="paragraph" w:styleId="CommentText">
    <w:name w:val="annotation text"/>
    <w:basedOn w:val="Normal"/>
    <w:link w:val="CommentTextChar"/>
    <w:uiPriority w:val="99"/>
    <w:semiHidden/>
    <w:unhideWhenUsed/>
    <w:rsid w:val="00203B45"/>
    <w:rPr>
      <w:sz w:val="20"/>
      <w:szCs w:val="20"/>
    </w:rPr>
  </w:style>
  <w:style w:type="character" w:customStyle="1" w:styleId="CommentTextChar">
    <w:name w:val="Comment Text Char"/>
    <w:basedOn w:val="DefaultParagraphFont"/>
    <w:link w:val="CommentText"/>
    <w:uiPriority w:val="99"/>
    <w:semiHidden/>
    <w:rsid w:val="00203B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03B45"/>
    <w:rPr>
      <w:b/>
      <w:bCs/>
    </w:rPr>
  </w:style>
  <w:style w:type="character" w:customStyle="1" w:styleId="CommentSubjectChar">
    <w:name w:val="Comment Subject Char"/>
    <w:basedOn w:val="CommentTextChar"/>
    <w:link w:val="CommentSubject"/>
    <w:uiPriority w:val="99"/>
    <w:semiHidden/>
    <w:rsid w:val="00203B4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03B45"/>
    <w:rPr>
      <w:sz w:val="18"/>
      <w:szCs w:val="18"/>
    </w:rPr>
  </w:style>
  <w:style w:type="character" w:customStyle="1" w:styleId="BalloonTextChar">
    <w:name w:val="Balloon Text Char"/>
    <w:basedOn w:val="DefaultParagraphFont"/>
    <w:link w:val="BalloonText"/>
    <w:uiPriority w:val="99"/>
    <w:semiHidden/>
    <w:rsid w:val="00203B45"/>
    <w:rPr>
      <w:rFonts w:ascii="Times New Roman" w:eastAsia="Times New Roman" w:hAnsi="Times New Roman" w:cs="Times New Roman"/>
      <w:sz w:val="18"/>
      <w:szCs w:val="18"/>
      <w:lang w:eastAsia="en-GB"/>
    </w:rPr>
  </w:style>
  <w:style w:type="paragraph" w:styleId="Revision">
    <w:name w:val="Revision"/>
    <w:hidden/>
    <w:uiPriority w:val="99"/>
    <w:semiHidden/>
    <w:rsid w:val="00A857D5"/>
    <w:pPr>
      <w:spacing w:after="0"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472311"/>
    <w:rPr>
      <w:sz w:val="20"/>
      <w:szCs w:val="20"/>
    </w:rPr>
  </w:style>
  <w:style w:type="character" w:customStyle="1" w:styleId="EndnoteTextChar">
    <w:name w:val="Endnote Text Char"/>
    <w:basedOn w:val="DefaultParagraphFont"/>
    <w:link w:val="EndnoteText"/>
    <w:uiPriority w:val="99"/>
    <w:semiHidden/>
    <w:rsid w:val="00472311"/>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472311"/>
    <w:rPr>
      <w:vertAlign w:val="superscript"/>
    </w:rPr>
  </w:style>
  <w:style w:type="paragraph" w:customStyle="1" w:styleId="MDPI71References">
    <w:name w:val="MDPI_7.1_References"/>
    <w:basedOn w:val="Normal"/>
    <w:qFormat/>
    <w:rsid w:val="0036370A"/>
    <w:pPr>
      <w:numPr>
        <w:numId w:val="2"/>
      </w:numPr>
      <w:adjustRightInd w:val="0"/>
      <w:snapToGrid w:val="0"/>
      <w:spacing w:line="260" w:lineRule="atLeast"/>
      <w:ind w:left="425" w:hanging="425"/>
      <w:jc w:val="both"/>
    </w:pPr>
    <w:rPr>
      <w:rFonts w:ascii="Palatino Linotype" w:hAnsi="Palatino Linotype"/>
      <w:snapToGrid w:val="0"/>
      <w:color w:val="000000"/>
      <w:sz w:val="18"/>
      <w:szCs w:val="20"/>
      <w:lang w:val="en-US" w:eastAsia="de-DE" w:bidi="en-US"/>
    </w:rPr>
  </w:style>
  <w:style w:type="paragraph" w:styleId="Footer">
    <w:name w:val="footer"/>
    <w:basedOn w:val="Normal"/>
    <w:link w:val="FooterChar"/>
    <w:uiPriority w:val="99"/>
    <w:unhideWhenUsed/>
    <w:rsid w:val="00D17FA4"/>
    <w:pPr>
      <w:tabs>
        <w:tab w:val="center" w:pos="4680"/>
        <w:tab w:val="right" w:pos="9360"/>
      </w:tabs>
    </w:pPr>
  </w:style>
  <w:style w:type="character" w:customStyle="1" w:styleId="FooterChar">
    <w:name w:val="Footer Char"/>
    <w:basedOn w:val="DefaultParagraphFont"/>
    <w:link w:val="Footer"/>
    <w:uiPriority w:val="99"/>
    <w:rsid w:val="00D17FA4"/>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D17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0521">
      <w:bodyDiv w:val="1"/>
      <w:marLeft w:val="0"/>
      <w:marRight w:val="0"/>
      <w:marTop w:val="0"/>
      <w:marBottom w:val="0"/>
      <w:divBdr>
        <w:top w:val="none" w:sz="0" w:space="0" w:color="auto"/>
        <w:left w:val="none" w:sz="0" w:space="0" w:color="auto"/>
        <w:bottom w:val="none" w:sz="0" w:space="0" w:color="auto"/>
        <w:right w:val="none" w:sz="0" w:space="0" w:color="auto"/>
      </w:divBdr>
    </w:div>
    <w:div w:id="389234420">
      <w:bodyDiv w:val="1"/>
      <w:marLeft w:val="0"/>
      <w:marRight w:val="0"/>
      <w:marTop w:val="0"/>
      <w:marBottom w:val="0"/>
      <w:divBdr>
        <w:top w:val="none" w:sz="0" w:space="0" w:color="auto"/>
        <w:left w:val="none" w:sz="0" w:space="0" w:color="auto"/>
        <w:bottom w:val="none" w:sz="0" w:space="0" w:color="auto"/>
        <w:right w:val="none" w:sz="0" w:space="0" w:color="auto"/>
      </w:divBdr>
    </w:div>
    <w:div w:id="538738193">
      <w:bodyDiv w:val="1"/>
      <w:marLeft w:val="0"/>
      <w:marRight w:val="0"/>
      <w:marTop w:val="0"/>
      <w:marBottom w:val="0"/>
      <w:divBdr>
        <w:top w:val="none" w:sz="0" w:space="0" w:color="auto"/>
        <w:left w:val="none" w:sz="0" w:space="0" w:color="auto"/>
        <w:bottom w:val="none" w:sz="0" w:space="0" w:color="auto"/>
        <w:right w:val="none" w:sz="0" w:space="0" w:color="auto"/>
      </w:divBdr>
    </w:div>
    <w:div w:id="781612933">
      <w:bodyDiv w:val="1"/>
      <w:marLeft w:val="0"/>
      <w:marRight w:val="0"/>
      <w:marTop w:val="0"/>
      <w:marBottom w:val="0"/>
      <w:divBdr>
        <w:top w:val="none" w:sz="0" w:space="0" w:color="auto"/>
        <w:left w:val="none" w:sz="0" w:space="0" w:color="auto"/>
        <w:bottom w:val="none" w:sz="0" w:space="0" w:color="auto"/>
        <w:right w:val="none" w:sz="0" w:space="0" w:color="auto"/>
      </w:divBdr>
    </w:div>
    <w:div w:id="799882632">
      <w:bodyDiv w:val="1"/>
      <w:marLeft w:val="0"/>
      <w:marRight w:val="0"/>
      <w:marTop w:val="0"/>
      <w:marBottom w:val="0"/>
      <w:divBdr>
        <w:top w:val="none" w:sz="0" w:space="0" w:color="auto"/>
        <w:left w:val="none" w:sz="0" w:space="0" w:color="auto"/>
        <w:bottom w:val="none" w:sz="0" w:space="0" w:color="auto"/>
        <w:right w:val="none" w:sz="0" w:space="0" w:color="auto"/>
      </w:divBdr>
    </w:div>
    <w:div w:id="890850124">
      <w:bodyDiv w:val="1"/>
      <w:marLeft w:val="0"/>
      <w:marRight w:val="0"/>
      <w:marTop w:val="0"/>
      <w:marBottom w:val="0"/>
      <w:divBdr>
        <w:top w:val="none" w:sz="0" w:space="0" w:color="auto"/>
        <w:left w:val="none" w:sz="0" w:space="0" w:color="auto"/>
        <w:bottom w:val="none" w:sz="0" w:space="0" w:color="auto"/>
        <w:right w:val="none" w:sz="0" w:space="0" w:color="auto"/>
      </w:divBdr>
    </w:div>
    <w:div w:id="987440953">
      <w:bodyDiv w:val="1"/>
      <w:marLeft w:val="0"/>
      <w:marRight w:val="0"/>
      <w:marTop w:val="0"/>
      <w:marBottom w:val="0"/>
      <w:divBdr>
        <w:top w:val="none" w:sz="0" w:space="0" w:color="auto"/>
        <w:left w:val="none" w:sz="0" w:space="0" w:color="auto"/>
        <w:bottom w:val="none" w:sz="0" w:space="0" w:color="auto"/>
        <w:right w:val="none" w:sz="0" w:space="0" w:color="auto"/>
      </w:divBdr>
    </w:div>
    <w:div w:id="1001393052">
      <w:bodyDiv w:val="1"/>
      <w:marLeft w:val="0"/>
      <w:marRight w:val="0"/>
      <w:marTop w:val="0"/>
      <w:marBottom w:val="0"/>
      <w:divBdr>
        <w:top w:val="none" w:sz="0" w:space="0" w:color="auto"/>
        <w:left w:val="none" w:sz="0" w:space="0" w:color="auto"/>
        <w:bottom w:val="none" w:sz="0" w:space="0" w:color="auto"/>
        <w:right w:val="none" w:sz="0" w:space="0" w:color="auto"/>
      </w:divBdr>
    </w:div>
    <w:div w:id="1566604124">
      <w:bodyDiv w:val="1"/>
      <w:marLeft w:val="0"/>
      <w:marRight w:val="0"/>
      <w:marTop w:val="0"/>
      <w:marBottom w:val="0"/>
      <w:divBdr>
        <w:top w:val="none" w:sz="0" w:space="0" w:color="auto"/>
        <w:left w:val="none" w:sz="0" w:space="0" w:color="auto"/>
        <w:bottom w:val="none" w:sz="0" w:space="0" w:color="auto"/>
        <w:right w:val="none" w:sz="0" w:space="0" w:color="auto"/>
      </w:divBdr>
    </w:div>
    <w:div w:id="1577668837">
      <w:bodyDiv w:val="1"/>
      <w:marLeft w:val="0"/>
      <w:marRight w:val="0"/>
      <w:marTop w:val="0"/>
      <w:marBottom w:val="0"/>
      <w:divBdr>
        <w:top w:val="none" w:sz="0" w:space="0" w:color="auto"/>
        <w:left w:val="none" w:sz="0" w:space="0" w:color="auto"/>
        <w:bottom w:val="none" w:sz="0" w:space="0" w:color="auto"/>
        <w:right w:val="none" w:sz="0" w:space="0" w:color="auto"/>
      </w:divBdr>
    </w:div>
    <w:div w:id="1596204693">
      <w:bodyDiv w:val="1"/>
      <w:marLeft w:val="0"/>
      <w:marRight w:val="0"/>
      <w:marTop w:val="0"/>
      <w:marBottom w:val="0"/>
      <w:divBdr>
        <w:top w:val="none" w:sz="0" w:space="0" w:color="auto"/>
        <w:left w:val="none" w:sz="0" w:space="0" w:color="auto"/>
        <w:bottom w:val="none" w:sz="0" w:space="0" w:color="auto"/>
        <w:right w:val="none" w:sz="0" w:space="0" w:color="auto"/>
      </w:divBdr>
    </w:div>
    <w:div w:id="1666395032">
      <w:bodyDiv w:val="1"/>
      <w:marLeft w:val="0"/>
      <w:marRight w:val="0"/>
      <w:marTop w:val="0"/>
      <w:marBottom w:val="0"/>
      <w:divBdr>
        <w:top w:val="none" w:sz="0" w:space="0" w:color="auto"/>
        <w:left w:val="none" w:sz="0" w:space="0" w:color="auto"/>
        <w:bottom w:val="none" w:sz="0" w:space="0" w:color="auto"/>
        <w:right w:val="none" w:sz="0" w:space="0" w:color="auto"/>
      </w:divBdr>
    </w:div>
    <w:div w:id="1762606438">
      <w:bodyDiv w:val="1"/>
      <w:marLeft w:val="0"/>
      <w:marRight w:val="0"/>
      <w:marTop w:val="0"/>
      <w:marBottom w:val="0"/>
      <w:divBdr>
        <w:top w:val="none" w:sz="0" w:space="0" w:color="auto"/>
        <w:left w:val="none" w:sz="0" w:space="0" w:color="auto"/>
        <w:bottom w:val="none" w:sz="0" w:space="0" w:color="auto"/>
        <w:right w:val="none" w:sz="0" w:space="0" w:color="auto"/>
      </w:divBdr>
    </w:div>
    <w:div w:id="2014990682">
      <w:bodyDiv w:val="1"/>
      <w:marLeft w:val="0"/>
      <w:marRight w:val="0"/>
      <w:marTop w:val="0"/>
      <w:marBottom w:val="0"/>
      <w:divBdr>
        <w:top w:val="none" w:sz="0" w:space="0" w:color="auto"/>
        <w:left w:val="none" w:sz="0" w:space="0" w:color="auto"/>
        <w:bottom w:val="none" w:sz="0" w:space="0" w:color="auto"/>
        <w:right w:val="none" w:sz="0" w:space="0" w:color="auto"/>
      </w:divBdr>
    </w:div>
    <w:div w:id="20856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cvs.org.uk/setting-standards/advice-and-guidance/code-of-professional-conduct-for-veterinary-surgeons/supporting-guidance/communication-and-consent/" TargetMode="External"/><Relationship Id="rId13" Type="http://schemas.openxmlformats.org/officeDocument/2006/relationships/hyperlink" Target="https://www.rcvs.org.uk/document-library/gunn-john-january-2020-disgraceful-conduct-in-a-professional/" TargetMode="External"/><Relationship Id="rId18" Type="http://schemas.openxmlformats.org/officeDocument/2006/relationships/hyperlink" Target="https://www.rcvs.org.uk/document-library/kristin-roman-and-salas-navarro-javier-december-2019-facts/" TargetMode="External"/><Relationship Id="rId3" Type="http://schemas.openxmlformats.org/officeDocument/2006/relationships/hyperlink" Target="https://thevds.co.uk/reports" TargetMode="External"/><Relationship Id="rId7" Type="http://schemas.openxmlformats.org/officeDocument/2006/relationships/hyperlink" Target="https://www.rcvs.org.uk/news-and-views/publications/rcvs-facts-2018/?destination=%2Fnews-and-views%2Fpublications%2F" TargetMode="External"/><Relationship Id="rId12" Type="http://schemas.openxmlformats.org/officeDocument/2006/relationships/hyperlink" Target="https://www.rcvs.org.uk/concerns/disciplinary-hearings/" TargetMode="External"/><Relationship Id="rId17" Type="http://schemas.openxmlformats.org/officeDocument/2006/relationships/hyperlink" Target="https://www.rcvs.org.uk/setting-standards/advice-and-guidance/code-of-professional-conduct-for-veterinary-surgeons/" TargetMode="External"/><Relationship Id="rId2" Type="http://schemas.openxmlformats.org/officeDocument/2006/relationships/hyperlink" Target="https://www.vetmediation.co.uk/complaints" TargetMode="External"/><Relationship Id="rId16" Type="http://schemas.openxmlformats.org/officeDocument/2006/relationships/hyperlink" Target="https://www.rcvs.org.uk/setting-standards/advice-and-guidance/code-of-professional-conduct-for-veterinary-surgeons/supporting-guidance/veterinary-care/" TargetMode="External"/><Relationship Id="rId1" Type="http://schemas.openxmlformats.org/officeDocument/2006/relationships/hyperlink" Target="https://www.rcvs.org.uk/how-we-work/the-role-of-the-rcvs/" TargetMode="External"/><Relationship Id="rId6" Type="http://schemas.openxmlformats.org/officeDocument/2006/relationships/hyperlink" Target="https://www.rcvs.org.uk/document-library/vet-case-examiner-group-decision-making-guidance-stage-1/" TargetMode="External"/><Relationship Id="rId11" Type="http://schemas.openxmlformats.org/officeDocument/2006/relationships/hyperlink" Target="https://www.gmc-uk.org/ethical-guidance/ethical-guidance-for-doctors/decision-making-and-consent" TargetMode="External"/><Relationship Id="rId5" Type="http://schemas.openxmlformats.org/officeDocument/2006/relationships/hyperlink" Target="https://www.rcvs.org.uk/concerns/a-concern-has-been-raised-about-me/information-for-veterinary-surgeons/" TargetMode="External"/><Relationship Id="rId15" Type="http://schemas.openxmlformats.org/officeDocument/2006/relationships/hyperlink" Target="https://www.rcvs.org.uk/document-library/kristin-roman-and-salas-navarro-javier-december-2019-decision/" TargetMode="External"/><Relationship Id="rId10" Type="http://schemas.openxmlformats.org/officeDocument/2006/relationships/hyperlink" Target="https://www.rcvs.org.uk/setting-standards/advice-and-guidance/code-of-professional-conduct-for-veterinary-surgeons/supporting-guidance/veterinary-care/" TargetMode="External"/><Relationship Id="rId4" Type="http://schemas.openxmlformats.org/officeDocument/2006/relationships/hyperlink" Target="https://animalowners.rcvs.org.uk/concerns/i-want-to-raise-a-concern-about-a-veterinary-surgeon/" TargetMode="External"/><Relationship Id="rId9" Type="http://schemas.openxmlformats.org/officeDocument/2006/relationships/hyperlink" Target="https://www.rcvs.org.uk/who-we-are/committees/preliminary-investigation-committee-and-disciplinary-committee/" TargetMode="External"/><Relationship Id="rId14" Type="http://schemas.openxmlformats.org/officeDocument/2006/relationships/hyperlink" Target="https://www.rcvs.org.uk/document-library/gunn-john-january-2020-decision-on-sa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FF2C1-4CC6-4188-A75D-9F17AAB2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2021-02-19T13:26:00Z</dcterms:created>
  <dcterms:modified xsi:type="dcterms:W3CDTF">2021-02-19T13:26:00Z</dcterms:modified>
</cp:coreProperties>
</file>