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17E5" w14:textId="10075C73" w:rsidR="00447B1C" w:rsidRDefault="00447B1C" w:rsidP="00447B1C">
      <w:pPr>
        <w:pStyle w:val="ChapNumber"/>
      </w:pPr>
      <w:r>
        <w:t>2</w:t>
      </w:r>
    </w:p>
    <w:p w14:paraId="5C92D57F" w14:textId="6229A885" w:rsidR="00447B1C" w:rsidRDefault="00447B1C" w:rsidP="00447B1C">
      <w:pPr>
        <w:pStyle w:val="ChapTitle"/>
      </w:pPr>
      <w:r>
        <w:t xml:space="preserve">The </w:t>
      </w:r>
      <w:r w:rsidRPr="006C3777">
        <w:t xml:space="preserve">Foreign </w:t>
      </w:r>
      <w:r>
        <w:t>I</w:t>
      </w:r>
      <w:r w:rsidRPr="006C3777">
        <w:t xml:space="preserve">nvestor </w:t>
      </w:r>
      <w:r>
        <w:t>a</w:t>
      </w:r>
      <w:r w:rsidRPr="006C3777">
        <w:t xml:space="preserve">s </w:t>
      </w:r>
      <w:r>
        <w:t>a</w:t>
      </w:r>
      <w:r w:rsidRPr="006C3777">
        <w:t xml:space="preserve"> </w:t>
      </w:r>
      <w:r>
        <w:t>G</w:t>
      </w:r>
      <w:r w:rsidRPr="006C3777">
        <w:t xml:space="preserve">ood Citizen: </w:t>
      </w:r>
      <w:r w:rsidRPr="008A16E7">
        <w:t xml:space="preserve">Investor Obligations </w:t>
      </w:r>
      <w:r>
        <w:t>t</w:t>
      </w:r>
      <w:r w:rsidRPr="008A16E7">
        <w:t xml:space="preserve">o </w:t>
      </w:r>
      <w:r>
        <w:t>d</w:t>
      </w:r>
      <w:r w:rsidRPr="008A16E7">
        <w:t xml:space="preserve">o Good </w:t>
      </w:r>
    </w:p>
    <w:p w14:paraId="2E572BAD" w14:textId="77777777" w:rsidR="005A6DA1" w:rsidRDefault="005A6DA1" w:rsidP="00447B1C">
      <w:pPr>
        <w:pStyle w:val="Author"/>
      </w:pPr>
    </w:p>
    <w:p w14:paraId="08C1FEA0" w14:textId="62A6A6BA" w:rsidR="00447B1C" w:rsidRDefault="00305635" w:rsidP="00447B1C">
      <w:pPr>
        <w:pStyle w:val="Author"/>
        <w:rPr>
          <w:i/>
          <w:iCs/>
        </w:rPr>
      </w:pPr>
      <w:r w:rsidRPr="008A16E7">
        <w:t>Mavluda</w:t>
      </w:r>
      <w:r w:rsidRPr="008A16E7">
        <w:rPr>
          <w:i/>
          <w:iCs/>
        </w:rPr>
        <w:t xml:space="preserve"> </w:t>
      </w:r>
      <w:r w:rsidR="007F33D5" w:rsidRPr="008A16E7">
        <w:t>Sattorova</w:t>
      </w:r>
    </w:p>
    <w:p w14:paraId="47C033B8" w14:textId="6CA23AC4" w:rsidR="00447B1C" w:rsidRDefault="00190833" w:rsidP="00447B1C">
      <w:pPr>
        <w:pStyle w:val="Heading1"/>
      </w:pPr>
      <w:r>
        <w:t>I</w:t>
      </w:r>
      <w:r w:rsidR="00F52E91" w:rsidRPr="008A16E7">
        <w:t>.</w:t>
      </w:r>
      <w:r w:rsidR="007139C5">
        <w:t xml:space="preserve"> </w:t>
      </w:r>
      <w:r w:rsidR="00032BA1" w:rsidRPr="008A16E7">
        <w:t>Background</w:t>
      </w:r>
    </w:p>
    <w:p w14:paraId="3A187791" w14:textId="77777777" w:rsidR="00447B1C" w:rsidRDefault="00E2015C" w:rsidP="00447B1C">
      <w:r w:rsidRPr="008A16E7">
        <w:t>In 2011</w:t>
      </w:r>
      <w:r w:rsidR="00500846" w:rsidRPr="008A16E7">
        <w:t>,</w:t>
      </w:r>
      <w:r w:rsidRPr="008A16E7">
        <w:t xml:space="preserve"> </w:t>
      </w:r>
      <w:r w:rsidR="006D2A6A" w:rsidRPr="008A16E7">
        <w:t>workers</w:t>
      </w:r>
      <w:r w:rsidRPr="008A16E7">
        <w:t xml:space="preserve"> and local </w:t>
      </w:r>
      <w:r w:rsidR="007D5B8D" w:rsidRPr="008A16E7">
        <w:t>communities</w:t>
      </w:r>
      <w:r w:rsidRPr="008A16E7">
        <w:t xml:space="preserve"> in</w:t>
      </w:r>
      <w:r w:rsidR="004C4A2B" w:rsidRPr="008A16E7">
        <w:t xml:space="preserve"> the</w:t>
      </w:r>
      <w:r w:rsidRPr="008A16E7">
        <w:t xml:space="preserve"> Zhanaozen district of the Mangistau Region in Kazakhstan expressed </w:t>
      </w:r>
      <w:r w:rsidR="006C7DCF" w:rsidRPr="008A16E7">
        <w:t xml:space="preserve">their </w:t>
      </w:r>
      <w:r w:rsidR="00531DE2" w:rsidRPr="008A16E7">
        <w:t>dissatisfaction over being excluded</w:t>
      </w:r>
      <w:r w:rsidR="006D2A6A" w:rsidRPr="008A16E7">
        <w:t xml:space="preserve"> from the economic benefits generated by oil revenues from foreign</w:t>
      </w:r>
      <w:r w:rsidR="008A16E7" w:rsidRPr="008A16E7">
        <w:t xml:space="preserve"> </w:t>
      </w:r>
      <w:r w:rsidR="006D2A6A" w:rsidRPr="008A16E7">
        <w:t>investor</w:t>
      </w:r>
      <w:r w:rsidR="008A16E7" w:rsidRPr="008A16E7">
        <w:t>-</w:t>
      </w:r>
      <w:r w:rsidR="006D2A6A" w:rsidRPr="008A16E7">
        <w:t xml:space="preserve">led </w:t>
      </w:r>
      <w:r w:rsidR="003C62DC" w:rsidRPr="008A16E7">
        <w:t>project</w:t>
      </w:r>
      <w:r w:rsidR="004C4A2B" w:rsidRPr="008A16E7">
        <w:t>s</w:t>
      </w:r>
      <w:r w:rsidR="003C62DC" w:rsidRPr="008A16E7">
        <w:t xml:space="preserve"> </w:t>
      </w:r>
      <w:r w:rsidR="00531DE2" w:rsidRPr="008A16E7">
        <w:t xml:space="preserve">operating in the </w:t>
      </w:r>
      <w:r w:rsidR="006C7DCF" w:rsidRPr="008A16E7">
        <w:t>region</w:t>
      </w:r>
      <w:r w:rsidR="006D2A6A" w:rsidRPr="008A16E7">
        <w:t>.</w:t>
      </w:r>
      <w:r w:rsidRPr="008A16E7">
        <w:t xml:space="preserve"> The </w:t>
      </w:r>
      <w:r w:rsidR="00BC15A8" w:rsidRPr="008A16E7">
        <w:t xml:space="preserve">local </w:t>
      </w:r>
      <w:r w:rsidRPr="008A16E7">
        <w:t xml:space="preserve">workers demanded amendments to the collective bargaining agreement, </w:t>
      </w:r>
      <w:r w:rsidR="00A305DA" w:rsidRPr="008A16E7">
        <w:t>calling for</w:t>
      </w:r>
      <w:r w:rsidRPr="008A16E7">
        <w:t xml:space="preserve"> a pay increase </w:t>
      </w:r>
      <w:r w:rsidR="000E7F9A" w:rsidRPr="008A16E7">
        <w:t xml:space="preserve">and </w:t>
      </w:r>
      <w:r w:rsidRPr="008A16E7">
        <w:t>equal rights with foreign workers</w:t>
      </w:r>
      <w:r w:rsidR="00A305DA" w:rsidRPr="008A16E7">
        <w:t>.</w:t>
      </w:r>
      <w:r w:rsidR="009A0520" w:rsidRPr="008A16E7">
        <w:rPr>
          <w:rStyle w:val="FootnoteReference"/>
          <w:rFonts w:ascii="Garamond" w:hAnsi="Garamond" w:cstheme="minorHAnsi"/>
          <w:color w:val="000000" w:themeColor="text1"/>
        </w:rPr>
        <w:footnoteReference w:id="1"/>
      </w:r>
      <w:r w:rsidR="009A0520" w:rsidRPr="008A16E7">
        <w:t xml:space="preserve"> Buoyed by the tacit support of the host government, the oil companies were uncompromising and claimed that the disputed take-home pay was already above average.</w:t>
      </w:r>
      <w:r w:rsidR="009A0520" w:rsidRPr="008A16E7">
        <w:rPr>
          <w:rStyle w:val="FootnoteReference"/>
          <w:rFonts w:ascii="Garamond" w:hAnsi="Garamond" w:cstheme="minorHAnsi"/>
          <w:color w:val="000000" w:themeColor="text1"/>
        </w:rPr>
        <w:footnoteReference w:id="2"/>
      </w:r>
      <w:r w:rsidR="009A0520" w:rsidRPr="008A16E7">
        <w:t xml:space="preserve"> </w:t>
      </w:r>
      <w:r w:rsidR="006C7DCF" w:rsidRPr="008A16E7">
        <w:t>T</w:t>
      </w:r>
      <w:r w:rsidRPr="008A16E7">
        <w:t xml:space="preserve">he protests </w:t>
      </w:r>
      <w:r w:rsidR="006D2A6A" w:rsidRPr="008A16E7">
        <w:t xml:space="preserve">subsequently </w:t>
      </w:r>
      <w:r w:rsidR="00A305DA" w:rsidRPr="008A16E7">
        <w:t xml:space="preserve">escalated into violent clashes and </w:t>
      </w:r>
      <w:r w:rsidRPr="008A16E7">
        <w:t>led</w:t>
      </w:r>
      <w:r w:rsidR="00004375" w:rsidRPr="008A16E7">
        <w:t xml:space="preserve"> to</w:t>
      </w:r>
      <w:r w:rsidRPr="008A16E7">
        <w:t xml:space="preserve"> the declaration of a state of emergency.</w:t>
      </w:r>
      <w:r w:rsidR="009A0520" w:rsidRPr="008A16E7">
        <w:rPr>
          <w:rStyle w:val="FootnoteReference"/>
          <w:rFonts w:ascii="Garamond" w:hAnsi="Garamond" w:cstheme="minorHAnsi"/>
          <w:color w:val="000000" w:themeColor="text1"/>
        </w:rPr>
        <w:footnoteReference w:id="3"/>
      </w:r>
      <w:r w:rsidR="009A0520" w:rsidRPr="008A16E7">
        <w:t xml:space="preserve"> </w:t>
      </w:r>
      <w:r w:rsidR="003C62DC" w:rsidRPr="008A16E7">
        <w:t xml:space="preserve">This had a disruptive effect not only on </w:t>
      </w:r>
      <w:r w:rsidRPr="008A16E7">
        <w:t xml:space="preserve">the foreign investment projects in the region but also </w:t>
      </w:r>
      <w:r w:rsidR="003C62DC" w:rsidRPr="008A16E7">
        <w:t xml:space="preserve">on </w:t>
      </w:r>
      <w:r w:rsidR="00004375" w:rsidRPr="008A16E7">
        <w:t xml:space="preserve">the </w:t>
      </w:r>
      <w:r w:rsidRPr="008A16E7">
        <w:t>political stability in Kazakhstan as a whole.</w:t>
      </w:r>
      <w:r w:rsidR="00A23F70" w:rsidRPr="008A16E7">
        <w:t xml:space="preserve"> From Zhanaozen in Kazakhstan, to Las </w:t>
      </w:r>
      <w:proofErr w:type="spellStart"/>
      <w:r w:rsidR="00A23F70" w:rsidRPr="008A16E7">
        <w:t>Bambas</w:t>
      </w:r>
      <w:proofErr w:type="spellEnd"/>
      <w:r w:rsidR="00A23F70" w:rsidRPr="008A16E7">
        <w:t xml:space="preserve"> in Peru</w:t>
      </w:r>
      <w:r w:rsidR="00531DE2" w:rsidRPr="008A16E7">
        <w:rPr>
          <w:rStyle w:val="FootnoteReference"/>
          <w:rFonts w:ascii="Garamond" w:hAnsi="Garamond" w:cstheme="minorHAnsi"/>
          <w:color w:val="000000" w:themeColor="text1"/>
        </w:rPr>
        <w:footnoteReference w:id="4"/>
      </w:r>
      <w:r w:rsidR="00A23F70" w:rsidRPr="008A16E7">
        <w:t xml:space="preserve"> and </w:t>
      </w:r>
      <w:proofErr w:type="spellStart"/>
      <w:r w:rsidR="00AD59E3" w:rsidRPr="008A16E7">
        <w:t>Oromiya</w:t>
      </w:r>
      <w:proofErr w:type="spellEnd"/>
      <w:r w:rsidR="00AD59E3" w:rsidRPr="008A16E7">
        <w:t xml:space="preserve"> in Ethiopia,</w:t>
      </w:r>
      <w:r w:rsidR="00531DE2" w:rsidRPr="008A16E7">
        <w:rPr>
          <w:rStyle w:val="FootnoteReference"/>
          <w:rFonts w:ascii="Garamond" w:hAnsi="Garamond" w:cstheme="minorHAnsi"/>
          <w:color w:val="000000" w:themeColor="text1"/>
        </w:rPr>
        <w:footnoteReference w:id="5"/>
      </w:r>
      <w:r w:rsidR="00A23F70" w:rsidRPr="008A16E7">
        <w:t xml:space="preserve"> growing instances of bottom-up resistance to investment projects </w:t>
      </w:r>
      <w:r w:rsidR="00531DE2" w:rsidRPr="008A16E7">
        <w:t>are</w:t>
      </w:r>
      <w:r w:rsidR="00A23F70" w:rsidRPr="008A16E7">
        <w:t xml:space="preserve"> increasingly calling into question the adequacy of the international legal framework governing foreign investment, and </w:t>
      </w:r>
      <w:r w:rsidR="00A23F70" w:rsidRPr="008A16E7">
        <w:lastRenderedPageBreak/>
        <w:t xml:space="preserve">in particular, the role of international investment agreements </w:t>
      </w:r>
      <w:r w:rsidR="006C7DCF" w:rsidRPr="008A16E7">
        <w:t>in</w:t>
      </w:r>
      <w:r w:rsidR="00A23F70" w:rsidRPr="008A16E7">
        <w:t xml:space="preserve"> foster</w:t>
      </w:r>
      <w:r w:rsidR="006C7DCF" w:rsidRPr="008A16E7">
        <w:t xml:space="preserve">ing </w:t>
      </w:r>
      <w:r w:rsidR="00A23F70" w:rsidRPr="008A16E7">
        <w:t xml:space="preserve">more inclusive and sustainable relationships between investors and host communities. </w:t>
      </w:r>
    </w:p>
    <w:p w14:paraId="66CD6DB0" w14:textId="48FA6CBD" w:rsidR="00447B1C" w:rsidRDefault="00BD246E" w:rsidP="00447B1C">
      <w:r>
        <w:rPr>
          <w:rFonts w:cstheme="minorHAnsi"/>
        </w:rPr>
        <w:tab/>
      </w:r>
      <w:r w:rsidR="00212F7D" w:rsidRPr="008A16E7">
        <w:rPr>
          <w:rFonts w:cstheme="minorHAnsi"/>
        </w:rPr>
        <w:t>Elsewhere, a growing discontent over the soci</w:t>
      </w:r>
      <w:r w:rsidR="00BC15A8" w:rsidRPr="008A16E7">
        <w:rPr>
          <w:rFonts w:cstheme="minorHAnsi"/>
        </w:rPr>
        <w:t>o-economic</w:t>
      </w:r>
      <w:r w:rsidR="00212F7D" w:rsidRPr="008A16E7">
        <w:rPr>
          <w:rFonts w:cstheme="minorHAnsi"/>
        </w:rPr>
        <w:t xml:space="preserve"> effects of increasingly </w:t>
      </w:r>
      <w:proofErr w:type="spellStart"/>
      <w:r w:rsidRPr="008A16E7">
        <w:rPr>
          <w:rFonts w:cstheme="minorHAnsi"/>
        </w:rPr>
        <w:t>globali</w:t>
      </w:r>
      <w:r>
        <w:rPr>
          <w:rFonts w:cstheme="minorHAnsi"/>
        </w:rPr>
        <w:t>s</w:t>
      </w:r>
      <w:r w:rsidRPr="008A16E7">
        <w:rPr>
          <w:rFonts w:cstheme="minorHAnsi"/>
        </w:rPr>
        <w:t>ed</w:t>
      </w:r>
      <w:proofErr w:type="spellEnd"/>
      <w:r w:rsidRPr="008A16E7">
        <w:rPr>
          <w:rFonts w:cstheme="minorHAnsi"/>
        </w:rPr>
        <w:t xml:space="preserve"> </w:t>
      </w:r>
      <w:r w:rsidR="00212F7D" w:rsidRPr="008A16E7">
        <w:rPr>
          <w:rFonts w:cstheme="minorHAnsi"/>
        </w:rPr>
        <w:t xml:space="preserve">trade and investment have been linked to </w:t>
      </w:r>
      <w:r w:rsidR="00744E90" w:rsidRPr="008A16E7">
        <w:rPr>
          <w:rFonts w:cstheme="minorHAnsi"/>
        </w:rPr>
        <w:t xml:space="preserve">major </w:t>
      </w:r>
      <w:r w:rsidR="00212F7D" w:rsidRPr="008A16E7">
        <w:rPr>
          <w:rFonts w:cstheme="minorHAnsi"/>
        </w:rPr>
        <w:t>political upheavals, such as the</w:t>
      </w:r>
      <w:r w:rsidR="00744E90" w:rsidRPr="008A16E7">
        <w:rPr>
          <w:rFonts w:cstheme="minorHAnsi"/>
        </w:rPr>
        <w:t xml:space="preserve"> 2016</w:t>
      </w:r>
      <w:r w:rsidR="00212F7D" w:rsidRPr="008A16E7">
        <w:rPr>
          <w:rFonts w:cstheme="minorHAnsi"/>
        </w:rPr>
        <w:t xml:space="preserve"> </w:t>
      </w:r>
      <w:r w:rsidR="00744E90" w:rsidRPr="008A16E7">
        <w:rPr>
          <w:rFonts w:cstheme="minorHAnsi"/>
        </w:rPr>
        <w:t xml:space="preserve">UK referendum to leave the </w:t>
      </w:r>
      <w:r>
        <w:rPr>
          <w:rFonts w:cstheme="minorHAnsi"/>
        </w:rPr>
        <w:t>EU</w:t>
      </w:r>
      <w:r w:rsidR="00DF37FB" w:rsidRPr="008A16E7">
        <w:rPr>
          <w:rFonts w:cstheme="minorHAnsi"/>
        </w:rPr>
        <w:t xml:space="preserve"> and </w:t>
      </w:r>
      <w:r w:rsidR="004C4A2B" w:rsidRPr="008A16E7">
        <w:rPr>
          <w:rFonts w:cstheme="minorHAnsi"/>
        </w:rPr>
        <w:t xml:space="preserve">the </w:t>
      </w:r>
      <w:r w:rsidR="00DF37FB" w:rsidRPr="008A16E7">
        <w:rPr>
          <w:rFonts w:cstheme="minorHAnsi"/>
        </w:rPr>
        <w:t xml:space="preserve">Trump presidency in the </w:t>
      </w:r>
      <w:r>
        <w:rPr>
          <w:rFonts w:cstheme="minorHAnsi"/>
        </w:rPr>
        <w:t>US</w:t>
      </w:r>
      <w:r w:rsidR="00744E90" w:rsidRPr="008A16E7">
        <w:rPr>
          <w:rFonts w:cstheme="minorHAnsi"/>
        </w:rPr>
        <w:t xml:space="preserve">. </w:t>
      </w:r>
      <w:r w:rsidR="0098147B" w:rsidRPr="008A16E7">
        <w:t xml:space="preserve">While </w:t>
      </w:r>
      <w:r w:rsidR="00D77A4A" w:rsidRPr="008A16E7">
        <w:t>defending</w:t>
      </w:r>
      <w:r w:rsidR="0098147B" w:rsidRPr="008A16E7">
        <w:t xml:space="preserve"> the case for</w:t>
      </w:r>
      <w:r w:rsidR="004C4A2B" w:rsidRPr="008A16E7">
        <w:t xml:space="preserve"> </w:t>
      </w:r>
      <w:proofErr w:type="spellStart"/>
      <w:r w:rsidR="0098147B" w:rsidRPr="008A16E7">
        <w:t>liberalised</w:t>
      </w:r>
      <w:proofErr w:type="spellEnd"/>
      <w:r w:rsidR="0098147B" w:rsidRPr="008A16E7">
        <w:t xml:space="preserve"> trade and free enterprise as a vehicle for </w:t>
      </w:r>
      <w:r w:rsidR="0098147B" w:rsidRPr="008A16E7">
        <w:rPr>
          <w:rFonts w:cs="Arial"/>
          <w:lang w:eastAsia="en-GB"/>
        </w:rPr>
        <w:t xml:space="preserve">generating new growth and opportunities, political leaders are increasingly </w:t>
      </w:r>
      <w:proofErr w:type="spellStart"/>
      <w:r w:rsidRPr="008A16E7">
        <w:rPr>
          <w:rFonts w:cs="Arial"/>
          <w:lang w:eastAsia="en-GB"/>
        </w:rPr>
        <w:t>cogni</w:t>
      </w:r>
      <w:r>
        <w:rPr>
          <w:rFonts w:cs="Arial"/>
          <w:lang w:eastAsia="en-GB"/>
        </w:rPr>
        <w:t>s</w:t>
      </w:r>
      <w:r w:rsidRPr="008A16E7">
        <w:rPr>
          <w:rFonts w:cs="Arial"/>
          <w:lang w:eastAsia="en-GB"/>
        </w:rPr>
        <w:t>ant</w:t>
      </w:r>
      <w:proofErr w:type="spellEnd"/>
      <w:r w:rsidRPr="008A16E7">
        <w:rPr>
          <w:rFonts w:cs="Arial"/>
          <w:lang w:eastAsia="en-GB"/>
        </w:rPr>
        <w:t xml:space="preserve"> </w:t>
      </w:r>
      <w:r w:rsidR="0098147B" w:rsidRPr="008A16E7">
        <w:rPr>
          <w:rFonts w:cs="Arial"/>
          <w:lang w:eastAsia="en-GB"/>
        </w:rPr>
        <w:t xml:space="preserve">of </w:t>
      </w:r>
      <w:r w:rsidR="004C4A2B" w:rsidRPr="008A16E7">
        <w:rPr>
          <w:rFonts w:cs="Arial"/>
          <w:lang w:eastAsia="en-GB"/>
        </w:rPr>
        <w:t>the need to address</w:t>
      </w:r>
      <w:r w:rsidR="0098147B" w:rsidRPr="008A16E7">
        <w:rPr>
          <w:rFonts w:cs="Arial"/>
          <w:lang w:eastAsia="en-GB"/>
        </w:rPr>
        <w:t xml:space="preserve"> the concerns of those who feel</w:t>
      </w:r>
      <w:r w:rsidR="00A23F70" w:rsidRPr="008A16E7">
        <w:rPr>
          <w:rFonts w:cs="Arial"/>
          <w:lang w:eastAsia="en-GB"/>
        </w:rPr>
        <w:t xml:space="preserve"> excluded</w:t>
      </w:r>
      <w:r w:rsidR="0098147B" w:rsidRPr="008A16E7">
        <w:rPr>
          <w:rFonts w:cs="Arial"/>
          <w:lang w:eastAsia="en-GB"/>
        </w:rPr>
        <w:t xml:space="preserve"> </w:t>
      </w:r>
      <w:r w:rsidR="00A23F70" w:rsidRPr="008A16E7">
        <w:rPr>
          <w:rFonts w:cs="Arial"/>
          <w:lang w:eastAsia="en-GB"/>
        </w:rPr>
        <w:t>from the</w:t>
      </w:r>
      <w:r w:rsidR="0098147B" w:rsidRPr="008A16E7">
        <w:rPr>
          <w:rFonts w:cs="Arial"/>
          <w:lang w:eastAsia="en-GB"/>
        </w:rPr>
        <w:t xml:space="preserve"> benefits</w:t>
      </w:r>
      <w:r w:rsidR="00A23F70" w:rsidRPr="008A16E7">
        <w:rPr>
          <w:rFonts w:cs="Arial"/>
          <w:lang w:eastAsia="en-GB"/>
        </w:rPr>
        <w:t xml:space="preserve"> of a </w:t>
      </w:r>
      <w:proofErr w:type="spellStart"/>
      <w:r w:rsidR="00A23F70" w:rsidRPr="008A16E7">
        <w:rPr>
          <w:rFonts w:cs="Arial"/>
          <w:lang w:eastAsia="en-GB"/>
        </w:rPr>
        <w:t>globalised</w:t>
      </w:r>
      <w:proofErr w:type="spellEnd"/>
      <w:r w:rsidR="00A23F70" w:rsidRPr="008A16E7">
        <w:rPr>
          <w:rFonts w:cs="Arial"/>
          <w:lang w:eastAsia="en-GB"/>
        </w:rPr>
        <w:t xml:space="preserve"> international economic order</w:t>
      </w:r>
      <w:r w:rsidR="0098147B" w:rsidRPr="008A16E7">
        <w:rPr>
          <w:rFonts w:cs="Arial"/>
          <w:lang w:eastAsia="en-GB"/>
        </w:rPr>
        <w:t>.</w:t>
      </w:r>
      <w:r w:rsidR="00A23F70" w:rsidRPr="008A16E7">
        <w:rPr>
          <w:rStyle w:val="FootnoteReference"/>
          <w:rFonts w:ascii="Garamond" w:hAnsi="Garamond" w:cs="Arial"/>
          <w:color w:val="000000" w:themeColor="text1"/>
          <w:lang w:eastAsia="en-GB"/>
        </w:rPr>
        <w:footnoteReference w:id="6"/>
      </w:r>
      <w:r w:rsidR="00AD59E3" w:rsidRPr="008A16E7">
        <w:rPr>
          <w:rFonts w:cstheme="minorHAnsi"/>
        </w:rPr>
        <w:t xml:space="preserve"> </w:t>
      </w:r>
      <w:r w:rsidR="00DF37FB" w:rsidRPr="008A16E7">
        <w:rPr>
          <w:rFonts w:cstheme="minorHAnsi"/>
        </w:rPr>
        <w:t>T</w:t>
      </w:r>
      <w:r w:rsidR="00AD59E3" w:rsidRPr="008A16E7">
        <w:t xml:space="preserve">here is a growing </w:t>
      </w:r>
      <w:r w:rsidR="00895A29" w:rsidRPr="008A16E7">
        <w:t>acknowledgment</w:t>
      </w:r>
      <w:r w:rsidR="00AD59E3" w:rsidRPr="008A16E7">
        <w:t xml:space="preserve"> that the rules governing international trade and enterprise should become </w:t>
      </w:r>
      <w:r>
        <w:t>‘</w:t>
      </w:r>
      <w:r w:rsidR="00AD59E3" w:rsidRPr="008A16E7">
        <w:t>more attuned to questions of distribution, more sensitive to other regulatory concerns, and more responsive to the broader public</w:t>
      </w:r>
      <w:r>
        <w:t>’</w:t>
      </w:r>
      <w:r w:rsidR="00AD59E3" w:rsidRPr="008A16E7">
        <w:t>.</w:t>
      </w:r>
      <w:r w:rsidR="00AD59E3" w:rsidRPr="008A16E7">
        <w:rPr>
          <w:rStyle w:val="FootnoteReference"/>
          <w:rFonts w:ascii="Garamond" w:hAnsi="Garamond"/>
          <w:color w:val="000000" w:themeColor="text1"/>
        </w:rPr>
        <w:footnoteReference w:id="7"/>
      </w:r>
      <w:r w:rsidR="006C7DCF" w:rsidRPr="008A16E7">
        <w:t xml:space="preserve"> </w:t>
      </w:r>
    </w:p>
    <w:p w14:paraId="75BD953D" w14:textId="3698288A" w:rsidR="00447B1C" w:rsidRDefault="00BD246E" w:rsidP="00447B1C">
      <w:pPr>
        <w:rPr>
          <w:rFonts w:cstheme="minorHAnsi"/>
        </w:rPr>
      </w:pPr>
      <w:r>
        <w:tab/>
      </w:r>
      <w:r w:rsidR="00A23F70" w:rsidRPr="008A16E7">
        <w:t xml:space="preserve">While international trade experts have long acknowledged that international trade redistributes wealth, </w:t>
      </w:r>
      <w:proofErr w:type="spellStart"/>
      <w:r w:rsidR="00A23F70" w:rsidRPr="008A16E7">
        <w:t>favouring</w:t>
      </w:r>
      <w:proofErr w:type="spellEnd"/>
      <w:r w:rsidR="00A23F70" w:rsidRPr="008A16E7">
        <w:t xml:space="preserve"> some over others,</w:t>
      </w:r>
      <w:r w:rsidR="00A23F70" w:rsidRPr="008A16E7">
        <w:rPr>
          <w:rStyle w:val="FootnoteReference"/>
          <w:rFonts w:ascii="Garamond" w:hAnsi="Garamond"/>
          <w:color w:val="000000" w:themeColor="text1"/>
        </w:rPr>
        <w:footnoteReference w:id="8"/>
      </w:r>
      <w:r w:rsidR="00A23F70" w:rsidRPr="008A16E7">
        <w:t xml:space="preserve"> such recognition of</w:t>
      </w:r>
      <w:r w:rsidR="00B51460" w:rsidRPr="008A16E7">
        <w:t xml:space="preserve"> the</w:t>
      </w:r>
      <w:r w:rsidR="00A23F70" w:rsidRPr="008A16E7">
        <w:t xml:space="preserve"> unfair distributional effects</w:t>
      </w:r>
      <w:r w:rsidR="00053EEE" w:rsidRPr="008A16E7">
        <w:t xml:space="preserve"> of investment</w:t>
      </w:r>
      <w:r w:rsidR="00B51460" w:rsidRPr="008A16E7">
        <w:t xml:space="preserve"> – </w:t>
      </w:r>
      <w:r w:rsidR="00A23F70" w:rsidRPr="008A16E7">
        <w:t>and the need for a more inclusive rules framewor</w:t>
      </w:r>
      <w:r w:rsidR="00BC15A8" w:rsidRPr="008A16E7">
        <w:t>k</w:t>
      </w:r>
      <w:r w:rsidR="00B51460" w:rsidRPr="008A16E7">
        <w:t xml:space="preserve"> – i</w:t>
      </w:r>
      <w:r w:rsidR="00BC15A8" w:rsidRPr="008A16E7">
        <w:t xml:space="preserve">s </w:t>
      </w:r>
      <w:r w:rsidR="00A23F70" w:rsidRPr="008A16E7">
        <w:t>by and large missing in the major discussions of international investment law and its ongoing reform.</w:t>
      </w:r>
      <w:r w:rsidR="00895A29" w:rsidRPr="008A16E7">
        <w:t xml:space="preserve"> Although it is relatively uncontested that </w:t>
      </w:r>
      <w:r w:rsidR="00895A29" w:rsidRPr="008A16E7">
        <w:rPr>
          <w:rFonts w:cstheme="minorHAnsi"/>
          <w:bCs/>
        </w:rPr>
        <w:t>foreign investment</w:t>
      </w:r>
      <w:r w:rsidR="00CB60B0" w:rsidRPr="008A16E7">
        <w:rPr>
          <w:rFonts w:cstheme="minorHAnsi"/>
          <w:bCs/>
        </w:rPr>
        <w:t xml:space="preserve"> can have a negative impact on the environment and human rights in host states</w:t>
      </w:r>
      <w:r w:rsidR="00895A29" w:rsidRPr="008A16E7">
        <w:rPr>
          <w:rFonts w:cstheme="minorHAnsi"/>
          <w:bCs/>
        </w:rPr>
        <w:t>,</w:t>
      </w:r>
      <w:r w:rsidR="00895A29" w:rsidRPr="008A16E7">
        <w:rPr>
          <w:rStyle w:val="FootnoteReference"/>
          <w:rFonts w:ascii="Garamond" w:hAnsi="Garamond" w:cstheme="minorHAnsi"/>
          <w:bCs/>
          <w:color w:val="000000" w:themeColor="text1"/>
        </w:rPr>
        <w:footnoteReference w:id="9"/>
      </w:r>
      <w:r w:rsidR="00895A29" w:rsidRPr="008A16E7">
        <w:rPr>
          <w:rFonts w:cstheme="minorHAnsi"/>
          <w:bCs/>
        </w:rPr>
        <w:t xml:space="preserve"> t</w:t>
      </w:r>
      <w:r w:rsidR="00895A29" w:rsidRPr="008A16E7">
        <w:t xml:space="preserve">he idea that </w:t>
      </w:r>
      <w:r w:rsidR="00895A29" w:rsidRPr="008A16E7">
        <w:rPr>
          <w:rFonts w:cstheme="minorHAnsi"/>
        </w:rPr>
        <w:t xml:space="preserve">investment treaties can be redesigned to </w:t>
      </w:r>
      <w:proofErr w:type="spellStart"/>
      <w:r w:rsidRPr="008A16E7">
        <w:rPr>
          <w:rFonts w:cstheme="minorHAnsi"/>
        </w:rPr>
        <w:t>maximi</w:t>
      </w:r>
      <w:r>
        <w:rPr>
          <w:rFonts w:cstheme="minorHAnsi"/>
        </w:rPr>
        <w:t>s</w:t>
      </w:r>
      <w:r w:rsidRPr="008A16E7">
        <w:rPr>
          <w:rFonts w:cstheme="minorHAnsi"/>
        </w:rPr>
        <w:t>e</w:t>
      </w:r>
      <w:proofErr w:type="spellEnd"/>
      <w:r w:rsidRPr="008A16E7">
        <w:rPr>
          <w:rFonts w:cstheme="minorHAnsi"/>
        </w:rPr>
        <w:t xml:space="preserve"> </w:t>
      </w:r>
      <w:r w:rsidR="00895A29" w:rsidRPr="008A16E7">
        <w:rPr>
          <w:rFonts w:cstheme="minorHAnsi"/>
        </w:rPr>
        <w:t xml:space="preserve">the positive contribution that investors can bring to societies, or </w:t>
      </w:r>
      <w:r>
        <w:rPr>
          <w:rFonts w:cstheme="minorHAnsi"/>
        </w:rPr>
        <w:t>‘</w:t>
      </w:r>
      <w:r w:rsidR="00895A29" w:rsidRPr="008A16E7">
        <w:rPr>
          <w:rFonts w:cstheme="minorHAnsi"/>
        </w:rPr>
        <w:t>doing good</w:t>
      </w:r>
      <w:r>
        <w:rPr>
          <w:rFonts w:cstheme="minorHAnsi"/>
        </w:rPr>
        <w:t>’</w:t>
      </w:r>
      <w:r w:rsidR="00895A29" w:rsidRPr="008A16E7">
        <w:rPr>
          <w:rFonts w:cstheme="minorHAnsi"/>
        </w:rPr>
        <w:t xml:space="preserve"> for </w:t>
      </w:r>
      <w:r w:rsidR="00CB60B0" w:rsidRPr="008A16E7">
        <w:rPr>
          <w:rFonts w:cstheme="minorHAnsi"/>
        </w:rPr>
        <w:t xml:space="preserve">the </w:t>
      </w:r>
      <w:r w:rsidR="00895A29" w:rsidRPr="008A16E7">
        <w:rPr>
          <w:rFonts w:cstheme="minorHAnsi"/>
        </w:rPr>
        <w:t>communities</w:t>
      </w:r>
      <w:r w:rsidR="00CB60B0" w:rsidRPr="008A16E7">
        <w:rPr>
          <w:rFonts w:cstheme="minorHAnsi"/>
        </w:rPr>
        <w:t xml:space="preserve"> that host them</w:t>
      </w:r>
      <w:r w:rsidR="00895A29" w:rsidRPr="008A16E7">
        <w:rPr>
          <w:rFonts w:cstheme="minorHAnsi"/>
        </w:rPr>
        <w:t>,</w:t>
      </w:r>
      <w:r w:rsidR="00895A29" w:rsidRPr="008A16E7">
        <w:rPr>
          <w:rStyle w:val="FootnoteReference"/>
          <w:rFonts w:ascii="Garamond" w:hAnsi="Garamond" w:cstheme="minorHAnsi"/>
          <w:color w:val="000000" w:themeColor="text1"/>
        </w:rPr>
        <w:footnoteReference w:id="10"/>
      </w:r>
      <w:r w:rsidR="00895A29" w:rsidRPr="008A16E7">
        <w:rPr>
          <w:rFonts w:cstheme="minorHAnsi"/>
        </w:rPr>
        <w:t xml:space="preserve"> is yet to receive sufficient attention in investment treaty scholarship and policy. This chapter shows that</w:t>
      </w:r>
      <w:r w:rsidR="006C7DCF" w:rsidRPr="008A16E7">
        <w:rPr>
          <w:rFonts w:cstheme="minorHAnsi"/>
        </w:rPr>
        <w:t>, despite the recent reform efforts,</w:t>
      </w:r>
      <w:r w:rsidR="00895A29" w:rsidRPr="008A16E7">
        <w:rPr>
          <w:rFonts w:cstheme="minorHAnsi"/>
        </w:rPr>
        <w:t xml:space="preserve"> most of the new generation treaties do not contain provisions to address the distributive </w:t>
      </w:r>
      <w:r w:rsidR="00895A29" w:rsidRPr="008A16E7">
        <w:rPr>
          <w:rFonts w:cstheme="minorHAnsi"/>
        </w:rPr>
        <w:lastRenderedPageBreak/>
        <w:t>consequences of foreign</w:t>
      </w:r>
      <w:r w:rsidR="00BC15A8" w:rsidRPr="008A16E7">
        <w:rPr>
          <w:rFonts w:cstheme="minorHAnsi"/>
        </w:rPr>
        <w:t xml:space="preserve"> investment</w:t>
      </w:r>
      <w:r w:rsidR="00895A29" w:rsidRPr="008A16E7">
        <w:rPr>
          <w:rFonts w:cstheme="minorHAnsi"/>
        </w:rPr>
        <w:t>.</w:t>
      </w:r>
      <w:r w:rsidR="002D31ED" w:rsidRPr="008A16E7">
        <w:rPr>
          <w:rStyle w:val="FootnoteReference"/>
          <w:rFonts w:ascii="Garamond" w:hAnsi="Garamond" w:cstheme="minorHAnsi"/>
          <w:color w:val="000000" w:themeColor="text1"/>
        </w:rPr>
        <w:footnoteReference w:id="11"/>
      </w:r>
      <w:r w:rsidR="00895A29" w:rsidRPr="008A16E7">
        <w:rPr>
          <w:rFonts w:cstheme="minorHAnsi"/>
        </w:rPr>
        <w:t xml:space="preserve"> Neither does the practice of investment arbitration seem prepared to embrace interpretative approaches promoting a more inclusive and sustainable allocation of benefits and responsibilities of investor-led projects.</w:t>
      </w:r>
      <w:r w:rsidR="00244E26" w:rsidRPr="008A16E7">
        <w:rPr>
          <w:rFonts w:cstheme="minorHAnsi"/>
        </w:rPr>
        <w:t xml:space="preserve"> </w:t>
      </w:r>
    </w:p>
    <w:p w14:paraId="3D5B4285" w14:textId="75DF44BC" w:rsidR="00447B1C" w:rsidRDefault="00BD246E" w:rsidP="00447B1C">
      <w:pPr>
        <w:rPr>
          <w:rFonts w:cstheme="minorHAnsi"/>
        </w:rPr>
      </w:pPr>
      <w:r>
        <w:rPr>
          <w:rFonts w:cs="Arial"/>
          <w:color w:val="000000"/>
          <w:lang w:eastAsia="en-GB"/>
        </w:rPr>
        <w:tab/>
      </w:r>
      <w:r w:rsidR="007D5B8D" w:rsidRPr="008A16E7">
        <w:rPr>
          <w:rFonts w:cs="Arial"/>
          <w:color w:val="000000"/>
          <w:lang w:eastAsia="en-GB"/>
        </w:rPr>
        <w:t xml:space="preserve">The overarching aim of this chapter is to provide novel insights into </w:t>
      </w:r>
      <w:r w:rsidR="00053EEE" w:rsidRPr="008A16E7">
        <w:rPr>
          <w:rFonts w:cs="Arial"/>
          <w:color w:val="000000"/>
          <w:lang w:eastAsia="en-GB"/>
        </w:rPr>
        <w:t>the hit</w:t>
      </w:r>
      <w:r w:rsidR="00B51460" w:rsidRPr="008A16E7">
        <w:rPr>
          <w:rFonts w:cs="Arial"/>
          <w:color w:val="000000"/>
          <w:lang w:eastAsia="en-GB"/>
        </w:rPr>
        <w:t>h</w:t>
      </w:r>
      <w:r w:rsidR="00053EEE" w:rsidRPr="008A16E7">
        <w:rPr>
          <w:rFonts w:cs="Arial"/>
          <w:color w:val="000000"/>
          <w:lang w:eastAsia="en-GB"/>
        </w:rPr>
        <w:t xml:space="preserve">erto underexplored question of </w:t>
      </w:r>
      <w:r w:rsidR="007D5B8D" w:rsidRPr="008A16E7">
        <w:rPr>
          <w:rFonts w:cs="Arial"/>
          <w:color w:val="000000"/>
          <w:lang w:eastAsia="en-GB"/>
        </w:rPr>
        <w:t>how contemporary</w:t>
      </w:r>
      <w:r w:rsidR="008446A9" w:rsidRPr="008A16E7">
        <w:rPr>
          <w:rFonts w:cs="Arial"/>
          <w:color w:val="000000"/>
          <w:lang w:eastAsia="en-GB"/>
        </w:rPr>
        <w:t xml:space="preserve"> </w:t>
      </w:r>
      <w:r w:rsidR="007D5B8D" w:rsidRPr="008A16E7">
        <w:rPr>
          <w:rFonts w:cs="Arial"/>
          <w:color w:val="000000"/>
          <w:lang w:eastAsia="en-GB"/>
        </w:rPr>
        <w:t xml:space="preserve">international investment </w:t>
      </w:r>
      <w:r w:rsidR="008446A9" w:rsidRPr="008A16E7">
        <w:rPr>
          <w:rFonts w:cs="Arial"/>
          <w:color w:val="000000"/>
          <w:lang w:eastAsia="en-GB"/>
        </w:rPr>
        <w:t>law</w:t>
      </w:r>
      <w:r w:rsidR="007D5B8D" w:rsidRPr="008A16E7">
        <w:rPr>
          <w:rFonts w:cs="Arial"/>
          <w:color w:val="000000"/>
          <w:lang w:eastAsia="en-GB"/>
        </w:rPr>
        <w:t xml:space="preserve"> can</w:t>
      </w:r>
      <w:r w:rsidR="00004375" w:rsidRPr="008A16E7">
        <w:rPr>
          <w:rFonts w:cs="Arial"/>
          <w:color w:val="000000"/>
          <w:lang w:eastAsia="en-GB"/>
        </w:rPr>
        <w:t xml:space="preserve"> be</w:t>
      </w:r>
      <w:r w:rsidR="007D5B8D" w:rsidRPr="008A16E7">
        <w:rPr>
          <w:rFonts w:cs="Arial"/>
          <w:color w:val="000000"/>
          <w:lang w:eastAsia="en-GB"/>
        </w:rPr>
        <w:t xml:space="preserve"> </w:t>
      </w:r>
      <w:r w:rsidR="008446A9" w:rsidRPr="008A16E7">
        <w:rPr>
          <w:rFonts w:cs="Arial"/>
          <w:color w:val="000000"/>
          <w:lang w:eastAsia="en-GB"/>
        </w:rPr>
        <w:t xml:space="preserve">redesigned to enable and </w:t>
      </w:r>
      <w:proofErr w:type="spellStart"/>
      <w:r w:rsidR="008446A9" w:rsidRPr="008A16E7">
        <w:rPr>
          <w:rFonts w:cs="Arial"/>
          <w:color w:val="000000"/>
          <w:lang w:eastAsia="en-GB"/>
        </w:rPr>
        <w:t>maximise</w:t>
      </w:r>
      <w:proofErr w:type="spellEnd"/>
      <w:r w:rsidR="008446A9" w:rsidRPr="008A16E7">
        <w:rPr>
          <w:rFonts w:cs="Arial"/>
          <w:color w:val="000000"/>
          <w:lang w:eastAsia="en-GB"/>
        </w:rPr>
        <w:t xml:space="preserve"> </w:t>
      </w:r>
      <w:r w:rsidR="00B51460" w:rsidRPr="008A16E7">
        <w:rPr>
          <w:rFonts w:cs="Arial"/>
          <w:color w:val="000000"/>
          <w:lang w:eastAsia="en-GB"/>
        </w:rPr>
        <w:t>the</w:t>
      </w:r>
      <w:r w:rsidR="008446A9" w:rsidRPr="008A16E7">
        <w:rPr>
          <w:rFonts w:cs="Arial"/>
          <w:color w:val="000000"/>
          <w:lang w:eastAsia="en-GB"/>
        </w:rPr>
        <w:t xml:space="preserve"> positive contribution of foreign investment for the </w:t>
      </w:r>
      <w:r w:rsidR="00053EEE" w:rsidRPr="008A16E7">
        <w:rPr>
          <w:rFonts w:cs="Arial"/>
          <w:color w:val="000000"/>
          <w:lang w:eastAsia="en-GB"/>
        </w:rPr>
        <w:t xml:space="preserve">host </w:t>
      </w:r>
      <w:r w:rsidR="00B51460" w:rsidRPr="008A16E7">
        <w:rPr>
          <w:rFonts w:cs="Arial"/>
          <w:color w:val="000000"/>
          <w:lang w:eastAsia="en-GB"/>
        </w:rPr>
        <w:t>state</w:t>
      </w:r>
      <w:r w:rsidR="007D5B8D" w:rsidRPr="008A16E7">
        <w:rPr>
          <w:rFonts w:cs="Arial"/>
          <w:color w:val="000000"/>
          <w:lang w:eastAsia="en-GB"/>
        </w:rPr>
        <w:t>.</w:t>
      </w:r>
      <w:r w:rsidR="007D5B8D" w:rsidRPr="008A16E7">
        <w:rPr>
          <w:color w:val="333333"/>
        </w:rPr>
        <w:t xml:space="preserve"> </w:t>
      </w:r>
      <w:r w:rsidR="00B963FE" w:rsidRPr="008A16E7">
        <w:rPr>
          <w:rFonts w:cs="Arial"/>
          <w:color w:val="000000"/>
          <w:lang w:eastAsia="en-GB"/>
        </w:rPr>
        <w:t xml:space="preserve">Section </w:t>
      </w:r>
      <w:r w:rsidR="00CF086D">
        <w:rPr>
          <w:rFonts w:cs="Arial"/>
          <w:color w:val="000000"/>
          <w:lang w:eastAsia="en-GB"/>
        </w:rPr>
        <w:t>II</w:t>
      </w:r>
      <w:r w:rsidR="00CF086D" w:rsidRPr="008A16E7">
        <w:rPr>
          <w:rFonts w:cs="Arial"/>
          <w:color w:val="000000"/>
          <w:lang w:eastAsia="en-GB"/>
        </w:rPr>
        <w:t xml:space="preserve"> </w:t>
      </w:r>
      <w:r w:rsidR="00B963FE" w:rsidRPr="008A16E7">
        <w:rPr>
          <w:rFonts w:cs="Arial"/>
          <w:color w:val="000000"/>
          <w:lang w:eastAsia="en-GB"/>
        </w:rPr>
        <w:t>will reveal how t</w:t>
      </w:r>
      <w:r w:rsidR="00244E26" w:rsidRPr="008A16E7">
        <w:rPr>
          <w:rFonts w:cs="Arial"/>
          <w:color w:val="000000"/>
          <w:lang w:eastAsia="en-GB"/>
        </w:rPr>
        <w:t xml:space="preserve">raditional narratives </w:t>
      </w:r>
      <w:r w:rsidR="00B963FE" w:rsidRPr="008A16E7">
        <w:rPr>
          <w:rFonts w:cs="Arial"/>
          <w:color w:val="000000"/>
          <w:lang w:eastAsia="en-GB"/>
        </w:rPr>
        <w:t xml:space="preserve">constrain regulatory imagination by </w:t>
      </w:r>
      <w:r w:rsidR="007D5B8D" w:rsidRPr="008A16E7">
        <w:rPr>
          <w:rFonts w:cs="Arial"/>
          <w:color w:val="000000"/>
          <w:lang w:eastAsia="en-GB"/>
        </w:rPr>
        <w:t>consistently framing</w:t>
      </w:r>
      <w:r w:rsidR="00244E26" w:rsidRPr="008A16E7">
        <w:rPr>
          <w:rFonts w:cs="Arial"/>
          <w:color w:val="000000"/>
          <w:lang w:eastAsia="en-GB"/>
        </w:rPr>
        <w:t xml:space="preserve"> investment protection as a matter of international concern, leaving the wider socio-economic impacts of investment to national policymaking. Contemporary reforms of international investment law continue to downplay the importance of holding corporations responsible towards local communities</w:t>
      </w:r>
      <w:r w:rsidR="00B963FE" w:rsidRPr="008A16E7">
        <w:rPr>
          <w:rFonts w:cs="Arial"/>
          <w:color w:val="000000"/>
          <w:lang w:eastAsia="en-GB"/>
        </w:rPr>
        <w:t xml:space="preserve">, with the newly emerging drafting templates featuring limited provisions on investor obligations. Drawing on emerging empirical data and analysis of the recent trends in investment treaty practice and jurisprudence, </w:t>
      </w:r>
      <w:r w:rsidR="00B51460" w:rsidRPr="008A16E7">
        <w:rPr>
          <w:rFonts w:cs="Arial"/>
          <w:color w:val="000000"/>
          <w:lang w:eastAsia="en-GB"/>
        </w:rPr>
        <w:t>s</w:t>
      </w:r>
      <w:r w:rsidR="00B963FE" w:rsidRPr="008A16E7">
        <w:rPr>
          <w:rFonts w:cs="Arial"/>
          <w:color w:val="000000"/>
          <w:lang w:eastAsia="en-GB"/>
        </w:rPr>
        <w:t xml:space="preserve">ection </w:t>
      </w:r>
      <w:r w:rsidR="007139C5">
        <w:rPr>
          <w:rFonts w:cs="Arial"/>
          <w:color w:val="000000"/>
          <w:lang w:eastAsia="en-GB"/>
        </w:rPr>
        <w:t>III</w:t>
      </w:r>
      <w:r w:rsidR="007139C5" w:rsidRPr="008A16E7">
        <w:rPr>
          <w:rFonts w:cs="Arial"/>
          <w:color w:val="000000"/>
          <w:lang w:eastAsia="en-GB"/>
        </w:rPr>
        <w:t xml:space="preserve"> </w:t>
      </w:r>
      <w:r w:rsidR="00B963FE" w:rsidRPr="008A16E7">
        <w:rPr>
          <w:rFonts w:cs="Arial"/>
          <w:color w:val="000000"/>
          <w:lang w:eastAsia="en-GB"/>
        </w:rPr>
        <w:t>will ex</w:t>
      </w:r>
      <w:r w:rsidR="00053EEE" w:rsidRPr="008A16E7">
        <w:rPr>
          <w:rFonts w:cs="Arial"/>
          <w:color w:val="000000"/>
          <w:lang w:eastAsia="en-GB"/>
        </w:rPr>
        <w:t>amine</w:t>
      </w:r>
      <w:r w:rsidR="00B963FE" w:rsidRPr="008A16E7">
        <w:rPr>
          <w:rFonts w:cs="Arial"/>
          <w:color w:val="000000"/>
          <w:lang w:eastAsia="en-GB"/>
        </w:rPr>
        <w:t xml:space="preserve"> what needs to change to bridge the existing gap in international investment law. It will expose some of the deeply embedded biases </w:t>
      </w:r>
      <w:proofErr w:type="spellStart"/>
      <w:r w:rsidR="008446A9" w:rsidRPr="008A16E7">
        <w:rPr>
          <w:rFonts w:cs="Arial"/>
          <w:color w:val="000000"/>
          <w:lang w:eastAsia="en-GB"/>
        </w:rPr>
        <w:t>favouring</w:t>
      </w:r>
      <w:proofErr w:type="spellEnd"/>
      <w:r w:rsidR="00B963FE" w:rsidRPr="008A16E7">
        <w:rPr>
          <w:rFonts w:cs="Arial"/>
          <w:color w:val="000000"/>
          <w:lang w:eastAsia="en-GB"/>
        </w:rPr>
        <w:t xml:space="preserve"> state-centric interpretations of international </w:t>
      </w:r>
      <w:r w:rsidR="00217770" w:rsidRPr="008A16E7">
        <w:rPr>
          <w:rFonts w:cs="Arial"/>
          <w:color w:val="000000"/>
          <w:lang w:eastAsia="en-GB"/>
        </w:rPr>
        <w:t xml:space="preserve">investment law which enable foreign investors to enjoy extensive privileges and escape liabilities. </w:t>
      </w:r>
      <w:r w:rsidR="00053EEE" w:rsidRPr="008A16E7">
        <w:rPr>
          <w:rFonts w:cstheme="minorHAnsi"/>
        </w:rPr>
        <w:t>W</w:t>
      </w:r>
      <w:r w:rsidR="00217770" w:rsidRPr="008A16E7">
        <w:rPr>
          <w:rFonts w:cstheme="minorHAnsi"/>
        </w:rPr>
        <w:t xml:space="preserve">hat hinders the emergence of new visions of the relationship between foreign investors and </w:t>
      </w:r>
      <w:r w:rsidR="00053EEE" w:rsidRPr="008A16E7">
        <w:rPr>
          <w:rFonts w:cstheme="minorHAnsi"/>
        </w:rPr>
        <w:t>society</w:t>
      </w:r>
      <w:r w:rsidR="00217770" w:rsidRPr="008A16E7">
        <w:rPr>
          <w:rFonts w:cstheme="minorHAnsi"/>
        </w:rPr>
        <w:t xml:space="preserve">? Section </w:t>
      </w:r>
      <w:r w:rsidR="007139C5">
        <w:rPr>
          <w:rFonts w:cstheme="minorHAnsi"/>
        </w:rPr>
        <w:t>IV</w:t>
      </w:r>
      <w:r w:rsidR="007139C5" w:rsidRPr="008A16E7">
        <w:rPr>
          <w:rFonts w:cstheme="minorHAnsi"/>
        </w:rPr>
        <w:t xml:space="preserve"> </w:t>
      </w:r>
      <w:r w:rsidR="00217770" w:rsidRPr="008A16E7">
        <w:rPr>
          <w:rFonts w:cstheme="minorHAnsi"/>
        </w:rPr>
        <w:t xml:space="preserve">will seek to answer this question by zooming in on </w:t>
      </w:r>
      <w:r w:rsidR="000677B2" w:rsidRPr="008A16E7">
        <w:rPr>
          <w:rFonts w:cstheme="minorHAnsi"/>
        </w:rPr>
        <w:t>the</w:t>
      </w:r>
      <w:r w:rsidR="00217770" w:rsidRPr="008A16E7">
        <w:rPr>
          <w:rFonts w:cstheme="minorHAnsi"/>
        </w:rPr>
        <w:t xml:space="preserve"> </w:t>
      </w:r>
      <w:r w:rsidR="00B51460" w:rsidRPr="008A16E7">
        <w:rPr>
          <w:rFonts w:cstheme="minorHAnsi"/>
        </w:rPr>
        <w:t>already</w:t>
      </w:r>
      <w:r w:rsidR="00217770" w:rsidRPr="008A16E7">
        <w:rPr>
          <w:rFonts w:cstheme="minorHAnsi"/>
        </w:rPr>
        <w:t xml:space="preserve"> entrenched ideas that policymakers are </w:t>
      </w:r>
      <w:proofErr w:type="spellStart"/>
      <w:r w:rsidR="00217770" w:rsidRPr="008A16E7">
        <w:rPr>
          <w:rFonts w:cstheme="minorHAnsi"/>
        </w:rPr>
        <w:t>sceptical</w:t>
      </w:r>
      <w:proofErr w:type="spellEnd"/>
      <w:r w:rsidR="00217770" w:rsidRPr="008A16E7">
        <w:rPr>
          <w:rFonts w:cstheme="minorHAnsi"/>
        </w:rPr>
        <w:t xml:space="preserve"> towards innovati</w:t>
      </w:r>
      <w:r w:rsidR="009336E2" w:rsidRPr="008A16E7">
        <w:rPr>
          <w:rFonts w:cstheme="minorHAnsi"/>
        </w:rPr>
        <w:t>on in treaty drafting</w:t>
      </w:r>
      <w:r w:rsidR="007139C5">
        <w:rPr>
          <w:rFonts w:cstheme="minorHAnsi"/>
        </w:rPr>
        <w:t>,</w:t>
      </w:r>
      <w:r w:rsidR="00217770" w:rsidRPr="008A16E7">
        <w:rPr>
          <w:rFonts w:cstheme="minorHAnsi"/>
        </w:rPr>
        <w:t xml:space="preserve"> and </w:t>
      </w:r>
      <w:r w:rsidR="00AE67FE">
        <w:rPr>
          <w:rFonts w:cstheme="minorHAnsi"/>
        </w:rPr>
        <w:t>that</w:t>
      </w:r>
      <w:r w:rsidR="00AE67FE" w:rsidRPr="008A16E7" w:rsidDel="007139C5">
        <w:rPr>
          <w:rFonts w:cstheme="minorHAnsi"/>
        </w:rPr>
        <w:t xml:space="preserve"> </w:t>
      </w:r>
      <w:r w:rsidR="009336E2" w:rsidRPr="008A16E7">
        <w:rPr>
          <w:rFonts w:cstheme="minorHAnsi"/>
        </w:rPr>
        <w:t>provisions on investor obligations would be staunchly opposed by</w:t>
      </w:r>
      <w:r w:rsidR="00217770" w:rsidRPr="008A16E7">
        <w:rPr>
          <w:rFonts w:cstheme="minorHAnsi"/>
        </w:rPr>
        <w:t xml:space="preserve"> </w:t>
      </w:r>
      <w:r w:rsidR="009336E2" w:rsidRPr="008A16E7">
        <w:rPr>
          <w:rFonts w:cstheme="minorHAnsi"/>
        </w:rPr>
        <w:t>industry actors</w:t>
      </w:r>
      <w:r w:rsidR="00217770" w:rsidRPr="008A16E7">
        <w:rPr>
          <w:rFonts w:cstheme="minorHAnsi"/>
        </w:rPr>
        <w:t xml:space="preserve">. </w:t>
      </w:r>
      <w:r w:rsidR="009336E2" w:rsidRPr="008A16E7">
        <w:rPr>
          <w:rFonts w:cstheme="minorHAnsi"/>
        </w:rPr>
        <w:t xml:space="preserve">Turning to </w:t>
      </w:r>
      <w:r w:rsidR="00217770" w:rsidRPr="008A16E7">
        <w:rPr>
          <w:rFonts w:cstheme="minorHAnsi"/>
        </w:rPr>
        <w:t xml:space="preserve">the </w:t>
      </w:r>
      <w:r w:rsidR="008446A9" w:rsidRPr="008A16E7">
        <w:rPr>
          <w:rFonts w:cstheme="minorHAnsi"/>
        </w:rPr>
        <w:t xml:space="preserve">post-colonial </w:t>
      </w:r>
      <w:r w:rsidR="009336E2" w:rsidRPr="008A16E7">
        <w:rPr>
          <w:rFonts w:cstheme="minorHAnsi"/>
        </w:rPr>
        <w:t>history of the international economic order</w:t>
      </w:r>
      <w:r w:rsidR="00217770" w:rsidRPr="008A16E7">
        <w:rPr>
          <w:rFonts w:cstheme="minorHAnsi"/>
        </w:rPr>
        <w:t xml:space="preserve"> and the more recent developments in business practices, </w:t>
      </w:r>
      <w:r w:rsidR="00B51460" w:rsidRPr="008A16E7">
        <w:rPr>
          <w:rFonts w:cstheme="minorHAnsi"/>
        </w:rPr>
        <w:t>s</w:t>
      </w:r>
      <w:r w:rsidR="009336E2" w:rsidRPr="008A16E7">
        <w:rPr>
          <w:rFonts w:cstheme="minorHAnsi"/>
        </w:rPr>
        <w:t xml:space="preserve">ection </w:t>
      </w:r>
      <w:r w:rsidR="007139C5">
        <w:rPr>
          <w:rFonts w:cstheme="minorHAnsi"/>
        </w:rPr>
        <w:t>IV</w:t>
      </w:r>
      <w:r w:rsidR="007139C5" w:rsidRPr="008A16E7">
        <w:rPr>
          <w:rFonts w:cstheme="minorHAnsi"/>
        </w:rPr>
        <w:t xml:space="preserve"> </w:t>
      </w:r>
      <w:r w:rsidR="009336E2" w:rsidRPr="008A16E7">
        <w:rPr>
          <w:rFonts w:cstheme="minorHAnsi"/>
        </w:rPr>
        <w:t xml:space="preserve">will argue that, </w:t>
      </w:r>
      <w:r w:rsidR="00217770" w:rsidRPr="008A16E7">
        <w:rPr>
          <w:rFonts w:cstheme="minorHAnsi"/>
        </w:rPr>
        <w:t>despite a degree of resistance</w:t>
      </w:r>
      <w:r w:rsidR="009336E2" w:rsidRPr="008A16E7">
        <w:rPr>
          <w:rFonts w:cstheme="minorHAnsi"/>
        </w:rPr>
        <w:t xml:space="preserve">, profound </w:t>
      </w:r>
      <w:r w:rsidR="00217770" w:rsidRPr="008A16E7">
        <w:rPr>
          <w:rFonts w:cstheme="minorHAnsi"/>
        </w:rPr>
        <w:t>changes in</w:t>
      </w:r>
      <w:r w:rsidR="009336E2" w:rsidRPr="008A16E7">
        <w:rPr>
          <w:rFonts w:cstheme="minorHAnsi"/>
        </w:rPr>
        <w:t xml:space="preserve"> the</w:t>
      </w:r>
      <w:r w:rsidR="00217770" w:rsidRPr="008A16E7">
        <w:rPr>
          <w:rFonts w:cstheme="minorHAnsi"/>
        </w:rPr>
        <w:t xml:space="preserve"> legal mechanisms </w:t>
      </w:r>
      <w:r w:rsidR="009336E2" w:rsidRPr="008A16E7">
        <w:rPr>
          <w:rFonts w:cstheme="minorHAnsi"/>
        </w:rPr>
        <w:t>governing conduct of foreign investors</w:t>
      </w:r>
      <w:r w:rsidR="00217770" w:rsidRPr="008A16E7">
        <w:rPr>
          <w:rFonts w:cstheme="minorHAnsi"/>
        </w:rPr>
        <w:t xml:space="preserve"> </w:t>
      </w:r>
      <w:r w:rsidR="009336E2" w:rsidRPr="008A16E7">
        <w:rPr>
          <w:rFonts w:cstheme="minorHAnsi"/>
        </w:rPr>
        <w:t>remain possible.</w:t>
      </w:r>
    </w:p>
    <w:p w14:paraId="10A530B2" w14:textId="1EF27E4C" w:rsidR="00447B1C" w:rsidRDefault="007139C5" w:rsidP="00447B1C">
      <w:pPr>
        <w:pStyle w:val="Heading1"/>
      </w:pPr>
      <w:r>
        <w:t>II</w:t>
      </w:r>
      <w:r w:rsidR="00F52E91" w:rsidRPr="008A16E7">
        <w:t>.</w:t>
      </w:r>
      <w:r>
        <w:t xml:space="preserve"> </w:t>
      </w:r>
      <w:r w:rsidR="00A853FD" w:rsidRPr="008A16E7">
        <w:t xml:space="preserve">Why the </w:t>
      </w:r>
      <w:r w:rsidR="00B51460" w:rsidRPr="008A16E7">
        <w:t>N</w:t>
      </w:r>
      <w:r w:rsidR="00A853FD" w:rsidRPr="008A16E7">
        <w:t xml:space="preserve">eed for </w:t>
      </w:r>
      <w:r w:rsidR="00B51460" w:rsidRPr="008A16E7">
        <w:t>I</w:t>
      </w:r>
      <w:r w:rsidR="00A853FD" w:rsidRPr="008A16E7">
        <w:t xml:space="preserve">nvestor </w:t>
      </w:r>
      <w:r w:rsidR="00B51460" w:rsidRPr="008A16E7">
        <w:t>O</w:t>
      </w:r>
      <w:r w:rsidR="00A853FD" w:rsidRPr="008A16E7">
        <w:t xml:space="preserve">bligations to </w:t>
      </w:r>
      <w:r w:rsidR="00BD246E">
        <w:t>‘</w:t>
      </w:r>
      <w:r w:rsidR="00B51460" w:rsidRPr="008A16E7">
        <w:t>D</w:t>
      </w:r>
      <w:r w:rsidR="00A853FD" w:rsidRPr="008A16E7">
        <w:t xml:space="preserve">o </w:t>
      </w:r>
      <w:r w:rsidR="00B51460" w:rsidRPr="008A16E7">
        <w:t>G</w:t>
      </w:r>
      <w:r w:rsidR="00A853FD" w:rsidRPr="008A16E7">
        <w:t>ood</w:t>
      </w:r>
      <w:r w:rsidR="00BD246E">
        <w:t>’</w:t>
      </w:r>
      <w:r w:rsidR="00A853FD" w:rsidRPr="008A16E7">
        <w:t>?</w:t>
      </w:r>
    </w:p>
    <w:p w14:paraId="73DA50B1" w14:textId="1C78F841" w:rsidR="00447B1C" w:rsidRDefault="000D7078" w:rsidP="00447B1C">
      <w:r w:rsidRPr="008A16E7">
        <w:lastRenderedPageBreak/>
        <w:t>I</w:t>
      </w:r>
      <w:r w:rsidR="009C0476" w:rsidRPr="008A16E7">
        <w:t xml:space="preserve">nvestment treaties have long been </w:t>
      </w:r>
      <w:proofErr w:type="spellStart"/>
      <w:r w:rsidR="009C0476" w:rsidRPr="008A16E7">
        <w:t>conceptualised</w:t>
      </w:r>
      <w:proofErr w:type="spellEnd"/>
      <w:r w:rsidR="009C0476" w:rsidRPr="008A16E7">
        <w:t xml:space="preserve"> as a means of creating a level</w:t>
      </w:r>
      <w:r w:rsidR="007139C5">
        <w:t xml:space="preserve"> </w:t>
      </w:r>
      <w:r w:rsidR="009C0476" w:rsidRPr="008A16E7">
        <w:t>playing field and removing the barriers to cross-border flows of capital, technology and know</w:t>
      </w:r>
      <w:r w:rsidR="00011417" w:rsidRPr="008A16E7">
        <w:t>-</w:t>
      </w:r>
      <w:r w:rsidR="009C0476" w:rsidRPr="008A16E7">
        <w:t>how. Foreign investors were portrayed as essentially disadvantaged due to their foreign nationality</w:t>
      </w:r>
      <w:r w:rsidR="007139C5">
        <w:t>,</w:t>
      </w:r>
      <w:r w:rsidR="00011417" w:rsidRPr="008A16E7">
        <w:rPr>
          <w:rStyle w:val="FootnoteReference"/>
          <w:rFonts w:ascii="Garamond" w:hAnsi="Garamond"/>
          <w:color w:val="000000" w:themeColor="text1"/>
        </w:rPr>
        <w:footnoteReference w:id="12"/>
      </w:r>
      <w:r w:rsidR="009C0476" w:rsidRPr="008A16E7">
        <w:t xml:space="preserve"> and any obligations imposed upon them vis-à-vis host </w:t>
      </w:r>
      <w:r w:rsidR="00B51460" w:rsidRPr="008A16E7">
        <w:t>states</w:t>
      </w:r>
      <w:r w:rsidR="009C0476" w:rsidRPr="008A16E7">
        <w:t xml:space="preserve"> were presented as </w:t>
      </w:r>
      <w:r w:rsidR="00011417" w:rsidRPr="008A16E7">
        <w:t xml:space="preserve">inefficiencies and thus </w:t>
      </w:r>
      <w:r w:rsidR="009C0476" w:rsidRPr="008A16E7">
        <w:t>barriers to investment flows</w:t>
      </w:r>
      <w:r w:rsidR="00D0378B" w:rsidRPr="008A16E7">
        <w:t>.</w:t>
      </w:r>
      <w:r w:rsidR="00011417" w:rsidRPr="008A16E7">
        <w:rPr>
          <w:rStyle w:val="FootnoteReference"/>
          <w:rFonts w:ascii="Garamond" w:hAnsi="Garamond"/>
          <w:color w:val="000000" w:themeColor="text1"/>
        </w:rPr>
        <w:footnoteReference w:id="13"/>
      </w:r>
      <w:r w:rsidRPr="008A16E7">
        <w:t xml:space="preserve"> </w:t>
      </w:r>
      <w:r w:rsidR="00DB6E4F" w:rsidRPr="008A16E7">
        <w:t xml:space="preserve">Far from acknowledging that </w:t>
      </w:r>
      <w:proofErr w:type="spellStart"/>
      <w:r w:rsidR="00DB6E4F" w:rsidRPr="008A16E7">
        <w:t>liberalised</w:t>
      </w:r>
      <w:proofErr w:type="spellEnd"/>
      <w:r w:rsidR="00DB6E4F" w:rsidRPr="008A16E7">
        <w:t xml:space="preserve"> investment creates winners and losers, the traditional narratives of international investment law have </w:t>
      </w:r>
      <w:r w:rsidR="00640852" w:rsidRPr="008A16E7">
        <w:t>depicted</w:t>
      </w:r>
      <w:r w:rsidR="00DB6E4F" w:rsidRPr="008A16E7">
        <w:t xml:space="preserve"> investors as </w:t>
      </w:r>
      <w:r w:rsidR="00BD246E">
        <w:t>‘</w:t>
      </w:r>
      <w:r w:rsidR="00DB6E4F" w:rsidRPr="008A16E7">
        <w:t>victims of opportunistic politicians</w:t>
      </w:r>
      <w:r w:rsidR="00BD246E">
        <w:t>’</w:t>
      </w:r>
      <w:r w:rsidR="00640852" w:rsidRPr="008A16E7">
        <w:t xml:space="preserve"> deserving special protection</w:t>
      </w:r>
      <w:r w:rsidR="000043ED" w:rsidRPr="008A16E7">
        <w:t>.</w:t>
      </w:r>
      <w:r w:rsidR="00DB6E4F" w:rsidRPr="008A16E7">
        <w:rPr>
          <w:rStyle w:val="FootnoteReference"/>
          <w:rFonts w:ascii="Garamond" w:hAnsi="Garamond"/>
          <w:color w:val="000000" w:themeColor="text1"/>
        </w:rPr>
        <w:footnoteReference w:id="14"/>
      </w:r>
      <w:r w:rsidR="00DB6E4F" w:rsidRPr="008A16E7">
        <w:t xml:space="preserve"> </w:t>
      </w:r>
      <w:r w:rsidRPr="008A16E7">
        <w:t xml:space="preserve">As a consequence, the investment treaty regime has been functioning </w:t>
      </w:r>
      <w:r w:rsidR="00B51460" w:rsidRPr="008A16E7">
        <w:t>on</w:t>
      </w:r>
      <w:r w:rsidRPr="008A16E7">
        <w:t xml:space="preserve"> a </w:t>
      </w:r>
      <w:r w:rsidR="00BD246E">
        <w:t>‘</w:t>
      </w:r>
      <w:r w:rsidRPr="008A16E7">
        <w:t>one-way street</w:t>
      </w:r>
      <w:r w:rsidR="00BD246E">
        <w:t>’</w:t>
      </w:r>
      <w:r w:rsidRPr="008A16E7">
        <w:t xml:space="preserve"> system</w:t>
      </w:r>
      <w:r w:rsidR="00B51460" w:rsidRPr="008A16E7">
        <w:t>,</w:t>
      </w:r>
      <w:r w:rsidRPr="008A16E7">
        <w:t xml:space="preserve"> where investors enjoy a wide array of legal privileges</w:t>
      </w:r>
      <w:r w:rsidR="00A853FD" w:rsidRPr="008A16E7">
        <w:t>,</w:t>
      </w:r>
      <w:r w:rsidRPr="008A16E7">
        <w:t xml:space="preserve"> with no counterbalanc</w:t>
      </w:r>
      <w:r w:rsidR="00B51460" w:rsidRPr="008A16E7">
        <w:t>ing obligations</w:t>
      </w:r>
      <w:r w:rsidRPr="008A16E7">
        <w:t xml:space="preserve"> to foster and safeguard responsible business conduct. Furthermore, </w:t>
      </w:r>
      <w:r w:rsidR="00640852" w:rsidRPr="008A16E7">
        <w:t xml:space="preserve">not only do </w:t>
      </w:r>
      <w:r w:rsidRPr="008A16E7">
        <w:t xml:space="preserve">the bulk of investment treaties </w:t>
      </w:r>
      <w:r w:rsidR="00640852" w:rsidRPr="008A16E7">
        <w:t>f</w:t>
      </w:r>
      <w:r w:rsidR="00E96B97" w:rsidRPr="008A16E7">
        <w:t xml:space="preserve">eature no express provisions to </w:t>
      </w:r>
      <w:r w:rsidR="00640852" w:rsidRPr="008A16E7">
        <w:t xml:space="preserve">regulate investor </w:t>
      </w:r>
      <w:proofErr w:type="spellStart"/>
      <w:r w:rsidR="00640852" w:rsidRPr="008A16E7">
        <w:t>behaviour</w:t>
      </w:r>
      <w:proofErr w:type="spellEnd"/>
      <w:r w:rsidR="00777024" w:rsidRPr="008A16E7">
        <w:t>,</w:t>
      </w:r>
      <w:r w:rsidR="00640852" w:rsidRPr="008A16E7">
        <w:t xml:space="preserve"> but they also </w:t>
      </w:r>
      <w:r w:rsidRPr="008A16E7">
        <w:t xml:space="preserve">limit </w:t>
      </w:r>
      <w:r w:rsidR="00777024" w:rsidRPr="008A16E7">
        <w:t>the capacity of host states</w:t>
      </w:r>
      <w:r w:rsidRPr="008A16E7">
        <w:t xml:space="preserve"> to </w:t>
      </w:r>
      <w:r w:rsidR="00777024" w:rsidRPr="008A16E7">
        <w:t>ensure</w:t>
      </w:r>
      <w:r w:rsidRPr="008A16E7">
        <w:t xml:space="preserve"> that foreign investments are carried out in a manner that benefits the society.</w:t>
      </w:r>
      <w:r w:rsidR="008446A9" w:rsidRPr="008A16E7">
        <w:rPr>
          <w:rStyle w:val="FootnoteReference"/>
          <w:rFonts w:ascii="Garamond" w:hAnsi="Garamond"/>
          <w:color w:val="000000" w:themeColor="text1"/>
        </w:rPr>
        <w:footnoteReference w:id="15"/>
      </w:r>
      <w:r w:rsidRPr="008A16E7">
        <w:t xml:space="preserve"> </w:t>
      </w:r>
    </w:p>
    <w:p w14:paraId="3064925A" w14:textId="7DAB5AD4" w:rsidR="00447B1C" w:rsidRDefault="007139C5" w:rsidP="00447B1C">
      <w:pPr>
        <w:rPr>
          <w:rFonts w:cstheme="minorHAnsi"/>
        </w:rPr>
      </w:pPr>
      <w:r>
        <w:rPr>
          <w:rFonts w:cstheme="minorHAnsi"/>
        </w:rPr>
        <w:tab/>
      </w:r>
      <w:r w:rsidR="000D7078" w:rsidRPr="008A16E7">
        <w:rPr>
          <w:rFonts w:cstheme="minorHAnsi"/>
        </w:rPr>
        <w:t>The asymmetry of the investment treaty regime</w:t>
      </w:r>
      <w:r w:rsidR="00777024" w:rsidRPr="008A16E7">
        <w:rPr>
          <w:rFonts w:cstheme="minorHAnsi"/>
        </w:rPr>
        <w:t xml:space="preserve"> – i</w:t>
      </w:r>
      <w:r w:rsidR="000D7078" w:rsidRPr="008A16E7">
        <w:rPr>
          <w:rFonts w:cstheme="minorHAnsi"/>
        </w:rPr>
        <w:t>ts traditional preoccupation with guaranteeing investor rights but not responsibilities</w:t>
      </w:r>
      <w:r w:rsidR="00777024" w:rsidRPr="008A16E7">
        <w:rPr>
          <w:rFonts w:cstheme="minorHAnsi"/>
        </w:rPr>
        <w:t xml:space="preserve"> – </w:t>
      </w:r>
      <w:r w:rsidR="000D7078" w:rsidRPr="008A16E7">
        <w:rPr>
          <w:rFonts w:cstheme="minorHAnsi"/>
        </w:rPr>
        <w:t xml:space="preserve">has long been </w:t>
      </w:r>
      <w:r w:rsidR="003C62DC" w:rsidRPr="008A16E7">
        <w:rPr>
          <w:rFonts w:cstheme="minorHAnsi"/>
        </w:rPr>
        <w:t xml:space="preserve">strongly </w:t>
      </w:r>
      <w:proofErr w:type="spellStart"/>
      <w:r w:rsidR="000D7078" w:rsidRPr="008A16E7">
        <w:rPr>
          <w:rFonts w:cstheme="minorHAnsi"/>
        </w:rPr>
        <w:t>critici</w:t>
      </w:r>
      <w:r w:rsidR="00EB7750" w:rsidRPr="008A16E7">
        <w:rPr>
          <w:rFonts w:cstheme="minorHAnsi"/>
        </w:rPr>
        <w:t>s</w:t>
      </w:r>
      <w:r w:rsidR="000D7078" w:rsidRPr="008A16E7">
        <w:rPr>
          <w:rFonts w:cstheme="minorHAnsi"/>
        </w:rPr>
        <w:t>ed</w:t>
      </w:r>
      <w:proofErr w:type="spellEnd"/>
      <w:r w:rsidR="000D7078" w:rsidRPr="008A16E7">
        <w:rPr>
          <w:rFonts w:cstheme="minorHAnsi"/>
        </w:rPr>
        <w:t xml:space="preserve">. </w:t>
      </w:r>
      <w:r w:rsidR="00EB7750" w:rsidRPr="008A16E7">
        <w:rPr>
          <w:rFonts w:cstheme="minorHAnsi"/>
        </w:rPr>
        <w:t xml:space="preserve">Equally </w:t>
      </w:r>
      <w:r w:rsidR="00640852" w:rsidRPr="008A16E7">
        <w:rPr>
          <w:rFonts w:cstheme="minorHAnsi"/>
        </w:rPr>
        <w:t xml:space="preserve">vociferous and prolific are the </w:t>
      </w:r>
      <w:r w:rsidR="00EA5536" w:rsidRPr="008A16E7">
        <w:rPr>
          <w:rFonts w:cstheme="minorHAnsi"/>
        </w:rPr>
        <w:t xml:space="preserve">existing </w:t>
      </w:r>
      <w:r w:rsidR="00640852" w:rsidRPr="008A16E7">
        <w:rPr>
          <w:rFonts w:cstheme="minorHAnsi"/>
        </w:rPr>
        <w:t xml:space="preserve">critiques of </w:t>
      </w:r>
      <w:r w:rsidR="00EB7750" w:rsidRPr="008A16E7">
        <w:rPr>
          <w:rFonts w:cstheme="minorHAnsi"/>
        </w:rPr>
        <w:t xml:space="preserve">the inhibiting effect of </w:t>
      </w:r>
      <w:r w:rsidR="00640852" w:rsidRPr="008A16E7">
        <w:rPr>
          <w:rFonts w:cstheme="minorHAnsi"/>
        </w:rPr>
        <w:t xml:space="preserve">investment treaty law </w:t>
      </w:r>
      <w:r w:rsidR="00EB7750" w:rsidRPr="008A16E7">
        <w:rPr>
          <w:rFonts w:cstheme="minorHAnsi"/>
        </w:rPr>
        <w:t xml:space="preserve">on host states’ capacity to regulate in the wider public interest. </w:t>
      </w:r>
      <w:r w:rsidR="000D7078" w:rsidRPr="008A16E7">
        <w:rPr>
          <w:rFonts w:cstheme="minorHAnsi"/>
        </w:rPr>
        <w:t>Yet th</w:t>
      </w:r>
      <w:r w:rsidR="00EB7750" w:rsidRPr="008A16E7">
        <w:rPr>
          <w:rFonts w:cstheme="minorHAnsi"/>
        </w:rPr>
        <w:t xml:space="preserve">is focus on the </w:t>
      </w:r>
      <w:r w:rsidR="00AF13EB" w:rsidRPr="008A16E7">
        <w:rPr>
          <w:rFonts w:cstheme="minorHAnsi"/>
        </w:rPr>
        <w:t xml:space="preserve">host state’s </w:t>
      </w:r>
      <w:r w:rsidR="00EB7750" w:rsidRPr="008A16E7">
        <w:rPr>
          <w:rFonts w:cstheme="minorHAnsi"/>
        </w:rPr>
        <w:t xml:space="preserve">right to regulate and the asymmetry in rights and obligations between states and investors somewhat obscures another major </w:t>
      </w:r>
      <w:r w:rsidR="00865BD2" w:rsidRPr="008A16E7">
        <w:rPr>
          <w:rFonts w:cstheme="minorHAnsi"/>
        </w:rPr>
        <w:t>problem</w:t>
      </w:r>
      <w:r w:rsidR="00EB7750" w:rsidRPr="008A16E7">
        <w:rPr>
          <w:rFonts w:cstheme="minorHAnsi"/>
        </w:rPr>
        <w:t xml:space="preserve"> of the contemporary investment treaty regime: a tendency to view investment</w:t>
      </w:r>
      <w:r w:rsidR="00777024" w:rsidRPr="008A16E7">
        <w:rPr>
          <w:rFonts w:cstheme="minorHAnsi"/>
        </w:rPr>
        <w:t>s</w:t>
      </w:r>
      <w:r w:rsidR="00EB7750" w:rsidRPr="008A16E7">
        <w:rPr>
          <w:rFonts w:cstheme="minorHAnsi"/>
        </w:rPr>
        <w:t xml:space="preserve"> as a relational process exclusively between two actors – host states and foreign investors</w:t>
      </w:r>
      <w:r w:rsidR="009879CF">
        <w:rPr>
          <w:rFonts w:cstheme="minorHAnsi"/>
        </w:rPr>
        <w:t xml:space="preserve"> –</w:t>
      </w:r>
      <w:r w:rsidR="009879CF" w:rsidRPr="008A16E7">
        <w:rPr>
          <w:rFonts w:cstheme="minorHAnsi"/>
        </w:rPr>
        <w:t xml:space="preserve"> </w:t>
      </w:r>
      <w:r w:rsidR="000B5DC2" w:rsidRPr="008A16E7">
        <w:rPr>
          <w:rFonts w:cstheme="minorHAnsi"/>
        </w:rPr>
        <w:t xml:space="preserve">thus </w:t>
      </w:r>
      <w:r w:rsidR="00EB7750" w:rsidRPr="008A16E7">
        <w:rPr>
          <w:rFonts w:cstheme="minorHAnsi"/>
        </w:rPr>
        <w:t xml:space="preserve">rendering </w:t>
      </w:r>
      <w:r w:rsidR="00865BD2" w:rsidRPr="008A16E7">
        <w:rPr>
          <w:rFonts w:cstheme="minorHAnsi"/>
        </w:rPr>
        <w:t>other stakeholders</w:t>
      </w:r>
      <w:r w:rsidR="00777024" w:rsidRPr="008A16E7">
        <w:rPr>
          <w:rFonts w:cstheme="minorHAnsi"/>
        </w:rPr>
        <w:t xml:space="preserve">, </w:t>
      </w:r>
      <w:r w:rsidR="00865BD2" w:rsidRPr="008A16E7">
        <w:rPr>
          <w:rFonts w:cstheme="minorHAnsi"/>
        </w:rPr>
        <w:t xml:space="preserve">including </w:t>
      </w:r>
      <w:r w:rsidR="00EB7750" w:rsidRPr="008A16E7">
        <w:rPr>
          <w:rFonts w:cstheme="minorHAnsi"/>
        </w:rPr>
        <w:t>local communities</w:t>
      </w:r>
      <w:r w:rsidR="00777024" w:rsidRPr="008A16E7">
        <w:rPr>
          <w:rFonts w:cstheme="minorHAnsi"/>
        </w:rPr>
        <w:t xml:space="preserve">, </w:t>
      </w:r>
      <w:r w:rsidR="00865BD2" w:rsidRPr="008A16E7">
        <w:rPr>
          <w:rFonts w:cstheme="minorHAnsi"/>
        </w:rPr>
        <w:t>effect</w:t>
      </w:r>
      <w:r w:rsidR="00EB7750" w:rsidRPr="008A16E7">
        <w:rPr>
          <w:rFonts w:cstheme="minorHAnsi"/>
        </w:rPr>
        <w:t>ively invisible.</w:t>
      </w:r>
      <w:r w:rsidR="00EB7750" w:rsidRPr="008A16E7">
        <w:rPr>
          <w:rStyle w:val="FootnoteReference"/>
          <w:rFonts w:ascii="Garamond" w:hAnsi="Garamond" w:cstheme="minorHAnsi"/>
          <w:color w:val="000000" w:themeColor="text1"/>
        </w:rPr>
        <w:footnoteReference w:id="16"/>
      </w:r>
      <w:r w:rsidR="00EB7750" w:rsidRPr="008A16E7">
        <w:rPr>
          <w:rFonts w:cstheme="minorHAnsi"/>
        </w:rPr>
        <w:t xml:space="preserve"> </w:t>
      </w:r>
      <w:r w:rsidR="00BB470A" w:rsidRPr="008A16E7">
        <w:rPr>
          <w:rFonts w:cstheme="minorHAnsi"/>
        </w:rPr>
        <w:t xml:space="preserve">For decades, concerns about the implications of </w:t>
      </w:r>
      <w:r w:rsidR="00BB470A" w:rsidRPr="008A16E7">
        <w:rPr>
          <w:rFonts w:cstheme="minorHAnsi"/>
        </w:rPr>
        <w:lastRenderedPageBreak/>
        <w:t xml:space="preserve">international </w:t>
      </w:r>
      <w:r w:rsidR="00640852" w:rsidRPr="008A16E7">
        <w:rPr>
          <w:rFonts w:cstheme="minorHAnsi"/>
        </w:rPr>
        <w:t>investment law</w:t>
      </w:r>
      <w:r w:rsidR="00BB470A" w:rsidRPr="008A16E7">
        <w:rPr>
          <w:rFonts w:cstheme="minorHAnsi"/>
        </w:rPr>
        <w:t xml:space="preserve"> on host </w:t>
      </w:r>
      <w:r w:rsidR="00B51460" w:rsidRPr="008A16E7">
        <w:rPr>
          <w:rFonts w:cstheme="minorHAnsi"/>
        </w:rPr>
        <w:t>states</w:t>
      </w:r>
      <w:r w:rsidR="00BB470A" w:rsidRPr="008A16E7">
        <w:rPr>
          <w:rFonts w:cstheme="minorHAnsi"/>
        </w:rPr>
        <w:t xml:space="preserve"> were met with a promise of more policy space, a</w:t>
      </w:r>
      <w:r w:rsidR="009879CF">
        <w:rPr>
          <w:rFonts w:cstheme="minorHAnsi"/>
        </w:rPr>
        <w:t>nd</w:t>
      </w:r>
      <w:r w:rsidR="00BB470A" w:rsidRPr="008A16E7">
        <w:rPr>
          <w:rFonts w:cstheme="minorHAnsi"/>
        </w:rPr>
        <w:t xml:space="preserve"> greater freedom to regulate.</w:t>
      </w:r>
      <w:r w:rsidR="00BB470A" w:rsidRPr="008A16E7">
        <w:rPr>
          <w:rStyle w:val="FootnoteReference"/>
          <w:rFonts w:ascii="Garamond" w:hAnsi="Garamond" w:cstheme="minorHAnsi"/>
          <w:color w:val="000000" w:themeColor="text1"/>
        </w:rPr>
        <w:footnoteReference w:id="17"/>
      </w:r>
      <w:r w:rsidR="00BB470A" w:rsidRPr="008A16E7">
        <w:rPr>
          <w:rFonts w:cstheme="minorHAnsi"/>
        </w:rPr>
        <w:t xml:space="preserve"> </w:t>
      </w:r>
      <w:r w:rsidR="00865BD2" w:rsidRPr="008A16E7">
        <w:rPr>
          <w:rFonts w:cstheme="minorHAnsi"/>
        </w:rPr>
        <w:t>Yet t</w:t>
      </w:r>
      <w:r w:rsidR="00640852" w:rsidRPr="008A16E7">
        <w:rPr>
          <w:rFonts w:cstheme="minorHAnsi"/>
        </w:rPr>
        <w:t xml:space="preserve">he language of </w:t>
      </w:r>
      <w:r w:rsidR="00777024" w:rsidRPr="008A16E7">
        <w:rPr>
          <w:rFonts w:cstheme="minorHAnsi"/>
        </w:rPr>
        <w:t xml:space="preserve">the </w:t>
      </w:r>
      <w:r w:rsidR="00BD246E">
        <w:rPr>
          <w:rFonts w:cstheme="minorHAnsi"/>
        </w:rPr>
        <w:t>‘</w:t>
      </w:r>
      <w:r w:rsidR="00640852" w:rsidRPr="008A16E7">
        <w:rPr>
          <w:rFonts w:cstheme="minorHAnsi"/>
        </w:rPr>
        <w:t>right to regulate</w:t>
      </w:r>
      <w:r w:rsidR="00BD246E">
        <w:rPr>
          <w:rFonts w:cstheme="minorHAnsi"/>
        </w:rPr>
        <w:t>’</w:t>
      </w:r>
      <w:r w:rsidR="00640852" w:rsidRPr="008A16E7">
        <w:rPr>
          <w:rFonts w:cstheme="minorHAnsi"/>
        </w:rPr>
        <w:t xml:space="preserve"> conveniently shifts the obligation to take care of community interests from investors onto host states. </w:t>
      </w:r>
      <w:r w:rsidR="00BB470A" w:rsidRPr="008A16E7">
        <w:rPr>
          <w:rFonts w:cstheme="minorHAnsi"/>
        </w:rPr>
        <w:t xml:space="preserve">As Schneiderman and Perrone observe, </w:t>
      </w:r>
      <w:r w:rsidR="004F2A99" w:rsidRPr="008A16E7">
        <w:rPr>
          <w:rFonts w:cstheme="minorHAnsi"/>
        </w:rPr>
        <w:t xml:space="preserve">the focus </w:t>
      </w:r>
      <w:r w:rsidR="00706B61" w:rsidRPr="008A16E7">
        <w:rPr>
          <w:rFonts w:cstheme="minorHAnsi"/>
        </w:rPr>
        <w:t xml:space="preserve">on the </w:t>
      </w:r>
      <w:r w:rsidR="00BB470A" w:rsidRPr="008A16E7">
        <w:rPr>
          <w:rFonts w:cstheme="minorHAnsi"/>
        </w:rPr>
        <w:t xml:space="preserve">sovereign right to regulate </w:t>
      </w:r>
      <w:r w:rsidR="00BD246E">
        <w:rPr>
          <w:rFonts w:cstheme="minorHAnsi"/>
        </w:rPr>
        <w:t>‘</w:t>
      </w:r>
      <w:r w:rsidR="009879CF">
        <w:rPr>
          <w:rFonts w:cstheme="minorHAnsi"/>
        </w:rPr>
        <w:t>E</w:t>
      </w:r>
      <w:r w:rsidR="00BB470A" w:rsidRPr="008A16E7">
        <w:rPr>
          <w:rFonts w:cstheme="minorHAnsi"/>
        </w:rPr>
        <w:t>lides the fundamental question of what sort of regulatory imagination remains possible under regimes fashioned by a dominant political frame that aspires to unfettered economic freedom</w:t>
      </w:r>
      <w:r w:rsidR="00BD246E">
        <w:rPr>
          <w:rFonts w:cstheme="minorHAnsi"/>
        </w:rPr>
        <w:t>’</w:t>
      </w:r>
      <w:r w:rsidR="00BB470A" w:rsidRPr="008A16E7">
        <w:rPr>
          <w:rFonts w:cstheme="minorHAnsi"/>
        </w:rPr>
        <w:t>.</w:t>
      </w:r>
      <w:r w:rsidR="00BB470A" w:rsidRPr="008A16E7">
        <w:rPr>
          <w:rStyle w:val="FootnoteReference"/>
          <w:rFonts w:ascii="Garamond" w:hAnsi="Garamond" w:cstheme="minorHAnsi"/>
          <w:color w:val="000000" w:themeColor="text1"/>
        </w:rPr>
        <w:footnoteReference w:id="18"/>
      </w:r>
      <w:r w:rsidR="00BB470A" w:rsidRPr="008A16E7">
        <w:rPr>
          <w:rFonts w:cstheme="minorHAnsi"/>
        </w:rPr>
        <w:t xml:space="preserve"> </w:t>
      </w:r>
    </w:p>
    <w:p w14:paraId="5423A413" w14:textId="708E0644" w:rsidR="00DA5609" w:rsidRDefault="009879CF" w:rsidP="00447B1C">
      <w:r>
        <w:tab/>
      </w:r>
      <w:r w:rsidR="00865BD2" w:rsidRPr="008A16E7">
        <w:t>Cr</w:t>
      </w:r>
      <w:r w:rsidR="003C62DC" w:rsidRPr="008A16E7">
        <w:t>u</w:t>
      </w:r>
      <w:r w:rsidR="00865BD2" w:rsidRPr="008A16E7">
        <w:t>cially</w:t>
      </w:r>
      <w:r w:rsidR="00277431" w:rsidRPr="008A16E7">
        <w:t>, bringing the need for social</w:t>
      </w:r>
      <w:r w:rsidR="00BC15A8" w:rsidRPr="008A16E7">
        <w:t>ly</w:t>
      </w:r>
      <w:r w:rsidR="00277431" w:rsidRPr="008A16E7">
        <w:t xml:space="preserve"> inclusive development under the all-encompassing rubric of the </w:t>
      </w:r>
      <w:r w:rsidR="00BD246E">
        <w:t>‘</w:t>
      </w:r>
      <w:r w:rsidR="00277431" w:rsidRPr="008A16E7">
        <w:t>right to regulate</w:t>
      </w:r>
      <w:r w:rsidR="00BD246E">
        <w:t>’</w:t>
      </w:r>
      <w:r w:rsidR="00277431" w:rsidRPr="008A16E7">
        <w:t xml:space="preserve"> creates an illusion of choice and a freedom to act on the part of the host state as a bearer of such a right. The contemporary normative justifications of international investment law </w:t>
      </w:r>
      <w:r w:rsidR="00865BD2" w:rsidRPr="008A16E7">
        <w:t>frame</w:t>
      </w:r>
      <w:r w:rsidR="00277431" w:rsidRPr="008A16E7">
        <w:t xml:space="preserve"> investment protection and promotion as matter</w:t>
      </w:r>
      <w:r w:rsidR="00A853FD" w:rsidRPr="008A16E7">
        <w:t>s</w:t>
      </w:r>
      <w:r w:rsidR="00277431" w:rsidRPr="008A16E7">
        <w:t xml:space="preserve"> of international concern, while leaving the distributional effects of investment</w:t>
      </w:r>
      <w:r w:rsidR="00777024" w:rsidRPr="008A16E7">
        <w:t>s</w:t>
      </w:r>
      <w:r w:rsidR="00277431" w:rsidRPr="008A16E7">
        <w:t xml:space="preserve"> to domestic policymaking.</w:t>
      </w:r>
      <w:r w:rsidR="00277431" w:rsidRPr="008A16E7">
        <w:rPr>
          <w:rStyle w:val="FootnoteReference"/>
          <w:rFonts w:ascii="Garamond" w:hAnsi="Garamond"/>
          <w:color w:val="000000" w:themeColor="text1"/>
        </w:rPr>
        <w:footnoteReference w:id="19"/>
      </w:r>
      <w:r w:rsidR="00CC3913" w:rsidRPr="008A16E7">
        <w:t xml:space="preserve"> Yet these justifications are not borne out by the evidence of how structural forces shape the global economic order. </w:t>
      </w:r>
      <w:r w:rsidR="005316E4" w:rsidRPr="008A16E7">
        <w:t>Foreign investors are able to choose where to invest and how to structure their investments across borders. As host states compete over inward foreign investment</w:t>
      </w:r>
      <w:r w:rsidR="00FE1FFD" w:rsidRPr="008A16E7">
        <w:t>,</w:t>
      </w:r>
      <w:r w:rsidR="005316E4" w:rsidRPr="008A16E7">
        <w:t xml:space="preserve"> there is a danger they will engage in </w:t>
      </w:r>
      <w:r w:rsidR="00BD246E">
        <w:t>‘</w:t>
      </w:r>
      <w:r w:rsidR="005316E4" w:rsidRPr="008A16E7">
        <w:t>the race to the bottom</w:t>
      </w:r>
      <w:r w:rsidR="00BD246E">
        <w:t>’</w:t>
      </w:r>
      <w:r w:rsidR="005316E4" w:rsidRPr="008A16E7">
        <w:t xml:space="preserve"> by relaxing, or refraining from regulatory policies on key social and environmental issues.</w:t>
      </w:r>
      <w:r w:rsidR="005316E4" w:rsidRPr="008A16E7">
        <w:rPr>
          <w:rStyle w:val="FootnoteReference"/>
          <w:rFonts w:ascii="Garamond" w:hAnsi="Garamond"/>
          <w:color w:val="000000" w:themeColor="text1"/>
        </w:rPr>
        <w:footnoteReference w:id="20"/>
      </w:r>
      <w:r w:rsidR="005316E4" w:rsidRPr="008A16E7">
        <w:t xml:space="preserve"> </w:t>
      </w:r>
      <w:r w:rsidR="00E96B97" w:rsidRPr="008A16E7">
        <w:t>Recent empirical studies reveal instances when, driven by the fear of displeasing the prospective investor and losing</w:t>
      </w:r>
      <w:r w:rsidR="00FE1FFD" w:rsidRPr="008A16E7">
        <w:t xml:space="preserve"> their</w:t>
      </w:r>
      <w:r w:rsidR="00E96B97" w:rsidRPr="008A16E7">
        <w:t xml:space="preserve"> investment, senior government officials </w:t>
      </w:r>
      <w:r w:rsidR="00865BD2" w:rsidRPr="008A16E7">
        <w:t>desisted from</w:t>
      </w:r>
      <w:r w:rsidR="00E96B97" w:rsidRPr="008A16E7">
        <w:t xml:space="preserve"> the inclusion of public policy-friendly provisions in </w:t>
      </w:r>
      <w:r w:rsidR="00BC15A8" w:rsidRPr="008A16E7">
        <w:t>laws and</w:t>
      </w:r>
      <w:r w:rsidR="00E96B97" w:rsidRPr="008A16E7">
        <w:t xml:space="preserve"> investment agreement</w:t>
      </w:r>
      <w:r w:rsidR="00BC15A8" w:rsidRPr="008A16E7">
        <w:t>s</w:t>
      </w:r>
      <w:r w:rsidR="00E96B97" w:rsidRPr="008A16E7">
        <w:t>.</w:t>
      </w:r>
      <w:r w:rsidR="00E96B97" w:rsidRPr="008A16E7">
        <w:rPr>
          <w:rStyle w:val="FootnoteReference"/>
          <w:rFonts w:ascii="Garamond" w:hAnsi="Garamond" w:cstheme="minorHAnsi"/>
          <w:color w:val="000000" w:themeColor="text1"/>
        </w:rPr>
        <w:footnoteReference w:id="21"/>
      </w:r>
      <w:r w:rsidR="00E96B97" w:rsidRPr="008A16E7">
        <w:t xml:space="preserve"> </w:t>
      </w:r>
      <w:r w:rsidR="00CC3913" w:rsidRPr="008A16E7">
        <w:t xml:space="preserve">Just as is </w:t>
      </w:r>
      <w:r w:rsidR="00CC3913" w:rsidRPr="008A16E7">
        <w:lastRenderedPageBreak/>
        <w:t xml:space="preserve">the case in international trade, structural forces empower capital against </w:t>
      </w:r>
      <w:r w:rsidR="00DB6E4F" w:rsidRPr="008A16E7">
        <w:t xml:space="preserve">host </w:t>
      </w:r>
      <w:r w:rsidR="00CC3913" w:rsidRPr="008A16E7">
        <w:t>government</w:t>
      </w:r>
      <w:r w:rsidR="00DB6E4F" w:rsidRPr="008A16E7">
        <w:t>s</w:t>
      </w:r>
      <w:r w:rsidR="00FE1FFD" w:rsidRPr="008A16E7">
        <w:t xml:space="preserve"> in international investment governance</w:t>
      </w:r>
      <w:r w:rsidR="00DB6E4F" w:rsidRPr="008A16E7">
        <w:t>.</w:t>
      </w:r>
      <w:r w:rsidR="00DB6E4F" w:rsidRPr="008A16E7">
        <w:rPr>
          <w:rStyle w:val="FootnoteReference"/>
          <w:rFonts w:ascii="Garamond" w:hAnsi="Garamond"/>
          <w:color w:val="000000" w:themeColor="text1"/>
        </w:rPr>
        <w:footnoteReference w:id="22"/>
      </w:r>
      <w:r w:rsidR="00DB6E4F" w:rsidRPr="008A16E7">
        <w:t xml:space="preserve"> </w:t>
      </w:r>
      <w:r w:rsidR="009B4DFC" w:rsidRPr="008A16E7">
        <w:t>To quote Shaffer</w:t>
      </w:r>
      <w:r w:rsidR="003E5BAB">
        <w:t>:</w:t>
      </w:r>
      <w:r w:rsidR="009B4DFC" w:rsidRPr="008A16E7">
        <w:t xml:space="preserve"> </w:t>
      </w:r>
    </w:p>
    <w:p w14:paraId="15CD1D06" w14:textId="45700C60" w:rsidR="00DA5609" w:rsidRDefault="00DA5609" w:rsidP="005A6DA1">
      <w:pPr>
        <w:pStyle w:val="Quote"/>
      </w:pPr>
      <w:r>
        <w:t>C</w:t>
      </w:r>
      <w:r w:rsidR="00CC3913" w:rsidRPr="008A16E7">
        <w:t>apital plays governments off each other, threatening to invest abroad if taxes on capital are not reduced and if subsidies are not increased. Capital</w:t>
      </w:r>
      <w:r w:rsidR="00285466" w:rsidRPr="008A16E7">
        <w:t>’</w:t>
      </w:r>
      <w:r w:rsidR="00CC3913" w:rsidRPr="008A16E7">
        <w:t>s increased leverage threatens to erode governments' ability to fund social protection and educational and employment policies</w:t>
      </w:r>
      <w:r w:rsidR="003E5BAB">
        <w:t>.</w:t>
      </w:r>
      <w:r w:rsidR="00CC3913" w:rsidRPr="008A16E7">
        <w:rPr>
          <w:rStyle w:val="FootnoteReference"/>
          <w:rFonts w:ascii="Garamond" w:hAnsi="Garamond"/>
          <w:color w:val="000000" w:themeColor="text1"/>
        </w:rPr>
        <w:footnoteReference w:id="23"/>
      </w:r>
      <w:r w:rsidR="00DB6E4F" w:rsidRPr="008A16E7">
        <w:t xml:space="preserve"> </w:t>
      </w:r>
    </w:p>
    <w:p w14:paraId="6DF3FA12" w14:textId="014A2DD6" w:rsidR="00447B1C" w:rsidRDefault="0064382E" w:rsidP="005A6DA1">
      <w:pPr>
        <w:pStyle w:val="NormalContinued"/>
      </w:pPr>
      <w:r w:rsidRPr="008A16E7">
        <w:t xml:space="preserve">The connection between foreign investment and social outcomes is </w:t>
      </w:r>
      <w:r w:rsidR="00E96B97" w:rsidRPr="008A16E7">
        <w:t>fraught with controversy</w:t>
      </w:r>
      <w:r w:rsidRPr="008A16E7">
        <w:t xml:space="preserve">, and so are the societal costs and benefits of international investment law. </w:t>
      </w:r>
    </w:p>
    <w:p w14:paraId="1EACBE3D" w14:textId="54BC3FD1" w:rsidR="00447B1C" w:rsidRDefault="003E5BAB" w:rsidP="00447B1C">
      <w:r>
        <w:tab/>
      </w:r>
      <w:r w:rsidR="00BD246E">
        <w:t>‘</w:t>
      </w:r>
      <w:r w:rsidR="00895A29" w:rsidRPr="008A16E7">
        <w:t>The new trade establishment mantra is that trade must be made more inclusive.</w:t>
      </w:r>
      <w:r w:rsidR="00BD246E">
        <w:t>’</w:t>
      </w:r>
      <w:r w:rsidR="00895A29" w:rsidRPr="008A16E7">
        <w:rPr>
          <w:vertAlign w:val="superscript"/>
        </w:rPr>
        <w:footnoteReference w:id="24"/>
      </w:r>
      <w:r w:rsidR="00895A29" w:rsidRPr="008A16E7">
        <w:t xml:space="preserve"> </w:t>
      </w:r>
      <w:r w:rsidR="00DB6E4F" w:rsidRPr="008A16E7">
        <w:t xml:space="preserve">While international trade experts are increasingly </w:t>
      </w:r>
      <w:proofErr w:type="spellStart"/>
      <w:r w:rsidRPr="008A16E7">
        <w:t>cogni</w:t>
      </w:r>
      <w:r>
        <w:t>s</w:t>
      </w:r>
      <w:r w:rsidRPr="008A16E7">
        <w:t>ant</w:t>
      </w:r>
      <w:proofErr w:type="spellEnd"/>
      <w:r w:rsidRPr="008A16E7">
        <w:t xml:space="preserve"> </w:t>
      </w:r>
      <w:r w:rsidR="00DB6E4F" w:rsidRPr="008A16E7">
        <w:t>of the idea that international trade agreements will only be sustainable if states commit to distribute economic gains broadly,</w:t>
      </w:r>
      <w:r w:rsidR="00DB6E4F" w:rsidRPr="008A16E7">
        <w:rPr>
          <w:rStyle w:val="FootnoteReference"/>
          <w:rFonts w:ascii="Garamond" w:hAnsi="Garamond"/>
          <w:color w:val="000000" w:themeColor="text1"/>
        </w:rPr>
        <w:footnoteReference w:id="25"/>
      </w:r>
      <w:r w:rsidR="00DB6E4F" w:rsidRPr="008A16E7">
        <w:t xml:space="preserve"> such understanding is still largely missing in international investment law. Investment treaty law</w:t>
      </w:r>
      <w:r w:rsidR="00FE1FFD" w:rsidRPr="008A16E7">
        <w:t xml:space="preserve">, </w:t>
      </w:r>
      <w:r w:rsidR="00DB6E4F" w:rsidRPr="008A16E7">
        <w:t xml:space="preserve">even in its most </w:t>
      </w:r>
      <w:r w:rsidR="0064382E" w:rsidRPr="008A16E7">
        <w:t>progressive reform templates</w:t>
      </w:r>
      <w:r w:rsidR="00FE1FFD" w:rsidRPr="008A16E7">
        <w:t xml:space="preserve">, </w:t>
      </w:r>
      <w:r w:rsidR="0064382E" w:rsidRPr="008A16E7">
        <w:t xml:space="preserve">has </w:t>
      </w:r>
      <w:r w:rsidR="000632E9" w:rsidRPr="008A16E7">
        <w:t xml:space="preserve">never </w:t>
      </w:r>
      <w:r w:rsidR="0064382E" w:rsidRPr="008A16E7">
        <w:t xml:space="preserve">expressly </w:t>
      </w:r>
      <w:r w:rsidR="000632E9" w:rsidRPr="008A16E7">
        <w:t>concerned itself with domestic social policy</w:t>
      </w:r>
      <w:r w:rsidR="00134BB6" w:rsidRPr="008A16E7">
        <w:t xml:space="preserve"> </w:t>
      </w:r>
      <w:r w:rsidR="000632E9" w:rsidRPr="008A16E7">
        <w:t xml:space="preserve">and </w:t>
      </w:r>
      <w:r w:rsidR="00FE1FFD" w:rsidRPr="008A16E7">
        <w:t xml:space="preserve">has </w:t>
      </w:r>
      <w:r w:rsidR="000632E9" w:rsidRPr="008A16E7">
        <w:t xml:space="preserve">never acknowledged the existence of winners-losers. </w:t>
      </w:r>
      <w:r w:rsidR="00134BB6" w:rsidRPr="008A16E7">
        <w:t xml:space="preserve">Historically, international investment law was </w:t>
      </w:r>
      <w:r w:rsidR="00BC15A8" w:rsidRPr="008A16E7">
        <w:t>preoccupied</w:t>
      </w:r>
      <w:r w:rsidR="00134BB6" w:rsidRPr="008A16E7">
        <w:t xml:space="preserve"> with safeguarding and </w:t>
      </w:r>
      <w:proofErr w:type="spellStart"/>
      <w:r w:rsidR="001C5EAC" w:rsidRPr="008A16E7">
        <w:t>maximi</w:t>
      </w:r>
      <w:r w:rsidR="001C5EAC">
        <w:t>s</w:t>
      </w:r>
      <w:r w:rsidR="001C5EAC" w:rsidRPr="008A16E7">
        <w:t>ing</w:t>
      </w:r>
      <w:proofErr w:type="spellEnd"/>
      <w:r w:rsidR="001C5EAC" w:rsidRPr="008A16E7">
        <w:t xml:space="preserve"> </w:t>
      </w:r>
      <w:r w:rsidR="00134BB6" w:rsidRPr="008A16E7">
        <w:t>investors’ wealth, not the well-being of the host</w:t>
      </w:r>
      <w:r w:rsidR="00106822" w:rsidRPr="008A16E7">
        <w:t xml:space="preserve"> state</w:t>
      </w:r>
      <w:r w:rsidR="00134BB6" w:rsidRPr="008A16E7">
        <w:t>’s native population.</w:t>
      </w:r>
      <w:r w:rsidR="00134BB6" w:rsidRPr="008A16E7">
        <w:rPr>
          <w:rStyle w:val="FootnoteReference"/>
          <w:rFonts w:ascii="Garamond" w:hAnsi="Garamond"/>
          <w:color w:val="000000" w:themeColor="text1"/>
        </w:rPr>
        <w:footnoteReference w:id="26"/>
      </w:r>
      <w:r w:rsidR="00134BB6" w:rsidRPr="008A16E7">
        <w:t xml:space="preserve"> </w:t>
      </w:r>
      <w:r w:rsidR="000632E9" w:rsidRPr="008A16E7">
        <w:t xml:space="preserve">Investment treaty </w:t>
      </w:r>
      <w:r w:rsidR="009B4DFC" w:rsidRPr="008A16E7">
        <w:t>protections</w:t>
      </w:r>
      <w:r w:rsidR="000632E9" w:rsidRPr="008A16E7">
        <w:t xml:space="preserve"> ha</w:t>
      </w:r>
      <w:r w:rsidR="009B4DFC" w:rsidRPr="008A16E7">
        <w:t>ve</w:t>
      </w:r>
      <w:r w:rsidR="000632E9" w:rsidRPr="008A16E7">
        <w:t xml:space="preserve"> empowered capital</w:t>
      </w:r>
      <w:r w:rsidR="00E96B97" w:rsidRPr="008A16E7">
        <w:t>,</w:t>
      </w:r>
      <w:r w:rsidR="000632E9" w:rsidRPr="008A16E7">
        <w:t xml:space="preserve"> whilst </w:t>
      </w:r>
      <w:r w:rsidR="00E96B97" w:rsidRPr="008A16E7">
        <w:t>also</w:t>
      </w:r>
      <w:r w:rsidR="00FE1FFD" w:rsidRPr="008A16E7">
        <w:t xml:space="preserve"> – </w:t>
      </w:r>
      <w:r w:rsidR="00E96B97" w:rsidRPr="008A16E7">
        <w:t>crucially</w:t>
      </w:r>
      <w:r w:rsidR="00FE1FFD" w:rsidRPr="008A16E7">
        <w:t xml:space="preserve"> – </w:t>
      </w:r>
      <w:r w:rsidR="00E96B97" w:rsidRPr="008A16E7">
        <w:t>de</w:t>
      </w:r>
      <w:r w:rsidR="00706B61" w:rsidRPr="008A16E7">
        <w:t>limiting</w:t>
      </w:r>
      <w:r w:rsidR="000632E9" w:rsidRPr="008A16E7">
        <w:t xml:space="preserve"> </w:t>
      </w:r>
      <w:r w:rsidR="00E96B97" w:rsidRPr="008A16E7">
        <w:t xml:space="preserve">host </w:t>
      </w:r>
      <w:r w:rsidR="000632E9" w:rsidRPr="008A16E7">
        <w:t>governments</w:t>
      </w:r>
      <w:r w:rsidR="001C5EAC">
        <w:t>’</w:t>
      </w:r>
      <w:r w:rsidR="000632E9" w:rsidRPr="008A16E7">
        <w:t xml:space="preserve"> </w:t>
      </w:r>
      <w:r w:rsidR="00706B61" w:rsidRPr="008A16E7">
        <w:t>capacity</w:t>
      </w:r>
      <w:r w:rsidR="00D407C6" w:rsidRPr="008A16E7">
        <w:t xml:space="preserve"> to rebalance the relationship between foreign investors and </w:t>
      </w:r>
      <w:r w:rsidR="00E96B97" w:rsidRPr="008A16E7">
        <w:t>local</w:t>
      </w:r>
      <w:r w:rsidR="00D407C6" w:rsidRPr="008A16E7">
        <w:t xml:space="preserve"> communities</w:t>
      </w:r>
      <w:r w:rsidR="000632E9" w:rsidRPr="008A16E7">
        <w:t xml:space="preserve">. </w:t>
      </w:r>
      <w:r w:rsidR="00D407C6" w:rsidRPr="008A16E7">
        <w:t>S</w:t>
      </w:r>
      <w:r w:rsidR="000632E9" w:rsidRPr="008A16E7">
        <w:t>ocial inclusion is yet to become the regime’s new mantra</w:t>
      </w:r>
      <w:r w:rsidR="00285466" w:rsidRPr="008A16E7">
        <w:t>.</w:t>
      </w:r>
      <w:r w:rsidR="008F0C90" w:rsidRPr="008A16E7">
        <w:t xml:space="preserve"> </w:t>
      </w:r>
      <w:r w:rsidR="003C62DC" w:rsidRPr="008A16E7">
        <w:t>From its inception</w:t>
      </w:r>
      <w:r w:rsidR="00086DA9" w:rsidRPr="008A16E7">
        <w:t xml:space="preserve">, investment law scholarship relegated local communities to a periphery, only as purported beneficiaries </w:t>
      </w:r>
      <w:r w:rsidR="00FE1FFD" w:rsidRPr="008A16E7">
        <w:t xml:space="preserve">that </w:t>
      </w:r>
      <w:r w:rsidR="00086DA9" w:rsidRPr="008A16E7">
        <w:t>investment treaties were expected to generate and as a source of risk against which investors had to be protected.</w:t>
      </w:r>
      <w:r w:rsidR="00086DA9" w:rsidRPr="008A16E7">
        <w:rPr>
          <w:rStyle w:val="FootnoteReference"/>
          <w:rFonts w:ascii="Garamond" w:hAnsi="Garamond"/>
          <w:color w:val="000000" w:themeColor="text1"/>
        </w:rPr>
        <w:footnoteReference w:id="27"/>
      </w:r>
      <w:r w:rsidR="00086DA9" w:rsidRPr="008A16E7">
        <w:t xml:space="preserve"> As </w:t>
      </w:r>
      <w:proofErr w:type="spellStart"/>
      <w:r w:rsidR="00086DA9" w:rsidRPr="008A16E7">
        <w:t>Cotula</w:t>
      </w:r>
      <w:proofErr w:type="spellEnd"/>
      <w:r w:rsidR="00086DA9" w:rsidRPr="008A16E7">
        <w:t xml:space="preserve"> and Perrone observe in their contribution to </w:t>
      </w:r>
      <w:r w:rsidR="00FE1FFD" w:rsidRPr="008A16E7">
        <w:t>this</w:t>
      </w:r>
      <w:r w:rsidR="00086DA9" w:rsidRPr="008A16E7">
        <w:t xml:space="preserve"> volume, </w:t>
      </w:r>
      <w:r w:rsidR="00BD246E">
        <w:t>‘</w:t>
      </w:r>
      <w:r w:rsidR="00086DA9" w:rsidRPr="008A16E7">
        <w:t xml:space="preserve">some investment lawyers may be unaccustomed to the notion of communities in the context of legal </w:t>
      </w:r>
      <w:r w:rsidR="00086DA9" w:rsidRPr="008A16E7">
        <w:lastRenderedPageBreak/>
        <w:t>scholarship</w:t>
      </w:r>
      <w:r w:rsidR="00BD246E">
        <w:t>’</w:t>
      </w:r>
      <w:r w:rsidR="00086DA9" w:rsidRPr="008A16E7">
        <w:t>, despite the term having been defined in a number of international treaties and covenants.</w:t>
      </w:r>
      <w:r w:rsidR="00086DA9" w:rsidRPr="008A16E7">
        <w:rPr>
          <w:rStyle w:val="FootnoteReference"/>
          <w:rFonts w:ascii="Garamond" w:hAnsi="Garamond"/>
        </w:rPr>
        <w:footnoteReference w:id="28"/>
      </w:r>
    </w:p>
    <w:p w14:paraId="7ED37F0A" w14:textId="54E9222C" w:rsidR="00447B1C" w:rsidRDefault="001C5EAC" w:rsidP="00447B1C">
      <w:pPr>
        <w:rPr>
          <w:rFonts w:cs="˛{»˛"/>
        </w:rPr>
      </w:pPr>
      <w:r>
        <w:tab/>
      </w:r>
      <w:r w:rsidR="00BC15A8" w:rsidRPr="008A16E7">
        <w:t>Nonetheless, j</w:t>
      </w:r>
      <w:r w:rsidR="00D407C6" w:rsidRPr="008A16E7">
        <w:t xml:space="preserve">ust </w:t>
      </w:r>
      <w:r w:rsidR="00BC15A8" w:rsidRPr="008A16E7">
        <w:t>as is the case with</w:t>
      </w:r>
      <w:r w:rsidR="00D407C6" w:rsidRPr="008A16E7">
        <w:t xml:space="preserve"> trade,</w:t>
      </w:r>
      <w:r w:rsidR="00106822" w:rsidRPr="008A16E7">
        <w:t xml:space="preserve"> it must be acknowledged that</w:t>
      </w:r>
      <w:r w:rsidR="00D407C6" w:rsidRPr="008A16E7">
        <w:t xml:space="preserve"> the protection and promotion of investment is not an end in itself</w:t>
      </w:r>
      <w:r>
        <w:t>,</w:t>
      </w:r>
      <w:r w:rsidR="00D407C6" w:rsidRPr="008A16E7">
        <w:t xml:space="preserve"> but rather a means</w:t>
      </w:r>
      <w:r w:rsidR="00A853FD" w:rsidRPr="008A16E7">
        <w:t xml:space="preserve"> to achieve certain ends</w:t>
      </w:r>
      <w:r w:rsidR="00D407C6" w:rsidRPr="008A16E7">
        <w:t>.</w:t>
      </w:r>
      <w:r w:rsidR="00D407C6" w:rsidRPr="008A16E7">
        <w:rPr>
          <w:rStyle w:val="FootnoteReference"/>
          <w:rFonts w:ascii="Garamond" w:hAnsi="Garamond"/>
          <w:color w:val="000000" w:themeColor="text1"/>
        </w:rPr>
        <w:footnoteReference w:id="29"/>
      </w:r>
      <w:r w:rsidR="00E96B97" w:rsidRPr="008A16E7">
        <w:t xml:space="preserve"> </w:t>
      </w:r>
      <w:r w:rsidR="00DB6E4F" w:rsidRPr="008A16E7">
        <w:t xml:space="preserve">To the extent that </w:t>
      </w:r>
      <w:r w:rsidR="00E96B97" w:rsidRPr="008A16E7">
        <w:t xml:space="preserve">investment </w:t>
      </w:r>
      <w:r w:rsidR="00DB6E4F" w:rsidRPr="008A16E7">
        <w:t xml:space="preserve">treaties can </w:t>
      </w:r>
      <w:proofErr w:type="spellStart"/>
      <w:r w:rsidR="00DB6E4F" w:rsidRPr="008A16E7">
        <w:t>cataly</w:t>
      </w:r>
      <w:r w:rsidR="00E96B97" w:rsidRPr="008A16E7">
        <w:t>s</w:t>
      </w:r>
      <w:r w:rsidR="00DB6E4F" w:rsidRPr="008A16E7">
        <w:t>e</w:t>
      </w:r>
      <w:proofErr w:type="spellEnd"/>
      <w:r w:rsidR="00DB6E4F" w:rsidRPr="008A16E7">
        <w:t xml:space="preserve"> cross-border </w:t>
      </w:r>
      <w:r w:rsidR="00E96B97" w:rsidRPr="008A16E7">
        <w:t>economic</w:t>
      </w:r>
      <w:r w:rsidR="00DB6E4F" w:rsidRPr="008A16E7">
        <w:t xml:space="preserve"> activity, increasing the pay of low income workers or increasing the tax revenue that can be used to redistribute wealth, they could help </w:t>
      </w:r>
      <w:r w:rsidR="008B0242" w:rsidRPr="008A16E7">
        <w:t>foster more socially inclusive economic development</w:t>
      </w:r>
      <w:r w:rsidR="00DB6E4F" w:rsidRPr="008A16E7">
        <w:t>.</w:t>
      </w:r>
      <w:r w:rsidR="00DB6E4F" w:rsidRPr="008A16E7">
        <w:rPr>
          <w:rStyle w:val="FootnoteReference"/>
          <w:rFonts w:ascii="Garamond" w:hAnsi="Garamond"/>
          <w:color w:val="000000" w:themeColor="text1"/>
        </w:rPr>
        <w:footnoteReference w:id="30"/>
      </w:r>
      <w:r w:rsidR="00DB6E4F" w:rsidRPr="008A16E7">
        <w:t xml:space="preserve"> </w:t>
      </w:r>
      <w:r w:rsidR="00235C80">
        <w:rPr>
          <w:rFonts w:cs="˛{»˛"/>
        </w:rPr>
        <w:t>T</w:t>
      </w:r>
      <w:r w:rsidR="00134BB6" w:rsidRPr="008A16E7">
        <w:rPr>
          <w:rFonts w:cs="˛{»˛"/>
        </w:rPr>
        <w:t xml:space="preserve">his chapter will </w:t>
      </w:r>
      <w:r w:rsidR="00342A60" w:rsidRPr="008A16E7">
        <w:rPr>
          <w:rFonts w:cs="˛{»˛"/>
        </w:rPr>
        <w:t>critically evaluate</w:t>
      </w:r>
      <w:r w:rsidR="00134BB6" w:rsidRPr="008A16E7">
        <w:rPr>
          <w:rFonts w:cs="˛{»˛"/>
        </w:rPr>
        <w:t xml:space="preserve"> the role of international investment agreements in allocating economic and soci</w:t>
      </w:r>
      <w:r w:rsidR="00342A60" w:rsidRPr="008A16E7">
        <w:rPr>
          <w:rFonts w:cs="˛{»˛"/>
        </w:rPr>
        <w:t xml:space="preserve">al benefits of foreign investment in host states. </w:t>
      </w:r>
      <w:r w:rsidR="00F21506" w:rsidRPr="008A16E7">
        <w:rPr>
          <w:rFonts w:cs="˛{»˛"/>
        </w:rPr>
        <w:t xml:space="preserve">In doing so, this contribution complements </w:t>
      </w:r>
      <w:proofErr w:type="spellStart"/>
      <w:r w:rsidR="00F21506" w:rsidRPr="008A16E7">
        <w:rPr>
          <w:rFonts w:cs="˛{»˛"/>
        </w:rPr>
        <w:t>Cotula</w:t>
      </w:r>
      <w:proofErr w:type="spellEnd"/>
      <w:r w:rsidR="00F21506" w:rsidRPr="008A16E7">
        <w:rPr>
          <w:rFonts w:cs="˛{»˛"/>
        </w:rPr>
        <w:t xml:space="preserve"> and Perrone’s chapter on local communities and Ranjan’s chapter on recent trends in investment treaty practice. </w:t>
      </w:r>
      <w:r w:rsidR="00342A60" w:rsidRPr="008A16E7">
        <w:rPr>
          <w:rFonts w:cs="˛{»˛"/>
        </w:rPr>
        <w:t>The core idea this chapter seeks to explore is how the contemporary international investment framework can be redesigned to move away from its sole focus on investor protection towards a system that compensates, rewards and empowers a much broader range of stakeholders.</w:t>
      </w:r>
    </w:p>
    <w:p w14:paraId="1FCA919E" w14:textId="7A30FA71" w:rsidR="00447B1C" w:rsidRDefault="00235C80" w:rsidP="00447B1C">
      <w:pPr>
        <w:pStyle w:val="Heading1"/>
        <w:rPr>
          <w:rFonts w:cstheme="minorHAnsi"/>
        </w:rPr>
      </w:pPr>
      <w:r>
        <w:t>III</w:t>
      </w:r>
      <w:r w:rsidR="00F52E91" w:rsidRPr="008A16E7">
        <w:t>.</w:t>
      </w:r>
      <w:r>
        <w:t xml:space="preserve"> </w:t>
      </w:r>
      <w:r w:rsidR="00B963FE" w:rsidRPr="008A16E7">
        <w:t>Foreign</w:t>
      </w:r>
      <w:r w:rsidR="001E5672" w:rsidRPr="008A16E7">
        <w:t xml:space="preserve"> </w:t>
      </w:r>
      <w:r w:rsidR="004374CD" w:rsidRPr="008A16E7">
        <w:t>I</w:t>
      </w:r>
      <w:r w:rsidR="001E5672" w:rsidRPr="008A16E7">
        <w:t>nvestor</w:t>
      </w:r>
      <w:r w:rsidR="00B963FE" w:rsidRPr="008A16E7">
        <w:t xml:space="preserve"> as a </w:t>
      </w:r>
      <w:r w:rsidR="004374CD" w:rsidRPr="008A16E7">
        <w:t>G</w:t>
      </w:r>
      <w:r w:rsidR="00B963FE" w:rsidRPr="008A16E7">
        <w:t xml:space="preserve">ood </w:t>
      </w:r>
      <w:r w:rsidR="004374CD" w:rsidRPr="008A16E7">
        <w:t>C</w:t>
      </w:r>
      <w:r w:rsidR="00B963FE" w:rsidRPr="008A16E7">
        <w:t>itizen</w:t>
      </w:r>
      <w:r w:rsidR="001E5672" w:rsidRPr="008A16E7">
        <w:t xml:space="preserve">: </w:t>
      </w:r>
      <w:r w:rsidR="004374CD" w:rsidRPr="008A16E7">
        <w:t>W</w:t>
      </w:r>
      <w:r w:rsidR="001E5672" w:rsidRPr="008A16E7">
        <w:t xml:space="preserve">hat </w:t>
      </w:r>
      <w:r w:rsidR="004374CD" w:rsidRPr="008A16E7">
        <w:t>N</w:t>
      </w:r>
      <w:r w:rsidR="001E5672" w:rsidRPr="008A16E7">
        <w:t xml:space="preserve">eeds to </w:t>
      </w:r>
      <w:r w:rsidR="004374CD" w:rsidRPr="008A16E7">
        <w:t>C</w:t>
      </w:r>
      <w:r w:rsidR="001E5672" w:rsidRPr="008A16E7">
        <w:t xml:space="preserve">hange in </w:t>
      </w:r>
      <w:r w:rsidR="004374CD" w:rsidRPr="008A16E7">
        <w:t>I</w:t>
      </w:r>
      <w:r w:rsidR="001E5672" w:rsidRPr="008A16E7">
        <w:t xml:space="preserve">nvestment </w:t>
      </w:r>
      <w:r w:rsidR="004374CD" w:rsidRPr="008A16E7">
        <w:t>T</w:t>
      </w:r>
      <w:r w:rsidR="001E5672" w:rsidRPr="008A16E7">
        <w:t xml:space="preserve">reaty </w:t>
      </w:r>
      <w:r w:rsidR="004374CD" w:rsidRPr="008A16E7">
        <w:t>L</w:t>
      </w:r>
      <w:r w:rsidR="001E5672" w:rsidRPr="008A16E7">
        <w:t>aw</w:t>
      </w:r>
      <w:r>
        <w:t>?</w:t>
      </w:r>
    </w:p>
    <w:p w14:paraId="3768677B" w14:textId="06C41D5D" w:rsidR="00447B1C" w:rsidRDefault="00235C80" w:rsidP="00447B1C">
      <w:pPr>
        <w:pStyle w:val="Heading2"/>
      </w:pPr>
      <w:r>
        <w:t xml:space="preserve">A. </w:t>
      </w:r>
      <w:r w:rsidR="00E953F4" w:rsidRPr="00467374">
        <w:t xml:space="preserve">Not </w:t>
      </w:r>
      <w:r w:rsidR="00FE1FFD" w:rsidRPr="00467374">
        <w:t>E</w:t>
      </w:r>
      <w:r w:rsidR="00E953F4" w:rsidRPr="00467374">
        <w:t xml:space="preserve">nough: </w:t>
      </w:r>
      <w:r w:rsidR="00FE1FFD" w:rsidRPr="00467374">
        <w:t>I</w:t>
      </w:r>
      <w:r w:rsidR="00E953F4" w:rsidRPr="00467374">
        <w:t xml:space="preserve">nvestment </w:t>
      </w:r>
      <w:r w:rsidR="00FE1FFD" w:rsidRPr="00467374">
        <w:t>T</w:t>
      </w:r>
      <w:r w:rsidR="00E953F4" w:rsidRPr="00467374">
        <w:t xml:space="preserve">reaty </w:t>
      </w:r>
      <w:r w:rsidR="00FE1FFD" w:rsidRPr="00467374">
        <w:t>R</w:t>
      </w:r>
      <w:r w:rsidR="00E953F4" w:rsidRPr="00467374">
        <w:t xml:space="preserve">eform and </w:t>
      </w:r>
      <w:r w:rsidR="00FE1FFD" w:rsidRPr="00467374">
        <w:t>t</w:t>
      </w:r>
      <w:r w:rsidR="00191278" w:rsidRPr="00467374">
        <w:t xml:space="preserve">he </w:t>
      </w:r>
      <w:r w:rsidR="00E953F4" w:rsidRPr="00467374">
        <w:t>(</w:t>
      </w:r>
      <w:r w:rsidR="00FE1FFD" w:rsidRPr="00467374">
        <w:t>M</w:t>
      </w:r>
      <w:r w:rsidR="00E953F4" w:rsidRPr="00467374">
        <w:t xml:space="preserve">isplaced) </w:t>
      </w:r>
      <w:r w:rsidR="00FE1FFD" w:rsidRPr="00467374">
        <w:t>F</w:t>
      </w:r>
      <w:r w:rsidR="00E953F4" w:rsidRPr="00467374">
        <w:t xml:space="preserve">ocus on </w:t>
      </w:r>
      <w:r w:rsidR="00FE1FFD" w:rsidRPr="00467374">
        <w:t>N</w:t>
      </w:r>
      <w:r w:rsidR="00E953F4" w:rsidRPr="00467374">
        <w:t xml:space="preserve">egative </w:t>
      </w:r>
      <w:r w:rsidR="00FE1FFD" w:rsidRPr="00467374">
        <w:t>E</w:t>
      </w:r>
      <w:r w:rsidR="00E953F4" w:rsidRPr="00467374">
        <w:t xml:space="preserve">ffects of </w:t>
      </w:r>
      <w:r w:rsidR="00FE1FFD" w:rsidRPr="00467374">
        <w:t>I</w:t>
      </w:r>
      <w:r w:rsidR="00E953F4" w:rsidRPr="00467374">
        <w:t xml:space="preserve">nvestor </w:t>
      </w:r>
      <w:r w:rsidR="00FE1FFD" w:rsidRPr="00467374">
        <w:t>C</w:t>
      </w:r>
      <w:r w:rsidR="00E953F4" w:rsidRPr="00467374">
        <w:t>onduct</w:t>
      </w:r>
    </w:p>
    <w:p w14:paraId="2DA00D90" w14:textId="03D3C2B3" w:rsidR="00447B1C" w:rsidRDefault="00AD59E3" w:rsidP="00447B1C">
      <w:r w:rsidRPr="008A16E7">
        <w:t xml:space="preserve">The </w:t>
      </w:r>
      <w:r w:rsidR="00895A29" w:rsidRPr="008A16E7">
        <w:t>importance of</w:t>
      </w:r>
      <w:r w:rsidRPr="008A16E7">
        <w:t xml:space="preserve"> address</w:t>
      </w:r>
      <w:r w:rsidR="00E56617" w:rsidRPr="008A16E7">
        <w:t>ing</w:t>
      </w:r>
      <w:r w:rsidRPr="008A16E7">
        <w:t xml:space="preserve"> </w:t>
      </w:r>
      <w:r w:rsidR="0078347F">
        <w:t xml:space="preserve">the </w:t>
      </w:r>
      <w:r w:rsidRPr="008A16E7">
        <w:t xml:space="preserve">negative impacts of foreign investment on host </w:t>
      </w:r>
      <w:r w:rsidR="00B51460" w:rsidRPr="008A16E7">
        <w:t>states</w:t>
      </w:r>
      <w:r w:rsidRPr="008A16E7">
        <w:t xml:space="preserve"> has long been acknowledged. It is uncontested that local communities frequently bear the brunt of</w:t>
      </w:r>
      <w:r w:rsidR="004374CD" w:rsidRPr="008A16E7">
        <w:t xml:space="preserve"> </w:t>
      </w:r>
      <w:r w:rsidR="004374CD" w:rsidRPr="008A16E7">
        <w:lastRenderedPageBreak/>
        <w:t>the</w:t>
      </w:r>
      <w:r w:rsidRPr="008A16E7">
        <w:t xml:space="preserve"> negative effects of foreign investment through physical and economic d</w:t>
      </w:r>
      <w:r w:rsidRPr="008A16E7">
        <w:rPr>
          <w:bCs/>
        </w:rPr>
        <w:t>isplacement from land and resources;</w:t>
      </w:r>
      <w:r w:rsidR="004374CD" w:rsidRPr="008A16E7">
        <w:rPr>
          <w:bCs/>
        </w:rPr>
        <w:t xml:space="preserve"> the</w:t>
      </w:r>
      <w:r w:rsidRPr="008A16E7">
        <w:rPr>
          <w:bCs/>
        </w:rPr>
        <w:t xml:space="preserve"> degradation of the environment or cultural </w:t>
      </w:r>
      <w:r w:rsidR="008A16E7" w:rsidRPr="008A16E7">
        <w:rPr>
          <w:bCs/>
        </w:rPr>
        <w:t>sites</w:t>
      </w:r>
      <w:r w:rsidRPr="008A16E7">
        <w:rPr>
          <w:bCs/>
        </w:rPr>
        <w:t>; violence,</w:t>
      </w:r>
      <w:r w:rsidRPr="008A16E7">
        <w:t xml:space="preserve"> </w:t>
      </w:r>
      <w:r w:rsidRPr="008A16E7">
        <w:rPr>
          <w:bCs/>
        </w:rPr>
        <w:t>intimidation, the repression of protests, or inappropriate detentions or arrests.</w:t>
      </w:r>
      <w:r w:rsidRPr="008A16E7">
        <w:rPr>
          <w:rStyle w:val="FootnoteReference"/>
          <w:rFonts w:ascii="Garamond" w:hAnsi="Garamond" w:cstheme="minorHAnsi"/>
          <w:bCs/>
          <w:color w:val="000000" w:themeColor="text1"/>
        </w:rPr>
        <w:footnoteReference w:id="31"/>
      </w:r>
      <w:r w:rsidRPr="008A16E7">
        <w:rPr>
          <w:bCs/>
        </w:rPr>
        <w:t xml:space="preserve"> </w:t>
      </w:r>
      <w:r w:rsidRPr="008A16E7">
        <w:rPr>
          <w:rFonts w:cs="`ÊQ∑˛"/>
        </w:rPr>
        <w:t xml:space="preserve">Some investors, for instance, have been known </w:t>
      </w:r>
      <w:r w:rsidR="001C6D17">
        <w:rPr>
          <w:rFonts w:cs="`ÊQ∑˛"/>
        </w:rPr>
        <w:t xml:space="preserve">to </w:t>
      </w:r>
      <w:r w:rsidRPr="008A16E7">
        <w:rPr>
          <w:rFonts w:cs="`ÊQ∑˛"/>
        </w:rPr>
        <w:t xml:space="preserve">exploit local </w:t>
      </w:r>
      <w:proofErr w:type="spellStart"/>
      <w:r w:rsidRPr="008A16E7">
        <w:rPr>
          <w:rFonts w:cs="`ÊQ∑˛"/>
        </w:rPr>
        <w:t>labo</w:t>
      </w:r>
      <w:r w:rsidR="004374CD" w:rsidRPr="008A16E7">
        <w:rPr>
          <w:rFonts w:cs="`ÊQ∑˛"/>
        </w:rPr>
        <w:t>u</w:t>
      </w:r>
      <w:r w:rsidRPr="008A16E7">
        <w:rPr>
          <w:rFonts w:cs="`ÊQ∑˛"/>
        </w:rPr>
        <w:t>r</w:t>
      </w:r>
      <w:proofErr w:type="spellEnd"/>
      <w:r w:rsidRPr="008A16E7">
        <w:rPr>
          <w:rFonts w:cs="`ÊQ∑˛"/>
        </w:rPr>
        <w:t xml:space="preserve"> and natural resources, driving out local businesses, and abusing their market power to extract excess profits.</w:t>
      </w:r>
      <w:r w:rsidRPr="008A16E7">
        <w:rPr>
          <w:rStyle w:val="FootnoteReference"/>
          <w:rFonts w:ascii="Garamond" w:hAnsi="Garamond" w:cs="`ÊQ∑˛"/>
          <w:color w:val="000000" w:themeColor="text1"/>
        </w:rPr>
        <w:footnoteReference w:id="32"/>
      </w:r>
      <w:r w:rsidRPr="008A16E7">
        <w:rPr>
          <w:rFonts w:cs="`ÊQ∑˛"/>
        </w:rPr>
        <w:t xml:space="preserve"> </w:t>
      </w:r>
      <w:r w:rsidRPr="008A16E7">
        <w:t xml:space="preserve">As a recent UNCTAD report highlighted, </w:t>
      </w:r>
      <w:r w:rsidR="00BD246E">
        <w:t>‘</w:t>
      </w:r>
      <w:r w:rsidRPr="008A16E7">
        <w:t>Although (foreign) investment can create positive conditions for improving peoples’ lives, it can also carry the risk of negatively impacting on the environment, peoples’ health and the enjoyment of their human rights</w:t>
      </w:r>
      <w:r w:rsidR="001C6D17">
        <w:t>’</w:t>
      </w:r>
      <w:r w:rsidRPr="008A16E7">
        <w:t>.</w:t>
      </w:r>
      <w:r w:rsidRPr="008A16E7">
        <w:rPr>
          <w:rStyle w:val="FootnoteReference"/>
          <w:rFonts w:ascii="Garamond" w:hAnsi="Garamond" w:cstheme="minorHAnsi"/>
          <w:color w:val="000000" w:themeColor="text1"/>
        </w:rPr>
        <w:footnoteReference w:id="33"/>
      </w:r>
      <w:r w:rsidR="00531194" w:rsidRPr="008A16E7">
        <w:t xml:space="preserve"> </w:t>
      </w:r>
    </w:p>
    <w:p w14:paraId="176EABBF" w14:textId="628FE632" w:rsidR="00447B1C" w:rsidRDefault="001C6D17" w:rsidP="00447B1C">
      <w:r>
        <w:tab/>
      </w:r>
      <w:r w:rsidR="00531194" w:rsidRPr="008A16E7">
        <w:t>Since the beginning of the new century,</w:t>
      </w:r>
      <w:r w:rsidR="00AD59E3" w:rsidRPr="008A16E7">
        <w:rPr>
          <w:bCs/>
        </w:rPr>
        <w:t xml:space="preserve"> </w:t>
      </w:r>
      <w:r>
        <w:rPr>
          <w:bCs/>
        </w:rPr>
        <w:t xml:space="preserve">the </w:t>
      </w:r>
      <w:r w:rsidR="00531194" w:rsidRPr="008A16E7">
        <w:rPr>
          <w:bCs/>
        </w:rPr>
        <w:t xml:space="preserve">environmental and social responsibilities of corporations have received much attention in the field of business and human rights, culminating in </w:t>
      </w:r>
      <w:r w:rsidR="00531194" w:rsidRPr="008A16E7">
        <w:rPr>
          <w:lang w:eastAsia="en-GB"/>
        </w:rPr>
        <w:t xml:space="preserve">the endorsement by the United Nations in June 2011 of the Guiding Principles on Business and Human Rights </w:t>
      </w:r>
      <w:r w:rsidR="00531194" w:rsidRPr="008A16E7">
        <w:rPr>
          <w:shd w:val="clear" w:color="auto" w:fill="FFFFFF"/>
          <w:lang w:eastAsia="en-GB"/>
        </w:rPr>
        <w:t>(UNGPs)</w:t>
      </w:r>
      <w:r w:rsidR="00531194" w:rsidRPr="008A16E7">
        <w:rPr>
          <w:rStyle w:val="FootnoteReference"/>
          <w:rFonts w:ascii="Garamond" w:hAnsi="Garamond"/>
          <w:shd w:val="clear" w:color="auto" w:fill="FFFFFF"/>
          <w:lang w:eastAsia="en-GB"/>
        </w:rPr>
        <w:footnoteReference w:id="34"/>
      </w:r>
      <w:r w:rsidR="00531194" w:rsidRPr="008A16E7">
        <w:rPr>
          <w:shd w:val="clear" w:color="auto" w:fill="FFFFFF"/>
          <w:lang w:eastAsia="en-GB"/>
        </w:rPr>
        <w:t xml:space="preserve"> and </w:t>
      </w:r>
      <w:r w:rsidR="006C3777" w:rsidRPr="008A16E7">
        <w:rPr>
          <w:bCs/>
        </w:rPr>
        <w:t>t</w:t>
      </w:r>
      <w:r w:rsidR="00531194" w:rsidRPr="008A16E7">
        <w:rPr>
          <w:bCs/>
        </w:rPr>
        <w:t>he launch of such initiatives as the UN Principles for Responsible Investment.</w:t>
      </w:r>
      <w:r w:rsidR="00531194" w:rsidRPr="008A16E7">
        <w:rPr>
          <w:rStyle w:val="FootnoteReference"/>
          <w:rFonts w:ascii="Garamond" w:hAnsi="Garamond" w:cstheme="minorHAnsi"/>
          <w:bCs/>
          <w:color w:val="000000" w:themeColor="text1"/>
        </w:rPr>
        <w:footnoteReference w:id="35"/>
      </w:r>
      <w:r w:rsidR="00531194" w:rsidRPr="008A16E7">
        <w:rPr>
          <w:bCs/>
        </w:rPr>
        <w:t xml:space="preserve"> </w:t>
      </w:r>
      <w:r w:rsidR="004A620A" w:rsidRPr="008A16E7">
        <w:rPr>
          <w:bCs/>
        </w:rPr>
        <w:t xml:space="preserve">Despite </w:t>
      </w:r>
      <w:r w:rsidR="004374CD" w:rsidRPr="008A16E7">
        <w:rPr>
          <w:bCs/>
        </w:rPr>
        <w:t>the</w:t>
      </w:r>
      <w:r w:rsidR="004A620A" w:rsidRPr="008A16E7">
        <w:rPr>
          <w:bCs/>
        </w:rPr>
        <w:t xml:space="preserve"> significant shifts in legal and policy discourse</w:t>
      </w:r>
      <w:r w:rsidR="00AD59E3" w:rsidRPr="008A16E7">
        <w:rPr>
          <w:bCs/>
        </w:rPr>
        <w:t xml:space="preserve">, the need to address distributive consequences of foreign investment </w:t>
      </w:r>
      <w:r w:rsidR="004374CD" w:rsidRPr="008A16E7">
        <w:rPr>
          <w:bCs/>
        </w:rPr>
        <w:t>has</w:t>
      </w:r>
      <w:r w:rsidR="00AD59E3" w:rsidRPr="008A16E7">
        <w:rPr>
          <w:bCs/>
        </w:rPr>
        <w:t xml:space="preserve"> yet to receive full attention in international investment </w:t>
      </w:r>
      <w:r w:rsidR="00403D00" w:rsidRPr="008A16E7">
        <w:rPr>
          <w:bCs/>
        </w:rPr>
        <w:t>law</w:t>
      </w:r>
      <w:r w:rsidR="004374CD" w:rsidRPr="008A16E7">
        <w:rPr>
          <w:bCs/>
        </w:rPr>
        <w:t>,</w:t>
      </w:r>
      <w:r w:rsidR="00403D00" w:rsidRPr="008A16E7">
        <w:rPr>
          <w:bCs/>
        </w:rPr>
        <w:t xml:space="preserve"> which is the principal forum for enforcing </w:t>
      </w:r>
      <w:r w:rsidR="004374CD" w:rsidRPr="008A16E7">
        <w:rPr>
          <w:bCs/>
        </w:rPr>
        <w:t xml:space="preserve">the </w:t>
      </w:r>
      <w:r w:rsidR="00403D00" w:rsidRPr="008A16E7">
        <w:rPr>
          <w:bCs/>
        </w:rPr>
        <w:t>rights (and obligations) of foreign investors</w:t>
      </w:r>
      <w:r w:rsidR="00AD59E3" w:rsidRPr="008A16E7">
        <w:rPr>
          <w:bCs/>
        </w:rPr>
        <w:t xml:space="preserve">. </w:t>
      </w:r>
      <w:r w:rsidR="00E953F4" w:rsidRPr="008A16E7">
        <w:t xml:space="preserve">Investment treaties should </w:t>
      </w:r>
      <w:r w:rsidR="003C62DC" w:rsidRPr="008A16E7">
        <w:t xml:space="preserve">incorporate </w:t>
      </w:r>
      <w:r w:rsidR="00E953F4" w:rsidRPr="008A16E7">
        <w:t>not only express provisions to prevent detrimental impacts of investment</w:t>
      </w:r>
      <w:r w:rsidR="00F03F0F">
        <w:t>,</w:t>
      </w:r>
      <w:r w:rsidR="00E953F4" w:rsidRPr="008A16E7">
        <w:t xml:space="preserve"> but also concrete provisions to boost the positive contribution to host </w:t>
      </w:r>
      <w:r w:rsidR="00B51460" w:rsidRPr="008A16E7">
        <w:t>states</w:t>
      </w:r>
      <w:r w:rsidR="00E953F4" w:rsidRPr="008A16E7">
        <w:t xml:space="preserve">. </w:t>
      </w:r>
    </w:p>
    <w:p w14:paraId="4717EA09" w14:textId="4A01E661" w:rsidR="00447B1C" w:rsidRDefault="00F03F0F" w:rsidP="00447B1C">
      <w:r>
        <w:tab/>
      </w:r>
      <w:r w:rsidR="009E42C5" w:rsidRPr="008A16E7">
        <w:t xml:space="preserve">It is almost </w:t>
      </w:r>
      <w:r w:rsidR="00587908" w:rsidRPr="008A16E7">
        <w:t>confounding</w:t>
      </w:r>
      <w:r w:rsidR="009E42C5" w:rsidRPr="008A16E7">
        <w:t xml:space="preserve"> that at a time when many of the long-</w:t>
      </w:r>
      <w:proofErr w:type="spellStart"/>
      <w:r w:rsidR="009E42C5" w:rsidRPr="008A16E7">
        <w:t>criticised</w:t>
      </w:r>
      <w:proofErr w:type="spellEnd"/>
      <w:r w:rsidR="009E42C5" w:rsidRPr="008A16E7">
        <w:t xml:space="preserve"> aspects of investment treaties and investor-state arbitration are being addressed through systemic treaty reform, the newly emerging treaty models</w:t>
      </w:r>
      <w:r w:rsidR="004374CD" w:rsidRPr="008A16E7">
        <w:t>,</w:t>
      </w:r>
      <w:r w:rsidR="009E42C5" w:rsidRPr="008A16E7">
        <w:t xml:space="preserve"> by and large</w:t>
      </w:r>
      <w:r w:rsidR="004374CD" w:rsidRPr="008A16E7">
        <w:t>, still</w:t>
      </w:r>
      <w:r w:rsidR="009E42C5" w:rsidRPr="008A16E7">
        <w:t xml:space="preserve"> fail to take a strong and effective stance on investor responsibilities towards host </w:t>
      </w:r>
      <w:r w:rsidR="00B51460" w:rsidRPr="008A16E7">
        <w:t>states</w:t>
      </w:r>
      <w:r w:rsidR="009E42C5" w:rsidRPr="008A16E7">
        <w:t xml:space="preserve">. First, while the bulk of the existing </w:t>
      </w:r>
      <w:r w:rsidR="009E42C5" w:rsidRPr="008A16E7">
        <w:lastRenderedPageBreak/>
        <w:t xml:space="preserve">investment treaty stock features no express provisions on investor responsibilities, there is a growing number of treaties which </w:t>
      </w:r>
      <w:proofErr w:type="spellStart"/>
      <w:r w:rsidR="009E42C5" w:rsidRPr="008A16E7">
        <w:t>recognise</w:t>
      </w:r>
      <w:proofErr w:type="spellEnd"/>
      <w:r w:rsidR="009E42C5" w:rsidRPr="008A16E7">
        <w:t xml:space="preserve"> the relevance of investor conduct. Yet this latter category of treaties seek</w:t>
      </w:r>
      <w:r w:rsidR="008A16E7">
        <w:t>s</w:t>
      </w:r>
      <w:r w:rsidR="009E42C5" w:rsidRPr="008A16E7">
        <w:t xml:space="preserve"> to address issues arising from investors’ (mis)conduct primarily by (1) stipulating host state obligations to fight bribery and corruption</w:t>
      </w:r>
      <w:r w:rsidR="00061C67">
        <w:t>,</w:t>
      </w:r>
      <w:r w:rsidR="009E42C5" w:rsidRPr="008A16E7">
        <w:t xml:space="preserve"> and (2) safeguarding host state rights to protect the environment, human rights and </w:t>
      </w:r>
      <w:proofErr w:type="spellStart"/>
      <w:r w:rsidR="009E42C5" w:rsidRPr="008A16E7">
        <w:t>labour</w:t>
      </w:r>
      <w:proofErr w:type="spellEnd"/>
      <w:r w:rsidR="009E42C5" w:rsidRPr="008A16E7">
        <w:t xml:space="preserve"> standards. For instance, the CARIFORUM</w:t>
      </w:r>
      <w:r w:rsidR="004374CD" w:rsidRPr="008A16E7">
        <w:t>–</w:t>
      </w:r>
      <w:r w:rsidR="009E42C5" w:rsidRPr="008A16E7">
        <w:t>EU Economic Partnership Agreement</w:t>
      </w:r>
      <w:r w:rsidR="009E42C5" w:rsidRPr="008A16E7">
        <w:rPr>
          <w:vertAlign w:val="superscript"/>
        </w:rPr>
        <w:footnoteReference w:id="36"/>
      </w:r>
      <w:r w:rsidR="009E42C5" w:rsidRPr="008A16E7">
        <w:t xml:space="preserve"> requires that the contracting state parties cooperate and take any necessary domestic measures to ensure that investors are forbidden from and held liable for bribing public officials. The onus </w:t>
      </w:r>
      <w:r w:rsidR="004A620A" w:rsidRPr="008A16E7">
        <w:t xml:space="preserve">of this obligation </w:t>
      </w:r>
      <w:r w:rsidR="009E42C5" w:rsidRPr="008A16E7">
        <w:t xml:space="preserve">is on contracting states, not investors. Other emerging approaches are exemplified by </w:t>
      </w:r>
      <w:r w:rsidR="00061C67">
        <w:t>A</w:t>
      </w:r>
      <w:r w:rsidR="00061C67" w:rsidRPr="008A16E7">
        <w:t xml:space="preserve">rticle </w:t>
      </w:r>
      <w:r w:rsidR="009E42C5" w:rsidRPr="008A16E7">
        <w:t xml:space="preserve">8.18.3 </w:t>
      </w:r>
      <w:r w:rsidR="004374CD" w:rsidRPr="008A16E7">
        <w:t>of the EU</w:t>
      </w:r>
      <w:r w:rsidR="00FF057F">
        <w:t>–</w:t>
      </w:r>
      <w:r w:rsidR="004374CD" w:rsidRPr="008A16E7">
        <w:t xml:space="preserve">Canada Comprehensive Economic and Trade </w:t>
      </w:r>
      <w:r w:rsidR="008A16E7" w:rsidRPr="008A16E7">
        <w:t>Agreement</w:t>
      </w:r>
      <w:r w:rsidR="004374CD" w:rsidRPr="008A16E7">
        <w:t xml:space="preserve"> (CETA)</w:t>
      </w:r>
      <w:r w:rsidR="00FF057F">
        <w:t>,</w:t>
      </w:r>
      <w:r w:rsidR="004374CD" w:rsidRPr="008A16E7">
        <w:rPr>
          <w:rStyle w:val="FootnoteReference"/>
          <w:rFonts w:ascii="Garamond" w:hAnsi="Garamond" w:cstheme="minorHAnsi"/>
          <w:color w:val="000000" w:themeColor="text1"/>
        </w:rPr>
        <w:footnoteReference w:id="37"/>
      </w:r>
      <w:r w:rsidR="004374CD" w:rsidRPr="008A16E7">
        <w:t xml:space="preserve"> </w:t>
      </w:r>
      <w:r w:rsidR="009E42C5" w:rsidRPr="008A16E7">
        <w:t xml:space="preserve">which forecloses an investor’s access to </w:t>
      </w:r>
      <w:r w:rsidR="003C62DC" w:rsidRPr="008A16E7">
        <w:t xml:space="preserve">investor-state arbitration </w:t>
      </w:r>
      <w:r w:rsidR="009E42C5" w:rsidRPr="008A16E7">
        <w:t xml:space="preserve">in cases where its investment </w:t>
      </w:r>
      <w:r w:rsidR="004374CD" w:rsidRPr="008A16E7">
        <w:t>agreement was</w:t>
      </w:r>
      <w:r w:rsidR="009E42C5" w:rsidRPr="008A16E7">
        <w:t xml:space="preserve"> tainted by illegality.</w:t>
      </w:r>
      <w:r w:rsidR="00500846" w:rsidRPr="008A16E7">
        <w:t xml:space="preserve"> </w:t>
      </w:r>
      <w:r w:rsidR="009E42C5" w:rsidRPr="008A16E7">
        <w:t xml:space="preserve">Yet the significant shortcoming of this drafting solution is that its scope is limited to the initial period of making investment and does not impose a continuous obligation to act in good faith and refrain from unlawful conduct in </w:t>
      </w:r>
      <w:r w:rsidR="009E42C5" w:rsidRPr="008A16E7">
        <w:rPr>
          <w:i/>
        </w:rPr>
        <w:t>operating</w:t>
      </w:r>
      <w:r w:rsidR="009E42C5" w:rsidRPr="008A16E7">
        <w:t xml:space="preserve"> the investment. As the empirical studies reveal, national actors are concerned about the broader influence foreign investors may exercise during the life of an investment project.</w:t>
      </w:r>
      <w:r w:rsidR="009E42C5" w:rsidRPr="008A16E7">
        <w:rPr>
          <w:rStyle w:val="FootnoteReference"/>
          <w:rFonts w:ascii="Garamond" w:hAnsi="Garamond" w:cstheme="minorHAnsi"/>
          <w:color w:val="000000" w:themeColor="text1"/>
        </w:rPr>
        <w:footnoteReference w:id="38"/>
      </w:r>
      <w:r w:rsidR="009E42C5" w:rsidRPr="008A16E7">
        <w:t xml:space="preserve"> Investment treaties should provide for investor </w:t>
      </w:r>
      <w:r w:rsidR="00587908" w:rsidRPr="008A16E7">
        <w:t>conduct</w:t>
      </w:r>
      <w:r w:rsidR="009E42C5" w:rsidRPr="008A16E7">
        <w:t xml:space="preserve"> </w:t>
      </w:r>
      <w:r w:rsidR="00587908" w:rsidRPr="008A16E7">
        <w:t xml:space="preserve">throughout </w:t>
      </w:r>
      <w:r w:rsidR="009E42C5" w:rsidRPr="008A16E7">
        <w:t xml:space="preserve">all stages of investment, not only the </w:t>
      </w:r>
      <w:r w:rsidR="001B1FEE" w:rsidRPr="008A16E7">
        <w:t xml:space="preserve">entry or </w:t>
      </w:r>
      <w:r w:rsidR="009E42C5" w:rsidRPr="008A16E7">
        <w:t>dispute settlement stage</w:t>
      </w:r>
      <w:r w:rsidR="001B1FEE" w:rsidRPr="008A16E7">
        <w:t>s</w:t>
      </w:r>
      <w:r w:rsidR="009E42C5" w:rsidRPr="008A16E7">
        <w:t>.</w:t>
      </w:r>
    </w:p>
    <w:p w14:paraId="71FA4E6E" w14:textId="2571506C" w:rsidR="00447B1C" w:rsidRDefault="00FF057F" w:rsidP="00447B1C">
      <w:r>
        <w:tab/>
      </w:r>
      <w:r w:rsidR="009E42C5" w:rsidRPr="008A16E7">
        <w:t>It is also noteworthy that</w:t>
      </w:r>
      <w:r w:rsidR="006C6250" w:rsidRPr="008A16E7">
        <w:t>,</w:t>
      </w:r>
      <w:r w:rsidR="009E42C5" w:rsidRPr="008A16E7">
        <w:t xml:space="preserve"> </w:t>
      </w:r>
      <w:r w:rsidR="006C6250" w:rsidRPr="008A16E7">
        <w:t>in contrast with</w:t>
      </w:r>
      <w:r w:rsidR="009E42C5" w:rsidRPr="008A16E7">
        <w:t xml:space="preserve"> the </w:t>
      </w:r>
      <w:r w:rsidR="004A620A" w:rsidRPr="008A16E7">
        <w:t>recently emerged investment treaty templates</w:t>
      </w:r>
      <w:r w:rsidR="009E42C5" w:rsidRPr="008A16E7">
        <w:t xml:space="preserve"> of developed economies, at least some effort to address investor responsibilities can be found in investment treaties signed between developing states, such as the Slovakia</w:t>
      </w:r>
      <w:r w:rsidR="009E7363">
        <w:t>–</w:t>
      </w:r>
      <w:r w:rsidR="009E42C5" w:rsidRPr="008A16E7">
        <w:t xml:space="preserve">Iran </w:t>
      </w:r>
      <w:r w:rsidR="00FF75F2" w:rsidRPr="008A16E7">
        <w:t>IIA</w:t>
      </w:r>
      <w:r w:rsidR="004374CD" w:rsidRPr="008A16E7">
        <w:rPr>
          <w:rStyle w:val="FootnoteReference"/>
          <w:rFonts w:ascii="Garamond" w:hAnsi="Garamond" w:cstheme="minorHAnsi"/>
          <w:color w:val="000000" w:themeColor="text1"/>
        </w:rPr>
        <w:footnoteReference w:id="39"/>
      </w:r>
      <w:r w:rsidR="009E42C5" w:rsidRPr="008A16E7">
        <w:t xml:space="preserve"> and </w:t>
      </w:r>
      <w:r w:rsidR="009E7363">
        <w:t xml:space="preserve">the </w:t>
      </w:r>
      <w:r w:rsidR="009E42C5" w:rsidRPr="008A16E7">
        <w:t>Nigeria</w:t>
      </w:r>
      <w:r w:rsidR="009E7363">
        <w:t>–</w:t>
      </w:r>
      <w:r w:rsidR="009E42C5" w:rsidRPr="008A16E7">
        <w:t xml:space="preserve">Morocco </w:t>
      </w:r>
      <w:r w:rsidR="00FF75F2" w:rsidRPr="008A16E7">
        <w:t>IIA</w:t>
      </w:r>
      <w:r w:rsidR="00E36BA7" w:rsidRPr="008A16E7">
        <w:rPr>
          <w:rStyle w:val="FootnoteReference"/>
          <w:rFonts w:ascii="Garamond" w:hAnsi="Garamond" w:cstheme="minorHAnsi"/>
          <w:color w:val="000000" w:themeColor="text1"/>
        </w:rPr>
        <w:footnoteReference w:id="40"/>
      </w:r>
      <w:r w:rsidR="009E42C5" w:rsidRPr="008A16E7">
        <w:t>, as well as the SADC</w:t>
      </w:r>
      <w:r w:rsidR="00FF75F2" w:rsidRPr="008A16E7">
        <w:t xml:space="preserve"> agreement</w:t>
      </w:r>
      <w:r w:rsidR="009E42C5" w:rsidRPr="008A16E7">
        <w:t>.</w:t>
      </w:r>
      <w:r w:rsidR="009E42C5" w:rsidRPr="008A16E7">
        <w:rPr>
          <w:vertAlign w:val="superscript"/>
        </w:rPr>
        <w:footnoteReference w:id="41"/>
      </w:r>
      <w:r w:rsidR="009E42C5" w:rsidRPr="008A16E7">
        <w:t xml:space="preserve"> </w:t>
      </w:r>
      <w:r w:rsidR="00C50590" w:rsidRPr="008A16E7">
        <w:rPr>
          <w:rFonts w:eastAsiaTheme="minorEastAsia"/>
        </w:rPr>
        <w:t xml:space="preserve">Even if such </w:t>
      </w:r>
      <w:r w:rsidR="00C50590" w:rsidRPr="008A16E7">
        <w:lastRenderedPageBreak/>
        <w:t>formulations</w:t>
      </w:r>
      <w:r w:rsidR="00C50590" w:rsidRPr="008A16E7">
        <w:rPr>
          <w:rFonts w:eastAsiaTheme="minorEastAsia"/>
        </w:rPr>
        <w:t xml:space="preserve"> are at times not specific, but general and somewhat vague or imprecise in nature, </w:t>
      </w:r>
      <w:r w:rsidR="00C50590" w:rsidRPr="008A16E7">
        <w:t xml:space="preserve">as Ranjan observes in his contribution to this </w:t>
      </w:r>
      <w:r w:rsidR="00361EC2">
        <w:t>volume</w:t>
      </w:r>
      <w:r w:rsidR="00C50590" w:rsidRPr="008A16E7">
        <w:t xml:space="preserve">, </w:t>
      </w:r>
      <w:r w:rsidR="00A325B8" w:rsidRPr="008A16E7">
        <w:t xml:space="preserve">the inclusion of these </w:t>
      </w:r>
      <w:r w:rsidR="00A325B8" w:rsidRPr="008A16E7">
        <w:rPr>
          <w:rFonts w:eastAsiaTheme="minorEastAsia"/>
        </w:rPr>
        <w:t>obligations</w:t>
      </w:r>
      <w:r w:rsidR="00A325B8" w:rsidRPr="008A16E7">
        <w:t xml:space="preserve"> in South-South IIAs is a </w:t>
      </w:r>
      <w:r w:rsidR="00C50590" w:rsidRPr="008A16E7">
        <w:t>significant</w:t>
      </w:r>
      <w:r w:rsidR="00A325B8" w:rsidRPr="008A16E7">
        <w:t xml:space="preserve"> </w:t>
      </w:r>
      <w:r w:rsidR="00C50590" w:rsidRPr="008A16E7">
        <w:t>innovation</w:t>
      </w:r>
      <w:r w:rsidR="00A325B8" w:rsidRPr="008A16E7">
        <w:t xml:space="preserve"> </w:t>
      </w:r>
      <w:r w:rsidR="00C50590" w:rsidRPr="008A16E7">
        <w:t>especially in view of the overwhelming silence on investor obligations in the bulk of investment treaties.</w:t>
      </w:r>
      <w:r w:rsidR="00C50590" w:rsidRPr="008A16E7">
        <w:rPr>
          <w:rStyle w:val="FootnoteReference"/>
          <w:rFonts w:ascii="Garamond" w:hAnsi="Garamond" w:cstheme="minorHAnsi"/>
          <w:color w:val="000000" w:themeColor="text1"/>
        </w:rPr>
        <w:footnoteReference w:id="42"/>
      </w:r>
      <w:r w:rsidR="00C50590" w:rsidRPr="008A16E7">
        <w:t xml:space="preserve"> </w:t>
      </w:r>
      <w:r w:rsidR="009E42C5" w:rsidRPr="008A16E7">
        <w:t xml:space="preserve">The majority of </w:t>
      </w:r>
      <w:r w:rsidR="006C6250" w:rsidRPr="008A16E7">
        <w:t xml:space="preserve">(old and new) </w:t>
      </w:r>
      <w:r w:rsidR="00AF13EB" w:rsidRPr="008A16E7">
        <w:t>investment treaties</w:t>
      </w:r>
      <w:r w:rsidR="009E42C5" w:rsidRPr="008A16E7">
        <w:t xml:space="preserve"> </w:t>
      </w:r>
      <w:r w:rsidR="00E36BA7" w:rsidRPr="008A16E7">
        <w:t>involving</w:t>
      </w:r>
      <w:r w:rsidR="009E42C5" w:rsidRPr="008A16E7">
        <w:t xml:space="preserve"> major economic powers such as the </w:t>
      </w:r>
      <w:r w:rsidR="001035FC">
        <w:t>US</w:t>
      </w:r>
      <w:r w:rsidR="009E42C5" w:rsidRPr="008A16E7">
        <w:t xml:space="preserve">, the </w:t>
      </w:r>
      <w:r w:rsidR="001035FC">
        <w:t>EU</w:t>
      </w:r>
      <w:r w:rsidR="009E42C5" w:rsidRPr="008A16E7">
        <w:t xml:space="preserve">, Japan and China continue to fall short of providing a meaningful mechanism </w:t>
      </w:r>
      <w:r w:rsidR="00E36BA7" w:rsidRPr="008A16E7">
        <w:t>to address</w:t>
      </w:r>
      <w:r w:rsidR="00AF13EB" w:rsidRPr="008A16E7">
        <w:t xml:space="preserve"> the</w:t>
      </w:r>
      <w:r w:rsidR="009E42C5" w:rsidRPr="008A16E7">
        <w:t xml:space="preserve"> impact of investor conduct on host states and their communities. As one of the world’s largest exporters and importers of foreign direct investment, the EU exercises considerable leverage</w:t>
      </w:r>
      <w:r w:rsidR="009E42C5" w:rsidRPr="008A16E7">
        <w:rPr>
          <w:rStyle w:val="FootnoteReference"/>
          <w:rFonts w:ascii="Garamond" w:hAnsi="Garamond" w:cstheme="minorHAnsi"/>
          <w:color w:val="000000" w:themeColor="text1"/>
        </w:rPr>
        <w:footnoteReference w:id="43"/>
      </w:r>
      <w:r w:rsidR="009E42C5" w:rsidRPr="008A16E7">
        <w:t xml:space="preserve"> in the ongoing reform process</w:t>
      </w:r>
      <w:r w:rsidR="00B778BF">
        <w:t>,</w:t>
      </w:r>
      <w:r w:rsidR="009E42C5" w:rsidRPr="008A16E7">
        <w:t xml:space="preserve"> but its most recent treaties</w:t>
      </w:r>
      <w:r w:rsidR="00E36BA7" w:rsidRPr="008A16E7">
        <w:t>,</w:t>
      </w:r>
      <w:r w:rsidR="009E42C5" w:rsidRPr="008A16E7">
        <w:t xml:space="preserve"> as well as negotiating objectives for new mega-regional agreements</w:t>
      </w:r>
      <w:r w:rsidR="00E36BA7" w:rsidRPr="008A16E7">
        <w:t>,</w:t>
      </w:r>
      <w:r w:rsidR="009E42C5" w:rsidRPr="008A16E7">
        <w:t xml:space="preserve"> do not contain effective and comprehensively</w:t>
      </w:r>
      <w:r w:rsidR="00E36BA7" w:rsidRPr="008A16E7">
        <w:t xml:space="preserve"> </w:t>
      </w:r>
      <w:r w:rsidR="009E42C5" w:rsidRPr="008A16E7">
        <w:t>framed investor obligations.</w:t>
      </w:r>
      <w:r w:rsidR="006C6250" w:rsidRPr="008A16E7">
        <w:rPr>
          <w:rStyle w:val="FootnoteReference"/>
          <w:rFonts w:ascii="Garamond" w:hAnsi="Garamond" w:cstheme="minorHAnsi"/>
          <w:color w:val="000000" w:themeColor="text1"/>
        </w:rPr>
        <w:footnoteReference w:id="44"/>
      </w:r>
      <w:r w:rsidR="009E42C5" w:rsidRPr="008A16E7">
        <w:t xml:space="preserve"> </w:t>
      </w:r>
    </w:p>
    <w:p w14:paraId="1C795666" w14:textId="32A71E30" w:rsidR="00447B1C" w:rsidRDefault="00B778BF" w:rsidP="00447B1C">
      <w:r>
        <w:tab/>
      </w:r>
      <w:r w:rsidR="00587908" w:rsidRPr="008A16E7">
        <w:t>T</w:t>
      </w:r>
      <w:r w:rsidR="009E42C5" w:rsidRPr="008A16E7">
        <w:t>he insufficiency of the emerging approaches to incorporating investor obligations in treaties is not limited to the piecemeal nature of the recent reform efforts. Rather, the principal shortcoming of the</w:t>
      </w:r>
      <w:r w:rsidR="00587908" w:rsidRPr="008A16E7">
        <w:t xml:space="preserve"> emerging</w:t>
      </w:r>
      <w:r w:rsidR="009E42C5" w:rsidRPr="008A16E7">
        <w:t xml:space="preserve"> solutions is that they are rooted in the idea that ultimately</w:t>
      </w:r>
      <w:r w:rsidR="00AF3465" w:rsidRPr="008A16E7">
        <w:t>,</w:t>
      </w:r>
      <w:r w:rsidR="009E42C5" w:rsidRPr="008A16E7">
        <w:t xml:space="preserve"> it is the host state</w:t>
      </w:r>
      <w:r w:rsidR="00AF3465" w:rsidRPr="008A16E7">
        <w:t>s</w:t>
      </w:r>
      <w:r w:rsidR="009E42C5" w:rsidRPr="008A16E7">
        <w:t xml:space="preserve">, not </w:t>
      </w:r>
      <w:r w:rsidR="00AF3465" w:rsidRPr="008A16E7">
        <w:t xml:space="preserve">the </w:t>
      </w:r>
      <w:r w:rsidR="009E42C5" w:rsidRPr="008A16E7">
        <w:t xml:space="preserve">corporate actors, that should bear the primary responsibility for </w:t>
      </w:r>
      <w:r w:rsidR="00D057B1" w:rsidRPr="008A16E7">
        <w:t>controlling the</w:t>
      </w:r>
      <w:r w:rsidR="009E42C5" w:rsidRPr="008A16E7">
        <w:t xml:space="preserve"> effects of business activities </w:t>
      </w:r>
      <w:r w:rsidR="00BF0DBC">
        <w:t>i</w:t>
      </w:r>
      <w:r w:rsidR="00BF0DBC" w:rsidRPr="008A16E7">
        <w:t xml:space="preserve">n </w:t>
      </w:r>
      <w:r w:rsidR="009E42C5" w:rsidRPr="008A16E7">
        <w:t xml:space="preserve">host </w:t>
      </w:r>
      <w:r w:rsidR="00B51460" w:rsidRPr="008A16E7">
        <w:t>states</w:t>
      </w:r>
      <w:r w:rsidR="009E42C5" w:rsidRPr="008A16E7">
        <w:t xml:space="preserve">. This core idea lies beneath much of the traditional investment law policy and scholarship and appears to </w:t>
      </w:r>
      <w:r w:rsidR="006C6250" w:rsidRPr="008A16E7">
        <w:t>hold sway over</w:t>
      </w:r>
      <w:r w:rsidR="009E42C5" w:rsidRPr="008A16E7">
        <w:t xml:space="preserve"> what some present as progressive reform efforts. A</w:t>
      </w:r>
      <w:r w:rsidR="00D057B1" w:rsidRPr="008A16E7">
        <w:t>nother</w:t>
      </w:r>
      <w:r w:rsidR="009E42C5" w:rsidRPr="008A16E7">
        <w:t xml:space="preserve"> </w:t>
      </w:r>
      <w:r w:rsidR="00AF13EB" w:rsidRPr="008A16E7">
        <w:t>critical flaw</w:t>
      </w:r>
      <w:r w:rsidR="009E42C5" w:rsidRPr="008A16E7">
        <w:t xml:space="preserve"> of the recent reform efforts is that they do not go far enough and tend to</w:t>
      </w:r>
      <w:r w:rsidR="00AF3465" w:rsidRPr="008A16E7">
        <w:t xml:space="preserve"> focus</w:t>
      </w:r>
      <w:r w:rsidR="009E42C5" w:rsidRPr="008A16E7">
        <w:t xml:space="preserve"> primarily on preventing investor misconduct. Investment treaties can and should be redesigned not only to avoid detrimental impacts of investment (</w:t>
      </w:r>
      <w:r w:rsidR="00BD246E">
        <w:t>‘</w:t>
      </w:r>
      <w:r w:rsidR="009E42C5" w:rsidRPr="008A16E7">
        <w:t>doing no harm</w:t>
      </w:r>
      <w:r w:rsidR="00BD246E">
        <w:t>’</w:t>
      </w:r>
      <w:r w:rsidR="009E42C5" w:rsidRPr="008A16E7">
        <w:t xml:space="preserve">) but also to </w:t>
      </w:r>
      <w:proofErr w:type="spellStart"/>
      <w:r w:rsidRPr="008A16E7">
        <w:t>maximi</w:t>
      </w:r>
      <w:r>
        <w:t>s</w:t>
      </w:r>
      <w:r w:rsidRPr="008A16E7">
        <w:t>e</w:t>
      </w:r>
      <w:proofErr w:type="spellEnd"/>
      <w:r w:rsidRPr="008A16E7">
        <w:t xml:space="preserve"> </w:t>
      </w:r>
      <w:r w:rsidR="009E42C5" w:rsidRPr="008A16E7">
        <w:t>the positive contribution that investors can bring to societies (</w:t>
      </w:r>
      <w:r w:rsidR="00BD246E">
        <w:t>‘</w:t>
      </w:r>
      <w:r w:rsidR="009E42C5" w:rsidRPr="008A16E7">
        <w:t>doing good</w:t>
      </w:r>
      <w:r w:rsidR="00BD246E">
        <w:t>’</w:t>
      </w:r>
      <w:r w:rsidR="009E42C5" w:rsidRPr="008A16E7">
        <w:t>).</w:t>
      </w:r>
      <w:r w:rsidR="009E42C5" w:rsidRPr="008A16E7">
        <w:rPr>
          <w:rStyle w:val="FootnoteReference"/>
          <w:rFonts w:ascii="Garamond" w:hAnsi="Garamond" w:cstheme="minorHAnsi"/>
          <w:color w:val="000000" w:themeColor="text1"/>
        </w:rPr>
        <w:footnoteReference w:id="45"/>
      </w:r>
      <w:r w:rsidR="009E42C5" w:rsidRPr="008A16E7">
        <w:t xml:space="preserve"> This is particularly important if the international investment regime is </w:t>
      </w:r>
      <w:r w:rsidR="00AF3465" w:rsidRPr="008A16E7">
        <w:t xml:space="preserve">to </w:t>
      </w:r>
      <w:r w:rsidR="009E42C5" w:rsidRPr="008A16E7">
        <w:t xml:space="preserve">fulfil its promise to foster sustainable development goals. </w:t>
      </w:r>
      <w:r w:rsidR="001B1FEE" w:rsidRPr="008A16E7">
        <w:t>A</w:t>
      </w:r>
      <w:r w:rsidR="009E42C5" w:rsidRPr="008A16E7">
        <w:t xml:space="preserve"> stronger and </w:t>
      </w:r>
      <w:r w:rsidR="00AF3465" w:rsidRPr="008A16E7">
        <w:t xml:space="preserve">more </w:t>
      </w:r>
      <w:r w:rsidR="009E42C5" w:rsidRPr="008A16E7">
        <w:t xml:space="preserve">principled approach to foreign investment’s contribution to socially inclusive development is necessary at a time when the future of international economic law is </w:t>
      </w:r>
      <w:r w:rsidR="006803B8" w:rsidRPr="008A16E7">
        <w:t>being</w:t>
      </w:r>
      <w:r w:rsidR="009E42C5" w:rsidRPr="008A16E7">
        <w:t xml:space="preserve"> questioned in the </w:t>
      </w:r>
      <w:r w:rsidR="009E42C5" w:rsidRPr="008A16E7">
        <w:lastRenderedPageBreak/>
        <w:t xml:space="preserve">face of heightened concerns over the </w:t>
      </w:r>
      <w:r w:rsidR="00BD246E">
        <w:t>‘</w:t>
      </w:r>
      <w:r w:rsidR="009E42C5" w:rsidRPr="008A16E7">
        <w:t>denationalization of clusters of political, economic, and social activities that undermine the ability of the sovereign state to control activities on its territory</w:t>
      </w:r>
      <w:r w:rsidR="00BD246E">
        <w:t>’</w:t>
      </w:r>
      <w:r>
        <w:t>.</w:t>
      </w:r>
      <w:r w:rsidR="009E42C5" w:rsidRPr="008A16E7">
        <w:rPr>
          <w:vertAlign w:val="superscript"/>
        </w:rPr>
        <w:footnoteReference w:id="46"/>
      </w:r>
      <w:r w:rsidR="00897BE5" w:rsidRPr="008A16E7">
        <w:t xml:space="preserve"> The recent backlash against the investment treaty regime </w:t>
      </w:r>
      <w:r w:rsidR="00201CBE" w:rsidRPr="008A16E7">
        <w:t>is effectively a manifestation of</w:t>
      </w:r>
      <w:r w:rsidR="00897BE5" w:rsidRPr="008A16E7">
        <w:t xml:space="preserve"> broader concerns about </w:t>
      </w:r>
      <w:proofErr w:type="spellStart"/>
      <w:r w:rsidRPr="008A16E7">
        <w:t>globali</w:t>
      </w:r>
      <w:r>
        <w:t>s</w:t>
      </w:r>
      <w:r w:rsidRPr="008A16E7">
        <w:t>ation</w:t>
      </w:r>
      <w:proofErr w:type="spellEnd"/>
      <w:r w:rsidR="00897BE5" w:rsidRPr="008A16E7">
        <w:t>, in particular its impact on economic dislocation, jobs and livelihoods</w:t>
      </w:r>
      <w:r w:rsidR="00897BE5" w:rsidRPr="008A16E7">
        <w:rPr>
          <w:rStyle w:val="FootnoteReference"/>
          <w:rFonts w:ascii="Garamond" w:hAnsi="Garamond"/>
          <w:color w:val="000000" w:themeColor="text1"/>
        </w:rPr>
        <w:footnoteReference w:id="47"/>
      </w:r>
      <w:r w:rsidR="00A7645A" w:rsidRPr="008A16E7">
        <w:t>– s</w:t>
      </w:r>
      <w:r w:rsidR="00FA2318" w:rsidRPr="008A16E7">
        <w:t>omething which investment treaties continue to remain silent</w:t>
      </w:r>
      <w:r w:rsidR="00A7645A" w:rsidRPr="008A16E7">
        <w:t xml:space="preserve"> on</w:t>
      </w:r>
      <w:r w:rsidR="00FA2318" w:rsidRPr="008A16E7">
        <w:t>.</w:t>
      </w:r>
    </w:p>
    <w:p w14:paraId="26CD9DF4" w14:textId="115C83F2" w:rsidR="00447B1C" w:rsidRDefault="00B778BF" w:rsidP="00447B1C">
      <w:pPr>
        <w:pStyle w:val="Heading2"/>
      </w:pPr>
      <w:r>
        <w:t xml:space="preserve">B. </w:t>
      </w:r>
      <w:r w:rsidR="00E953F4" w:rsidRPr="00467374">
        <w:t xml:space="preserve">Misplaced </w:t>
      </w:r>
      <w:r w:rsidR="002E2B47" w:rsidRPr="00467374">
        <w:t>F</w:t>
      </w:r>
      <w:r w:rsidR="00E953F4" w:rsidRPr="00467374">
        <w:t xml:space="preserve">ocus on the </w:t>
      </w:r>
      <w:r w:rsidR="002E2B47" w:rsidRPr="00467374">
        <w:t>S</w:t>
      </w:r>
      <w:r w:rsidR="00E953F4" w:rsidRPr="00467374">
        <w:t xml:space="preserve">tate as a </w:t>
      </w:r>
      <w:r w:rsidR="002E2B47" w:rsidRPr="00467374">
        <w:t>So</w:t>
      </w:r>
      <w:r w:rsidR="00E953F4" w:rsidRPr="00467374">
        <w:t xml:space="preserve">le </w:t>
      </w:r>
      <w:r w:rsidR="002E2B47" w:rsidRPr="00467374">
        <w:t>B</w:t>
      </w:r>
      <w:r w:rsidR="00E953F4" w:rsidRPr="00467374">
        <w:t xml:space="preserve">earer of </w:t>
      </w:r>
      <w:r w:rsidR="002E2B47" w:rsidRPr="00467374">
        <w:t>O</w:t>
      </w:r>
      <w:r w:rsidR="00E953F4" w:rsidRPr="00467374">
        <w:t xml:space="preserve">bligations </w:t>
      </w:r>
      <w:r>
        <w:t>t</w:t>
      </w:r>
      <w:r w:rsidRPr="00467374">
        <w:t xml:space="preserve">owards </w:t>
      </w:r>
      <w:r w:rsidR="002E2B47" w:rsidRPr="00467374">
        <w:t>H</w:t>
      </w:r>
      <w:r w:rsidR="00E953F4" w:rsidRPr="00467374">
        <w:t xml:space="preserve">ost </w:t>
      </w:r>
      <w:r w:rsidR="002E2B47" w:rsidRPr="00467374">
        <w:t>C</w:t>
      </w:r>
      <w:r w:rsidR="00E953F4" w:rsidRPr="00467374">
        <w:t>ommunities</w:t>
      </w:r>
    </w:p>
    <w:p w14:paraId="0F66677A" w14:textId="253E913D" w:rsidR="00447B1C" w:rsidRDefault="00E953F4" w:rsidP="00447B1C">
      <w:r w:rsidRPr="008A16E7">
        <w:t>J</w:t>
      </w:r>
      <w:r w:rsidR="00AF13EB" w:rsidRPr="008A16E7">
        <w:t xml:space="preserve">ust as is the case with investment treaty practice, </w:t>
      </w:r>
      <w:r w:rsidR="00191278" w:rsidRPr="008A16E7">
        <w:t xml:space="preserve">large swathes of </w:t>
      </w:r>
      <w:r w:rsidR="00AF13EB" w:rsidRPr="008A16E7">
        <w:t xml:space="preserve">investment arbitration </w:t>
      </w:r>
      <w:r w:rsidR="00191278" w:rsidRPr="008A16E7">
        <w:t xml:space="preserve">practice and scholarship </w:t>
      </w:r>
      <w:r w:rsidR="00AF13EB" w:rsidRPr="008A16E7">
        <w:t xml:space="preserve">reveal a </w:t>
      </w:r>
      <w:r w:rsidR="00191278" w:rsidRPr="008A16E7">
        <w:t xml:space="preserve">deeply embedded predisposition towards the idea that it is the host state, and not foreign investors, that should act as </w:t>
      </w:r>
      <w:r w:rsidR="00A7645A" w:rsidRPr="008A16E7">
        <w:t>the</w:t>
      </w:r>
      <w:r w:rsidR="00191278" w:rsidRPr="008A16E7">
        <w:t xml:space="preserve"> principal bearer of obligations to foster inclusive and sustainable operation of foreign investment in their territory. Consider, for instance, the emerging investment arbitration jurisprudence on social license to operate as a quasi-legal vehicle designed to ensure more equitable participation of local communities in sharing the benefits of foreign investor-led projects.</w:t>
      </w:r>
      <w:r w:rsidR="0082193D" w:rsidRPr="008A16E7">
        <w:t xml:space="preserve"> The case of </w:t>
      </w:r>
      <w:r w:rsidR="0082193D" w:rsidRPr="008A16E7">
        <w:rPr>
          <w:i/>
          <w:iCs/>
        </w:rPr>
        <w:t>Bear Creek</w:t>
      </w:r>
      <w:r w:rsidR="00A7645A" w:rsidRPr="008A16E7">
        <w:rPr>
          <w:i/>
          <w:iCs/>
        </w:rPr>
        <w:t xml:space="preserve"> Mining</w:t>
      </w:r>
      <w:r w:rsidR="0082193D" w:rsidRPr="008A16E7">
        <w:rPr>
          <w:i/>
          <w:iCs/>
        </w:rPr>
        <w:t xml:space="preserve"> v Peru</w:t>
      </w:r>
      <w:r w:rsidR="0082193D" w:rsidRPr="008A16E7">
        <w:t xml:space="preserve"> has amply illustrated the pitfalls of the normative idea </w:t>
      </w:r>
      <w:r w:rsidR="001B1FEE" w:rsidRPr="008A16E7">
        <w:t xml:space="preserve">whereby </w:t>
      </w:r>
      <w:r w:rsidR="0082193D" w:rsidRPr="008A16E7">
        <w:t xml:space="preserve">social and economic inclusion </w:t>
      </w:r>
      <w:r w:rsidR="001B1FEE" w:rsidRPr="008A16E7">
        <w:t xml:space="preserve">are seen to be </w:t>
      </w:r>
      <w:r w:rsidR="0082193D" w:rsidRPr="008A16E7">
        <w:t xml:space="preserve">outside the remit of investment treaties. The outcome of the case and reasoning of the tribunal expose two principal vehicles commonly deployed </w:t>
      </w:r>
      <w:r w:rsidR="00936CD1" w:rsidRPr="008A16E7">
        <w:t>by arbitral tribunals in putting that normative idea into practice: the notion that the host state are solely responsible</w:t>
      </w:r>
      <w:r w:rsidR="00F6393B">
        <w:t>:</w:t>
      </w:r>
      <w:r w:rsidR="00936CD1" w:rsidRPr="008A16E7">
        <w:t xml:space="preserve"> (1) to design and put in place comprehensive and effective national laws on inclusive and sustainable operation of investment projects</w:t>
      </w:r>
      <w:r w:rsidR="00F6393B">
        <w:t>;</w:t>
      </w:r>
      <w:r w:rsidR="00936CD1" w:rsidRPr="008A16E7">
        <w:t xml:space="preserve"> and (2)</w:t>
      </w:r>
      <w:r w:rsidR="00D057B1" w:rsidRPr="008A16E7">
        <w:t xml:space="preserve"> to</w:t>
      </w:r>
      <w:r w:rsidR="00936CD1" w:rsidRPr="008A16E7">
        <w:t xml:space="preserve"> </w:t>
      </w:r>
      <w:proofErr w:type="spellStart"/>
      <w:r w:rsidR="00936CD1" w:rsidRPr="008A16E7">
        <w:t>utilise</w:t>
      </w:r>
      <w:proofErr w:type="spellEnd"/>
      <w:r w:rsidR="00936CD1" w:rsidRPr="008A16E7">
        <w:t xml:space="preserve"> approval mechanisms and other screening processes to foresee, forestall and otherwise address any issues that might arise in the case of investor non-compliance with national and international </w:t>
      </w:r>
      <w:r w:rsidR="000552A9" w:rsidRPr="008A16E7">
        <w:t xml:space="preserve">rules governing the process of </w:t>
      </w:r>
      <w:r w:rsidR="00B07F50" w:rsidRPr="008A16E7">
        <w:t>sharing the benefits of the project with local communities</w:t>
      </w:r>
      <w:r w:rsidR="000552A9" w:rsidRPr="008A16E7">
        <w:t>.</w:t>
      </w:r>
    </w:p>
    <w:p w14:paraId="1A2E6F49" w14:textId="0E13A23C" w:rsidR="00447B1C" w:rsidRDefault="00F6393B" w:rsidP="00447B1C">
      <w:r>
        <w:lastRenderedPageBreak/>
        <w:tab/>
      </w:r>
      <w:r w:rsidR="0082193D" w:rsidRPr="008A16E7">
        <w:t xml:space="preserve">The dispute in </w:t>
      </w:r>
      <w:r w:rsidR="0082193D" w:rsidRPr="008A16E7">
        <w:rPr>
          <w:i/>
          <w:iCs/>
        </w:rPr>
        <w:t>Bear Creek</w:t>
      </w:r>
      <w:r w:rsidR="0082193D" w:rsidRPr="008A16E7">
        <w:t xml:space="preserve"> concerned a Canadian investor’s operation in Peru, including the Santa Ana silver mining project and the associated legal and contractual rights. From the outset, the investor’s projected mining operations in Santa Ana met with strong opposition among </w:t>
      </w:r>
      <w:r w:rsidR="006C6250" w:rsidRPr="008A16E7">
        <w:t>the local</w:t>
      </w:r>
      <w:r w:rsidR="0082193D" w:rsidRPr="008A16E7">
        <w:t xml:space="preserve"> </w:t>
      </w:r>
      <w:r w:rsidR="006C6250" w:rsidRPr="008A16E7">
        <w:t>population</w:t>
      </w:r>
      <w:r w:rsidR="0082193D" w:rsidRPr="008A16E7">
        <w:t>.</w:t>
      </w:r>
      <w:r w:rsidR="0082193D" w:rsidRPr="008A16E7">
        <w:rPr>
          <w:rStyle w:val="FootnoteReference"/>
          <w:rFonts w:ascii="Garamond" w:hAnsi="Garamond" w:cstheme="minorHAnsi"/>
          <w:color w:val="000000" w:themeColor="text1"/>
        </w:rPr>
        <w:footnoteReference w:id="48"/>
      </w:r>
      <w:r w:rsidR="0082193D" w:rsidRPr="008A16E7">
        <w:t xml:space="preserve"> The project was expected to affect the territory traditionally occupied by </w:t>
      </w:r>
      <w:r w:rsidR="00A7645A" w:rsidRPr="008A16E7">
        <w:t xml:space="preserve">the </w:t>
      </w:r>
      <w:r w:rsidR="0082193D" w:rsidRPr="008A16E7">
        <w:t>Aymara people, a group of interconnected indigenous communities.</w:t>
      </w:r>
      <w:r w:rsidR="0082193D" w:rsidRPr="008A16E7">
        <w:rPr>
          <w:rStyle w:val="FootnoteReference"/>
          <w:rFonts w:ascii="Garamond" w:hAnsi="Garamond" w:cstheme="minorHAnsi"/>
          <w:color w:val="000000" w:themeColor="text1"/>
        </w:rPr>
        <w:footnoteReference w:id="49"/>
      </w:r>
      <w:r w:rsidR="0082193D" w:rsidRPr="008A16E7">
        <w:t xml:space="preserve"> </w:t>
      </w:r>
      <w:r w:rsidR="00D057B1" w:rsidRPr="008A16E7">
        <w:t>T</w:t>
      </w:r>
      <w:r w:rsidR="0082193D" w:rsidRPr="008A16E7">
        <w:t>hese communities voiced significant concerns over the project’s environmental impacts on the natural resources pertaining to their lands</w:t>
      </w:r>
      <w:r w:rsidR="00A7645A" w:rsidRPr="008A16E7">
        <w:t>,</w:t>
      </w:r>
      <w:r w:rsidR="0082193D" w:rsidRPr="008A16E7">
        <w:t xml:space="preserve"> as well as their concerns over the economic benefits of the project. While </w:t>
      </w:r>
      <w:r w:rsidR="001B1FEE" w:rsidRPr="008A16E7">
        <w:t xml:space="preserve">the numerous indigenous </w:t>
      </w:r>
      <w:r w:rsidR="0082193D" w:rsidRPr="008A16E7">
        <w:t xml:space="preserve">communities </w:t>
      </w:r>
      <w:r w:rsidR="001B1FEE" w:rsidRPr="008A16E7">
        <w:t>covered by</w:t>
      </w:r>
      <w:r w:rsidR="0082193D" w:rsidRPr="008A16E7">
        <w:t xml:space="preserve"> the project’s mapped area felt entitled to </w:t>
      </w:r>
      <w:r w:rsidR="00BD246E">
        <w:t>‘</w:t>
      </w:r>
      <w:r w:rsidR="0082193D" w:rsidRPr="008A16E7">
        <w:t>participate in the benefits of the investor’s activities in the area</w:t>
      </w:r>
      <w:r w:rsidR="00BD246E">
        <w:t>’</w:t>
      </w:r>
      <w:r w:rsidR="0082193D" w:rsidRPr="008A16E7">
        <w:t>, the investor’s social support commitments were not extended to all concerned groups. The investor was made aware of these grievances as early as 2008, and by 2011 the members of the excluded communities manifested their opposition to the project by rejecting it at a public hearing</w:t>
      </w:r>
      <w:r w:rsidR="00A14C56" w:rsidRPr="008A16E7">
        <w:t>. This was followed by</w:t>
      </w:r>
      <w:r w:rsidR="0082193D" w:rsidRPr="008A16E7">
        <w:t xml:space="preserve"> a series of protests demanding the cancellation of the mining concessions.</w:t>
      </w:r>
      <w:r w:rsidR="0082193D" w:rsidRPr="008A16E7">
        <w:rPr>
          <w:rStyle w:val="FootnoteReference"/>
          <w:rFonts w:ascii="Garamond" w:hAnsi="Garamond" w:cstheme="minorHAnsi"/>
          <w:color w:val="000000" w:themeColor="text1"/>
        </w:rPr>
        <w:footnoteReference w:id="50"/>
      </w:r>
      <w:r w:rsidR="0082193D" w:rsidRPr="008A16E7">
        <w:t xml:space="preserve"> The protests </w:t>
      </w:r>
      <w:r w:rsidR="00A14C56" w:rsidRPr="008A16E7">
        <w:t>culminated in</w:t>
      </w:r>
      <w:r w:rsidR="0082193D" w:rsidRPr="008A16E7">
        <w:t xml:space="preserve"> </w:t>
      </w:r>
      <w:r w:rsidR="00A7645A" w:rsidRPr="008A16E7">
        <w:t xml:space="preserve">the </w:t>
      </w:r>
      <w:r w:rsidR="0082193D" w:rsidRPr="008A16E7">
        <w:t xml:space="preserve">blockades of major roads and violent clashes with police, with the </w:t>
      </w:r>
      <w:r>
        <w:t>G</w:t>
      </w:r>
      <w:r w:rsidRPr="008A16E7">
        <w:t xml:space="preserve">overnment </w:t>
      </w:r>
      <w:r w:rsidR="0082193D" w:rsidRPr="008A16E7">
        <w:t>having to deploy armed forces to contain the social unrest.</w:t>
      </w:r>
      <w:r w:rsidR="0082193D" w:rsidRPr="008A16E7">
        <w:rPr>
          <w:rStyle w:val="FootnoteReference"/>
          <w:rFonts w:ascii="Garamond" w:hAnsi="Garamond" w:cstheme="minorHAnsi"/>
          <w:color w:val="000000" w:themeColor="text1"/>
        </w:rPr>
        <w:footnoteReference w:id="51"/>
      </w:r>
      <w:r w:rsidR="0082193D" w:rsidRPr="008A16E7">
        <w:t xml:space="preserve"> To resolve the protests, the </w:t>
      </w:r>
      <w:r>
        <w:t>G</w:t>
      </w:r>
      <w:r w:rsidRPr="008A16E7">
        <w:t xml:space="preserve">overnment </w:t>
      </w:r>
      <w:r w:rsidR="0082193D" w:rsidRPr="008A16E7">
        <w:t>announced a number of measures, including a decree revoking legal instruments constituting the basis of the investor’s mining rights.</w:t>
      </w:r>
      <w:r w:rsidR="0082193D" w:rsidRPr="008A16E7">
        <w:rPr>
          <w:rStyle w:val="FootnoteReference"/>
          <w:rFonts w:ascii="Garamond" w:hAnsi="Garamond" w:cstheme="minorHAnsi"/>
          <w:color w:val="000000" w:themeColor="text1"/>
        </w:rPr>
        <w:footnoteReference w:id="52"/>
      </w:r>
      <w:r w:rsidR="0082193D" w:rsidRPr="008A16E7">
        <w:t xml:space="preserve"> </w:t>
      </w:r>
      <w:r w:rsidR="00A14C56" w:rsidRPr="008A16E7">
        <w:t xml:space="preserve">The investor disputed this decision and claimed </w:t>
      </w:r>
      <w:r w:rsidR="0082193D" w:rsidRPr="008A16E7">
        <w:t>that the revocation of its mining rights constituted, among other things, an unlawful expropriation and a breach of fair and equitable treatment.</w:t>
      </w:r>
    </w:p>
    <w:p w14:paraId="77FBF111" w14:textId="7497DE82" w:rsidR="00447B1C" w:rsidRDefault="00F6393B" w:rsidP="00447B1C">
      <w:r>
        <w:tab/>
      </w:r>
      <w:r w:rsidR="0082193D" w:rsidRPr="008A16E7">
        <w:t xml:space="preserve">The investor relied on the fact that at the time of acquiring its mining rights, </w:t>
      </w:r>
      <w:r w:rsidR="00BD246E">
        <w:t>‘</w:t>
      </w:r>
      <w:r w:rsidR="0082193D" w:rsidRPr="008A16E7">
        <w:t xml:space="preserve">there was no provision of Peruvian law providing any standard by which either the State or local communities could grant </w:t>
      </w:r>
      <w:r w:rsidR="00F62B61">
        <w:t>“</w:t>
      </w:r>
      <w:r w:rsidR="0082193D" w:rsidRPr="008A16E7">
        <w:t>social license</w:t>
      </w:r>
      <w:r w:rsidR="00F62B61">
        <w:t>”</w:t>
      </w:r>
      <w:r w:rsidR="0082193D" w:rsidRPr="008A16E7">
        <w:t xml:space="preserve"> with respect to a mining project</w:t>
      </w:r>
      <w:r w:rsidR="00BD246E">
        <w:t>’</w:t>
      </w:r>
      <w:r w:rsidR="00F62B61">
        <w:t>.</w:t>
      </w:r>
      <w:r w:rsidR="0082193D" w:rsidRPr="008A16E7">
        <w:rPr>
          <w:rStyle w:val="FootnoteReference"/>
          <w:rFonts w:ascii="Garamond" w:hAnsi="Garamond" w:cstheme="minorHAnsi"/>
          <w:color w:val="000000" w:themeColor="text1"/>
        </w:rPr>
        <w:footnoteReference w:id="53"/>
      </w:r>
      <w:r w:rsidR="0082193D" w:rsidRPr="008A16E7">
        <w:t xml:space="preserve"> A similar emphasis on the content of national laws is clearly discernible in the majority’s reasoning. </w:t>
      </w:r>
      <w:r w:rsidR="0082193D" w:rsidRPr="008A16E7">
        <w:lastRenderedPageBreak/>
        <w:t xml:space="preserve">Instead of examining whether the investor had sought a meaningful engagement with local communities, the majority merely questioned what actions </w:t>
      </w:r>
      <w:r w:rsidR="0082193D" w:rsidRPr="008A16E7">
        <w:rPr>
          <w:i/>
          <w:iCs/>
        </w:rPr>
        <w:t>were legally required</w:t>
      </w:r>
      <w:r w:rsidR="0082193D" w:rsidRPr="008A16E7">
        <w:t xml:space="preserve"> of the investor in seeking to obtain a social </w:t>
      </w:r>
      <w:proofErr w:type="spellStart"/>
      <w:r w:rsidR="0082193D" w:rsidRPr="008A16E7">
        <w:t>licence</w:t>
      </w:r>
      <w:proofErr w:type="spellEnd"/>
      <w:r w:rsidR="00F62B61">
        <w:t>,</w:t>
      </w:r>
      <w:r w:rsidR="0082193D" w:rsidRPr="008A16E7">
        <w:t xml:space="preserve"> and whether the investor took those actions.</w:t>
      </w:r>
      <w:r w:rsidR="0082193D" w:rsidRPr="008A16E7">
        <w:rPr>
          <w:rStyle w:val="FootnoteReference"/>
          <w:rFonts w:ascii="Garamond" w:hAnsi="Garamond" w:cstheme="minorHAnsi"/>
          <w:color w:val="000000" w:themeColor="text1"/>
        </w:rPr>
        <w:footnoteReference w:id="54"/>
      </w:r>
      <w:r w:rsidR="0082193D" w:rsidRPr="008A16E7">
        <w:t xml:space="preserve"> The tribunal did not question whether the investor took sufficient steps to obtain social </w:t>
      </w:r>
      <w:proofErr w:type="spellStart"/>
      <w:r w:rsidR="0082193D" w:rsidRPr="008A16E7">
        <w:t>licence</w:t>
      </w:r>
      <w:proofErr w:type="spellEnd"/>
      <w:r w:rsidR="0082193D" w:rsidRPr="008A16E7">
        <w:t xml:space="preserve"> from the local communities. Rather, it asked whether the investor </w:t>
      </w:r>
      <w:r w:rsidR="00BD246E">
        <w:t>‘</w:t>
      </w:r>
      <w:r w:rsidR="0082193D" w:rsidRPr="008A16E7">
        <w:t xml:space="preserve">took the </w:t>
      </w:r>
      <w:r w:rsidR="0082193D" w:rsidRPr="008A16E7">
        <w:rPr>
          <w:i/>
        </w:rPr>
        <w:t>appropriate and necessary</w:t>
      </w:r>
      <w:r w:rsidR="0082193D" w:rsidRPr="008A16E7">
        <w:t xml:space="preserve"> steps to engage all of the relevant and likely to be affected local communities</w:t>
      </w:r>
      <w:r w:rsidR="00553E57">
        <w:t>’</w:t>
      </w:r>
      <w:r w:rsidR="0082193D" w:rsidRPr="008A16E7">
        <w:t>.</w:t>
      </w:r>
      <w:r w:rsidR="0082193D" w:rsidRPr="008A16E7">
        <w:rPr>
          <w:rStyle w:val="FootnoteReference"/>
          <w:rFonts w:ascii="Garamond" w:hAnsi="Garamond" w:cstheme="minorHAnsi"/>
          <w:color w:val="000000" w:themeColor="text1"/>
        </w:rPr>
        <w:footnoteReference w:id="55"/>
      </w:r>
      <w:r w:rsidR="0082193D" w:rsidRPr="008A16E7">
        <w:t xml:space="preserve"> The tribunal acknowledged that, on</w:t>
      </w:r>
      <w:r w:rsidR="00A7645A" w:rsidRPr="008A16E7">
        <w:t xml:space="preserve"> the</w:t>
      </w:r>
      <w:r w:rsidR="0082193D" w:rsidRPr="008A16E7">
        <w:t xml:space="preserve"> evidence, support for the project came from communities that were receiving some form of benefits such as jobs</w:t>
      </w:r>
      <w:r w:rsidR="00A7645A" w:rsidRPr="008A16E7">
        <w:t xml:space="preserve"> and</w:t>
      </w:r>
      <w:r w:rsidR="0082193D" w:rsidRPr="008A16E7">
        <w:t xml:space="preserve"> direct payments for land use, and that social acceptance was missing among the communities that </w:t>
      </w:r>
      <w:r w:rsidR="00BD246E">
        <w:t>‘</w:t>
      </w:r>
      <w:r w:rsidR="0082193D" w:rsidRPr="008A16E7">
        <w:t>were either not receiving benefits, were uninformed, or both</w:t>
      </w:r>
      <w:r w:rsidR="00553E57">
        <w:t>’</w:t>
      </w:r>
      <w:r w:rsidR="0082193D" w:rsidRPr="008A16E7">
        <w:t>.</w:t>
      </w:r>
      <w:r w:rsidR="0082193D" w:rsidRPr="008A16E7">
        <w:rPr>
          <w:rStyle w:val="FootnoteReference"/>
          <w:rFonts w:ascii="Garamond" w:hAnsi="Garamond" w:cstheme="minorHAnsi"/>
          <w:color w:val="000000" w:themeColor="text1"/>
        </w:rPr>
        <w:footnoteReference w:id="56"/>
      </w:r>
      <w:r w:rsidR="00447B1C">
        <w:t xml:space="preserve"> </w:t>
      </w:r>
      <w:r w:rsidR="0082193D" w:rsidRPr="008A16E7">
        <w:t xml:space="preserve">The tribunal expressly </w:t>
      </w:r>
      <w:proofErr w:type="spellStart"/>
      <w:r w:rsidR="0082193D" w:rsidRPr="008A16E7">
        <w:t>recognised</w:t>
      </w:r>
      <w:proofErr w:type="spellEnd"/>
      <w:r w:rsidR="0082193D" w:rsidRPr="008A16E7">
        <w:t xml:space="preserve"> that some communities, including those likely to face the project’s negative effects on water and other natural resources, were not brought into the process and offered work or other forms of recompense.</w:t>
      </w:r>
      <w:r w:rsidR="0082193D" w:rsidRPr="008A16E7">
        <w:rPr>
          <w:rStyle w:val="FootnoteReference"/>
          <w:rFonts w:ascii="Garamond" w:hAnsi="Garamond" w:cstheme="minorHAnsi"/>
          <w:color w:val="000000" w:themeColor="text1"/>
        </w:rPr>
        <w:footnoteReference w:id="57"/>
      </w:r>
    </w:p>
    <w:p w14:paraId="3E679F5C" w14:textId="0FF11D18" w:rsidR="00447B1C" w:rsidRDefault="00553E57" w:rsidP="00447B1C">
      <w:r>
        <w:tab/>
      </w:r>
      <w:r w:rsidR="0082193D" w:rsidRPr="008A16E7">
        <w:t xml:space="preserve">However, despite acknowledging the investor’s failure to take </w:t>
      </w:r>
      <w:r w:rsidR="00BD246E">
        <w:t>‘</w:t>
      </w:r>
      <w:r w:rsidR="0082193D" w:rsidRPr="008A16E7">
        <w:t>real and sufficient steps</w:t>
      </w:r>
      <w:r w:rsidR="00BD246E">
        <w:t>’</w:t>
      </w:r>
      <w:r w:rsidR="0082193D" w:rsidRPr="008A16E7">
        <w:rPr>
          <w:rStyle w:val="FootnoteReference"/>
          <w:rFonts w:ascii="Garamond" w:hAnsi="Garamond" w:cstheme="minorHAnsi"/>
          <w:color w:val="000000" w:themeColor="text1"/>
        </w:rPr>
        <w:footnoteReference w:id="58"/>
      </w:r>
      <w:r w:rsidR="0082193D" w:rsidRPr="008A16E7">
        <w:t xml:space="preserve"> to engage with all affected local communities, the tribunal denied the existence of a causal link between such failure on the part of the investor and the subsequent social unrest and the revocation of its mining rights.</w:t>
      </w:r>
      <w:r w:rsidR="0082193D" w:rsidRPr="008A16E7">
        <w:rPr>
          <w:rStyle w:val="FootnoteReference"/>
          <w:rFonts w:ascii="Garamond" w:hAnsi="Garamond" w:cstheme="minorHAnsi"/>
          <w:color w:val="000000" w:themeColor="text1"/>
        </w:rPr>
        <w:footnoteReference w:id="59"/>
      </w:r>
      <w:r w:rsidR="0082193D" w:rsidRPr="008A16E7">
        <w:t xml:space="preserve"> The tribunal instead noted that the investor’s local outreach efforts were approved, supported and endorsed by the host government and that no objections had been raised by the authorities.</w:t>
      </w:r>
      <w:r w:rsidR="0082193D" w:rsidRPr="008A16E7">
        <w:rPr>
          <w:rStyle w:val="FootnoteReference"/>
          <w:rFonts w:ascii="Garamond" w:hAnsi="Garamond" w:cstheme="minorHAnsi"/>
          <w:color w:val="000000" w:themeColor="text1"/>
        </w:rPr>
        <w:footnoteReference w:id="60"/>
      </w:r>
      <w:r w:rsidR="0082193D" w:rsidRPr="008A16E7">
        <w:t xml:space="preserve"> Thus, the majority’s reasoning implies that it is </w:t>
      </w:r>
      <w:r w:rsidR="00587908" w:rsidRPr="008A16E7">
        <w:t>the responsibility of</w:t>
      </w:r>
      <w:r w:rsidR="0082193D" w:rsidRPr="008A16E7">
        <w:t xml:space="preserve"> the host state to provide and enforce the law requiring that investors meaningful</w:t>
      </w:r>
      <w:r w:rsidR="00A14C56" w:rsidRPr="008A16E7">
        <w:t>ly</w:t>
      </w:r>
      <w:r w:rsidR="0082193D" w:rsidRPr="008A16E7">
        <w:t xml:space="preserve"> and effective</w:t>
      </w:r>
      <w:r w:rsidR="00A14C56" w:rsidRPr="008A16E7">
        <w:t>ly</w:t>
      </w:r>
      <w:r w:rsidR="0082193D" w:rsidRPr="008A16E7">
        <w:t xml:space="preserve"> engage with local communities. Rather than holding the investor to account for not having gone far enough to secure </w:t>
      </w:r>
      <w:r w:rsidR="00A7645A" w:rsidRPr="008A16E7">
        <w:t xml:space="preserve">a </w:t>
      </w:r>
      <w:r w:rsidR="0082193D" w:rsidRPr="008A16E7">
        <w:t xml:space="preserve">social </w:t>
      </w:r>
      <w:proofErr w:type="spellStart"/>
      <w:r w:rsidR="0082193D" w:rsidRPr="008A16E7">
        <w:t>licence</w:t>
      </w:r>
      <w:proofErr w:type="spellEnd"/>
      <w:r w:rsidR="0082193D" w:rsidRPr="008A16E7">
        <w:t>,</w:t>
      </w:r>
      <w:r w:rsidR="0082193D" w:rsidRPr="008A16E7">
        <w:rPr>
          <w:rStyle w:val="FootnoteReference"/>
          <w:rFonts w:ascii="Garamond" w:hAnsi="Garamond" w:cstheme="minorHAnsi"/>
          <w:color w:val="000000" w:themeColor="text1"/>
        </w:rPr>
        <w:footnoteReference w:id="61"/>
      </w:r>
      <w:r w:rsidR="0082193D" w:rsidRPr="008A16E7">
        <w:t xml:space="preserve"> the tribunal preferred to find the host state singularly responsible for the </w:t>
      </w:r>
      <w:r w:rsidR="00587908" w:rsidRPr="008A16E7">
        <w:t xml:space="preserve">consequences of the </w:t>
      </w:r>
      <w:r w:rsidR="0082193D" w:rsidRPr="008A16E7">
        <w:t xml:space="preserve">local community </w:t>
      </w:r>
      <w:r w:rsidR="0082193D" w:rsidRPr="008A16E7">
        <w:lastRenderedPageBreak/>
        <w:t xml:space="preserve">opposition to the project. The majority’s award also places a particular emphasis on the host state’s role by questioning what the state authorities’ responsibilities were in relation to securing a social </w:t>
      </w:r>
      <w:proofErr w:type="spellStart"/>
      <w:r w:rsidR="0082193D" w:rsidRPr="008A16E7">
        <w:t>licence</w:t>
      </w:r>
      <w:proofErr w:type="spellEnd"/>
      <w:r w:rsidR="0082193D" w:rsidRPr="008A16E7">
        <w:t>.</w:t>
      </w:r>
      <w:r w:rsidR="0082193D" w:rsidRPr="008A16E7">
        <w:rPr>
          <w:rStyle w:val="FootnoteReference"/>
          <w:rFonts w:ascii="Garamond" w:hAnsi="Garamond" w:cstheme="minorHAnsi"/>
          <w:color w:val="000000" w:themeColor="text1"/>
        </w:rPr>
        <w:footnoteReference w:id="62"/>
      </w:r>
      <w:r w:rsidR="0082193D" w:rsidRPr="008A16E7">
        <w:t xml:space="preserve"> </w:t>
      </w:r>
    </w:p>
    <w:p w14:paraId="1D03951C" w14:textId="05CCD329" w:rsidR="00447B1C" w:rsidRDefault="00553E57" w:rsidP="00447B1C">
      <w:r>
        <w:tab/>
      </w:r>
      <w:r w:rsidR="000552A9" w:rsidRPr="008A16E7">
        <w:t xml:space="preserve">The </w:t>
      </w:r>
      <w:r w:rsidR="00F31F6F" w:rsidRPr="008A16E7">
        <w:t xml:space="preserve">majority of the tribunal in </w:t>
      </w:r>
      <w:r w:rsidR="00F31F6F" w:rsidRPr="008A16E7">
        <w:rPr>
          <w:i/>
          <w:iCs/>
        </w:rPr>
        <w:t xml:space="preserve">Bear Creek </w:t>
      </w:r>
      <w:r w:rsidR="000552A9" w:rsidRPr="008A16E7">
        <w:t xml:space="preserve">is not alone in endorsing the view that it is the host states, </w:t>
      </w:r>
      <w:r w:rsidR="00A7645A" w:rsidRPr="008A16E7">
        <w:t xml:space="preserve">and </w:t>
      </w:r>
      <w:r w:rsidR="000552A9" w:rsidRPr="008A16E7">
        <w:t>not</w:t>
      </w:r>
      <w:r w:rsidR="00A7645A" w:rsidRPr="008A16E7">
        <w:t xml:space="preserve"> the</w:t>
      </w:r>
      <w:r w:rsidR="000552A9" w:rsidRPr="008A16E7">
        <w:t xml:space="preserve"> investors, that bear ultimate responsibility for ensuring that investment projects are sustainable and designed so as to </w:t>
      </w:r>
      <w:proofErr w:type="spellStart"/>
      <w:r w:rsidR="000552A9" w:rsidRPr="008A16E7">
        <w:t>maximise</w:t>
      </w:r>
      <w:proofErr w:type="spellEnd"/>
      <w:r w:rsidR="000552A9" w:rsidRPr="008A16E7">
        <w:t xml:space="preserve"> their benefits for local community. A recently published treatise on arbitrating mining disputes provides a stark example of </w:t>
      </w:r>
      <w:r w:rsidR="001F4E6D" w:rsidRPr="008A16E7">
        <w:t>contemporary conceptions</w:t>
      </w:r>
      <w:r w:rsidR="000552A9" w:rsidRPr="008A16E7">
        <w:t xml:space="preserve"> about investor </w:t>
      </w:r>
      <w:r w:rsidR="001B1FEE" w:rsidRPr="008A16E7">
        <w:t xml:space="preserve">socio-economic </w:t>
      </w:r>
      <w:r w:rsidR="000552A9" w:rsidRPr="008A16E7">
        <w:t>responsibilities.</w:t>
      </w:r>
      <w:r w:rsidR="001B1FEE" w:rsidRPr="008A16E7">
        <w:t xml:space="preserve"> So glaring is the authors’ disavowal of corporate obligations towards local communities that the relevant passage warrants quoting in full:</w:t>
      </w:r>
    </w:p>
    <w:p w14:paraId="099A5B9B" w14:textId="6E223230" w:rsidR="00447B1C" w:rsidRDefault="000552A9" w:rsidP="00447B1C">
      <w:pPr>
        <w:pStyle w:val="Quote"/>
      </w:pPr>
      <w:r w:rsidRPr="008A16E7">
        <w:t xml:space="preserve">Mining companies should strive to build realistic expectations on the part of local communities. Owners and operators or mining projects located in underserved areas should be mindful of undertaking social welfare functions that are traditionally better handled by host governments themselves. As the price of minerals and metals continued to rise over the past few years, local stakeholders developed a growing appetite for the benefits associated with mining projects, especially so in emerging economies where national and local governments have struggled to develop the necessary means to meet the needs of their citizens. In some cases, the sustained profits generated by the mining sector have fuelled local expectations (whether at the governmental or communal level) that </w:t>
      </w:r>
      <w:proofErr w:type="gramStart"/>
      <w:r w:rsidRPr="008A16E7">
        <w:t>mining</w:t>
      </w:r>
      <w:proofErr w:type="gramEnd"/>
      <w:r w:rsidRPr="008A16E7">
        <w:t xml:space="preserve"> and metal companies undertake community development and social and logistic infrastructure projects. These expectations also encompass preferred hiring and local procurement policies and redirection of governmental mining profits back into the production area.</w:t>
      </w:r>
      <w:r w:rsidRPr="008A16E7">
        <w:rPr>
          <w:rStyle w:val="FootnoteReference"/>
          <w:rFonts w:ascii="Garamond" w:hAnsi="Garamond" w:cstheme="minorHAnsi"/>
          <w:color w:val="000000" w:themeColor="text1"/>
        </w:rPr>
        <w:footnoteReference w:id="63"/>
      </w:r>
      <w:r w:rsidRPr="008A16E7">
        <w:t xml:space="preserve"> </w:t>
      </w:r>
    </w:p>
    <w:p w14:paraId="47A36D67" w14:textId="3F1B532B" w:rsidR="00447B1C" w:rsidRDefault="000552A9" w:rsidP="00447B1C">
      <w:pPr>
        <w:pStyle w:val="NormalContinued"/>
      </w:pPr>
      <w:r w:rsidRPr="008A16E7">
        <w:t xml:space="preserve">The authors conclude that </w:t>
      </w:r>
      <w:r w:rsidR="00BD246E">
        <w:t>‘</w:t>
      </w:r>
      <w:r w:rsidR="00553E57">
        <w:t>T</w:t>
      </w:r>
      <w:r w:rsidRPr="008A16E7">
        <w:t xml:space="preserve">he mining company should not be made to shoulder the burden of expansive social programs or infrastructure </w:t>
      </w:r>
      <w:proofErr w:type="gramStart"/>
      <w:r w:rsidRPr="008A16E7">
        <w:t>investments</w:t>
      </w:r>
      <w:r w:rsidR="00553E57">
        <w:t>’</w:t>
      </w:r>
      <w:proofErr w:type="gramEnd"/>
      <w:r w:rsidRPr="008A16E7">
        <w:t>.</w:t>
      </w:r>
      <w:r w:rsidRPr="008A16E7">
        <w:rPr>
          <w:rStyle w:val="FootnoteReference"/>
          <w:rFonts w:ascii="Garamond" w:hAnsi="Garamond" w:cstheme="minorHAnsi"/>
          <w:color w:val="000000" w:themeColor="text1"/>
        </w:rPr>
        <w:footnoteReference w:id="64"/>
      </w:r>
      <w:r w:rsidRPr="008A16E7">
        <w:t xml:space="preserve"> A similar dismissal of the need to engage with local communities can be found in an argument which regards social </w:t>
      </w:r>
      <w:proofErr w:type="spellStart"/>
      <w:r w:rsidRPr="008A16E7">
        <w:t>licence</w:t>
      </w:r>
      <w:proofErr w:type="spellEnd"/>
      <w:r w:rsidRPr="008A16E7">
        <w:t xml:space="preserve"> as an anathema to the rule of law:</w:t>
      </w:r>
    </w:p>
    <w:p w14:paraId="64DB63BE" w14:textId="753FDC0D" w:rsidR="00447B1C" w:rsidRDefault="000552A9" w:rsidP="00447B1C">
      <w:pPr>
        <w:pStyle w:val="Quote"/>
      </w:pPr>
      <w:r w:rsidRPr="008A16E7">
        <w:t xml:space="preserve">Thinking of social licence to operate as a new quasi-legal requirement on companies, though, carries with it some extremely dangerous underlying assumptions. These become apparent as soon as one thinks again of what it measures: the risks of legal changes adverse to a business's operations and of extra-legal disruptions of business activities. To say that businesses … should be subjected to a shifting social licence to operate is to say that businesses should face risks of legal changes that damage their business interests and of extra-legal disruption of their business activities by those opposed to them. To put it bluntly, any overly enthusiastic </w:t>
      </w:r>
      <w:r w:rsidRPr="008A16E7">
        <w:lastRenderedPageBreak/>
        <w:t>embrace of social licence to operate in its mistakenly transformed senses is actually a rejection of the rule of law.</w:t>
      </w:r>
      <w:r w:rsidRPr="008A16E7">
        <w:rPr>
          <w:rStyle w:val="FootnoteReference"/>
          <w:rFonts w:ascii="Garamond" w:hAnsi="Garamond" w:cstheme="minorHAnsi"/>
          <w:color w:val="000000" w:themeColor="text1"/>
        </w:rPr>
        <w:footnoteReference w:id="65"/>
      </w:r>
    </w:p>
    <w:p w14:paraId="73CA2D4F" w14:textId="2DE9DD47" w:rsidR="00447B1C" w:rsidRDefault="00553E57" w:rsidP="00447B1C">
      <w:r>
        <w:tab/>
      </w:r>
      <w:r w:rsidR="009D5087" w:rsidRPr="008A16E7">
        <w:t>Investment arbitration case</w:t>
      </w:r>
      <w:r w:rsidR="001F4E6D" w:rsidRPr="008A16E7">
        <w:t xml:space="preserve"> </w:t>
      </w:r>
      <w:r w:rsidR="009D5087" w:rsidRPr="008A16E7">
        <w:t xml:space="preserve">law and large swathes of academic literature on the subject expose a startling </w:t>
      </w:r>
      <w:r w:rsidR="000552A9" w:rsidRPr="008A16E7">
        <w:t xml:space="preserve">absence of binding international norms directing investors to engage with local communities that do not fall under the definition of indigenous people but are nevertheless affected by foreign investment </w:t>
      </w:r>
      <w:proofErr w:type="gramStart"/>
      <w:r w:rsidR="000552A9" w:rsidRPr="008A16E7">
        <w:t>projects</w:t>
      </w:r>
      <w:r w:rsidR="001F4E6D" w:rsidRPr="008A16E7">
        <w:t>,</w:t>
      </w:r>
      <w:r w:rsidR="000552A9" w:rsidRPr="008A16E7">
        <w:t xml:space="preserve"> and</w:t>
      </w:r>
      <w:proofErr w:type="gramEnd"/>
      <w:r w:rsidR="000552A9" w:rsidRPr="008A16E7">
        <w:t xml:space="preserve"> are excluded from their economic benefits. </w:t>
      </w:r>
      <w:r w:rsidR="00F22367" w:rsidRPr="008A16E7">
        <w:t>International investment law is not alone in its state-centric vision of the relationship between foreign investors and local communities</w:t>
      </w:r>
      <w:r w:rsidR="00004375" w:rsidRPr="008A16E7">
        <w:t>.</w:t>
      </w:r>
      <w:r w:rsidR="00B76C8E" w:rsidRPr="008A16E7">
        <w:t xml:space="preserve"> </w:t>
      </w:r>
      <w:r w:rsidR="00004375" w:rsidRPr="008A16E7">
        <w:t>This vision</w:t>
      </w:r>
      <w:r w:rsidR="00B76C8E" w:rsidRPr="008A16E7">
        <w:t xml:space="preserve"> is clearly discernible in other areas of international law governing the relationship between populations and foreign corporations</w:t>
      </w:r>
      <w:r w:rsidR="00F22367" w:rsidRPr="008A16E7">
        <w:t xml:space="preserve">. The </w:t>
      </w:r>
      <w:r w:rsidR="009D5087" w:rsidRPr="008A16E7">
        <w:t xml:space="preserve">idea </w:t>
      </w:r>
      <w:r w:rsidR="00B76C8E" w:rsidRPr="008A16E7">
        <w:t>of empowering</w:t>
      </w:r>
      <w:r w:rsidR="00F22367" w:rsidRPr="008A16E7">
        <w:t xml:space="preserve"> people</w:t>
      </w:r>
      <w:r w:rsidR="00A274D5" w:rsidRPr="008A16E7">
        <w:t>s</w:t>
      </w:r>
      <w:r w:rsidR="00F22367" w:rsidRPr="008A16E7">
        <w:t xml:space="preserve">, rather than states, was at the heart of calls for the recognition of developing nations’ sovereignty over </w:t>
      </w:r>
      <w:r w:rsidR="00A274D5" w:rsidRPr="008A16E7">
        <w:t>natural resources in the</w:t>
      </w:r>
      <w:r w:rsidR="00F22367" w:rsidRPr="008A16E7">
        <w:t xml:space="preserve"> early years of </w:t>
      </w:r>
      <w:proofErr w:type="spellStart"/>
      <w:r w:rsidRPr="008A16E7">
        <w:t>decoloni</w:t>
      </w:r>
      <w:r>
        <w:t>s</w:t>
      </w:r>
      <w:r w:rsidRPr="008A16E7">
        <w:t>ation</w:t>
      </w:r>
      <w:proofErr w:type="spellEnd"/>
      <w:r w:rsidR="00A274D5" w:rsidRPr="008A16E7">
        <w:t>.</w:t>
      </w:r>
      <w:r w:rsidR="00A274D5" w:rsidRPr="008A16E7">
        <w:rPr>
          <w:rStyle w:val="FootnoteReference"/>
          <w:rFonts w:ascii="Garamond" w:hAnsi="Garamond" w:cstheme="minorHAnsi"/>
          <w:color w:val="000000" w:themeColor="text1"/>
        </w:rPr>
        <w:footnoteReference w:id="66"/>
      </w:r>
      <w:r w:rsidR="00A274D5" w:rsidRPr="008A16E7">
        <w:t xml:space="preserve"> </w:t>
      </w:r>
      <w:r w:rsidR="009D5087" w:rsidRPr="008A16E7">
        <w:t xml:space="preserve">However, the </w:t>
      </w:r>
      <w:r w:rsidR="00A274D5" w:rsidRPr="008A16E7">
        <w:t xml:space="preserve">language of </w:t>
      </w:r>
      <w:r w:rsidR="001F4E6D" w:rsidRPr="008A16E7">
        <w:t xml:space="preserve">granting the </w:t>
      </w:r>
      <w:r w:rsidR="00A274D5" w:rsidRPr="008A16E7">
        <w:t xml:space="preserve">right to permanent sovereignty over resources </w:t>
      </w:r>
      <w:r w:rsidR="001F4E6D" w:rsidRPr="008A16E7">
        <w:t xml:space="preserve">to the peoples </w:t>
      </w:r>
      <w:r w:rsidR="00A274D5" w:rsidRPr="008A16E7">
        <w:t>was seen by some states as dangerous and detrimental to the contractual entitlements of foreign companies.</w:t>
      </w:r>
      <w:r w:rsidR="00E13DBC" w:rsidRPr="008A16E7">
        <w:rPr>
          <w:rStyle w:val="FootnoteReference"/>
          <w:rFonts w:ascii="Garamond" w:hAnsi="Garamond" w:cstheme="minorHAnsi"/>
          <w:color w:val="000000" w:themeColor="text1"/>
        </w:rPr>
        <w:footnoteReference w:id="67"/>
      </w:r>
      <w:r w:rsidR="00E13DBC" w:rsidRPr="008A16E7">
        <w:t xml:space="preserve"> It is owing to this opposition from major capital-exporting states that the principal international covenants on human rights acknowledge peoples’ rights over natural resources in a limited form</w:t>
      </w:r>
      <w:r w:rsidR="00A14C56" w:rsidRPr="008A16E7">
        <w:t xml:space="preserve">: </w:t>
      </w:r>
      <w:r w:rsidR="00E13DBC" w:rsidRPr="008A16E7">
        <w:t xml:space="preserve">as a right the exercise of which should not </w:t>
      </w:r>
      <w:r w:rsidR="00A14C56" w:rsidRPr="008A16E7">
        <w:t>prejudice</w:t>
      </w:r>
      <w:r w:rsidR="00E13DBC" w:rsidRPr="008A16E7">
        <w:t xml:space="preserve"> investment protection.</w:t>
      </w:r>
      <w:r w:rsidR="00E13DBC" w:rsidRPr="008A16E7">
        <w:rPr>
          <w:rStyle w:val="FootnoteReference"/>
          <w:rFonts w:ascii="Garamond" w:hAnsi="Garamond" w:cstheme="minorHAnsi"/>
          <w:color w:val="000000" w:themeColor="text1"/>
        </w:rPr>
        <w:footnoteReference w:id="68"/>
      </w:r>
      <w:r w:rsidR="00E13DBC" w:rsidRPr="008A16E7">
        <w:t xml:space="preserve"> </w:t>
      </w:r>
    </w:p>
    <w:p w14:paraId="128906E9" w14:textId="05D2543C" w:rsidR="00447B1C" w:rsidRDefault="00486672" w:rsidP="00447B1C">
      <w:r>
        <w:tab/>
      </w:r>
      <w:r w:rsidR="009445BD" w:rsidRPr="008A16E7">
        <w:t>Governments are indeed primary bearers of</w:t>
      </w:r>
      <w:r w:rsidR="001356AC" w:rsidRPr="008A16E7">
        <w:t xml:space="preserve"> </w:t>
      </w:r>
      <w:r w:rsidR="009445BD" w:rsidRPr="008A16E7">
        <w:t>the</w:t>
      </w:r>
      <w:r w:rsidR="001356AC" w:rsidRPr="008A16E7">
        <w:t xml:space="preserve"> </w:t>
      </w:r>
      <w:r w:rsidR="009445BD" w:rsidRPr="008A16E7">
        <w:t>obligation to protect their populations and to facilitate inclusive and sustainable development.</w:t>
      </w:r>
      <w:r w:rsidR="00447B1C">
        <w:t xml:space="preserve"> </w:t>
      </w:r>
      <w:r w:rsidR="009445BD" w:rsidRPr="008A16E7">
        <w:t xml:space="preserve">Yet </w:t>
      </w:r>
      <w:r w:rsidR="00B76C8E" w:rsidRPr="008A16E7">
        <w:t>holding</w:t>
      </w:r>
      <w:r w:rsidR="009445BD" w:rsidRPr="008A16E7">
        <w:t xml:space="preserve"> national lawmakers </w:t>
      </w:r>
      <w:r w:rsidR="00B76C8E" w:rsidRPr="008A16E7">
        <w:t xml:space="preserve">singularly responsible for the outcomes enabled by international rules and processes </w:t>
      </w:r>
      <w:r w:rsidR="009445BD" w:rsidRPr="008A16E7">
        <w:t>is likely to create problems for both investors and local communities</w:t>
      </w:r>
      <w:r w:rsidR="00FF75F2" w:rsidRPr="008A16E7">
        <w:t xml:space="preserve"> and</w:t>
      </w:r>
      <w:r w:rsidR="00CB5D36">
        <w:t>,</w:t>
      </w:r>
      <w:r w:rsidR="00FF75F2" w:rsidRPr="008A16E7">
        <w:t xml:space="preserve"> in the long run, for the future of the international economic order</w:t>
      </w:r>
      <w:r w:rsidR="009445BD" w:rsidRPr="008A16E7">
        <w:t xml:space="preserve">. As Rodrik has argued, </w:t>
      </w:r>
      <w:proofErr w:type="spellStart"/>
      <w:r w:rsidR="00CB5D36" w:rsidRPr="008A16E7">
        <w:t>globali</w:t>
      </w:r>
      <w:r w:rsidR="00CB5D36">
        <w:t>s</w:t>
      </w:r>
      <w:r w:rsidR="00CB5D36" w:rsidRPr="008A16E7">
        <w:t>ation</w:t>
      </w:r>
      <w:proofErr w:type="spellEnd"/>
      <w:r w:rsidR="00CB5D36" w:rsidRPr="008A16E7">
        <w:t xml:space="preserve"> </w:t>
      </w:r>
      <w:r w:rsidR="009445BD" w:rsidRPr="008A16E7">
        <w:t>benefits countries with strong existing institutions while hindering the ability of nations to build institutions to address both regulatory and redistributive issues.</w:t>
      </w:r>
      <w:r w:rsidR="001356AC" w:rsidRPr="008A16E7">
        <w:rPr>
          <w:rStyle w:val="FootnoteReference"/>
          <w:rFonts w:ascii="Garamond" w:hAnsi="Garamond"/>
          <w:color w:val="000000" w:themeColor="text1"/>
        </w:rPr>
        <w:footnoteReference w:id="69"/>
      </w:r>
      <w:r w:rsidR="001356AC" w:rsidRPr="008A16E7">
        <w:t xml:space="preserve"> Unlike their developed counterparts, developing </w:t>
      </w:r>
      <w:r w:rsidR="001356AC" w:rsidRPr="008A16E7">
        <w:lastRenderedPageBreak/>
        <w:t xml:space="preserve">states frequently lack </w:t>
      </w:r>
      <w:r w:rsidR="001F4E6D" w:rsidRPr="008A16E7">
        <w:t xml:space="preserve">the </w:t>
      </w:r>
      <w:r w:rsidR="001356AC" w:rsidRPr="008A16E7">
        <w:t>economic and institutional capacity to design and implement comprehensive and sophisticated national laws and implementation mechanisms.</w:t>
      </w:r>
      <w:r w:rsidR="00FF75F2" w:rsidRPr="008A16E7">
        <w:t xml:space="preserve"> The fallacy of the prevailing narratives of international</w:t>
      </w:r>
      <w:r w:rsidR="00DB0B40" w:rsidRPr="008A16E7">
        <w:t xml:space="preserve"> investment law</w:t>
      </w:r>
      <w:r w:rsidR="00FF75F2" w:rsidRPr="008A16E7">
        <w:t xml:space="preserve"> is that they often assume parity between developed and developing states</w:t>
      </w:r>
      <w:r w:rsidR="00DB0B40" w:rsidRPr="008A16E7">
        <w:t>. Such narratives</w:t>
      </w:r>
      <w:r w:rsidR="00FF75F2" w:rsidRPr="008A16E7">
        <w:t xml:space="preserve"> disregard the structural factors that impede </w:t>
      </w:r>
      <w:r w:rsidR="001F4E6D" w:rsidRPr="008A16E7">
        <w:t xml:space="preserve">on </w:t>
      </w:r>
      <w:r w:rsidR="00FF75F2" w:rsidRPr="008A16E7">
        <w:t>the ability of developing states to design and maintain effective laws and institutions to implement them.</w:t>
      </w:r>
      <w:r w:rsidR="00B76C8E" w:rsidRPr="008A16E7">
        <w:rPr>
          <w:rStyle w:val="FootnoteReference"/>
          <w:rFonts w:ascii="Garamond" w:hAnsi="Garamond"/>
          <w:color w:val="000000" w:themeColor="text1"/>
        </w:rPr>
        <w:footnoteReference w:id="70"/>
      </w:r>
      <w:r w:rsidR="00FF75F2" w:rsidRPr="008A16E7">
        <w:t xml:space="preserve"> </w:t>
      </w:r>
    </w:p>
    <w:p w14:paraId="6EBBB091" w14:textId="70F643A8" w:rsidR="00447B1C" w:rsidRDefault="00CB5D36" w:rsidP="00447B1C">
      <w:pPr>
        <w:rPr>
          <w:color w:val="000000" w:themeColor="text1"/>
        </w:rPr>
      </w:pPr>
      <w:r>
        <w:rPr>
          <w:color w:val="000000" w:themeColor="text1"/>
        </w:rPr>
        <w:tab/>
      </w:r>
      <w:r w:rsidR="00A14C56" w:rsidRPr="008A16E7">
        <w:rPr>
          <w:color w:val="000000" w:themeColor="text1"/>
        </w:rPr>
        <w:t xml:space="preserve">The problem of capacity is further exacerbated by corporations </w:t>
      </w:r>
      <w:r w:rsidR="001F4E6D" w:rsidRPr="008A16E7">
        <w:rPr>
          <w:color w:val="000000" w:themeColor="text1"/>
        </w:rPr>
        <w:t>that seek</w:t>
      </w:r>
      <w:r w:rsidR="00A14C56" w:rsidRPr="008A16E7">
        <w:rPr>
          <w:color w:val="000000" w:themeColor="text1"/>
        </w:rPr>
        <w:t xml:space="preserve"> to unduly influence national legislators and </w:t>
      </w:r>
      <w:proofErr w:type="gramStart"/>
      <w:r w:rsidR="00A14C56" w:rsidRPr="008A16E7">
        <w:rPr>
          <w:color w:val="000000" w:themeColor="text1"/>
        </w:rPr>
        <w:t>policy</w:t>
      </w:r>
      <w:r>
        <w:rPr>
          <w:color w:val="000000" w:themeColor="text1"/>
        </w:rPr>
        <w:t>-</w:t>
      </w:r>
      <w:r w:rsidR="00A14C56" w:rsidRPr="008A16E7">
        <w:rPr>
          <w:color w:val="000000" w:themeColor="text1"/>
        </w:rPr>
        <w:t>makers</w:t>
      </w:r>
      <w:proofErr w:type="gramEnd"/>
      <w:r w:rsidR="00A14C56" w:rsidRPr="008A16E7">
        <w:rPr>
          <w:color w:val="000000" w:themeColor="text1"/>
        </w:rPr>
        <w:t xml:space="preserve">. </w:t>
      </w:r>
      <w:r w:rsidR="00AE3775" w:rsidRPr="008A16E7">
        <w:rPr>
          <w:color w:val="000000" w:themeColor="text1"/>
        </w:rPr>
        <w:t>T</w:t>
      </w:r>
      <w:r w:rsidR="00DB0B40" w:rsidRPr="008A16E7">
        <w:rPr>
          <w:color w:val="000000" w:themeColor="text1"/>
        </w:rPr>
        <w:t>he emerging qualitative data suggests that foreign investors wield</w:t>
      </w:r>
      <w:r w:rsidR="009D5087" w:rsidRPr="008A16E7">
        <w:rPr>
          <w:color w:val="000000" w:themeColor="text1"/>
        </w:rPr>
        <w:t xml:space="preserve"> </w:t>
      </w:r>
      <w:r w:rsidR="00DB0B40" w:rsidRPr="008A16E7">
        <w:rPr>
          <w:color w:val="000000" w:themeColor="text1"/>
        </w:rPr>
        <w:t xml:space="preserve">considerable influence over national </w:t>
      </w:r>
      <w:r w:rsidR="008A16E7" w:rsidRPr="008A16E7">
        <w:rPr>
          <w:color w:val="000000" w:themeColor="text1"/>
        </w:rPr>
        <w:t>lawmaking</w:t>
      </w:r>
      <w:r w:rsidR="00DB0B40" w:rsidRPr="008A16E7">
        <w:rPr>
          <w:color w:val="000000" w:themeColor="text1"/>
        </w:rPr>
        <w:t xml:space="preserve"> in host states</w:t>
      </w:r>
      <w:r w:rsidR="001F4E6D" w:rsidRPr="008A16E7">
        <w:rPr>
          <w:color w:val="000000" w:themeColor="text1"/>
        </w:rPr>
        <w:t xml:space="preserve"> at times</w:t>
      </w:r>
      <w:r w:rsidR="00DB0B40" w:rsidRPr="008A16E7">
        <w:rPr>
          <w:color w:val="000000" w:themeColor="text1"/>
        </w:rPr>
        <w:t xml:space="preserve">. </w:t>
      </w:r>
      <w:r w:rsidR="00DB0B40" w:rsidRPr="008A16E7">
        <w:t>Empirical case studies</w:t>
      </w:r>
      <w:r w:rsidR="00DB0B40" w:rsidRPr="008A16E7">
        <w:rPr>
          <w:rStyle w:val="FootnoteReference"/>
          <w:rFonts w:ascii="Garamond" w:hAnsi="Garamond" w:cstheme="minorHAnsi"/>
        </w:rPr>
        <w:footnoteReference w:id="71"/>
      </w:r>
      <w:r w:rsidR="00DB0B40" w:rsidRPr="008A16E7">
        <w:t xml:space="preserve"> </w:t>
      </w:r>
      <w:r w:rsidR="00AE3775" w:rsidRPr="008A16E7">
        <w:t>supply some stark examples</w:t>
      </w:r>
      <w:r w:rsidR="00DB0B40" w:rsidRPr="008A16E7">
        <w:t xml:space="preserve">. </w:t>
      </w:r>
      <w:r w:rsidR="00AE3775" w:rsidRPr="008A16E7">
        <w:t>I</w:t>
      </w:r>
      <w:r w:rsidR="00DB0B40" w:rsidRPr="008A16E7">
        <w:t xml:space="preserve">n one </w:t>
      </w:r>
      <w:r w:rsidR="0054644B" w:rsidRPr="008A16E7">
        <w:t xml:space="preserve">recent </w:t>
      </w:r>
      <w:r w:rsidR="00DB0B40" w:rsidRPr="008A16E7">
        <w:t>study</w:t>
      </w:r>
      <w:r w:rsidR="001F4E6D" w:rsidRPr="008A16E7">
        <w:t>,</w:t>
      </w:r>
      <w:r w:rsidR="00DB0B40" w:rsidRPr="008A16E7">
        <w:t xml:space="preserve"> a cross-section of the interviewed government officials recounted the efforts by foreign corporations to influence the extent and </w:t>
      </w:r>
      <w:proofErr w:type="spellStart"/>
      <w:r w:rsidR="00DB0B40" w:rsidRPr="008A16E7">
        <w:t>rigour</w:t>
      </w:r>
      <w:proofErr w:type="spellEnd"/>
      <w:r w:rsidR="00DB0B40" w:rsidRPr="008A16E7">
        <w:t xml:space="preserve"> of public health, planning and environmental laws.</w:t>
      </w:r>
      <w:r w:rsidR="0054644B" w:rsidRPr="008A16E7">
        <w:rPr>
          <w:rStyle w:val="FootnoteReference"/>
          <w:rFonts w:ascii="Garamond" w:hAnsi="Garamond" w:cstheme="minorHAnsi"/>
        </w:rPr>
        <w:footnoteReference w:id="72"/>
      </w:r>
      <w:r w:rsidR="00DB0B40" w:rsidRPr="008A16E7">
        <w:t xml:space="preserve"> Echoing other empirical studies published to date, interviews with government officials in developing states reveal that, when designing and implementing national regulations, host governments may find themselves facing pressure from foreign investors.</w:t>
      </w:r>
      <w:r w:rsidR="00DB0B40" w:rsidRPr="008A16E7">
        <w:rPr>
          <w:rStyle w:val="FootnoteReference"/>
          <w:rFonts w:ascii="Garamond" w:hAnsi="Garamond" w:cstheme="minorHAnsi"/>
        </w:rPr>
        <w:footnoteReference w:id="73"/>
      </w:r>
      <w:r w:rsidR="00DB0B40" w:rsidRPr="008A16E7">
        <w:t xml:space="preserve"> Driven by the fear of displeasing the prospective investor </w:t>
      </w:r>
      <w:r w:rsidR="00AE3775" w:rsidRPr="008A16E7">
        <w:t>or</w:t>
      </w:r>
      <w:r w:rsidR="00DB0B40" w:rsidRPr="008A16E7">
        <w:t xml:space="preserve"> losing </w:t>
      </w:r>
      <w:r w:rsidR="00AE3775" w:rsidRPr="008A16E7">
        <w:t xml:space="preserve">the existing </w:t>
      </w:r>
      <w:r w:rsidR="00DB0B40" w:rsidRPr="008A16E7">
        <w:t>investment, government officials may stall the adoption of national law</w:t>
      </w:r>
      <w:r w:rsidR="009D5087" w:rsidRPr="008A16E7">
        <w:t>s</w:t>
      </w:r>
      <w:r w:rsidR="00DB0B40" w:rsidRPr="008A16E7">
        <w:t xml:space="preserve"> that had been designed to achieve </w:t>
      </w:r>
      <w:r w:rsidR="009D5087" w:rsidRPr="008A16E7">
        <w:t xml:space="preserve">important </w:t>
      </w:r>
      <w:r w:rsidR="00DB0B40" w:rsidRPr="008A16E7">
        <w:t>public policy objective</w:t>
      </w:r>
      <w:r w:rsidR="009D5087" w:rsidRPr="008A16E7">
        <w:t>s</w:t>
      </w:r>
      <w:r w:rsidR="00DB0B40" w:rsidRPr="008A16E7">
        <w:t>.</w:t>
      </w:r>
      <w:r w:rsidR="00DB0B40" w:rsidRPr="008A16E7">
        <w:rPr>
          <w:rStyle w:val="FootnoteReference"/>
          <w:rFonts w:ascii="Garamond" w:hAnsi="Garamond" w:cstheme="minorHAnsi"/>
        </w:rPr>
        <w:footnoteReference w:id="74"/>
      </w:r>
      <w:r w:rsidR="00DB0B40" w:rsidRPr="008A16E7">
        <w:t xml:space="preserve"> </w:t>
      </w:r>
    </w:p>
    <w:p w14:paraId="4A6A34E5" w14:textId="1E8279FF" w:rsidR="00447B1C" w:rsidRDefault="00CB5D36" w:rsidP="00447B1C">
      <w:pPr>
        <w:rPr>
          <w:color w:val="000000" w:themeColor="text1"/>
        </w:rPr>
      </w:pPr>
      <w:r>
        <w:rPr>
          <w:color w:val="000000" w:themeColor="text1"/>
        </w:rPr>
        <w:tab/>
      </w:r>
      <w:r w:rsidR="00244E26" w:rsidRPr="008A16E7">
        <w:rPr>
          <w:color w:val="000000" w:themeColor="text1"/>
        </w:rPr>
        <w:t>T</w:t>
      </w:r>
      <w:r w:rsidR="00FF75F2" w:rsidRPr="008A16E7">
        <w:rPr>
          <w:color w:val="000000" w:themeColor="text1"/>
        </w:rPr>
        <w:t xml:space="preserve">he emphasis on the state as a sole bearer of obligations towards those who are often left behind </w:t>
      </w:r>
      <w:r w:rsidR="00AE3775" w:rsidRPr="008A16E7">
        <w:rPr>
          <w:color w:val="000000" w:themeColor="text1"/>
        </w:rPr>
        <w:t xml:space="preserve">by </w:t>
      </w:r>
      <w:proofErr w:type="spellStart"/>
      <w:r w:rsidR="00AE3775" w:rsidRPr="008A16E7">
        <w:rPr>
          <w:color w:val="000000" w:themeColor="text1"/>
        </w:rPr>
        <w:t>globalised</w:t>
      </w:r>
      <w:proofErr w:type="spellEnd"/>
      <w:r w:rsidR="00AE3775" w:rsidRPr="008A16E7">
        <w:rPr>
          <w:color w:val="000000" w:themeColor="text1"/>
        </w:rPr>
        <w:t xml:space="preserve"> trade and investment </w:t>
      </w:r>
      <w:r w:rsidR="00FF75F2" w:rsidRPr="008A16E7">
        <w:rPr>
          <w:color w:val="000000" w:themeColor="text1"/>
        </w:rPr>
        <w:t xml:space="preserve">is also at odds with the </w:t>
      </w:r>
      <w:r w:rsidR="00DF794E" w:rsidRPr="008A16E7">
        <w:rPr>
          <w:color w:val="000000" w:themeColor="text1"/>
        </w:rPr>
        <w:t xml:space="preserve">growing </w:t>
      </w:r>
      <w:r w:rsidR="00B76C8E" w:rsidRPr="008A16E7">
        <w:rPr>
          <w:color w:val="000000" w:themeColor="text1"/>
        </w:rPr>
        <w:lastRenderedPageBreak/>
        <w:t>acknowledgment</w:t>
      </w:r>
      <w:r w:rsidR="00DF794E" w:rsidRPr="008A16E7">
        <w:rPr>
          <w:color w:val="000000" w:themeColor="text1"/>
        </w:rPr>
        <w:t xml:space="preserve"> that investment treaty law, and in particular its investor-state arbitration mechanism, tend</w:t>
      </w:r>
      <w:r w:rsidR="001F4E6D" w:rsidRPr="008A16E7">
        <w:rPr>
          <w:color w:val="000000" w:themeColor="text1"/>
        </w:rPr>
        <w:t>s</w:t>
      </w:r>
      <w:r w:rsidR="00FF75F2" w:rsidRPr="008A16E7">
        <w:rPr>
          <w:color w:val="000000" w:themeColor="text1"/>
        </w:rPr>
        <w:t xml:space="preserve"> to diminish, rather than enhance, the host </w:t>
      </w:r>
      <w:r w:rsidR="00DB0B40" w:rsidRPr="008A16E7">
        <w:rPr>
          <w:color w:val="000000" w:themeColor="text1"/>
        </w:rPr>
        <w:t>government</w:t>
      </w:r>
      <w:r w:rsidR="00FF75F2" w:rsidRPr="008A16E7">
        <w:rPr>
          <w:color w:val="000000" w:themeColor="text1"/>
        </w:rPr>
        <w:t xml:space="preserve">’s ability to </w:t>
      </w:r>
      <w:r w:rsidR="00DB0B40" w:rsidRPr="008A16E7">
        <w:rPr>
          <w:color w:val="000000" w:themeColor="text1"/>
        </w:rPr>
        <w:t>harness its</w:t>
      </w:r>
      <w:r w:rsidR="00FF75F2" w:rsidRPr="008A16E7">
        <w:rPr>
          <w:color w:val="000000" w:themeColor="text1"/>
        </w:rPr>
        <w:t xml:space="preserve"> national laws and regulations to achieve certain economic and public policy objectives.</w:t>
      </w:r>
      <w:r w:rsidR="00DF794E" w:rsidRPr="008A16E7">
        <w:rPr>
          <w:color w:val="000000" w:themeColor="text1"/>
        </w:rPr>
        <w:t xml:space="preserve"> Indeed, one of the major criticisms of the investment treaty regime has been levelled at its proclivity to </w:t>
      </w:r>
      <w:r w:rsidR="00BD246E">
        <w:rPr>
          <w:color w:val="000000" w:themeColor="text1"/>
        </w:rPr>
        <w:t>‘</w:t>
      </w:r>
      <w:r w:rsidR="00DF794E" w:rsidRPr="008A16E7">
        <w:rPr>
          <w:color w:val="000000" w:themeColor="text1"/>
        </w:rPr>
        <w:t>operate with a default bias against change in the regulatory system of the host state which is fundamentally misaligned with the dynamic and unpredictable policy challenges that states face</w:t>
      </w:r>
      <w:r>
        <w:rPr>
          <w:color w:val="000000" w:themeColor="text1"/>
        </w:rPr>
        <w:t>’</w:t>
      </w:r>
      <w:r w:rsidR="00DF794E" w:rsidRPr="008A16E7">
        <w:rPr>
          <w:color w:val="000000" w:themeColor="text1"/>
        </w:rPr>
        <w:t>.</w:t>
      </w:r>
      <w:r w:rsidR="00DF794E" w:rsidRPr="008A16E7">
        <w:rPr>
          <w:rStyle w:val="FootnoteReference"/>
          <w:rFonts w:ascii="Garamond" w:hAnsi="Garamond"/>
          <w:color w:val="000000" w:themeColor="text1"/>
        </w:rPr>
        <w:footnoteReference w:id="75"/>
      </w:r>
      <w:r w:rsidR="00DF794E" w:rsidRPr="008A16E7">
        <w:rPr>
          <w:color w:val="000000" w:themeColor="text1"/>
        </w:rPr>
        <w:t xml:space="preserve"> </w:t>
      </w:r>
      <w:r w:rsidR="00DB0B40" w:rsidRPr="008A16E7">
        <w:rPr>
          <w:color w:val="000000" w:themeColor="text1"/>
        </w:rPr>
        <w:t xml:space="preserve">The constraining effect of investment treaties on national legislative and regulatory powers has been widely </w:t>
      </w:r>
      <w:proofErr w:type="spellStart"/>
      <w:r w:rsidR="00DB0B40" w:rsidRPr="008A16E7">
        <w:rPr>
          <w:color w:val="000000" w:themeColor="text1"/>
        </w:rPr>
        <w:t>recognised</w:t>
      </w:r>
      <w:proofErr w:type="spellEnd"/>
      <w:r w:rsidR="00DB0B40" w:rsidRPr="008A16E7">
        <w:rPr>
          <w:color w:val="000000" w:themeColor="text1"/>
        </w:rPr>
        <w:t xml:space="preserve"> to the extent that one of the major strands of the ongoing investment treaty reform process – including in developed states</w:t>
      </w:r>
      <w:r w:rsidR="00C30AD4" w:rsidRPr="008A16E7">
        <w:rPr>
          <w:color w:val="000000" w:themeColor="text1"/>
        </w:rPr>
        <w:t xml:space="preserve"> – </w:t>
      </w:r>
      <w:r w:rsidR="00DB0B40" w:rsidRPr="008A16E7">
        <w:rPr>
          <w:color w:val="000000" w:themeColor="text1"/>
        </w:rPr>
        <w:t xml:space="preserve">has been to introduce safeguards for </w:t>
      </w:r>
      <w:r w:rsidR="009D5087" w:rsidRPr="008A16E7">
        <w:rPr>
          <w:color w:val="000000" w:themeColor="text1"/>
        </w:rPr>
        <w:t>host governments</w:t>
      </w:r>
      <w:r w:rsidR="00B76C8E" w:rsidRPr="008A16E7">
        <w:rPr>
          <w:color w:val="000000" w:themeColor="text1"/>
        </w:rPr>
        <w:t xml:space="preserve"> to legislate and regulate in the wider public</w:t>
      </w:r>
      <w:r w:rsidR="00AE3775" w:rsidRPr="008A16E7">
        <w:rPr>
          <w:color w:val="000000" w:themeColor="text1"/>
        </w:rPr>
        <w:t xml:space="preserve"> interest</w:t>
      </w:r>
      <w:r w:rsidR="00DB0B40" w:rsidRPr="008A16E7">
        <w:rPr>
          <w:color w:val="000000" w:themeColor="text1"/>
        </w:rPr>
        <w:t xml:space="preserve">. Yet </w:t>
      </w:r>
      <w:r w:rsidR="009D5087" w:rsidRPr="008A16E7">
        <w:rPr>
          <w:color w:val="000000" w:themeColor="text1"/>
        </w:rPr>
        <w:t xml:space="preserve">such safeguards alone </w:t>
      </w:r>
      <w:r w:rsidR="00DB0B40" w:rsidRPr="008A16E7">
        <w:rPr>
          <w:color w:val="000000" w:themeColor="text1"/>
        </w:rPr>
        <w:t>will not redress the systemic factors that presently delimit the capacity of developing states to legislate and regulate in the interest of their populations. Equally, imposing monetary responsibility on developing states for failing to implement international conventions or otherwise legislate in the interests of local communities is likely to divert the already limited financial resources</w:t>
      </w:r>
      <w:r w:rsidR="009D5087" w:rsidRPr="008A16E7">
        <w:rPr>
          <w:color w:val="000000" w:themeColor="text1"/>
        </w:rPr>
        <w:t xml:space="preserve">, while depriving investors of an incentive to </w:t>
      </w:r>
      <w:proofErr w:type="spellStart"/>
      <w:r w:rsidR="009D5087" w:rsidRPr="008A16E7">
        <w:rPr>
          <w:color w:val="000000" w:themeColor="text1"/>
        </w:rPr>
        <w:t>maximise</w:t>
      </w:r>
      <w:proofErr w:type="spellEnd"/>
      <w:r w:rsidR="009D5087" w:rsidRPr="008A16E7">
        <w:rPr>
          <w:color w:val="000000" w:themeColor="text1"/>
        </w:rPr>
        <w:t xml:space="preserve"> </w:t>
      </w:r>
      <w:r w:rsidR="00C30AD4" w:rsidRPr="008A16E7">
        <w:rPr>
          <w:color w:val="000000" w:themeColor="text1"/>
        </w:rPr>
        <w:t xml:space="preserve">the </w:t>
      </w:r>
      <w:r w:rsidR="009D5087" w:rsidRPr="008A16E7">
        <w:rPr>
          <w:color w:val="000000" w:themeColor="text1"/>
        </w:rPr>
        <w:t>societal benefits of their projects</w:t>
      </w:r>
      <w:r w:rsidR="0054644B" w:rsidRPr="008A16E7">
        <w:rPr>
          <w:color w:val="000000" w:themeColor="text1"/>
        </w:rPr>
        <w:t xml:space="preserve">. </w:t>
      </w:r>
    </w:p>
    <w:p w14:paraId="4A11D9A9" w14:textId="19B3517A" w:rsidR="00447B1C" w:rsidRDefault="00CB5D36" w:rsidP="00447B1C">
      <w:pPr>
        <w:pStyle w:val="Heading2"/>
      </w:pPr>
      <w:r>
        <w:t xml:space="preserve">C. </w:t>
      </w:r>
      <w:r w:rsidR="001F6D2B" w:rsidRPr="00467374">
        <w:t xml:space="preserve">Misplaced </w:t>
      </w:r>
      <w:r w:rsidR="00C30AD4" w:rsidRPr="00467374">
        <w:t>Faith in Arbitral Tribunals as Principal Agents of Change</w:t>
      </w:r>
    </w:p>
    <w:p w14:paraId="098A73A3" w14:textId="2B1AD530" w:rsidR="00447B1C" w:rsidRDefault="001F6D2B" w:rsidP="00447B1C">
      <w:r w:rsidRPr="008A16E7">
        <w:t xml:space="preserve">The criticisms of the international investment regime’s asymmetry </w:t>
      </w:r>
      <w:r w:rsidR="00B76C8E" w:rsidRPr="008A16E7">
        <w:t xml:space="preserve">in providing investors with rights but no responsibilities </w:t>
      </w:r>
      <w:r w:rsidRPr="008A16E7">
        <w:t xml:space="preserve">have been </w:t>
      </w:r>
      <w:r w:rsidR="00F31F6F" w:rsidRPr="008A16E7">
        <w:t>d</w:t>
      </w:r>
      <w:r w:rsidRPr="008A16E7">
        <w:t xml:space="preserve">ismissed by some authors as conceptually </w:t>
      </w:r>
      <w:r w:rsidR="00BD246E">
        <w:t>‘</w:t>
      </w:r>
      <w:r w:rsidRPr="008A16E7">
        <w:t>rather simplistic and not always accurate</w:t>
      </w:r>
      <w:r w:rsidR="00E97190">
        <w:t>’</w:t>
      </w:r>
      <w:r w:rsidR="00B76C8E" w:rsidRPr="008A16E7">
        <w:t>.</w:t>
      </w:r>
      <w:r w:rsidRPr="008A16E7">
        <w:rPr>
          <w:vertAlign w:val="superscript"/>
        </w:rPr>
        <w:footnoteReference w:id="76"/>
      </w:r>
      <w:r w:rsidR="00B76C8E" w:rsidRPr="008A16E7">
        <w:t xml:space="preserve"> This is because </w:t>
      </w:r>
      <w:r w:rsidR="00C30AD4" w:rsidRPr="008A16E7">
        <w:t xml:space="preserve">the </w:t>
      </w:r>
      <w:r w:rsidR="00B76C8E" w:rsidRPr="008A16E7">
        <w:t>n</w:t>
      </w:r>
      <w:r w:rsidRPr="008A16E7">
        <w:t xml:space="preserve">ational laws of host states and investor-state contracts can impose obligations on investors. </w:t>
      </w:r>
      <w:r w:rsidR="00B76C8E" w:rsidRPr="008A16E7">
        <w:t xml:space="preserve">Consequently, </w:t>
      </w:r>
      <w:r w:rsidR="00AE3775" w:rsidRPr="008A16E7">
        <w:t xml:space="preserve">it is argued, </w:t>
      </w:r>
      <w:r w:rsidRPr="008A16E7">
        <w:t>incorporating enforceable investor obligations into treaty texts</w:t>
      </w:r>
      <w:r w:rsidR="00B76C8E" w:rsidRPr="008A16E7">
        <w:t xml:space="preserve"> is unnecessary</w:t>
      </w:r>
      <w:r w:rsidRPr="008A16E7">
        <w:t xml:space="preserve">, </w:t>
      </w:r>
      <w:r w:rsidR="00B76C8E" w:rsidRPr="008A16E7">
        <w:t>and all that is needed is</w:t>
      </w:r>
      <w:r w:rsidRPr="008A16E7">
        <w:t xml:space="preserve"> </w:t>
      </w:r>
      <w:r w:rsidR="00BD246E">
        <w:t>‘</w:t>
      </w:r>
      <w:r w:rsidRPr="008A16E7">
        <w:t>a change of mindset</w:t>
      </w:r>
      <w:r w:rsidR="00BD246E">
        <w:t>’</w:t>
      </w:r>
      <w:r w:rsidR="005140B2" w:rsidRPr="008A16E7">
        <w:t xml:space="preserve"> </w:t>
      </w:r>
      <w:r w:rsidRPr="008A16E7">
        <w:t xml:space="preserve">whereby </w:t>
      </w:r>
      <w:r w:rsidR="00BD246E">
        <w:t>‘</w:t>
      </w:r>
      <w:r w:rsidR="00F31F6F" w:rsidRPr="008A16E7">
        <w:t xml:space="preserve">reliance on investment treaties is </w:t>
      </w:r>
      <w:r w:rsidR="00666B9F" w:rsidRPr="008A16E7">
        <w:t>…</w:t>
      </w:r>
      <w:r w:rsidR="00F31F6F" w:rsidRPr="008A16E7">
        <w:t xml:space="preserve"> preserved but as</w:t>
      </w:r>
      <w:r w:rsidR="00666B9F" w:rsidRPr="008A16E7">
        <w:t xml:space="preserve"> </w:t>
      </w:r>
      <w:r w:rsidR="00F31F6F" w:rsidRPr="008A16E7">
        <w:t>part of a wider array of sources of foreign investment regulation; and one in which</w:t>
      </w:r>
      <w:r w:rsidR="00666B9F" w:rsidRPr="008A16E7">
        <w:t xml:space="preserve"> </w:t>
      </w:r>
      <w:r w:rsidR="00F31F6F" w:rsidRPr="008A16E7">
        <w:t xml:space="preserve">these </w:t>
      </w:r>
      <w:r w:rsidR="00F31F6F" w:rsidRPr="008A16E7">
        <w:lastRenderedPageBreak/>
        <w:t>different sources, including treaties, are interpreted in a more balanced</w:t>
      </w:r>
      <w:r w:rsidR="00666B9F" w:rsidRPr="008A16E7">
        <w:t xml:space="preserve"> </w:t>
      </w:r>
      <w:r w:rsidR="00F31F6F" w:rsidRPr="008A16E7">
        <w:t>manner</w:t>
      </w:r>
      <w:r w:rsidR="00BD246E">
        <w:t>’</w:t>
      </w:r>
      <w:r w:rsidR="00E97190">
        <w:t>.</w:t>
      </w:r>
      <w:r w:rsidRPr="008A16E7">
        <w:rPr>
          <w:vertAlign w:val="superscript"/>
        </w:rPr>
        <w:footnoteReference w:id="77"/>
      </w:r>
      <w:r w:rsidRPr="008A16E7">
        <w:t xml:space="preserve"> </w:t>
      </w:r>
      <w:r w:rsidR="003A74CF" w:rsidRPr="008A16E7">
        <w:t>Such a change of mindset would be reflected, among other things, in greater attention paid by tribunals to whether the investor exercised due diligence in making and operating its investment in the territory of the host state.</w:t>
      </w:r>
      <w:r w:rsidR="003A74CF" w:rsidRPr="008A16E7">
        <w:rPr>
          <w:rStyle w:val="FootnoteReference"/>
          <w:rFonts w:ascii="Garamond" w:hAnsi="Garamond" w:cstheme="minorHAnsi"/>
          <w:color w:val="000000" w:themeColor="text1"/>
        </w:rPr>
        <w:footnoteReference w:id="78"/>
      </w:r>
      <w:r w:rsidR="00C50590" w:rsidRPr="008A16E7">
        <w:t xml:space="preserve"> </w:t>
      </w:r>
    </w:p>
    <w:p w14:paraId="2038C455" w14:textId="1592C198" w:rsidR="00447B1C" w:rsidRDefault="00E97190" w:rsidP="00447B1C">
      <w:r>
        <w:tab/>
      </w:r>
      <w:r w:rsidR="003A74CF" w:rsidRPr="008A16E7">
        <w:t xml:space="preserve">Although these </w:t>
      </w:r>
      <w:r w:rsidR="005770A7" w:rsidRPr="008A16E7">
        <w:t>arguments</w:t>
      </w:r>
      <w:r w:rsidR="003A74CF" w:rsidRPr="008A16E7">
        <w:t xml:space="preserve"> could indeed prove useful in addressing the consequences of investor misconduct in some cases, they are primarily aimed at deterring negative effects of investor </w:t>
      </w:r>
      <w:proofErr w:type="spellStart"/>
      <w:r w:rsidR="003A74CF" w:rsidRPr="008A16E7">
        <w:t>behavio</w:t>
      </w:r>
      <w:r w:rsidR="00C30AD4" w:rsidRPr="008A16E7">
        <w:t>u</w:t>
      </w:r>
      <w:r w:rsidR="003A74CF" w:rsidRPr="008A16E7">
        <w:t>r</w:t>
      </w:r>
      <w:proofErr w:type="spellEnd"/>
      <w:r w:rsidR="003A74CF" w:rsidRPr="008A16E7">
        <w:t xml:space="preserve"> rather than encouraging socially inclusive investment</w:t>
      </w:r>
      <w:r w:rsidR="00C30AD4" w:rsidRPr="008A16E7">
        <w:t>s</w:t>
      </w:r>
      <w:r w:rsidR="003A74CF" w:rsidRPr="008A16E7">
        <w:t xml:space="preserve">. The overall long-term effectiveness of such solutions is </w:t>
      </w:r>
      <w:r w:rsidR="00AE3775" w:rsidRPr="008A16E7">
        <w:t xml:space="preserve">also </w:t>
      </w:r>
      <w:r w:rsidR="003A74CF" w:rsidRPr="008A16E7">
        <w:t xml:space="preserve">likely to be limited due to the lack of binding precedent and the </w:t>
      </w:r>
      <w:r w:rsidR="00C30AD4" w:rsidRPr="008A16E7">
        <w:t xml:space="preserve">already </w:t>
      </w:r>
      <w:r w:rsidR="003A74CF" w:rsidRPr="008A16E7">
        <w:t xml:space="preserve">notorious problems of inconsistency </w:t>
      </w:r>
      <w:r w:rsidR="00C30AD4" w:rsidRPr="008A16E7">
        <w:t>in</w:t>
      </w:r>
      <w:r w:rsidR="003A74CF" w:rsidRPr="008A16E7">
        <w:t xml:space="preserve"> arbitral jurisprudence. </w:t>
      </w:r>
      <w:r w:rsidR="001F6D2B" w:rsidRPr="008A16E7">
        <w:t>Furthermore, even a cursory overview of investment arbitration practice</w:t>
      </w:r>
      <w:r w:rsidR="00C30AD4" w:rsidRPr="008A16E7">
        <w:t>s</w:t>
      </w:r>
      <w:r w:rsidR="001F6D2B" w:rsidRPr="008A16E7">
        <w:t xml:space="preserve"> reveals th</w:t>
      </w:r>
      <w:r w:rsidR="00C30AD4" w:rsidRPr="008A16E7">
        <w:t xml:space="preserve">e </w:t>
      </w:r>
      <w:r w:rsidR="001F6D2B" w:rsidRPr="008A16E7">
        <w:t xml:space="preserve">reluctance </w:t>
      </w:r>
      <w:r w:rsidR="00C30AD4" w:rsidRPr="008A16E7">
        <w:t>of</w:t>
      </w:r>
      <w:r w:rsidR="001F6D2B" w:rsidRPr="008A16E7">
        <w:t xml:space="preserve"> arbitral tribunals to change their mindset and </w:t>
      </w:r>
      <w:r w:rsidR="00C30AD4" w:rsidRPr="008A16E7">
        <w:t xml:space="preserve">to </w:t>
      </w:r>
      <w:r w:rsidR="001F6D2B" w:rsidRPr="008A16E7">
        <w:t xml:space="preserve">use </w:t>
      </w:r>
      <w:r w:rsidR="00C30AD4" w:rsidRPr="008A16E7">
        <w:t xml:space="preserve">the </w:t>
      </w:r>
      <w:r w:rsidR="001F6D2B" w:rsidRPr="008A16E7">
        <w:t xml:space="preserve">legal mechanisms at their disposal to interpret investment treaties as vehicles that should benefit </w:t>
      </w:r>
      <w:r w:rsidR="00AE3775" w:rsidRPr="008A16E7">
        <w:t xml:space="preserve">host </w:t>
      </w:r>
      <w:r w:rsidR="00B51460" w:rsidRPr="008A16E7">
        <w:t>states</w:t>
      </w:r>
      <w:r w:rsidR="001F6D2B" w:rsidRPr="008A16E7">
        <w:t>.</w:t>
      </w:r>
      <w:r w:rsidR="001F6D2B" w:rsidRPr="008A16E7">
        <w:rPr>
          <w:rStyle w:val="FootnoteReference"/>
          <w:rFonts w:ascii="Garamond" w:hAnsi="Garamond" w:cstheme="minorHAnsi"/>
          <w:color w:val="000000" w:themeColor="text1"/>
        </w:rPr>
        <w:footnoteReference w:id="79"/>
      </w:r>
      <w:r w:rsidR="001F6D2B" w:rsidRPr="008A16E7">
        <w:t xml:space="preserve"> </w:t>
      </w:r>
      <w:r w:rsidR="00DB00B9" w:rsidRPr="008A16E7">
        <w:t xml:space="preserve">Indeed, as shown by Ranjan in </w:t>
      </w:r>
      <w:r w:rsidR="00C30AD4" w:rsidRPr="008A16E7">
        <w:t>his contribution to this volume</w:t>
      </w:r>
      <w:r w:rsidR="00B51460" w:rsidRPr="008A16E7">
        <w:t xml:space="preserve"> </w:t>
      </w:r>
      <w:proofErr w:type="spellStart"/>
      <w:r w:rsidR="00DB00B9" w:rsidRPr="008A16E7">
        <w:t>analysing</w:t>
      </w:r>
      <w:proofErr w:type="spellEnd"/>
      <w:r w:rsidR="00DB00B9" w:rsidRPr="008A16E7">
        <w:t xml:space="preserve"> recent investment arbitration jurisprudence, domestic law could be relied upon by tribunals as a gateway to impose obligations on foreign investors but the trend is far from being uniformly endorsed. </w:t>
      </w:r>
    </w:p>
    <w:p w14:paraId="1F13E4B2" w14:textId="6FE1462B" w:rsidR="00447B1C" w:rsidRDefault="00665B5A" w:rsidP="00447B1C">
      <w:r>
        <w:tab/>
      </w:r>
      <w:r w:rsidR="00406085" w:rsidRPr="008A16E7">
        <w:t xml:space="preserve">The majority’s award in </w:t>
      </w:r>
      <w:r w:rsidR="00406085" w:rsidRPr="008A16E7">
        <w:rPr>
          <w:i/>
          <w:iCs/>
        </w:rPr>
        <w:t>Bear Creek</w:t>
      </w:r>
      <w:r w:rsidR="00406085" w:rsidRPr="008A16E7">
        <w:t xml:space="preserve"> neatly exposes </w:t>
      </w:r>
      <w:r w:rsidR="00C30AD4" w:rsidRPr="008A16E7">
        <w:t>the</w:t>
      </w:r>
      <w:r w:rsidR="00406085" w:rsidRPr="008A16E7">
        <w:t xml:space="preserve"> fallacy of placing </w:t>
      </w:r>
      <w:r w:rsidR="003A74CF" w:rsidRPr="008A16E7">
        <w:t xml:space="preserve">faith in </w:t>
      </w:r>
      <w:r w:rsidR="00C30AD4" w:rsidRPr="008A16E7">
        <w:t xml:space="preserve">the </w:t>
      </w:r>
      <w:r w:rsidR="003A74CF" w:rsidRPr="008A16E7">
        <w:t xml:space="preserve">arbitral practice as a vehicle for addressing the investment treaty regime’s social deficits. The issue of contributory fault was central to the majority’s decision to find Peru responsible for social unrest. In its </w:t>
      </w:r>
      <w:proofErr w:type="spellStart"/>
      <w:r w:rsidR="003A74CF" w:rsidRPr="008A16E7">
        <w:t>defence</w:t>
      </w:r>
      <w:proofErr w:type="spellEnd"/>
      <w:r w:rsidR="003A74CF" w:rsidRPr="008A16E7">
        <w:t xml:space="preserve">, the </w:t>
      </w:r>
      <w:r>
        <w:t>G</w:t>
      </w:r>
      <w:r w:rsidRPr="008A16E7">
        <w:t xml:space="preserve">overnment </w:t>
      </w:r>
      <w:r w:rsidR="003A74CF" w:rsidRPr="008A16E7">
        <w:t>of Peru argued that the social unrest was a direct consequence of the investor’s failure to address grievances of the affected communities,</w:t>
      </w:r>
      <w:r w:rsidR="003A74CF" w:rsidRPr="008A16E7">
        <w:rPr>
          <w:rStyle w:val="FootnoteReference"/>
          <w:rFonts w:ascii="Garamond" w:hAnsi="Garamond" w:cstheme="minorHAnsi"/>
          <w:color w:val="000000" w:themeColor="text1"/>
        </w:rPr>
        <w:footnoteReference w:id="80"/>
      </w:r>
      <w:r w:rsidR="003A74CF" w:rsidRPr="008A16E7">
        <w:t xml:space="preserve"> and that its contributory fault should be taken into account by the tribunal in determining the party’s liabilities. Despite having concluded that the investor had indeed failed to effectively engage with all the concerned communities, the tribunal nevertheless </w:t>
      </w:r>
      <w:r w:rsidR="00C30AD4" w:rsidRPr="008A16E7">
        <w:t>(</w:t>
      </w:r>
      <w:r w:rsidR="003A74CF" w:rsidRPr="008A16E7">
        <w:t>rather inexplicably</w:t>
      </w:r>
      <w:r w:rsidR="00C30AD4" w:rsidRPr="008A16E7">
        <w:t>)</w:t>
      </w:r>
      <w:r w:rsidR="003A74CF" w:rsidRPr="008A16E7">
        <w:t xml:space="preserve"> concluded that Peru did not discharge its burden of proof in showing that the local communities’ </w:t>
      </w:r>
      <w:r w:rsidR="003A74CF" w:rsidRPr="008A16E7">
        <w:lastRenderedPageBreak/>
        <w:t>opposition and the ensuing project’s collapse had been caused by the investor’s acts and omissions.</w:t>
      </w:r>
      <w:r w:rsidR="003A74CF" w:rsidRPr="008A16E7">
        <w:rPr>
          <w:rStyle w:val="FootnoteReference"/>
          <w:rFonts w:ascii="Garamond" w:hAnsi="Garamond" w:cstheme="minorHAnsi"/>
          <w:color w:val="000000" w:themeColor="text1"/>
        </w:rPr>
        <w:footnoteReference w:id="81"/>
      </w:r>
      <w:r w:rsidR="003A74CF" w:rsidRPr="008A16E7">
        <w:t xml:space="preserve"> As noted by the dissenting arbitrator, this finding was at odds with the totality of evidence heard by the tribunal as well as the majority’s acknowledgement that the investor </w:t>
      </w:r>
      <w:r w:rsidR="00BD246E">
        <w:t>‘</w:t>
      </w:r>
      <w:r w:rsidR="003A74CF" w:rsidRPr="008A16E7">
        <w:t>did not do all it could have done to engage with all the affected communities</w:t>
      </w:r>
      <w:r w:rsidR="00BD246E">
        <w:t>’</w:t>
      </w:r>
      <w:r w:rsidR="003A74CF" w:rsidRPr="008A16E7">
        <w:t>.</w:t>
      </w:r>
      <w:r w:rsidR="003A74CF" w:rsidRPr="008A16E7">
        <w:rPr>
          <w:rStyle w:val="FootnoteReference"/>
          <w:rFonts w:ascii="Garamond" w:hAnsi="Garamond" w:cstheme="minorHAnsi"/>
          <w:color w:val="000000" w:themeColor="text1"/>
        </w:rPr>
        <w:footnoteReference w:id="82"/>
      </w:r>
      <w:r w:rsidR="003A74CF" w:rsidRPr="008A16E7">
        <w:t xml:space="preserve"> In the view of the dissenting arbitrator, the investor’s contribution to the events </w:t>
      </w:r>
      <w:r w:rsidR="00AE3775" w:rsidRPr="008A16E7">
        <w:t xml:space="preserve">culminating in </w:t>
      </w:r>
      <w:r w:rsidR="00C30AD4" w:rsidRPr="008A16E7">
        <w:t xml:space="preserve">the </w:t>
      </w:r>
      <w:r w:rsidR="00AE3775" w:rsidRPr="008A16E7">
        <w:t>protests</w:t>
      </w:r>
      <w:r w:rsidR="003A74CF" w:rsidRPr="008A16E7">
        <w:t xml:space="preserve"> was significant and warranted the reduction of the amount of damages due.</w:t>
      </w:r>
      <w:r w:rsidR="003A74CF" w:rsidRPr="008A16E7">
        <w:rPr>
          <w:rStyle w:val="FootnoteReference"/>
          <w:rFonts w:ascii="Garamond" w:hAnsi="Garamond" w:cstheme="minorHAnsi"/>
          <w:color w:val="000000" w:themeColor="text1"/>
        </w:rPr>
        <w:footnoteReference w:id="83"/>
      </w:r>
      <w:r w:rsidR="003A74CF" w:rsidRPr="008A16E7">
        <w:t xml:space="preserve"> The very fact that the dissenting opinion diverged from the award on the issue of contributory fault</w:t>
      </w:r>
      <w:r w:rsidR="00361EC2">
        <w:t xml:space="preserve"> – </w:t>
      </w:r>
      <w:r w:rsidR="003A74CF" w:rsidRPr="008A16E7">
        <w:t>as well as the lack of consensus in arbitral jurisprudence in this area</w:t>
      </w:r>
      <w:r w:rsidR="00361EC2">
        <w:t xml:space="preserve"> –</w:t>
      </w:r>
      <w:r w:rsidR="003A74CF" w:rsidRPr="008A16E7">
        <w:t xml:space="preserve">demonstrate that </w:t>
      </w:r>
      <w:r w:rsidR="00DB00B9" w:rsidRPr="008A16E7">
        <w:t>it is too early to place faith in arbitral tribunals as agents of change</w:t>
      </w:r>
      <w:r w:rsidR="003A74CF" w:rsidRPr="008A16E7">
        <w:t xml:space="preserve">. </w:t>
      </w:r>
      <w:r w:rsidR="00406085" w:rsidRPr="008A16E7">
        <w:t xml:space="preserve">Various interpretative possibilities may indeed be available to arbitral </w:t>
      </w:r>
      <w:r w:rsidR="008A16E7" w:rsidRPr="008A16E7">
        <w:t>panels,</w:t>
      </w:r>
      <w:r w:rsidR="00DB00B9" w:rsidRPr="008A16E7">
        <w:t xml:space="preserve"> </w:t>
      </w:r>
      <w:r w:rsidR="00406085" w:rsidRPr="008A16E7">
        <w:t>but the</w:t>
      </w:r>
      <w:r w:rsidR="00DB00B9" w:rsidRPr="008A16E7">
        <w:t>y</w:t>
      </w:r>
      <w:r w:rsidR="00406085" w:rsidRPr="008A16E7">
        <w:t xml:space="preserve"> do not display a sufficient degree of readiness to embrace a new mindset.</w:t>
      </w:r>
    </w:p>
    <w:p w14:paraId="12D3B5BA" w14:textId="79DD87F7" w:rsidR="00447B1C" w:rsidRDefault="00665B5A" w:rsidP="00447B1C">
      <w:r>
        <w:tab/>
      </w:r>
      <w:r w:rsidR="00406085" w:rsidRPr="008A16E7">
        <w:t xml:space="preserve">The </w:t>
      </w:r>
      <w:r w:rsidR="008538A8" w:rsidRPr="008A16E7">
        <w:t>expectation that i</w:t>
      </w:r>
      <w:r w:rsidR="00406085" w:rsidRPr="008A16E7">
        <w:t xml:space="preserve">nvestment tribunals </w:t>
      </w:r>
      <w:r w:rsidR="008538A8" w:rsidRPr="008A16E7">
        <w:t xml:space="preserve">would forsake their traditional emphasis on investment protection in </w:t>
      </w:r>
      <w:proofErr w:type="spellStart"/>
      <w:r w:rsidR="008538A8" w:rsidRPr="008A16E7">
        <w:t>favour</w:t>
      </w:r>
      <w:proofErr w:type="spellEnd"/>
      <w:r w:rsidR="008538A8" w:rsidRPr="008A16E7">
        <w:t xml:space="preserve"> of promoting </w:t>
      </w:r>
      <w:r w:rsidR="007A13BB" w:rsidRPr="008A16E7">
        <w:t>responsible investor conduct</w:t>
      </w:r>
      <w:r w:rsidR="008538A8" w:rsidRPr="008A16E7">
        <w:t xml:space="preserve"> is also belied by the evidence of arbitra</w:t>
      </w:r>
      <w:r w:rsidR="009445BD" w:rsidRPr="008A16E7">
        <w:t xml:space="preserve">tors’ inclination to </w:t>
      </w:r>
      <w:proofErr w:type="spellStart"/>
      <w:r w:rsidR="009445BD" w:rsidRPr="008A16E7">
        <w:t>favour</w:t>
      </w:r>
      <w:proofErr w:type="spellEnd"/>
      <w:r w:rsidR="008538A8" w:rsidRPr="008A16E7">
        <w:t xml:space="preserve"> </w:t>
      </w:r>
      <w:r w:rsidR="00406085" w:rsidRPr="008A16E7">
        <w:t>legal texts and formalistic reasoning rather than advocating a more balanced interpretation of the totality of legal norms applicable to the dispute.</w:t>
      </w:r>
      <w:r w:rsidR="00C95199" w:rsidRPr="008A16E7">
        <w:t xml:space="preserve"> Again, the majority’s award in </w:t>
      </w:r>
      <w:r w:rsidR="00C95199" w:rsidRPr="008A16E7">
        <w:rPr>
          <w:i/>
          <w:iCs/>
        </w:rPr>
        <w:t>Bear Creek</w:t>
      </w:r>
      <w:r w:rsidR="00C95199" w:rsidRPr="008A16E7">
        <w:t xml:space="preserve"> is a prime example.</w:t>
      </w:r>
      <w:r w:rsidR="00406085" w:rsidRPr="008A16E7">
        <w:t xml:space="preserve"> The majority had the opportunity to harness the ILO Convention insofar as it </w:t>
      </w:r>
      <w:r w:rsidR="00AE3775" w:rsidRPr="008A16E7">
        <w:t xml:space="preserve">safeguards </w:t>
      </w:r>
      <w:r w:rsidR="00406085" w:rsidRPr="008A16E7">
        <w:t xml:space="preserve">the rights of indigenous communities to </w:t>
      </w:r>
      <w:r w:rsidR="00BD246E">
        <w:t>‘</w:t>
      </w:r>
      <w:r w:rsidR="00406085" w:rsidRPr="008A16E7">
        <w:t>participate in the use, management and conservation of resources pertaining to their lands</w:t>
      </w:r>
      <w:r w:rsidR="00BD246E">
        <w:t>’</w:t>
      </w:r>
      <w:r w:rsidR="00406085" w:rsidRPr="008A16E7">
        <w:t xml:space="preserve"> and to </w:t>
      </w:r>
      <w:r w:rsidR="00BD246E">
        <w:t>‘</w:t>
      </w:r>
      <w:r w:rsidR="00406085" w:rsidRPr="008A16E7">
        <w:t>participate in the benefits of such activities</w:t>
      </w:r>
      <w:r w:rsidR="00BD246E">
        <w:t>’</w:t>
      </w:r>
      <w:r w:rsidR="00406085" w:rsidRPr="008A16E7">
        <w:t xml:space="preserve">, including </w:t>
      </w:r>
      <w:r w:rsidR="00BD246E">
        <w:t>‘</w:t>
      </w:r>
      <w:r w:rsidR="00406085" w:rsidRPr="008A16E7">
        <w:t>fair compensation for any damages which they may sustain as a result</w:t>
      </w:r>
      <w:r>
        <w:t>’</w:t>
      </w:r>
      <w:r w:rsidR="00406085" w:rsidRPr="008A16E7">
        <w:t>.</w:t>
      </w:r>
      <w:r w:rsidR="00406085" w:rsidRPr="008A16E7">
        <w:rPr>
          <w:rStyle w:val="FootnoteReference"/>
          <w:rFonts w:ascii="Garamond" w:hAnsi="Garamond" w:cs="`ÊQ∑˛"/>
          <w:color w:val="000000" w:themeColor="text1"/>
        </w:rPr>
        <w:footnoteReference w:id="84"/>
      </w:r>
      <w:r w:rsidR="00155BFB" w:rsidRPr="008A16E7">
        <w:rPr>
          <w:rFonts w:cs="`ÊQ∑˛"/>
        </w:rPr>
        <w:t xml:space="preserve"> </w:t>
      </w:r>
      <w:r w:rsidR="00D23A72" w:rsidRPr="008A16E7">
        <w:t>However,</w:t>
      </w:r>
      <w:r w:rsidR="00D23A72" w:rsidRPr="008A16E7">
        <w:rPr>
          <w:rFonts w:cs="`ÊQ∑˛"/>
        </w:rPr>
        <w:t xml:space="preserve"> </w:t>
      </w:r>
      <w:r w:rsidR="00D23A72" w:rsidRPr="008A16E7">
        <w:t xml:space="preserve">the </w:t>
      </w:r>
      <w:r w:rsidR="00DB00B9" w:rsidRPr="008A16E7">
        <w:t xml:space="preserve">arbitrators </w:t>
      </w:r>
      <w:r w:rsidR="00D23A72" w:rsidRPr="008A16E7">
        <w:t xml:space="preserve">opted for </w:t>
      </w:r>
      <w:r w:rsidR="00D00859" w:rsidRPr="008A16E7">
        <w:t>a</w:t>
      </w:r>
      <w:r w:rsidR="00D23A72" w:rsidRPr="008A16E7">
        <w:t xml:space="preserve"> narrower interpretation of the relevant rules. </w:t>
      </w:r>
      <w:r w:rsidR="00155BFB" w:rsidRPr="008A16E7">
        <w:rPr>
          <w:rFonts w:cs="`ÊQ∑˛"/>
        </w:rPr>
        <w:t xml:space="preserve">The </w:t>
      </w:r>
      <w:r w:rsidR="007A13BB" w:rsidRPr="008A16E7">
        <w:rPr>
          <w:rFonts w:cs="`ÊQ∑˛"/>
        </w:rPr>
        <w:t>tribunal</w:t>
      </w:r>
      <w:r w:rsidR="00155BFB" w:rsidRPr="008A16E7">
        <w:rPr>
          <w:rFonts w:cs="`ÊQ∑˛"/>
        </w:rPr>
        <w:t xml:space="preserve">’s reasoning appears to be based on the understanding of social license to operate solely </w:t>
      </w:r>
      <w:r w:rsidR="00155BFB" w:rsidRPr="008A16E7">
        <w:rPr>
          <w:rFonts w:cs="˛{»˛"/>
        </w:rPr>
        <w:t xml:space="preserve">as an instrument to ensure social acceptability of investment, not as </w:t>
      </w:r>
      <w:r w:rsidR="00D23A72" w:rsidRPr="008A16E7">
        <w:rPr>
          <w:rFonts w:cs="˛{»˛"/>
        </w:rPr>
        <w:t>a benefit</w:t>
      </w:r>
      <w:r>
        <w:rPr>
          <w:rFonts w:cs="˛{»˛"/>
        </w:rPr>
        <w:t>-</w:t>
      </w:r>
      <w:r w:rsidR="00D23A72" w:rsidRPr="008A16E7">
        <w:rPr>
          <w:rFonts w:cs="˛{»˛"/>
        </w:rPr>
        <w:t>sharing arrangement.</w:t>
      </w:r>
      <w:r w:rsidR="00155BFB" w:rsidRPr="008A16E7">
        <w:rPr>
          <w:rFonts w:cs="˛{»˛"/>
        </w:rPr>
        <w:t xml:space="preserve"> </w:t>
      </w:r>
      <w:r w:rsidR="00C95199" w:rsidRPr="008A16E7">
        <w:t xml:space="preserve">This, in turn, points to the importance </w:t>
      </w:r>
      <w:r>
        <w:t xml:space="preserve">of </w:t>
      </w:r>
      <w:r w:rsidR="00D23A72" w:rsidRPr="008A16E7">
        <w:t xml:space="preserve">rethinking the objectives of investment treaty law and creating space for norms </w:t>
      </w:r>
      <w:proofErr w:type="spellStart"/>
      <w:r w:rsidR="00D23A72" w:rsidRPr="008A16E7">
        <w:t>incentivising</w:t>
      </w:r>
      <w:proofErr w:type="spellEnd"/>
      <w:r w:rsidR="00D23A72" w:rsidRPr="008A16E7">
        <w:t xml:space="preserve"> investment</w:t>
      </w:r>
      <w:r w:rsidR="00D00859" w:rsidRPr="008A16E7">
        <w:t>s</w:t>
      </w:r>
      <w:r w:rsidR="00D23A72" w:rsidRPr="008A16E7">
        <w:t xml:space="preserve"> that bring benefits to local populations.</w:t>
      </w:r>
      <w:r w:rsidR="00E41E16" w:rsidRPr="008A16E7">
        <w:t xml:space="preserve"> </w:t>
      </w:r>
    </w:p>
    <w:p w14:paraId="090401D2" w14:textId="203FBE64" w:rsidR="00447B1C" w:rsidRDefault="00665B5A" w:rsidP="00447B1C">
      <w:r>
        <w:lastRenderedPageBreak/>
        <w:tab/>
      </w:r>
      <w:r w:rsidR="00C95199" w:rsidRPr="008A16E7">
        <w:t>T</w:t>
      </w:r>
      <w:r w:rsidR="001F6D2B" w:rsidRPr="008A16E7">
        <w:t xml:space="preserve">he outcomes of </w:t>
      </w:r>
      <w:r w:rsidR="00AE3775" w:rsidRPr="008A16E7">
        <w:t xml:space="preserve">other </w:t>
      </w:r>
      <w:r w:rsidR="001F6D2B" w:rsidRPr="008A16E7">
        <w:t>cases involving a disagreement between foreign investors and local communities</w:t>
      </w:r>
      <w:r w:rsidR="00D77A4A" w:rsidRPr="008A16E7">
        <w:rPr>
          <w:rStyle w:val="FootnoteReference"/>
          <w:rFonts w:ascii="Garamond" w:hAnsi="Garamond" w:cstheme="minorHAnsi"/>
          <w:color w:val="000000" w:themeColor="text1"/>
        </w:rPr>
        <w:footnoteReference w:id="85"/>
      </w:r>
      <w:r w:rsidR="00B02929" w:rsidRPr="008A16E7">
        <w:t xml:space="preserve"> </w:t>
      </w:r>
      <w:r w:rsidR="00D00859" w:rsidRPr="008A16E7">
        <w:t>also</w:t>
      </w:r>
      <w:r w:rsidR="001F6D2B" w:rsidRPr="008A16E7">
        <w:t xml:space="preserve"> strongly suggest that the substantive and procedural norms governing investment arbitration cases do not seem to provide sufficient incentives for arbitral tribunals to embrace a change of mindset</w:t>
      </w:r>
      <w:r w:rsidR="00D00859" w:rsidRPr="008A16E7">
        <w:t>,</w:t>
      </w:r>
      <w:r w:rsidR="001F6D2B" w:rsidRPr="008A16E7">
        <w:t xml:space="preserve"> whereby the importance of foreign investment would be seen through its social outcomes and its capacity to promote socially inclusive development in host communities.</w:t>
      </w:r>
      <w:r w:rsidR="00F31F6F" w:rsidRPr="008A16E7">
        <w:t xml:space="preserve"> </w:t>
      </w:r>
      <w:r w:rsidR="003A74CF" w:rsidRPr="008A16E7">
        <w:t xml:space="preserve">The usefulness of jurisprudential solutions may also be limited for resource-poor developing states which lack sufficient economic and legal capacity to successfully defend themselves in investor-state arbitration cases. Unlike the cash-strapped developing country governments, </w:t>
      </w:r>
      <w:r w:rsidR="00B02929" w:rsidRPr="008A16E7">
        <w:t xml:space="preserve">large </w:t>
      </w:r>
      <w:r w:rsidR="003A74CF" w:rsidRPr="008A16E7">
        <w:t>corporations are shown to be more influential in shaping the content and direction of jurisprudential development of international investment norms.</w:t>
      </w:r>
      <w:r w:rsidR="003A74CF" w:rsidRPr="008A16E7">
        <w:rPr>
          <w:rStyle w:val="FootnoteReference"/>
          <w:rFonts w:ascii="Garamond" w:hAnsi="Garamond" w:cs="`ÊQ∑˛"/>
          <w:color w:val="000000" w:themeColor="text1"/>
        </w:rPr>
        <w:footnoteReference w:id="86"/>
      </w:r>
      <w:r w:rsidR="003A74CF" w:rsidRPr="008A16E7">
        <w:rPr>
          <w:rStyle w:val="FootnoteReference"/>
          <w:rFonts w:ascii="Garamond" w:hAnsi="Garamond" w:cs="`ÊQ∑˛"/>
          <w:color w:val="000000" w:themeColor="text1"/>
        </w:rPr>
        <w:t xml:space="preserve"> </w:t>
      </w:r>
      <w:r w:rsidR="00A325B8" w:rsidRPr="008A16E7">
        <w:t xml:space="preserve">Echoing </w:t>
      </w:r>
      <w:proofErr w:type="spellStart"/>
      <w:r w:rsidR="00A325B8" w:rsidRPr="008A16E7">
        <w:t>Cotula</w:t>
      </w:r>
      <w:proofErr w:type="spellEnd"/>
      <w:r w:rsidR="00A325B8" w:rsidRPr="008A16E7">
        <w:t xml:space="preserve"> and Perrone’s argument in </w:t>
      </w:r>
      <w:r w:rsidR="008E3AF4">
        <w:t>c</w:t>
      </w:r>
      <w:r w:rsidR="008E3AF4" w:rsidRPr="008A16E7">
        <w:t xml:space="preserve">hapter </w:t>
      </w:r>
      <w:r w:rsidR="008E3AF4">
        <w:t>three</w:t>
      </w:r>
      <w:r w:rsidR="00A325B8" w:rsidRPr="008A16E7">
        <w:t xml:space="preserve">, relying on other legal regimes, both domestic and international, could only partly rebalance these asymmetric relations between investors and local communities. </w:t>
      </w:r>
      <w:r w:rsidR="003A74CF" w:rsidRPr="008A16E7">
        <w:t xml:space="preserve">These factors make a strong case for amending </w:t>
      </w:r>
      <w:r w:rsidR="00B02929" w:rsidRPr="008A16E7">
        <w:t xml:space="preserve">investment </w:t>
      </w:r>
      <w:r w:rsidR="003A74CF" w:rsidRPr="008A16E7">
        <w:t>treaties.</w:t>
      </w:r>
    </w:p>
    <w:p w14:paraId="403D954B" w14:textId="35AE58AE" w:rsidR="00447B1C" w:rsidRDefault="008E3AF4" w:rsidP="00447B1C">
      <w:pPr>
        <w:pStyle w:val="Heading2"/>
      </w:pPr>
      <w:r>
        <w:t xml:space="preserve">D. </w:t>
      </w:r>
      <w:r w:rsidR="001356AC" w:rsidRPr="00467374">
        <w:t xml:space="preserve">Outdated </w:t>
      </w:r>
      <w:r w:rsidR="00C30AD4" w:rsidRPr="00467374">
        <w:t xml:space="preserve">Emphasis on Investors’ Lack of International Legal Personality </w:t>
      </w:r>
    </w:p>
    <w:p w14:paraId="7B1ECF5F" w14:textId="2E42281A" w:rsidR="00447B1C" w:rsidRDefault="001356AC" w:rsidP="00447B1C">
      <w:r w:rsidRPr="008A16E7">
        <w:t>Those who oppose the inclusion of investor obligations in treaties argue that unlike the host state</w:t>
      </w:r>
      <w:r w:rsidR="008E3AF4">
        <w:t>,</w:t>
      </w:r>
      <w:r w:rsidRPr="008A16E7">
        <w:t xml:space="preserve"> which can be held to international responsibility, investors cannot be considered to have violated international law. This, it has been argued, stems from the fact that private investors do not have a requisite international legal personality so as to be held responsible for an international wrong.</w:t>
      </w:r>
      <w:r w:rsidRPr="008A16E7">
        <w:rPr>
          <w:rStyle w:val="FootnoteReference"/>
          <w:rFonts w:ascii="Garamond" w:hAnsi="Garamond" w:cstheme="minorHAnsi"/>
          <w:color w:val="000000" w:themeColor="text1"/>
        </w:rPr>
        <w:footnoteReference w:id="87"/>
      </w:r>
      <w:r w:rsidRPr="008A16E7">
        <w:t xml:space="preserve"> Such arguments yet again demonstrate a structural imbalance at the very core of international investment law and certain strands of investment law scholarship: the investor is seen as deserving and indeed needing an international legal standing so to benefit from extensive treaty privileges and protections vis-à-vis host states, but when the issue of </w:t>
      </w:r>
      <w:r w:rsidRPr="008A16E7">
        <w:lastRenderedPageBreak/>
        <w:t>investor responsibilities comes to the fore</w:t>
      </w:r>
      <w:r w:rsidR="00D00859" w:rsidRPr="008A16E7">
        <w:t>,</w:t>
      </w:r>
      <w:r w:rsidRPr="008A16E7">
        <w:t xml:space="preserve"> investors are seen as (conveniently) lacking an international legal personality.</w:t>
      </w:r>
      <w:r w:rsidR="00DF794E" w:rsidRPr="008A16E7">
        <w:t xml:space="preserve"> </w:t>
      </w:r>
    </w:p>
    <w:p w14:paraId="47B22811" w14:textId="719BCACC" w:rsidR="00447B1C" w:rsidRDefault="008E3AF4" w:rsidP="00447B1C">
      <w:r>
        <w:tab/>
      </w:r>
      <w:r w:rsidR="00DF794E" w:rsidRPr="008A16E7">
        <w:t xml:space="preserve">This tension is discernible in the reasoning of arbitral tribunals, the majority award in </w:t>
      </w:r>
      <w:r w:rsidR="00DF794E" w:rsidRPr="008A16E7">
        <w:rPr>
          <w:i/>
          <w:iCs/>
        </w:rPr>
        <w:t>Bear Creek</w:t>
      </w:r>
      <w:r w:rsidR="00DF794E" w:rsidRPr="008A16E7">
        <w:t xml:space="preserve"> again providing a pertinent example. </w:t>
      </w:r>
      <w:r w:rsidR="001356AC" w:rsidRPr="008A16E7">
        <w:t xml:space="preserve">Whilst </w:t>
      </w:r>
      <w:proofErr w:type="spellStart"/>
      <w:r w:rsidR="001356AC" w:rsidRPr="008A16E7">
        <w:t>recognising</w:t>
      </w:r>
      <w:proofErr w:type="spellEnd"/>
      <w:r w:rsidR="001356AC" w:rsidRPr="008A16E7">
        <w:t xml:space="preserve"> that </w:t>
      </w:r>
      <w:r w:rsidR="00BD246E">
        <w:t>‘</w:t>
      </w:r>
      <w:r w:rsidR="001356AC" w:rsidRPr="008A16E7">
        <w:t>social support is fundamental to the successful execution of a mining project</w:t>
      </w:r>
      <w:r w:rsidR="00BD246E">
        <w:t>’</w:t>
      </w:r>
      <w:r>
        <w:t>,</w:t>
      </w:r>
      <w:r w:rsidR="001356AC" w:rsidRPr="008A16E7">
        <w:rPr>
          <w:rStyle w:val="FootnoteReference"/>
          <w:rFonts w:ascii="Garamond" w:hAnsi="Garamond" w:cstheme="minorHAnsi"/>
          <w:color w:val="000000" w:themeColor="text1"/>
        </w:rPr>
        <w:footnoteReference w:id="88"/>
      </w:r>
      <w:r w:rsidR="001356AC" w:rsidRPr="008A16E7">
        <w:t xml:space="preserve"> the investor claimed</w:t>
      </w:r>
      <w:r w:rsidR="00D00859" w:rsidRPr="008A16E7">
        <w:t xml:space="preserve"> that</w:t>
      </w:r>
      <w:r w:rsidR="001356AC" w:rsidRPr="008A16E7">
        <w:t xml:space="preserve"> </w:t>
      </w:r>
      <w:r w:rsidR="00BD246E">
        <w:t>‘</w:t>
      </w:r>
      <w:r w:rsidR="001356AC" w:rsidRPr="008A16E7">
        <w:t xml:space="preserve">a private company cannot </w:t>
      </w:r>
      <w:r>
        <w:t>“</w:t>
      </w:r>
      <w:r w:rsidR="001356AC" w:rsidRPr="008A16E7">
        <w:t>fail to comply</w:t>
      </w:r>
      <w:r>
        <w:t>”</w:t>
      </w:r>
      <w:r w:rsidR="001356AC" w:rsidRPr="008A16E7">
        <w:t xml:space="preserve"> with ILO Convention 169 because it imposes no direct obligations on them</w:t>
      </w:r>
      <w:r>
        <w:t>’</w:t>
      </w:r>
      <w:r w:rsidR="001356AC" w:rsidRPr="008A16E7">
        <w:t>.</w:t>
      </w:r>
      <w:r w:rsidR="001356AC" w:rsidRPr="008A16E7">
        <w:rPr>
          <w:rStyle w:val="FootnoteReference"/>
          <w:rFonts w:ascii="Garamond" w:hAnsi="Garamond" w:cstheme="minorHAnsi"/>
          <w:color w:val="000000" w:themeColor="text1"/>
        </w:rPr>
        <w:footnoteReference w:id="89"/>
      </w:r>
      <w:r w:rsidR="001356AC" w:rsidRPr="008A16E7">
        <w:t xml:space="preserve"> By contrast, the dissenting opinion stresses that while the state may indeed be in charge of adopting and enforcing domestic laws to ensure outcomes compliant with the ILO Convention, it is not the function of the host government </w:t>
      </w:r>
      <w:r w:rsidR="00BD246E">
        <w:t>‘</w:t>
      </w:r>
      <w:r w:rsidR="001356AC" w:rsidRPr="008A16E7">
        <w:t xml:space="preserve">to hold an investor’s hand and deliver </w:t>
      </w:r>
      <w:r w:rsidR="00665316">
        <w:t>“</w:t>
      </w:r>
      <w:r w:rsidR="001356AC" w:rsidRPr="008A16E7">
        <w:t>social license</w:t>
      </w:r>
      <w:r w:rsidR="00665316">
        <w:t>”</w:t>
      </w:r>
      <w:r w:rsidR="001356AC" w:rsidRPr="008A16E7">
        <w:t xml:space="preserve"> out of those processes</w:t>
      </w:r>
      <w:r w:rsidR="00665316">
        <w:t>’</w:t>
      </w:r>
      <w:r w:rsidR="001356AC" w:rsidRPr="008A16E7">
        <w:t>.</w:t>
      </w:r>
      <w:r w:rsidR="006B61AE" w:rsidRPr="008A16E7">
        <w:rPr>
          <w:rStyle w:val="FootnoteReference"/>
          <w:rFonts w:ascii="Garamond" w:hAnsi="Garamond" w:cstheme="minorHAnsi"/>
          <w:color w:val="000000" w:themeColor="text1"/>
        </w:rPr>
        <w:footnoteReference w:id="90"/>
      </w:r>
      <w:r w:rsidR="001356AC" w:rsidRPr="008A16E7">
        <w:t xml:space="preserve"> </w:t>
      </w:r>
    </w:p>
    <w:p w14:paraId="2FDEA9F5" w14:textId="00BFF644" w:rsidR="00447B1C" w:rsidRDefault="00665316" w:rsidP="00447B1C">
      <w:r>
        <w:tab/>
      </w:r>
      <w:r w:rsidR="00FA2318" w:rsidRPr="008A16E7">
        <w:t xml:space="preserve">Using the lack of legal personality as a </w:t>
      </w:r>
      <w:proofErr w:type="gramStart"/>
      <w:r w:rsidR="00FA2318" w:rsidRPr="008A16E7">
        <w:t>counter-argument</w:t>
      </w:r>
      <w:proofErr w:type="gramEnd"/>
      <w:r w:rsidR="00FA2318" w:rsidRPr="008A16E7">
        <w:t xml:space="preserve"> against placing investors under an obligation to conduct their business in a </w:t>
      </w:r>
      <w:r w:rsidR="00A853FD" w:rsidRPr="008A16E7">
        <w:t xml:space="preserve">socially inclusive </w:t>
      </w:r>
      <w:r w:rsidR="00FA2318" w:rsidRPr="008A16E7">
        <w:t xml:space="preserve">manner </w:t>
      </w:r>
      <w:r w:rsidR="00C204E5" w:rsidRPr="008A16E7">
        <w:t>may indeed be plausible as a matter of formal legal reasoning. However, such arguments are much less convincing from a wider international investment policy perspective.</w:t>
      </w:r>
      <w:r w:rsidR="00FA2318" w:rsidRPr="008A16E7">
        <w:t xml:space="preserve"> </w:t>
      </w:r>
      <w:r w:rsidR="00C204E5" w:rsidRPr="008A16E7">
        <w:t xml:space="preserve">If national laws fail to retool foreign investment as a mechanism for socio-economic inclusion and international investment agreements similarly remain silent, </w:t>
      </w:r>
      <w:r w:rsidR="00FA2318" w:rsidRPr="008A16E7">
        <w:t xml:space="preserve">the lacuna in national law and international legal instruments can </w:t>
      </w:r>
      <w:r w:rsidR="00C204E5" w:rsidRPr="008A16E7">
        <w:t xml:space="preserve">ultimately </w:t>
      </w:r>
      <w:r w:rsidR="00FA2318" w:rsidRPr="008A16E7">
        <w:t>lead host populations to take matters in</w:t>
      </w:r>
      <w:r w:rsidR="00D00859" w:rsidRPr="008A16E7">
        <w:t>to</w:t>
      </w:r>
      <w:r w:rsidR="00FA2318" w:rsidRPr="008A16E7">
        <w:t xml:space="preserve"> their own hands,</w:t>
      </w:r>
      <w:r w:rsidR="00FA2318" w:rsidRPr="008A16E7">
        <w:rPr>
          <w:rStyle w:val="FootnoteReference"/>
          <w:rFonts w:ascii="Garamond" w:hAnsi="Garamond" w:cstheme="minorHAnsi"/>
          <w:color w:val="000000" w:themeColor="text1"/>
        </w:rPr>
        <w:footnoteReference w:id="91"/>
      </w:r>
      <w:r w:rsidR="00FA2318" w:rsidRPr="008A16E7">
        <w:t xml:space="preserve"> whilst also </w:t>
      </w:r>
      <w:proofErr w:type="spellStart"/>
      <w:r w:rsidR="00C204E5" w:rsidRPr="008A16E7">
        <w:t>fuelling</w:t>
      </w:r>
      <w:proofErr w:type="spellEnd"/>
      <w:r w:rsidR="00FA2318" w:rsidRPr="008A16E7">
        <w:t xml:space="preserve"> the ongoing dissatisfaction with and backlash against the rules and structures of the international economic order.</w:t>
      </w:r>
    </w:p>
    <w:p w14:paraId="23DCB792" w14:textId="32C21BCA" w:rsidR="00447B1C" w:rsidRDefault="0011232C" w:rsidP="00447B1C">
      <w:pPr>
        <w:pStyle w:val="Heading1"/>
      </w:pPr>
      <w:r>
        <w:rPr>
          <w:rFonts w:cstheme="minorHAnsi"/>
        </w:rPr>
        <w:t>IV</w:t>
      </w:r>
      <w:r w:rsidR="00F52E91" w:rsidRPr="008A16E7">
        <w:rPr>
          <w:rFonts w:cstheme="minorHAnsi"/>
        </w:rPr>
        <w:t>.</w:t>
      </w:r>
      <w:r>
        <w:rPr>
          <w:rFonts w:cstheme="minorHAnsi"/>
        </w:rPr>
        <w:t xml:space="preserve"> </w:t>
      </w:r>
      <w:r w:rsidR="000655D2" w:rsidRPr="008A16E7">
        <w:rPr>
          <w:rFonts w:cstheme="minorHAnsi"/>
        </w:rPr>
        <w:t xml:space="preserve">Countering </w:t>
      </w:r>
      <w:r w:rsidR="00D00859" w:rsidRPr="008A16E7">
        <w:rPr>
          <w:rFonts w:cstheme="minorHAnsi"/>
        </w:rPr>
        <w:t xml:space="preserve">the </w:t>
      </w:r>
      <w:proofErr w:type="spellStart"/>
      <w:r w:rsidR="00D00859" w:rsidRPr="008A16E7">
        <w:rPr>
          <w:rFonts w:cstheme="minorHAnsi"/>
        </w:rPr>
        <w:t>Scepticism</w:t>
      </w:r>
      <w:proofErr w:type="spellEnd"/>
      <w:r w:rsidR="00D00859" w:rsidRPr="008A16E7">
        <w:rPr>
          <w:rFonts w:cstheme="minorHAnsi"/>
        </w:rPr>
        <w:t xml:space="preserve"> of the Dominant Frames</w:t>
      </w:r>
      <w:r w:rsidR="00D00859" w:rsidRPr="008A16E7">
        <w:t xml:space="preserve">: Historical Antecedents of Foreign Investor Obligations </w:t>
      </w:r>
      <w:r>
        <w:t>t</w:t>
      </w:r>
      <w:r w:rsidRPr="008A16E7">
        <w:t xml:space="preserve">owards </w:t>
      </w:r>
      <w:r w:rsidR="00D00859" w:rsidRPr="008A16E7">
        <w:t>Local Communities</w:t>
      </w:r>
    </w:p>
    <w:p w14:paraId="23BD44D3" w14:textId="2DF4CF47" w:rsidR="00447B1C" w:rsidRDefault="003F1305" w:rsidP="00447B1C">
      <w:pPr>
        <w:pStyle w:val="Heading2"/>
      </w:pPr>
      <w:r>
        <w:lastRenderedPageBreak/>
        <w:t xml:space="preserve">A. </w:t>
      </w:r>
      <w:r w:rsidR="000655D2" w:rsidRPr="00467374">
        <w:t xml:space="preserve">Incremental </w:t>
      </w:r>
      <w:r w:rsidR="00D00859" w:rsidRPr="00467374">
        <w:t>Changes in Investment Treaty Drafting</w:t>
      </w:r>
    </w:p>
    <w:p w14:paraId="09B8A24C" w14:textId="23C09A01" w:rsidR="00447B1C" w:rsidRDefault="002101F3" w:rsidP="00447B1C">
      <w:r w:rsidRPr="008A16E7">
        <w:t xml:space="preserve">Even at the more optimistic end of the spectrum, scholars of international investment law </w:t>
      </w:r>
      <w:r w:rsidR="0054644B" w:rsidRPr="008A16E7">
        <w:t>argue</w:t>
      </w:r>
      <w:r w:rsidRPr="008A16E7">
        <w:t xml:space="preserve"> that the </w:t>
      </w:r>
      <w:r w:rsidR="0054644B" w:rsidRPr="008A16E7">
        <w:t xml:space="preserve">prospect of </w:t>
      </w:r>
      <w:r w:rsidRPr="008A16E7">
        <w:t xml:space="preserve">express recognition of </w:t>
      </w:r>
      <w:r w:rsidR="0054644B" w:rsidRPr="008A16E7">
        <w:t>investor obligations</w:t>
      </w:r>
      <w:r w:rsidR="00145CCF" w:rsidRPr="008A16E7">
        <w:t>, including obligations towards local communities,</w:t>
      </w:r>
      <w:r w:rsidRPr="008A16E7">
        <w:t xml:space="preserve"> in the texts of new and revised investment treaty instruments remains low.</w:t>
      </w:r>
      <w:r w:rsidRPr="008A16E7">
        <w:rPr>
          <w:rStyle w:val="FootnoteReference"/>
          <w:rFonts w:ascii="Garamond" w:hAnsi="Garamond" w:cstheme="minorHAnsi"/>
          <w:color w:val="000000" w:themeColor="text1"/>
        </w:rPr>
        <w:footnoteReference w:id="92"/>
      </w:r>
      <w:r w:rsidRPr="008A16E7">
        <w:t xml:space="preserve"> </w:t>
      </w:r>
      <w:r w:rsidR="00707777" w:rsidRPr="008A16E7">
        <w:t>It is often argued that the incorporation of sustainable development objectives can redress the existing asymmetry of investment treaties. Yet i</w:t>
      </w:r>
      <w:r w:rsidRPr="008A16E7">
        <w:t xml:space="preserve">n those rare </w:t>
      </w:r>
      <w:r w:rsidR="00707777" w:rsidRPr="008A16E7">
        <w:t xml:space="preserve">instances </w:t>
      </w:r>
      <w:r w:rsidRPr="008A16E7">
        <w:t xml:space="preserve">where an investment treaty features an express reference to sustainable development objectives in its preamble, the usefulness of such provisions is circumscribed by their narrow wording and the </w:t>
      </w:r>
      <w:proofErr w:type="gramStart"/>
      <w:r w:rsidRPr="008A16E7">
        <w:t>often missing</w:t>
      </w:r>
      <w:proofErr w:type="gramEnd"/>
      <w:r w:rsidR="003D1ABE" w:rsidRPr="008A16E7">
        <w:t xml:space="preserve"> acknowledgement of the </w:t>
      </w:r>
      <w:r w:rsidR="00707777" w:rsidRPr="008A16E7">
        <w:t xml:space="preserve">socio-economic </w:t>
      </w:r>
      <w:r w:rsidR="003D1ABE" w:rsidRPr="008A16E7">
        <w:t>needs of local populations. By way of example, the preamble of the US</w:t>
      </w:r>
      <w:r w:rsidR="003F1305">
        <w:t>–</w:t>
      </w:r>
      <w:r w:rsidR="003D1ABE" w:rsidRPr="008A16E7">
        <w:t>Rwanda IIA</w:t>
      </w:r>
      <w:r w:rsidR="00D00859" w:rsidRPr="008A16E7">
        <w:rPr>
          <w:rStyle w:val="FootnoteReference"/>
          <w:rFonts w:ascii="Garamond" w:hAnsi="Garamond" w:cstheme="minorHAnsi"/>
          <w:color w:val="000000" w:themeColor="text1"/>
        </w:rPr>
        <w:footnoteReference w:id="93"/>
      </w:r>
      <w:r w:rsidR="003D1ABE" w:rsidRPr="008A16E7">
        <w:t xml:space="preserve"> stipulates that its stated objectives of economic cooperation and the stimulation of private investment should be achieved in a manner consistent with the protection of health</w:t>
      </w:r>
      <w:r w:rsidR="00E85128">
        <w:t>,</w:t>
      </w:r>
      <w:r w:rsidR="003D1ABE" w:rsidRPr="008A16E7">
        <w:t xml:space="preserve"> safety and the environment as well as the promotion of internationally </w:t>
      </w:r>
      <w:proofErr w:type="spellStart"/>
      <w:r w:rsidR="003D1ABE" w:rsidRPr="008A16E7">
        <w:t>recognised</w:t>
      </w:r>
      <w:proofErr w:type="spellEnd"/>
      <w:r w:rsidR="003D1ABE" w:rsidRPr="008A16E7">
        <w:t xml:space="preserve"> </w:t>
      </w:r>
      <w:proofErr w:type="spellStart"/>
      <w:r w:rsidR="003D1ABE" w:rsidRPr="008A16E7">
        <w:t>labour</w:t>
      </w:r>
      <w:proofErr w:type="spellEnd"/>
      <w:r w:rsidR="003D1ABE" w:rsidRPr="008A16E7">
        <w:t xml:space="preserve"> rights. </w:t>
      </w:r>
    </w:p>
    <w:p w14:paraId="62D483BB" w14:textId="2EE0EF95" w:rsidR="00E85128" w:rsidRDefault="00E85128" w:rsidP="00447B1C">
      <w:r>
        <w:tab/>
      </w:r>
      <w:r w:rsidR="004F2A99" w:rsidRPr="008A16E7">
        <w:t xml:space="preserve">Some investment treaties go further and enshrine states’ commitment not to derogate from the existing commitments to the detriment of local communities. For instance, the </w:t>
      </w:r>
      <w:proofErr w:type="spellStart"/>
      <w:r w:rsidR="004F2A99" w:rsidRPr="008A16E7">
        <w:t>labour</w:t>
      </w:r>
      <w:proofErr w:type="spellEnd"/>
      <w:r w:rsidR="004F2A99" w:rsidRPr="008A16E7">
        <w:t xml:space="preserve"> clause in the U</w:t>
      </w:r>
      <w:r w:rsidR="00132E6E" w:rsidRPr="008A16E7">
        <w:t>S</w:t>
      </w:r>
      <w:r>
        <w:t>–</w:t>
      </w:r>
      <w:r w:rsidR="004F2A99" w:rsidRPr="008A16E7">
        <w:t>Uruguay IIA</w:t>
      </w:r>
      <w:r w:rsidR="00D00859" w:rsidRPr="008A16E7">
        <w:rPr>
          <w:rStyle w:val="FootnoteReference"/>
          <w:rFonts w:ascii="Garamond" w:hAnsi="Garamond"/>
          <w:color w:val="000000" w:themeColor="text1"/>
        </w:rPr>
        <w:footnoteReference w:id="94"/>
      </w:r>
      <w:r w:rsidR="004F2A99" w:rsidRPr="008A16E7">
        <w:t xml:space="preserve"> stipulates that </w:t>
      </w:r>
    </w:p>
    <w:p w14:paraId="309DCAA3" w14:textId="613F8C47" w:rsidR="00E85128" w:rsidRDefault="004F2A99" w:rsidP="005A6DA1">
      <w:pPr>
        <w:pStyle w:val="Quote"/>
        <w:rPr>
          <w:rStyle w:val="FootnoteReference"/>
          <w:rFonts w:ascii="Garamond" w:hAnsi="Garamond" w:cstheme="minorHAnsi"/>
          <w:color w:val="000000" w:themeColor="text1"/>
        </w:rPr>
      </w:pPr>
      <w:r w:rsidRPr="008A16E7">
        <w:t>the parties recognize that it is inappropriate to encourage investment by weakening or reducing the protections afforded in domestic labo</w:t>
      </w:r>
      <w:r w:rsidR="00145CCF" w:rsidRPr="008A16E7">
        <w:t>u</w:t>
      </w:r>
      <w:r w:rsidRPr="008A16E7">
        <w:t>r laws. Accordingly, each party shall strive to ensure that</w:t>
      </w:r>
      <w:r w:rsidR="00F52332" w:rsidRPr="008A16E7">
        <w:t xml:space="preserve"> it</w:t>
      </w:r>
      <w:r w:rsidRPr="008A16E7">
        <w:t xml:space="preserve"> does not waive, or otherwise derogate from, such laws in a manner that weakens or reduces adherence to the internationally recognized labo</w:t>
      </w:r>
      <w:r w:rsidR="00145CCF" w:rsidRPr="008A16E7">
        <w:t>u</w:t>
      </w:r>
      <w:r w:rsidRPr="008A16E7">
        <w:t>r rights</w:t>
      </w:r>
      <w:r w:rsidR="00D00859" w:rsidRPr="008A16E7">
        <w:t xml:space="preserve"> … </w:t>
      </w:r>
      <w:r w:rsidRPr="008A16E7">
        <w:t>as an encouragement for the establishment, acquisition, expansion, or retention of an investment in its territory</w:t>
      </w:r>
      <w:r w:rsidR="00E85128">
        <w:t>.</w:t>
      </w:r>
      <w:r w:rsidRPr="008A16E7">
        <w:rPr>
          <w:rStyle w:val="FootnoteReference"/>
          <w:rFonts w:ascii="Garamond" w:hAnsi="Garamond" w:cstheme="minorHAnsi"/>
          <w:color w:val="000000" w:themeColor="text1"/>
        </w:rPr>
        <w:footnoteReference w:id="95"/>
      </w:r>
    </w:p>
    <w:p w14:paraId="50CB6B52" w14:textId="29EF3CD8" w:rsidR="00447B1C" w:rsidRDefault="00DB00B9" w:rsidP="005A6DA1">
      <w:pPr>
        <w:pStyle w:val="NormalContinued"/>
        <w:rPr>
          <w:rFonts w:cs="`ÊQ∑˛"/>
        </w:rPr>
      </w:pPr>
      <w:r w:rsidRPr="008A16E7">
        <w:t>H</w:t>
      </w:r>
      <w:r w:rsidR="00392A17" w:rsidRPr="008A16E7">
        <w:t>owever, preambular references</w:t>
      </w:r>
      <w:r w:rsidR="00A56622" w:rsidRPr="008A16E7">
        <w:t xml:space="preserve">, </w:t>
      </w:r>
      <w:r w:rsidR="001C5C29" w:rsidRPr="008A16E7">
        <w:t>or even the more substantive non-derogation commitments</w:t>
      </w:r>
      <w:r w:rsidR="00A56622" w:rsidRPr="008A16E7">
        <w:t xml:space="preserve">, </w:t>
      </w:r>
      <w:r w:rsidR="001C5C29" w:rsidRPr="008A16E7">
        <w:t xml:space="preserve">do </w:t>
      </w:r>
      <w:r w:rsidR="00392A17" w:rsidRPr="008A16E7">
        <w:t xml:space="preserve">not go far enough to address the existing asymmetry of the investment treaty regime and to </w:t>
      </w:r>
      <w:proofErr w:type="spellStart"/>
      <w:r w:rsidR="00392A17" w:rsidRPr="008A16E7">
        <w:lastRenderedPageBreak/>
        <w:t>operationalise</w:t>
      </w:r>
      <w:proofErr w:type="spellEnd"/>
      <w:r w:rsidR="00392A17" w:rsidRPr="008A16E7">
        <w:t xml:space="preserve"> it as a vehicle for socially inclusive business practices. </w:t>
      </w:r>
      <w:r w:rsidR="00392A17" w:rsidRPr="008A16E7">
        <w:rPr>
          <w:rFonts w:cs="`ÊQ∑˛"/>
        </w:rPr>
        <w:t xml:space="preserve">A more fundamental rethinking of investment treaty objectives is warranted. </w:t>
      </w:r>
    </w:p>
    <w:p w14:paraId="29672AEE" w14:textId="59FDE2F7" w:rsidR="003C7178" w:rsidRDefault="00E85128" w:rsidP="00447B1C">
      <w:r>
        <w:tab/>
      </w:r>
      <w:r w:rsidR="000655D2" w:rsidRPr="008A16E7">
        <w:t>A potent</w:t>
      </w:r>
      <w:r w:rsidR="00A56622" w:rsidRPr="008A16E7">
        <w:t>ial</w:t>
      </w:r>
      <w:r w:rsidR="000655D2" w:rsidRPr="008A16E7">
        <w:t xml:space="preserve">ly significant </w:t>
      </w:r>
      <w:r w:rsidR="00707777" w:rsidRPr="008A16E7">
        <w:t>source of inspiration</w:t>
      </w:r>
      <w:r w:rsidR="000655D2" w:rsidRPr="008A16E7">
        <w:t xml:space="preserve"> for investor obligations towards local communities could be found in the industrial policies of both developed and developing states. Industrial policy can be defined as </w:t>
      </w:r>
    </w:p>
    <w:p w14:paraId="339BDE3A" w14:textId="7BF8F5EB" w:rsidR="003C7178" w:rsidRDefault="000655D2" w:rsidP="005A6DA1">
      <w:pPr>
        <w:pStyle w:val="Quote"/>
      </w:pPr>
      <w:r w:rsidRPr="008A16E7">
        <w:t>any type of intervention or government policy that attempts to improve the business environment or to alter the structure of economic activity towards sectors, technologies or tasks that are expected to offer better prospects for economic growth or societal welfare than would occur in the absence of such intervention.</w:t>
      </w:r>
      <w:r w:rsidRPr="008A16E7">
        <w:rPr>
          <w:rStyle w:val="FootnoteReference"/>
          <w:rFonts w:ascii="Garamond" w:hAnsi="Garamond" w:cstheme="minorHAnsi"/>
          <w:color w:val="000000" w:themeColor="text1"/>
        </w:rPr>
        <w:footnoteReference w:id="96"/>
      </w:r>
      <w:r w:rsidRPr="008A16E7">
        <w:t xml:space="preserve"> </w:t>
      </w:r>
    </w:p>
    <w:p w14:paraId="3F4794AA" w14:textId="2DD731BD" w:rsidR="00447B1C" w:rsidRDefault="000655D2" w:rsidP="005A6DA1">
      <w:pPr>
        <w:pStyle w:val="NormalContinued"/>
      </w:pPr>
      <w:r w:rsidRPr="008A16E7">
        <w:t xml:space="preserve">Such interventions can take </w:t>
      </w:r>
      <w:r w:rsidR="00A56622" w:rsidRPr="008A16E7">
        <w:t xml:space="preserve">the </w:t>
      </w:r>
      <w:r w:rsidRPr="008A16E7">
        <w:t>shape of, among others, subsidies, job creation targets and training requirements, all geared towards generating economic growth, creating employment and addressing socio-economic inequality within the state.</w:t>
      </w:r>
      <w:r w:rsidRPr="008A16E7">
        <w:rPr>
          <w:rStyle w:val="FootnoteReference"/>
          <w:rFonts w:ascii="Garamond" w:hAnsi="Garamond" w:cstheme="minorHAnsi"/>
          <w:color w:val="000000" w:themeColor="text1"/>
        </w:rPr>
        <w:footnoteReference w:id="97"/>
      </w:r>
      <w:r w:rsidRPr="008A16E7">
        <w:t xml:space="preserve"> </w:t>
      </w:r>
    </w:p>
    <w:p w14:paraId="5B59DE6E" w14:textId="603B3CFD" w:rsidR="00447B1C" w:rsidRDefault="003C7178" w:rsidP="00447B1C">
      <w:r>
        <w:rPr>
          <w:rFonts w:cstheme="minorHAnsi"/>
        </w:rPr>
        <w:tab/>
      </w:r>
      <w:r w:rsidR="000655D2" w:rsidRPr="008A16E7">
        <w:rPr>
          <w:rFonts w:cstheme="minorHAnsi"/>
        </w:rPr>
        <w:t>Contemporary industrial policies are redolent of their historical antecedents in the 1960s and 1970s.</w:t>
      </w:r>
      <w:r w:rsidR="000655D2" w:rsidRPr="008A16E7">
        <w:rPr>
          <w:rStyle w:val="FootnoteReference"/>
          <w:rFonts w:ascii="Garamond" w:hAnsi="Garamond" w:cstheme="minorHAnsi"/>
          <w:color w:val="000000" w:themeColor="text1"/>
        </w:rPr>
        <w:footnoteReference w:id="98"/>
      </w:r>
      <w:r w:rsidR="000655D2" w:rsidRPr="008A16E7">
        <w:rPr>
          <w:rFonts w:cstheme="minorHAnsi"/>
        </w:rPr>
        <w:t xml:space="preserve"> </w:t>
      </w:r>
      <w:r w:rsidR="000655D2" w:rsidRPr="008A16E7">
        <w:t xml:space="preserve">As a matter of national policy, during the 1970s a number of developing states resorted to the so-called </w:t>
      </w:r>
      <w:r w:rsidR="00BD246E">
        <w:t>‘</w:t>
      </w:r>
      <w:r w:rsidR="000655D2" w:rsidRPr="008A16E7">
        <w:t>host country operational measures</w:t>
      </w:r>
      <w:r w:rsidR="00BD246E">
        <w:t>’</w:t>
      </w:r>
      <w:r w:rsidR="000655D2" w:rsidRPr="008A16E7">
        <w:t xml:space="preserve"> – a vast array of measures covering all aspects of investment (from ownership and control, to hiring of personnel, procurement of inputs, and sales conditions).</w:t>
      </w:r>
      <w:r w:rsidR="000655D2" w:rsidRPr="008A16E7">
        <w:rPr>
          <w:rStyle w:val="FootnoteReference"/>
          <w:rFonts w:ascii="Garamond" w:hAnsi="Garamond"/>
          <w:color w:val="000000" w:themeColor="text1"/>
        </w:rPr>
        <w:footnoteReference w:id="99"/>
      </w:r>
      <w:r w:rsidR="000655D2" w:rsidRPr="008A16E7">
        <w:t xml:space="preserve"> Also known as performance requirements, these measures are usually conceived as a means to influence the location and character of foreign investment and, importantly, to increase the benefits of investment for socio-economic development as well as other for non-economic interests within a host state.</w:t>
      </w:r>
      <w:r w:rsidR="000655D2" w:rsidRPr="008A16E7">
        <w:rPr>
          <w:rStyle w:val="FootnoteReference"/>
          <w:rFonts w:ascii="Garamond" w:hAnsi="Garamond"/>
          <w:color w:val="000000" w:themeColor="text1"/>
        </w:rPr>
        <w:footnoteReference w:id="100"/>
      </w:r>
      <w:r w:rsidR="000655D2" w:rsidRPr="008A16E7">
        <w:t xml:space="preserve"> While </w:t>
      </w:r>
      <w:proofErr w:type="spellStart"/>
      <w:r w:rsidR="000655D2" w:rsidRPr="008A16E7">
        <w:t>recognising</w:t>
      </w:r>
      <w:proofErr w:type="spellEnd"/>
      <w:r w:rsidR="000655D2" w:rsidRPr="008A16E7">
        <w:t xml:space="preserve"> that the contribution of foreign investors was not always fully consistent with the needs of host </w:t>
      </w:r>
      <w:r w:rsidR="00B51460" w:rsidRPr="008A16E7">
        <w:t>states</w:t>
      </w:r>
      <w:r w:rsidR="000655D2" w:rsidRPr="008A16E7">
        <w:t xml:space="preserve">, developing country governments harnessed performance requirements to modify the </w:t>
      </w:r>
      <w:proofErr w:type="spellStart"/>
      <w:r w:rsidR="000655D2" w:rsidRPr="008A16E7">
        <w:t>behaviour</w:t>
      </w:r>
      <w:proofErr w:type="spellEnd"/>
      <w:r w:rsidR="000655D2" w:rsidRPr="008A16E7">
        <w:t xml:space="preserve"> of foreign investors. For instance, local content requirements were deployed to encourage </w:t>
      </w:r>
      <w:proofErr w:type="spellStart"/>
      <w:r w:rsidR="00C57A38" w:rsidRPr="008A16E7">
        <w:t>industriali</w:t>
      </w:r>
      <w:r w:rsidR="00C57A38">
        <w:t>s</w:t>
      </w:r>
      <w:r w:rsidR="00C57A38" w:rsidRPr="008A16E7">
        <w:t>ation</w:t>
      </w:r>
      <w:proofErr w:type="spellEnd"/>
      <w:r w:rsidR="00C57A38" w:rsidRPr="008A16E7">
        <w:t xml:space="preserve"> </w:t>
      </w:r>
      <w:r w:rsidR="000655D2" w:rsidRPr="008A16E7">
        <w:t xml:space="preserve">or to expand local employment; technology transfer </w:t>
      </w:r>
      <w:r w:rsidR="000655D2" w:rsidRPr="008A16E7">
        <w:lastRenderedPageBreak/>
        <w:t xml:space="preserve">obligations harnessed to develop and diffuse industrial skills; and local training requirements were </w:t>
      </w:r>
      <w:proofErr w:type="spellStart"/>
      <w:r w:rsidR="000655D2" w:rsidRPr="008A16E7">
        <w:t>utilised</w:t>
      </w:r>
      <w:proofErr w:type="spellEnd"/>
      <w:r w:rsidR="000655D2" w:rsidRPr="008A16E7">
        <w:t xml:space="preserve"> to foster the creation of skilled cadre at the managerial and professional levels.</w:t>
      </w:r>
      <w:r w:rsidR="000655D2" w:rsidRPr="008A16E7">
        <w:rPr>
          <w:rStyle w:val="FootnoteReference"/>
          <w:rFonts w:ascii="Garamond" w:hAnsi="Garamond"/>
          <w:color w:val="000000" w:themeColor="text1"/>
        </w:rPr>
        <w:footnoteReference w:id="101"/>
      </w:r>
      <w:r w:rsidR="000655D2" w:rsidRPr="008A16E7">
        <w:t xml:space="preserve"> </w:t>
      </w:r>
    </w:p>
    <w:p w14:paraId="51F60912" w14:textId="171A9F3B" w:rsidR="00447B1C" w:rsidRDefault="00C57A38" w:rsidP="00447B1C">
      <w:pPr>
        <w:rPr>
          <w:rFonts w:cs="`ÊQ∑˛"/>
        </w:rPr>
      </w:pPr>
      <w:r>
        <w:tab/>
      </w:r>
      <w:r w:rsidR="000655D2" w:rsidRPr="008A16E7">
        <w:t xml:space="preserve">Although some of these </w:t>
      </w:r>
      <w:r w:rsidR="00707777" w:rsidRPr="008A16E7">
        <w:t xml:space="preserve">requirements </w:t>
      </w:r>
      <w:r w:rsidR="000655D2" w:rsidRPr="008A16E7">
        <w:t xml:space="preserve">still feature in carefully negotiated investor-state contracts, the bulk of investment treaties in force today either remain silent on the status of such measures or expressly prohibit them, thus effectively preventing host governments from being able to influence and capture some of the positive </w:t>
      </w:r>
      <w:r w:rsidR="008A16E7" w:rsidRPr="008A16E7">
        <w:t>spillovers</w:t>
      </w:r>
      <w:r w:rsidR="000655D2" w:rsidRPr="008A16E7">
        <w:t xml:space="preserve"> </w:t>
      </w:r>
      <w:r w:rsidR="00A56622" w:rsidRPr="008A16E7">
        <w:t xml:space="preserve">that </w:t>
      </w:r>
      <w:r w:rsidR="000655D2" w:rsidRPr="008A16E7">
        <w:t>foreign investment can potentially generate in their territories.</w:t>
      </w:r>
      <w:r w:rsidR="000655D2" w:rsidRPr="008A16E7">
        <w:rPr>
          <w:rStyle w:val="FootnoteReference"/>
          <w:rFonts w:ascii="Garamond" w:hAnsi="Garamond" w:cs="`ÊQ∑˛"/>
          <w:color w:val="000000" w:themeColor="text1"/>
        </w:rPr>
        <w:footnoteReference w:id="102"/>
      </w:r>
      <w:r w:rsidR="000655D2" w:rsidRPr="008A16E7">
        <w:t xml:space="preserve"> The gradual move away from performance requirements was prompted by anti-interventionist sentiment underpinning much of the Washington Consensus prescriptions for economic </w:t>
      </w:r>
      <w:proofErr w:type="spellStart"/>
      <w:r w:rsidR="000655D2" w:rsidRPr="008A16E7">
        <w:t>liberalisation</w:t>
      </w:r>
      <w:proofErr w:type="spellEnd"/>
      <w:r w:rsidR="000655D2" w:rsidRPr="008A16E7">
        <w:t xml:space="preserve"> and deregulation in the 1980s and 1990s.</w:t>
      </w:r>
      <w:r w:rsidR="000655D2" w:rsidRPr="008A16E7">
        <w:rPr>
          <w:rStyle w:val="FootnoteReference"/>
          <w:rFonts w:ascii="Garamond" w:hAnsi="Garamond"/>
          <w:color w:val="000000" w:themeColor="text1"/>
        </w:rPr>
        <w:footnoteReference w:id="103"/>
      </w:r>
      <w:r w:rsidR="000655D2" w:rsidRPr="008A16E7">
        <w:t xml:space="preserve"> </w:t>
      </w:r>
      <w:r w:rsidR="000655D2" w:rsidRPr="008A16E7">
        <w:rPr>
          <w:rFonts w:cs="`ÊQ∑˛"/>
        </w:rPr>
        <w:t xml:space="preserve">There is, nonetheless, a growing number of voices which </w:t>
      </w:r>
      <w:proofErr w:type="spellStart"/>
      <w:r w:rsidRPr="008A16E7">
        <w:rPr>
          <w:rFonts w:cs="`ÊQ∑˛"/>
        </w:rPr>
        <w:t>recogni</w:t>
      </w:r>
      <w:r>
        <w:rPr>
          <w:rFonts w:cs="`ÊQ∑˛"/>
        </w:rPr>
        <w:t>s</w:t>
      </w:r>
      <w:r w:rsidRPr="008A16E7">
        <w:rPr>
          <w:rFonts w:cs="`ÊQ∑˛"/>
        </w:rPr>
        <w:t>e</w:t>
      </w:r>
      <w:proofErr w:type="spellEnd"/>
      <w:r w:rsidRPr="008A16E7">
        <w:rPr>
          <w:rFonts w:cs="`ÊQ∑˛"/>
        </w:rPr>
        <w:t xml:space="preserve"> </w:t>
      </w:r>
      <w:r w:rsidR="000655D2" w:rsidRPr="008A16E7">
        <w:rPr>
          <w:rFonts w:cs="`ÊQ∑˛"/>
        </w:rPr>
        <w:t>that, unless equipped with such tools, host states</w:t>
      </w:r>
      <w:r w:rsidR="00A56622" w:rsidRPr="008A16E7">
        <w:rPr>
          <w:rFonts w:cs="`ÊQ∑˛"/>
        </w:rPr>
        <w:t xml:space="preserve"> – </w:t>
      </w:r>
      <w:r w:rsidR="000655D2" w:rsidRPr="008A16E7">
        <w:rPr>
          <w:rFonts w:cs="`ÊQ∑˛"/>
        </w:rPr>
        <w:t>whether developing or developed</w:t>
      </w:r>
      <w:r w:rsidR="00A56622" w:rsidRPr="008A16E7">
        <w:rPr>
          <w:rFonts w:cs="`ÊQ∑˛"/>
        </w:rPr>
        <w:t xml:space="preserve"> – m</w:t>
      </w:r>
      <w:r w:rsidR="000655D2" w:rsidRPr="008A16E7">
        <w:rPr>
          <w:rFonts w:cs="`ÊQ∑˛"/>
        </w:rPr>
        <w:t>ay be unable to ensure that foreign investments generate benefits for a broad range of domestic constituents.</w:t>
      </w:r>
      <w:r w:rsidR="000655D2" w:rsidRPr="008A16E7">
        <w:rPr>
          <w:rStyle w:val="FootnoteReference"/>
          <w:rFonts w:ascii="Garamond" w:hAnsi="Garamond" w:cs="`ÊQ∑˛"/>
          <w:color w:val="000000" w:themeColor="text1"/>
        </w:rPr>
        <w:footnoteReference w:id="104"/>
      </w:r>
      <w:r w:rsidR="000655D2" w:rsidRPr="008A16E7">
        <w:rPr>
          <w:rFonts w:cs="`ÊQ∑˛"/>
        </w:rPr>
        <w:t xml:space="preserve"> This understanding is reflected in some of the more recent investment treaty models which carve out some space for performance requirements pertaining to the important strands of contemporary industrial strategies.</w:t>
      </w:r>
      <w:r w:rsidR="000655D2" w:rsidRPr="008A16E7">
        <w:rPr>
          <w:rStyle w:val="FootnoteReference"/>
          <w:rFonts w:ascii="Garamond" w:hAnsi="Garamond" w:cs="`ÊQ∑˛"/>
          <w:color w:val="000000" w:themeColor="text1"/>
        </w:rPr>
        <w:footnoteReference w:id="105"/>
      </w:r>
      <w:r w:rsidR="006E26A5" w:rsidRPr="008A16E7">
        <w:rPr>
          <w:rFonts w:cs="`ÊQ∑˛"/>
        </w:rPr>
        <w:t xml:space="preserve"> This is</w:t>
      </w:r>
      <w:r w:rsidR="00FD3AF5" w:rsidRPr="008A16E7">
        <w:rPr>
          <w:rFonts w:cs="`ÊQ∑˛"/>
        </w:rPr>
        <w:t xml:space="preserve">, however, </w:t>
      </w:r>
      <w:r w:rsidR="006E26A5" w:rsidRPr="008A16E7">
        <w:rPr>
          <w:rFonts w:cs="`ÊQ∑˛"/>
        </w:rPr>
        <w:t xml:space="preserve">yet another example of investment treaties remaining silent on direct investor obligations and instead </w:t>
      </w:r>
      <w:r w:rsidR="00BF0DBC">
        <w:rPr>
          <w:rFonts w:cs="`ÊQ∑˛"/>
        </w:rPr>
        <w:t xml:space="preserve">merely </w:t>
      </w:r>
      <w:r w:rsidR="006E26A5" w:rsidRPr="008A16E7">
        <w:rPr>
          <w:rFonts w:cs="`ÊQ∑˛"/>
        </w:rPr>
        <w:t>providing the state with some regulatory space to do so.</w:t>
      </w:r>
    </w:p>
    <w:p w14:paraId="61D9EDEE" w14:textId="1169AE14" w:rsidR="00447B1C" w:rsidRDefault="00C57A38" w:rsidP="00447B1C">
      <w:pPr>
        <w:rPr>
          <w:rFonts w:cstheme="minorHAnsi"/>
        </w:rPr>
      </w:pPr>
      <w:r>
        <w:tab/>
      </w:r>
      <w:r w:rsidR="00FD3AF5" w:rsidRPr="008A16E7">
        <w:t>Industrial policies serve as a useful example of how governments, both in developed and developing states</w:t>
      </w:r>
      <w:r w:rsidR="00BF0DBC">
        <w:t>,</w:t>
      </w:r>
      <w:r w:rsidR="00FD3AF5" w:rsidRPr="008A16E7">
        <w:t xml:space="preserve"> can embrace significant shifts in their relationships with foreign investors. Since governments are increasing</w:t>
      </w:r>
      <w:r w:rsidR="00A56622" w:rsidRPr="008A16E7">
        <w:t>l</w:t>
      </w:r>
      <w:r w:rsidR="00FD3AF5" w:rsidRPr="008A16E7">
        <w:t xml:space="preserve">y </w:t>
      </w:r>
      <w:proofErr w:type="spellStart"/>
      <w:r w:rsidR="00FD3AF5" w:rsidRPr="008A16E7">
        <w:t>cogni</w:t>
      </w:r>
      <w:r w:rsidR="00A56622" w:rsidRPr="008A16E7">
        <w:t>s</w:t>
      </w:r>
      <w:r w:rsidR="00FD3AF5" w:rsidRPr="008A16E7">
        <w:t>ant</w:t>
      </w:r>
      <w:proofErr w:type="spellEnd"/>
      <w:r w:rsidR="00FD3AF5" w:rsidRPr="008A16E7">
        <w:t xml:space="preserve"> of the need to harness investment for the benefits of local communities, what is needed is an overhaul of </w:t>
      </w:r>
      <w:r w:rsidR="00FD3AF5" w:rsidRPr="00447B1C">
        <w:t xml:space="preserve">the existing </w:t>
      </w:r>
      <w:r w:rsidR="00A56622" w:rsidRPr="00447B1C">
        <w:t>conception</w:t>
      </w:r>
      <w:r w:rsidR="00FD3AF5" w:rsidRPr="00447B1C">
        <w:t xml:space="preserve"> o</w:t>
      </w:r>
      <w:r w:rsidR="00A56622" w:rsidRPr="00447B1C">
        <w:t>f</w:t>
      </w:r>
      <w:r w:rsidR="00FD3AF5" w:rsidRPr="00447B1C">
        <w:t xml:space="preserve"> investment treaty objectives. </w:t>
      </w:r>
      <w:r w:rsidR="000655D2" w:rsidRPr="00447B1C">
        <w:t>But is such</w:t>
      </w:r>
      <w:r w:rsidR="00A56622" w:rsidRPr="00447B1C">
        <w:t xml:space="preserve"> a</w:t>
      </w:r>
      <w:r w:rsidR="000655D2" w:rsidRPr="00447B1C">
        <w:t xml:space="preserve"> rethinking of investment treaty objectives possible?</w:t>
      </w:r>
      <w:r w:rsidR="00707777" w:rsidRPr="00447B1C">
        <w:t xml:space="preserve"> </w:t>
      </w:r>
      <w:r w:rsidR="000B2E1C" w:rsidRPr="00447B1C">
        <w:t xml:space="preserve">What </w:t>
      </w:r>
      <w:r w:rsidR="00707777" w:rsidRPr="00447B1C">
        <w:t>currently</w:t>
      </w:r>
      <w:r w:rsidR="000B2E1C" w:rsidRPr="00447B1C">
        <w:t xml:space="preserve"> hinder</w:t>
      </w:r>
      <w:r w:rsidR="00707777" w:rsidRPr="00447B1C">
        <w:t>s</w:t>
      </w:r>
      <w:r w:rsidR="000B2E1C" w:rsidRPr="00447B1C">
        <w:t xml:space="preserve"> the emergence of new visions of the relationship between foreign investors and the local communities </w:t>
      </w:r>
      <w:r w:rsidR="00A56622" w:rsidRPr="00447B1C">
        <w:t>is</w:t>
      </w:r>
      <w:r w:rsidR="000B2E1C" w:rsidRPr="00447B1C">
        <w:t xml:space="preserve"> an entrenched belief in (1) the </w:t>
      </w:r>
      <w:proofErr w:type="spellStart"/>
      <w:r w:rsidR="000B2E1C" w:rsidRPr="00447B1C">
        <w:t>scepticism</w:t>
      </w:r>
      <w:proofErr w:type="spellEnd"/>
      <w:r w:rsidR="000B2E1C" w:rsidRPr="00447B1C">
        <w:t xml:space="preserve"> towards </w:t>
      </w:r>
      <w:r w:rsidR="000B2E1C" w:rsidRPr="00447B1C">
        <w:lastRenderedPageBreak/>
        <w:t>innovations on the part of policymakers</w:t>
      </w:r>
      <w:r w:rsidR="005858F3">
        <w:t>,</w:t>
      </w:r>
      <w:r w:rsidR="000B2E1C" w:rsidRPr="00447B1C">
        <w:t xml:space="preserve"> and (2) resistance from the business co</w:t>
      </w:r>
      <w:r w:rsidR="000B2E1C" w:rsidRPr="008A16E7">
        <w:rPr>
          <w:rFonts w:cstheme="minorHAnsi"/>
        </w:rPr>
        <w:t xml:space="preserve">mmunity. Yet, as this section will argue, evidence from </w:t>
      </w:r>
      <w:r w:rsidR="001F5EEF" w:rsidRPr="008A16E7">
        <w:rPr>
          <w:rFonts w:cstheme="minorHAnsi"/>
        </w:rPr>
        <w:t xml:space="preserve">both </w:t>
      </w:r>
      <w:r w:rsidR="000B2E1C" w:rsidRPr="008A16E7">
        <w:rPr>
          <w:rFonts w:cstheme="minorHAnsi"/>
        </w:rPr>
        <w:t xml:space="preserve">past regulatory experiments </w:t>
      </w:r>
      <w:r w:rsidR="00B33809" w:rsidRPr="008A16E7">
        <w:rPr>
          <w:rFonts w:cstheme="minorHAnsi"/>
        </w:rPr>
        <w:t xml:space="preserve">and more recent developments in business practices suggests that, despite a degree of resistance, even fundamental changes in legal mechanisms aimed at retooling investment for social inclusion can be </w:t>
      </w:r>
      <w:proofErr w:type="spellStart"/>
      <w:r w:rsidR="00B33809" w:rsidRPr="008A16E7">
        <w:rPr>
          <w:rFonts w:cstheme="minorHAnsi"/>
        </w:rPr>
        <w:t>operationalised</w:t>
      </w:r>
      <w:proofErr w:type="spellEnd"/>
      <w:r w:rsidR="00B33809" w:rsidRPr="008A16E7">
        <w:rPr>
          <w:rFonts w:cstheme="minorHAnsi"/>
        </w:rPr>
        <w:t xml:space="preserve"> by governments, business actors and other stakeholders.</w:t>
      </w:r>
    </w:p>
    <w:p w14:paraId="1AC49E4C" w14:textId="1E47E7D8" w:rsidR="00447B1C" w:rsidRDefault="005858F3" w:rsidP="00447B1C">
      <w:pPr>
        <w:pStyle w:val="Heading2"/>
      </w:pPr>
      <w:r>
        <w:t xml:space="preserve">B. </w:t>
      </w:r>
      <w:r w:rsidR="00DD6730" w:rsidRPr="00467374">
        <w:t xml:space="preserve">Drawing </w:t>
      </w:r>
      <w:r w:rsidR="00A56622" w:rsidRPr="00467374">
        <w:t xml:space="preserve">Inspiration </w:t>
      </w:r>
      <w:r w:rsidR="008A16E7" w:rsidRPr="00467374">
        <w:t>from</w:t>
      </w:r>
      <w:r w:rsidR="00A56622" w:rsidRPr="00467374">
        <w:t xml:space="preserve"> the Past: </w:t>
      </w:r>
      <w:r w:rsidR="00B33809" w:rsidRPr="00467374">
        <w:t>NIEO</w:t>
      </w:r>
      <w:r w:rsidR="00C85617" w:rsidRPr="00467374">
        <w:t xml:space="preserve"> </w:t>
      </w:r>
      <w:r w:rsidR="00A56622" w:rsidRPr="00467374">
        <w:t>and Foreign Investor Obligations</w:t>
      </w:r>
    </w:p>
    <w:p w14:paraId="2342E70F" w14:textId="233EA672" w:rsidR="00447B1C" w:rsidRDefault="00393AAD" w:rsidP="00447B1C">
      <w:pPr>
        <w:rPr>
          <w:rFonts w:cs="`ÊQ∑˛"/>
        </w:rPr>
      </w:pPr>
      <w:r w:rsidRPr="008A16E7">
        <w:t xml:space="preserve">Some argue against substantive investor obligations out of </w:t>
      </w:r>
      <w:r w:rsidR="00707777" w:rsidRPr="008A16E7">
        <w:t xml:space="preserve">the </w:t>
      </w:r>
      <w:r w:rsidRPr="008A16E7">
        <w:t>fear of loading too much</w:t>
      </w:r>
      <w:r w:rsidR="00F52332" w:rsidRPr="008A16E7">
        <w:t xml:space="preserve"> onto</w:t>
      </w:r>
      <w:r w:rsidRPr="008A16E7">
        <w:t xml:space="preserve"> investment treaties</w:t>
      </w:r>
      <w:r w:rsidR="000B2E1C" w:rsidRPr="008A16E7">
        <w:t xml:space="preserve"> and undermin</w:t>
      </w:r>
      <w:r w:rsidR="00F52332" w:rsidRPr="008A16E7">
        <w:t>ing</w:t>
      </w:r>
      <w:r w:rsidR="000B2E1C" w:rsidRPr="008A16E7">
        <w:t xml:space="preserve"> their original mission to protect and promote foreign investment</w:t>
      </w:r>
      <w:r w:rsidRPr="008A16E7">
        <w:t>.</w:t>
      </w:r>
      <w:r w:rsidR="001D7547" w:rsidRPr="008A16E7">
        <w:rPr>
          <w:rStyle w:val="FootnoteReference"/>
          <w:rFonts w:ascii="Garamond" w:hAnsi="Garamond" w:cstheme="minorHAnsi"/>
          <w:color w:val="000000" w:themeColor="text1"/>
        </w:rPr>
        <w:footnoteReference w:id="106"/>
      </w:r>
      <w:r w:rsidRPr="008A16E7">
        <w:t xml:space="preserve"> Others contend that such a reform of investment treaties might not be possible due </w:t>
      </w:r>
      <w:r w:rsidR="009D7830" w:rsidRPr="008A16E7">
        <w:t xml:space="preserve">to </w:t>
      </w:r>
      <w:r w:rsidR="00BD246E">
        <w:t>‘</w:t>
      </w:r>
      <w:r w:rsidRPr="008A16E7">
        <w:t xml:space="preserve">a lack of political will, </w:t>
      </w:r>
      <w:proofErr w:type="spellStart"/>
      <w:r w:rsidRPr="008A16E7">
        <w:t>scepticism</w:t>
      </w:r>
      <w:proofErr w:type="spellEnd"/>
      <w:r w:rsidRPr="008A16E7">
        <w:t xml:space="preserve"> towards respective innovations and probably a so far quite successful resistance from the side of the business community</w:t>
      </w:r>
      <w:r w:rsidR="00BD246E">
        <w:t>’</w:t>
      </w:r>
      <w:r w:rsidR="005858F3">
        <w:t>.</w:t>
      </w:r>
      <w:r w:rsidRPr="008A16E7">
        <w:rPr>
          <w:rStyle w:val="FootnoteReference"/>
          <w:rFonts w:ascii="Garamond" w:hAnsi="Garamond" w:cstheme="minorHAnsi"/>
          <w:color w:val="000000" w:themeColor="text1"/>
        </w:rPr>
        <w:footnoteReference w:id="107"/>
      </w:r>
      <w:r w:rsidRPr="008A16E7">
        <w:t xml:space="preserve"> Yet the idea of harnessing investment</w:t>
      </w:r>
      <w:r w:rsidR="009D7830" w:rsidRPr="008A16E7">
        <w:t>s</w:t>
      </w:r>
      <w:r w:rsidRPr="008A16E7">
        <w:t xml:space="preserve"> for </w:t>
      </w:r>
      <w:r w:rsidR="00707777" w:rsidRPr="008A16E7">
        <w:t xml:space="preserve">the </w:t>
      </w:r>
      <w:r w:rsidRPr="008A16E7">
        <w:t>benefit</w:t>
      </w:r>
      <w:r w:rsidR="00707777" w:rsidRPr="008A16E7">
        <w:t xml:space="preserve"> of</w:t>
      </w:r>
      <w:r w:rsidRPr="008A16E7">
        <w:t xml:space="preserve"> host </w:t>
      </w:r>
      <w:r w:rsidR="00B51460" w:rsidRPr="008A16E7">
        <w:t>states</w:t>
      </w:r>
      <w:r w:rsidRPr="008A16E7">
        <w:t xml:space="preserve"> in a meaningful way is not entirely new.</w:t>
      </w:r>
      <w:r w:rsidR="001D7547" w:rsidRPr="008A16E7">
        <w:t xml:space="preserve"> </w:t>
      </w:r>
      <w:r w:rsidR="0054644B" w:rsidRPr="008A16E7">
        <w:t>Regulatory, fiscal and contractual experiments of the NIEO period provide</w:t>
      </w:r>
      <w:r w:rsidR="00361EC2">
        <w:t xml:space="preserve"> the</w:t>
      </w:r>
      <w:r w:rsidR="0054644B" w:rsidRPr="008A16E7">
        <w:t xml:space="preserve"> most pertinent examples. </w:t>
      </w:r>
      <w:r w:rsidR="003C69C7" w:rsidRPr="008A16E7">
        <w:t xml:space="preserve">It was during the 1960s and 1970s </w:t>
      </w:r>
      <w:r w:rsidR="0054644B" w:rsidRPr="008A16E7">
        <w:t>when traditional concession contracts</w:t>
      </w:r>
      <w:r w:rsidR="009D7830" w:rsidRPr="008A16E7">
        <w:t xml:space="preserve"> – </w:t>
      </w:r>
      <w:r w:rsidR="0054644B" w:rsidRPr="008A16E7">
        <w:t>a primary instrument governing the relationship between foreign corporations and host governments in the natural resources sector</w:t>
      </w:r>
      <w:r w:rsidR="009D7830" w:rsidRPr="008A16E7">
        <w:t xml:space="preserve"> – </w:t>
      </w:r>
      <w:r w:rsidR="0054644B" w:rsidRPr="008A16E7">
        <w:t xml:space="preserve">were profoundly transformed. This transformation was prompted by dissatisfaction on the part of host governments with the terms and structure of early concession contracts through which major US and European corporations had </w:t>
      </w:r>
      <w:proofErr w:type="spellStart"/>
      <w:r w:rsidR="0054644B" w:rsidRPr="008A16E7">
        <w:t>monopolised</w:t>
      </w:r>
      <w:proofErr w:type="spellEnd"/>
      <w:r w:rsidR="0054644B" w:rsidRPr="008A16E7">
        <w:t xml:space="preserve"> </w:t>
      </w:r>
      <w:r w:rsidR="009D7830" w:rsidRPr="008A16E7">
        <w:t xml:space="preserve">the </w:t>
      </w:r>
      <w:r w:rsidR="0054644B" w:rsidRPr="008A16E7">
        <w:t>exploration and development of natural resources in the countries of the Global South in the first half of the twentieth century.</w:t>
      </w:r>
      <w:r w:rsidR="0054644B" w:rsidRPr="008A16E7">
        <w:rPr>
          <w:rStyle w:val="FootnoteReference"/>
          <w:rFonts w:ascii="Garamond" w:hAnsi="Garamond" w:cstheme="minorHAnsi"/>
          <w:color w:val="000000" w:themeColor="text1"/>
        </w:rPr>
        <w:footnoteReference w:id="108"/>
      </w:r>
      <w:r w:rsidR="0054644B" w:rsidRPr="008A16E7">
        <w:t xml:space="preserve"> The</w:t>
      </w:r>
      <w:r w:rsidR="003C69C7" w:rsidRPr="008A16E7">
        <w:t xml:space="preserve"> old</w:t>
      </w:r>
      <w:r w:rsidR="00447B1C">
        <w:t xml:space="preserve"> </w:t>
      </w:r>
      <w:r w:rsidR="0054644B" w:rsidRPr="008A16E7">
        <w:t>concession contracts granted investors extensive privileges: a large concession area</w:t>
      </w:r>
      <w:r w:rsidR="005858F3">
        <w:t>;</w:t>
      </w:r>
      <w:r w:rsidR="0054644B" w:rsidRPr="008A16E7">
        <w:t xml:space="preserve"> long duration without the possibility of revision</w:t>
      </w:r>
      <w:r w:rsidR="005858F3">
        <w:t>;</w:t>
      </w:r>
      <w:r w:rsidR="0054644B" w:rsidRPr="008A16E7">
        <w:t xml:space="preserve"> exclusive rights of foreign concession-holder to manage and control all aspects of exploration and development</w:t>
      </w:r>
      <w:r w:rsidR="005858F3">
        <w:t>;</w:t>
      </w:r>
      <w:r w:rsidR="0054644B" w:rsidRPr="008A16E7">
        <w:t xml:space="preserve"> their right to extracted resources</w:t>
      </w:r>
      <w:r w:rsidR="005858F3">
        <w:t>;</w:t>
      </w:r>
      <w:r w:rsidR="0054644B" w:rsidRPr="008A16E7">
        <w:t xml:space="preserve"> exemption from all taxes and duties</w:t>
      </w:r>
      <w:r w:rsidR="005858F3">
        <w:t>;</w:t>
      </w:r>
      <w:r w:rsidR="0054644B" w:rsidRPr="008A16E7">
        <w:t xml:space="preserve"> and modest royalties payable to the government.</w:t>
      </w:r>
      <w:r w:rsidR="0054644B" w:rsidRPr="008A16E7">
        <w:rPr>
          <w:rStyle w:val="FootnoteReference"/>
          <w:rFonts w:ascii="Garamond" w:hAnsi="Garamond" w:cstheme="minorHAnsi"/>
          <w:color w:val="000000" w:themeColor="text1"/>
        </w:rPr>
        <w:footnoteReference w:id="109"/>
      </w:r>
      <w:r w:rsidR="007D3DE8" w:rsidRPr="008A16E7">
        <w:t xml:space="preserve"> </w:t>
      </w:r>
      <w:r w:rsidR="003C69C7" w:rsidRPr="008A16E7">
        <w:t xml:space="preserve">In the words of Asante, under the old concession </w:t>
      </w:r>
      <w:r w:rsidR="003C69C7" w:rsidRPr="008A16E7">
        <w:lastRenderedPageBreak/>
        <w:t>contracts</w:t>
      </w:r>
      <w:r w:rsidR="009D7830" w:rsidRPr="008A16E7">
        <w:t>,</w:t>
      </w:r>
      <w:r w:rsidR="003C69C7" w:rsidRPr="008A16E7">
        <w:t xml:space="preserve"> </w:t>
      </w:r>
      <w:r w:rsidR="00BD246E">
        <w:t>‘</w:t>
      </w:r>
      <w:r w:rsidR="003C69C7" w:rsidRPr="008A16E7">
        <w:t>what purported to be a royalty</w:t>
      </w:r>
      <w:r w:rsidR="009D7830" w:rsidRPr="008A16E7">
        <w:t xml:space="preserve"> </w:t>
      </w:r>
      <w:r w:rsidR="003C69C7" w:rsidRPr="008A16E7">
        <w:t>…</w:t>
      </w:r>
      <w:r w:rsidR="009D7830" w:rsidRPr="008A16E7">
        <w:t xml:space="preserve"> </w:t>
      </w:r>
      <w:r w:rsidR="003C69C7" w:rsidRPr="008A16E7">
        <w:t>was a provision for the payment of a minute percentage, say 3 to 5 percent of the declared profits of the companies</w:t>
      </w:r>
      <w:r w:rsidR="005858F3">
        <w:t>’</w:t>
      </w:r>
      <w:r w:rsidR="003C69C7" w:rsidRPr="008A16E7">
        <w:t>.</w:t>
      </w:r>
      <w:r w:rsidR="003C69C7" w:rsidRPr="008A16E7">
        <w:rPr>
          <w:rStyle w:val="FootnoteReference"/>
          <w:rFonts w:ascii="Garamond" w:hAnsi="Garamond" w:cstheme="minorHAnsi"/>
          <w:color w:val="000000" w:themeColor="text1"/>
        </w:rPr>
        <w:footnoteReference w:id="110"/>
      </w:r>
      <w:r w:rsidR="003C69C7" w:rsidRPr="008A16E7">
        <w:t xml:space="preserve"> </w:t>
      </w:r>
      <w:r w:rsidR="00412696" w:rsidRPr="008A16E7">
        <w:t>T</w:t>
      </w:r>
      <w:r w:rsidR="00F2719C" w:rsidRPr="008A16E7">
        <w:t xml:space="preserve">he </w:t>
      </w:r>
      <w:r w:rsidR="00412696" w:rsidRPr="008A16E7">
        <w:t xml:space="preserve">inequities </w:t>
      </w:r>
      <w:r w:rsidR="00F2719C" w:rsidRPr="008A16E7">
        <w:t xml:space="preserve">of </w:t>
      </w:r>
      <w:r w:rsidR="005858F3" w:rsidRPr="008A16E7">
        <w:t>then</w:t>
      </w:r>
      <w:r w:rsidR="005858F3">
        <w:t>-</w:t>
      </w:r>
      <w:r w:rsidR="00412696" w:rsidRPr="008A16E7">
        <w:t>existing patterns of investor-state relations were so obvious that in a seldom</w:t>
      </w:r>
      <w:r w:rsidR="00F52332" w:rsidRPr="008A16E7">
        <w:t xml:space="preserve"> </w:t>
      </w:r>
      <w:r w:rsidR="00412696" w:rsidRPr="008A16E7">
        <w:t>historical moment of unanimity</w:t>
      </w:r>
      <w:r w:rsidR="009D7830" w:rsidRPr="008A16E7">
        <w:t>,</w:t>
      </w:r>
      <w:r w:rsidR="00412696" w:rsidRPr="008A16E7">
        <w:t xml:space="preserve"> scholars from both developed and developing world </w:t>
      </w:r>
      <w:r w:rsidR="007A6691" w:rsidRPr="008A16E7">
        <w:t>converged in acknowledging</w:t>
      </w:r>
      <w:r w:rsidR="00412696" w:rsidRPr="008A16E7">
        <w:t xml:space="preserve"> the impropriety of legal arrangements that had long supported the old concession regimes.</w:t>
      </w:r>
      <w:r w:rsidR="00412696" w:rsidRPr="008A16E7">
        <w:rPr>
          <w:rStyle w:val="FootnoteReference"/>
          <w:rFonts w:ascii="Garamond" w:hAnsi="Garamond" w:cstheme="minorHAnsi"/>
          <w:color w:val="000000" w:themeColor="text1"/>
        </w:rPr>
        <w:footnoteReference w:id="111"/>
      </w:r>
    </w:p>
    <w:p w14:paraId="051F45FC" w14:textId="1E349E31" w:rsidR="00447B1C" w:rsidRDefault="005858F3" w:rsidP="00447B1C">
      <w:r>
        <w:tab/>
      </w:r>
      <w:r w:rsidR="00BB3BA1" w:rsidRPr="008A16E7">
        <w:t>Although</w:t>
      </w:r>
      <w:r w:rsidR="001C1CEA" w:rsidRPr="008A16E7">
        <w:t xml:space="preserve"> foreign companies </w:t>
      </w:r>
      <w:r w:rsidR="00BB3BA1" w:rsidRPr="008A16E7">
        <w:t xml:space="preserve">had </w:t>
      </w:r>
      <w:r w:rsidR="001C1CEA" w:rsidRPr="008A16E7">
        <w:t>exercised inordinate control over national economies across the Global South (the</w:t>
      </w:r>
      <w:r w:rsidR="00BB3BA1" w:rsidRPr="008A16E7">
        <w:t xml:space="preserve"> concessions contracts elevated companies to </w:t>
      </w:r>
      <w:r w:rsidR="00BD246E">
        <w:t>‘</w:t>
      </w:r>
      <w:r w:rsidR="00BB3BA1" w:rsidRPr="008A16E7">
        <w:t>a virtual assumption of sovereignty by transnational corporations over the host state’s natural resources</w:t>
      </w:r>
      <w:r w:rsidR="00BD246E">
        <w:t>’</w:t>
      </w:r>
      <w:r w:rsidR="00BB3BA1" w:rsidRPr="008A16E7">
        <w:rPr>
          <w:rStyle w:val="FootnoteReference"/>
          <w:rFonts w:ascii="Garamond" w:hAnsi="Garamond" w:cstheme="minorHAnsi"/>
          <w:color w:val="000000" w:themeColor="text1"/>
        </w:rPr>
        <w:footnoteReference w:id="112"/>
      </w:r>
      <w:r w:rsidR="00BB3BA1" w:rsidRPr="008A16E7">
        <w:t>), significant strides were made by developing states in their efforts to eliminate the legal, fiscal and financial vestiges of the old economic order. To achieve a meaningful restructuring of relationships between corporations and developing states,</w:t>
      </w:r>
      <w:r w:rsidR="00A70D2F" w:rsidRPr="008A16E7">
        <w:t xml:space="preserve"> a number of </w:t>
      </w:r>
      <w:r w:rsidR="007A6691" w:rsidRPr="008A16E7">
        <w:t>governments</w:t>
      </w:r>
      <w:r w:rsidR="00A70D2F" w:rsidRPr="008A16E7">
        <w:t xml:space="preserve"> turned to re</w:t>
      </w:r>
      <w:r w:rsidR="00FD3AF5" w:rsidRPr="008A16E7">
        <w:t xml:space="preserve">negotiating </w:t>
      </w:r>
      <w:r w:rsidR="00A70D2F" w:rsidRPr="008A16E7">
        <w:t>their relationships with foreign investors by altering or replacing the original concession agreements with new legal arrangements featuring considerably different profit sharing, new royalties and taxes and greater participation by the state in management and control of the corporations’ operations.</w:t>
      </w:r>
      <w:r w:rsidR="00A70D2F" w:rsidRPr="008A16E7">
        <w:rPr>
          <w:rStyle w:val="FootnoteReference"/>
          <w:rFonts w:ascii="Garamond" w:hAnsi="Garamond" w:cstheme="minorHAnsi"/>
          <w:color w:val="000000" w:themeColor="text1"/>
        </w:rPr>
        <w:footnoteReference w:id="113"/>
      </w:r>
      <w:r w:rsidR="0012652D" w:rsidRPr="008A16E7">
        <w:t xml:space="preserve"> Increasingly, revised investor-state contracts came to feature obligations by a concession-holder to train and employ local personnel with a view to benefit the local society and the economy.</w:t>
      </w:r>
      <w:r w:rsidR="0012652D" w:rsidRPr="008A16E7">
        <w:rPr>
          <w:rStyle w:val="FootnoteReference"/>
          <w:rFonts w:ascii="Garamond" w:hAnsi="Garamond" w:cstheme="minorHAnsi"/>
          <w:color w:val="000000" w:themeColor="text1"/>
        </w:rPr>
        <w:footnoteReference w:id="114"/>
      </w:r>
      <w:r w:rsidR="0012652D" w:rsidRPr="008A16E7">
        <w:t xml:space="preserve"> Other countries went even further and replaced the concession model with</w:t>
      </w:r>
      <w:r w:rsidR="00EE7275" w:rsidRPr="008A16E7">
        <w:t xml:space="preserve"> production-sharing agreements</w:t>
      </w:r>
      <w:r w:rsidR="007A6691" w:rsidRPr="008A16E7">
        <w:t xml:space="preserve"> – </w:t>
      </w:r>
      <w:r w:rsidR="00EE7275" w:rsidRPr="008A16E7">
        <w:t>an entirely new legal instrument defining the relationship between the government and foreign investors.</w:t>
      </w:r>
      <w:r w:rsidR="000C1629" w:rsidRPr="008A16E7">
        <w:t xml:space="preserve"> Not only did production-sharing agreements </w:t>
      </w:r>
      <w:proofErr w:type="spellStart"/>
      <w:r w:rsidR="000C1629" w:rsidRPr="008A16E7">
        <w:t>re</w:t>
      </w:r>
      <w:r w:rsidR="008A16E7" w:rsidRPr="008A16E7">
        <w:t>centre</w:t>
      </w:r>
      <w:proofErr w:type="spellEnd"/>
      <w:r w:rsidR="000C1629" w:rsidRPr="008A16E7">
        <w:t xml:space="preserve"> the state as the owner of natural resources, both in situ and at any phase of exploration and development, but they also attached strong importance to </w:t>
      </w:r>
      <w:r w:rsidR="007A6691" w:rsidRPr="008A16E7">
        <w:t>fiscal benefits and to</w:t>
      </w:r>
      <w:r w:rsidR="009D7830" w:rsidRPr="008A16E7">
        <w:t xml:space="preserve"> the</w:t>
      </w:r>
      <w:r w:rsidR="007A6691" w:rsidRPr="008A16E7">
        <w:t xml:space="preserve"> </w:t>
      </w:r>
      <w:r w:rsidR="000C1629" w:rsidRPr="008A16E7">
        <w:t>training and employment of local personnel.</w:t>
      </w:r>
      <w:r w:rsidR="000C1629" w:rsidRPr="008A16E7">
        <w:rPr>
          <w:rStyle w:val="FootnoteReference"/>
          <w:rFonts w:ascii="Garamond" w:hAnsi="Garamond" w:cstheme="minorHAnsi"/>
          <w:color w:val="000000" w:themeColor="text1"/>
        </w:rPr>
        <w:footnoteReference w:id="115"/>
      </w:r>
      <w:r w:rsidR="00BB3BA1" w:rsidRPr="008A16E7">
        <w:t xml:space="preserve"> </w:t>
      </w:r>
      <w:r w:rsidR="007A6691" w:rsidRPr="008A16E7">
        <w:t>In a similar vein</w:t>
      </w:r>
      <w:r w:rsidR="00BB3BA1" w:rsidRPr="008A16E7">
        <w:t xml:space="preserve">, joint </w:t>
      </w:r>
      <w:r w:rsidR="00BB3BA1" w:rsidRPr="008A16E7">
        <w:lastRenderedPageBreak/>
        <w:t>ventures and service contracts proliferated from</w:t>
      </w:r>
      <w:r w:rsidR="009D7830" w:rsidRPr="008A16E7">
        <w:t xml:space="preserve"> the</w:t>
      </w:r>
      <w:r w:rsidR="00BB3BA1" w:rsidRPr="008A16E7">
        <w:t xml:space="preserve"> Middle East to Latin America, heralding a new form of relationship between foreign investors and host states. Unlike</w:t>
      </w:r>
      <w:r w:rsidR="007A6691" w:rsidRPr="008A16E7">
        <w:t xml:space="preserve"> the old</w:t>
      </w:r>
      <w:r w:rsidR="00BB3BA1" w:rsidRPr="008A16E7">
        <w:t xml:space="preserve"> concession contracts, these arrangements did not confer title to resources on the foreign company; </w:t>
      </w:r>
      <w:r w:rsidR="009D7830" w:rsidRPr="008A16E7">
        <w:t xml:space="preserve">rather, </w:t>
      </w:r>
      <w:r w:rsidR="00BB3BA1" w:rsidRPr="008A16E7">
        <w:t>the latter’s role was changed to that of a contractor or a business partner performing certain tasks for a fee or consideration in kind.</w:t>
      </w:r>
      <w:r w:rsidR="00BB3BA1" w:rsidRPr="008A16E7">
        <w:rPr>
          <w:rStyle w:val="FootnoteReference"/>
          <w:rFonts w:ascii="Garamond" w:hAnsi="Garamond" w:cstheme="minorHAnsi"/>
          <w:color w:val="000000" w:themeColor="text1"/>
        </w:rPr>
        <w:footnoteReference w:id="116"/>
      </w:r>
    </w:p>
    <w:p w14:paraId="63CB6834" w14:textId="48B361F3" w:rsidR="00447B1C" w:rsidRDefault="005858F3" w:rsidP="00447B1C">
      <w:r>
        <w:tab/>
      </w:r>
      <w:r w:rsidR="00AF06D0" w:rsidRPr="008A16E7">
        <w:t xml:space="preserve">The profound </w:t>
      </w:r>
      <w:r w:rsidR="007A6691" w:rsidRPr="008A16E7">
        <w:t>shift</w:t>
      </w:r>
      <w:r w:rsidR="00AF06D0" w:rsidRPr="008A16E7">
        <w:t xml:space="preserve"> from a regime where foreign companies exercised de facto control over the territory and resources of entire states</w:t>
      </w:r>
      <w:r w:rsidR="009D7830" w:rsidRPr="008A16E7">
        <w:t>,</w:t>
      </w:r>
      <w:r w:rsidR="00AF06D0" w:rsidRPr="008A16E7">
        <w:t xml:space="preserve"> to a framework subjecting foreign companies to fiscal, technological and economic obligations</w:t>
      </w:r>
      <w:r w:rsidR="009D7830" w:rsidRPr="008A16E7">
        <w:t xml:space="preserve">, </w:t>
      </w:r>
      <w:r w:rsidR="00AF06D0" w:rsidRPr="008A16E7">
        <w:t xml:space="preserve">all geared towards </w:t>
      </w:r>
      <w:r w:rsidR="009D7830" w:rsidRPr="008A16E7">
        <w:t xml:space="preserve">the </w:t>
      </w:r>
      <w:r w:rsidR="00AF06D0" w:rsidRPr="008A16E7">
        <w:t xml:space="preserve">economic development of host </w:t>
      </w:r>
      <w:r w:rsidR="00B51460" w:rsidRPr="008A16E7">
        <w:t>states</w:t>
      </w:r>
      <w:r w:rsidR="009D7830" w:rsidRPr="008A16E7">
        <w:t xml:space="preserve">, </w:t>
      </w:r>
      <w:r w:rsidR="00AF06D0" w:rsidRPr="008A16E7">
        <w:t>alludes to the possibility of a similar transformation of the prevailing international rules governing foreign investor obligations. Of course, the historical experiments of the NIEO period have not been uniformly successful</w:t>
      </w:r>
      <w:r w:rsidR="009D7830" w:rsidRPr="008A16E7">
        <w:t>,</w:t>
      </w:r>
      <w:r w:rsidR="00AF06D0" w:rsidRPr="008A16E7">
        <w:t xml:space="preserve"> and some legal and political developments heralded during the time failed to achieve their full potential. </w:t>
      </w:r>
      <w:r w:rsidR="00A03BFB" w:rsidRPr="008A16E7">
        <w:t>As captured by a contemporary commentator</w:t>
      </w:r>
      <w:r w:rsidR="00AF06D0" w:rsidRPr="008A16E7">
        <w:t xml:space="preserve">, </w:t>
      </w:r>
      <w:r w:rsidR="00BD246E">
        <w:t>‘</w:t>
      </w:r>
      <w:r w:rsidR="00AF06D0" w:rsidRPr="008A16E7">
        <w:t xml:space="preserve">the formidable difficulties encountered in restructuring the relations between host governments and transnational corporations with respect to </w:t>
      </w:r>
      <w:r w:rsidR="00101754" w:rsidRPr="008A16E7">
        <w:t>the critical areas of control and financial benefits have sometimes engendered despair bordering on cynicism</w:t>
      </w:r>
      <w:r w:rsidR="003E185C">
        <w:t>’</w:t>
      </w:r>
      <w:r w:rsidR="00101754" w:rsidRPr="008A16E7">
        <w:t>.</w:t>
      </w:r>
      <w:r w:rsidR="00101754" w:rsidRPr="008A16E7">
        <w:rPr>
          <w:rStyle w:val="FootnoteReference"/>
          <w:rFonts w:ascii="Garamond" w:hAnsi="Garamond" w:cstheme="minorHAnsi"/>
          <w:color w:val="000000" w:themeColor="text1"/>
        </w:rPr>
        <w:t xml:space="preserve"> </w:t>
      </w:r>
      <w:r w:rsidR="00101754" w:rsidRPr="008A16E7">
        <w:rPr>
          <w:rStyle w:val="FootnoteReference"/>
          <w:rFonts w:ascii="Garamond" w:hAnsi="Garamond" w:cstheme="minorHAnsi"/>
          <w:color w:val="000000" w:themeColor="text1"/>
        </w:rPr>
        <w:footnoteReference w:id="117"/>
      </w:r>
      <w:r w:rsidR="00101754" w:rsidRPr="008A16E7">
        <w:t xml:space="preserve"> Yet, </w:t>
      </w:r>
      <w:r w:rsidR="00BD246E">
        <w:t>‘</w:t>
      </w:r>
      <w:r w:rsidR="00101754" w:rsidRPr="008A16E7">
        <w:t>the recognition of these sober realities in no way detracts from the value of a continuing and sustained process of revising the legal arrangements with transnational corporations in order to redress the imbalance in the old pattern of relations</w:t>
      </w:r>
      <w:r w:rsidR="003E185C">
        <w:t>’</w:t>
      </w:r>
      <w:r w:rsidR="00101754" w:rsidRPr="008A16E7">
        <w:t>.</w:t>
      </w:r>
      <w:r w:rsidR="00101754" w:rsidRPr="008A16E7">
        <w:rPr>
          <w:rStyle w:val="FootnoteReference"/>
          <w:rFonts w:ascii="Garamond" w:hAnsi="Garamond" w:cstheme="minorHAnsi"/>
          <w:color w:val="000000" w:themeColor="text1"/>
        </w:rPr>
        <w:footnoteReference w:id="118"/>
      </w:r>
      <w:r w:rsidR="00101754" w:rsidRPr="008A16E7">
        <w:t xml:space="preserve"> </w:t>
      </w:r>
    </w:p>
    <w:p w14:paraId="340D59AB" w14:textId="35BB057E" w:rsidR="00447B1C" w:rsidRDefault="003E185C" w:rsidP="00447B1C">
      <w:r>
        <w:tab/>
      </w:r>
      <w:r w:rsidR="00101754" w:rsidRPr="008A16E7">
        <w:t xml:space="preserve">Most importantly, resistance from the business community and policymakers in capital-exporting states did not deter the lasting changes the NIEO precipitated in the legal frameworks governing the relationships between foreign investors, states and host </w:t>
      </w:r>
      <w:r w:rsidR="00B51460" w:rsidRPr="008A16E7">
        <w:t>states</w:t>
      </w:r>
      <w:r w:rsidR="00101754" w:rsidRPr="008A16E7">
        <w:t xml:space="preserve">. A wave of renegotiations of agreements between host </w:t>
      </w:r>
      <w:r w:rsidR="00420478" w:rsidRPr="008A16E7">
        <w:t>governments and foreign corporations did not result in an exodus of the latter from resource-rich developing countries.</w:t>
      </w:r>
      <w:r w:rsidR="00420478" w:rsidRPr="008A16E7">
        <w:rPr>
          <w:rStyle w:val="FootnoteReference"/>
          <w:rFonts w:ascii="Garamond" w:hAnsi="Garamond" w:cstheme="minorHAnsi"/>
          <w:color w:val="000000" w:themeColor="text1"/>
        </w:rPr>
        <w:footnoteReference w:id="119"/>
      </w:r>
      <w:r w:rsidR="00420478" w:rsidRPr="008A16E7">
        <w:t xml:space="preserve"> Rather, foreign investors adapted to their new historical realities. </w:t>
      </w:r>
      <w:r w:rsidR="007A6691" w:rsidRPr="008A16E7">
        <w:t>It must be admitted that t</w:t>
      </w:r>
      <w:r w:rsidR="00420478" w:rsidRPr="008A16E7">
        <w:t xml:space="preserve">his adaption process also spawned the network of international investment instruments that effectively </w:t>
      </w:r>
      <w:r w:rsidR="002C63CF" w:rsidRPr="008A16E7">
        <w:t>recaptured</w:t>
      </w:r>
      <w:r w:rsidR="00420478" w:rsidRPr="008A16E7">
        <w:t xml:space="preserve"> the </w:t>
      </w:r>
      <w:r w:rsidR="00420478" w:rsidRPr="008A16E7">
        <w:lastRenderedPageBreak/>
        <w:t>developing states’ ability to renegotiate and recalibrate their contractual relations with foreign investors</w:t>
      </w:r>
      <w:r w:rsidR="002C63CF" w:rsidRPr="008A16E7">
        <w:t xml:space="preserve">. Besides, contractual arrangements ushered in during the </w:t>
      </w:r>
      <w:proofErr w:type="spellStart"/>
      <w:r w:rsidR="002C63CF" w:rsidRPr="008A16E7">
        <w:t>decolonisation</w:t>
      </w:r>
      <w:proofErr w:type="spellEnd"/>
      <w:r w:rsidR="002C63CF" w:rsidRPr="008A16E7">
        <w:t xml:space="preserve"> period </w:t>
      </w:r>
      <w:r w:rsidR="00FD3AF5" w:rsidRPr="008A16E7">
        <w:t xml:space="preserve">did </w:t>
      </w:r>
      <w:r w:rsidR="002C63CF" w:rsidRPr="008A16E7">
        <w:t xml:space="preserve">not typically provide a legal basis for investor responsibility that individuals and local communities </w:t>
      </w:r>
      <w:r w:rsidR="00AE406A" w:rsidRPr="008A16E7">
        <w:t>c</w:t>
      </w:r>
      <w:r w:rsidR="00AE406A">
        <w:t>ould</w:t>
      </w:r>
      <w:r w:rsidR="00AE406A" w:rsidRPr="008A16E7">
        <w:t xml:space="preserve"> </w:t>
      </w:r>
      <w:r w:rsidR="002C63CF" w:rsidRPr="008A16E7">
        <w:t>rely on.</w:t>
      </w:r>
      <w:r w:rsidR="002C63CF" w:rsidRPr="008A16E7">
        <w:rPr>
          <w:rStyle w:val="FootnoteReference"/>
          <w:rFonts w:ascii="Garamond" w:hAnsi="Garamond" w:cstheme="minorHAnsi"/>
          <w:color w:val="000000" w:themeColor="text1"/>
        </w:rPr>
        <w:footnoteReference w:id="120"/>
      </w:r>
      <w:r w:rsidR="00420478" w:rsidRPr="008A16E7">
        <w:t xml:space="preserve"> </w:t>
      </w:r>
      <w:r w:rsidR="002C63CF" w:rsidRPr="008A16E7">
        <w:t xml:space="preserve">Notwithstanding, </w:t>
      </w:r>
      <w:r w:rsidR="00420478" w:rsidRPr="008A16E7">
        <w:t>the NIEO</w:t>
      </w:r>
      <w:r w:rsidR="007A6691" w:rsidRPr="008A16E7">
        <w:t>-era</w:t>
      </w:r>
      <w:r w:rsidR="00C85617" w:rsidRPr="008A16E7">
        <w:t xml:space="preserve"> </w:t>
      </w:r>
      <w:r w:rsidR="002C63CF" w:rsidRPr="008A16E7">
        <w:t>experiments</w:t>
      </w:r>
      <w:r w:rsidR="00C85617" w:rsidRPr="008A16E7">
        <w:t xml:space="preserve"> demonstrate both the possibility of transformation and </w:t>
      </w:r>
      <w:r w:rsidR="002C63CF" w:rsidRPr="008A16E7">
        <w:t>the</w:t>
      </w:r>
      <w:r w:rsidR="00FD3AF5" w:rsidRPr="008A16E7">
        <w:t xml:space="preserve"> eventual</w:t>
      </w:r>
      <w:r w:rsidR="002C63CF" w:rsidRPr="008A16E7">
        <w:t xml:space="preserve"> </w:t>
      </w:r>
      <w:r w:rsidR="00C85617" w:rsidRPr="008A16E7">
        <w:t>acceptance by business actors of their changed realities</w:t>
      </w:r>
      <w:r w:rsidR="002C63CF" w:rsidRPr="008A16E7">
        <w:t>.</w:t>
      </w:r>
    </w:p>
    <w:p w14:paraId="725EFEC1" w14:textId="303830EB" w:rsidR="00447B1C" w:rsidRDefault="002F3BB5" w:rsidP="00447B1C">
      <w:pPr>
        <w:pStyle w:val="Heading2"/>
      </w:pPr>
      <w:r>
        <w:t xml:space="preserve">C. </w:t>
      </w:r>
      <w:r w:rsidR="00C85617" w:rsidRPr="00467374">
        <w:t xml:space="preserve">Echoes of the NIEO </w:t>
      </w:r>
      <w:r w:rsidR="009D7830" w:rsidRPr="00467374">
        <w:t>Reforms in Contemporary Business Practices</w:t>
      </w:r>
    </w:p>
    <w:p w14:paraId="2F4309DA" w14:textId="77777777" w:rsidR="00447B1C" w:rsidRDefault="00FD3AF5" w:rsidP="00447B1C">
      <w:r w:rsidRPr="008A16E7">
        <w:t xml:space="preserve">The argument that the introduction of positive investor obligations is a pipe dream and would be impossible due to resistance from the business community is also belied by </w:t>
      </w:r>
      <w:r w:rsidR="00C85617" w:rsidRPr="008A16E7">
        <w:t>evidence of the evolving patterns of foreign investor engagement with local communities</w:t>
      </w:r>
      <w:r w:rsidRPr="008A16E7">
        <w:t>.</w:t>
      </w:r>
      <w:r w:rsidR="00C85617" w:rsidRPr="008A16E7">
        <w:t xml:space="preserve"> Those who oppose the inclusion of express investor obligations in treaty texts ignore the fact that </w:t>
      </w:r>
      <w:r w:rsidR="007A6691" w:rsidRPr="008A16E7">
        <w:t>the exclusion of local communities from the benefits</w:t>
      </w:r>
      <w:r w:rsidR="00C85617" w:rsidRPr="008A16E7">
        <w:t xml:space="preserve"> of foreign invest</w:t>
      </w:r>
      <w:r w:rsidR="007A6691" w:rsidRPr="008A16E7">
        <w:t>or-led projects</w:t>
      </w:r>
      <w:r w:rsidR="00C85617" w:rsidRPr="008A16E7">
        <w:t xml:space="preserve"> tend to foment not only a dissatisfaction with the regime at a global level but also a resentment against concrete investment projects on the ground. </w:t>
      </w:r>
      <w:r w:rsidR="007A6691" w:rsidRPr="008A16E7">
        <w:t>This, in turn, can</w:t>
      </w:r>
      <w:r w:rsidR="00C85617" w:rsidRPr="008A16E7">
        <w:t xml:space="preserve"> </w:t>
      </w:r>
      <w:proofErr w:type="spellStart"/>
      <w:r w:rsidR="00C85617" w:rsidRPr="008A16E7">
        <w:t>destabilise</w:t>
      </w:r>
      <w:proofErr w:type="spellEnd"/>
      <w:r w:rsidR="00C85617" w:rsidRPr="008A16E7">
        <w:t xml:space="preserve"> and undermine the commercial success of investment projects.</w:t>
      </w:r>
      <w:r w:rsidR="008D485D" w:rsidRPr="008A16E7">
        <w:t xml:space="preserve"> </w:t>
      </w:r>
      <w:r w:rsidR="00C85617" w:rsidRPr="008A16E7">
        <w:t>Investors may expect the host states to take care of distributive issues and to address socio-economic concerns on the ground, but when the states fail to do so successfully, it is the foreign investor who is exposed to instability, loss of profits, and potentially the need to leave the project as it becomes no longer feasible in the face of local backlash and opposition.</w:t>
      </w:r>
      <w:r w:rsidR="00391C8A" w:rsidRPr="008A16E7">
        <w:rPr>
          <w:rStyle w:val="FootnoteReference"/>
          <w:rFonts w:ascii="Garamond" w:hAnsi="Garamond" w:cstheme="minorHAnsi"/>
          <w:color w:val="000000" w:themeColor="text1"/>
        </w:rPr>
        <w:footnoteReference w:id="121"/>
      </w:r>
      <w:r w:rsidR="00C85617" w:rsidRPr="008A16E7">
        <w:t xml:space="preserve"> Traditional investment treaties contain protections allowing investors to recoup losses when their projects fail due to local community opposition. However, </w:t>
      </w:r>
      <w:r w:rsidR="00C85617" w:rsidRPr="008A16E7">
        <w:lastRenderedPageBreak/>
        <w:t xml:space="preserve">investment treaties do not facilitate the creation of peaceful and stable legal and political environment for the projects to succeed in the long-term. </w:t>
      </w:r>
    </w:p>
    <w:p w14:paraId="0F520A9A" w14:textId="424ECC71" w:rsidR="00447B1C" w:rsidRDefault="002F3BB5" w:rsidP="00447B1C">
      <w:pPr>
        <w:rPr>
          <w:vertAlign w:val="superscript"/>
        </w:rPr>
      </w:pPr>
      <w:r>
        <w:tab/>
      </w:r>
      <w:r w:rsidR="00C85617" w:rsidRPr="008A16E7">
        <w:t xml:space="preserve">There is also growing recognition among some in the business community that a successful investment project necessitates </w:t>
      </w:r>
      <w:r w:rsidR="00A03BFB" w:rsidRPr="008A16E7">
        <w:t>the</w:t>
      </w:r>
      <w:r w:rsidR="00C85617" w:rsidRPr="008A16E7">
        <w:t xml:space="preserve"> inclusion of local communities in sharing the benefits of the investment. A failure to obtain such license often results in a subsequent frustration of the </w:t>
      </w:r>
      <w:r w:rsidR="00BA2047" w:rsidRPr="008A16E7">
        <w:t xml:space="preserve">project </w:t>
      </w:r>
      <w:r w:rsidR="00C85617" w:rsidRPr="008A16E7">
        <w:t xml:space="preserve">due to local community opposition. In many cases investors may </w:t>
      </w:r>
      <w:r w:rsidR="002F67DE" w:rsidRPr="008A16E7">
        <w:t>frame</w:t>
      </w:r>
      <w:r w:rsidR="00C85617" w:rsidRPr="008A16E7">
        <w:t xml:space="preserve"> local community opposition as yet another form of rent-seeking.</w:t>
      </w:r>
      <w:r w:rsidR="00C85617" w:rsidRPr="008A16E7">
        <w:rPr>
          <w:rStyle w:val="FootnoteReference"/>
          <w:rFonts w:ascii="Garamond" w:hAnsi="Garamond" w:cstheme="minorHAnsi"/>
          <w:color w:val="000000" w:themeColor="text1"/>
        </w:rPr>
        <w:footnoteReference w:id="122"/>
      </w:r>
      <w:r w:rsidR="00C85617" w:rsidRPr="008A16E7">
        <w:t xml:space="preserve"> However, according to </w:t>
      </w:r>
      <w:r w:rsidR="002C63CF" w:rsidRPr="008A16E7">
        <w:t>emerging</w:t>
      </w:r>
      <w:r w:rsidR="00C85617" w:rsidRPr="008A16E7">
        <w:t xml:space="preserve"> case stud</w:t>
      </w:r>
      <w:r w:rsidR="002C63CF" w:rsidRPr="008A16E7">
        <w:t>ies</w:t>
      </w:r>
      <w:r w:rsidR="00C85617" w:rsidRPr="008A16E7">
        <w:t xml:space="preserve">, there is growing </w:t>
      </w:r>
      <w:r w:rsidR="00AE406A">
        <w:t>awareness</w:t>
      </w:r>
      <w:r w:rsidR="00AE406A" w:rsidRPr="008A16E7">
        <w:t xml:space="preserve"> </w:t>
      </w:r>
      <w:r w:rsidR="00C85617" w:rsidRPr="008A16E7">
        <w:t>in the business sector that</w:t>
      </w:r>
      <w:r w:rsidR="00072FFA" w:rsidRPr="008A16E7">
        <w:t xml:space="preserve"> the</w:t>
      </w:r>
      <w:r w:rsidR="00C85617" w:rsidRPr="008A16E7">
        <w:t xml:space="preserve"> local community should be regarded as an actor in its own right. When host governments fail to regulate investment so as to harness its benefits for the society, local communities tend to take matters into their own hands. Foreign investors </w:t>
      </w:r>
      <w:proofErr w:type="spellStart"/>
      <w:r w:rsidR="00C85617" w:rsidRPr="008A16E7">
        <w:t>recognise</w:t>
      </w:r>
      <w:proofErr w:type="spellEnd"/>
      <w:r w:rsidR="00C85617" w:rsidRPr="008A16E7">
        <w:t xml:space="preserve"> the need to secure not only a political </w:t>
      </w:r>
      <w:proofErr w:type="spellStart"/>
      <w:r w:rsidR="00096809" w:rsidRPr="008A16E7">
        <w:t>licen</w:t>
      </w:r>
      <w:r w:rsidR="00096809">
        <w:t>c</w:t>
      </w:r>
      <w:r w:rsidR="00096809" w:rsidRPr="008A16E7">
        <w:t>e</w:t>
      </w:r>
      <w:proofErr w:type="spellEnd"/>
      <w:r w:rsidR="00096809">
        <w:t>,</w:t>
      </w:r>
      <w:r w:rsidR="00096809" w:rsidRPr="008A16E7">
        <w:t xml:space="preserve"> </w:t>
      </w:r>
      <w:r w:rsidR="00C85617" w:rsidRPr="008A16E7">
        <w:t xml:space="preserve">but also a social </w:t>
      </w:r>
      <w:proofErr w:type="spellStart"/>
      <w:r w:rsidR="00C85617" w:rsidRPr="008A16E7">
        <w:t>licen</w:t>
      </w:r>
      <w:r w:rsidR="00096809">
        <w:t>c</w:t>
      </w:r>
      <w:r w:rsidR="00C85617" w:rsidRPr="008A16E7">
        <w:t>e</w:t>
      </w:r>
      <w:proofErr w:type="spellEnd"/>
      <w:r w:rsidR="00C85617" w:rsidRPr="008A16E7">
        <w:t xml:space="preserve"> – even in cases where no express provisions to this effect are contained in legal instruments governing such investments.</w:t>
      </w:r>
      <w:r w:rsidR="00D07E94" w:rsidRPr="008A16E7">
        <w:rPr>
          <w:rStyle w:val="FootnoteReference"/>
          <w:rFonts w:ascii="Garamond" w:hAnsi="Garamond" w:cstheme="minorHAnsi"/>
          <w:color w:val="000000" w:themeColor="text1"/>
        </w:rPr>
        <w:footnoteReference w:id="123"/>
      </w:r>
    </w:p>
    <w:p w14:paraId="1479DDFE" w14:textId="605D6F6D" w:rsidR="00447B1C" w:rsidRDefault="00096809" w:rsidP="00447B1C">
      <w:r>
        <w:tab/>
      </w:r>
      <w:r w:rsidR="008437DC" w:rsidRPr="008A16E7">
        <w:t xml:space="preserve">To obtain </w:t>
      </w:r>
      <w:r>
        <w:t xml:space="preserve">a </w:t>
      </w:r>
      <w:r w:rsidR="008437DC" w:rsidRPr="008A16E7">
        <w:t xml:space="preserve">social </w:t>
      </w:r>
      <w:proofErr w:type="spellStart"/>
      <w:r w:rsidRPr="008A16E7">
        <w:t>licen</w:t>
      </w:r>
      <w:r>
        <w:t>c</w:t>
      </w:r>
      <w:r w:rsidRPr="008A16E7">
        <w:t>e</w:t>
      </w:r>
      <w:proofErr w:type="spellEnd"/>
      <w:r w:rsidRPr="008A16E7">
        <w:t xml:space="preserve"> </w:t>
      </w:r>
      <w:r w:rsidR="008437DC" w:rsidRPr="008A16E7">
        <w:t xml:space="preserve">to operate, foreign investors have increasingly </w:t>
      </w:r>
      <w:r w:rsidR="00072FFA" w:rsidRPr="008A16E7">
        <w:t xml:space="preserve">been </w:t>
      </w:r>
      <w:r w:rsidR="008437DC" w:rsidRPr="008A16E7">
        <w:t xml:space="preserve">deploying contractual arrangements in their negotiations with local communities. For example, it has been reported that there is </w:t>
      </w:r>
      <w:r w:rsidR="00BD246E">
        <w:t>‘</w:t>
      </w:r>
      <w:r w:rsidR="008437DC" w:rsidRPr="008A16E7">
        <w:t>strong current interest in Impact Benefit Agreements or Community Development Agreements between mining companies and communities</w:t>
      </w:r>
      <w:r>
        <w:t>’</w:t>
      </w:r>
      <w:r w:rsidR="008437DC" w:rsidRPr="008A16E7">
        <w:t>.</w:t>
      </w:r>
      <w:r w:rsidR="008437DC" w:rsidRPr="008A16E7">
        <w:rPr>
          <w:rStyle w:val="FootnoteReference"/>
          <w:rFonts w:ascii="Garamond" w:hAnsi="Garamond"/>
        </w:rPr>
        <w:footnoteReference w:id="124"/>
      </w:r>
      <w:r w:rsidR="00FC5797" w:rsidRPr="008A16E7">
        <w:t xml:space="preserve"> </w:t>
      </w:r>
      <w:r w:rsidR="002F67DE" w:rsidRPr="008A16E7">
        <w:t xml:space="preserve">The idea of </w:t>
      </w:r>
      <w:r w:rsidRPr="008A16E7">
        <w:t>benefit</w:t>
      </w:r>
      <w:r>
        <w:t>-</w:t>
      </w:r>
      <w:r w:rsidR="002F67DE" w:rsidRPr="008A16E7">
        <w:t>sharing</w:t>
      </w:r>
      <w:r w:rsidR="00BD20F2" w:rsidRPr="008A16E7">
        <w:t xml:space="preserve"> underpinning</w:t>
      </w:r>
      <w:r w:rsidR="002F67DE" w:rsidRPr="008A16E7">
        <w:t xml:space="preserve"> </w:t>
      </w:r>
      <w:r w:rsidR="00BD20F2" w:rsidRPr="008A16E7">
        <w:t>these</w:t>
      </w:r>
      <w:r w:rsidR="002F67DE" w:rsidRPr="008A16E7">
        <w:t xml:space="preserve"> agreements is not </w:t>
      </w:r>
      <w:r w:rsidR="00115068" w:rsidRPr="008A16E7">
        <w:t xml:space="preserve">exclusive </w:t>
      </w:r>
      <w:r w:rsidR="002F67DE" w:rsidRPr="008A16E7">
        <w:t xml:space="preserve">to the natural resources sector and is </w:t>
      </w:r>
      <w:r w:rsidR="00115068" w:rsidRPr="008A16E7">
        <w:t xml:space="preserve">gaining momentum as an important way to </w:t>
      </w:r>
      <w:proofErr w:type="spellStart"/>
      <w:r w:rsidR="00115068" w:rsidRPr="008A16E7">
        <w:t>maximise</w:t>
      </w:r>
      <w:proofErr w:type="spellEnd"/>
      <w:r w:rsidR="00115068" w:rsidRPr="008A16E7">
        <w:t xml:space="preserve"> the benefits of foreign investment projects for the local communities</w:t>
      </w:r>
      <w:r w:rsidR="002F67DE" w:rsidRPr="008A16E7">
        <w:t xml:space="preserve">. </w:t>
      </w:r>
      <w:r w:rsidR="00F03A17" w:rsidRPr="008A16E7">
        <w:t xml:space="preserve">Importantly, </w:t>
      </w:r>
      <w:r w:rsidRPr="008A16E7">
        <w:t>benefit</w:t>
      </w:r>
      <w:r>
        <w:t>-</w:t>
      </w:r>
      <w:r w:rsidR="00F03A17" w:rsidRPr="008A16E7">
        <w:t>sharing arrangements are increasingly negotiated directly between communities and foreign investors.</w:t>
      </w:r>
      <w:r w:rsidR="00F03A17" w:rsidRPr="008A16E7">
        <w:rPr>
          <w:rStyle w:val="FootnoteReference"/>
          <w:rFonts w:ascii="Garamond" w:hAnsi="Garamond"/>
        </w:rPr>
        <w:footnoteReference w:id="125"/>
      </w:r>
      <w:r w:rsidR="00F03A17" w:rsidRPr="008A16E7">
        <w:t xml:space="preserve"> Such </w:t>
      </w:r>
      <w:r w:rsidR="00FC5797" w:rsidRPr="008A16E7">
        <w:t>agreements are not without considerable flaws</w:t>
      </w:r>
      <w:r w:rsidR="00072FFA" w:rsidRPr="008A16E7">
        <w:t xml:space="preserve"> – i</w:t>
      </w:r>
      <w:r w:rsidR="00FC5797" w:rsidRPr="008A16E7">
        <w:t xml:space="preserve">ncluding the asymmetry of bargaining powers between </w:t>
      </w:r>
      <w:r w:rsidR="00FC5797" w:rsidRPr="008A16E7">
        <w:lastRenderedPageBreak/>
        <w:t>corporations and local communities</w:t>
      </w:r>
      <w:r w:rsidR="00072FFA" w:rsidRPr="008A16E7">
        <w:t>,</w:t>
      </w:r>
      <w:r w:rsidR="00115068" w:rsidRPr="008A16E7">
        <w:rPr>
          <w:rStyle w:val="FootnoteReference"/>
          <w:rFonts w:ascii="Garamond" w:hAnsi="Garamond"/>
        </w:rPr>
        <w:footnoteReference w:id="126"/>
      </w:r>
      <w:r w:rsidR="00F03A17" w:rsidRPr="008A16E7">
        <w:t xml:space="preserve"> and the fact that the concept of </w:t>
      </w:r>
      <w:r w:rsidRPr="008A16E7">
        <w:t>benefit</w:t>
      </w:r>
      <w:r>
        <w:t>-</w:t>
      </w:r>
      <w:r w:rsidR="00F03A17" w:rsidRPr="008A16E7">
        <w:t>sharing is still understood narrowly as a distribution of financial benefits.</w:t>
      </w:r>
      <w:r w:rsidR="00F03A17" w:rsidRPr="008A16E7">
        <w:rPr>
          <w:rStyle w:val="FootnoteReference"/>
          <w:rFonts w:ascii="Garamond" w:hAnsi="Garamond"/>
        </w:rPr>
        <w:footnoteReference w:id="127"/>
      </w:r>
      <w:r w:rsidR="00F03A17" w:rsidRPr="008A16E7">
        <w:t xml:space="preserve"> However, an</w:t>
      </w:r>
      <w:r w:rsidR="00115068" w:rsidRPr="008A16E7">
        <w:t xml:space="preserve"> uptake in the use of </w:t>
      </w:r>
      <w:r w:rsidR="00FC5797" w:rsidRPr="008A16E7">
        <w:t xml:space="preserve">arrangements of this kind </w:t>
      </w:r>
      <w:r w:rsidR="00FD3AF5" w:rsidRPr="008A16E7">
        <w:t xml:space="preserve">exemplifies </w:t>
      </w:r>
      <w:r w:rsidR="00FC5797" w:rsidRPr="008A16E7">
        <w:t xml:space="preserve">the </w:t>
      </w:r>
      <w:r w:rsidR="00F03A17" w:rsidRPr="008A16E7">
        <w:t xml:space="preserve">burgeoning </w:t>
      </w:r>
      <w:r w:rsidR="00FC5797" w:rsidRPr="008A16E7">
        <w:t xml:space="preserve">acceptance by industry actors of the need to </w:t>
      </w:r>
      <w:r w:rsidR="009D08F5" w:rsidRPr="008A16E7">
        <w:t xml:space="preserve">engage </w:t>
      </w:r>
      <w:r w:rsidR="00FC5797" w:rsidRPr="008A16E7">
        <w:t xml:space="preserve">with the communities that host them. </w:t>
      </w:r>
      <w:r w:rsidR="005818B5" w:rsidRPr="008A16E7">
        <w:t xml:space="preserve">Just like the companies which had to </w:t>
      </w:r>
      <w:r w:rsidR="00962608" w:rsidRPr="008A16E7">
        <w:t>concede to</w:t>
      </w:r>
      <w:r w:rsidR="005818B5" w:rsidRPr="008A16E7">
        <w:t xml:space="preserve"> renegotiated terms in the NIEO-inspired revision of agreements in the natural resources sector, contemporary foreign investors are increasingly </w:t>
      </w:r>
      <w:proofErr w:type="spellStart"/>
      <w:r w:rsidR="005818B5" w:rsidRPr="008A16E7">
        <w:t>cogni</w:t>
      </w:r>
      <w:r w:rsidR="00D07E94" w:rsidRPr="008A16E7">
        <w:t>s</w:t>
      </w:r>
      <w:r w:rsidR="005818B5" w:rsidRPr="008A16E7">
        <w:t>ant</w:t>
      </w:r>
      <w:proofErr w:type="spellEnd"/>
      <w:r w:rsidR="005818B5" w:rsidRPr="008A16E7">
        <w:t xml:space="preserve"> of the need to exercise socio-cultural due diligence</w:t>
      </w:r>
      <w:r w:rsidR="005818B5" w:rsidRPr="008A16E7">
        <w:rPr>
          <w:rStyle w:val="FootnoteReference"/>
          <w:rFonts w:ascii="Garamond" w:hAnsi="Garamond"/>
        </w:rPr>
        <w:footnoteReference w:id="128"/>
      </w:r>
      <w:r w:rsidR="005818B5" w:rsidRPr="008A16E7">
        <w:t xml:space="preserve"> and undertake specific commitments on sharing the benefits of their projects with the local communities.</w:t>
      </w:r>
    </w:p>
    <w:p w14:paraId="77E5BDFF" w14:textId="400388B8" w:rsidR="00447B1C" w:rsidRDefault="00096809" w:rsidP="00447B1C">
      <w:pPr>
        <w:pStyle w:val="Heading1"/>
      </w:pPr>
      <w:r>
        <w:t>V</w:t>
      </w:r>
      <w:r w:rsidR="00F52E91" w:rsidRPr="008A16E7">
        <w:t>.</w:t>
      </w:r>
      <w:r>
        <w:t xml:space="preserve"> </w:t>
      </w:r>
      <w:r w:rsidR="00D40ACE" w:rsidRPr="008A16E7">
        <w:t>C</w:t>
      </w:r>
      <w:r w:rsidR="0050734E" w:rsidRPr="008A16E7">
        <w:t>onclusion</w:t>
      </w:r>
    </w:p>
    <w:p w14:paraId="58645BC4" w14:textId="50E37A09" w:rsidR="00447B1C" w:rsidRDefault="00A03BFB" w:rsidP="00447B1C">
      <w:pPr>
        <w:pStyle w:val="Quote"/>
      </w:pPr>
      <w:r w:rsidRPr="008A16E7">
        <w:rPr>
          <w:rFonts w:cstheme="minorHAnsi"/>
        </w:rPr>
        <w:t>S</w:t>
      </w:r>
      <w:r w:rsidR="00D40ACE" w:rsidRPr="008A16E7">
        <w:t>ocietal opposition to the investment law regime does not stem from hostility to the concept of foreign investment or to the objective of establishing international rules to govern foreign investment per se, but rather from concerns about the non-participatory manner in which the global economy’s rules are being written and about restrictions on governments’ ability to address the pernicious effects of globalization.</w:t>
      </w:r>
      <w:r w:rsidR="00D40ACE" w:rsidRPr="008A16E7">
        <w:rPr>
          <w:rStyle w:val="FootnoteReference"/>
          <w:rFonts w:ascii="Garamond" w:hAnsi="Garamond"/>
          <w:color w:val="000000" w:themeColor="text1"/>
        </w:rPr>
        <w:footnoteReference w:id="129"/>
      </w:r>
      <w:r w:rsidR="00D40ACE" w:rsidRPr="008A16E7">
        <w:t xml:space="preserve"> </w:t>
      </w:r>
    </w:p>
    <w:p w14:paraId="31393D84" w14:textId="41CD9358" w:rsidR="00447B1C" w:rsidRDefault="003D5447" w:rsidP="00447B1C">
      <w:pPr>
        <w:pStyle w:val="NormalContinued"/>
      </w:pPr>
      <w:r w:rsidRPr="008A16E7">
        <w:t>T</w:t>
      </w:r>
      <w:r w:rsidR="00D40ACE" w:rsidRPr="008A16E7">
        <w:t>he</w:t>
      </w:r>
      <w:r w:rsidRPr="008A16E7">
        <w:t>se concerns cannot be addressed by merely</w:t>
      </w:r>
      <w:r w:rsidR="00D40ACE" w:rsidRPr="008A16E7">
        <w:t xml:space="preserve"> reforming procedural norms and safeguarding the host state’s right to regulate. </w:t>
      </w:r>
      <w:r w:rsidR="005B0465" w:rsidRPr="008A16E7">
        <w:t xml:space="preserve">It is vital that </w:t>
      </w:r>
      <w:r w:rsidR="0050734E" w:rsidRPr="008A16E7">
        <w:t>a diverse range of stakeholders within host states</w:t>
      </w:r>
      <w:r w:rsidR="00D07E94" w:rsidRPr="008A16E7">
        <w:t xml:space="preserve">, </w:t>
      </w:r>
      <w:r w:rsidR="0050734E" w:rsidRPr="008A16E7">
        <w:t xml:space="preserve">especially those left behind by the processes of </w:t>
      </w:r>
      <w:proofErr w:type="spellStart"/>
      <w:r w:rsidR="00096809" w:rsidRPr="008A16E7">
        <w:t>globali</w:t>
      </w:r>
      <w:r w:rsidR="00096809">
        <w:t>s</w:t>
      </w:r>
      <w:r w:rsidR="00096809" w:rsidRPr="008A16E7">
        <w:t>ation</w:t>
      </w:r>
      <w:proofErr w:type="spellEnd"/>
      <w:r w:rsidR="00D07E94" w:rsidRPr="008A16E7">
        <w:t xml:space="preserve">, </w:t>
      </w:r>
      <w:r w:rsidR="0050734E" w:rsidRPr="008A16E7">
        <w:t xml:space="preserve">are </w:t>
      </w:r>
      <w:r w:rsidR="005B0465" w:rsidRPr="008A16E7">
        <w:t xml:space="preserve">not only protected against </w:t>
      </w:r>
      <w:r w:rsidR="008A16E7" w:rsidRPr="008A16E7">
        <w:t xml:space="preserve">the </w:t>
      </w:r>
      <w:r w:rsidR="005B0465" w:rsidRPr="008A16E7">
        <w:t>adverse impact</w:t>
      </w:r>
      <w:r w:rsidR="008A16E7" w:rsidRPr="008A16E7">
        <w:t>s</w:t>
      </w:r>
      <w:r w:rsidR="005B0465" w:rsidRPr="008A16E7">
        <w:t xml:space="preserve"> of foreign investment but are also included in sharing the benefits of foreign investor-led projects. To </w:t>
      </w:r>
      <w:r w:rsidR="008A16E7" w:rsidRPr="008A16E7">
        <w:t>this</w:t>
      </w:r>
      <w:r w:rsidR="005B0465" w:rsidRPr="008A16E7">
        <w:t xml:space="preserve"> end, international investment agreements should start incorporating concrete investor obligations to</w:t>
      </w:r>
      <w:r w:rsidR="0050734E" w:rsidRPr="008A16E7">
        <w:t xml:space="preserve"> </w:t>
      </w:r>
      <w:r w:rsidR="009F56E9" w:rsidRPr="008A16E7">
        <w:t>foster inclusive and sustainable development</w:t>
      </w:r>
      <w:r w:rsidR="005B0465" w:rsidRPr="008A16E7">
        <w:t xml:space="preserve">. Failing to do so is likely to undermine the long-term prospects of individual investment projects, create potential for conflict and instability, and </w:t>
      </w:r>
      <w:r w:rsidR="009F56E9" w:rsidRPr="008A16E7">
        <w:t xml:space="preserve">continue to fuel concerns over </w:t>
      </w:r>
      <w:r w:rsidR="005B0465" w:rsidRPr="008A16E7">
        <w:t>the already eroding legitimacy of the international investment regime.</w:t>
      </w:r>
      <w:r w:rsidR="001C5C29" w:rsidRPr="008A16E7">
        <w:t xml:space="preserve"> </w:t>
      </w:r>
    </w:p>
    <w:p w14:paraId="01E0136B" w14:textId="0233C8B3" w:rsidR="00FC5797" w:rsidRPr="008A16E7" w:rsidRDefault="00096809" w:rsidP="00447B1C">
      <w:r>
        <w:lastRenderedPageBreak/>
        <w:tab/>
      </w:r>
      <w:r w:rsidR="001C5C29" w:rsidRPr="008A16E7">
        <w:t xml:space="preserve">Despite significant advances of the recent reform efforts in acknowledging various asymmetries underpinning the investment treaty regime, the </w:t>
      </w:r>
      <w:r w:rsidR="003D5447" w:rsidRPr="008A16E7">
        <w:t>scope and promise of such reforms</w:t>
      </w:r>
      <w:r w:rsidR="001C5C29" w:rsidRPr="008A16E7">
        <w:t xml:space="preserve"> is open to question. There is still a considerable degree of reluctance to acknowledge social deficits of the existing investment treaty framework and in particular</w:t>
      </w:r>
      <w:r w:rsidR="008A16E7" w:rsidRPr="008A16E7">
        <w:t>,</w:t>
      </w:r>
      <w:r w:rsidR="001C5C29" w:rsidRPr="008A16E7">
        <w:t xml:space="preserve"> its failure to expressly address the importance of fostering a socially inclusive development in host states. </w:t>
      </w:r>
      <w:r w:rsidR="00C768BA" w:rsidRPr="008A16E7">
        <w:t>The investment establishment is yet to acknowledge that investment</w:t>
      </w:r>
      <w:r w:rsidR="008A16E7" w:rsidRPr="008A16E7">
        <w:t>s</w:t>
      </w:r>
      <w:r w:rsidR="00C768BA" w:rsidRPr="008A16E7">
        <w:t xml:space="preserve"> must be made more inclusive.</w:t>
      </w:r>
      <w:r w:rsidR="00D40ACE" w:rsidRPr="008A16E7">
        <w:t xml:space="preserve"> </w:t>
      </w:r>
      <w:r w:rsidR="009F56E9" w:rsidRPr="008A16E7">
        <w:t>Fundamentally, however, as</w:t>
      </w:r>
      <w:r w:rsidR="00032BA1" w:rsidRPr="008A16E7">
        <w:t xml:space="preserve"> the distributive implications of corporate business activities are increasingly raising concerns for stakeholders in both developed and developing</w:t>
      </w:r>
      <w:r w:rsidR="009F56E9" w:rsidRPr="008A16E7">
        <w:t xml:space="preserve"> states</w:t>
      </w:r>
      <w:r w:rsidR="00032BA1" w:rsidRPr="008A16E7">
        <w:t xml:space="preserve">, a </w:t>
      </w:r>
      <w:r w:rsidR="009D08F5" w:rsidRPr="008A16E7">
        <w:t xml:space="preserve">profound rethinking </w:t>
      </w:r>
      <w:r w:rsidR="00032BA1" w:rsidRPr="008A16E7">
        <w:t xml:space="preserve">of investment treaty objectives </w:t>
      </w:r>
      <w:r w:rsidR="00D40ACE" w:rsidRPr="008A16E7">
        <w:t>is</w:t>
      </w:r>
      <w:r w:rsidR="00032BA1" w:rsidRPr="008A16E7">
        <w:t xml:space="preserve"> warranted in order to address the existing </w:t>
      </w:r>
      <w:r w:rsidR="0045389E" w:rsidRPr="008A16E7">
        <w:t>asymmetries and social deficits</w:t>
      </w:r>
      <w:r w:rsidR="00032BA1" w:rsidRPr="008A16E7">
        <w:t>.</w:t>
      </w:r>
      <w:r w:rsidR="00D40ACE" w:rsidRPr="008A16E7">
        <w:t xml:space="preserve"> As this chapter has demonstrated, investors can</w:t>
      </w:r>
      <w:r w:rsidR="001F189F" w:rsidRPr="008A16E7">
        <w:t xml:space="preserve"> and should</w:t>
      </w:r>
      <w:r w:rsidR="00D40ACE" w:rsidRPr="008A16E7">
        <w:t xml:space="preserve"> be placed under an obligation to do good for the societies that host them. Historical precedents of investor obligations can be found in </w:t>
      </w:r>
      <w:r w:rsidR="008A16E7" w:rsidRPr="008A16E7">
        <w:t xml:space="preserve">the </w:t>
      </w:r>
      <w:r w:rsidR="00D40ACE" w:rsidRPr="008A16E7">
        <w:t>regulatory, fiscal and contractual arrangements of the NIEO era</w:t>
      </w:r>
      <w:r w:rsidR="00DD6730" w:rsidRPr="008A16E7">
        <w:t xml:space="preserve"> as well as national industrial policies proliferating across developed and developing economies</w:t>
      </w:r>
      <w:r w:rsidR="00D40ACE" w:rsidRPr="008A16E7">
        <w:t xml:space="preserve">. While </w:t>
      </w:r>
      <w:r w:rsidR="00DD6730" w:rsidRPr="008A16E7">
        <w:t xml:space="preserve">outcomes of </w:t>
      </w:r>
      <w:r w:rsidR="001F189F" w:rsidRPr="008A16E7">
        <w:t xml:space="preserve">the </w:t>
      </w:r>
      <w:r w:rsidR="00DD6730" w:rsidRPr="008A16E7">
        <w:t>ongoing</w:t>
      </w:r>
      <w:r w:rsidR="00D40ACE" w:rsidRPr="008A16E7">
        <w:t xml:space="preserve"> efforts to </w:t>
      </w:r>
      <w:r w:rsidR="008A16E7" w:rsidRPr="008A16E7">
        <w:t>rein</w:t>
      </w:r>
      <w:r w:rsidR="00D40ACE" w:rsidRPr="008A16E7">
        <w:t xml:space="preserve"> in corporate actors </w:t>
      </w:r>
      <w:r w:rsidR="00DD6730" w:rsidRPr="008A16E7">
        <w:t xml:space="preserve">so far </w:t>
      </w:r>
      <w:r w:rsidR="00D40ACE" w:rsidRPr="008A16E7">
        <w:t xml:space="preserve">may engender </w:t>
      </w:r>
      <w:proofErr w:type="spellStart"/>
      <w:r w:rsidR="00D40ACE" w:rsidRPr="008A16E7">
        <w:t>scepticism</w:t>
      </w:r>
      <w:proofErr w:type="spellEnd"/>
      <w:r w:rsidR="00D40ACE" w:rsidRPr="008A16E7">
        <w:t xml:space="preserve">, cynicism and a degree of despair, </w:t>
      </w:r>
      <w:r w:rsidR="00F61C10" w:rsidRPr="008A16E7">
        <w:t xml:space="preserve">governments in both developed and developing states have </w:t>
      </w:r>
      <w:r w:rsidR="008A16E7" w:rsidRPr="008A16E7">
        <w:t xml:space="preserve">at various stages in the recent past </w:t>
      </w:r>
      <w:r w:rsidR="00F61C10" w:rsidRPr="008A16E7">
        <w:t>been able to abandon and renegotiate what was at the time regarded as outdated agreements with foreign investors.</w:t>
      </w:r>
      <w:r w:rsidR="00DD6730" w:rsidRPr="008A16E7">
        <w:t xml:space="preserve"> To overcome the reluctance to make investor obligations part and parcel of new investment treaties, </w:t>
      </w:r>
      <w:r w:rsidR="009D08F5" w:rsidRPr="008A16E7">
        <w:t>it is vital</w:t>
      </w:r>
      <w:r w:rsidR="00DD6730" w:rsidRPr="008A16E7">
        <w:t xml:space="preserve"> to not only address </w:t>
      </w:r>
      <w:r w:rsidR="008A16E7" w:rsidRPr="008A16E7">
        <w:t>the</w:t>
      </w:r>
      <w:r w:rsidR="00DD6730" w:rsidRPr="008A16E7">
        <w:t xml:space="preserve"> lack of political will</w:t>
      </w:r>
      <w:r w:rsidR="007F2568">
        <w:t>,</w:t>
      </w:r>
      <w:r w:rsidR="00DD6730" w:rsidRPr="008A16E7">
        <w:t xml:space="preserve"> but also the presently fragmented research agenda whereby discussions on corporate responsibilities towards local communities are held in discrete fora by disparate epistemic communities. </w:t>
      </w:r>
    </w:p>
    <w:sectPr w:rsidR="00FC5797" w:rsidRPr="008A16E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8E126" w14:textId="77777777" w:rsidR="00122122" w:rsidRDefault="00122122" w:rsidP="004177D7">
      <w:r>
        <w:separator/>
      </w:r>
    </w:p>
  </w:endnote>
  <w:endnote w:type="continuationSeparator" w:id="0">
    <w:p w14:paraId="5F6829AB" w14:textId="77777777" w:rsidR="00122122" w:rsidRDefault="00122122" w:rsidP="0041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R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
    <w:altName w:val="Calibri"/>
    <w:panose1 w:val="020B0604020202020204"/>
    <w:charset w:val="4D"/>
    <w:family w:val="auto"/>
    <w:notTrueType/>
    <w:pitch w:val="default"/>
    <w:sig w:usb0="00000003" w:usb1="00000000" w:usb2="00000000" w:usb3="00000000" w:csb0="00000001" w:csb1="00000000"/>
  </w:font>
  <w:font w:name="`ÊQ∑˛">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57504"/>
      <w:docPartObj>
        <w:docPartGallery w:val="Page Numbers (Bottom of Page)"/>
        <w:docPartUnique/>
      </w:docPartObj>
    </w:sdtPr>
    <w:sdtEndPr>
      <w:rPr>
        <w:rStyle w:val="PageNumber"/>
      </w:rPr>
    </w:sdtEndPr>
    <w:sdtContent>
      <w:p w14:paraId="10D272AF" w14:textId="77777777" w:rsidR="00447B1C" w:rsidRDefault="00BF43A3" w:rsidP="00C505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19E41" w14:textId="20DB1C1E" w:rsidR="00BF43A3" w:rsidRDefault="00BF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8777297"/>
      <w:docPartObj>
        <w:docPartGallery w:val="Page Numbers (Bottom of Page)"/>
        <w:docPartUnique/>
      </w:docPartObj>
    </w:sdtPr>
    <w:sdtEndPr>
      <w:rPr>
        <w:rStyle w:val="PageNumber"/>
        <w:rFonts w:ascii="Garamond" w:hAnsi="Garamond"/>
      </w:rPr>
    </w:sdtEndPr>
    <w:sdtContent>
      <w:p w14:paraId="004FF813" w14:textId="77777777" w:rsidR="00447B1C" w:rsidRDefault="00BF43A3" w:rsidP="00C50590">
        <w:pPr>
          <w:pStyle w:val="Footer"/>
          <w:framePr w:wrap="none" w:vAnchor="text" w:hAnchor="margin" w:xAlign="center" w:y="1"/>
          <w:rPr>
            <w:rStyle w:val="PageNumber"/>
            <w:rFonts w:ascii="Garamond" w:hAnsi="Garamond"/>
          </w:rPr>
        </w:pPr>
        <w:r w:rsidRPr="00F52332">
          <w:rPr>
            <w:rStyle w:val="PageNumber"/>
            <w:rFonts w:ascii="Garamond" w:hAnsi="Garamond"/>
          </w:rPr>
          <w:fldChar w:fldCharType="begin"/>
        </w:r>
        <w:r w:rsidRPr="00F52332">
          <w:rPr>
            <w:rStyle w:val="PageNumber"/>
            <w:rFonts w:ascii="Garamond" w:hAnsi="Garamond"/>
          </w:rPr>
          <w:instrText xml:space="preserve"> PAGE </w:instrText>
        </w:r>
        <w:r w:rsidRPr="00F52332">
          <w:rPr>
            <w:rStyle w:val="PageNumber"/>
            <w:rFonts w:ascii="Garamond" w:hAnsi="Garamond"/>
          </w:rPr>
          <w:fldChar w:fldCharType="separate"/>
        </w:r>
        <w:r w:rsidR="00B7536D">
          <w:rPr>
            <w:rStyle w:val="PageNumber"/>
            <w:rFonts w:ascii="Garamond" w:hAnsi="Garamond"/>
            <w:noProof/>
          </w:rPr>
          <w:t>2</w:t>
        </w:r>
        <w:r w:rsidRPr="00F52332">
          <w:rPr>
            <w:rStyle w:val="PageNumber"/>
            <w:rFonts w:ascii="Garamond" w:hAnsi="Garamond"/>
          </w:rPr>
          <w:fldChar w:fldCharType="end"/>
        </w:r>
      </w:p>
    </w:sdtContent>
  </w:sdt>
  <w:p w14:paraId="3A14BDBC" w14:textId="4AECFA6D" w:rsidR="00BF43A3" w:rsidRDefault="00BF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96890" w14:textId="77777777" w:rsidR="00122122" w:rsidRDefault="00122122" w:rsidP="004177D7">
      <w:r>
        <w:separator/>
      </w:r>
    </w:p>
  </w:footnote>
  <w:footnote w:type="continuationSeparator" w:id="0">
    <w:p w14:paraId="11C2089E" w14:textId="77777777" w:rsidR="00122122" w:rsidRDefault="00122122" w:rsidP="004177D7">
      <w:r>
        <w:continuationSeparator/>
      </w:r>
    </w:p>
  </w:footnote>
  <w:footnote w:id="1">
    <w:p w14:paraId="09396863" w14:textId="27E63BAD"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P</w:t>
      </w:r>
      <w:r w:rsidR="0091606C" w:rsidRPr="005A6DA1">
        <w:rPr>
          <w:color w:val="000000" w:themeColor="text1"/>
        </w:rPr>
        <w:t xml:space="preserve"> </w:t>
      </w:r>
      <w:r w:rsidRPr="005A6DA1">
        <w:rPr>
          <w:color w:val="000000" w:themeColor="text1"/>
        </w:rPr>
        <w:t xml:space="preserve">Salmon, ‘Repression </w:t>
      </w:r>
      <w:r w:rsidR="004C4A2B" w:rsidRPr="005A6DA1">
        <w:rPr>
          <w:color w:val="000000" w:themeColor="text1"/>
        </w:rPr>
        <w:t>I</w:t>
      </w:r>
      <w:r w:rsidRPr="005A6DA1">
        <w:rPr>
          <w:color w:val="000000" w:themeColor="text1"/>
        </w:rPr>
        <w:t xml:space="preserve">ntensifies </w:t>
      </w:r>
      <w:r w:rsidR="00CF490D" w:rsidRPr="005A6DA1">
        <w:rPr>
          <w:color w:val="000000" w:themeColor="text1"/>
        </w:rPr>
        <w:t>A</w:t>
      </w:r>
      <w:r w:rsidRPr="005A6DA1">
        <w:rPr>
          <w:color w:val="000000" w:themeColor="text1"/>
        </w:rPr>
        <w:t xml:space="preserve">gainst Kazakh </w:t>
      </w:r>
      <w:r w:rsidR="004C4A2B" w:rsidRPr="005A6DA1">
        <w:rPr>
          <w:color w:val="000000" w:themeColor="text1"/>
        </w:rPr>
        <w:t>O</w:t>
      </w:r>
      <w:r w:rsidRPr="005A6DA1">
        <w:rPr>
          <w:color w:val="000000" w:themeColor="text1"/>
        </w:rPr>
        <w:t xml:space="preserve">il </w:t>
      </w:r>
      <w:r w:rsidR="004C4A2B" w:rsidRPr="005A6DA1">
        <w:rPr>
          <w:color w:val="000000" w:themeColor="text1"/>
        </w:rPr>
        <w:t>W</w:t>
      </w:r>
      <w:r w:rsidRPr="005A6DA1">
        <w:rPr>
          <w:color w:val="000000" w:themeColor="text1"/>
        </w:rPr>
        <w:t>orkers</w:t>
      </w:r>
      <w:r w:rsidR="004C4A2B" w:rsidRPr="005A6DA1">
        <w:rPr>
          <w:color w:val="000000" w:themeColor="text1"/>
        </w:rPr>
        <w:t>’</w:t>
      </w:r>
      <w:r w:rsidRPr="005A6DA1">
        <w:rPr>
          <w:color w:val="000000" w:themeColor="text1"/>
        </w:rPr>
        <w:t xml:space="preserve"> </w:t>
      </w:r>
      <w:r w:rsidR="004C4A2B" w:rsidRPr="005A6DA1">
        <w:rPr>
          <w:color w:val="000000" w:themeColor="text1"/>
        </w:rPr>
        <w:t>U</w:t>
      </w:r>
      <w:r w:rsidRPr="005A6DA1">
        <w:rPr>
          <w:color w:val="000000" w:themeColor="text1"/>
        </w:rPr>
        <w:t xml:space="preserve">prising’ (2011) 19 </w:t>
      </w:r>
      <w:r w:rsidRPr="005A6DA1">
        <w:rPr>
          <w:i/>
          <w:iCs/>
          <w:color w:val="000000" w:themeColor="text1"/>
        </w:rPr>
        <w:t>Journal of Contemporary Central and Eastern Europe</w:t>
      </w:r>
      <w:r w:rsidRPr="005A6DA1">
        <w:rPr>
          <w:color w:val="000000" w:themeColor="text1"/>
        </w:rPr>
        <w:t xml:space="preserve"> 507.</w:t>
      </w:r>
    </w:p>
  </w:footnote>
  <w:footnote w:id="2">
    <w:p w14:paraId="5EF0B5A0" w14:textId="428B391C"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D </w:t>
      </w:r>
      <w:proofErr w:type="spellStart"/>
      <w:r w:rsidRPr="005A6DA1">
        <w:rPr>
          <w:color w:val="000000" w:themeColor="text1"/>
        </w:rPr>
        <w:t>Satpayev</w:t>
      </w:r>
      <w:proofErr w:type="spellEnd"/>
      <w:r w:rsidRPr="005A6DA1">
        <w:rPr>
          <w:color w:val="000000" w:themeColor="text1"/>
        </w:rPr>
        <w:t xml:space="preserve"> and T </w:t>
      </w:r>
      <w:proofErr w:type="spellStart"/>
      <w:r w:rsidRPr="005A6DA1">
        <w:rPr>
          <w:color w:val="000000" w:themeColor="text1"/>
        </w:rPr>
        <w:t>Umbertaliyeva</w:t>
      </w:r>
      <w:proofErr w:type="spellEnd"/>
      <w:r w:rsidRPr="005A6DA1">
        <w:rPr>
          <w:color w:val="000000" w:themeColor="text1"/>
        </w:rPr>
        <w:t xml:space="preserve">, ‘The </w:t>
      </w:r>
      <w:r w:rsidR="004C4A2B" w:rsidRPr="005A6DA1">
        <w:rPr>
          <w:color w:val="000000" w:themeColor="text1"/>
        </w:rPr>
        <w:t>P</w:t>
      </w:r>
      <w:r w:rsidRPr="005A6DA1">
        <w:rPr>
          <w:color w:val="000000" w:themeColor="text1"/>
        </w:rPr>
        <w:t xml:space="preserve">rotests in Zhanaozen and the Kazakh </w:t>
      </w:r>
      <w:r w:rsidR="004C4A2B" w:rsidRPr="005A6DA1">
        <w:rPr>
          <w:color w:val="000000" w:themeColor="text1"/>
        </w:rPr>
        <w:t>O</w:t>
      </w:r>
      <w:r w:rsidRPr="005A6DA1">
        <w:rPr>
          <w:color w:val="000000" w:themeColor="text1"/>
        </w:rPr>
        <w:t xml:space="preserve">il </w:t>
      </w:r>
      <w:r w:rsidR="004C4A2B" w:rsidRPr="005A6DA1">
        <w:rPr>
          <w:color w:val="000000" w:themeColor="text1"/>
        </w:rPr>
        <w:t>S</w:t>
      </w:r>
      <w:r w:rsidRPr="005A6DA1">
        <w:rPr>
          <w:color w:val="000000" w:themeColor="text1"/>
        </w:rPr>
        <w:t xml:space="preserve">ector: Conflicting </w:t>
      </w:r>
      <w:r w:rsidR="004C4A2B" w:rsidRPr="005A6DA1">
        <w:rPr>
          <w:color w:val="000000" w:themeColor="text1"/>
        </w:rPr>
        <w:t>I</w:t>
      </w:r>
      <w:r w:rsidRPr="005A6DA1">
        <w:rPr>
          <w:color w:val="000000" w:themeColor="text1"/>
        </w:rPr>
        <w:t xml:space="preserve">nterests in a </w:t>
      </w:r>
      <w:r w:rsidR="004C4A2B" w:rsidRPr="005A6DA1">
        <w:rPr>
          <w:color w:val="000000" w:themeColor="text1"/>
        </w:rPr>
        <w:t>R</w:t>
      </w:r>
      <w:r w:rsidRPr="005A6DA1">
        <w:rPr>
          <w:color w:val="000000" w:themeColor="text1"/>
        </w:rPr>
        <w:t xml:space="preserve">entier </w:t>
      </w:r>
      <w:r w:rsidR="004C4A2B" w:rsidRPr="005A6DA1">
        <w:rPr>
          <w:color w:val="000000" w:themeColor="text1"/>
        </w:rPr>
        <w:t>S</w:t>
      </w:r>
      <w:r w:rsidRPr="005A6DA1">
        <w:rPr>
          <w:color w:val="000000" w:themeColor="text1"/>
        </w:rPr>
        <w:t xml:space="preserve">tate’ (2015) 6 </w:t>
      </w:r>
      <w:r w:rsidRPr="005A6DA1">
        <w:rPr>
          <w:i/>
          <w:iCs/>
          <w:color w:val="000000" w:themeColor="text1"/>
        </w:rPr>
        <w:t>Journal of Eurasian Studies</w:t>
      </w:r>
      <w:r w:rsidRPr="005A6DA1">
        <w:rPr>
          <w:color w:val="000000" w:themeColor="text1"/>
        </w:rPr>
        <w:t xml:space="preserve"> 122.</w:t>
      </w:r>
    </w:p>
  </w:footnote>
  <w:footnote w:id="3">
    <w:p w14:paraId="3CFF0909" w14:textId="058B575D"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ibid.</w:t>
      </w:r>
    </w:p>
  </w:footnote>
  <w:footnote w:id="4">
    <w:p w14:paraId="1A692EE0" w14:textId="73E8CF1C"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WV Diaz, ‘Violence</w:t>
      </w:r>
      <w:r w:rsidR="00CF490D" w:rsidRPr="005A6DA1">
        <w:rPr>
          <w:color w:val="000000" w:themeColor="text1"/>
        </w:rPr>
        <w:t xml:space="preserve">, Power and Mining in </w:t>
      </w:r>
      <w:r w:rsidRPr="005A6DA1">
        <w:rPr>
          <w:color w:val="000000" w:themeColor="text1"/>
        </w:rPr>
        <w:t>Peru</w:t>
      </w:r>
      <w:r w:rsidR="00CF490D" w:rsidRPr="005A6DA1">
        <w:rPr>
          <w:color w:val="000000" w:themeColor="text1"/>
        </w:rPr>
        <w:t xml:space="preserve">: How has </w:t>
      </w:r>
      <w:r w:rsidRPr="005A6DA1">
        <w:rPr>
          <w:color w:val="000000" w:themeColor="text1"/>
        </w:rPr>
        <w:t xml:space="preserve">Las Bambas </w:t>
      </w:r>
      <w:r w:rsidR="00CF490D" w:rsidRPr="005A6DA1">
        <w:rPr>
          <w:color w:val="000000" w:themeColor="text1"/>
        </w:rPr>
        <w:t>Worsened Repression</w:t>
      </w:r>
      <w:r w:rsidRPr="005A6DA1">
        <w:rPr>
          <w:color w:val="000000" w:themeColor="text1"/>
        </w:rPr>
        <w:t>?’ (</w:t>
      </w:r>
      <w:r w:rsidRPr="005A6DA1">
        <w:t>Open Democracy,</w:t>
      </w:r>
      <w:r w:rsidRPr="005A6DA1">
        <w:rPr>
          <w:color w:val="000000" w:themeColor="text1"/>
        </w:rPr>
        <w:t xml:space="preserve"> 7</w:t>
      </w:r>
      <w:r w:rsidRPr="005A6DA1">
        <w:rPr>
          <w:color w:val="000000" w:themeColor="text1"/>
          <w:vertAlign w:val="superscript"/>
        </w:rPr>
        <w:t xml:space="preserve"> </w:t>
      </w:r>
      <w:r w:rsidRPr="005A6DA1">
        <w:rPr>
          <w:color w:val="000000" w:themeColor="text1"/>
        </w:rPr>
        <w:t>December 2017)</w:t>
      </w:r>
      <w:r w:rsidR="004171A6" w:rsidRPr="005A6DA1">
        <w:rPr>
          <w:color w:val="000000" w:themeColor="text1"/>
        </w:rPr>
        <w:t>, available at</w:t>
      </w:r>
      <w:r w:rsidRPr="005A6DA1">
        <w:rPr>
          <w:color w:val="000000" w:themeColor="text1"/>
        </w:rPr>
        <w:t xml:space="preserve"> </w:t>
      </w:r>
      <w:r w:rsidR="00506CEC" w:rsidRPr="005A6DA1">
        <w:t>www</w:t>
      </w:r>
      <w:r w:rsidRPr="005A6DA1">
        <w:t>.opendemocracy.net/en/las-bambas-mine-peru.</w:t>
      </w:r>
      <w:r w:rsidRPr="005A6DA1">
        <w:rPr>
          <w:color w:val="000000" w:themeColor="text1"/>
        </w:rPr>
        <w:t xml:space="preserve"> </w:t>
      </w:r>
    </w:p>
  </w:footnote>
  <w:footnote w:id="5">
    <w:p w14:paraId="7C674F12" w14:textId="513E8761"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A </w:t>
      </w:r>
      <w:proofErr w:type="spellStart"/>
      <w:r w:rsidRPr="005A6DA1">
        <w:rPr>
          <w:color w:val="000000" w:themeColor="text1"/>
        </w:rPr>
        <w:t>Maasho</w:t>
      </w:r>
      <w:proofErr w:type="spellEnd"/>
      <w:r w:rsidRPr="005A6DA1">
        <w:rPr>
          <w:color w:val="000000" w:themeColor="text1"/>
        </w:rPr>
        <w:t xml:space="preserve">, ‘Ethiopian </w:t>
      </w:r>
      <w:r w:rsidR="00CF490D" w:rsidRPr="005A6DA1">
        <w:rPr>
          <w:color w:val="000000" w:themeColor="text1"/>
        </w:rPr>
        <w:t xml:space="preserve">Protesters Attack Factories in </w:t>
      </w:r>
      <w:r w:rsidRPr="005A6DA1">
        <w:rPr>
          <w:color w:val="000000" w:themeColor="text1"/>
        </w:rPr>
        <w:t xml:space="preserve">Africa’s </w:t>
      </w:r>
      <w:r w:rsidR="00CF490D" w:rsidRPr="005A6DA1">
        <w:rPr>
          <w:color w:val="000000" w:themeColor="text1"/>
        </w:rPr>
        <w:t xml:space="preserve">Rising Economic Star’ </w:t>
      </w:r>
      <w:r w:rsidRPr="005A6DA1">
        <w:rPr>
          <w:color w:val="000000" w:themeColor="text1"/>
        </w:rPr>
        <w:t>(</w:t>
      </w:r>
      <w:r w:rsidRPr="005A6DA1">
        <w:t xml:space="preserve">Reuters, </w:t>
      </w:r>
      <w:r w:rsidRPr="005A6DA1">
        <w:rPr>
          <w:color w:val="000000" w:themeColor="text1"/>
        </w:rPr>
        <w:t>7 October 2016)</w:t>
      </w:r>
      <w:r w:rsidR="004171A6" w:rsidRPr="005A6DA1">
        <w:rPr>
          <w:color w:val="000000" w:themeColor="text1"/>
        </w:rPr>
        <w:t>, available at</w:t>
      </w:r>
      <w:r w:rsidRPr="005A6DA1">
        <w:rPr>
          <w:color w:val="000000" w:themeColor="text1"/>
        </w:rPr>
        <w:t xml:space="preserve"> &lt;</w:t>
      </w:r>
      <w:r w:rsidR="00506CEC" w:rsidRPr="005A6DA1">
        <w:rPr>
          <w:color w:val="000000" w:themeColor="text1"/>
        </w:rPr>
        <w:t>www</w:t>
      </w:r>
      <w:r w:rsidRPr="005A6DA1">
        <w:rPr>
          <w:color w:val="000000" w:themeColor="text1"/>
        </w:rPr>
        <w:t>.reuters.com/article/us-ethiopia-unrest/ethiopian-protesters-attack-factories-in-africas-rising-economic-star-idUSKCN1270MX.</w:t>
      </w:r>
    </w:p>
  </w:footnote>
  <w:footnote w:id="6">
    <w:p w14:paraId="42730088" w14:textId="0F8297D6"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See T May, ‘PM </w:t>
      </w:r>
      <w:r w:rsidR="00CF490D" w:rsidRPr="005A6DA1">
        <w:rPr>
          <w:color w:val="000000" w:themeColor="text1"/>
        </w:rPr>
        <w:t>Speech on the State of Politics’</w:t>
      </w:r>
      <w:r w:rsidRPr="005A6DA1">
        <w:rPr>
          <w:color w:val="000000" w:themeColor="text1"/>
        </w:rPr>
        <w:t>, (Prime Minister’s Office, 17 July 2019)</w:t>
      </w:r>
      <w:r w:rsidR="004171A6" w:rsidRPr="005A6DA1">
        <w:rPr>
          <w:color w:val="000000" w:themeColor="text1"/>
        </w:rPr>
        <w:t>, available at</w:t>
      </w:r>
      <w:r w:rsidRPr="005A6DA1">
        <w:rPr>
          <w:color w:val="000000" w:themeColor="text1"/>
        </w:rPr>
        <w:t xml:space="preserve"> </w:t>
      </w:r>
      <w:r w:rsidR="00506CEC" w:rsidRPr="005A6DA1">
        <w:rPr>
          <w:color w:val="000000" w:themeColor="text1"/>
        </w:rPr>
        <w:t>www</w:t>
      </w:r>
      <w:r w:rsidRPr="005A6DA1">
        <w:rPr>
          <w:color w:val="000000" w:themeColor="text1"/>
        </w:rPr>
        <w:t xml:space="preserve">.gov.uk/government/speeches/pm-speech-on-the-state-of-politics. </w:t>
      </w:r>
    </w:p>
  </w:footnote>
  <w:footnote w:id="7">
    <w:p w14:paraId="5B49688F" w14:textId="05B11329"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rFonts w:cs="Garamond"/>
          <w:color w:val="000000" w:themeColor="text1"/>
        </w:rPr>
        <w:t>HG Cohen, ‘What Is International Trade Law For?’ (2018</w:t>
      </w:r>
      <w:r w:rsidRPr="005A6DA1">
        <w:t>) Institute for International Law and Justice Working Paper 2018/6 (</w:t>
      </w:r>
      <w:proofErr w:type="spellStart"/>
      <w:r w:rsidRPr="005A6DA1">
        <w:t>MegaReg</w:t>
      </w:r>
      <w:proofErr w:type="spellEnd"/>
      <w:r w:rsidRPr="005A6DA1">
        <w:t xml:space="preserve"> Series)</w:t>
      </w:r>
      <w:r w:rsidRPr="005A6DA1">
        <w:rPr>
          <w:i/>
          <w:iCs/>
          <w:color w:val="000000" w:themeColor="text1"/>
          <w:shd w:val="clear" w:color="auto" w:fill="FFFFFF"/>
          <w:lang w:eastAsia="en-GB"/>
        </w:rPr>
        <w:t xml:space="preserve"> </w:t>
      </w:r>
      <w:r w:rsidRPr="005A6DA1">
        <w:rPr>
          <w:color w:val="000000" w:themeColor="text1"/>
        </w:rPr>
        <w:t>5</w:t>
      </w:r>
      <w:r w:rsidR="004171A6" w:rsidRPr="005A6DA1">
        <w:rPr>
          <w:color w:val="000000" w:themeColor="text1"/>
        </w:rPr>
        <w:t>, available at</w:t>
      </w:r>
      <w:r w:rsidRPr="005A6DA1">
        <w:rPr>
          <w:color w:val="000000" w:themeColor="text1"/>
        </w:rPr>
        <w:t xml:space="preserve"> </w:t>
      </w:r>
      <w:r w:rsidR="00506CEC" w:rsidRPr="005A6DA1">
        <w:rPr>
          <w:color w:val="000000" w:themeColor="text1"/>
        </w:rPr>
        <w:t>www</w:t>
      </w:r>
      <w:r w:rsidRPr="005A6DA1">
        <w:rPr>
          <w:color w:val="000000" w:themeColor="text1"/>
        </w:rPr>
        <w:t>.iilj.org/wp-content/uploads/2018/12/Cohen-IILJ_2018_6-Megareg.pdf.</w:t>
      </w:r>
    </w:p>
  </w:footnote>
  <w:footnote w:id="8">
    <w:p w14:paraId="11C6D9E5" w14:textId="2C2F0E98"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G Shaffer, ‘Retooling Trade Agreements for Social Inclusion’ (2019) 2019 </w:t>
      </w:r>
      <w:r w:rsidRPr="005A6DA1">
        <w:rPr>
          <w:i/>
          <w:iCs/>
          <w:color w:val="000000" w:themeColor="text1"/>
        </w:rPr>
        <w:t>University of Illinois Law Review</w:t>
      </w:r>
      <w:r w:rsidRPr="005A6DA1">
        <w:rPr>
          <w:color w:val="000000" w:themeColor="text1"/>
        </w:rPr>
        <w:t xml:space="preserve"> 1.</w:t>
      </w:r>
    </w:p>
  </w:footnote>
  <w:footnote w:id="9">
    <w:p w14:paraId="7233417F" w14:textId="1DB09458"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See for example, </w:t>
      </w:r>
      <w:r w:rsidRPr="005A6DA1">
        <w:rPr>
          <w:color w:val="000000" w:themeColor="text1"/>
        </w:rPr>
        <w:t xml:space="preserve">K Miles, </w:t>
      </w:r>
      <w:bookmarkStart w:id="0" w:name="_Hlk486341555"/>
      <w:r w:rsidRPr="005A6DA1">
        <w:rPr>
          <w:i/>
          <w:color w:val="000000" w:themeColor="text1"/>
        </w:rPr>
        <w:t>The Origins of International Investment Law</w:t>
      </w:r>
      <w:bookmarkEnd w:id="0"/>
      <w:r w:rsidRPr="005A6DA1">
        <w:rPr>
          <w:i/>
          <w:color w:val="000000" w:themeColor="text1"/>
        </w:rPr>
        <w:t>: Empire, Environment and the Safeguarding of Capital</w:t>
      </w:r>
      <w:r w:rsidRPr="005A6DA1">
        <w:rPr>
          <w:color w:val="000000" w:themeColor="text1"/>
        </w:rPr>
        <w:t xml:space="preserve"> (Cambridge University Press</w:t>
      </w:r>
      <w:r w:rsidR="004171A6" w:rsidRPr="005A6DA1">
        <w:rPr>
          <w:color w:val="000000" w:themeColor="text1"/>
        </w:rPr>
        <w:t>,</w:t>
      </w:r>
      <w:r w:rsidRPr="005A6DA1">
        <w:rPr>
          <w:color w:val="000000" w:themeColor="text1"/>
        </w:rPr>
        <w:t xml:space="preserve"> 2013). </w:t>
      </w:r>
    </w:p>
  </w:footnote>
  <w:footnote w:id="10">
    <w:p w14:paraId="51E9B611" w14:textId="666717D5"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UNCTAD, </w:t>
      </w:r>
      <w:r w:rsidR="004171A6" w:rsidRPr="005A6DA1">
        <w:rPr>
          <w:rFonts w:cstheme="minorHAnsi"/>
          <w:color w:val="000000" w:themeColor="text1"/>
        </w:rPr>
        <w:t>‘</w:t>
      </w:r>
      <w:r w:rsidRPr="005A6DA1">
        <w:t>World Investment Report 2015: Reforming International Investment Governance</w:t>
      </w:r>
      <w:r w:rsidR="004171A6" w:rsidRPr="005A6DA1">
        <w:t>’</w:t>
      </w:r>
      <w:r w:rsidRPr="005A6DA1">
        <w:rPr>
          <w:rFonts w:cstheme="minorHAnsi"/>
          <w:iCs/>
          <w:color w:val="000000" w:themeColor="text1"/>
        </w:rPr>
        <w:t xml:space="preserve"> (United Nations Publication</w:t>
      </w:r>
      <w:r w:rsidR="004171A6" w:rsidRPr="005A6DA1">
        <w:rPr>
          <w:rFonts w:cstheme="minorHAnsi"/>
          <w:iCs/>
          <w:color w:val="000000" w:themeColor="text1"/>
        </w:rPr>
        <w:t>,</w:t>
      </w:r>
      <w:r w:rsidRPr="005A6DA1">
        <w:rPr>
          <w:rFonts w:cstheme="minorHAnsi"/>
          <w:color w:val="000000" w:themeColor="text1"/>
        </w:rPr>
        <w:t xml:space="preserve"> 2015) 126.</w:t>
      </w:r>
    </w:p>
  </w:footnote>
  <w:footnote w:id="11">
    <w:p w14:paraId="7A02FB90" w14:textId="70CFC2D7"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P Ranjan offer</w:t>
      </w:r>
      <w:r w:rsidR="004171A6" w:rsidRPr="005A6DA1">
        <w:t>s</w:t>
      </w:r>
      <w:r w:rsidRPr="005A6DA1">
        <w:t xml:space="preserve"> a detailed analysis of investor obligations in the investment treaty landscape in </w:t>
      </w:r>
      <w:proofErr w:type="spellStart"/>
      <w:r w:rsidR="004171A6" w:rsidRPr="005A6DA1">
        <w:t>c</w:t>
      </w:r>
      <w:r w:rsidRPr="005A6DA1">
        <w:t>h</w:t>
      </w:r>
      <w:proofErr w:type="spellEnd"/>
      <w:r w:rsidR="004171A6" w:rsidRPr="005A6DA1">
        <w:t xml:space="preserve"> </w:t>
      </w:r>
      <w:r w:rsidR="00342A66" w:rsidRPr="005A6DA1">
        <w:t>5</w:t>
      </w:r>
      <w:r w:rsidRPr="005A6DA1">
        <w:t xml:space="preserve"> of this volume.</w:t>
      </w:r>
    </w:p>
  </w:footnote>
  <w:footnote w:id="12">
    <w:p w14:paraId="0291BDFA" w14:textId="6046FF73"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See A Kulick, </w:t>
      </w:r>
      <w:r w:rsidRPr="005A6DA1">
        <w:rPr>
          <w:i/>
          <w:iCs/>
          <w:color w:val="000000" w:themeColor="text1"/>
        </w:rPr>
        <w:t>Global Public Interest in International Investment Law</w:t>
      </w:r>
      <w:r w:rsidRPr="005A6DA1">
        <w:rPr>
          <w:color w:val="000000" w:themeColor="text1"/>
        </w:rPr>
        <w:t xml:space="preserve"> (Cambridge University Press</w:t>
      </w:r>
      <w:r w:rsidR="00E403EF" w:rsidRPr="005A6DA1">
        <w:rPr>
          <w:color w:val="000000" w:themeColor="text1"/>
        </w:rPr>
        <w:t>,</w:t>
      </w:r>
      <w:r w:rsidRPr="005A6DA1">
        <w:rPr>
          <w:color w:val="000000" w:themeColor="text1"/>
        </w:rPr>
        <w:t xml:space="preserve"> 2012) 248.</w:t>
      </w:r>
    </w:p>
  </w:footnote>
  <w:footnote w:id="13">
    <w:p w14:paraId="298BBE04" w14:textId="69039FE0"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B </w:t>
      </w:r>
      <w:proofErr w:type="spellStart"/>
      <w:r w:rsidRPr="005A6DA1">
        <w:rPr>
          <w:color w:val="000000" w:themeColor="text1"/>
        </w:rPr>
        <w:t>Legum</w:t>
      </w:r>
      <w:proofErr w:type="spellEnd"/>
      <w:r w:rsidRPr="005A6DA1">
        <w:rPr>
          <w:color w:val="000000" w:themeColor="text1"/>
        </w:rPr>
        <w:t xml:space="preserve">, ‘Understanding Performance Requirement Prohibitions in Investment Treaties’ in AW Rovine (ed), </w:t>
      </w:r>
      <w:r w:rsidRPr="005A6DA1">
        <w:rPr>
          <w:i/>
          <w:iCs/>
          <w:color w:val="000000" w:themeColor="text1"/>
        </w:rPr>
        <w:t xml:space="preserve">Contemporary Issues in International Arbitration and Mediation </w:t>
      </w:r>
      <w:r w:rsidRPr="005A6DA1">
        <w:rPr>
          <w:color w:val="000000" w:themeColor="text1"/>
        </w:rPr>
        <w:t>(Brill</w:t>
      </w:r>
      <w:r w:rsidR="00E403EF" w:rsidRPr="005A6DA1">
        <w:rPr>
          <w:color w:val="000000" w:themeColor="text1"/>
        </w:rPr>
        <w:t>,</w:t>
      </w:r>
      <w:r w:rsidRPr="005A6DA1">
        <w:rPr>
          <w:color w:val="000000" w:themeColor="text1"/>
        </w:rPr>
        <w:t xml:space="preserve"> 2007) 53, 55</w:t>
      </w:r>
      <w:r w:rsidR="00E403EF" w:rsidRPr="005A6DA1">
        <w:rPr>
          <w:color w:val="000000" w:themeColor="text1"/>
        </w:rPr>
        <w:t>–5</w:t>
      </w:r>
      <w:r w:rsidRPr="005A6DA1">
        <w:rPr>
          <w:color w:val="000000" w:themeColor="text1"/>
        </w:rPr>
        <w:t>6.</w:t>
      </w:r>
    </w:p>
  </w:footnote>
  <w:footnote w:id="14">
    <w:p w14:paraId="4568A0B5" w14:textId="22C3867D"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M </w:t>
      </w:r>
      <w:proofErr w:type="spellStart"/>
      <w:r w:rsidRPr="005A6DA1">
        <w:rPr>
          <w:color w:val="000000" w:themeColor="text1"/>
        </w:rPr>
        <w:t>Sornarajah</w:t>
      </w:r>
      <w:proofErr w:type="spellEnd"/>
      <w:r w:rsidRPr="005A6DA1">
        <w:rPr>
          <w:color w:val="000000" w:themeColor="text1"/>
        </w:rPr>
        <w:t xml:space="preserve">, </w:t>
      </w:r>
      <w:r w:rsidRPr="005A6DA1">
        <w:rPr>
          <w:i/>
          <w:iCs/>
          <w:color w:val="000000" w:themeColor="text1"/>
        </w:rPr>
        <w:t>The International Law on Foreign Investment</w:t>
      </w:r>
      <w:r w:rsidRPr="005A6DA1">
        <w:rPr>
          <w:color w:val="000000" w:themeColor="text1"/>
        </w:rPr>
        <w:t xml:space="preserve"> (Cambridge University Press</w:t>
      </w:r>
      <w:r w:rsidR="00E403EF" w:rsidRPr="005A6DA1">
        <w:rPr>
          <w:color w:val="000000" w:themeColor="text1"/>
        </w:rPr>
        <w:t>,</w:t>
      </w:r>
      <w:r w:rsidRPr="005A6DA1">
        <w:rPr>
          <w:color w:val="000000" w:themeColor="text1"/>
        </w:rPr>
        <w:t xml:space="preserve"> 2004) 78.</w:t>
      </w:r>
    </w:p>
  </w:footnote>
  <w:footnote w:id="15">
    <w:p w14:paraId="658622C8" w14:textId="3FF29B8B"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00245AE8" w:rsidRPr="005A6DA1">
        <w:t xml:space="preserve">N Perrone, ‘Taking Local Expectations Seriously: A Fresh Start for Foreign Investment Governance?’ in JD Haskell and A Rasulov (eds), </w:t>
      </w:r>
      <w:r w:rsidR="00245AE8" w:rsidRPr="005A6DA1">
        <w:rPr>
          <w:i/>
        </w:rPr>
        <w:t>European Yearbook of International Economic Law: New Voices and New Perspectives in International Economic Law</w:t>
      </w:r>
      <w:r w:rsidR="00245AE8" w:rsidRPr="005A6DA1">
        <w:t xml:space="preserve"> (Springer</w:t>
      </w:r>
      <w:r w:rsidR="00E403EF" w:rsidRPr="005A6DA1">
        <w:t>,</w:t>
      </w:r>
      <w:r w:rsidR="00245AE8" w:rsidRPr="005A6DA1">
        <w:t xml:space="preserve"> 2020) 113.</w:t>
      </w:r>
    </w:p>
  </w:footnote>
  <w:footnote w:id="16">
    <w:p w14:paraId="1293B88D" w14:textId="662130F9"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This theme will be explored further by </w:t>
      </w:r>
      <w:proofErr w:type="spellStart"/>
      <w:r w:rsidRPr="005A6DA1">
        <w:rPr>
          <w:rFonts w:cstheme="minorHAnsi"/>
          <w:color w:val="000000" w:themeColor="text1"/>
        </w:rPr>
        <w:t>Cotula</w:t>
      </w:r>
      <w:proofErr w:type="spellEnd"/>
      <w:r w:rsidRPr="005A6DA1">
        <w:rPr>
          <w:rFonts w:cstheme="minorHAnsi"/>
          <w:color w:val="000000" w:themeColor="text1"/>
        </w:rPr>
        <w:t xml:space="preserve"> and Perrone in </w:t>
      </w:r>
      <w:proofErr w:type="spellStart"/>
      <w:r w:rsidR="00E403EF" w:rsidRPr="005A6DA1">
        <w:rPr>
          <w:rFonts w:cstheme="minorHAnsi"/>
          <w:color w:val="000000" w:themeColor="text1"/>
        </w:rPr>
        <w:t>c</w:t>
      </w:r>
      <w:r w:rsidRPr="005A6DA1">
        <w:rPr>
          <w:rFonts w:cstheme="minorHAnsi"/>
          <w:color w:val="000000" w:themeColor="text1"/>
        </w:rPr>
        <w:t>h</w:t>
      </w:r>
      <w:proofErr w:type="spellEnd"/>
      <w:r w:rsidR="005A6287" w:rsidRPr="005A6DA1">
        <w:rPr>
          <w:rFonts w:cstheme="minorHAnsi"/>
          <w:color w:val="000000" w:themeColor="text1"/>
        </w:rPr>
        <w:t xml:space="preserve"> </w:t>
      </w:r>
      <w:r w:rsidRPr="005A6DA1">
        <w:rPr>
          <w:rFonts w:cstheme="minorHAnsi"/>
          <w:color w:val="000000" w:themeColor="text1"/>
        </w:rPr>
        <w:t>3 of this volume. See also N</w:t>
      </w:r>
      <w:r w:rsidR="00777024" w:rsidRPr="005A6DA1">
        <w:rPr>
          <w:rFonts w:cstheme="minorHAnsi"/>
          <w:color w:val="000000" w:themeColor="text1"/>
        </w:rPr>
        <w:t>M</w:t>
      </w:r>
      <w:r w:rsidRPr="005A6DA1">
        <w:rPr>
          <w:rFonts w:cstheme="minorHAnsi"/>
          <w:color w:val="000000" w:themeColor="text1"/>
        </w:rPr>
        <w:t xml:space="preserve"> Perrone, ‘</w:t>
      </w:r>
      <w:r w:rsidRPr="005A6DA1">
        <w:rPr>
          <w:color w:val="000000" w:themeColor="text1"/>
          <w:lang w:eastAsia="en-GB"/>
        </w:rPr>
        <w:t xml:space="preserve">The </w:t>
      </w:r>
      <w:r w:rsidR="00E403EF" w:rsidRPr="005A6DA1">
        <w:rPr>
          <w:color w:val="000000" w:themeColor="text1"/>
          <w:lang w:eastAsia="en-GB"/>
        </w:rPr>
        <w:t>“</w:t>
      </w:r>
      <w:r w:rsidRPr="005A6DA1">
        <w:rPr>
          <w:color w:val="000000" w:themeColor="text1"/>
          <w:lang w:eastAsia="en-GB"/>
        </w:rPr>
        <w:t>Invisible</w:t>
      </w:r>
      <w:r w:rsidR="00E403EF" w:rsidRPr="005A6DA1">
        <w:rPr>
          <w:color w:val="000000" w:themeColor="text1"/>
          <w:lang w:eastAsia="en-GB"/>
        </w:rPr>
        <w:t>”</w:t>
      </w:r>
      <w:r w:rsidRPr="005A6DA1">
        <w:rPr>
          <w:color w:val="000000" w:themeColor="text1"/>
          <w:lang w:eastAsia="en-GB"/>
        </w:rPr>
        <w:t xml:space="preserve"> Local Communities: Foreign Investor Obligations, Inclusiveness, and the International Investment Regime’ (2019) 113 </w:t>
      </w:r>
      <w:r w:rsidRPr="005A6DA1">
        <w:rPr>
          <w:rFonts w:cstheme="minorHAnsi"/>
          <w:i/>
          <w:iCs/>
          <w:color w:val="000000" w:themeColor="text1"/>
        </w:rPr>
        <w:t>American Journal of International Law Unbound</w:t>
      </w:r>
      <w:r w:rsidRPr="005A6DA1">
        <w:rPr>
          <w:rFonts w:cstheme="minorHAnsi"/>
          <w:color w:val="000000" w:themeColor="text1"/>
        </w:rPr>
        <w:t xml:space="preserve"> 16.</w:t>
      </w:r>
    </w:p>
  </w:footnote>
  <w:footnote w:id="17">
    <w:p w14:paraId="514FC746" w14:textId="70EF118D"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Cohen</w:t>
      </w:r>
      <w:r w:rsidR="00E403EF" w:rsidRPr="005A6DA1">
        <w:rPr>
          <w:rFonts w:cs="Garamond"/>
          <w:color w:val="000000" w:themeColor="text1"/>
        </w:rPr>
        <w:t>, ‘What Is International Trade Law For?’ (2018</w:t>
      </w:r>
      <w:r w:rsidR="00E403EF" w:rsidRPr="005A6DA1">
        <w:t>)</w:t>
      </w:r>
      <w:r w:rsidRPr="005A6DA1">
        <w:rPr>
          <w:color w:val="000000" w:themeColor="text1"/>
        </w:rPr>
        <w:t xml:space="preserve"> 7.</w:t>
      </w:r>
    </w:p>
  </w:footnote>
  <w:footnote w:id="18">
    <w:p w14:paraId="7C9CB273" w14:textId="7857109B"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color w:val="000000" w:themeColor="text1"/>
        </w:rPr>
        <w:t xml:space="preserve">NM Perrone and D Schneiderman, ‘A </w:t>
      </w:r>
      <w:r w:rsidR="00CF490D" w:rsidRPr="005A6DA1">
        <w:rPr>
          <w:color w:val="000000" w:themeColor="text1"/>
        </w:rPr>
        <w:t xml:space="preserve">Critique of International Economic Law: Depoliticization, Inequality, Precarity’ </w:t>
      </w:r>
      <w:r w:rsidRPr="005A6DA1">
        <w:rPr>
          <w:color w:val="000000" w:themeColor="text1"/>
        </w:rPr>
        <w:t xml:space="preserve">in </w:t>
      </w:r>
      <w:r w:rsidRPr="005A6DA1">
        <w:rPr>
          <w:color w:val="000000" w:themeColor="text1"/>
          <w:shd w:val="clear" w:color="auto" w:fill="FFFFFF"/>
          <w:lang w:eastAsia="en-GB"/>
        </w:rPr>
        <w:t xml:space="preserve">E </w:t>
      </w:r>
      <w:proofErr w:type="spellStart"/>
      <w:r w:rsidRPr="005A6DA1">
        <w:rPr>
          <w:color w:val="000000" w:themeColor="text1"/>
          <w:shd w:val="clear" w:color="auto" w:fill="FFFFFF"/>
          <w:lang w:eastAsia="en-GB"/>
        </w:rPr>
        <w:t>Christodoulidis</w:t>
      </w:r>
      <w:proofErr w:type="spellEnd"/>
      <w:r w:rsidRPr="005A6DA1">
        <w:rPr>
          <w:color w:val="000000" w:themeColor="text1"/>
          <w:shd w:val="clear" w:color="auto" w:fill="FFFFFF"/>
          <w:lang w:eastAsia="en-GB"/>
        </w:rPr>
        <w:t xml:space="preserve">, R Dukes </w:t>
      </w:r>
      <w:r w:rsidR="004A0E50" w:rsidRPr="005A6DA1">
        <w:rPr>
          <w:color w:val="000000" w:themeColor="text1"/>
          <w:shd w:val="clear" w:color="auto" w:fill="FFFFFF"/>
          <w:lang w:eastAsia="en-GB"/>
        </w:rPr>
        <w:t xml:space="preserve">and </w:t>
      </w:r>
      <w:r w:rsidRPr="005A6DA1">
        <w:rPr>
          <w:color w:val="000000" w:themeColor="text1"/>
          <w:shd w:val="clear" w:color="auto" w:fill="FFFFFF"/>
          <w:lang w:eastAsia="en-GB"/>
        </w:rPr>
        <w:t>M Goldoni (eds),</w:t>
      </w:r>
      <w:r w:rsidRPr="005A6DA1">
        <w:rPr>
          <w:i/>
          <w:iCs/>
          <w:color w:val="000000" w:themeColor="text1"/>
          <w:lang w:eastAsia="en-GB"/>
        </w:rPr>
        <w:t xml:space="preserve"> Research Handbook on Critical Legal Theory</w:t>
      </w:r>
      <w:r w:rsidRPr="005A6DA1">
        <w:rPr>
          <w:color w:val="000000" w:themeColor="text1"/>
          <w:shd w:val="clear" w:color="auto" w:fill="FFFFFF"/>
          <w:lang w:eastAsia="en-GB"/>
        </w:rPr>
        <w:t xml:space="preserve"> (Edward Elgar</w:t>
      </w:r>
      <w:r w:rsidR="004A0E50" w:rsidRPr="005A6DA1">
        <w:rPr>
          <w:color w:val="000000" w:themeColor="text1"/>
          <w:shd w:val="clear" w:color="auto" w:fill="FFFFFF"/>
          <w:lang w:eastAsia="en-GB"/>
        </w:rPr>
        <w:t>,</w:t>
      </w:r>
      <w:r w:rsidRPr="005A6DA1">
        <w:rPr>
          <w:color w:val="000000" w:themeColor="text1"/>
          <w:shd w:val="clear" w:color="auto" w:fill="FFFFFF"/>
          <w:lang w:eastAsia="en-GB"/>
        </w:rPr>
        <w:t xml:space="preserve"> 2019).</w:t>
      </w:r>
    </w:p>
  </w:footnote>
  <w:footnote w:id="19">
    <w:p w14:paraId="26240046" w14:textId="070643E6"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A similar observation is made in the international trade context by Cohen</w:t>
      </w:r>
      <w:r w:rsidR="004A0E50" w:rsidRPr="005A6DA1">
        <w:rPr>
          <w:color w:val="000000" w:themeColor="text1"/>
        </w:rPr>
        <w:t xml:space="preserve"> (n 7)</w:t>
      </w:r>
      <w:r w:rsidRPr="005A6DA1">
        <w:rPr>
          <w:color w:val="000000" w:themeColor="text1"/>
        </w:rPr>
        <w:t>.</w:t>
      </w:r>
    </w:p>
  </w:footnote>
  <w:footnote w:id="20">
    <w:p w14:paraId="49CFB412" w14:textId="1B0B690E"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E </w:t>
      </w:r>
      <w:proofErr w:type="spellStart"/>
      <w:r w:rsidRPr="005A6DA1">
        <w:rPr>
          <w:color w:val="000000" w:themeColor="text1"/>
        </w:rPr>
        <w:t>Aisbett</w:t>
      </w:r>
      <w:proofErr w:type="spellEnd"/>
      <w:r w:rsidRPr="005A6DA1">
        <w:rPr>
          <w:color w:val="000000" w:themeColor="text1"/>
        </w:rPr>
        <w:t xml:space="preserve"> and others, </w:t>
      </w:r>
      <w:r w:rsidRPr="005A6DA1">
        <w:rPr>
          <w:i/>
          <w:iCs/>
          <w:color w:val="000000" w:themeColor="text1"/>
        </w:rPr>
        <w:t>Rethinking International Investment Governance: Principles for the 21st Century</w:t>
      </w:r>
      <w:r w:rsidRPr="005A6DA1">
        <w:rPr>
          <w:color w:val="000000" w:themeColor="text1"/>
        </w:rPr>
        <w:t xml:space="preserve"> (Columbia University</w:t>
      </w:r>
      <w:r w:rsidR="004A0E50" w:rsidRPr="005A6DA1">
        <w:rPr>
          <w:color w:val="000000" w:themeColor="text1"/>
        </w:rPr>
        <w:t>,</w:t>
      </w:r>
      <w:r w:rsidRPr="005A6DA1">
        <w:rPr>
          <w:color w:val="000000" w:themeColor="text1"/>
        </w:rPr>
        <w:t xml:space="preserve"> 2018) 78. </w:t>
      </w:r>
    </w:p>
  </w:footnote>
  <w:footnote w:id="21">
    <w:p w14:paraId="222A90FA" w14:textId="4083FFB9"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As one interviewee put it, </w:t>
      </w:r>
      <w:r w:rsidR="00BD246E" w:rsidRPr="005A6DA1">
        <w:rPr>
          <w:rFonts w:cstheme="minorHAnsi"/>
          <w:color w:val="000000" w:themeColor="text1"/>
        </w:rPr>
        <w:t>‘</w:t>
      </w:r>
      <w:r w:rsidRPr="005A6DA1">
        <w:rPr>
          <w:rFonts w:cstheme="minorHAnsi"/>
          <w:color w:val="000000" w:themeColor="text1"/>
        </w:rPr>
        <w:t>foreign investors are … known for their lobbying and otherwise influencing the government to get the outcome they want, for instance a hands-off regulation of a relevant industry</w:t>
      </w:r>
      <w:r w:rsidR="00BD246E" w:rsidRPr="005A6DA1">
        <w:rPr>
          <w:rFonts w:cstheme="minorHAnsi"/>
          <w:color w:val="000000" w:themeColor="text1"/>
        </w:rPr>
        <w:t>’</w:t>
      </w:r>
      <w:r w:rsidR="004A0E50" w:rsidRPr="005A6DA1">
        <w:rPr>
          <w:rFonts w:cstheme="minorHAnsi"/>
          <w:color w:val="000000" w:themeColor="text1"/>
        </w:rPr>
        <w:t>.</w:t>
      </w:r>
      <w:r w:rsidRPr="005A6DA1">
        <w:rPr>
          <w:rFonts w:cstheme="minorHAnsi"/>
          <w:color w:val="000000" w:themeColor="text1"/>
        </w:rPr>
        <w:t xml:space="preserve"> See M Sattorova, ‘</w:t>
      </w:r>
      <w:hyperlink r:id="rId1" w:history="1">
        <w:r w:rsidRPr="005A6DA1">
          <w:rPr>
            <w:rFonts w:cstheme="minorHAnsi"/>
            <w:color w:val="000000" w:themeColor="text1"/>
          </w:rPr>
          <w:t>Investor Responsibilities from a Host State Perspective: Qualitative Data and Proposals for Treaty Reform</w:t>
        </w:r>
      </w:hyperlink>
      <w:r w:rsidRPr="005A6DA1">
        <w:rPr>
          <w:rFonts w:cstheme="minorHAnsi"/>
          <w:color w:val="000000" w:themeColor="text1"/>
        </w:rPr>
        <w:t xml:space="preserve">’ (2019) 113 </w:t>
      </w:r>
      <w:r w:rsidRPr="005A6DA1">
        <w:rPr>
          <w:rFonts w:cstheme="minorHAnsi"/>
          <w:i/>
          <w:iCs/>
          <w:color w:val="000000" w:themeColor="text1"/>
        </w:rPr>
        <w:t>American Journal of International Law Unbound</w:t>
      </w:r>
      <w:r w:rsidRPr="005A6DA1">
        <w:rPr>
          <w:rFonts w:cstheme="minorHAnsi"/>
          <w:color w:val="000000" w:themeColor="text1"/>
        </w:rPr>
        <w:t xml:space="preserve"> 22, 23.</w:t>
      </w:r>
    </w:p>
  </w:footnote>
  <w:footnote w:id="22">
    <w:p w14:paraId="1F485E3B" w14:textId="72D1FEB6"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Shaffer</w:t>
      </w:r>
      <w:r w:rsidR="004A0E50" w:rsidRPr="005A6DA1">
        <w:rPr>
          <w:color w:val="000000" w:themeColor="text1"/>
        </w:rPr>
        <w:t>, ‘Retooling Trade Agreements’ (2019)</w:t>
      </w:r>
      <w:r w:rsidRPr="005A6DA1">
        <w:rPr>
          <w:color w:val="000000" w:themeColor="text1"/>
        </w:rPr>
        <w:t xml:space="preserve"> 3.</w:t>
      </w:r>
    </w:p>
  </w:footnote>
  <w:footnote w:id="23">
    <w:p w14:paraId="4CAA1E3F" w14:textId="24347B29"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ibid.</w:t>
      </w:r>
    </w:p>
  </w:footnote>
  <w:footnote w:id="24">
    <w:p w14:paraId="1ECD0549" w14:textId="2F0F8D49"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ibid 2.</w:t>
      </w:r>
    </w:p>
  </w:footnote>
  <w:footnote w:id="25">
    <w:p w14:paraId="1B46636F" w14:textId="1CA4EB1D"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ibid 25.</w:t>
      </w:r>
    </w:p>
  </w:footnote>
  <w:footnote w:id="26">
    <w:p w14:paraId="2ECEF4A3" w14:textId="51A09A6E"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rPr>
          <w:color w:val="000000" w:themeColor="text1"/>
        </w:rPr>
        <w:t xml:space="preserve">KN </w:t>
      </w:r>
      <w:proofErr w:type="spellStart"/>
      <w:r w:rsidRPr="005A6DA1">
        <w:rPr>
          <w:color w:val="000000" w:themeColor="text1"/>
        </w:rPr>
        <w:t>Schefer</w:t>
      </w:r>
      <w:proofErr w:type="spellEnd"/>
      <w:r w:rsidRPr="005A6DA1">
        <w:rPr>
          <w:color w:val="000000" w:themeColor="text1"/>
        </w:rPr>
        <w:t xml:space="preserve">, ‘The Law of Investment Protection and Poverty Reduction’ in </w:t>
      </w:r>
      <w:r w:rsidRPr="005A6DA1">
        <w:rPr>
          <w:color w:val="000000" w:themeColor="text1"/>
          <w:lang w:eastAsia="en-GB"/>
        </w:rPr>
        <w:t xml:space="preserve">SW </w:t>
      </w:r>
      <w:proofErr w:type="spellStart"/>
      <w:r w:rsidRPr="005A6DA1">
        <w:rPr>
          <w:color w:val="000000" w:themeColor="text1"/>
          <w:lang w:eastAsia="en-GB"/>
        </w:rPr>
        <w:t>Schill</w:t>
      </w:r>
      <w:proofErr w:type="spellEnd"/>
      <w:r w:rsidRPr="005A6DA1">
        <w:rPr>
          <w:color w:val="000000" w:themeColor="text1"/>
          <w:lang w:eastAsia="en-GB"/>
        </w:rPr>
        <w:t xml:space="preserve">, CJ Tams </w:t>
      </w:r>
      <w:r w:rsidR="00A37637" w:rsidRPr="005A6DA1">
        <w:rPr>
          <w:color w:val="000000" w:themeColor="text1"/>
          <w:lang w:eastAsia="en-GB"/>
        </w:rPr>
        <w:t xml:space="preserve">and </w:t>
      </w:r>
      <w:r w:rsidRPr="005A6DA1">
        <w:rPr>
          <w:color w:val="000000" w:themeColor="text1"/>
          <w:lang w:eastAsia="en-GB"/>
        </w:rPr>
        <w:t xml:space="preserve">R Hofmann (eds), </w:t>
      </w:r>
      <w:r w:rsidRPr="005A6DA1">
        <w:rPr>
          <w:i/>
          <w:color w:val="000000" w:themeColor="text1"/>
          <w:lang w:eastAsia="en-GB"/>
        </w:rPr>
        <w:t xml:space="preserve">International Investment Law and Development: Bridging the Gap </w:t>
      </w:r>
      <w:r w:rsidRPr="005A6DA1">
        <w:rPr>
          <w:iCs/>
          <w:color w:val="000000" w:themeColor="text1"/>
          <w:lang w:eastAsia="en-GB"/>
        </w:rPr>
        <w:t>(</w:t>
      </w:r>
      <w:r w:rsidRPr="005A6DA1">
        <w:rPr>
          <w:color w:val="000000" w:themeColor="text1"/>
          <w:lang w:eastAsia="en-GB"/>
        </w:rPr>
        <w:t>Edward Elgar</w:t>
      </w:r>
      <w:r w:rsidR="00A37637" w:rsidRPr="005A6DA1">
        <w:rPr>
          <w:color w:val="000000" w:themeColor="text1"/>
          <w:lang w:eastAsia="en-GB"/>
        </w:rPr>
        <w:t>,</w:t>
      </w:r>
      <w:r w:rsidRPr="005A6DA1">
        <w:rPr>
          <w:color w:val="000000" w:themeColor="text1"/>
          <w:lang w:eastAsia="en-GB"/>
        </w:rPr>
        <w:t xml:space="preserve"> 2015) 380.</w:t>
      </w:r>
    </w:p>
  </w:footnote>
  <w:footnote w:id="27">
    <w:p w14:paraId="6EA6F2DA" w14:textId="16D27C4F" w:rsidR="00BF43A3" w:rsidRPr="005A6DA1" w:rsidRDefault="00BF43A3" w:rsidP="0091606C">
      <w:pPr>
        <w:pStyle w:val="FootnoteText"/>
        <w:rPr>
          <w:color w:val="000000" w:themeColor="text1"/>
        </w:rPr>
      </w:pPr>
      <w:r w:rsidRPr="005A6DA1">
        <w:rPr>
          <w:rStyle w:val="FootnoteReference"/>
          <w:rFonts w:ascii="Garamond" w:hAnsi="Garamond"/>
          <w:szCs w:val="20"/>
        </w:rPr>
        <w:footnoteRef/>
      </w:r>
      <w:r w:rsidR="00AB337E" w:rsidRPr="005A6DA1">
        <w:t xml:space="preserve"> </w:t>
      </w:r>
      <w:r w:rsidRPr="005A6DA1">
        <w:t xml:space="preserve">GS Akpan, ‘Host State Legal and Policy Responses to Resource Control Claims by Host Communities: Implications for Investment in the Natural Resources Sector’ in </w:t>
      </w:r>
      <w:r w:rsidRPr="005A6DA1">
        <w:rPr>
          <w:rFonts w:cs="Arial"/>
          <w:color w:val="000000" w:themeColor="text1"/>
          <w:shd w:val="clear" w:color="auto" w:fill="FFFFFF"/>
          <w:lang w:eastAsia="en-GB"/>
        </w:rPr>
        <w:t xml:space="preserve">E </w:t>
      </w:r>
      <w:proofErr w:type="spellStart"/>
      <w:r w:rsidRPr="005A6DA1">
        <w:rPr>
          <w:rFonts w:cs="Arial"/>
          <w:color w:val="000000" w:themeColor="text1"/>
          <w:shd w:val="clear" w:color="auto" w:fill="FFFFFF"/>
          <w:lang w:eastAsia="en-GB"/>
        </w:rPr>
        <w:t>Bastida</w:t>
      </w:r>
      <w:proofErr w:type="spellEnd"/>
      <w:r w:rsidRPr="005A6DA1">
        <w:rPr>
          <w:rFonts w:cs="Arial"/>
          <w:color w:val="000000" w:themeColor="text1"/>
          <w:shd w:val="clear" w:color="auto" w:fill="FFFFFF"/>
          <w:lang w:eastAsia="en-GB"/>
        </w:rPr>
        <w:t xml:space="preserve">, </w:t>
      </w:r>
      <w:r w:rsidRPr="005A6DA1">
        <w:rPr>
          <w:color w:val="000000" w:themeColor="text1"/>
          <w:shd w:val="clear" w:color="auto" w:fill="FFFFFF"/>
          <w:lang w:eastAsia="en-GB"/>
        </w:rPr>
        <w:t>‎</w:t>
      </w:r>
      <w:r w:rsidRPr="005A6DA1">
        <w:rPr>
          <w:rFonts w:cs="Arial"/>
          <w:color w:val="000000" w:themeColor="text1"/>
          <w:shd w:val="clear" w:color="auto" w:fill="FFFFFF"/>
          <w:lang w:eastAsia="en-GB"/>
        </w:rPr>
        <w:t xml:space="preserve">TW </w:t>
      </w:r>
      <w:proofErr w:type="spellStart"/>
      <w:r w:rsidRPr="005A6DA1">
        <w:rPr>
          <w:rFonts w:cs="Arial"/>
          <w:color w:val="000000" w:themeColor="text1"/>
          <w:shd w:val="clear" w:color="auto" w:fill="FFFFFF"/>
          <w:lang w:eastAsia="en-GB"/>
        </w:rPr>
        <w:t>Waelde</w:t>
      </w:r>
      <w:proofErr w:type="spellEnd"/>
      <w:r w:rsidRPr="005A6DA1">
        <w:rPr>
          <w:rFonts w:cs="Arial"/>
          <w:color w:val="000000" w:themeColor="text1"/>
          <w:shd w:val="clear" w:color="auto" w:fill="FFFFFF"/>
          <w:lang w:eastAsia="en-GB"/>
        </w:rPr>
        <w:t xml:space="preserve"> </w:t>
      </w:r>
      <w:r w:rsidR="00A37637" w:rsidRPr="005A6DA1">
        <w:rPr>
          <w:rFonts w:cs="Arial"/>
          <w:color w:val="000000" w:themeColor="text1"/>
          <w:shd w:val="clear" w:color="auto" w:fill="FFFFFF"/>
          <w:lang w:eastAsia="en-GB"/>
        </w:rPr>
        <w:t xml:space="preserve">and </w:t>
      </w:r>
      <w:r w:rsidRPr="005A6DA1">
        <w:rPr>
          <w:color w:val="000000" w:themeColor="text1"/>
          <w:shd w:val="clear" w:color="auto" w:fill="FFFFFF"/>
          <w:lang w:eastAsia="en-GB"/>
        </w:rPr>
        <w:t>‎</w:t>
      </w:r>
      <w:r w:rsidRPr="005A6DA1">
        <w:rPr>
          <w:rFonts w:cs="Arial"/>
          <w:color w:val="000000" w:themeColor="text1"/>
          <w:shd w:val="clear" w:color="auto" w:fill="FFFFFF"/>
          <w:lang w:eastAsia="en-GB"/>
        </w:rPr>
        <w:t xml:space="preserve">J Warden-Fernández (eds), </w:t>
      </w:r>
      <w:r w:rsidRPr="005A6DA1">
        <w:rPr>
          <w:rFonts w:cs="Arial"/>
          <w:i/>
          <w:iCs/>
          <w:color w:val="000000" w:themeColor="text1"/>
          <w:shd w:val="clear" w:color="auto" w:fill="FFFFFF"/>
          <w:lang w:eastAsia="en-GB"/>
        </w:rPr>
        <w:t>International and Comparative Mineral Law and Policy</w:t>
      </w:r>
      <w:r w:rsidRPr="005A6DA1">
        <w:rPr>
          <w:rFonts w:cs="Arial"/>
          <w:color w:val="000000" w:themeColor="text1"/>
          <w:shd w:val="clear" w:color="auto" w:fill="FFFFFF"/>
          <w:lang w:eastAsia="en-GB"/>
        </w:rPr>
        <w:t xml:space="preserve"> (Kluwer Law International</w:t>
      </w:r>
      <w:r w:rsidR="00A37637" w:rsidRPr="005A6DA1">
        <w:rPr>
          <w:rFonts w:cs="Arial"/>
          <w:color w:val="000000" w:themeColor="text1"/>
          <w:shd w:val="clear" w:color="auto" w:fill="FFFFFF"/>
          <w:lang w:eastAsia="en-GB"/>
        </w:rPr>
        <w:t>,</w:t>
      </w:r>
      <w:r w:rsidRPr="005A6DA1">
        <w:rPr>
          <w:rFonts w:cs="Arial"/>
          <w:color w:val="000000" w:themeColor="text1"/>
          <w:shd w:val="clear" w:color="auto" w:fill="FFFFFF"/>
          <w:lang w:eastAsia="en-GB"/>
        </w:rPr>
        <w:t xml:space="preserve"> 2005) 284; see also </w:t>
      </w:r>
      <w:r w:rsidRPr="005A6DA1">
        <w:rPr>
          <w:color w:val="000000" w:themeColor="text1"/>
        </w:rPr>
        <w:t xml:space="preserve">GS Akpan, ‘Host Community Hostility to Mining </w:t>
      </w:r>
      <w:r w:rsidR="00DE4C4E" w:rsidRPr="005A6DA1">
        <w:rPr>
          <w:color w:val="000000" w:themeColor="text1"/>
        </w:rPr>
        <w:t>Projects</w:t>
      </w:r>
      <w:r w:rsidRPr="005A6DA1">
        <w:rPr>
          <w:color w:val="000000" w:themeColor="text1"/>
        </w:rPr>
        <w:t>: A New Generation of Risk?</w:t>
      </w:r>
      <w:r w:rsidR="008A16E7" w:rsidRPr="005A6DA1">
        <w:rPr>
          <w:color w:val="000000" w:themeColor="text1"/>
        </w:rPr>
        <w:t>’</w:t>
      </w:r>
      <w:r w:rsidRPr="005A6DA1">
        <w:rPr>
          <w:color w:val="000000" w:themeColor="text1"/>
        </w:rPr>
        <w:t xml:space="preserve"> in </w:t>
      </w:r>
      <w:r w:rsidR="00A37637" w:rsidRPr="005A6DA1">
        <w:rPr>
          <w:rFonts w:cs="Arial"/>
          <w:color w:val="000000" w:themeColor="text1"/>
          <w:shd w:val="clear" w:color="auto" w:fill="FFFFFF"/>
          <w:lang w:eastAsia="en-GB"/>
        </w:rPr>
        <w:t>the same volume,</w:t>
      </w:r>
      <w:r w:rsidRPr="005A6DA1">
        <w:rPr>
          <w:rFonts w:cs="Arial"/>
          <w:color w:val="000000" w:themeColor="text1"/>
          <w:shd w:val="clear" w:color="auto" w:fill="FFFFFF"/>
          <w:lang w:eastAsia="en-GB"/>
        </w:rPr>
        <w:t xml:space="preserve"> </w:t>
      </w:r>
      <w:r w:rsidRPr="005A6DA1">
        <w:rPr>
          <w:color w:val="000000" w:themeColor="text1"/>
        </w:rPr>
        <w:t>312.</w:t>
      </w:r>
    </w:p>
  </w:footnote>
  <w:footnote w:id="28">
    <w:p w14:paraId="56864C5D" w14:textId="68B3CA84"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005A6287" w:rsidRPr="005A6DA1">
        <w:t>C</w:t>
      </w:r>
      <w:r w:rsidR="00A37637" w:rsidRPr="005A6DA1">
        <w:t xml:space="preserve">h </w:t>
      </w:r>
      <w:r w:rsidRPr="005A6DA1">
        <w:t xml:space="preserve">3 </w:t>
      </w:r>
      <w:r w:rsidR="005A6287" w:rsidRPr="005A6DA1">
        <w:t>(</w:t>
      </w:r>
      <w:proofErr w:type="spellStart"/>
      <w:r w:rsidR="005A6287" w:rsidRPr="005A6DA1">
        <w:t>Cotula</w:t>
      </w:r>
      <w:proofErr w:type="spellEnd"/>
      <w:r w:rsidR="005A6287" w:rsidRPr="005A6DA1">
        <w:t xml:space="preserve"> and Perrone) </w:t>
      </w:r>
      <w:r w:rsidRPr="005A6DA1">
        <w:t>of this volume.</w:t>
      </w:r>
    </w:p>
  </w:footnote>
  <w:footnote w:id="29">
    <w:p w14:paraId="25A621FD" w14:textId="28AEF1A6"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See Shaffer</w:t>
      </w:r>
      <w:r w:rsidR="004A0E50" w:rsidRPr="005A6DA1">
        <w:rPr>
          <w:color w:val="000000" w:themeColor="text1"/>
        </w:rPr>
        <w:t xml:space="preserve"> (n 8) </w:t>
      </w:r>
      <w:r w:rsidRPr="005A6DA1">
        <w:rPr>
          <w:color w:val="000000" w:themeColor="text1"/>
        </w:rPr>
        <w:t>highlighting the broader objectives of the WTO Agreement</w:t>
      </w:r>
      <w:r w:rsidR="002F347A" w:rsidRPr="005A6DA1">
        <w:rPr>
          <w:color w:val="000000" w:themeColor="text1"/>
        </w:rPr>
        <w:t>,</w:t>
      </w:r>
      <w:r w:rsidRPr="005A6DA1">
        <w:rPr>
          <w:color w:val="000000" w:themeColor="text1"/>
        </w:rPr>
        <w:t xml:space="preserve"> the principal aim of which is </w:t>
      </w:r>
      <w:r w:rsidR="00BD246E" w:rsidRPr="005A6DA1">
        <w:rPr>
          <w:color w:val="000000" w:themeColor="text1"/>
        </w:rPr>
        <w:t>‘</w:t>
      </w:r>
      <w:r w:rsidRPr="005A6DA1">
        <w:rPr>
          <w:color w:val="000000" w:themeColor="text1"/>
        </w:rPr>
        <w:t>raising standards of living, ensuring full employment, and expanding the production of and trade in goods and services, while allowing for the optimal use of the world's resources in accordance with the objective of sustainable development</w:t>
      </w:r>
      <w:r w:rsidR="00BD246E" w:rsidRPr="005A6DA1">
        <w:rPr>
          <w:color w:val="000000" w:themeColor="text1"/>
        </w:rPr>
        <w:t>’</w:t>
      </w:r>
      <w:r w:rsidRPr="005A6DA1">
        <w:rPr>
          <w:color w:val="000000" w:themeColor="text1"/>
        </w:rPr>
        <w:t>.</w:t>
      </w:r>
    </w:p>
  </w:footnote>
  <w:footnote w:id="30">
    <w:p w14:paraId="114CFDCC" w14:textId="6D20E1BA"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L Sachs and L Johnson, ‘Investment Treaties, Investor-State Dispute Settlement and Inequality: How International Rules and Institutions an Exacerbate Domestic Disparities’ (2019) </w:t>
      </w:r>
      <w:r w:rsidRPr="005A6DA1">
        <w:t>Columbia Center on Sustainable Investment Working Paper 4/2019,</w:t>
      </w:r>
      <w:r w:rsidRPr="005A6DA1">
        <w:rPr>
          <w:i/>
          <w:iCs/>
          <w:color w:val="000000" w:themeColor="text1"/>
        </w:rPr>
        <w:t xml:space="preserve"> </w:t>
      </w:r>
      <w:r w:rsidRPr="005A6DA1">
        <w:rPr>
          <w:color w:val="000000" w:themeColor="text1"/>
        </w:rPr>
        <w:t>2</w:t>
      </w:r>
      <w:r w:rsidR="002F347A" w:rsidRPr="005A6DA1">
        <w:rPr>
          <w:color w:val="000000" w:themeColor="text1"/>
        </w:rPr>
        <w:t>, available at</w:t>
      </w:r>
      <w:r w:rsidRPr="005A6DA1">
        <w:rPr>
          <w:color w:val="000000" w:themeColor="text1"/>
        </w:rPr>
        <w:t xml:space="preserve"> ccsi.columbia.edu/files/2017/11/ISDS-and-Intra-national-inequality.pdf.</w:t>
      </w:r>
    </w:p>
  </w:footnote>
  <w:footnote w:id="31">
    <w:p w14:paraId="02444484" w14:textId="222A7DE8"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See further: </w:t>
      </w:r>
      <w:r w:rsidRPr="005A6DA1">
        <w:rPr>
          <w:rFonts w:cstheme="minorHAnsi"/>
          <w:iCs/>
          <w:color w:val="000000" w:themeColor="text1"/>
        </w:rPr>
        <w:t xml:space="preserve">KY Cordes, L Johnson and S </w:t>
      </w:r>
      <w:proofErr w:type="spellStart"/>
      <w:r w:rsidRPr="005A6DA1">
        <w:rPr>
          <w:rFonts w:cstheme="minorHAnsi"/>
          <w:iCs/>
          <w:color w:val="000000" w:themeColor="text1"/>
        </w:rPr>
        <w:t>Szoke</w:t>
      </w:r>
      <w:proofErr w:type="spellEnd"/>
      <w:r w:rsidRPr="005A6DA1">
        <w:rPr>
          <w:rFonts w:cstheme="minorHAnsi"/>
          <w:iCs/>
          <w:color w:val="000000" w:themeColor="text1"/>
        </w:rPr>
        <w:t>-Burke</w:t>
      </w:r>
      <w:r w:rsidRPr="005A6DA1">
        <w:rPr>
          <w:rFonts w:cstheme="minorHAnsi"/>
          <w:color w:val="000000" w:themeColor="text1"/>
        </w:rPr>
        <w:t xml:space="preserve">, ‘At the Intersection of Land Grievances and Legal Liability: The Need to Reconsider Contract Rights and Expectations at the Supranational Level’ (2017) 49 </w:t>
      </w:r>
      <w:r w:rsidRPr="005A6DA1">
        <w:rPr>
          <w:i/>
          <w:color w:val="000000" w:themeColor="text1"/>
        </w:rPr>
        <w:t>Loyola University Chicago Law Journal</w:t>
      </w:r>
      <w:r w:rsidRPr="005A6DA1">
        <w:rPr>
          <w:iCs/>
          <w:color w:val="000000" w:themeColor="text1"/>
        </w:rPr>
        <w:t xml:space="preserve"> 515, 524</w:t>
      </w:r>
      <w:r w:rsidR="002F347A" w:rsidRPr="005A6DA1">
        <w:rPr>
          <w:iCs/>
          <w:color w:val="000000" w:themeColor="text1"/>
        </w:rPr>
        <w:t>–2</w:t>
      </w:r>
      <w:r w:rsidRPr="005A6DA1">
        <w:rPr>
          <w:iCs/>
          <w:color w:val="000000" w:themeColor="text1"/>
        </w:rPr>
        <w:t>5.</w:t>
      </w:r>
    </w:p>
  </w:footnote>
  <w:footnote w:id="32">
    <w:p w14:paraId="10053F51" w14:textId="6DF219F2"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proofErr w:type="spellStart"/>
      <w:r w:rsidRPr="005A6DA1">
        <w:rPr>
          <w:color w:val="000000" w:themeColor="text1"/>
        </w:rPr>
        <w:t>Aisbett</w:t>
      </w:r>
      <w:proofErr w:type="spellEnd"/>
      <w:r w:rsidR="002F347A" w:rsidRPr="005A6DA1">
        <w:rPr>
          <w:color w:val="000000" w:themeColor="text1"/>
        </w:rPr>
        <w:t xml:space="preserve"> and others, </w:t>
      </w:r>
      <w:r w:rsidR="002F347A" w:rsidRPr="005A6DA1">
        <w:rPr>
          <w:i/>
          <w:iCs/>
          <w:color w:val="000000" w:themeColor="text1"/>
        </w:rPr>
        <w:t>Rethinking International Investment Governance</w:t>
      </w:r>
      <w:r w:rsidR="002F347A" w:rsidRPr="005A6DA1">
        <w:t xml:space="preserve"> (2018)</w:t>
      </w:r>
      <w:r w:rsidRPr="005A6DA1">
        <w:rPr>
          <w:color w:val="000000" w:themeColor="text1"/>
        </w:rPr>
        <w:t xml:space="preserve"> 38.</w:t>
      </w:r>
    </w:p>
  </w:footnote>
  <w:footnote w:id="33">
    <w:p w14:paraId="345AC538" w14:textId="24163CA5"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UNCTAD, </w:t>
      </w:r>
      <w:r w:rsidR="00704C2C" w:rsidRPr="005A6DA1">
        <w:rPr>
          <w:rFonts w:cstheme="minorHAnsi"/>
          <w:color w:val="000000" w:themeColor="text1"/>
        </w:rPr>
        <w:t>‘</w:t>
      </w:r>
      <w:r w:rsidRPr="005A6DA1">
        <w:t>World Investment Report 2015</w:t>
      </w:r>
      <w:r w:rsidR="00704C2C" w:rsidRPr="005A6DA1">
        <w:t>’ (2015)</w:t>
      </w:r>
      <w:r w:rsidRPr="005A6DA1">
        <w:t xml:space="preserve"> 126</w:t>
      </w:r>
      <w:r w:rsidRPr="005A6DA1">
        <w:rPr>
          <w:rFonts w:cstheme="minorHAnsi"/>
          <w:color w:val="000000" w:themeColor="text1"/>
        </w:rPr>
        <w:t>.</w:t>
      </w:r>
    </w:p>
  </w:footnote>
  <w:footnote w:id="34">
    <w:p w14:paraId="48C3E509" w14:textId="2EF06A67"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United Nations </w:t>
      </w:r>
      <w:r w:rsidRPr="005A6DA1">
        <w:rPr>
          <w:lang w:eastAsia="en-GB"/>
        </w:rPr>
        <w:t xml:space="preserve">Human Rights Council, ‘Guiding Principles on Business and Human Rights: Implementing the United Nations’ </w:t>
      </w:r>
      <w:r w:rsidR="00704C2C" w:rsidRPr="005A6DA1">
        <w:rPr>
          <w:lang w:eastAsia="en-GB"/>
        </w:rPr>
        <w:t>“</w:t>
      </w:r>
      <w:r w:rsidRPr="005A6DA1">
        <w:rPr>
          <w:lang w:eastAsia="en-GB"/>
        </w:rPr>
        <w:t>Protect, Respect and Remedy</w:t>
      </w:r>
      <w:r w:rsidR="00704C2C" w:rsidRPr="005A6DA1">
        <w:rPr>
          <w:lang w:eastAsia="en-GB"/>
        </w:rPr>
        <w:t>”</w:t>
      </w:r>
      <w:r w:rsidRPr="005A6DA1">
        <w:rPr>
          <w:lang w:eastAsia="en-GB"/>
        </w:rPr>
        <w:t xml:space="preserve"> Framework’ (21 March 2011) UN Doc A/HRC/17/31.</w:t>
      </w:r>
    </w:p>
  </w:footnote>
  <w:footnote w:id="35">
    <w:p w14:paraId="75DCAB37" w14:textId="0B5B119B"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See ‘Why and How Investors Should Act on Human Rights’, (United Nations Principles for Responsible Investment, 22 October 2020)</w:t>
      </w:r>
      <w:r w:rsidR="00704C2C" w:rsidRPr="005A6DA1">
        <w:t>, available at</w:t>
      </w:r>
      <w:r w:rsidRPr="005A6DA1">
        <w:t xml:space="preserve"> </w:t>
      </w:r>
      <w:r w:rsidR="00506CEC" w:rsidRPr="005A6DA1">
        <w:t>www</w:t>
      </w:r>
      <w:r w:rsidRPr="005A6DA1">
        <w:t>.unpri.org/human-rights-and-labour-standards/why-and-how-investors-should-act-on-human-rights/6636.article.</w:t>
      </w:r>
    </w:p>
  </w:footnote>
  <w:footnote w:id="36">
    <w:p w14:paraId="32C40D33" w14:textId="42BA5B63"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Economic Partnership Agreement between the CARIFORUM States and the European Community (signed 15 October 2008, entry into force 1 January 2009), </w:t>
      </w:r>
      <w:r w:rsidR="00704C2C" w:rsidRPr="005A6DA1">
        <w:rPr>
          <w:rFonts w:cstheme="minorHAnsi"/>
          <w:color w:val="000000" w:themeColor="text1"/>
        </w:rPr>
        <w:t xml:space="preserve">Art </w:t>
      </w:r>
      <w:r w:rsidRPr="005A6DA1">
        <w:rPr>
          <w:rFonts w:cstheme="minorHAnsi"/>
          <w:color w:val="000000" w:themeColor="text1"/>
        </w:rPr>
        <w:t>72.</w:t>
      </w:r>
    </w:p>
  </w:footnote>
  <w:footnote w:id="37">
    <w:p w14:paraId="49AF8790" w14:textId="56362C76" w:rsidR="004374CD" w:rsidRPr="005A6DA1" w:rsidRDefault="004374CD" w:rsidP="0091606C">
      <w:pPr>
        <w:pStyle w:val="FootnoteText"/>
      </w:pPr>
      <w:r w:rsidRPr="005A6DA1">
        <w:rPr>
          <w:rStyle w:val="FootnoteReference"/>
          <w:rFonts w:ascii="Garamond" w:hAnsi="Garamond"/>
          <w:szCs w:val="20"/>
        </w:rPr>
        <w:footnoteRef/>
      </w:r>
      <w:r w:rsidR="00AB337E" w:rsidRPr="005A6DA1">
        <w:t xml:space="preserve"> </w:t>
      </w:r>
      <w:r w:rsidR="00704C2C" w:rsidRPr="005A6DA1">
        <w:t>S</w:t>
      </w:r>
      <w:r w:rsidRPr="005A6DA1">
        <w:t>igned 30 October 2016, provisional entry into force 21 September 2017.</w:t>
      </w:r>
    </w:p>
  </w:footnote>
  <w:footnote w:id="38">
    <w:p w14:paraId="263B2B88" w14:textId="353AFD0E"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See </w:t>
      </w:r>
      <w:r w:rsidRPr="005A6DA1">
        <w:rPr>
          <w:rFonts w:cstheme="minorHAnsi"/>
          <w:color w:val="000000" w:themeColor="text1"/>
        </w:rPr>
        <w:t>Sattorova, ‘</w:t>
      </w:r>
      <w:r w:rsidR="007C7974" w:rsidRPr="005A6DA1">
        <w:rPr>
          <w:rFonts w:cstheme="minorHAnsi"/>
          <w:color w:val="000000" w:themeColor="text1"/>
        </w:rPr>
        <w:t>Investor Responsibilities’ (2019)</w:t>
      </w:r>
      <w:r w:rsidRPr="005A6DA1">
        <w:rPr>
          <w:rFonts w:cstheme="minorHAnsi"/>
          <w:color w:val="000000" w:themeColor="text1"/>
        </w:rPr>
        <w:t xml:space="preserve"> 23.</w:t>
      </w:r>
    </w:p>
  </w:footnote>
  <w:footnote w:id="39">
    <w:p w14:paraId="1D64D671" w14:textId="40A71BA9" w:rsidR="004374CD" w:rsidRPr="005A6DA1" w:rsidRDefault="004374CD" w:rsidP="0091606C">
      <w:pPr>
        <w:pStyle w:val="FootnoteText"/>
      </w:pPr>
      <w:r w:rsidRPr="005A6DA1">
        <w:rPr>
          <w:rStyle w:val="FootnoteReference"/>
          <w:rFonts w:ascii="Garamond" w:hAnsi="Garamond"/>
          <w:szCs w:val="20"/>
        </w:rPr>
        <w:footnoteRef/>
      </w:r>
      <w:r w:rsidR="00AB337E" w:rsidRPr="005A6DA1">
        <w:t xml:space="preserve"> </w:t>
      </w:r>
      <w:r w:rsidR="00E36BA7" w:rsidRPr="005A6DA1">
        <w:t xml:space="preserve">Agreement between the Slovak Republic and the Islamic Republic of Iran for the Promotion and Reciprocal Protection of Investments (signed 19 January 2016, entry into force 30 August 2017). </w:t>
      </w:r>
    </w:p>
  </w:footnote>
  <w:footnote w:id="40">
    <w:p w14:paraId="468D57FC" w14:textId="314D58FA" w:rsidR="00E36BA7" w:rsidRPr="005A6DA1" w:rsidRDefault="00E36BA7" w:rsidP="0091606C">
      <w:pPr>
        <w:pStyle w:val="FootnoteText"/>
      </w:pPr>
      <w:r w:rsidRPr="005A6DA1">
        <w:rPr>
          <w:rStyle w:val="FootnoteReference"/>
          <w:rFonts w:ascii="Garamond" w:hAnsi="Garamond"/>
          <w:szCs w:val="20"/>
        </w:rPr>
        <w:footnoteRef/>
      </w:r>
      <w:r w:rsidR="00AB337E" w:rsidRPr="005A6DA1">
        <w:t xml:space="preserve"> </w:t>
      </w:r>
      <w:r w:rsidR="007C7974" w:rsidRPr="005A6DA1">
        <w:t>S</w:t>
      </w:r>
      <w:r w:rsidRPr="005A6DA1">
        <w:t xml:space="preserve">igned 3 December 2016, not yet in force. </w:t>
      </w:r>
    </w:p>
  </w:footnote>
  <w:footnote w:id="41">
    <w:p w14:paraId="4701B741" w14:textId="695BCB75"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00E36BA7" w:rsidRPr="005A6DA1">
        <w:rPr>
          <w:rFonts w:cstheme="minorHAnsi"/>
          <w:color w:val="000000" w:themeColor="text1"/>
        </w:rPr>
        <w:t xml:space="preserve">Treaty Establishing the Southern African Development Community (signed 17 August 1992, entry into force 30 September 1993). </w:t>
      </w:r>
      <w:r w:rsidRPr="005A6DA1">
        <w:rPr>
          <w:rFonts w:cstheme="minorHAnsi"/>
          <w:color w:val="000000" w:themeColor="text1"/>
        </w:rPr>
        <w:t>See</w:t>
      </w:r>
      <w:r w:rsidR="00E36BA7" w:rsidRPr="005A6DA1">
        <w:rPr>
          <w:rFonts w:cstheme="minorHAnsi"/>
          <w:color w:val="000000" w:themeColor="text1"/>
        </w:rPr>
        <w:t xml:space="preserve"> also</w:t>
      </w:r>
      <w:r w:rsidRPr="005A6DA1">
        <w:rPr>
          <w:rFonts w:cstheme="minorHAnsi"/>
          <w:color w:val="000000" w:themeColor="text1"/>
        </w:rPr>
        <w:t xml:space="preserve"> the Investment Agreement for the COMESA Common Investment Area (signed 23 May 2007, not yet in force), which to a certain extent seeks to address investment conduct.</w:t>
      </w:r>
    </w:p>
  </w:footnote>
  <w:footnote w:id="42">
    <w:p w14:paraId="5BFEC2F7" w14:textId="3EE56FDA" w:rsidR="00BF43A3" w:rsidRPr="005A6DA1" w:rsidRDefault="00BF43A3" w:rsidP="0091606C">
      <w:pPr>
        <w:pStyle w:val="FootnoteText"/>
      </w:pPr>
      <w:r w:rsidRPr="005A6DA1">
        <w:rPr>
          <w:rStyle w:val="FootnoteReference"/>
          <w:rFonts w:ascii="Garamond" w:hAnsi="Garamond"/>
          <w:szCs w:val="20"/>
        </w:rPr>
        <w:footnoteRef/>
      </w:r>
      <w:r w:rsidRPr="005A6DA1">
        <w:t xml:space="preserve"> Ch </w:t>
      </w:r>
      <w:r w:rsidR="00614A35" w:rsidRPr="005A6DA1">
        <w:t>5</w:t>
      </w:r>
      <w:r w:rsidRPr="005A6DA1">
        <w:t xml:space="preserve"> </w:t>
      </w:r>
      <w:r w:rsidR="007C7974" w:rsidRPr="005A6DA1">
        <w:t xml:space="preserve">(Ranjan) </w:t>
      </w:r>
      <w:r w:rsidRPr="005A6DA1">
        <w:t>of this volume</w:t>
      </w:r>
      <w:r w:rsidR="007C7974" w:rsidRPr="005A6DA1">
        <w:t>.</w:t>
      </w:r>
    </w:p>
  </w:footnote>
  <w:footnote w:id="43">
    <w:p w14:paraId="27E010F5" w14:textId="50CBD5B1"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S Puig and G Shaffer, ‘Imperfect Alternatives: Institutional Choice and the Reform of Investment Law’ (2018) 112 </w:t>
      </w:r>
      <w:r w:rsidRPr="005A6DA1">
        <w:rPr>
          <w:rFonts w:cstheme="minorHAnsi"/>
          <w:i/>
          <w:iCs/>
          <w:color w:val="000000" w:themeColor="text1"/>
        </w:rPr>
        <w:t>American Journal of International Law</w:t>
      </w:r>
      <w:r w:rsidRPr="005A6DA1">
        <w:rPr>
          <w:rFonts w:cstheme="minorHAnsi"/>
          <w:color w:val="000000" w:themeColor="text1"/>
        </w:rPr>
        <w:t xml:space="preserve"> 361, 367. </w:t>
      </w:r>
    </w:p>
  </w:footnote>
  <w:footnote w:id="44">
    <w:p w14:paraId="583901D0" w14:textId="1F6DA857" w:rsidR="00BF43A3" w:rsidRPr="005A6DA1" w:rsidRDefault="00BF43A3" w:rsidP="0091606C">
      <w:pPr>
        <w:pStyle w:val="FootnoteText"/>
        <w:rPr>
          <w:rFonts w:cs="Arial"/>
          <w:spacing w:val="-15"/>
        </w:rPr>
      </w:pPr>
      <w:r w:rsidRPr="005A6DA1">
        <w:rPr>
          <w:rStyle w:val="FootnoteReference"/>
          <w:rFonts w:ascii="Garamond" w:hAnsi="Garamond"/>
          <w:szCs w:val="20"/>
        </w:rPr>
        <w:footnoteRef/>
      </w:r>
      <w:r w:rsidR="00AB337E" w:rsidRPr="005A6DA1">
        <w:t xml:space="preserve"> </w:t>
      </w:r>
      <w:r w:rsidRPr="005A6DA1">
        <w:rPr>
          <w:rFonts w:eastAsiaTheme="minorHAnsi" w:cstheme="minorHAnsi"/>
        </w:rPr>
        <w:t xml:space="preserve">See ‘Commission </w:t>
      </w:r>
      <w:r w:rsidR="00CF490D" w:rsidRPr="005A6DA1">
        <w:rPr>
          <w:rFonts w:eastAsiaTheme="minorHAnsi" w:cstheme="minorHAnsi"/>
        </w:rPr>
        <w:t>P</w:t>
      </w:r>
      <w:r w:rsidRPr="005A6DA1">
        <w:rPr>
          <w:rFonts w:eastAsiaTheme="minorHAnsi" w:cstheme="minorHAnsi"/>
        </w:rPr>
        <w:t xml:space="preserve">resents EU </w:t>
      </w:r>
      <w:r w:rsidR="00CF490D" w:rsidRPr="005A6DA1">
        <w:rPr>
          <w:rFonts w:eastAsiaTheme="minorHAnsi" w:cstheme="minorHAnsi"/>
        </w:rPr>
        <w:t>P</w:t>
      </w:r>
      <w:r w:rsidRPr="005A6DA1">
        <w:rPr>
          <w:rFonts w:eastAsiaTheme="minorHAnsi" w:cstheme="minorHAnsi"/>
        </w:rPr>
        <w:t xml:space="preserve">roposal for </w:t>
      </w:r>
      <w:proofErr w:type="spellStart"/>
      <w:r w:rsidR="00CF490D" w:rsidRPr="005A6DA1">
        <w:rPr>
          <w:rFonts w:eastAsiaTheme="minorHAnsi" w:cstheme="minorHAnsi"/>
        </w:rPr>
        <w:t>M</w:t>
      </w:r>
      <w:r w:rsidRPr="005A6DA1">
        <w:rPr>
          <w:rFonts w:eastAsiaTheme="minorHAnsi" w:cstheme="minorHAnsi"/>
        </w:rPr>
        <w:t>odernising</w:t>
      </w:r>
      <w:proofErr w:type="spellEnd"/>
      <w:r w:rsidRPr="005A6DA1">
        <w:rPr>
          <w:rFonts w:eastAsiaTheme="minorHAnsi" w:cstheme="minorHAnsi"/>
        </w:rPr>
        <w:t xml:space="preserve"> Energy Charter Treaty’ (European Commission, 27 May 2020)</w:t>
      </w:r>
      <w:r w:rsidR="007C7974" w:rsidRPr="005A6DA1">
        <w:rPr>
          <w:rFonts w:eastAsiaTheme="minorHAnsi" w:cstheme="minorHAnsi"/>
        </w:rPr>
        <w:t>, available at</w:t>
      </w:r>
      <w:r w:rsidRPr="005A6DA1">
        <w:rPr>
          <w:rFonts w:eastAsiaTheme="minorHAnsi" w:cstheme="minorHAnsi"/>
        </w:rPr>
        <w:t xml:space="preserve"> trade.ec.europa.eu/</w:t>
      </w:r>
      <w:proofErr w:type="spellStart"/>
      <w:r w:rsidRPr="005A6DA1">
        <w:rPr>
          <w:rFonts w:eastAsiaTheme="minorHAnsi" w:cstheme="minorHAnsi"/>
        </w:rPr>
        <w:t>doclib</w:t>
      </w:r>
      <w:proofErr w:type="spellEnd"/>
      <w:r w:rsidRPr="005A6DA1">
        <w:rPr>
          <w:rFonts w:eastAsiaTheme="minorHAnsi" w:cstheme="minorHAnsi"/>
        </w:rPr>
        <w:t>/press/</w:t>
      </w:r>
      <w:proofErr w:type="spellStart"/>
      <w:r w:rsidRPr="005A6DA1">
        <w:rPr>
          <w:rFonts w:eastAsiaTheme="minorHAnsi" w:cstheme="minorHAnsi"/>
        </w:rPr>
        <w:t>index.cfm?id</w:t>
      </w:r>
      <w:proofErr w:type="spellEnd"/>
      <w:r w:rsidRPr="005A6DA1">
        <w:rPr>
          <w:rFonts w:eastAsiaTheme="minorHAnsi" w:cstheme="minorHAnsi"/>
        </w:rPr>
        <w:t>=2148.</w:t>
      </w:r>
    </w:p>
  </w:footnote>
  <w:footnote w:id="45">
    <w:p w14:paraId="511FB00B" w14:textId="691B6707"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UNCTAD</w:t>
      </w:r>
      <w:r w:rsidR="007C7974" w:rsidRPr="005A6DA1">
        <w:rPr>
          <w:rFonts w:cstheme="minorHAnsi"/>
          <w:color w:val="000000" w:themeColor="text1"/>
        </w:rPr>
        <w:t xml:space="preserve"> (n 10)</w:t>
      </w:r>
      <w:r w:rsidRPr="005A6DA1">
        <w:rPr>
          <w:rFonts w:cstheme="minorHAnsi"/>
          <w:color w:val="000000" w:themeColor="text1"/>
        </w:rPr>
        <w:t xml:space="preserve"> 126.</w:t>
      </w:r>
    </w:p>
  </w:footnote>
  <w:footnote w:id="46">
    <w:p w14:paraId="47B17FA5" w14:textId="5CCBF321"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K </w:t>
      </w:r>
      <w:proofErr w:type="spellStart"/>
      <w:r w:rsidRPr="005A6DA1">
        <w:rPr>
          <w:color w:val="000000" w:themeColor="text1"/>
        </w:rPr>
        <w:t>Nowrot</w:t>
      </w:r>
      <w:proofErr w:type="spellEnd"/>
      <w:r w:rsidRPr="005A6DA1">
        <w:rPr>
          <w:color w:val="000000" w:themeColor="text1"/>
        </w:rPr>
        <w:t xml:space="preserve">, ‘Legal Consequences of Globalization: The Status of Non-Governmental Organizations Under International Law’ (1999) 6 </w:t>
      </w:r>
      <w:r w:rsidRPr="005A6DA1">
        <w:rPr>
          <w:i/>
          <w:color w:val="000000" w:themeColor="text1"/>
        </w:rPr>
        <w:t>Indiana Journal of Global Legal Studies</w:t>
      </w:r>
      <w:r w:rsidRPr="005A6DA1">
        <w:rPr>
          <w:color w:val="000000" w:themeColor="text1"/>
        </w:rPr>
        <w:t xml:space="preserve"> 579, 586.</w:t>
      </w:r>
      <w:r w:rsidR="00447B1C" w:rsidRPr="005A6DA1">
        <w:rPr>
          <w:color w:val="000000" w:themeColor="text1"/>
        </w:rPr>
        <w:t xml:space="preserve"> </w:t>
      </w:r>
    </w:p>
  </w:footnote>
  <w:footnote w:id="47">
    <w:p w14:paraId="553620B1" w14:textId="4A6423C5"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D Caron and E Shirlow, ‘Dissecting Backlash: The Unarticulated Causes of Backlash and Its Unintended Consequences’ in</w:t>
      </w:r>
      <w:r w:rsidRPr="005A6DA1">
        <w:rPr>
          <w:i/>
          <w:iCs/>
          <w:color w:val="000000" w:themeColor="text1"/>
        </w:rPr>
        <w:t xml:space="preserve"> </w:t>
      </w:r>
      <w:r w:rsidRPr="005A6DA1">
        <w:rPr>
          <w:color w:val="000000" w:themeColor="text1"/>
        </w:rPr>
        <w:t>G Ulfstein and A Føllesdal (eds),</w:t>
      </w:r>
      <w:r w:rsidRPr="005A6DA1">
        <w:rPr>
          <w:i/>
          <w:iCs/>
          <w:color w:val="000000" w:themeColor="text1"/>
        </w:rPr>
        <w:t xml:space="preserve"> The Judicialization of International Law - A Mixed Blessing? </w:t>
      </w:r>
      <w:r w:rsidRPr="005A6DA1">
        <w:rPr>
          <w:color w:val="000000" w:themeColor="text1"/>
        </w:rPr>
        <w:t>(Oxford University Press, forthcoming) 5</w:t>
      </w:r>
      <w:r w:rsidR="007C7974" w:rsidRPr="005A6DA1">
        <w:rPr>
          <w:color w:val="000000" w:themeColor="text1"/>
        </w:rPr>
        <w:t>–</w:t>
      </w:r>
      <w:r w:rsidRPr="005A6DA1">
        <w:rPr>
          <w:color w:val="000000" w:themeColor="text1"/>
        </w:rPr>
        <w:t>6.</w:t>
      </w:r>
    </w:p>
  </w:footnote>
  <w:footnote w:id="48">
    <w:p w14:paraId="77E54E5D" w14:textId="72807BBE"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i/>
          <w:iCs/>
          <w:color w:val="000000" w:themeColor="text1"/>
        </w:rPr>
        <w:t>Bear Creek Mining v Peru</w:t>
      </w:r>
      <w:r w:rsidRPr="005A6DA1">
        <w:rPr>
          <w:color w:val="000000" w:themeColor="text1"/>
        </w:rPr>
        <w:t>, ICSID Case No ARB/14/21, Award (30 November 2017), p</w:t>
      </w:r>
      <w:r w:rsidRPr="005A6DA1">
        <w:rPr>
          <w:rFonts w:cstheme="minorHAnsi"/>
          <w:color w:val="000000" w:themeColor="text1"/>
        </w:rPr>
        <w:t xml:space="preserve">ara 152. </w:t>
      </w:r>
    </w:p>
  </w:footnote>
  <w:footnote w:id="49">
    <w:p w14:paraId="32FC2ACA" w14:textId="7CE51C4A"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See </w:t>
      </w:r>
      <w:r w:rsidRPr="005A6DA1">
        <w:rPr>
          <w:rFonts w:cstheme="minorHAnsi"/>
          <w:i/>
          <w:iCs/>
          <w:color w:val="000000" w:themeColor="text1"/>
        </w:rPr>
        <w:t>Bear Creek Mining v Peru</w:t>
      </w:r>
      <w:r w:rsidRPr="005A6DA1">
        <w:rPr>
          <w:rFonts w:cstheme="minorHAnsi"/>
          <w:color w:val="000000" w:themeColor="text1"/>
        </w:rPr>
        <w:t>, Award, paras 150</w:t>
      </w:r>
      <w:r w:rsidR="007C7974" w:rsidRPr="005A6DA1">
        <w:rPr>
          <w:rFonts w:cstheme="minorHAnsi"/>
          <w:color w:val="000000" w:themeColor="text1"/>
        </w:rPr>
        <w:t>–1</w:t>
      </w:r>
      <w:r w:rsidRPr="005A6DA1">
        <w:rPr>
          <w:rFonts w:cstheme="minorHAnsi"/>
          <w:color w:val="000000" w:themeColor="text1"/>
        </w:rPr>
        <w:t xml:space="preserve">74; </w:t>
      </w:r>
      <w:r w:rsidRPr="005A6DA1">
        <w:rPr>
          <w:rFonts w:cstheme="minorHAnsi"/>
          <w:i/>
          <w:iCs/>
          <w:color w:val="000000" w:themeColor="text1"/>
        </w:rPr>
        <w:t>Bear Creek Mining v Peru</w:t>
      </w:r>
      <w:r w:rsidRPr="005A6DA1">
        <w:rPr>
          <w:rFonts w:cstheme="minorHAnsi"/>
          <w:color w:val="000000" w:themeColor="text1"/>
        </w:rPr>
        <w:t>, Dissenting Opinion of Phillipe Sands, paras 16</w:t>
      </w:r>
      <w:r w:rsidR="007C7974" w:rsidRPr="005A6DA1">
        <w:rPr>
          <w:rFonts w:cstheme="minorHAnsi"/>
          <w:color w:val="000000" w:themeColor="text1"/>
        </w:rPr>
        <w:t>–</w:t>
      </w:r>
      <w:r w:rsidRPr="005A6DA1">
        <w:rPr>
          <w:rFonts w:cstheme="minorHAnsi"/>
          <w:color w:val="000000" w:themeColor="text1"/>
        </w:rPr>
        <w:t>18.</w:t>
      </w:r>
    </w:p>
  </w:footnote>
  <w:footnote w:id="50">
    <w:p w14:paraId="161E3A2C" w14:textId="08B9ADED"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paras 172</w:t>
      </w:r>
      <w:r w:rsidR="007C7974" w:rsidRPr="005A6DA1">
        <w:rPr>
          <w:rFonts w:cstheme="minorHAnsi"/>
          <w:color w:val="000000" w:themeColor="text1"/>
        </w:rPr>
        <w:t>–</w:t>
      </w:r>
      <w:r w:rsidRPr="005A6DA1">
        <w:rPr>
          <w:rFonts w:cstheme="minorHAnsi"/>
          <w:color w:val="000000" w:themeColor="text1"/>
        </w:rPr>
        <w:t>201.</w:t>
      </w:r>
    </w:p>
  </w:footnote>
  <w:footnote w:id="51">
    <w:p w14:paraId="20AA7344" w14:textId="36F1061F"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paras 189</w:t>
      </w:r>
      <w:r w:rsidR="007C7974" w:rsidRPr="005A6DA1">
        <w:rPr>
          <w:rFonts w:cstheme="minorHAnsi"/>
          <w:color w:val="000000" w:themeColor="text1"/>
        </w:rPr>
        <w:t>–</w:t>
      </w:r>
      <w:r w:rsidRPr="005A6DA1">
        <w:rPr>
          <w:rFonts w:cstheme="minorHAnsi"/>
          <w:color w:val="000000" w:themeColor="text1"/>
        </w:rPr>
        <w:t>98.</w:t>
      </w:r>
    </w:p>
  </w:footnote>
  <w:footnote w:id="52">
    <w:p w14:paraId="4614C3E8" w14:textId="7DACA364"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paras 201</w:t>
      </w:r>
      <w:r w:rsidR="007C7974" w:rsidRPr="005A6DA1">
        <w:rPr>
          <w:rFonts w:cstheme="minorHAnsi"/>
          <w:color w:val="000000" w:themeColor="text1"/>
        </w:rPr>
        <w:t>–</w:t>
      </w:r>
      <w:r w:rsidRPr="005A6DA1">
        <w:rPr>
          <w:rFonts w:cstheme="minorHAnsi"/>
          <w:color w:val="000000" w:themeColor="text1"/>
        </w:rPr>
        <w:t>02.</w:t>
      </w:r>
    </w:p>
  </w:footnote>
  <w:footnote w:id="53">
    <w:p w14:paraId="4C857502" w14:textId="585D6853"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238.</w:t>
      </w:r>
    </w:p>
  </w:footnote>
  <w:footnote w:id="54">
    <w:p w14:paraId="36E6AE03" w14:textId="23B02AF0"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402.</w:t>
      </w:r>
    </w:p>
  </w:footnote>
  <w:footnote w:id="55">
    <w:p w14:paraId="4AAE6C3A" w14:textId="232BBBD9"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406.</w:t>
      </w:r>
    </w:p>
  </w:footnote>
  <w:footnote w:id="56">
    <w:p w14:paraId="207ABD52" w14:textId="20C13F41"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407.</w:t>
      </w:r>
    </w:p>
  </w:footnote>
  <w:footnote w:id="57">
    <w:p w14:paraId="1FBDBADF" w14:textId="2F3CF9DC"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406.</w:t>
      </w:r>
    </w:p>
  </w:footnote>
  <w:footnote w:id="58">
    <w:p w14:paraId="4CB6CCCF" w14:textId="2775B070"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w:t>
      </w:r>
      <w:r w:rsidR="00342A66" w:rsidRPr="005A6DA1">
        <w:rPr>
          <w:rFonts w:cstheme="minorHAnsi"/>
          <w:color w:val="000000" w:themeColor="text1"/>
        </w:rPr>
        <w:t xml:space="preserve"> </w:t>
      </w:r>
      <w:r w:rsidRPr="005A6DA1">
        <w:rPr>
          <w:rFonts w:cstheme="minorHAnsi"/>
          <w:color w:val="000000" w:themeColor="text1"/>
        </w:rPr>
        <w:t>para 19</w:t>
      </w:r>
      <w:r w:rsidR="00342A66" w:rsidRPr="005A6DA1">
        <w:rPr>
          <w:rFonts w:cstheme="minorHAnsi"/>
          <w:color w:val="000000" w:themeColor="text1"/>
        </w:rPr>
        <w:t xml:space="preserve"> (in the words of the arbitrator)</w:t>
      </w:r>
      <w:r w:rsidRPr="005A6DA1">
        <w:rPr>
          <w:rFonts w:cstheme="minorHAnsi"/>
          <w:color w:val="000000" w:themeColor="text1"/>
        </w:rPr>
        <w:t>.</w:t>
      </w:r>
    </w:p>
  </w:footnote>
  <w:footnote w:id="59">
    <w:p w14:paraId="1BDC0C33" w14:textId="087BFFE7"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411.</w:t>
      </w:r>
    </w:p>
  </w:footnote>
  <w:footnote w:id="60">
    <w:p w14:paraId="63CCC2B0" w14:textId="74BA51D6"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412.</w:t>
      </w:r>
    </w:p>
  </w:footnote>
  <w:footnote w:id="61">
    <w:p w14:paraId="4155C2B0" w14:textId="4F0A31A1"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paras 408, 412.</w:t>
      </w:r>
    </w:p>
  </w:footnote>
  <w:footnote w:id="62">
    <w:p w14:paraId="121AB13B" w14:textId="1730E5F1"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402.</w:t>
      </w:r>
    </w:p>
  </w:footnote>
  <w:footnote w:id="63">
    <w:p w14:paraId="4E55CAB7" w14:textId="678352D6"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HG Burnett</w:t>
      </w:r>
      <w:r w:rsidR="0091606C" w:rsidRPr="005A6DA1">
        <w:rPr>
          <w:rFonts w:cstheme="minorHAnsi"/>
          <w:color w:val="000000" w:themeColor="text1"/>
        </w:rPr>
        <w:t xml:space="preserve"> </w:t>
      </w:r>
      <w:r w:rsidRPr="005A6DA1">
        <w:rPr>
          <w:rFonts w:cstheme="minorHAnsi"/>
          <w:color w:val="000000" w:themeColor="text1"/>
        </w:rPr>
        <w:t>and</w:t>
      </w:r>
      <w:r w:rsidR="0091606C" w:rsidRPr="005A6DA1">
        <w:rPr>
          <w:rFonts w:cstheme="minorHAnsi"/>
          <w:color w:val="000000" w:themeColor="text1"/>
        </w:rPr>
        <w:t xml:space="preserve"> </w:t>
      </w:r>
      <w:r w:rsidRPr="005A6DA1">
        <w:rPr>
          <w:rFonts w:cstheme="minorHAnsi"/>
          <w:color w:val="000000" w:themeColor="text1"/>
        </w:rPr>
        <w:t xml:space="preserve">L-A Bret, </w:t>
      </w:r>
      <w:r w:rsidRPr="005A6DA1">
        <w:rPr>
          <w:rFonts w:cstheme="minorHAnsi"/>
          <w:i/>
          <w:color w:val="000000" w:themeColor="text1"/>
        </w:rPr>
        <w:t xml:space="preserve">Arbitration of International Mining Disputes: Law and Practice </w:t>
      </w:r>
      <w:r w:rsidRPr="005A6DA1">
        <w:rPr>
          <w:rFonts w:cstheme="minorHAnsi"/>
          <w:color w:val="000000" w:themeColor="text1"/>
        </w:rPr>
        <w:t>(Oxford University Press</w:t>
      </w:r>
      <w:r w:rsidR="00ED7A72" w:rsidRPr="005A6DA1">
        <w:rPr>
          <w:rFonts w:cstheme="minorHAnsi"/>
          <w:color w:val="000000" w:themeColor="text1"/>
        </w:rPr>
        <w:t>,</w:t>
      </w:r>
      <w:r w:rsidRPr="005A6DA1">
        <w:rPr>
          <w:rFonts w:cstheme="minorHAnsi"/>
          <w:color w:val="000000" w:themeColor="text1"/>
        </w:rPr>
        <w:t xml:space="preserve"> 2017) 121.</w:t>
      </w:r>
    </w:p>
  </w:footnote>
  <w:footnote w:id="64">
    <w:p w14:paraId="4C4EA300" w14:textId="12684857"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w:t>
      </w:r>
    </w:p>
  </w:footnote>
  <w:footnote w:id="65">
    <w:p w14:paraId="7FD00CA4" w14:textId="7CB9236A"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D Newman, ‘Be Careful What You Wish For: Why Some Versions of </w:t>
      </w:r>
      <w:r w:rsidR="00BD246E" w:rsidRPr="005A6DA1">
        <w:rPr>
          <w:color w:val="000000" w:themeColor="text1"/>
        </w:rPr>
        <w:t>‘</w:t>
      </w:r>
      <w:r w:rsidRPr="005A6DA1">
        <w:rPr>
          <w:color w:val="000000" w:themeColor="text1"/>
        </w:rPr>
        <w:t xml:space="preserve">Social </w:t>
      </w:r>
      <w:proofErr w:type="spellStart"/>
      <w:r w:rsidRPr="005A6DA1">
        <w:rPr>
          <w:color w:val="000000" w:themeColor="text1"/>
        </w:rPr>
        <w:t>Licence</w:t>
      </w:r>
      <w:proofErr w:type="spellEnd"/>
      <w:r w:rsidR="00BD246E" w:rsidRPr="005A6DA1">
        <w:rPr>
          <w:color w:val="000000" w:themeColor="text1"/>
        </w:rPr>
        <w:t>’</w:t>
      </w:r>
      <w:r w:rsidRPr="005A6DA1">
        <w:rPr>
          <w:color w:val="000000" w:themeColor="text1"/>
        </w:rPr>
        <w:t xml:space="preserve"> are Unlicensed and May be Anti-Social’ (</w:t>
      </w:r>
      <w:r w:rsidRPr="005A6DA1">
        <w:t>Macdonald-Laurier Institute Commentary,</w:t>
      </w:r>
      <w:r w:rsidRPr="005A6DA1">
        <w:rPr>
          <w:color w:val="000000" w:themeColor="text1"/>
        </w:rPr>
        <w:t xml:space="preserve"> 2014)</w:t>
      </w:r>
      <w:r w:rsidR="00ED7A72" w:rsidRPr="005A6DA1">
        <w:rPr>
          <w:color w:val="000000" w:themeColor="text1"/>
        </w:rPr>
        <w:t>, available at</w:t>
      </w:r>
      <w:r w:rsidRPr="005A6DA1">
        <w:rPr>
          <w:color w:val="000000" w:themeColor="text1"/>
        </w:rPr>
        <w:t xml:space="preserve"> </w:t>
      </w:r>
      <w:r w:rsidR="00506CEC" w:rsidRPr="005A6DA1">
        <w:rPr>
          <w:color w:val="000000" w:themeColor="text1"/>
        </w:rPr>
        <w:t>www</w:t>
      </w:r>
      <w:r w:rsidRPr="005A6DA1">
        <w:rPr>
          <w:color w:val="000000" w:themeColor="text1"/>
        </w:rPr>
        <w:t>.macdonaldlaurier.ca/files/pdf/MLICommentaryNewmansociallicence1114webready.pdf.</w:t>
      </w:r>
    </w:p>
  </w:footnote>
  <w:footnote w:id="66">
    <w:p w14:paraId="078173F8" w14:textId="7848C2B8"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J Gilbert, </w:t>
      </w:r>
      <w:r w:rsidRPr="005A6DA1">
        <w:rPr>
          <w:i/>
          <w:iCs/>
        </w:rPr>
        <w:t>Natural Resources and Human Rights: An Appraisal</w:t>
      </w:r>
      <w:r w:rsidRPr="005A6DA1">
        <w:t xml:space="preserve"> (Oxford University Press</w:t>
      </w:r>
      <w:r w:rsidR="00ED7A72" w:rsidRPr="005A6DA1">
        <w:t>,</w:t>
      </w:r>
      <w:r w:rsidRPr="005A6DA1">
        <w:t xml:space="preserve"> 2018) 17.</w:t>
      </w:r>
    </w:p>
  </w:footnote>
  <w:footnote w:id="67">
    <w:p w14:paraId="6201A16E" w14:textId="6432001A"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ibid 22.</w:t>
      </w:r>
    </w:p>
  </w:footnote>
  <w:footnote w:id="68">
    <w:p w14:paraId="5C70C1C4" w14:textId="062D12A1"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ibid.</w:t>
      </w:r>
    </w:p>
  </w:footnote>
  <w:footnote w:id="69">
    <w:p w14:paraId="44889709" w14:textId="63D03376"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D Rodrik, ‘Globalization for Whom?’ (2002) 104 </w:t>
      </w:r>
      <w:r w:rsidRPr="005A6DA1">
        <w:rPr>
          <w:i/>
          <w:iCs/>
          <w:color w:val="000000" w:themeColor="text1"/>
        </w:rPr>
        <w:t>Harvard Magazine</w:t>
      </w:r>
      <w:r w:rsidRPr="005A6DA1">
        <w:rPr>
          <w:color w:val="000000" w:themeColor="text1"/>
        </w:rPr>
        <w:t xml:space="preserve"> 29</w:t>
      </w:r>
      <w:r w:rsidR="00ED7A72" w:rsidRPr="005A6DA1">
        <w:rPr>
          <w:color w:val="000000" w:themeColor="text1"/>
        </w:rPr>
        <w:t>.</w:t>
      </w:r>
    </w:p>
  </w:footnote>
  <w:footnote w:id="70">
    <w:p w14:paraId="71FE8BC8" w14:textId="223D3A02"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See further, </w:t>
      </w:r>
      <w:bookmarkStart w:id="1" w:name="_Hlk486333823"/>
      <w:r w:rsidRPr="005A6DA1">
        <w:t xml:space="preserve">MJ </w:t>
      </w:r>
      <w:proofErr w:type="spellStart"/>
      <w:r w:rsidRPr="005A6DA1">
        <w:t>Trebilcock</w:t>
      </w:r>
      <w:proofErr w:type="spellEnd"/>
      <w:r w:rsidRPr="005A6DA1">
        <w:t xml:space="preserve"> and RJ Daniels, </w:t>
      </w:r>
      <w:r w:rsidRPr="005A6DA1">
        <w:rPr>
          <w:i/>
        </w:rPr>
        <w:t>Rule of Law Reform and Development: Charting the Fragile Path of Progress</w:t>
      </w:r>
      <w:r w:rsidRPr="005A6DA1">
        <w:t xml:space="preserve"> (Edward Elgar</w:t>
      </w:r>
      <w:r w:rsidR="00ED7A72" w:rsidRPr="005A6DA1">
        <w:t>,</w:t>
      </w:r>
      <w:r w:rsidRPr="005A6DA1">
        <w:t xml:space="preserve"> 2008)</w:t>
      </w:r>
      <w:bookmarkEnd w:id="1"/>
      <w:r w:rsidRPr="005A6DA1">
        <w:t>.</w:t>
      </w:r>
    </w:p>
  </w:footnote>
  <w:footnote w:id="71">
    <w:p w14:paraId="7DB7CBF6" w14:textId="2F34A0D9" w:rsidR="00BF43A3" w:rsidRPr="005A6DA1" w:rsidRDefault="00BF43A3" w:rsidP="0091606C">
      <w:pPr>
        <w:pStyle w:val="FootnoteText"/>
        <w:rPr>
          <w:rFonts w:cstheme="minorHAnsi"/>
          <w:color w:val="000000" w:themeColor="text1"/>
          <w:lang w:val="en-SG"/>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See</w:t>
      </w:r>
      <w:r w:rsidR="00245AE8" w:rsidRPr="005A6DA1">
        <w:rPr>
          <w:rFonts w:ascii="Arial" w:hAnsi="Arial" w:cs="Arial"/>
          <w:color w:val="000000"/>
          <w:shd w:val="clear" w:color="auto" w:fill="FFFFFF"/>
          <w:lang w:val="en-SG"/>
        </w:rPr>
        <w:t xml:space="preserve"> </w:t>
      </w:r>
      <w:r w:rsidR="00245AE8" w:rsidRPr="005A6DA1">
        <w:rPr>
          <w:rFonts w:cstheme="minorHAnsi"/>
          <w:color w:val="000000" w:themeColor="text1"/>
          <w:lang w:val="en-SG"/>
        </w:rPr>
        <w:t>K Tienhaara, ‘Regulatory chill and the threat of arbitration: A view from political science’ in C Brown and K Miles (eds),</w:t>
      </w:r>
      <w:r w:rsidR="0091606C" w:rsidRPr="005A6DA1">
        <w:rPr>
          <w:rFonts w:cstheme="minorHAnsi"/>
          <w:i/>
          <w:iCs/>
          <w:color w:val="000000" w:themeColor="text1"/>
          <w:lang w:val="en-SG"/>
        </w:rPr>
        <w:t xml:space="preserve"> </w:t>
      </w:r>
      <w:r w:rsidR="00245AE8" w:rsidRPr="005A6DA1">
        <w:rPr>
          <w:rFonts w:cstheme="minorHAnsi"/>
          <w:i/>
          <w:iCs/>
          <w:color w:val="000000" w:themeColor="text1"/>
          <w:lang w:val="en-SG"/>
        </w:rPr>
        <w:t>Evolution in Investment Treaty Law and Arbitration</w:t>
      </w:r>
      <w:r w:rsidR="0091606C" w:rsidRPr="005A6DA1">
        <w:rPr>
          <w:rFonts w:cstheme="minorHAnsi"/>
          <w:color w:val="000000" w:themeColor="text1"/>
          <w:lang w:val="en-SG"/>
        </w:rPr>
        <w:t xml:space="preserve"> </w:t>
      </w:r>
      <w:r w:rsidR="00245AE8" w:rsidRPr="005A6DA1">
        <w:rPr>
          <w:rFonts w:cstheme="minorHAnsi"/>
          <w:color w:val="000000" w:themeColor="text1"/>
          <w:lang w:val="en-SG"/>
        </w:rPr>
        <w:t>(Cambridge University Press</w:t>
      </w:r>
      <w:r w:rsidR="00ED7A72" w:rsidRPr="005A6DA1">
        <w:rPr>
          <w:rFonts w:cstheme="minorHAnsi"/>
          <w:color w:val="000000" w:themeColor="text1"/>
          <w:lang w:val="en-SG"/>
        </w:rPr>
        <w:t>,</w:t>
      </w:r>
      <w:r w:rsidR="00245AE8" w:rsidRPr="005A6DA1">
        <w:rPr>
          <w:rFonts w:cstheme="minorHAnsi"/>
          <w:color w:val="000000" w:themeColor="text1"/>
          <w:lang w:val="en-SG"/>
        </w:rPr>
        <w:t xml:space="preserve"> 2011) 606; </w:t>
      </w:r>
      <w:r w:rsidRPr="005A6DA1">
        <w:rPr>
          <w:rFonts w:cstheme="minorHAnsi"/>
          <w:color w:val="000000" w:themeColor="text1"/>
        </w:rPr>
        <w:t>C Co</w:t>
      </w:r>
      <w:r w:rsidRPr="005A6DA1">
        <w:rPr>
          <w:rFonts w:eastAsia="Calibri"/>
          <w:color w:val="000000" w:themeColor="text1"/>
        </w:rPr>
        <w:t>̂</w:t>
      </w:r>
      <w:r w:rsidRPr="005A6DA1">
        <w:rPr>
          <w:rFonts w:cstheme="minorHAnsi"/>
          <w:color w:val="000000" w:themeColor="text1"/>
        </w:rPr>
        <w:t>t</w:t>
      </w:r>
      <w:r w:rsidRPr="005A6DA1">
        <w:rPr>
          <w:rFonts w:eastAsia="Calibri" w:cstheme="minorHAnsi"/>
          <w:color w:val="000000" w:themeColor="text1"/>
        </w:rPr>
        <w:t>é</w:t>
      </w:r>
      <w:r w:rsidRPr="005A6DA1">
        <w:rPr>
          <w:rFonts w:cstheme="minorHAnsi"/>
          <w:color w:val="000000" w:themeColor="text1"/>
        </w:rPr>
        <w:t xml:space="preserve">, ‘A Chilling Effect? The Impact of International Investment Agreements on National Regulatory Autonomy in the Areas of Health, Safety and the Environment’ (PhD </w:t>
      </w:r>
      <w:r w:rsidR="00ED7A72" w:rsidRPr="005A6DA1">
        <w:rPr>
          <w:rFonts w:cstheme="minorHAnsi"/>
          <w:color w:val="000000" w:themeColor="text1"/>
        </w:rPr>
        <w:t>thesis</w:t>
      </w:r>
      <w:r w:rsidRPr="005A6DA1">
        <w:rPr>
          <w:rFonts w:cstheme="minorHAnsi"/>
          <w:color w:val="000000" w:themeColor="text1"/>
        </w:rPr>
        <w:t>, London School of Economics 2014)</w:t>
      </w:r>
      <w:r w:rsidR="00ED7A72" w:rsidRPr="005A6DA1">
        <w:rPr>
          <w:rFonts w:cstheme="minorHAnsi"/>
          <w:color w:val="000000" w:themeColor="text1"/>
        </w:rPr>
        <w:t>, available at</w:t>
      </w:r>
      <w:r w:rsidRPr="005A6DA1">
        <w:rPr>
          <w:rFonts w:cstheme="minorHAnsi"/>
          <w:color w:val="000000" w:themeColor="text1"/>
        </w:rPr>
        <w:t xml:space="preserve"> </w:t>
      </w:r>
      <w:r w:rsidRPr="005A6DA1">
        <w:rPr>
          <w:rFonts w:cstheme="minorHAnsi"/>
        </w:rPr>
        <w:t>etheses.lse.ac.uk/897/8/Cote_A_Chilling_%20Effect.pdf</w:t>
      </w:r>
      <w:r w:rsidRPr="005A6DA1">
        <w:rPr>
          <w:rFonts w:cstheme="minorHAnsi"/>
          <w:color w:val="000000" w:themeColor="text1"/>
        </w:rPr>
        <w:t>.</w:t>
      </w:r>
    </w:p>
  </w:footnote>
  <w:footnote w:id="72">
    <w:p w14:paraId="4781635B" w14:textId="305DE538"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Sattorova</w:t>
      </w:r>
      <w:r w:rsidR="00ED7A72" w:rsidRPr="005A6DA1">
        <w:t xml:space="preserve"> (n 21)</w:t>
      </w:r>
      <w:r w:rsidRPr="005A6DA1">
        <w:t xml:space="preserve"> 23.</w:t>
      </w:r>
    </w:p>
  </w:footnote>
  <w:footnote w:id="73">
    <w:p w14:paraId="5481E8B9" w14:textId="3D706AC7"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ibid. </w:t>
      </w:r>
    </w:p>
  </w:footnote>
  <w:footnote w:id="74">
    <w:p w14:paraId="45BEBAD6" w14:textId="7D6DCED5"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ibid. </w:t>
      </w:r>
      <w:r w:rsidRPr="005A6DA1">
        <w:rPr>
          <w:rFonts w:cstheme="minorHAnsi"/>
        </w:rPr>
        <w:t xml:space="preserve">Having learnt about the government plans to introduce health warnings and smoking-free zones, the company condemned the proposed regulations as </w:t>
      </w:r>
      <w:r w:rsidR="00BD246E" w:rsidRPr="005A6DA1">
        <w:rPr>
          <w:rFonts w:cstheme="minorHAnsi"/>
        </w:rPr>
        <w:t>‘</w:t>
      </w:r>
      <w:r w:rsidRPr="005A6DA1">
        <w:rPr>
          <w:rFonts w:cstheme="minorHAnsi"/>
        </w:rPr>
        <w:t>seriously interfering with … commercial freedom</w:t>
      </w:r>
      <w:r w:rsidR="00BD246E" w:rsidRPr="005A6DA1">
        <w:rPr>
          <w:rFonts w:cstheme="minorHAnsi"/>
        </w:rPr>
        <w:t>’</w:t>
      </w:r>
      <w:r w:rsidRPr="005A6DA1">
        <w:rPr>
          <w:rFonts w:cstheme="minorHAnsi"/>
        </w:rPr>
        <w:t xml:space="preserve"> and threatened to withdraw its investment. </w:t>
      </w:r>
      <w:r w:rsidRPr="005A6DA1">
        <w:rPr>
          <w:rFonts w:cstheme="minorHAnsi"/>
          <w:color w:val="000000" w:themeColor="text1"/>
        </w:rPr>
        <w:t xml:space="preserve">See further </w:t>
      </w:r>
      <w:r w:rsidRPr="005A6DA1">
        <w:rPr>
          <w:rFonts w:cstheme="minorHAnsi"/>
        </w:rPr>
        <w:t xml:space="preserve">AB Gilmore, J Collin </w:t>
      </w:r>
      <w:r w:rsidR="00ED7A72" w:rsidRPr="005A6DA1">
        <w:rPr>
          <w:rFonts w:cstheme="minorHAnsi"/>
        </w:rPr>
        <w:t xml:space="preserve">and </w:t>
      </w:r>
      <w:r w:rsidRPr="005A6DA1">
        <w:rPr>
          <w:rFonts w:cstheme="minorHAnsi"/>
        </w:rPr>
        <w:t>M McKee, ‘</w:t>
      </w:r>
      <w:r w:rsidRPr="005A6DA1">
        <w:rPr>
          <w:rFonts w:cstheme="minorHAnsi"/>
          <w:iCs/>
        </w:rPr>
        <w:t>British American Tobacco’s Erosion of Health Legislation in Uzbekistan</w:t>
      </w:r>
      <w:r w:rsidRPr="005A6DA1">
        <w:rPr>
          <w:rFonts w:cstheme="minorHAnsi"/>
        </w:rPr>
        <w:t xml:space="preserve">’ (2006) 332 </w:t>
      </w:r>
      <w:r w:rsidRPr="005A6DA1">
        <w:rPr>
          <w:rFonts w:cstheme="minorHAnsi"/>
          <w:i/>
          <w:iCs/>
        </w:rPr>
        <w:t>British Medical Journal</w:t>
      </w:r>
      <w:r w:rsidRPr="005A6DA1">
        <w:rPr>
          <w:rFonts w:cstheme="minorHAnsi"/>
        </w:rPr>
        <w:t xml:space="preserve"> 355; </w:t>
      </w:r>
      <w:r w:rsidRPr="005A6DA1">
        <w:rPr>
          <w:rFonts w:cstheme="minorHAnsi"/>
          <w:color w:val="000000" w:themeColor="text1"/>
        </w:rPr>
        <w:t>J Knight and S Chapman, ‘</w:t>
      </w:r>
      <w:r w:rsidRPr="005A6DA1">
        <w:rPr>
          <w:rFonts w:cstheme="minorHAnsi"/>
          <w:iCs/>
          <w:color w:val="000000" w:themeColor="text1"/>
        </w:rPr>
        <w:t>Asia is Now the Priority Target for the World Anti-Tobacco Movement: Attempts By the Tobacco Industry to Undermine the Asian Antismoking Movement’</w:t>
      </w:r>
      <w:r w:rsidRPr="005A6DA1">
        <w:rPr>
          <w:rFonts w:cstheme="minorHAnsi"/>
          <w:color w:val="000000" w:themeColor="text1"/>
        </w:rPr>
        <w:t xml:space="preserve"> (2004) 13 </w:t>
      </w:r>
      <w:r w:rsidRPr="005A6DA1">
        <w:rPr>
          <w:rFonts w:cstheme="minorHAnsi"/>
          <w:i/>
          <w:iCs/>
          <w:color w:val="000000" w:themeColor="text1"/>
        </w:rPr>
        <w:t>Tobacco Control</w:t>
      </w:r>
      <w:r w:rsidRPr="005A6DA1">
        <w:rPr>
          <w:rFonts w:cstheme="minorHAnsi"/>
          <w:color w:val="000000" w:themeColor="text1"/>
        </w:rPr>
        <w:t xml:space="preserve"> 30. </w:t>
      </w:r>
    </w:p>
  </w:footnote>
  <w:footnote w:id="75">
    <w:p w14:paraId="7F84FF09" w14:textId="7FC6F77C"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J Paine, ‘On Investment Law and Questions of Change’ (2018) 19 </w:t>
      </w:r>
      <w:r w:rsidRPr="005A6DA1">
        <w:rPr>
          <w:i/>
          <w:iCs/>
          <w:color w:val="000000" w:themeColor="text1"/>
        </w:rPr>
        <w:t>Journal of World Investment and Trade</w:t>
      </w:r>
      <w:r w:rsidRPr="005A6DA1">
        <w:rPr>
          <w:color w:val="000000" w:themeColor="text1"/>
        </w:rPr>
        <w:t xml:space="preserve"> 173, 186.</w:t>
      </w:r>
    </w:p>
  </w:footnote>
  <w:footnote w:id="76">
    <w:p w14:paraId="305151DB" w14:textId="165E741A"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JE </w:t>
      </w:r>
      <w:r w:rsidR="008A16E7" w:rsidRPr="005A6DA1">
        <w:rPr>
          <w:rFonts w:cstheme="minorHAnsi"/>
          <w:color w:val="000000" w:themeColor="text1"/>
        </w:rPr>
        <w:t>Viñuales</w:t>
      </w:r>
      <w:r w:rsidRPr="005A6DA1">
        <w:rPr>
          <w:rFonts w:cstheme="minorHAnsi"/>
          <w:color w:val="000000" w:themeColor="text1"/>
        </w:rPr>
        <w:t>, ‘</w:t>
      </w:r>
      <w:r w:rsidRPr="005A6DA1">
        <w:rPr>
          <w:rFonts w:cstheme="minorHAnsi"/>
          <w:iCs/>
          <w:color w:val="000000" w:themeColor="text1"/>
        </w:rPr>
        <w:t>Investor Diligence in Investment Arbitration: Sources and Arguments’</w:t>
      </w:r>
      <w:r w:rsidRPr="005A6DA1">
        <w:rPr>
          <w:rFonts w:cstheme="minorHAnsi"/>
          <w:i/>
          <w:color w:val="000000" w:themeColor="text1"/>
        </w:rPr>
        <w:t xml:space="preserve"> </w:t>
      </w:r>
      <w:r w:rsidRPr="005A6DA1">
        <w:rPr>
          <w:rFonts w:cstheme="minorHAnsi"/>
          <w:color w:val="000000" w:themeColor="text1"/>
        </w:rPr>
        <w:t>(2017)</w:t>
      </w:r>
      <w:r w:rsidRPr="005A6DA1">
        <w:rPr>
          <w:rFonts w:cstheme="minorHAnsi"/>
          <w:i/>
          <w:color w:val="000000" w:themeColor="text1"/>
        </w:rPr>
        <w:t xml:space="preserve"> </w:t>
      </w:r>
      <w:r w:rsidRPr="005A6DA1">
        <w:rPr>
          <w:rFonts w:cstheme="minorHAnsi"/>
          <w:color w:val="000000" w:themeColor="text1"/>
        </w:rPr>
        <w:t xml:space="preserve">32 </w:t>
      </w:r>
      <w:r w:rsidRPr="005A6DA1">
        <w:rPr>
          <w:rFonts w:cstheme="minorHAnsi"/>
          <w:i/>
          <w:iCs/>
          <w:color w:val="000000" w:themeColor="text1"/>
        </w:rPr>
        <w:t>ICSID Review – Foreign Investment Law Journal</w:t>
      </w:r>
      <w:r w:rsidRPr="005A6DA1">
        <w:rPr>
          <w:rFonts w:cstheme="minorHAnsi"/>
          <w:color w:val="000000" w:themeColor="text1"/>
        </w:rPr>
        <w:t xml:space="preserve"> 346, 367.</w:t>
      </w:r>
    </w:p>
  </w:footnote>
  <w:footnote w:id="77">
    <w:p w14:paraId="3ABDFBB3" w14:textId="41BF16F0"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367.</w:t>
      </w:r>
    </w:p>
  </w:footnote>
  <w:footnote w:id="78">
    <w:p w14:paraId="54C5EB1C" w14:textId="5555A563"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ibid. </w:t>
      </w:r>
    </w:p>
  </w:footnote>
  <w:footnote w:id="79">
    <w:p w14:paraId="4699D95A" w14:textId="05E1D7D6"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Z Williams and J Bonnitcha, ‘Politically Motivated Conduct in Investment Treaty Arbitration’ (</w:t>
      </w:r>
      <w:r w:rsidRPr="005A6DA1">
        <w:t>Investment Treaty News</w:t>
      </w:r>
      <w:r w:rsidRPr="005A6DA1">
        <w:rPr>
          <w:color w:val="000000" w:themeColor="text1"/>
        </w:rPr>
        <w:t>, 23 April 2019)</w:t>
      </w:r>
      <w:r w:rsidR="00ED7A72" w:rsidRPr="005A6DA1">
        <w:rPr>
          <w:color w:val="000000" w:themeColor="text1"/>
        </w:rPr>
        <w:t>, available at</w:t>
      </w:r>
      <w:r w:rsidRPr="005A6DA1">
        <w:rPr>
          <w:color w:val="000000" w:themeColor="text1"/>
        </w:rPr>
        <w:t xml:space="preserve"> </w:t>
      </w:r>
      <w:r w:rsidR="00506CEC" w:rsidRPr="005A6DA1">
        <w:rPr>
          <w:color w:val="000000" w:themeColor="text1"/>
        </w:rPr>
        <w:t>www</w:t>
      </w:r>
      <w:r w:rsidRPr="005A6DA1">
        <w:rPr>
          <w:color w:val="000000" w:themeColor="text1"/>
        </w:rPr>
        <w:t xml:space="preserve">.iisd.org/itn/en/2019/04/23/politically-motivated-conduct-in-investment-treaty-arbitration-jonathan-bonnitcha-zoe-williams. </w:t>
      </w:r>
    </w:p>
  </w:footnote>
  <w:footnote w:id="80">
    <w:p w14:paraId="59B288FB" w14:textId="4FEEF8EE"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i/>
          <w:iCs/>
          <w:color w:val="000000" w:themeColor="text1"/>
        </w:rPr>
        <w:t>Bear Creek Mining v Peru</w:t>
      </w:r>
      <w:r w:rsidRPr="005A6DA1">
        <w:rPr>
          <w:rFonts w:cstheme="minorHAnsi"/>
          <w:color w:val="000000" w:themeColor="text1"/>
        </w:rPr>
        <w:t>, Award</w:t>
      </w:r>
      <w:r w:rsidR="00E16C7D" w:rsidRPr="005A6DA1">
        <w:rPr>
          <w:rFonts w:cstheme="minorHAnsi"/>
          <w:color w:val="000000" w:themeColor="text1"/>
        </w:rPr>
        <w:t xml:space="preserve"> (n 48) </w:t>
      </w:r>
      <w:r w:rsidRPr="005A6DA1">
        <w:rPr>
          <w:rFonts w:cstheme="minorHAnsi"/>
          <w:color w:val="000000" w:themeColor="text1"/>
        </w:rPr>
        <w:t>para 560.</w:t>
      </w:r>
    </w:p>
  </w:footnote>
  <w:footnote w:id="81">
    <w:p w14:paraId="313DF8F3" w14:textId="761D99AC"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paras 568</w:t>
      </w:r>
      <w:r w:rsidR="00E16C7D" w:rsidRPr="005A6DA1">
        <w:rPr>
          <w:rFonts w:cstheme="minorHAnsi"/>
          <w:color w:val="000000" w:themeColor="text1"/>
        </w:rPr>
        <w:t>–6</w:t>
      </w:r>
      <w:r w:rsidRPr="005A6DA1">
        <w:rPr>
          <w:rFonts w:cstheme="minorHAnsi"/>
          <w:color w:val="000000" w:themeColor="text1"/>
        </w:rPr>
        <w:t>9.</w:t>
      </w:r>
    </w:p>
  </w:footnote>
  <w:footnote w:id="82">
    <w:p w14:paraId="31844E1B" w14:textId="766BF0EC"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35.</w:t>
      </w:r>
    </w:p>
  </w:footnote>
  <w:footnote w:id="83">
    <w:p w14:paraId="3BB534C1" w14:textId="70C53068"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paras 38</w:t>
      </w:r>
      <w:r w:rsidR="00E16C7D" w:rsidRPr="005A6DA1">
        <w:rPr>
          <w:rFonts w:cstheme="minorHAnsi"/>
          <w:color w:val="000000" w:themeColor="text1"/>
        </w:rPr>
        <w:t>–3</w:t>
      </w:r>
      <w:r w:rsidRPr="005A6DA1">
        <w:rPr>
          <w:rFonts w:cstheme="minorHAnsi"/>
          <w:color w:val="000000" w:themeColor="text1"/>
        </w:rPr>
        <w:t>9.</w:t>
      </w:r>
    </w:p>
  </w:footnote>
  <w:footnote w:id="84">
    <w:p w14:paraId="4BC9A1BA" w14:textId="1E634F6C"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ibid para 9.</w:t>
      </w:r>
    </w:p>
  </w:footnote>
  <w:footnote w:id="85">
    <w:p w14:paraId="1A02105E" w14:textId="241B4A6D"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See </w:t>
      </w:r>
      <w:r w:rsidR="008A16E7" w:rsidRPr="005A6DA1">
        <w:rPr>
          <w:color w:val="000000" w:themeColor="text1"/>
        </w:rPr>
        <w:t>Williams</w:t>
      </w:r>
      <w:r w:rsidRPr="005A6DA1">
        <w:rPr>
          <w:color w:val="000000" w:themeColor="text1"/>
        </w:rPr>
        <w:t xml:space="preserve"> and </w:t>
      </w:r>
      <w:proofErr w:type="spellStart"/>
      <w:r w:rsidRPr="005A6DA1">
        <w:rPr>
          <w:color w:val="000000" w:themeColor="text1"/>
        </w:rPr>
        <w:t>Bonnitcha</w:t>
      </w:r>
      <w:proofErr w:type="spellEnd"/>
      <w:r w:rsidRPr="005A6DA1">
        <w:rPr>
          <w:color w:val="000000" w:themeColor="text1"/>
        </w:rPr>
        <w:t>, ‘Politically Motivated Conduct’</w:t>
      </w:r>
      <w:r w:rsidR="002B7DBB" w:rsidRPr="005A6DA1">
        <w:rPr>
          <w:color w:val="000000" w:themeColor="text1"/>
        </w:rPr>
        <w:t xml:space="preserve"> (2019)</w:t>
      </w:r>
      <w:r w:rsidRPr="005A6DA1">
        <w:rPr>
          <w:color w:val="000000" w:themeColor="text1"/>
        </w:rPr>
        <w:t>.</w:t>
      </w:r>
    </w:p>
  </w:footnote>
  <w:footnote w:id="86">
    <w:p w14:paraId="21E2DAE0" w14:textId="7EA0611E" w:rsidR="00BF43A3" w:rsidRPr="005A6DA1" w:rsidRDefault="00BF43A3" w:rsidP="0091606C">
      <w:pPr>
        <w:pStyle w:val="FootnoteText"/>
        <w:rPr>
          <w:rFonts w:cstheme="minorHAnsi"/>
          <w:iCs/>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 xml:space="preserve">J </w:t>
      </w:r>
      <w:proofErr w:type="spellStart"/>
      <w:r w:rsidRPr="005A6DA1">
        <w:rPr>
          <w:rFonts w:cstheme="minorHAnsi"/>
          <w:color w:val="000000" w:themeColor="text1"/>
        </w:rPr>
        <w:t>Arato</w:t>
      </w:r>
      <w:proofErr w:type="spellEnd"/>
      <w:r w:rsidRPr="005A6DA1">
        <w:rPr>
          <w:rFonts w:cstheme="minorHAnsi"/>
          <w:color w:val="000000" w:themeColor="text1"/>
        </w:rPr>
        <w:t>, ‘</w:t>
      </w:r>
      <w:r w:rsidRPr="005A6DA1">
        <w:rPr>
          <w:rFonts w:cstheme="minorHAnsi"/>
          <w:iCs/>
          <w:color w:val="000000" w:themeColor="text1"/>
        </w:rPr>
        <w:t xml:space="preserve">Corporations as Lawmakers’ (2015) 56 </w:t>
      </w:r>
      <w:r w:rsidRPr="005A6DA1">
        <w:rPr>
          <w:rFonts w:cstheme="minorHAnsi"/>
          <w:i/>
          <w:color w:val="000000" w:themeColor="text1"/>
        </w:rPr>
        <w:t>Harvard International Law Journal</w:t>
      </w:r>
      <w:r w:rsidRPr="005A6DA1">
        <w:rPr>
          <w:rFonts w:cstheme="minorHAnsi"/>
          <w:iCs/>
          <w:color w:val="000000" w:themeColor="text1"/>
        </w:rPr>
        <w:t xml:space="preserve"> 301.</w:t>
      </w:r>
    </w:p>
  </w:footnote>
  <w:footnote w:id="87">
    <w:p w14:paraId="7A496F7D" w14:textId="3D83EF89"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iCs/>
          <w:color w:val="000000" w:themeColor="text1"/>
          <w:szCs w:val="20"/>
        </w:rPr>
        <w:footnoteRef/>
      </w:r>
      <w:r w:rsidR="00AB337E" w:rsidRPr="005A6DA1">
        <w:rPr>
          <w:rFonts w:cstheme="minorHAnsi"/>
          <w:iCs/>
          <w:color w:val="000000" w:themeColor="text1"/>
        </w:rPr>
        <w:t xml:space="preserve"> </w:t>
      </w:r>
      <w:r w:rsidRPr="005A6DA1">
        <w:rPr>
          <w:rFonts w:cstheme="minorHAnsi"/>
          <w:iCs/>
          <w:color w:val="000000" w:themeColor="text1"/>
        </w:rPr>
        <w:t>Under traditional international</w:t>
      </w:r>
      <w:r w:rsidRPr="005A6DA1">
        <w:rPr>
          <w:rFonts w:cstheme="minorHAnsi"/>
          <w:color w:val="000000" w:themeColor="text1"/>
        </w:rPr>
        <w:t xml:space="preserve"> law, it is still questionable whether corporations can be held responsible for international law violations. See for example, I Brownlie, </w:t>
      </w:r>
      <w:r w:rsidRPr="005A6DA1">
        <w:rPr>
          <w:rFonts w:cstheme="minorHAnsi"/>
          <w:i/>
          <w:iCs/>
          <w:color w:val="000000" w:themeColor="text1"/>
        </w:rPr>
        <w:t>Principles of Public International Law</w:t>
      </w:r>
      <w:r w:rsidRPr="005A6DA1">
        <w:rPr>
          <w:rFonts w:cstheme="minorHAnsi"/>
          <w:color w:val="000000" w:themeColor="text1"/>
        </w:rPr>
        <w:t xml:space="preserve"> (Oxford University Press</w:t>
      </w:r>
      <w:r w:rsidR="002B7DBB" w:rsidRPr="005A6DA1">
        <w:rPr>
          <w:rFonts w:cstheme="minorHAnsi"/>
          <w:color w:val="000000" w:themeColor="text1"/>
        </w:rPr>
        <w:t>,</w:t>
      </w:r>
      <w:r w:rsidRPr="005A6DA1">
        <w:rPr>
          <w:rFonts w:cstheme="minorHAnsi"/>
          <w:color w:val="000000" w:themeColor="text1"/>
        </w:rPr>
        <w:t xml:space="preserve"> 2003) 65</w:t>
      </w:r>
      <w:r w:rsidR="005D4ECA" w:rsidRPr="005A6DA1">
        <w:rPr>
          <w:rFonts w:cstheme="minorHAnsi"/>
          <w:color w:val="000000" w:themeColor="text1"/>
        </w:rPr>
        <w:t>;</w:t>
      </w:r>
      <w:r w:rsidR="008A16E7" w:rsidRPr="005A6DA1">
        <w:rPr>
          <w:rFonts w:cstheme="minorHAnsi"/>
          <w:color w:val="000000" w:themeColor="text1"/>
        </w:rPr>
        <w:t xml:space="preserve"> P</w:t>
      </w:r>
      <w:r w:rsidRPr="005A6DA1">
        <w:rPr>
          <w:rFonts w:cstheme="minorHAnsi"/>
          <w:color w:val="000000" w:themeColor="text1"/>
        </w:rPr>
        <w:t xml:space="preserve"> Muchlinski, </w:t>
      </w:r>
      <w:r w:rsidRPr="005A6DA1">
        <w:rPr>
          <w:rFonts w:cstheme="minorHAnsi"/>
          <w:i/>
          <w:iCs/>
          <w:color w:val="000000" w:themeColor="text1"/>
        </w:rPr>
        <w:t xml:space="preserve">Multinational Enterprises and the </w:t>
      </w:r>
      <w:r w:rsidR="008A16E7" w:rsidRPr="005A6DA1">
        <w:rPr>
          <w:rFonts w:cstheme="minorHAnsi"/>
          <w:i/>
          <w:iCs/>
          <w:color w:val="000000" w:themeColor="text1"/>
        </w:rPr>
        <w:t>Law</w:t>
      </w:r>
      <w:r w:rsidR="008A16E7" w:rsidRPr="005A6DA1">
        <w:rPr>
          <w:rFonts w:cstheme="minorHAnsi"/>
          <w:color w:val="000000" w:themeColor="text1"/>
        </w:rPr>
        <w:t xml:space="preserve"> (</w:t>
      </w:r>
      <w:r w:rsidRPr="005A6DA1">
        <w:rPr>
          <w:rFonts w:cstheme="minorHAnsi"/>
          <w:color w:val="000000" w:themeColor="text1"/>
        </w:rPr>
        <w:t>Oxford University Press</w:t>
      </w:r>
      <w:r w:rsidR="002B7DBB" w:rsidRPr="005A6DA1">
        <w:rPr>
          <w:rFonts w:cstheme="minorHAnsi"/>
          <w:color w:val="000000" w:themeColor="text1"/>
        </w:rPr>
        <w:t>,</w:t>
      </w:r>
      <w:r w:rsidRPr="005A6DA1">
        <w:rPr>
          <w:rFonts w:cstheme="minorHAnsi"/>
          <w:color w:val="000000" w:themeColor="text1"/>
        </w:rPr>
        <w:t xml:space="preserve"> 2007) 515. This idea is also reflected in Ruggie’s Guiding Principles, see United Nations Human Rights Council, ‘Guiding Principles on Business and Human Rights: Implementing the United Nations ‘Protect, Respect and Remedy’ Framework’ (21 March 2011) UN Doc HR/PUB/11/04.</w:t>
      </w:r>
    </w:p>
  </w:footnote>
  <w:footnote w:id="88">
    <w:p w14:paraId="26DF2839" w14:textId="6ECB40D1"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242.</w:t>
      </w:r>
    </w:p>
  </w:footnote>
  <w:footnote w:id="89">
    <w:p w14:paraId="5A16D757" w14:textId="5863C239"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r w:rsidRPr="005A6DA1">
        <w:rPr>
          <w:rFonts w:cstheme="minorHAnsi"/>
          <w:color w:val="000000" w:themeColor="text1"/>
        </w:rPr>
        <w:t>ibid para 241.</w:t>
      </w:r>
    </w:p>
  </w:footnote>
  <w:footnote w:id="90">
    <w:p w14:paraId="51FC01B8" w14:textId="48731EF8"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rFonts w:cstheme="minorHAnsi"/>
          <w:i/>
          <w:color w:val="000000" w:themeColor="text1"/>
        </w:rPr>
        <w:t xml:space="preserve">Bear Creek Mining v </w:t>
      </w:r>
      <w:r w:rsidRPr="005A6DA1">
        <w:rPr>
          <w:rFonts w:cstheme="minorHAnsi"/>
          <w:i/>
          <w:color w:val="000000" w:themeColor="text1"/>
          <w:lang w:eastAsia="en-GB"/>
        </w:rPr>
        <w:t>Peru</w:t>
      </w:r>
      <w:r w:rsidRPr="005A6DA1">
        <w:t>,</w:t>
      </w:r>
      <w:r w:rsidRPr="005A6DA1">
        <w:rPr>
          <w:rFonts w:cstheme="minorHAnsi"/>
          <w:i/>
          <w:color w:val="000000" w:themeColor="text1"/>
          <w:lang w:eastAsia="en-GB"/>
        </w:rPr>
        <w:t xml:space="preserve"> </w:t>
      </w:r>
      <w:r w:rsidRPr="005A6DA1">
        <w:rPr>
          <w:rFonts w:cstheme="minorHAnsi"/>
          <w:color w:val="000000" w:themeColor="text1"/>
          <w:lang w:eastAsia="en-GB"/>
        </w:rPr>
        <w:t>Partial Dissenting Opinion of Phillipe Sands</w:t>
      </w:r>
      <w:r w:rsidR="002B7DBB" w:rsidRPr="005A6DA1">
        <w:rPr>
          <w:rFonts w:cstheme="minorHAnsi"/>
          <w:color w:val="000000" w:themeColor="text1"/>
          <w:lang w:eastAsia="en-GB"/>
        </w:rPr>
        <w:t xml:space="preserve"> (n 48)</w:t>
      </w:r>
      <w:r w:rsidRPr="005A6DA1">
        <w:rPr>
          <w:rFonts w:cstheme="minorHAnsi"/>
          <w:color w:val="000000" w:themeColor="text1"/>
          <w:lang w:eastAsia="en-GB"/>
        </w:rPr>
        <w:t xml:space="preserve"> </w:t>
      </w:r>
      <w:r w:rsidRPr="005A6DA1">
        <w:rPr>
          <w:rFonts w:cstheme="minorHAnsi"/>
          <w:color w:val="000000" w:themeColor="text1"/>
        </w:rPr>
        <w:t>para 37.</w:t>
      </w:r>
    </w:p>
  </w:footnote>
  <w:footnote w:id="91">
    <w:p w14:paraId="44999B06" w14:textId="7A9A4564"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See for example, Akpan, ‘Host Community Hostility to Mining </w:t>
      </w:r>
      <w:r w:rsidR="00DE4C4E" w:rsidRPr="005A6DA1">
        <w:rPr>
          <w:color w:val="000000" w:themeColor="text1"/>
        </w:rPr>
        <w:t>P</w:t>
      </w:r>
      <w:r w:rsidRPr="005A6DA1">
        <w:rPr>
          <w:color w:val="000000" w:themeColor="text1"/>
        </w:rPr>
        <w:t>rojects’</w:t>
      </w:r>
      <w:r w:rsidR="00DE4C4E" w:rsidRPr="005A6DA1">
        <w:rPr>
          <w:color w:val="000000" w:themeColor="text1"/>
        </w:rPr>
        <w:t xml:space="preserve"> (2005)</w:t>
      </w:r>
      <w:r w:rsidR="00DE4C4E" w:rsidRPr="005A6DA1">
        <w:rPr>
          <w:rFonts w:cs="Arial"/>
          <w:color w:val="000000" w:themeColor="text1"/>
          <w:shd w:val="clear" w:color="auto" w:fill="FFFFFF"/>
          <w:lang w:eastAsia="en-GB"/>
        </w:rPr>
        <w:t xml:space="preserve"> </w:t>
      </w:r>
      <w:r w:rsidRPr="005A6DA1">
        <w:rPr>
          <w:color w:val="000000" w:themeColor="text1"/>
        </w:rPr>
        <w:t>312</w:t>
      </w:r>
      <w:r w:rsidR="004022D4" w:rsidRPr="005A6DA1">
        <w:rPr>
          <w:color w:val="000000" w:themeColor="text1"/>
        </w:rPr>
        <w:t>.</w:t>
      </w:r>
    </w:p>
  </w:footnote>
  <w:footnote w:id="92">
    <w:p w14:paraId="21D39E08" w14:textId="0588D9C7"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M Gehring and MCC Segger, ‘Overcoming Obstacles with Opportunities: Trade and Investment Agreements for Sustainable Development’ in </w:t>
      </w:r>
      <w:r w:rsidRPr="005A6DA1">
        <w:rPr>
          <w:color w:val="000000" w:themeColor="text1"/>
          <w:lang w:eastAsia="en-GB"/>
        </w:rPr>
        <w:t xml:space="preserve">SW </w:t>
      </w:r>
      <w:proofErr w:type="spellStart"/>
      <w:r w:rsidRPr="005A6DA1">
        <w:rPr>
          <w:color w:val="000000" w:themeColor="text1"/>
          <w:lang w:eastAsia="en-GB"/>
        </w:rPr>
        <w:t>Schill</w:t>
      </w:r>
      <w:proofErr w:type="spellEnd"/>
      <w:r w:rsidRPr="005A6DA1">
        <w:rPr>
          <w:color w:val="000000" w:themeColor="text1"/>
          <w:lang w:eastAsia="en-GB"/>
        </w:rPr>
        <w:t xml:space="preserve">, CJ Tams </w:t>
      </w:r>
      <w:r w:rsidR="00DE4C4E" w:rsidRPr="005A6DA1">
        <w:rPr>
          <w:color w:val="000000" w:themeColor="text1"/>
          <w:lang w:eastAsia="en-GB"/>
        </w:rPr>
        <w:t xml:space="preserve">and </w:t>
      </w:r>
      <w:r w:rsidRPr="005A6DA1">
        <w:rPr>
          <w:color w:val="000000" w:themeColor="text1"/>
          <w:lang w:eastAsia="en-GB"/>
        </w:rPr>
        <w:t xml:space="preserve">R Hofmann (eds), </w:t>
      </w:r>
      <w:r w:rsidRPr="005A6DA1">
        <w:rPr>
          <w:i/>
          <w:color w:val="000000" w:themeColor="text1"/>
          <w:lang w:eastAsia="en-GB"/>
        </w:rPr>
        <w:t xml:space="preserve">International Investment Law and Development: Bridging the Gap </w:t>
      </w:r>
      <w:r w:rsidRPr="005A6DA1">
        <w:rPr>
          <w:iCs/>
          <w:color w:val="000000" w:themeColor="text1"/>
          <w:lang w:eastAsia="en-GB"/>
        </w:rPr>
        <w:t>(</w:t>
      </w:r>
      <w:r w:rsidRPr="005A6DA1">
        <w:rPr>
          <w:color w:val="000000" w:themeColor="text1"/>
          <w:lang w:eastAsia="en-GB"/>
        </w:rPr>
        <w:t>Edward Elgar</w:t>
      </w:r>
      <w:r w:rsidR="00DE4C4E" w:rsidRPr="005A6DA1">
        <w:rPr>
          <w:color w:val="000000" w:themeColor="text1"/>
          <w:lang w:eastAsia="en-GB"/>
        </w:rPr>
        <w:t>,</w:t>
      </w:r>
      <w:r w:rsidRPr="005A6DA1">
        <w:rPr>
          <w:color w:val="000000" w:themeColor="text1"/>
          <w:lang w:eastAsia="en-GB"/>
        </w:rPr>
        <w:t xml:space="preserve"> 2015) </w:t>
      </w:r>
      <w:r w:rsidRPr="005A6DA1">
        <w:rPr>
          <w:color w:val="000000" w:themeColor="text1"/>
        </w:rPr>
        <w:t>109</w:t>
      </w:r>
      <w:r w:rsidR="004022D4" w:rsidRPr="005A6DA1">
        <w:rPr>
          <w:color w:val="000000" w:themeColor="text1"/>
        </w:rPr>
        <w:t>.</w:t>
      </w:r>
    </w:p>
  </w:footnote>
  <w:footnote w:id="93">
    <w:p w14:paraId="467E1DCA" w14:textId="0DD3755C" w:rsidR="00D00859" w:rsidRPr="005A6DA1" w:rsidRDefault="00D00859" w:rsidP="0091606C">
      <w:pPr>
        <w:pStyle w:val="FootnoteText"/>
      </w:pPr>
      <w:r w:rsidRPr="005A6DA1">
        <w:rPr>
          <w:rStyle w:val="FootnoteReference"/>
          <w:rFonts w:ascii="Garamond" w:hAnsi="Garamond"/>
          <w:szCs w:val="20"/>
        </w:rPr>
        <w:footnoteRef/>
      </w:r>
      <w:r w:rsidR="00AB337E" w:rsidRPr="005A6DA1">
        <w:t xml:space="preserve"> </w:t>
      </w:r>
      <w:r w:rsidR="00DE4C4E" w:rsidRPr="005A6DA1">
        <w:t>S</w:t>
      </w:r>
      <w:r w:rsidRPr="005A6DA1">
        <w:t xml:space="preserve">igned 19 </w:t>
      </w:r>
      <w:r w:rsidR="008A16E7" w:rsidRPr="005A6DA1">
        <w:t>February</w:t>
      </w:r>
      <w:r w:rsidRPr="005A6DA1">
        <w:t xml:space="preserve"> 2008, entry into force 1 January 2012, </w:t>
      </w:r>
      <w:r w:rsidR="004E2C07" w:rsidRPr="005A6DA1">
        <w:t>p</w:t>
      </w:r>
      <w:r w:rsidRPr="005A6DA1">
        <w:t>reamble.</w:t>
      </w:r>
    </w:p>
  </w:footnote>
  <w:footnote w:id="94">
    <w:p w14:paraId="348BB63B" w14:textId="33116B0D" w:rsidR="00D00859" w:rsidRPr="005A6DA1" w:rsidRDefault="00D00859" w:rsidP="0091606C">
      <w:pPr>
        <w:pStyle w:val="FootnoteText"/>
      </w:pPr>
      <w:r w:rsidRPr="005A6DA1">
        <w:rPr>
          <w:rStyle w:val="FootnoteReference"/>
          <w:rFonts w:ascii="Garamond" w:hAnsi="Garamond"/>
          <w:szCs w:val="20"/>
        </w:rPr>
        <w:footnoteRef/>
      </w:r>
      <w:r w:rsidR="00AB337E" w:rsidRPr="005A6DA1">
        <w:t xml:space="preserve"> </w:t>
      </w:r>
      <w:r w:rsidR="00DE4C4E" w:rsidRPr="005A6DA1">
        <w:t>S</w:t>
      </w:r>
      <w:r w:rsidR="00A56622" w:rsidRPr="005A6DA1">
        <w:t>igned 4 November 2005, entry into force 31 October 2006,</w:t>
      </w:r>
      <w:r w:rsidR="00DE4C4E" w:rsidRPr="005A6DA1">
        <w:t xml:space="preserve"> A</w:t>
      </w:r>
      <w:r w:rsidR="00A56622" w:rsidRPr="005A6DA1">
        <w:t>rt 12(1).</w:t>
      </w:r>
    </w:p>
  </w:footnote>
  <w:footnote w:id="95">
    <w:p w14:paraId="01C5DB0A" w14:textId="6BAA59A8"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For a discussion, see V Prislan and R Zandvliet, ‘Mainstreaming Sustainable Development into International Investment Agreements: What Role for Labor Provisions?</w:t>
      </w:r>
      <w:r w:rsidR="004022D4" w:rsidRPr="005A6DA1">
        <w:rPr>
          <w:color w:val="000000" w:themeColor="text1"/>
        </w:rPr>
        <w:t>’</w:t>
      </w:r>
      <w:r w:rsidRPr="005A6DA1">
        <w:rPr>
          <w:color w:val="000000" w:themeColor="text1"/>
        </w:rPr>
        <w:t xml:space="preserve"> in </w:t>
      </w:r>
      <w:r w:rsidRPr="005A6DA1">
        <w:rPr>
          <w:color w:val="000000" w:themeColor="text1"/>
          <w:lang w:eastAsia="en-GB"/>
        </w:rPr>
        <w:t xml:space="preserve">SW Schill, CJ Tams and R Hofmann (eds), </w:t>
      </w:r>
      <w:r w:rsidRPr="005A6DA1">
        <w:rPr>
          <w:i/>
          <w:color w:val="000000" w:themeColor="text1"/>
          <w:lang w:eastAsia="en-GB"/>
        </w:rPr>
        <w:t xml:space="preserve">International Investment Law and Development: Bridging the Gap </w:t>
      </w:r>
      <w:r w:rsidRPr="005A6DA1">
        <w:rPr>
          <w:iCs/>
          <w:color w:val="000000" w:themeColor="text1"/>
          <w:lang w:eastAsia="en-GB"/>
        </w:rPr>
        <w:t>(</w:t>
      </w:r>
      <w:r w:rsidRPr="005A6DA1">
        <w:rPr>
          <w:color w:val="000000" w:themeColor="text1"/>
          <w:lang w:eastAsia="en-GB"/>
        </w:rPr>
        <w:t>Edward Elgar</w:t>
      </w:r>
      <w:r w:rsidR="00DE4C4E" w:rsidRPr="005A6DA1">
        <w:rPr>
          <w:color w:val="000000" w:themeColor="text1"/>
          <w:lang w:eastAsia="en-GB"/>
        </w:rPr>
        <w:t>,</w:t>
      </w:r>
      <w:r w:rsidRPr="005A6DA1">
        <w:rPr>
          <w:color w:val="000000" w:themeColor="text1"/>
          <w:lang w:eastAsia="en-GB"/>
        </w:rPr>
        <w:t xml:space="preserve"> 2015) </w:t>
      </w:r>
      <w:r w:rsidRPr="005A6DA1">
        <w:rPr>
          <w:color w:val="000000" w:themeColor="text1"/>
        </w:rPr>
        <w:t>390.</w:t>
      </w:r>
    </w:p>
  </w:footnote>
  <w:footnote w:id="96">
    <w:p w14:paraId="65F82CF8" w14:textId="550BB5A5"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K Warwick, </w:t>
      </w:r>
      <w:r w:rsidRPr="005A6DA1">
        <w:rPr>
          <w:i/>
          <w:iCs/>
        </w:rPr>
        <w:t>Beyond Industrial Policy: Emerging Issues and New Trends</w:t>
      </w:r>
      <w:r w:rsidRPr="005A6DA1">
        <w:t xml:space="preserve"> (OECD Publishing</w:t>
      </w:r>
      <w:r w:rsidR="00DE4C4E" w:rsidRPr="005A6DA1">
        <w:t>,</w:t>
      </w:r>
      <w:r w:rsidRPr="005A6DA1">
        <w:t xml:space="preserve"> 2013) 15.</w:t>
      </w:r>
    </w:p>
  </w:footnote>
  <w:footnote w:id="97">
    <w:p w14:paraId="7CE2222C" w14:textId="036C632A"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008A16E7" w:rsidRPr="005A6DA1">
        <w:t xml:space="preserve">UNCTAD, </w:t>
      </w:r>
      <w:r w:rsidR="00DE4C4E" w:rsidRPr="005A6DA1">
        <w:t>‘</w:t>
      </w:r>
      <w:r w:rsidR="008A16E7" w:rsidRPr="005A6DA1">
        <w:t>World</w:t>
      </w:r>
      <w:r w:rsidRPr="005A6DA1">
        <w:t xml:space="preserve"> Investment Report 2018: Investment and New Industrial Policies</w:t>
      </w:r>
      <w:r w:rsidR="00DE4C4E" w:rsidRPr="005A6DA1">
        <w:t>’</w:t>
      </w:r>
      <w:r w:rsidRPr="005A6DA1">
        <w:t xml:space="preserve"> (United Nations Publication</w:t>
      </w:r>
      <w:r w:rsidR="00DE4C4E" w:rsidRPr="005A6DA1">
        <w:t>,</w:t>
      </w:r>
      <w:r w:rsidRPr="005A6DA1">
        <w:t xml:space="preserve"> 2015) 129</w:t>
      </w:r>
      <w:r w:rsidR="005D4ECA" w:rsidRPr="005A6DA1">
        <w:t>.</w:t>
      </w:r>
    </w:p>
  </w:footnote>
  <w:footnote w:id="98">
    <w:p w14:paraId="0A45EA66" w14:textId="54D74043" w:rsidR="00BF43A3" w:rsidRPr="005A6DA1" w:rsidRDefault="00BF43A3" w:rsidP="0091606C">
      <w:pPr>
        <w:pStyle w:val="FootnoteText"/>
      </w:pPr>
      <w:r w:rsidRPr="005A6DA1">
        <w:rPr>
          <w:rStyle w:val="FootnoteReference"/>
          <w:rFonts w:ascii="Garamond" w:hAnsi="Garamond"/>
          <w:szCs w:val="20"/>
        </w:rPr>
        <w:footnoteRef/>
      </w:r>
      <w:r w:rsidR="00AB337E" w:rsidRPr="005A6DA1">
        <w:rPr>
          <w:rFonts w:eastAsiaTheme="minorHAnsi" w:cstheme="minorBidi"/>
        </w:rPr>
        <w:t xml:space="preserve"> </w:t>
      </w:r>
      <w:r w:rsidRPr="005A6DA1">
        <w:rPr>
          <w:rFonts w:eastAsiaTheme="minorHAnsi" w:cstheme="minorBidi"/>
        </w:rPr>
        <w:t xml:space="preserve">See S </w:t>
      </w:r>
      <w:proofErr w:type="spellStart"/>
      <w:r w:rsidRPr="005A6DA1">
        <w:rPr>
          <w:rFonts w:eastAsiaTheme="minorHAnsi" w:cstheme="minorBidi"/>
        </w:rPr>
        <w:t>Shadikhodjaev</w:t>
      </w:r>
      <w:proofErr w:type="spellEnd"/>
      <w:r w:rsidRPr="005A6DA1">
        <w:rPr>
          <w:rFonts w:eastAsiaTheme="minorHAnsi" w:cstheme="minorBidi"/>
        </w:rPr>
        <w:t xml:space="preserve">, </w:t>
      </w:r>
      <w:r w:rsidRPr="005A6DA1">
        <w:rPr>
          <w:rFonts w:eastAsiaTheme="minorHAnsi" w:cstheme="minorBidi"/>
          <w:i/>
          <w:iCs/>
        </w:rPr>
        <w:t>Industrial Policy and the World Trade</w:t>
      </w:r>
      <w:r w:rsidR="0091606C" w:rsidRPr="005A6DA1">
        <w:rPr>
          <w:rFonts w:eastAsiaTheme="minorHAnsi" w:cstheme="minorBidi"/>
          <w:i/>
          <w:iCs/>
        </w:rPr>
        <w:t xml:space="preserve"> </w:t>
      </w:r>
      <w:r w:rsidRPr="005A6DA1">
        <w:rPr>
          <w:rFonts w:eastAsiaTheme="minorHAnsi" w:cstheme="minorBidi"/>
          <w:i/>
          <w:iCs/>
        </w:rPr>
        <w:t>Organization: Between Legal Constraints and</w:t>
      </w:r>
      <w:r w:rsidR="0091606C" w:rsidRPr="005A6DA1">
        <w:rPr>
          <w:rFonts w:eastAsiaTheme="minorHAnsi" w:cstheme="minorBidi"/>
          <w:i/>
          <w:iCs/>
        </w:rPr>
        <w:t xml:space="preserve"> </w:t>
      </w:r>
      <w:r w:rsidRPr="005A6DA1">
        <w:rPr>
          <w:rFonts w:eastAsiaTheme="minorHAnsi" w:cstheme="minorBidi"/>
          <w:i/>
          <w:iCs/>
        </w:rPr>
        <w:t xml:space="preserve">Flexibilities </w:t>
      </w:r>
      <w:r w:rsidRPr="005A6DA1">
        <w:rPr>
          <w:rFonts w:eastAsiaTheme="minorHAnsi" w:cstheme="minorBidi"/>
        </w:rPr>
        <w:t>(Cambridge University Press</w:t>
      </w:r>
      <w:r w:rsidR="00DE4C4E" w:rsidRPr="005A6DA1">
        <w:rPr>
          <w:rFonts w:eastAsiaTheme="minorHAnsi" w:cstheme="minorBidi"/>
        </w:rPr>
        <w:t>,</w:t>
      </w:r>
      <w:r w:rsidRPr="005A6DA1">
        <w:rPr>
          <w:rFonts w:eastAsiaTheme="minorHAnsi" w:cstheme="minorBidi"/>
        </w:rPr>
        <w:t xml:space="preserve"> 2018) 11</w:t>
      </w:r>
      <w:r w:rsidR="004E2C07" w:rsidRPr="005A6DA1">
        <w:rPr>
          <w:rFonts w:eastAsiaTheme="minorHAnsi" w:cstheme="minorBidi"/>
        </w:rPr>
        <w:t>.</w:t>
      </w:r>
    </w:p>
  </w:footnote>
  <w:footnote w:id="99">
    <w:p w14:paraId="373DFAA3" w14:textId="1FD9C63F"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UNCTAD, </w:t>
      </w:r>
      <w:r w:rsidR="00DE4C4E" w:rsidRPr="005A6DA1">
        <w:rPr>
          <w:color w:val="000000" w:themeColor="text1"/>
        </w:rPr>
        <w:t>‘</w:t>
      </w:r>
      <w:r w:rsidRPr="005A6DA1">
        <w:t>Host Country Operational Measures</w:t>
      </w:r>
      <w:r w:rsidR="00DE4C4E" w:rsidRPr="005A6DA1">
        <w:t>’</w:t>
      </w:r>
      <w:r w:rsidRPr="005A6DA1">
        <w:rPr>
          <w:i/>
          <w:iCs/>
          <w:color w:val="000000" w:themeColor="text1"/>
        </w:rPr>
        <w:t xml:space="preserve"> </w:t>
      </w:r>
      <w:r w:rsidRPr="005A6DA1">
        <w:rPr>
          <w:color w:val="000000" w:themeColor="text1"/>
        </w:rPr>
        <w:t>7, UNCTAD/ITE/IIT/26, UN Sales No. E.01.II.D.18 (2001)</w:t>
      </w:r>
      <w:r w:rsidR="004E2C07" w:rsidRPr="005A6DA1">
        <w:rPr>
          <w:color w:val="000000" w:themeColor="text1"/>
        </w:rPr>
        <w:t>.</w:t>
      </w:r>
      <w:r w:rsidRPr="005A6DA1">
        <w:rPr>
          <w:color w:val="000000" w:themeColor="text1"/>
        </w:rPr>
        <w:t xml:space="preserve"> </w:t>
      </w:r>
    </w:p>
  </w:footnote>
  <w:footnote w:id="100">
    <w:p w14:paraId="5FC4FFCD" w14:textId="41D2E6FD"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ibid 3</w:t>
      </w:r>
      <w:r w:rsidR="004E2C07" w:rsidRPr="005A6DA1">
        <w:rPr>
          <w:color w:val="000000" w:themeColor="text1"/>
        </w:rPr>
        <w:t>.</w:t>
      </w:r>
    </w:p>
  </w:footnote>
  <w:footnote w:id="101">
    <w:p w14:paraId="23964B58" w14:textId="0030A411"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ibid 5</w:t>
      </w:r>
      <w:r w:rsidR="004E2C07" w:rsidRPr="005A6DA1">
        <w:rPr>
          <w:color w:val="000000" w:themeColor="text1"/>
        </w:rPr>
        <w:t>.</w:t>
      </w:r>
    </w:p>
  </w:footnote>
  <w:footnote w:id="102">
    <w:p w14:paraId="57D529B6" w14:textId="2D480C4C"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proofErr w:type="spellStart"/>
      <w:r w:rsidRPr="005A6DA1">
        <w:rPr>
          <w:color w:val="000000" w:themeColor="text1"/>
        </w:rPr>
        <w:t>Aisbett</w:t>
      </w:r>
      <w:proofErr w:type="spellEnd"/>
      <w:r w:rsidR="002F347A" w:rsidRPr="005A6DA1">
        <w:rPr>
          <w:color w:val="000000" w:themeColor="text1"/>
        </w:rPr>
        <w:t xml:space="preserve"> and others (n 20)</w:t>
      </w:r>
      <w:r w:rsidRPr="005A6DA1">
        <w:rPr>
          <w:color w:val="000000" w:themeColor="text1"/>
        </w:rPr>
        <w:t xml:space="preserve"> 58.</w:t>
      </w:r>
    </w:p>
  </w:footnote>
  <w:footnote w:id="103">
    <w:p w14:paraId="27AE148B" w14:textId="3A235398"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proofErr w:type="spellStart"/>
      <w:r w:rsidRPr="005A6DA1">
        <w:t>Shadikhodjaev</w:t>
      </w:r>
      <w:proofErr w:type="spellEnd"/>
      <w:r w:rsidRPr="005A6DA1">
        <w:t xml:space="preserve">, </w:t>
      </w:r>
      <w:r w:rsidR="00DE4C4E" w:rsidRPr="005A6DA1">
        <w:rPr>
          <w:rFonts w:eastAsiaTheme="minorHAnsi" w:cstheme="minorBidi"/>
          <w:i/>
          <w:iCs/>
        </w:rPr>
        <w:t>Industrial Policy and the World Trade Organization</w:t>
      </w:r>
      <w:r w:rsidR="00DE4C4E" w:rsidRPr="005A6DA1">
        <w:t xml:space="preserve"> (2018) </w:t>
      </w:r>
      <w:r w:rsidRPr="005A6DA1">
        <w:t>11.</w:t>
      </w:r>
    </w:p>
  </w:footnote>
  <w:footnote w:id="104">
    <w:p w14:paraId="5C56E1C6" w14:textId="557B2A5D"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ibid 57</w:t>
      </w:r>
      <w:r w:rsidR="00DE4C4E" w:rsidRPr="005A6DA1">
        <w:rPr>
          <w:color w:val="000000" w:themeColor="text1"/>
        </w:rPr>
        <w:t>–5</w:t>
      </w:r>
      <w:r w:rsidRPr="005A6DA1">
        <w:rPr>
          <w:color w:val="000000" w:themeColor="text1"/>
        </w:rPr>
        <w:t>8.</w:t>
      </w:r>
    </w:p>
  </w:footnote>
  <w:footnote w:id="105">
    <w:p w14:paraId="0C205B80" w14:textId="53AD39C8"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See for example, recent Canadian IIAs that feature public policy exceptions from the prohibition of performance requirements.</w:t>
      </w:r>
    </w:p>
  </w:footnote>
  <w:footnote w:id="106">
    <w:p w14:paraId="49316859" w14:textId="6C956F0F" w:rsidR="00BF43A3" w:rsidRPr="005A6DA1"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Similar arguments have been driving much of international trade scholarship. For a critique, see Shaffer</w:t>
      </w:r>
      <w:r w:rsidR="004A0E50" w:rsidRPr="005A6DA1">
        <w:rPr>
          <w:color w:val="000000" w:themeColor="text1"/>
        </w:rPr>
        <w:t xml:space="preserve"> (n 8)</w:t>
      </w:r>
      <w:r w:rsidRPr="005A6DA1">
        <w:rPr>
          <w:color w:val="000000" w:themeColor="text1"/>
        </w:rPr>
        <w:t xml:space="preserve"> 11.</w:t>
      </w:r>
    </w:p>
  </w:footnote>
  <w:footnote w:id="107">
    <w:p w14:paraId="742DBD99" w14:textId="6625100E" w:rsidR="00BF43A3" w:rsidRPr="005A6DA1" w:rsidRDefault="00BF43A3" w:rsidP="0091606C">
      <w:pPr>
        <w:pStyle w:val="FootnoteText"/>
        <w:rPr>
          <w:rFonts w:cstheme="minorHAnsi"/>
          <w:color w:val="000000" w:themeColor="text1"/>
        </w:rPr>
      </w:pPr>
      <w:r w:rsidRPr="005A6DA1">
        <w:rPr>
          <w:rStyle w:val="FootnoteReference"/>
          <w:rFonts w:ascii="Garamond" w:hAnsi="Garamond" w:cstheme="minorHAnsi"/>
          <w:color w:val="000000" w:themeColor="text1"/>
          <w:szCs w:val="20"/>
        </w:rPr>
        <w:footnoteRef/>
      </w:r>
      <w:r w:rsidR="00AB337E" w:rsidRPr="005A6DA1">
        <w:rPr>
          <w:rFonts w:cstheme="minorHAnsi"/>
          <w:color w:val="000000" w:themeColor="text1"/>
        </w:rPr>
        <w:t xml:space="preserve"> </w:t>
      </w:r>
      <w:proofErr w:type="spellStart"/>
      <w:r w:rsidRPr="005A6DA1">
        <w:rPr>
          <w:rFonts w:cstheme="minorHAnsi"/>
          <w:color w:val="000000" w:themeColor="text1"/>
        </w:rPr>
        <w:t>Nowrot</w:t>
      </w:r>
      <w:proofErr w:type="spellEnd"/>
      <w:r w:rsidR="00DE4C4E" w:rsidRPr="005A6DA1">
        <w:rPr>
          <w:color w:val="000000" w:themeColor="text1"/>
        </w:rPr>
        <w:t xml:space="preserve">, ‘Legal Consequences of Globalization’ </w:t>
      </w:r>
      <w:r w:rsidR="00DE4C4E" w:rsidRPr="005A6DA1">
        <w:rPr>
          <w:rFonts w:cstheme="minorHAnsi"/>
          <w:color w:val="000000" w:themeColor="text1"/>
        </w:rPr>
        <w:t>(1999)</w:t>
      </w:r>
      <w:r w:rsidRPr="005A6DA1">
        <w:rPr>
          <w:rFonts w:cstheme="minorHAnsi"/>
          <w:color w:val="000000" w:themeColor="text1"/>
        </w:rPr>
        <w:t xml:space="preserve"> 631.</w:t>
      </w:r>
    </w:p>
  </w:footnote>
  <w:footnote w:id="108">
    <w:p w14:paraId="3D7B5F05" w14:textId="27908E7A"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Z Gao, </w:t>
      </w:r>
      <w:r w:rsidRPr="005A6DA1">
        <w:rPr>
          <w:i/>
          <w:iCs/>
        </w:rPr>
        <w:t>International Petroleum Contracts: Current Trends and New Directions</w:t>
      </w:r>
      <w:r w:rsidRPr="005A6DA1">
        <w:t xml:space="preserve"> (</w:t>
      </w:r>
      <w:proofErr w:type="spellStart"/>
      <w:r w:rsidRPr="005A6DA1">
        <w:t>Martinus</w:t>
      </w:r>
      <w:proofErr w:type="spellEnd"/>
      <w:r w:rsidRPr="005A6DA1">
        <w:t xml:space="preserve"> </w:t>
      </w:r>
      <w:proofErr w:type="spellStart"/>
      <w:r w:rsidRPr="005A6DA1">
        <w:t>Nijhoff</w:t>
      </w:r>
      <w:proofErr w:type="spellEnd"/>
      <w:r w:rsidR="00DE4C4E" w:rsidRPr="005A6DA1">
        <w:t>,</w:t>
      </w:r>
      <w:r w:rsidRPr="005A6DA1">
        <w:t xml:space="preserve"> 1994) 11.</w:t>
      </w:r>
    </w:p>
  </w:footnote>
  <w:footnote w:id="109">
    <w:p w14:paraId="28679158" w14:textId="4F455442"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ibid 13.</w:t>
      </w:r>
    </w:p>
  </w:footnote>
  <w:footnote w:id="110">
    <w:p w14:paraId="559D16E6" w14:textId="0320F6B8"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S Asante, ‘Restructuring Transnational Mineral Agreements’ (1979) 73 </w:t>
      </w:r>
      <w:r w:rsidRPr="005A6DA1">
        <w:rPr>
          <w:i/>
          <w:iCs/>
        </w:rPr>
        <w:t>American Journal of International Law</w:t>
      </w:r>
      <w:r w:rsidRPr="005A6DA1">
        <w:t xml:space="preserve"> 335, 339. </w:t>
      </w:r>
      <w:r w:rsidRPr="005A6DA1">
        <w:rPr>
          <w:rFonts w:cstheme="minorHAnsi"/>
          <w:color w:val="000000" w:themeColor="text1"/>
        </w:rPr>
        <w:t>This description resonates startlingly with contemporary debates over the taxation of profits of multinational corporations.</w:t>
      </w:r>
    </w:p>
  </w:footnote>
  <w:footnote w:id="111">
    <w:p w14:paraId="2F6AB696" w14:textId="365CD3F8"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Gao</w:t>
      </w:r>
      <w:r w:rsidR="00DE4C4E" w:rsidRPr="005A6DA1">
        <w:t xml:space="preserve">, </w:t>
      </w:r>
      <w:r w:rsidR="00DE4C4E" w:rsidRPr="005A6DA1">
        <w:rPr>
          <w:i/>
          <w:iCs/>
        </w:rPr>
        <w:t>International Petroleum Contracts</w:t>
      </w:r>
      <w:r w:rsidR="00DE4C4E" w:rsidRPr="005A6DA1">
        <w:t xml:space="preserve"> (1994)</w:t>
      </w:r>
      <w:r w:rsidRPr="005A6DA1">
        <w:t xml:space="preserve"> 14.</w:t>
      </w:r>
    </w:p>
  </w:footnote>
  <w:footnote w:id="112">
    <w:p w14:paraId="6D6B3338" w14:textId="2F266C3B"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Asante</w:t>
      </w:r>
      <w:r w:rsidR="00DE4C4E" w:rsidRPr="005A6DA1">
        <w:t>, ‘Restructuring’ (1979)</w:t>
      </w:r>
      <w:r w:rsidRPr="005A6DA1">
        <w:t xml:space="preserve"> 338.</w:t>
      </w:r>
    </w:p>
  </w:footnote>
  <w:footnote w:id="113">
    <w:p w14:paraId="71872795" w14:textId="51527B4A"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Gao</w:t>
      </w:r>
      <w:r w:rsidR="00DE4C4E" w:rsidRPr="005A6DA1">
        <w:t xml:space="preserve"> (n 108) </w:t>
      </w:r>
      <w:r w:rsidRPr="005A6DA1">
        <w:t>17.</w:t>
      </w:r>
    </w:p>
  </w:footnote>
  <w:footnote w:id="114">
    <w:p w14:paraId="396FDA96" w14:textId="0487E852"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See, for instance, ibid 55 (discussing changes introduced by Thailand into its petroleum concessions).</w:t>
      </w:r>
    </w:p>
  </w:footnote>
  <w:footnote w:id="115">
    <w:p w14:paraId="4CF05510" w14:textId="27D55AEF"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ibid 92, discussing Indonesian PSCs.</w:t>
      </w:r>
    </w:p>
  </w:footnote>
  <w:footnote w:id="116">
    <w:p w14:paraId="44E6E43F" w14:textId="7B58A1D7"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Asante</w:t>
      </w:r>
      <w:r w:rsidR="00DE4C4E" w:rsidRPr="005A6DA1">
        <w:t xml:space="preserve"> (n 110) </w:t>
      </w:r>
      <w:r w:rsidRPr="005A6DA1">
        <w:t>359.</w:t>
      </w:r>
    </w:p>
  </w:footnote>
  <w:footnote w:id="117">
    <w:p w14:paraId="1DB18443" w14:textId="180FC073"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ibid 369</w:t>
      </w:r>
      <w:r w:rsidR="004E2C07" w:rsidRPr="005A6DA1">
        <w:t>.</w:t>
      </w:r>
    </w:p>
  </w:footnote>
  <w:footnote w:id="118">
    <w:p w14:paraId="0DB3F98F" w14:textId="2EDE1C23"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ibid 370</w:t>
      </w:r>
      <w:r w:rsidR="004E2C07" w:rsidRPr="005A6DA1">
        <w:t>.</w:t>
      </w:r>
    </w:p>
  </w:footnote>
  <w:footnote w:id="119">
    <w:p w14:paraId="5A34C748" w14:textId="474CDBB0"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ibid.</w:t>
      </w:r>
    </w:p>
  </w:footnote>
  <w:footnote w:id="120">
    <w:p w14:paraId="2AB00480" w14:textId="675D6328"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J </w:t>
      </w:r>
      <w:proofErr w:type="spellStart"/>
      <w:r w:rsidRPr="005A6DA1">
        <w:t>Gathii</w:t>
      </w:r>
      <w:proofErr w:type="spellEnd"/>
      <w:r w:rsidRPr="005A6DA1">
        <w:t xml:space="preserve"> and IT </w:t>
      </w:r>
      <w:proofErr w:type="spellStart"/>
      <w:r w:rsidRPr="005A6DA1">
        <w:t>Odumosu-Ayanu</w:t>
      </w:r>
      <w:proofErr w:type="spellEnd"/>
      <w:r w:rsidRPr="005A6DA1">
        <w:t xml:space="preserve">, ‘The Turn to Contractual Responsibility in the Global Extractive Industry’ (2016) 1 </w:t>
      </w:r>
      <w:r w:rsidRPr="005A6DA1">
        <w:rPr>
          <w:i/>
          <w:iCs/>
        </w:rPr>
        <w:t>Business and Human Rights Journal</w:t>
      </w:r>
      <w:r w:rsidRPr="005A6DA1">
        <w:t xml:space="preserve"> 69, 85</w:t>
      </w:r>
      <w:r w:rsidR="004E2C07" w:rsidRPr="005A6DA1">
        <w:t>.</w:t>
      </w:r>
      <w:r w:rsidRPr="005A6DA1">
        <w:t xml:space="preserve"> </w:t>
      </w:r>
    </w:p>
  </w:footnote>
  <w:footnote w:id="121">
    <w:p w14:paraId="5769A3FE" w14:textId="2D60DA85"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There are numerous instances of local community grievances escalating into protests and led to the termination of the project and investors’ exit from the country. See for example, </w:t>
      </w:r>
      <w:r w:rsidRPr="005A6DA1">
        <w:rPr>
          <w:lang w:eastAsia="en-GB"/>
        </w:rPr>
        <w:t xml:space="preserve">D Kemp and JR Owen, ‘Community Relations and Mining: Core to Business But Not </w:t>
      </w:r>
      <w:r w:rsidR="00794726" w:rsidRPr="005A6DA1">
        <w:rPr>
          <w:lang w:eastAsia="en-GB"/>
        </w:rPr>
        <w:t>“</w:t>
      </w:r>
      <w:r w:rsidRPr="005A6DA1">
        <w:rPr>
          <w:lang w:eastAsia="en-GB"/>
        </w:rPr>
        <w:t>Core Business</w:t>
      </w:r>
      <w:r w:rsidR="00794726" w:rsidRPr="005A6DA1">
        <w:rPr>
          <w:lang w:eastAsia="en-GB"/>
        </w:rPr>
        <w:t>”</w:t>
      </w:r>
      <w:r w:rsidRPr="005A6DA1">
        <w:rPr>
          <w:lang w:eastAsia="en-GB"/>
        </w:rPr>
        <w:t>(2013) 38</w:t>
      </w:r>
      <w:r w:rsidR="00794726" w:rsidRPr="005A6DA1">
        <w:rPr>
          <w:lang w:eastAsia="en-GB"/>
        </w:rPr>
        <w:t xml:space="preserve"> </w:t>
      </w:r>
      <w:r w:rsidRPr="005A6DA1">
        <w:rPr>
          <w:i/>
          <w:iCs/>
          <w:lang w:eastAsia="en-GB"/>
        </w:rPr>
        <w:t xml:space="preserve">Resources Policy </w:t>
      </w:r>
      <w:r w:rsidRPr="005A6DA1">
        <w:rPr>
          <w:lang w:eastAsia="en-GB"/>
        </w:rPr>
        <w:t>523;</w:t>
      </w:r>
      <w:r w:rsidR="00447B1C" w:rsidRPr="005A6DA1">
        <w:rPr>
          <w:lang w:eastAsia="en-GB"/>
        </w:rPr>
        <w:t xml:space="preserve"> </w:t>
      </w:r>
      <w:r w:rsidRPr="005A6DA1">
        <w:rPr>
          <w:lang w:eastAsia="en-GB"/>
        </w:rPr>
        <w:t xml:space="preserve">G Bridge, ‘Contested </w:t>
      </w:r>
      <w:r w:rsidR="004022D4" w:rsidRPr="005A6DA1">
        <w:rPr>
          <w:lang w:eastAsia="en-GB"/>
        </w:rPr>
        <w:t>T</w:t>
      </w:r>
      <w:r w:rsidRPr="005A6DA1">
        <w:rPr>
          <w:lang w:eastAsia="en-GB"/>
        </w:rPr>
        <w:t xml:space="preserve">errain: </w:t>
      </w:r>
      <w:r w:rsidR="004022D4" w:rsidRPr="005A6DA1">
        <w:rPr>
          <w:lang w:eastAsia="en-GB"/>
        </w:rPr>
        <w:t>M</w:t>
      </w:r>
      <w:r w:rsidRPr="005A6DA1">
        <w:rPr>
          <w:lang w:eastAsia="en-GB"/>
        </w:rPr>
        <w:t xml:space="preserve">ining and the </w:t>
      </w:r>
      <w:r w:rsidR="004022D4" w:rsidRPr="005A6DA1">
        <w:rPr>
          <w:lang w:eastAsia="en-GB"/>
        </w:rPr>
        <w:t>E</w:t>
      </w:r>
      <w:r w:rsidRPr="005A6DA1">
        <w:rPr>
          <w:lang w:eastAsia="en-GB"/>
        </w:rPr>
        <w:t xml:space="preserve">nvironment’ (2004) 29 </w:t>
      </w:r>
      <w:r w:rsidRPr="005A6DA1">
        <w:rPr>
          <w:i/>
          <w:iCs/>
          <w:lang w:eastAsia="en-GB"/>
        </w:rPr>
        <w:t xml:space="preserve">Annual Review of Environment and Resources </w:t>
      </w:r>
      <w:r w:rsidRPr="005A6DA1">
        <w:rPr>
          <w:lang w:eastAsia="en-GB"/>
        </w:rPr>
        <w:t xml:space="preserve">205; J Costanza, ‘Mining Conflict and the Politics Of Obtaining a Social License: Insight From Guatemala’ (2016) 79 </w:t>
      </w:r>
      <w:r w:rsidRPr="005A6DA1">
        <w:rPr>
          <w:i/>
          <w:iCs/>
          <w:lang w:eastAsia="en-GB"/>
        </w:rPr>
        <w:t>World Developmen</w:t>
      </w:r>
      <w:r w:rsidRPr="005A6DA1">
        <w:rPr>
          <w:lang w:eastAsia="en-GB"/>
        </w:rPr>
        <w:t>t 97; A Doolotkeldieva, ‘Regulating Corporate Social Responsibility (CSR) in the Large-Scale Mining Sector of Kyrgyzstan’ (</w:t>
      </w:r>
      <w:r w:rsidRPr="005A6DA1">
        <w:t>OSCE Academy Policy Brief No 60,</w:t>
      </w:r>
      <w:r w:rsidRPr="005A6DA1">
        <w:rPr>
          <w:lang w:eastAsia="en-GB"/>
        </w:rPr>
        <w:t xml:space="preserve"> 2020)</w:t>
      </w:r>
      <w:r w:rsidR="00794726" w:rsidRPr="005A6DA1">
        <w:rPr>
          <w:lang w:eastAsia="en-GB"/>
        </w:rPr>
        <w:t>, available at</w:t>
      </w:r>
      <w:r w:rsidRPr="005A6DA1">
        <w:rPr>
          <w:lang w:eastAsia="en-GB"/>
        </w:rPr>
        <w:t xml:space="preserve"> osce-academy.net/upload/file/PB_60_May.pdf.</w:t>
      </w:r>
    </w:p>
  </w:footnote>
  <w:footnote w:id="122">
    <w:p w14:paraId="27FA45E1" w14:textId="0C4DA976" w:rsidR="00BF43A3" w:rsidRPr="005A6DA1" w:rsidRDefault="00BF43A3" w:rsidP="0091606C">
      <w:pPr>
        <w:pStyle w:val="FootnoteText"/>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Pr="005A6DA1">
        <w:rPr>
          <w:color w:val="000000" w:themeColor="text1"/>
        </w:rPr>
        <w:t xml:space="preserve">J </w:t>
      </w:r>
      <w:proofErr w:type="spellStart"/>
      <w:r w:rsidRPr="005A6DA1">
        <w:rPr>
          <w:color w:val="000000" w:themeColor="text1"/>
        </w:rPr>
        <w:t>Hea</w:t>
      </w:r>
      <w:r w:rsidR="00D07E94" w:rsidRPr="005A6DA1">
        <w:rPr>
          <w:color w:val="000000" w:themeColor="text1"/>
        </w:rPr>
        <w:t>t</w:t>
      </w:r>
      <w:r w:rsidRPr="005A6DA1">
        <w:rPr>
          <w:color w:val="000000" w:themeColor="text1"/>
        </w:rPr>
        <w:t>her</w:t>
      </w:r>
      <w:r w:rsidR="00D07E94" w:rsidRPr="005A6DA1">
        <w:rPr>
          <w:color w:val="000000" w:themeColor="text1"/>
        </w:rPr>
        <w:t>sh</w:t>
      </w:r>
      <w:r w:rsidRPr="005A6DA1">
        <w:rPr>
          <w:color w:val="000000" w:themeColor="text1"/>
        </w:rPr>
        <w:t>aw</w:t>
      </w:r>
      <w:proofErr w:type="spellEnd"/>
      <w:r w:rsidRPr="005A6DA1">
        <w:rPr>
          <w:color w:val="000000" w:themeColor="text1"/>
        </w:rPr>
        <w:t xml:space="preserve"> and A </w:t>
      </w:r>
      <w:proofErr w:type="spellStart"/>
      <w:r w:rsidRPr="005A6DA1">
        <w:rPr>
          <w:color w:val="000000" w:themeColor="text1"/>
        </w:rPr>
        <w:t>Doolotkeldieva</w:t>
      </w:r>
      <w:proofErr w:type="spellEnd"/>
      <w:r w:rsidRPr="005A6DA1">
        <w:rPr>
          <w:color w:val="000000" w:themeColor="text1"/>
        </w:rPr>
        <w:t xml:space="preserve">, ‘State as Resource, Mediator and Performer: Understanding the Local and Global Politics of Gold Mining in Kyrgyzstan’ (2015) 34 </w:t>
      </w:r>
      <w:r w:rsidRPr="005A6DA1">
        <w:rPr>
          <w:i/>
          <w:iCs/>
        </w:rPr>
        <w:t>Central Asian Survey</w:t>
      </w:r>
      <w:r w:rsidRPr="005A6DA1">
        <w:t xml:space="preserve"> 93.</w:t>
      </w:r>
    </w:p>
  </w:footnote>
  <w:footnote w:id="123">
    <w:p w14:paraId="1CEFB55C" w14:textId="10ABCB4C" w:rsidR="00D07E94" w:rsidRPr="005A6DA1" w:rsidRDefault="00D07E94" w:rsidP="0091606C">
      <w:pPr>
        <w:pStyle w:val="FootnoteText"/>
        <w:rPr>
          <w:lang w:val="en-SG"/>
        </w:rPr>
      </w:pPr>
      <w:r w:rsidRPr="005A6DA1">
        <w:rPr>
          <w:rStyle w:val="FootnoteReference"/>
          <w:rFonts w:ascii="Garamond" w:hAnsi="Garamond"/>
          <w:szCs w:val="20"/>
        </w:rPr>
        <w:footnoteRef/>
      </w:r>
      <w:r w:rsidR="00AB337E" w:rsidRPr="005A6DA1">
        <w:t xml:space="preserve"> </w:t>
      </w:r>
      <w:r w:rsidR="00245AE8" w:rsidRPr="005A6DA1">
        <w:rPr>
          <w:lang w:val="en-SG"/>
        </w:rPr>
        <w:t>RW Roeder, ‘Applying for the Social License to Operate by Corporate Social Responsibility Policies and Actions’ in RW Roeder (ed)</w:t>
      </w:r>
      <w:r w:rsidR="00794726" w:rsidRPr="005A6DA1">
        <w:rPr>
          <w:lang w:val="en-SG"/>
        </w:rPr>
        <w:t>,</w:t>
      </w:r>
      <w:r w:rsidR="0091606C" w:rsidRPr="005A6DA1">
        <w:rPr>
          <w:lang w:val="en-SG"/>
        </w:rPr>
        <w:t xml:space="preserve"> </w:t>
      </w:r>
      <w:r w:rsidR="00245AE8" w:rsidRPr="005A6DA1">
        <w:rPr>
          <w:i/>
          <w:iCs/>
          <w:lang w:val="en-SG"/>
        </w:rPr>
        <w:t>Foreign Mining Investment Law</w:t>
      </w:r>
      <w:r w:rsidR="0091606C" w:rsidRPr="005A6DA1">
        <w:rPr>
          <w:lang w:val="en-SG"/>
        </w:rPr>
        <w:t xml:space="preserve"> </w:t>
      </w:r>
      <w:r w:rsidR="00245AE8" w:rsidRPr="005A6DA1">
        <w:rPr>
          <w:lang w:val="en-SG"/>
        </w:rPr>
        <w:t>(Springer,</w:t>
      </w:r>
      <w:r w:rsidR="0091606C" w:rsidRPr="005A6DA1">
        <w:rPr>
          <w:lang w:val="en-SG"/>
        </w:rPr>
        <w:t xml:space="preserve"> </w:t>
      </w:r>
      <w:r w:rsidR="00245AE8" w:rsidRPr="005A6DA1">
        <w:rPr>
          <w:lang w:val="en-SG"/>
        </w:rPr>
        <w:t xml:space="preserve">2016) 145; also JR Owen and D Kemp, ‘Social licence and mining: A critical perspective’ (2013) 38 </w:t>
      </w:r>
      <w:r w:rsidR="00245AE8" w:rsidRPr="005A6DA1">
        <w:rPr>
          <w:i/>
          <w:lang w:val="en-SG"/>
        </w:rPr>
        <w:t>Resources Policy</w:t>
      </w:r>
      <w:r w:rsidR="00245AE8" w:rsidRPr="005A6DA1">
        <w:rPr>
          <w:lang w:val="en-SG"/>
        </w:rPr>
        <w:t xml:space="preserve"> 29</w:t>
      </w:r>
      <w:r w:rsidR="00794726" w:rsidRPr="005A6DA1">
        <w:rPr>
          <w:lang w:val="en-SG"/>
        </w:rPr>
        <w:t>–</w:t>
      </w:r>
      <w:r w:rsidR="00245AE8" w:rsidRPr="005A6DA1">
        <w:rPr>
          <w:lang w:val="en-SG"/>
        </w:rPr>
        <w:t>35.</w:t>
      </w:r>
    </w:p>
  </w:footnote>
  <w:footnote w:id="124">
    <w:p w14:paraId="64E4C8F7" w14:textId="6AD2EF6F"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 xml:space="preserve">H Mann and others, </w:t>
      </w:r>
      <w:r w:rsidR="00794726" w:rsidRPr="005A6DA1">
        <w:t>‘</w:t>
      </w:r>
      <w:r w:rsidR="00EE3578" w:rsidRPr="005A6DA1">
        <w:t>II</w:t>
      </w:r>
      <w:r w:rsidRPr="005A6DA1">
        <w:t xml:space="preserve">SD Report: Model Mining Development Agreement </w:t>
      </w:r>
      <w:r w:rsidR="00EE3578" w:rsidRPr="005A6DA1">
        <w:t xml:space="preserve">– </w:t>
      </w:r>
      <w:r w:rsidRPr="005A6DA1">
        <w:t>Transparency Template</w:t>
      </w:r>
      <w:r w:rsidR="00794726" w:rsidRPr="005A6DA1">
        <w:t>’</w:t>
      </w:r>
      <w:r w:rsidRPr="005A6DA1">
        <w:t xml:space="preserve"> (The International Institute for Sustainable Development 2012) 3; see also L Cotula, </w:t>
      </w:r>
      <w:r w:rsidRPr="005A6DA1">
        <w:rPr>
          <w:i/>
          <w:iCs/>
        </w:rPr>
        <w:t>Investment Contracts and Sustainable Development: How to Make Contractors for Fairer and More Sustainable Natural Resource Investments</w:t>
      </w:r>
      <w:r w:rsidRPr="005A6DA1">
        <w:t xml:space="preserve"> (International Institute for Environment and Development</w:t>
      </w:r>
      <w:r w:rsidR="00794726" w:rsidRPr="005A6DA1">
        <w:t>,</w:t>
      </w:r>
      <w:r w:rsidRPr="005A6DA1">
        <w:t xml:space="preserve"> 2010).</w:t>
      </w:r>
    </w:p>
  </w:footnote>
  <w:footnote w:id="125">
    <w:p w14:paraId="22857927" w14:textId="5B0A88BA"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Gilbert</w:t>
      </w:r>
      <w:r w:rsidR="00794726" w:rsidRPr="005A6DA1">
        <w:t xml:space="preserve">, </w:t>
      </w:r>
      <w:r w:rsidR="00794726" w:rsidRPr="005A6DA1">
        <w:rPr>
          <w:i/>
          <w:iCs/>
        </w:rPr>
        <w:t>Natural Resources and Human Rights</w:t>
      </w:r>
      <w:r w:rsidRPr="005A6DA1">
        <w:t xml:space="preserve"> </w:t>
      </w:r>
      <w:r w:rsidR="00794726" w:rsidRPr="005A6DA1">
        <w:t xml:space="preserve">(2018) </w:t>
      </w:r>
      <w:r w:rsidRPr="005A6DA1">
        <w:t>82.</w:t>
      </w:r>
    </w:p>
  </w:footnote>
  <w:footnote w:id="126">
    <w:p w14:paraId="75F2CA24" w14:textId="3DE7D82A"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For a critique, see Gilber</w:t>
      </w:r>
      <w:r w:rsidR="00A731EF" w:rsidRPr="005A6DA1">
        <w:t>t (n 66)</w:t>
      </w:r>
      <w:r w:rsidRPr="005A6DA1">
        <w:t xml:space="preserve"> 83</w:t>
      </w:r>
      <w:r w:rsidR="004E2C07" w:rsidRPr="005A6DA1">
        <w:t>;</w:t>
      </w:r>
      <w:r w:rsidRPr="005A6DA1">
        <w:t xml:space="preserve"> </w:t>
      </w:r>
      <w:proofErr w:type="gramStart"/>
      <w:r w:rsidRPr="005A6DA1">
        <w:t>also</w:t>
      </w:r>
      <w:proofErr w:type="gramEnd"/>
      <w:r w:rsidRPr="005A6DA1">
        <w:t xml:space="preserve"> </w:t>
      </w:r>
      <w:r w:rsidR="00EE3578" w:rsidRPr="005A6DA1">
        <w:t>E</w:t>
      </w:r>
      <w:r w:rsidRPr="005A6DA1">
        <w:t xml:space="preserve"> Cameron and </w:t>
      </w:r>
      <w:r w:rsidR="00EE3578" w:rsidRPr="005A6DA1">
        <w:t>T</w:t>
      </w:r>
      <w:r w:rsidRPr="005A6DA1">
        <w:t xml:space="preserve"> Levitan, </w:t>
      </w:r>
      <w:r w:rsidR="00EE3578" w:rsidRPr="005A6DA1">
        <w:t>‘</w:t>
      </w:r>
      <w:r w:rsidRPr="005A6DA1">
        <w:t>Impact and Benefit Agreements and the Neoliberalization of Resource Governance and Indigenous-State Relations in Northern Canada</w:t>
      </w:r>
      <w:r w:rsidR="00EE3578" w:rsidRPr="005A6DA1">
        <w:t>’</w:t>
      </w:r>
      <w:r w:rsidRPr="005A6DA1">
        <w:t xml:space="preserve"> (2014) 93 </w:t>
      </w:r>
      <w:r w:rsidRPr="005A6DA1">
        <w:rPr>
          <w:i/>
          <w:iCs/>
        </w:rPr>
        <w:t>Studies in Political Economy</w:t>
      </w:r>
      <w:r w:rsidRPr="005A6DA1">
        <w:t xml:space="preserve"> 23.</w:t>
      </w:r>
    </w:p>
  </w:footnote>
  <w:footnote w:id="127">
    <w:p w14:paraId="188C7C20" w14:textId="7A9F5837"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Pr="005A6DA1">
        <w:t>Gilbert</w:t>
      </w:r>
      <w:r w:rsidR="00A731EF" w:rsidRPr="005A6DA1">
        <w:t xml:space="preserve"> (n 66) </w:t>
      </w:r>
      <w:r w:rsidRPr="005A6DA1">
        <w:t>80.</w:t>
      </w:r>
    </w:p>
  </w:footnote>
  <w:footnote w:id="128">
    <w:p w14:paraId="5F1506B7" w14:textId="3028AECE" w:rsidR="00BF43A3" w:rsidRPr="005A6DA1" w:rsidRDefault="00BF43A3" w:rsidP="0091606C">
      <w:pPr>
        <w:pStyle w:val="FootnoteText"/>
      </w:pPr>
      <w:r w:rsidRPr="005A6DA1">
        <w:rPr>
          <w:rStyle w:val="FootnoteReference"/>
          <w:rFonts w:ascii="Garamond" w:hAnsi="Garamond"/>
          <w:szCs w:val="20"/>
        </w:rPr>
        <w:footnoteRef/>
      </w:r>
      <w:r w:rsidR="00AB337E" w:rsidRPr="005A6DA1">
        <w:t xml:space="preserve"> </w:t>
      </w:r>
      <w:r w:rsidR="00EE3578" w:rsidRPr="005A6DA1">
        <w:t>J</w:t>
      </w:r>
      <w:r w:rsidRPr="005A6DA1">
        <w:t xml:space="preserve"> Clark, ‘Socio-cultural </w:t>
      </w:r>
      <w:r w:rsidR="00EE3578" w:rsidRPr="005A6DA1">
        <w:t>Due</w:t>
      </w:r>
      <w:r w:rsidRPr="005A6DA1">
        <w:t xml:space="preserve"> </w:t>
      </w:r>
      <w:r w:rsidR="00EE3578" w:rsidRPr="005A6DA1">
        <w:t>D</w:t>
      </w:r>
      <w:r w:rsidRPr="005A6DA1">
        <w:t xml:space="preserve">iligence in the </w:t>
      </w:r>
      <w:r w:rsidR="00EE3578" w:rsidRPr="005A6DA1">
        <w:t>M</w:t>
      </w:r>
      <w:r w:rsidRPr="005A6DA1">
        <w:t xml:space="preserve">ining </w:t>
      </w:r>
      <w:r w:rsidR="00EE3578" w:rsidRPr="005A6DA1">
        <w:t>S</w:t>
      </w:r>
      <w:r w:rsidRPr="005A6DA1">
        <w:t xml:space="preserve">ector’ in </w:t>
      </w:r>
      <w:r w:rsidR="00EE3578" w:rsidRPr="005A6DA1">
        <w:t>E</w:t>
      </w:r>
      <w:r w:rsidRPr="005A6DA1">
        <w:t xml:space="preserve"> </w:t>
      </w:r>
      <w:proofErr w:type="spellStart"/>
      <w:r w:rsidRPr="005A6DA1">
        <w:t>Bastida</w:t>
      </w:r>
      <w:proofErr w:type="spellEnd"/>
      <w:r w:rsidRPr="005A6DA1">
        <w:t>,</w:t>
      </w:r>
      <w:r w:rsidR="0091606C" w:rsidRPr="005A6DA1">
        <w:t xml:space="preserve"> </w:t>
      </w:r>
      <w:r w:rsidR="00EE3578" w:rsidRPr="005A6DA1">
        <w:t>TW</w:t>
      </w:r>
      <w:r w:rsidRPr="005A6DA1">
        <w:t xml:space="preserve"> </w:t>
      </w:r>
      <w:proofErr w:type="spellStart"/>
      <w:r w:rsidRPr="005A6DA1">
        <w:t>Waelde</w:t>
      </w:r>
      <w:proofErr w:type="spellEnd"/>
      <w:r w:rsidR="005D4ECA" w:rsidRPr="005A6DA1">
        <w:t xml:space="preserve"> </w:t>
      </w:r>
      <w:r w:rsidR="00A731EF" w:rsidRPr="005A6DA1">
        <w:t xml:space="preserve">and </w:t>
      </w:r>
      <w:r w:rsidR="00EE3578" w:rsidRPr="005A6DA1">
        <w:t xml:space="preserve">J </w:t>
      </w:r>
      <w:r w:rsidRPr="005A6DA1">
        <w:t>Warden (eds)</w:t>
      </w:r>
      <w:r w:rsidR="00EE3578" w:rsidRPr="005A6DA1">
        <w:t>,</w:t>
      </w:r>
      <w:r w:rsidRPr="005A6DA1">
        <w:t xml:space="preserve"> </w:t>
      </w:r>
      <w:r w:rsidRPr="005A6DA1">
        <w:rPr>
          <w:i/>
          <w:iCs/>
        </w:rPr>
        <w:t>International and Comparative Mineral Law and Policy</w:t>
      </w:r>
      <w:r w:rsidRPr="005A6DA1">
        <w:t xml:space="preserve"> (Kluwer Law International</w:t>
      </w:r>
      <w:r w:rsidR="00A731EF" w:rsidRPr="005A6DA1">
        <w:t>,</w:t>
      </w:r>
      <w:r w:rsidRPr="005A6DA1">
        <w:t xml:space="preserve"> 2005) 331.</w:t>
      </w:r>
    </w:p>
  </w:footnote>
  <w:footnote w:id="129">
    <w:p w14:paraId="2514623E" w14:textId="27A22F31" w:rsidR="00BF43A3" w:rsidRPr="00F644EF" w:rsidRDefault="00BF43A3" w:rsidP="0091606C">
      <w:pPr>
        <w:pStyle w:val="FootnoteText"/>
        <w:rPr>
          <w:color w:val="000000" w:themeColor="text1"/>
        </w:rPr>
      </w:pPr>
      <w:r w:rsidRPr="005A6DA1">
        <w:rPr>
          <w:rStyle w:val="FootnoteReference"/>
          <w:rFonts w:ascii="Garamond" w:hAnsi="Garamond"/>
          <w:color w:val="000000" w:themeColor="text1"/>
          <w:szCs w:val="20"/>
        </w:rPr>
        <w:footnoteRef/>
      </w:r>
      <w:r w:rsidR="00AB337E" w:rsidRPr="005A6DA1">
        <w:rPr>
          <w:color w:val="000000" w:themeColor="text1"/>
        </w:rPr>
        <w:t xml:space="preserve"> </w:t>
      </w:r>
      <w:r w:rsidR="00EE3578" w:rsidRPr="005A6DA1">
        <w:rPr>
          <w:color w:val="000000" w:themeColor="text1"/>
        </w:rPr>
        <w:t>IMT</w:t>
      </w:r>
      <w:r w:rsidRPr="005A6DA1">
        <w:rPr>
          <w:color w:val="000000" w:themeColor="text1"/>
        </w:rPr>
        <w:t xml:space="preserve"> Cate, ‘International Arbitration and the Ends of Appellate Review’ (2012) 44 </w:t>
      </w:r>
      <w:r w:rsidRPr="005A6DA1">
        <w:rPr>
          <w:i/>
          <w:iCs/>
          <w:color w:val="000000" w:themeColor="text1"/>
        </w:rPr>
        <w:t>New York University Journal of International Law and Politics</w:t>
      </w:r>
      <w:r w:rsidRPr="005A6DA1">
        <w:rPr>
          <w:color w:val="000000" w:themeColor="text1"/>
        </w:rPr>
        <w:t xml:space="preserve"> 1109, 1111.</w:t>
      </w:r>
      <w:r w:rsidR="00447B1C">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47EC" w14:textId="6CBB25D1" w:rsidR="005A6DA1" w:rsidRDefault="005A6DA1">
    <w:pPr>
      <w:pStyle w:val="Header"/>
    </w:pPr>
    <w:r>
      <w:t xml:space="preserve">Forthcoming in Jean Ho and Mavluda Sattorova (eds) </w:t>
    </w:r>
    <w:r w:rsidRPr="005A6DA1">
      <w:rPr>
        <w:i/>
        <w:iCs/>
      </w:rPr>
      <w:t>Investors’ International Law</w:t>
    </w:r>
    <w:r>
      <w:t xml:space="preserve"> (Oxford, Hart Publishing 2021)</w:t>
    </w:r>
  </w:p>
  <w:p w14:paraId="32709C08" w14:textId="77777777" w:rsidR="005A6DA1" w:rsidRDefault="005A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67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21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D49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E00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9EB2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43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25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EA0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42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08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1552"/>
    <w:multiLevelType w:val="multilevel"/>
    <w:tmpl w:val="64EADA8E"/>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DB76C1"/>
    <w:multiLevelType w:val="hybridMultilevel"/>
    <w:tmpl w:val="240684D2"/>
    <w:lvl w:ilvl="0" w:tplc="773A61FA">
      <w:start w:val="156"/>
      <w:numFmt w:val="decimal"/>
      <w:lvlText w:val="%1."/>
      <w:lvlJc w:val="left"/>
      <w:pPr>
        <w:ind w:left="38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77256"/>
    <w:multiLevelType w:val="multilevel"/>
    <w:tmpl w:val="2DDA7C54"/>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430891"/>
    <w:multiLevelType w:val="hybridMultilevel"/>
    <w:tmpl w:val="40D6DA86"/>
    <w:lvl w:ilvl="0" w:tplc="8A98539E">
      <w:start w:val="24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15AED"/>
    <w:multiLevelType w:val="multilevel"/>
    <w:tmpl w:val="F030E684"/>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88786E"/>
    <w:multiLevelType w:val="multilevel"/>
    <w:tmpl w:val="BD38980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92866"/>
    <w:multiLevelType w:val="multilevel"/>
    <w:tmpl w:val="3B20AD82"/>
    <w:lvl w:ilvl="0">
      <w:start w:val="2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9009B0"/>
    <w:multiLevelType w:val="hybridMultilevel"/>
    <w:tmpl w:val="AD5C1B78"/>
    <w:lvl w:ilvl="0" w:tplc="28CC7E96">
      <w:start w:val="4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E3FC9"/>
    <w:multiLevelType w:val="hybridMultilevel"/>
    <w:tmpl w:val="D8C81216"/>
    <w:lvl w:ilvl="0" w:tplc="AAF63934">
      <w:start w:val="185"/>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F20B5A"/>
    <w:multiLevelType w:val="multilevel"/>
    <w:tmpl w:val="5EF4111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57A84"/>
    <w:multiLevelType w:val="multilevel"/>
    <w:tmpl w:val="C17AE21C"/>
    <w:lvl w:ilvl="0">
      <w:start w:val="2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52096"/>
    <w:multiLevelType w:val="multilevel"/>
    <w:tmpl w:val="9526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D750FE"/>
    <w:multiLevelType w:val="multilevel"/>
    <w:tmpl w:val="D968FFA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3F1BD1"/>
    <w:multiLevelType w:val="multilevel"/>
    <w:tmpl w:val="A53C659E"/>
    <w:lvl w:ilvl="0">
      <w:start w:val="2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D50F18"/>
    <w:multiLevelType w:val="multilevel"/>
    <w:tmpl w:val="62608D0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08351B"/>
    <w:multiLevelType w:val="multilevel"/>
    <w:tmpl w:val="382A02CE"/>
    <w:lvl w:ilvl="0">
      <w:start w:val="4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9C69D2"/>
    <w:multiLevelType w:val="multilevel"/>
    <w:tmpl w:val="FA82EF08"/>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9C6D74"/>
    <w:multiLevelType w:val="multilevel"/>
    <w:tmpl w:val="27F8DF4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DE057D"/>
    <w:multiLevelType w:val="multilevel"/>
    <w:tmpl w:val="6524ACCE"/>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43793046"/>
    <w:multiLevelType w:val="multilevel"/>
    <w:tmpl w:val="31F4EF4C"/>
    <w:lvl w:ilvl="0">
      <w:start w:val="400"/>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0" w15:restartNumberingAfterBreak="0">
    <w:nsid w:val="52BA65DC"/>
    <w:multiLevelType w:val="multilevel"/>
    <w:tmpl w:val="67940DB2"/>
    <w:lvl w:ilvl="0">
      <w:start w:val="1"/>
      <w:numFmt w:val="decimal"/>
      <w:lvlText w:val="%1."/>
      <w:lvlJc w:val="left"/>
      <w:pPr>
        <w:tabs>
          <w:tab w:val="num" w:pos="720"/>
        </w:tabs>
        <w:ind w:left="720" w:hanging="360"/>
      </w:pPr>
    </w:lvl>
    <w:lvl w:ilvl="1">
      <w:start w:val="2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857A3"/>
    <w:multiLevelType w:val="multilevel"/>
    <w:tmpl w:val="C45EDD8C"/>
    <w:lvl w:ilvl="0">
      <w:start w:val="4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8D7CC5"/>
    <w:multiLevelType w:val="multilevel"/>
    <w:tmpl w:val="EB04A622"/>
    <w:lvl w:ilvl="0">
      <w:start w:val="5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0F4275"/>
    <w:multiLevelType w:val="multilevel"/>
    <w:tmpl w:val="68D2D2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3C1270"/>
    <w:multiLevelType w:val="multilevel"/>
    <w:tmpl w:val="FCDC168C"/>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9542D1"/>
    <w:multiLevelType w:val="multilevel"/>
    <w:tmpl w:val="29AE678C"/>
    <w:lvl w:ilvl="0">
      <w:start w:val="4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BC1F85"/>
    <w:multiLevelType w:val="multilevel"/>
    <w:tmpl w:val="29308E24"/>
    <w:lvl w:ilvl="0">
      <w:start w:val="1"/>
      <w:numFmt w:val="bullet"/>
      <w:lvlText w:val=""/>
      <w:lvlJc w:val="left"/>
      <w:pPr>
        <w:tabs>
          <w:tab w:val="num" w:pos="720"/>
        </w:tabs>
        <w:ind w:left="720" w:hanging="360"/>
      </w:pPr>
      <w:rPr>
        <w:rFonts w:ascii="Symbol" w:hAnsi="Symbol" w:hint="default"/>
        <w:sz w:val="20"/>
      </w:rPr>
    </w:lvl>
    <w:lvl w:ilvl="1">
      <w:start w:val="412"/>
      <w:numFmt w:val="decimal"/>
      <w:lvlText w:val="%2."/>
      <w:lvlJc w:val="left"/>
      <w:pPr>
        <w:ind w:left="1460" w:hanging="38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3C27CD"/>
    <w:multiLevelType w:val="hybridMultilevel"/>
    <w:tmpl w:val="7CCE6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D5C3C"/>
    <w:multiLevelType w:val="hybridMultilevel"/>
    <w:tmpl w:val="8C96F97C"/>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07ED3"/>
    <w:multiLevelType w:val="multilevel"/>
    <w:tmpl w:val="6DAE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5D788A"/>
    <w:multiLevelType w:val="multilevel"/>
    <w:tmpl w:val="171E41D4"/>
    <w:lvl w:ilvl="0">
      <w:start w:val="4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606262"/>
    <w:multiLevelType w:val="multilevel"/>
    <w:tmpl w:val="08506052"/>
    <w:lvl w:ilvl="0">
      <w:start w:val="5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8023B4"/>
    <w:multiLevelType w:val="multilevel"/>
    <w:tmpl w:val="C4D6E5C0"/>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F45023"/>
    <w:multiLevelType w:val="multilevel"/>
    <w:tmpl w:val="6524ACCE"/>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4" w15:restartNumberingAfterBreak="0">
    <w:nsid w:val="6F055CFF"/>
    <w:multiLevelType w:val="hybridMultilevel"/>
    <w:tmpl w:val="F444655C"/>
    <w:lvl w:ilvl="0" w:tplc="024EE230">
      <w:start w:val="158"/>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C005B"/>
    <w:multiLevelType w:val="hybridMultilevel"/>
    <w:tmpl w:val="8ECA730C"/>
    <w:lvl w:ilvl="0" w:tplc="0526DDC6">
      <w:start w:val="17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FD4E2D"/>
    <w:multiLevelType w:val="multilevel"/>
    <w:tmpl w:val="B740BDC8"/>
    <w:lvl w:ilvl="0">
      <w:start w:val="5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7C40DD"/>
    <w:multiLevelType w:val="multilevel"/>
    <w:tmpl w:val="416C5F1A"/>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42"/>
  </w:num>
  <w:num w:numId="4">
    <w:abstractNumId w:val="11"/>
  </w:num>
  <w:num w:numId="5">
    <w:abstractNumId w:val="44"/>
  </w:num>
  <w:num w:numId="6">
    <w:abstractNumId w:val="10"/>
  </w:num>
  <w:num w:numId="7">
    <w:abstractNumId w:val="45"/>
  </w:num>
  <w:num w:numId="8">
    <w:abstractNumId w:val="14"/>
  </w:num>
  <w:num w:numId="9">
    <w:abstractNumId w:val="26"/>
  </w:num>
  <w:num w:numId="10">
    <w:abstractNumId w:val="18"/>
  </w:num>
  <w:num w:numId="11">
    <w:abstractNumId w:val="34"/>
  </w:num>
  <w:num w:numId="12">
    <w:abstractNumId w:val="47"/>
  </w:num>
  <w:num w:numId="13">
    <w:abstractNumId w:val="20"/>
  </w:num>
  <w:num w:numId="14">
    <w:abstractNumId w:val="13"/>
  </w:num>
  <w:num w:numId="15">
    <w:abstractNumId w:val="31"/>
  </w:num>
  <w:num w:numId="16">
    <w:abstractNumId w:val="41"/>
  </w:num>
  <w:num w:numId="17">
    <w:abstractNumId w:val="36"/>
  </w:num>
  <w:num w:numId="18">
    <w:abstractNumId w:val="32"/>
  </w:num>
  <w:num w:numId="19">
    <w:abstractNumId w:val="35"/>
  </w:num>
  <w:num w:numId="20">
    <w:abstractNumId w:val="25"/>
  </w:num>
  <w:num w:numId="21">
    <w:abstractNumId w:val="33"/>
  </w:num>
  <w:num w:numId="22">
    <w:abstractNumId w:val="24"/>
  </w:num>
  <w:num w:numId="23">
    <w:abstractNumId w:val="30"/>
  </w:num>
  <w:num w:numId="24">
    <w:abstractNumId w:val="19"/>
  </w:num>
  <w:num w:numId="25">
    <w:abstractNumId w:val="29"/>
  </w:num>
  <w:num w:numId="26">
    <w:abstractNumId w:val="17"/>
  </w:num>
  <w:num w:numId="27">
    <w:abstractNumId w:val="23"/>
  </w:num>
  <w:num w:numId="28">
    <w:abstractNumId w:val="40"/>
  </w:num>
  <w:num w:numId="29">
    <w:abstractNumId w:val="38"/>
  </w:num>
  <w:num w:numId="30">
    <w:abstractNumId w:val="37"/>
  </w:num>
  <w:num w:numId="31">
    <w:abstractNumId w:val="46"/>
  </w:num>
  <w:num w:numId="32">
    <w:abstractNumId w:val="15"/>
  </w:num>
  <w:num w:numId="33">
    <w:abstractNumId w:val="22"/>
  </w:num>
  <w:num w:numId="34">
    <w:abstractNumId w:val="16"/>
  </w:num>
  <w:num w:numId="35">
    <w:abstractNumId w:val="27"/>
  </w:num>
  <w:num w:numId="36">
    <w:abstractNumId w:val="39"/>
  </w:num>
  <w:num w:numId="37">
    <w:abstractNumId w:val="43"/>
  </w:num>
  <w:num w:numId="38">
    <w:abstractNumId w:val="28"/>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D7"/>
    <w:rsid w:val="00000D6D"/>
    <w:rsid w:val="00004375"/>
    <w:rsid w:val="000043ED"/>
    <w:rsid w:val="00011417"/>
    <w:rsid w:val="000174D0"/>
    <w:rsid w:val="00020071"/>
    <w:rsid w:val="00032BA1"/>
    <w:rsid w:val="00053172"/>
    <w:rsid w:val="00053EEE"/>
    <w:rsid w:val="000552A9"/>
    <w:rsid w:val="00061C67"/>
    <w:rsid w:val="000632E9"/>
    <w:rsid w:val="000655D2"/>
    <w:rsid w:val="00066F72"/>
    <w:rsid w:val="000677B2"/>
    <w:rsid w:val="00072F71"/>
    <w:rsid w:val="00072FFA"/>
    <w:rsid w:val="00086DA9"/>
    <w:rsid w:val="0009286E"/>
    <w:rsid w:val="00096809"/>
    <w:rsid w:val="000B2E1C"/>
    <w:rsid w:val="000B3BD4"/>
    <w:rsid w:val="000B5DC2"/>
    <w:rsid w:val="000B6392"/>
    <w:rsid w:val="000C1629"/>
    <w:rsid w:val="000D4BB6"/>
    <w:rsid w:val="000D7078"/>
    <w:rsid w:val="000E7F9A"/>
    <w:rsid w:val="000F0775"/>
    <w:rsid w:val="00101754"/>
    <w:rsid w:val="001035FC"/>
    <w:rsid w:val="00106822"/>
    <w:rsid w:val="0011232C"/>
    <w:rsid w:val="00115068"/>
    <w:rsid w:val="00115A08"/>
    <w:rsid w:val="00122122"/>
    <w:rsid w:val="00122A30"/>
    <w:rsid w:val="0012652D"/>
    <w:rsid w:val="00132178"/>
    <w:rsid w:val="00132E6E"/>
    <w:rsid w:val="00134BB6"/>
    <w:rsid w:val="001356AC"/>
    <w:rsid w:val="00145CCF"/>
    <w:rsid w:val="001503AE"/>
    <w:rsid w:val="00155BFB"/>
    <w:rsid w:val="00156B3C"/>
    <w:rsid w:val="00177B57"/>
    <w:rsid w:val="00181647"/>
    <w:rsid w:val="00184CF3"/>
    <w:rsid w:val="00187BFA"/>
    <w:rsid w:val="00190833"/>
    <w:rsid w:val="00191278"/>
    <w:rsid w:val="001B1FEE"/>
    <w:rsid w:val="001C1CEA"/>
    <w:rsid w:val="001C56FD"/>
    <w:rsid w:val="001C5C29"/>
    <w:rsid w:val="001C5EAC"/>
    <w:rsid w:val="001C6D17"/>
    <w:rsid w:val="001D3878"/>
    <w:rsid w:val="001D675A"/>
    <w:rsid w:val="001D697D"/>
    <w:rsid w:val="001D7547"/>
    <w:rsid w:val="001E08C9"/>
    <w:rsid w:val="001E5672"/>
    <w:rsid w:val="001F189F"/>
    <w:rsid w:val="001F3EB4"/>
    <w:rsid w:val="001F4E6D"/>
    <w:rsid w:val="001F5EEF"/>
    <w:rsid w:val="001F6D2B"/>
    <w:rsid w:val="00201766"/>
    <w:rsid w:val="00201CBE"/>
    <w:rsid w:val="00203622"/>
    <w:rsid w:val="002101F3"/>
    <w:rsid w:val="00212F7D"/>
    <w:rsid w:val="00217770"/>
    <w:rsid w:val="002205D2"/>
    <w:rsid w:val="00224794"/>
    <w:rsid w:val="00226E05"/>
    <w:rsid w:val="00235C80"/>
    <w:rsid w:val="00240090"/>
    <w:rsid w:val="00240324"/>
    <w:rsid w:val="00244E26"/>
    <w:rsid w:val="00245AE8"/>
    <w:rsid w:val="00251CC6"/>
    <w:rsid w:val="0026052F"/>
    <w:rsid w:val="002648E9"/>
    <w:rsid w:val="00272629"/>
    <w:rsid w:val="00277431"/>
    <w:rsid w:val="002813F5"/>
    <w:rsid w:val="00285466"/>
    <w:rsid w:val="00287118"/>
    <w:rsid w:val="002A5B42"/>
    <w:rsid w:val="002B7DBB"/>
    <w:rsid w:val="002C42FF"/>
    <w:rsid w:val="002C63CF"/>
    <w:rsid w:val="002D257D"/>
    <w:rsid w:val="002D31ED"/>
    <w:rsid w:val="002E2B47"/>
    <w:rsid w:val="002E4D6F"/>
    <w:rsid w:val="002E782B"/>
    <w:rsid w:val="002F347A"/>
    <w:rsid w:val="002F3BB5"/>
    <w:rsid w:val="002F67DE"/>
    <w:rsid w:val="003038DF"/>
    <w:rsid w:val="00305635"/>
    <w:rsid w:val="00307526"/>
    <w:rsid w:val="0032033C"/>
    <w:rsid w:val="00330555"/>
    <w:rsid w:val="00342A60"/>
    <w:rsid w:val="00342A66"/>
    <w:rsid w:val="00357262"/>
    <w:rsid w:val="00361612"/>
    <w:rsid w:val="00361EC2"/>
    <w:rsid w:val="00373191"/>
    <w:rsid w:val="0037774B"/>
    <w:rsid w:val="00391C8A"/>
    <w:rsid w:val="00392A17"/>
    <w:rsid w:val="00393AAD"/>
    <w:rsid w:val="003964F8"/>
    <w:rsid w:val="003A3363"/>
    <w:rsid w:val="003A56C3"/>
    <w:rsid w:val="003A74CF"/>
    <w:rsid w:val="003B0A10"/>
    <w:rsid w:val="003C1F07"/>
    <w:rsid w:val="003C3C2A"/>
    <w:rsid w:val="003C62DC"/>
    <w:rsid w:val="003C69C7"/>
    <w:rsid w:val="003C7178"/>
    <w:rsid w:val="003D1ABE"/>
    <w:rsid w:val="003D5447"/>
    <w:rsid w:val="003E17C9"/>
    <w:rsid w:val="003E185C"/>
    <w:rsid w:val="003E4BC8"/>
    <w:rsid w:val="003E5BAB"/>
    <w:rsid w:val="003F1305"/>
    <w:rsid w:val="004022D4"/>
    <w:rsid w:val="00403D00"/>
    <w:rsid w:val="00406085"/>
    <w:rsid w:val="00412696"/>
    <w:rsid w:val="004126F4"/>
    <w:rsid w:val="004171A6"/>
    <w:rsid w:val="004177D7"/>
    <w:rsid w:val="00420478"/>
    <w:rsid w:val="004235FE"/>
    <w:rsid w:val="00425AD8"/>
    <w:rsid w:val="00436B5A"/>
    <w:rsid w:val="004374CD"/>
    <w:rsid w:val="004450F2"/>
    <w:rsid w:val="00447B1C"/>
    <w:rsid w:val="004528E4"/>
    <w:rsid w:val="0045389E"/>
    <w:rsid w:val="004626B2"/>
    <w:rsid w:val="00462973"/>
    <w:rsid w:val="00467374"/>
    <w:rsid w:val="0047334C"/>
    <w:rsid w:val="00486672"/>
    <w:rsid w:val="004869B4"/>
    <w:rsid w:val="00486E09"/>
    <w:rsid w:val="004911AE"/>
    <w:rsid w:val="00495F20"/>
    <w:rsid w:val="00497C87"/>
    <w:rsid w:val="004A0874"/>
    <w:rsid w:val="004A0E50"/>
    <w:rsid w:val="004A24EC"/>
    <w:rsid w:val="004A620A"/>
    <w:rsid w:val="004C4A2B"/>
    <w:rsid w:val="004C79C3"/>
    <w:rsid w:val="004E0DE1"/>
    <w:rsid w:val="004E2C07"/>
    <w:rsid w:val="004F2A99"/>
    <w:rsid w:val="004F535D"/>
    <w:rsid w:val="00500846"/>
    <w:rsid w:val="005037D8"/>
    <w:rsid w:val="00506CEC"/>
    <w:rsid w:val="0050734E"/>
    <w:rsid w:val="005140B2"/>
    <w:rsid w:val="005200EB"/>
    <w:rsid w:val="00524E7F"/>
    <w:rsid w:val="0053099A"/>
    <w:rsid w:val="00531194"/>
    <w:rsid w:val="005316E4"/>
    <w:rsid w:val="00531DE2"/>
    <w:rsid w:val="00532465"/>
    <w:rsid w:val="0054644B"/>
    <w:rsid w:val="005471D5"/>
    <w:rsid w:val="00547A9A"/>
    <w:rsid w:val="00553E57"/>
    <w:rsid w:val="00570F2D"/>
    <w:rsid w:val="00571E55"/>
    <w:rsid w:val="005770A7"/>
    <w:rsid w:val="0057718F"/>
    <w:rsid w:val="005818B5"/>
    <w:rsid w:val="00582A59"/>
    <w:rsid w:val="005858F3"/>
    <w:rsid w:val="005878EE"/>
    <w:rsid w:val="00587908"/>
    <w:rsid w:val="00593288"/>
    <w:rsid w:val="005A6287"/>
    <w:rsid w:val="005A6DA1"/>
    <w:rsid w:val="005B0465"/>
    <w:rsid w:val="005B1322"/>
    <w:rsid w:val="005C2007"/>
    <w:rsid w:val="005C42FD"/>
    <w:rsid w:val="005D4968"/>
    <w:rsid w:val="005D4ECA"/>
    <w:rsid w:val="005F7354"/>
    <w:rsid w:val="006062CE"/>
    <w:rsid w:val="00610D81"/>
    <w:rsid w:val="00614A35"/>
    <w:rsid w:val="00617170"/>
    <w:rsid w:val="00622CD6"/>
    <w:rsid w:val="00624D88"/>
    <w:rsid w:val="00626DC0"/>
    <w:rsid w:val="00634F4F"/>
    <w:rsid w:val="00640852"/>
    <w:rsid w:val="006432C7"/>
    <w:rsid w:val="0064382E"/>
    <w:rsid w:val="006527E6"/>
    <w:rsid w:val="00653623"/>
    <w:rsid w:val="00657D1F"/>
    <w:rsid w:val="00665316"/>
    <w:rsid w:val="00665B5A"/>
    <w:rsid w:val="00666B9F"/>
    <w:rsid w:val="00670E66"/>
    <w:rsid w:val="0067617E"/>
    <w:rsid w:val="006803B8"/>
    <w:rsid w:val="006A229D"/>
    <w:rsid w:val="006A248A"/>
    <w:rsid w:val="006B2544"/>
    <w:rsid w:val="006B61AE"/>
    <w:rsid w:val="006C3777"/>
    <w:rsid w:val="006C6250"/>
    <w:rsid w:val="006C7DCF"/>
    <w:rsid w:val="006D2A6A"/>
    <w:rsid w:val="006E0B16"/>
    <w:rsid w:val="006E26A5"/>
    <w:rsid w:val="006E52C7"/>
    <w:rsid w:val="006F42B0"/>
    <w:rsid w:val="00704B02"/>
    <w:rsid w:val="00704C2C"/>
    <w:rsid w:val="00706B61"/>
    <w:rsid w:val="0070753A"/>
    <w:rsid w:val="00707777"/>
    <w:rsid w:val="007137E3"/>
    <w:rsid w:val="007139C5"/>
    <w:rsid w:val="00714274"/>
    <w:rsid w:val="007250A3"/>
    <w:rsid w:val="00743990"/>
    <w:rsid w:val="00744E90"/>
    <w:rsid w:val="00745CBB"/>
    <w:rsid w:val="00761543"/>
    <w:rsid w:val="00777024"/>
    <w:rsid w:val="0078347F"/>
    <w:rsid w:val="00786893"/>
    <w:rsid w:val="00794726"/>
    <w:rsid w:val="007A13BB"/>
    <w:rsid w:val="007A3A0D"/>
    <w:rsid w:val="007A42EC"/>
    <w:rsid w:val="007A546C"/>
    <w:rsid w:val="007A6691"/>
    <w:rsid w:val="007B0BD4"/>
    <w:rsid w:val="007B26CF"/>
    <w:rsid w:val="007B356E"/>
    <w:rsid w:val="007C7974"/>
    <w:rsid w:val="007D00A4"/>
    <w:rsid w:val="007D130D"/>
    <w:rsid w:val="007D3DE8"/>
    <w:rsid w:val="007D5B8D"/>
    <w:rsid w:val="007E68F0"/>
    <w:rsid w:val="007F02E0"/>
    <w:rsid w:val="007F1D3A"/>
    <w:rsid w:val="007F2568"/>
    <w:rsid w:val="007F2EAE"/>
    <w:rsid w:val="007F33D5"/>
    <w:rsid w:val="00805F09"/>
    <w:rsid w:val="00811DCA"/>
    <w:rsid w:val="00811E5C"/>
    <w:rsid w:val="0082193D"/>
    <w:rsid w:val="008223BA"/>
    <w:rsid w:val="008265EB"/>
    <w:rsid w:val="00841A84"/>
    <w:rsid w:val="008437DC"/>
    <w:rsid w:val="00843CAD"/>
    <w:rsid w:val="0084430C"/>
    <w:rsid w:val="008446A9"/>
    <w:rsid w:val="008538A8"/>
    <w:rsid w:val="0085574B"/>
    <w:rsid w:val="00855A04"/>
    <w:rsid w:val="00860803"/>
    <w:rsid w:val="00865BD2"/>
    <w:rsid w:val="0086670E"/>
    <w:rsid w:val="0088723F"/>
    <w:rsid w:val="0089264C"/>
    <w:rsid w:val="0089481B"/>
    <w:rsid w:val="00895A29"/>
    <w:rsid w:val="00897BE5"/>
    <w:rsid w:val="008A16E7"/>
    <w:rsid w:val="008A299B"/>
    <w:rsid w:val="008B0242"/>
    <w:rsid w:val="008B5FB3"/>
    <w:rsid w:val="008C092B"/>
    <w:rsid w:val="008C1615"/>
    <w:rsid w:val="008C5A64"/>
    <w:rsid w:val="008D32E0"/>
    <w:rsid w:val="008D3875"/>
    <w:rsid w:val="008D485D"/>
    <w:rsid w:val="008D5808"/>
    <w:rsid w:val="008E11C1"/>
    <w:rsid w:val="008E133C"/>
    <w:rsid w:val="008E3AF4"/>
    <w:rsid w:val="008F0C90"/>
    <w:rsid w:val="008F516E"/>
    <w:rsid w:val="008F6AA6"/>
    <w:rsid w:val="0091606C"/>
    <w:rsid w:val="009315F3"/>
    <w:rsid w:val="00931729"/>
    <w:rsid w:val="009336E2"/>
    <w:rsid w:val="00936CD1"/>
    <w:rsid w:val="009445BD"/>
    <w:rsid w:val="00962608"/>
    <w:rsid w:val="00964FE5"/>
    <w:rsid w:val="009701EA"/>
    <w:rsid w:val="00977075"/>
    <w:rsid w:val="0098147B"/>
    <w:rsid w:val="009879CF"/>
    <w:rsid w:val="009A0520"/>
    <w:rsid w:val="009A06CC"/>
    <w:rsid w:val="009B4DFC"/>
    <w:rsid w:val="009C0476"/>
    <w:rsid w:val="009D08F5"/>
    <w:rsid w:val="009D5087"/>
    <w:rsid w:val="009D7830"/>
    <w:rsid w:val="009E3217"/>
    <w:rsid w:val="009E42C5"/>
    <w:rsid w:val="009E45FD"/>
    <w:rsid w:val="009E60F5"/>
    <w:rsid w:val="009E7363"/>
    <w:rsid w:val="009F18EE"/>
    <w:rsid w:val="009F56E9"/>
    <w:rsid w:val="00A01168"/>
    <w:rsid w:val="00A03BFB"/>
    <w:rsid w:val="00A14C56"/>
    <w:rsid w:val="00A23F70"/>
    <w:rsid w:val="00A274D5"/>
    <w:rsid w:val="00A305DA"/>
    <w:rsid w:val="00A31475"/>
    <w:rsid w:val="00A325B8"/>
    <w:rsid w:val="00A33E83"/>
    <w:rsid w:val="00A348C9"/>
    <w:rsid w:val="00A35E61"/>
    <w:rsid w:val="00A37584"/>
    <w:rsid w:val="00A37637"/>
    <w:rsid w:val="00A4699A"/>
    <w:rsid w:val="00A5133A"/>
    <w:rsid w:val="00A52337"/>
    <w:rsid w:val="00A56622"/>
    <w:rsid w:val="00A70D2F"/>
    <w:rsid w:val="00A731EF"/>
    <w:rsid w:val="00A73215"/>
    <w:rsid w:val="00A73D4E"/>
    <w:rsid w:val="00A7645A"/>
    <w:rsid w:val="00A853FD"/>
    <w:rsid w:val="00A8607D"/>
    <w:rsid w:val="00A94BA9"/>
    <w:rsid w:val="00AB0D45"/>
    <w:rsid w:val="00AB23D5"/>
    <w:rsid w:val="00AB337E"/>
    <w:rsid w:val="00AD2B1A"/>
    <w:rsid w:val="00AD59E3"/>
    <w:rsid w:val="00AE3775"/>
    <w:rsid w:val="00AE406A"/>
    <w:rsid w:val="00AE67FE"/>
    <w:rsid w:val="00AF06D0"/>
    <w:rsid w:val="00AF0B05"/>
    <w:rsid w:val="00AF13EB"/>
    <w:rsid w:val="00AF1E40"/>
    <w:rsid w:val="00AF3465"/>
    <w:rsid w:val="00B02929"/>
    <w:rsid w:val="00B03B1D"/>
    <w:rsid w:val="00B07F50"/>
    <w:rsid w:val="00B149D2"/>
    <w:rsid w:val="00B179ED"/>
    <w:rsid w:val="00B27631"/>
    <w:rsid w:val="00B33809"/>
    <w:rsid w:val="00B42D54"/>
    <w:rsid w:val="00B51460"/>
    <w:rsid w:val="00B552F7"/>
    <w:rsid w:val="00B56817"/>
    <w:rsid w:val="00B62971"/>
    <w:rsid w:val="00B65AF7"/>
    <w:rsid w:val="00B7536D"/>
    <w:rsid w:val="00B76C8E"/>
    <w:rsid w:val="00B778BF"/>
    <w:rsid w:val="00B80A13"/>
    <w:rsid w:val="00B80AEA"/>
    <w:rsid w:val="00B963FE"/>
    <w:rsid w:val="00BA2047"/>
    <w:rsid w:val="00BB3BA1"/>
    <w:rsid w:val="00BB470A"/>
    <w:rsid w:val="00BB6C31"/>
    <w:rsid w:val="00BC15A8"/>
    <w:rsid w:val="00BD01D9"/>
    <w:rsid w:val="00BD20F2"/>
    <w:rsid w:val="00BD246E"/>
    <w:rsid w:val="00BE13F0"/>
    <w:rsid w:val="00BE1EB7"/>
    <w:rsid w:val="00BF0DBC"/>
    <w:rsid w:val="00BF408B"/>
    <w:rsid w:val="00BF43A3"/>
    <w:rsid w:val="00BF5AFD"/>
    <w:rsid w:val="00C0270B"/>
    <w:rsid w:val="00C04046"/>
    <w:rsid w:val="00C06969"/>
    <w:rsid w:val="00C07232"/>
    <w:rsid w:val="00C115D8"/>
    <w:rsid w:val="00C15036"/>
    <w:rsid w:val="00C204E5"/>
    <w:rsid w:val="00C30AD4"/>
    <w:rsid w:val="00C328AF"/>
    <w:rsid w:val="00C43902"/>
    <w:rsid w:val="00C50590"/>
    <w:rsid w:val="00C57A38"/>
    <w:rsid w:val="00C67C62"/>
    <w:rsid w:val="00C768BA"/>
    <w:rsid w:val="00C85617"/>
    <w:rsid w:val="00C93513"/>
    <w:rsid w:val="00C95199"/>
    <w:rsid w:val="00CB5D36"/>
    <w:rsid w:val="00CB60B0"/>
    <w:rsid w:val="00CC0F26"/>
    <w:rsid w:val="00CC20E0"/>
    <w:rsid w:val="00CC3913"/>
    <w:rsid w:val="00CE7A14"/>
    <w:rsid w:val="00CF086D"/>
    <w:rsid w:val="00CF490D"/>
    <w:rsid w:val="00D00859"/>
    <w:rsid w:val="00D024E8"/>
    <w:rsid w:val="00D0378B"/>
    <w:rsid w:val="00D057B1"/>
    <w:rsid w:val="00D07E94"/>
    <w:rsid w:val="00D23A72"/>
    <w:rsid w:val="00D407C6"/>
    <w:rsid w:val="00D40ACE"/>
    <w:rsid w:val="00D44F5B"/>
    <w:rsid w:val="00D512E5"/>
    <w:rsid w:val="00D5754F"/>
    <w:rsid w:val="00D76910"/>
    <w:rsid w:val="00D77A4A"/>
    <w:rsid w:val="00D90834"/>
    <w:rsid w:val="00DA5609"/>
    <w:rsid w:val="00DA753E"/>
    <w:rsid w:val="00DB00B9"/>
    <w:rsid w:val="00DB0B40"/>
    <w:rsid w:val="00DB6E4F"/>
    <w:rsid w:val="00DC0C70"/>
    <w:rsid w:val="00DD6730"/>
    <w:rsid w:val="00DE4C4E"/>
    <w:rsid w:val="00DE6897"/>
    <w:rsid w:val="00DF35BD"/>
    <w:rsid w:val="00DF37FB"/>
    <w:rsid w:val="00DF6686"/>
    <w:rsid w:val="00DF794E"/>
    <w:rsid w:val="00E052E3"/>
    <w:rsid w:val="00E07F37"/>
    <w:rsid w:val="00E10383"/>
    <w:rsid w:val="00E13DBC"/>
    <w:rsid w:val="00E16C7D"/>
    <w:rsid w:val="00E2015C"/>
    <w:rsid w:val="00E354AA"/>
    <w:rsid w:val="00E36BA7"/>
    <w:rsid w:val="00E403EF"/>
    <w:rsid w:val="00E41E16"/>
    <w:rsid w:val="00E44FDE"/>
    <w:rsid w:val="00E51381"/>
    <w:rsid w:val="00E56617"/>
    <w:rsid w:val="00E5686A"/>
    <w:rsid w:val="00E60B3A"/>
    <w:rsid w:val="00E658CF"/>
    <w:rsid w:val="00E702B3"/>
    <w:rsid w:val="00E763D4"/>
    <w:rsid w:val="00E77BEC"/>
    <w:rsid w:val="00E817E1"/>
    <w:rsid w:val="00E85128"/>
    <w:rsid w:val="00E911EE"/>
    <w:rsid w:val="00E953F4"/>
    <w:rsid w:val="00E96B97"/>
    <w:rsid w:val="00E97190"/>
    <w:rsid w:val="00EA5536"/>
    <w:rsid w:val="00EB64CF"/>
    <w:rsid w:val="00EB7750"/>
    <w:rsid w:val="00ED7A72"/>
    <w:rsid w:val="00EE3578"/>
    <w:rsid w:val="00EE7275"/>
    <w:rsid w:val="00F03A17"/>
    <w:rsid w:val="00F03F0F"/>
    <w:rsid w:val="00F07219"/>
    <w:rsid w:val="00F107E5"/>
    <w:rsid w:val="00F178DA"/>
    <w:rsid w:val="00F21506"/>
    <w:rsid w:val="00F22367"/>
    <w:rsid w:val="00F22513"/>
    <w:rsid w:val="00F2719C"/>
    <w:rsid w:val="00F31F6F"/>
    <w:rsid w:val="00F346B6"/>
    <w:rsid w:val="00F52332"/>
    <w:rsid w:val="00F52E91"/>
    <w:rsid w:val="00F611DC"/>
    <w:rsid w:val="00F61C10"/>
    <w:rsid w:val="00F62B61"/>
    <w:rsid w:val="00F6393B"/>
    <w:rsid w:val="00F644EF"/>
    <w:rsid w:val="00F67662"/>
    <w:rsid w:val="00F70D26"/>
    <w:rsid w:val="00FA00F9"/>
    <w:rsid w:val="00FA2318"/>
    <w:rsid w:val="00FB068F"/>
    <w:rsid w:val="00FC1DEE"/>
    <w:rsid w:val="00FC5797"/>
    <w:rsid w:val="00FD03BF"/>
    <w:rsid w:val="00FD3AF5"/>
    <w:rsid w:val="00FE1FFD"/>
    <w:rsid w:val="00FF057F"/>
    <w:rsid w:val="00FF1564"/>
    <w:rsid w:val="00FF75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7A98"/>
  <w15:chartTrackingRefBased/>
  <w15:docId w15:val="{A78F8AA4-0D99-46D0-85B8-243E8F39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D5"/>
    <w:pPr>
      <w:spacing w:before="120" w:after="120" w:line="36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F33D5"/>
    <w:pPr>
      <w:autoSpaceDE w:val="0"/>
      <w:autoSpaceDN w:val="0"/>
      <w:adjustRightInd w:val="0"/>
      <w:spacing w:before="480" w:after="360"/>
      <w:jc w:val="center"/>
      <w:outlineLvl w:val="0"/>
    </w:pPr>
    <w:rPr>
      <w:rFonts w:ascii="TimesNRMT" w:hAnsi="TimesNRMT" w:cs="TimesNRMT"/>
      <w:sz w:val="32"/>
      <w:szCs w:val="28"/>
    </w:rPr>
  </w:style>
  <w:style w:type="paragraph" w:styleId="Heading2">
    <w:name w:val="heading 2"/>
    <w:next w:val="Normal"/>
    <w:link w:val="Heading2Char"/>
    <w:qFormat/>
    <w:rsid w:val="007F33D5"/>
    <w:pPr>
      <w:spacing w:before="480" w:after="240" w:line="240" w:lineRule="auto"/>
      <w:outlineLvl w:val="1"/>
    </w:pPr>
    <w:rPr>
      <w:rFonts w:ascii="Times New Roman" w:eastAsia="Times New Roman" w:hAnsi="Times New Roman" w:cs="Times New Roman"/>
      <w:bCs/>
      <w:color w:val="000080"/>
      <w:sz w:val="28"/>
      <w:szCs w:val="28"/>
      <w:lang w:val="en-US"/>
    </w:rPr>
  </w:style>
  <w:style w:type="paragraph" w:styleId="Heading3">
    <w:name w:val="heading 3"/>
    <w:next w:val="Normal"/>
    <w:link w:val="Heading3Char"/>
    <w:qFormat/>
    <w:rsid w:val="007F33D5"/>
    <w:pPr>
      <w:keepNext/>
      <w:spacing w:before="360" w:after="240" w:line="240" w:lineRule="auto"/>
      <w:outlineLvl w:val="2"/>
    </w:pPr>
    <w:rPr>
      <w:rFonts w:ascii="Arial" w:eastAsia="Times New Roman" w:hAnsi="Arial" w:cs="Arial"/>
      <w:bCs/>
      <w:color w:val="FF0000"/>
      <w:sz w:val="24"/>
      <w:szCs w:val="24"/>
      <w:lang w:val="en-US"/>
    </w:rPr>
  </w:style>
  <w:style w:type="paragraph" w:styleId="Heading4">
    <w:name w:val="heading 4"/>
    <w:next w:val="Normal"/>
    <w:link w:val="Heading4Char"/>
    <w:qFormat/>
    <w:rsid w:val="007F33D5"/>
    <w:pPr>
      <w:spacing w:before="360" w:after="0" w:line="240" w:lineRule="auto"/>
      <w:outlineLvl w:val="3"/>
    </w:pPr>
    <w:rPr>
      <w:rFonts w:ascii="Times New Roman" w:eastAsia="Times New Roman" w:hAnsi="Times New Roman" w:cs="Times New Roman"/>
      <w:bCs/>
      <w:color w:val="800080"/>
      <w:sz w:val="24"/>
      <w:szCs w:val="24"/>
    </w:rPr>
  </w:style>
  <w:style w:type="paragraph" w:styleId="Heading5">
    <w:name w:val="heading 5"/>
    <w:basedOn w:val="Normal"/>
    <w:next w:val="Normal"/>
    <w:link w:val="Heading5Char"/>
    <w:qFormat/>
    <w:rsid w:val="007F33D5"/>
    <w:pPr>
      <w:spacing w:before="360"/>
      <w:outlineLvl w:val="4"/>
    </w:pPr>
    <w:rPr>
      <w:color w:val="FF66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w:basedOn w:val="Normal"/>
    <w:link w:val="FootnoteTextChar"/>
    <w:unhideWhenUsed/>
    <w:rsid w:val="0091606C"/>
    <w:pPr>
      <w:spacing w:line="240" w:lineRule="auto"/>
    </w:pPr>
    <w:rPr>
      <w:sz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w:basedOn w:val="DefaultParagraphFont"/>
    <w:link w:val="FootnoteText"/>
    <w:rsid w:val="0091606C"/>
    <w:rPr>
      <w:rFonts w:ascii="Times New Roman" w:eastAsia="Times New Roman" w:hAnsi="Times New Roman" w:cs="Times New Roman"/>
      <w:sz w:val="20"/>
      <w:szCs w:val="24"/>
      <w:lang w:val="en-US"/>
    </w:rPr>
  </w:style>
  <w:style w:type="character" w:styleId="FootnoteReference">
    <w:name w:val="footnote reference"/>
    <w:aliases w:val="Ref,de nota al pie,FZ,ftref,Footnotes refss,註腳內容,de nota al pie + (Asian) MS Mincho,11 pt,Referencia nota al pie,Fago Fußnotenzeichen,Footnote Ref,16 Point,Superscript 6 Point,Style 21,Style 29,Style 11,Footnote Reference1,Ref1,4_G"/>
    <w:basedOn w:val="DefaultParagraphFont"/>
    <w:unhideWhenUsed/>
    <w:rsid w:val="004177D7"/>
    <w:rPr>
      <w:vertAlign w:val="superscript"/>
    </w:rPr>
  </w:style>
  <w:style w:type="paragraph" w:styleId="Subtitle">
    <w:name w:val="Subtitle"/>
    <w:basedOn w:val="Normal"/>
    <w:next w:val="Normal"/>
    <w:link w:val="SubtitleChar"/>
    <w:uiPriority w:val="11"/>
    <w:qFormat/>
    <w:rsid w:val="004177D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177D7"/>
    <w:rPr>
      <w:rFonts w:eastAsiaTheme="minorEastAsia"/>
      <w:color w:val="5A5A5A" w:themeColor="text1" w:themeTint="A5"/>
      <w:spacing w:val="15"/>
    </w:rPr>
  </w:style>
  <w:style w:type="paragraph" w:customStyle="1" w:styleId="Default">
    <w:name w:val="Default"/>
    <w:rsid w:val="0018164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361612"/>
    <w:pPr>
      <w:spacing w:before="100" w:beforeAutospacing="1" w:after="100" w:afterAutospacing="1"/>
    </w:pPr>
  </w:style>
  <w:style w:type="character" w:customStyle="1" w:styleId="apple-converted-space">
    <w:name w:val="apple-converted-space"/>
    <w:basedOn w:val="DefaultParagraphFont"/>
    <w:rsid w:val="00361612"/>
  </w:style>
  <w:style w:type="character" w:styleId="Hyperlink">
    <w:name w:val="Hyperlink"/>
    <w:basedOn w:val="DefaultParagraphFont"/>
    <w:uiPriority w:val="99"/>
    <w:unhideWhenUsed/>
    <w:rsid w:val="00361612"/>
    <w:rPr>
      <w:color w:val="0000FF"/>
      <w:u w:val="single"/>
    </w:rPr>
  </w:style>
  <w:style w:type="character" w:styleId="Strong">
    <w:name w:val="Strong"/>
    <w:basedOn w:val="DefaultParagraphFont"/>
    <w:uiPriority w:val="22"/>
    <w:qFormat/>
    <w:rsid w:val="00361612"/>
    <w:rPr>
      <w:b/>
      <w:bCs/>
    </w:rPr>
  </w:style>
  <w:style w:type="paragraph" w:customStyle="1" w:styleId="p1">
    <w:name w:val="p1"/>
    <w:basedOn w:val="Normal"/>
    <w:rsid w:val="00032BA1"/>
    <w:rPr>
      <w:rFonts w:ascii="Times" w:hAnsi="Times"/>
      <w:sz w:val="17"/>
      <w:szCs w:val="17"/>
      <w:lang w:eastAsia="en-GB"/>
    </w:rPr>
  </w:style>
  <w:style w:type="paragraph" w:styleId="BodyText">
    <w:name w:val="Body Text"/>
    <w:basedOn w:val="Normal"/>
    <w:link w:val="BodyTextChar"/>
    <w:uiPriority w:val="1"/>
    <w:qFormat/>
    <w:rsid w:val="00032BA1"/>
    <w:pPr>
      <w:widowControl w:val="0"/>
      <w:ind w:left="120"/>
    </w:pPr>
  </w:style>
  <w:style w:type="character" w:customStyle="1" w:styleId="BodyTextChar">
    <w:name w:val="Body Text Char"/>
    <w:basedOn w:val="DefaultParagraphFont"/>
    <w:link w:val="BodyText"/>
    <w:uiPriority w:val="1"/>
    <w:rsid w:val="00032BA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513"/>
    <w:pPr>
      <w:ind w:left="720"/>
      <w:contextualSpacing/>
    </w:pPr>
  </w:style>
  <w:style w:type="paragraph" w:styleId="Header">
    <w:name w:val="header"/>
    <w:basedOn w:val="Normal"/>
    <w:link w:val="HeaderChar"/>
    <w:uiPriority w:val="99"/>
    <w:unhideWhenUsed/>
    <w:rsid w:val="00657D1F"/>
    <w:pPr>
      <w:tabs>
        <w:tab w:val="center" w:pos="4680"/>
        <w:tab w:val="right" w:pos="9360"/>
      </w:tabs>
    </w:pPr>
  </w:style>
  <w:style w:type="character" w:customStyle="1" w:styleId="HeaderChar">
    <w:name w:val="Header Char"/>
    <w:basedOn w:val="DefaultParagraphFont"/>
    <w:link w:val="Header"/>
    <w:uiPriority w:val="99"/>
    <w:rsid w:val="00657D1F"/>
    <w:rPr>
      <w:sz w:val="24"/>
      <w:szCs w:val="24"/>
    </w:rPr>
  </w:style>
  <w:style w:type="paragraph" w:styleId="Footer">
    <w:name w:val="footer"/>
    <w:basedOn w:val="Normal"/>
    <w:link w:val="FooterChar"/>
    <w:uiPriority w:val="99"/>
    <w:unhideWhenUsed/>
    <w:rsid w:val="00657D1F"/>
    <w:pPr>
      <w:tabs>
        <w:tab w:val="center" w:pos="4680"/>
        <w:tab w:val="right" w:pos="9360"/>
      </w:tabs>
    </w:pPr>
  </w:style>
  <w:style w:type="character" w:customStyle="1" w:styleId="FooterChar">
    <w:name w:val="Footer Char"/>
    <w:basedOn w:val="DefaultParagraphFont"/>
    <w:link w:val="Footer"/>
    <w:uiPriority w:val="99"/>
    <w:rsid w:val="00657D1F"/>
    <w:rPr>
      <w:sz w:val="24"/>
      <w:szCs w:val="24"/>
    </w:rPr>
  </w:style>
  <w:style w:type="character" w:customStyle="1" w:styleId="UnresolvedMention1">
    <w:name w:val="Unresolved Mention1"/>
    <w:basedOn w:val="DefaultParagraphFont"/>
    <w:uiPriority w:val="99"/>
    <w:semiHidden/>
    <w:unhideWhenUsed/>
    <w:rsid w:val="00AF1E40"/>
    <w:rPr>
      <w:color w:val="605E5C"/>
      <w:shd w:val="clear" w:color="auto" w:fill="E1DFDD"/>
    </w:rPr>
  </w:style>
  <w:style w:type="character" w:customStyle="1" w:styleId="Heading1Char">
    <w:name w:val="Heading 1 Char"/>
    <w:basedOn w:val="DefaultParagraphFont"/>
    <w:link w:val="Heading1"/>
    <w:rsid w:val="00A348C9"/>
    <w:rPr>
      <w:rFonts w:ascii="TimesNRMT" w:eastAsia="Times New Roman" w:hAnsi="TimesNRMT" w:cs="TimesNRMT"/>
      <w:sz w:val="32"/>
      <w:szCs w:val="28"/>
      <w:lang w:val="en-US"/>
    </w:rPr>
  </w:style>
  <w:style w:type="character" w:customStyle="1" w:styleId="Heading2Char">
    <w:name w:val="Heading 2 Char"/>
    <w:basedOn w:val="DefaultParagraphFont"/>
    <w:link w:val="Heading2"/>
    <w:rsid w:val="004A0874"/>
    <w:rPr>
      <w:rFonts w:ascii="Times New Roman" w:eastAsia="Times New Roman" w:hAnsi="Times New Roman" w:cs="Times New Roman"/>
      <w:bCs/>
      <w:color w:val="000080"/>
      <w:sz w:val="28"/>
      <w:szCs w:val="28"/>
      <w:lang w:val="en-US"/>
    </w:rPr>
  </w:style>
  <w:style w:type="character" w:customStyle="1" w:styleId="Heading3Char">
    <w:name w:val="Heading 3 Char"/>
    <w:basedOn w:val="DefaultParagraphFont"/>
    <w:link w:val="Heading3"/>
    <w:rsid w:val="004A0874"/>
    <w:rPr>
      <w:rFonts w:ascii="Arial" w:eastAsia="Times New Roman" w:hAnsi="Arial" w:cs="Arial"/>
      <w:bCs/>
      <w:color w:val="FF0000"/>
      <w:sz w:val="24"/>
      <w:szCs w:val="24"/>
      <w:lang w:val="en-US"/>
    </w:rPr>
  </w:style>
  <w:style w:type="character" w:styleId="CommentReference">
    <w:name w:val="annotation reference"/>
    <w:basedOn w:val="DefaultParagraphFont"/>
    <w:uiPriority w:val="99"/>
    <w:semiHidden/>
    <w:unhideWhenUsed/>
    <w:rsid w:val="00E96B97"/>
    <w:rPr>
      <w:sz w:val="16"/>
      <w:szCs w:val="16"/>
    </w:rPr>
  </w:style>
  <w:style w:type="paragraph" w:styleId="CommentText">
    <w:name w:val="annotation text"/>
    <w:basedOn w:val="Normal"/>
    <w:link w:val="CommentTextChar"/>
    <w:uiPriority w:val="99"/>
    <w:unhideWhenUsed/>
    <w:rsid w:val="00F31F6F"/>
    <w:rPr>
      <w:sz w:val="20"/>
      <w:szCs w:val="20"/>
    </w:rPr>
  </w:style>
  <w:style w:type="character" w:customStyle="1" w:styleId="CommentTextChar">
    <w:name w:val="Comment Text Char"/>
    <w:basedOn w:val="DefaultParagraphFont"/>
    <w:link w:val="CommentText"/>
    <w:uiPriority w:val="99"/>
    <w:rsid w:val="00F31F6F"/>
    <w:rPr>
      <w:sz w:val="20"/>
      <w:szCs w:val="20"/>
    </w:rPr>
  </w:style>
  <w:style w:type="paragraph" w:styleId="BalloonText">
    <w:name w:val="Balloon Text"/>
    <w:basedOn w:val="Normal"/>
    <w:link w:val="BalloonTextChar"/>
    <w:uiPriority w:val="99"/>
    <w:semiHidden/>
    <w:unhideWhenUsed/>
    <w:rsid w:val="00F31F6F"/>
    <w:rPr>
      <w:sz w:val="18"/>
      <w:szCs w:val="18"/>
    </w:rPr>
  </w:style>
  <w:style w:type="character" w:customStyle="1" w:styleId="BalloonTextChar">
    <w:name w:val="Balloon Text Char"/>
    <w:basedOn w:val="DefaultParagraphFont"/>
    <w:link w:val="BalloonText"/>
    <w:uiPriority w:val="99"/>
    <w:semiHidden/>
    <w:rsid w:val="00F31F6F"/>
    <w:rPr>
      <w:rFonts w:ascii="Times New Roman" w:hAnsi="Times New Roman" w:cs="Times New Roman"/>
      <w:sz w:val="18"/>
      <w:szCs w:val="18"/>
    </w:rPr>
  </w:style>
  <w:style w:type="character" w:customStyle="1" w:styleId="text">
    <w:name w:val="text"/>
    <w:basedOn w:val="DefaultParagraphFont"/>
    <w:rsid w:val="00531DE2"/>
  </w:style>
  <w:style w:type="character" w:customStyle="1" w:styleId="author-ref">
    <w:name w:val="author-ref"/>
    <w:basedOn w:val="DefaultParagraphFont"/>
    <w:rsid w:val="00531DE2"/>
  </w:style>
  <w:style w:type="character" w:customStyle="1" w:styleId="Heading5Char">
    <w:name w:val="Heading 5 Char"/>
    <w:basedOn w:val="DefaultParagraphFont"/>
    <w:link w:val="Heading5"/>
    <w:rsid w:val="007D00A4"/>
    <w:rPr>
      <w:rFonts w:ascii="Times New Roman" w:eastAsia="Times New Roman" w:hAnsi="Times New Roman" w:cs="Times New Roman"/>
      <w:color w:val="FF6600"/>
      <w:lang w:val="en-US"/>
    </w:rPr>
  </w:style>
  <w:style w:type="character" w:styleId="PageNumber">
    <w:name w:val="page number"/>
    <w:basedOn w:val="DefaultParagraphFont"/>
    <w:uiPriority w:val="99"/>
    <w:semiHidden/>
    <w:unhideWhenUsed/>
    <w:rsid w:val="0084430C"/>
  </w:style>
  <w:style w:type="character" w:styleId="FollowedHyperlink">
    <w:name w:val="FollowedHyperlink"/>
    <w:basedOn w:val="DefaultParagraphFont"/>
    <w:uiPriority w:val="99"/>
    <w:semiHidden/>
    <w:unhideWhenUsed/>
    <w:rsid w:val="002E2B47"/>
    <w:rPr>
      <w:color w:val="954F72" w:themeColor="followedHyperlink"/>
      <w:u w:val="single"/>
    </w:rPr>
  </w:style>
  <w:style w:type="paragraph" w:styleId="Revision">
    <w:name w:val="Revision"/>
    <w:hidden/>
    <w:uiPriority w:val="99"/>
    <w:semiHidden/>
    <w:rsid w:val="00B7536D"/>
    <w:pPr>
      <w:spacing w:after="0" w:line="240" w:lineRule="auto"/>
    </w:pPr>
    <w:rPr>
      <w:sz w:val="24"/>
      <w:szCs w:val="24"/>
    </w:rPr>
  </w:style>
  <w:style w:type="character" w:customStyle="1" w:styleId="Heading4Char">
    <w:name w:val="Heading 4 Char"/>
    <w:basedOn w:val="DefaultParagraphFont"/>
    <w:link w:val="Heading4"/>
    <w:rsid w:val="00447B1C"/>
    <w:rPr>
      <w:rFonts w:ascii="Times New Roman" w:eastAsia="Times New Roman" w:hAnsi="Times New Roman" w:cs="Times New Roman"/>
      <w:bCs/>
      <w:color w:val="800080"/>
      <w:sz w:val="24"/>
      <w:szCs w:val="24"/>
    </w:rPr>
  </w:style>
  <w:style w:type="paragraph" w:customStyle="1" w:styleId="ShortHead">
    <w:name w:val="ShortHead"/>
    <w:rsid w:val="007F33D5"/>
    <w:pPr>
      <w:tabs>
        <w:tab w:val="left" w:pos="567"/>
      </w:tabs>
      <w:spacing w:after="0" w:line="240" w:lineRule="auto"/>
    </w:pPr>
    <w:rPr>
      <w:rFonts w:ascii="Arial" w:eastAsia="Times New Roman" w:hAnsi="Arial" w:cs="Times New Roman"/>
      <w:b/>
      <w:color w:val="008000"/>
      <w:sz w:val="20"/>
      <w:szCs w:val="20"/>
      <w:lang w:eastAsia="en-GB"/>
    </w:rPr>
  </w:style>
  <w:style w:type="paragraph" w:customStyle="1" w:styleId="Dedication">
    <w:name w:val="Dedication"/>
    <w:basedOn w:val="Normal"/>
    <w:rsid w:val="007F33D5"/>
    <w:pPr>
      <w:tabs>
        <w:tab w:val="left" w:pos="567"/>
      </w:tabs>
      <w:jc w:val="center"/>
    </w:pPr>
    <w:rPr>
      <w:rFonts w:ascii="Arial" w:hAnsi="Arial"/>
      <w:sz w:val="20"/>
      <w:szCs w:val="20"/>
      <w:lang w:val="en-GB" w:eastAsia="en-GB"/>
    </w:rPr>
  </w:style>
  <w:style w:type="paragraph" w:customStyle="1" w:styleId="TitlePageSubtitle">
    <w:name w:val="TitlePageSubtitle"/>
    <w:basedOn w:val="TitlePageTitle"/>
    <w:rsid w:val="007F33D5"/>
    <w:rPr>
      <w:sz w:val="40"/>
    </w:rPr>
  </w:style>
  <w:style w:type="paragraph" w:customStyle="1" w:styleId="TitlePageTitle">
    <w:name w:val="TitlePageTitle"/>
    <w:rsid w:val="007F33D5"/>
    <w:pPr>
      <w:spacing w:after="0" w:line="240" w:lineRule="auto"/>
      <w:jc w:val="center"/>
    </w:pPr>
    <w:rPr>
      <w:rFonts w:ascii="Times New Roman" w:eastAsia="Times New Roman" w:hAnsi="Times New Roman" w:cs="Times New Roman"/>
      <w:sz w:val="52"/>
      <w:szCs w:val="24"/>
      <w:lang w:val="en-US"/>
    </w:rPr>
  </w:style>
  <w:style w:type="paragraph" w:customStyle="1" w:styleId="SeriesInfoTitle">
    <w:name w:val="SeriesInfoTitle"/>
    <w:basedOn w:val="Normal"/>
    <w:rsid w:val="007F33D5"/>
    <w:pPr>
      <w:jc w:val="center"/>
    </w:pPr>
    <w:rPr>
      <w:b/>
      <w:szCs w:val="20"/>
      <w:lang w:val="en-GB"/>
    </w:rPr>
  </w:style>
  <w:style w:type="paragraph" w:customStyle="1" w:styleId="HalfTitle">
    <w:name w:val="HalfTitle"/>
    <w:basedOn w:val="Normal"/>
    <w:rsid w:val="007F33D5"/>
    <w:pPr>
      <w:tabs>
        <w:tab w:val="left" w:pos="567"/>
      </w:tabs>
      <w:jc w:val="center"/>
    </w:pPr>
    <w:rPr>
      <w:rFonts w:ascii="Arial" w:hAnsi="Arial"/>
      <w:smallCaps/>
      <w:sz w:val="28"/>
      <w:szCs w:val="20"/>
      <w:lang w:val="en-GB" w:eastAsia="en-GB"/>
    </w:rPr>
  </w:style>
  <w:style w:type="paragraph" w:styleId="List">
    <w:name w:val="List"/>
    <w:basedOn w:val="Normal"/>
    <w:rsid w:val="007F33D5"/>
    <w:pPr>
      <w:spacing w:before="240" w:line="240" w:lineRule="auto"/>
      <w:contextualSpacing/>
    </w:pPr>
    <w:rPr>
      <w:lang w:val="en-GB"/>
    </w:rPr>
  </w:style>
  <w:style w:type="paragraph" w:styleId="List2">
    <w:name w:val="List 2"/>
    <w:basedOn w:val="Normal"/>
    <w:rsid w:val="007F33D5"/>
    <w:pPr>
      <w:spacing w:before="0" w:line="240" w:lineRule="auto"/>
      <w:ind w:left="568" w:hanging="284"/>
      <w:contextualSpacing/>
    </w:pPr>
  </w:style>
  <w:style w:type="paragraph" w:styleId="ListContinue">
    <w:name w:val="List Continue"/>
    <w:basedOn w:val="List"/>
    <w:rsid w:val="007F33D5"/>
  </w:style>
  <w:style w:type="paragraph" w:styleId="ListContinue2">
    <w:name w:val="List Continue 2"/>
    <w:basedOn w:val="List2"/>
    <w:rsid w:val="007F33D5"/>
  </w:style>
  <w:style w:type="paragraph" w:customStyle="1" w:styleId="Index1">
    <w:name w:val="Index1"/>
    <w:next w:val="Normal"/>
    <w:rsid w:val="007F33D5"/>
    <w:pPr>
      <w:tabs>
        <w:tab w:val="right" w:pos="8312"/>
      </w:tabs>
      <w:spacing w:before="120" w:after="0" w:line="240" w:lineRule="auto"/>
    </w:pPr>
    <w:rPr>
      <w:rFonts w:ascii="Arial" w:eastAsia="Times New Roman" w:hAnsi="Arial" w:cs="Times New Roman"/>
      <w:sz w:val="20"/>
      <w:szCs w:val="20"/>
      <w:lang w:eastAsia="en-GB"/>
    </w:rPr>
  </w:style>
  <w:style w:type="paragraph" w:customStyle="1" w:styleId="Index2">
    <w:name w:val="Index2"/>
    <w:rsid w:val="007F33D5"/>
    <w:pPr>
      <w:tabs>
        <w:tab w:val="right" w:pos="8312"/>
      </w:tabs>
      <w:spacing w:before="120" w:after="0" w:line="240" w:lineRule="auto"/>
      <w:ind w:left="567"/>
    </w:pPr>
    <w:rPr>
      <w:rFonts w:ascii="Arial" w:eastAsia="Times New Roman" w:hAnsi="Arial" w:cs="Times New Roman"/>
      <w:sz w:val="20"/>
      <w:szCs w:val="20"/>
      <w:lang w:eastAsia="en-GB"/>
    </w:rPr>
  </w:style>
  <w:style w:type="paragraph" w:customStyle="1" w:styleId="Index3">
    <w:name w:val="Index3"/>
    <w:rsid w:val="007F33D5"/>
    <w:pPr>
      <w:tabs>
        <w:tab w:val="right" w:pos="8312"/>
      </w:tabs>
      <w:spacing w:before="120" w:after="0" w:line="240" w:lineRule="auto"/>
      <w:ind w:left="1134"/>
    </w:pPr>
    <w:rPr>
      <w:rFonts w:ascii="Arial" w:eastAsia="Times New Roman" w:hAnsi="Arial" w:cs="Times New Roman"/>
      <w:sz w:val="20"/>
      <w:szCs w:val="20"/>
      <w:lang w:eastAsia="en-GB"/>
    </w:rPr>
  </w:style>
  <w:style w:type="paragraph" w:customStyle="1" w:styleId="Index4">
    <w:name w:val="Index4"/>
    <w:rsid w:val="007F33D5"/>
    <w:pPr>
      <w:tabs>
        <w:tab w:val="right" w:pos="8312"/>
      </w:tabs>
      <w:spacing w:before="120" w:after="0" w:line="240" w:lineRule="auto"/>
      <w:ind w:left="1701"/>
    </w:pPr>
    <w:rPr>
      <w:rFonts w:ascii="Arial" w:eastAsia="Times New Roman" w:hAnsi="Arial" w:cs="Times New Roman"/>
      <w:sz w:val="20"/>
      <w:szCs w:val="20"/>
      <w:lang w:eastAsia="en-GB"/>
    </w:rPr>
  </w:style>
  <w:style w:type="paragraph" w:customStyle="1" w:styleId="ArtworkB">
    <w:name w:val="#ArtworkB"/>
    <w:rsid w:val="007F33D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Times New Roman"/>
      <w:b/>
      <w:color w:val="00FFFF"/>
      <w:sz w:val="20"/>
      <w:szCs w:val="20"/>
      <w:lang w:eastAsia="en-GB"/>
    </w:rPr>
  </w:style>
  <w:style w:type="paragraph" w:customStyle="1" w:styleId="ArtworkE">
    <w:name w:val="#ArtworkE"/>
    <w:rsid w:val="007F33D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Times New Roman"/>
      <w:b/>
      <w:color w:val="00FFFF"/>
      <w:sz w:val="20"/>
      <w:szCs w:val="20"/>
      <w:lang w:eastAsia="en-GB"/>
    </w:rPr>
  </w:style>
  <w:style w:type="paragraph" w:customStyle="1" w:styleId="Artwork">
    <w:name w:val="Artwork"/>
    <w:rsid w:val="007F33D5"/>
    <w:pP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Author">
    <w:name w:val="Author"/>
    <w:rsid w:val="007F33D5"/>
    <w:pPr>
      <w:tabs>
        <w:tab w:val="left" w:pos="567"/>
      </w:tabs>
      <w:spacing w:after="0" w:line="240" w:lineRule="auto"/>
      <w:jc w:val="center"/>
    </w:pPr>
    <w:rPr>
      <w:rFonts w:ascii="Arial" w:eastAsia="Times New Roman" w:hAnsi="Arial" w:cs="Times New Roman"/>
      <w:sz w:val="20"/>
      <w:szCs w:val="20"/>
      <w:lang w:eastAsia="en-GB"/>
    </w:rPr>
  </w:style>
  <w:style w:type="paragraph" w:styleId="Quote">
    <w:name w:val="Quote"/>
    <w:link w:val="QuoteChar"/>
    <w:qFormat/>
    <w:rsid w:val="007F33D5"/>
    <w:pPr>
      <w:tabs>
        <w:tab w:val="left" w:pos="567"/>
      </w:tabs>
      <w:spacing w:before="120" w:after="120" w:line="240" w:lineRule="auto"/>
      <w:ind w:left="680"/>
    </w:pPr>
    <w:rPr>
      <w:rFonts w:ascii="Times New Roman" w:eastAsia="Times New Roman" w:hAnsi="Times New Roman" w:cs="Times New Roman"/>
      <w:szCs w:val="20"/>
      <w:lang w:eastAsia="en-GB"/>
    </w:rPr>
  </w:style>
  <w:style w:type="character" w:customStyle="1" w:styleId="QuoteChar">
    <w:name w:val="Quote Char"/>
    <w:basedOn w:val="DefaultParagraphFont"/>
    <w:link w:val="Quote"/>
    <w:rsid w:val="00447B1C"/>
    <w:rPr>
      <w:rFonts w:ascii="Times New Roman" w:eastAsia="Times New Roman" w:hAnsi="Times New Roman" w:cs="Times New Roman"/>
      <w:szCs w:val="20"/>
      <w:lang w:eastAsia="en-GB"/>
    </w:rPr>
  </w:style>
  <w:style w:type="paragraph" w:customStyle="1" w:styleId="QuoteContinued">
    <w:name w:val="QuoteContinued"/>
    <w:rsid w:val="007F33D5"/>
    <w:pPr>
      <w:tabs>
        <w:tab w:val="left" w:pos="567"/>
      </w:tabs>
      <w:spacing w:before="60" w:after="0" w:line="240" w:lineRule="auto"/>
      <w:ind w:left="680"/>
    </w:pPr>
    <w:rPr>
      <w:rFonts w:ascii="Times New Roman" w:eastAsia="Times New Roman" w:hAnsi="Times New Roman" w:cs="Times New Roman"/>
      <w:szCs w:val="20"/>
      <w:lang w:eastAsia="en-GB"/>
    </w:rPr>
  </w:style>
  <w:style w:type="paragraph" w:customStyle="1" w:styleId="ChapNumber">
    <w:name w:val="ChapNumber"/>
    <w:rsid w:val="007F33D5"/>
    <w:pPr>
      <w:tabs>
        <w:tab w:val="left" w:pos="567"/>
      </w:tabs>
      <w:spacing w:before="120" w:after="0" w:line="240" w:lineRule="auto"/>
      <w:jc w:val="center"/>
    </w:pPr>
    <w:rPr>
      <w:rFonts w:ascii="Arial" w:eastAsia="Times New Roman" w:hAnsi="Arial" w:cs="Times New Roman"/>
      <w:sz w:val="32"/>
      <w:szCs w:val="20"/>
      <w:lang w:eastAsia="en-GB"/>
    </w:rPr>
  </w:style>
  <w:style w:type="paragraph" w:customStyle="1" w:styleId="ChapTitle">
    <w:name w:val="ChapTitle"/>
    <w:rsid w:val="007F33D5"/>
    <w:pPr>
      <w:tabs>
        <w:tab w:val="left" w:pos="567"/>
      </w:tabs>
      <w:spacing w:before="240" w:after="0" w:line="240" w:lineRule="auto"/>
      <w:jc w:val="center"/>
    </w:pPr>
    <w:rPr>
      <w:rFonts w:ascii="Arial" w:eastAsia="Times New Roman" w:hAnsi="Arial" w:cs="Times New Roman"/>
      <w:sz w:val="40"/>
      <w:szCs w:val="20"/>
      <w:lang w:eastAsia="en-GB"/>
    </w:rPr>
  </w:style>
  <w:style w:type="paragraph" w:customStyle="1" w:styleId="ChapSubtitle">
    <w:name w:val="ChapSubtitle"/>
    <w:basedOn w:val="Title"/>
    <w:rsid w:val="007F33D5"/>
    <w:pPr>
      <w:spacing w:before="360" w:after="360"/>
      <w:outlineLvl w:val="9"/>
    </w:pPr>
    <w:rPr>
      <w:rFonts w:ascii="Times New Roman" w:hAnsi="Times New Roman" w:cs="Times New Roman"/>
      <w:kern w:val="0"/>
      <w:szCs w:val="28"/>
      <w:lang w:val="en-GB"/>
    </w:rPr>
  </w:style>
  <w:style w:type="paragraph" w:styleId="Title">
    <w:name w:val="Title"/>
    <w:basedOn w:val="Normal"/>
    <w:link w:val="TitleChar"/>
    <w:qFormat/>
    <w:rsid w:val="007F33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47B1C"/>
    <w:rPr>
      <w:rFonts w:ascii="Arial" w:eastAsia="Times New Roman" w:hAnsi="Arial" w:cs="Arial"/>
      <w:b/>
      <w:bCs/>
      <w:kern w:val="28"/>
      <w:sz w:val="32"/>
      <w:szCs w:val="32"/>
      <w:lang w:val="en-US"/>
    </w:rPr>
  </w:style>
  <w:style w:type="paragraph" w:customStyle="1" w:styleId="NormalContinued">
    <w:name w:val="NormalContinued"/>
    <w:basedOn w:val="Normal"/>
    <w:rsid w:val="007F33D5"/>
  </w:style>
  <w:style w:type="paragraph" w:customStyle="1" w:styleId="BiblioEntry">
    <w:name w:val="BiblioEntry"/>
    <w:rsid w:val="007F33D5"/>
    <w:pPr>
      <w:tabs>
        <w:tab w:val="left" w:pos="567"/>
      </w:tabs>
      <w:spacing w:before="120" w:after="0" w:line="240" w:lineRule="auto"/>
      <w:ind w:left="567" w:hanging="567"/>
    </w:pPr>
    <w:rPr>
      <w:rFonts w:ascii="Times New Roman" w:eastAsia="Times New Roman" w:hAnsi="Times New Roman" w:cs="Times New Roman"/>
      <w:sz w:val="24"/>
      <w:szCs w:val="20"/>
      <w:lang w:eastAsia="en-GB"/>
    </w:rPr>
  </w:style>
  <w:style w:type="paragraph" w:customStyle="1" w:styleId="TableB">
    <w:name w:val="#TableB"/>
    <w:rsid w:val="007F33D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Times New Roman"/>
      <w:b/>
      <w:sz w:val="20"/>
      <w:szCs w:val="20"/>
      <w:lang w:eastAsia="en-GB"/>
    </w:rPr>
  </w:style>
  <w:style w:type="paragraph" w:customStyle="1" w:styleId="TableE">
    <w:name w:val="#TableE"/>
    <w:rsid w:val="007F33D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Times New Roman"/>
      <w:b/>
      <w:sz w:val="20"/>
      <w:szCs w:val="20"/>
      <w:lang w:eastAsia="en-GB"/>
    </w:rPr>
  </w:style>
  <w:style w:type="paragraph" w:customStyle="1" w:styleId="Quote-list">
    <w:name w:val="Quote-list"/>
    <w:basedOn w:val="Quote"/>
    <w:rsid w:val="007F33D5"/>
    <w:pPr>
      <w:keepLines/>
      <w:contextualSpacing/>
    </w:pPr>
  </w:style>
  <w:style w:type="paragraph" w:customStyle="1" w:styleId="Quote-sublist">
    <w:name w:val="Quote-sublist"/>
    <w:basedOn w:val="Quote-list"/>
    <w:rsid w:val="007F33D5"/>
    <w:pPr>
      <w:ind w:left="1134"/>
    </w:pPr>
  </w:style>
  <w:style w:type="paragraph" w:customStyle="1" w:styleId="PartNumber">
    <w:name w:val="PartNumber"/>
    <w:rsid w:val="007F33D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PartTitle">
    <w:name w:val="PartTitle"/>
    <w:rsid w:val="007F33D5"/>
    <w:pPr>
      <w:tabs>
        <w:tab w:val="left" w:pos="567"/>
      </w:tabs>
      <w:spacing w:after="360" w:line="240" w:lineRule="auto"/>
    </w:pPr>
    <w:rPr>
      <w:rFonts w:ascii="Arial" w:eastAsia="Times New Roman" w:hAnsi="Arial" w:cs="Times New Roman"/>
      <w:sz w:val="44"/>
      <w:szCs w:val="20"/>
      <w:lang w:eastAsia="en-GB"/>
    </w:rPr>
  </w:style>
  <w:style w:type="character" w:customStyle="1" w:styleId="leader-fill">
    <w:name w:val="leader-fill"/>
    <w:basedOn w:val="DefaultParagraphFont"/>
    <w:rsid w:val="007F33D5"/>
    <w:rPr>
      <w:rFonts w:cs="Times New Roman"/>
      <w:color w:val="800000"/>
      <w:shd w:val="clear" w:color="auto" w:fill="auto"/>
      <w:lang w:val="en-GB" w:eastAsia="x-none"/>
    </w:rPr>
  </w:style>
  <w:style w:type="paragraph" w:customStyle="1" w:styleId="Epigraph">
    <w:name w:val="Epigraph"/>
    <w:basedOn w:val="Quote"/>
    <w:rsid w:val="007F33D5"/>
    <w:pPr>
      <w:jc w:val="right"/>
    </w:pPr>
  </w:style>
  <w:style w:type="paragraph" w:customStyle="1" w:styleId="Figurecaption">
    <w:name w:val="Figure caption"/>
    <w:basedOn w:val="Normal"/>
    <w:rsid w:val="007F33D5"/>
    <w:pPr>
      <w:spacing w:before="240"/>
      <w:jc w:val="left"/>
    </w:pPr>
    <w:rPr>
      <w:b/>
    </w:rPr>
  </w:style>
  <w:style w:type="paragraph" w:customStyle="1" w:styleId="Abstract">
    <w:name w:val="Abstract"/>
    <w:basedOn w:val="Normal"/>
    <w:rsid w:val="007F33D5"/>
    <w:pPr>
      <w:ind w:left="284" w:right="284"/>
    </w:pPr>
    <w:rPr>
      <w:sz w:val="20"/>
    </w:rPr>
  </w:style>
  <w:style w:type="paragraph" w:customStyle="1" w:styleId="TableCaption">
    <w:name w:val="TableCaption"/>
    <w:basedOn w:val="Figurecaption"/>
    <w:next w:val="Normal"/>
    <w:rsid w:val="007F33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9430">
      <w:bodyDiv w:val="1"/>
      <w:marLeft w:val="0"/>
      <w:marRight w:val="0"/>
      <w:marTop w:val="0"/>
      <w:marBottom w:val="0"/>
      <w:divBdr>
        <w:top w:val="none" w:sz="0" w:space="0" w:color="auto"/>
        <w:left w:val="none" w:sz="0" w:space="0" w:color="auto"/>
        <w:bottom w:val="none" w:sz="0" w:space="0" w:color="auto"/>
        <w:right w:val="none" w:sz="0" w:space="0" w:color="auto"/>
      </w:divBdr>
      <w:divsChild>
        <w:div w:id="1923442325">
          <w:marLeft w:val="0"/>
          <w:marRight w:val="0"/>
          <w:marTop w:val="0"/>
          <w:marBottom w:val="0"/>
          <w:divBdr>
            <w:top w:val="none" w:sz="0" w:space="0" w:color="auto"/>
            <w:left w:val="none" w:sz="0" w:space="0" w:color="auto"/>
            <w:bottom w:val="none" w:sz="0" w:space="0" w:color="auto"/>
            <w:right w:val="none" w:sz="0" w:space="0" w:color="auto"/>
          </w:divBdr>
          <w:divsChild>
            <w:div w:id="2021157702">
              <w:marLeft w:val="0"/>
              <w:marRight w:val="0"/>
              <w:marTop w:val="0"/>
              <w:marBottom w:val="0"/>
              <w:divBdr>
                <w:top w:val="none" w:sz="0" w:space="0" w:color="auto"/>
                <w:left w:val="none" w:sz="0" w:space="0" w:color="auto"/>
                <w:bottom w:val="none" w:sz="0" w:space="0" w:color="auto"/>
                <w:right w:val="none" w:sz="0" w:space="0" w:color="auto"/>
              </w:divBdr>
              <w:divsChild>
                <w:div w:id="2031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1390">
      <w:bodyDiv w:val="1"/>
      <w:marLeft w:val="0"/>
      <w:marRight w:val="0"/>
      <w:marTop w:val="0"/>
      <w:marBottom w:val="0"/>
      <w:divBdr>
        <w:top w:val="none" w:sz="0" w:space="0" w:color="auto"/>
        <w:left w:val="none" w:sz="0" w:space="0" w:color="auto"/>
        <w:bottom w:val="none" w:sz="0" w:space="0" w:color="auto"/>
        <w:right w:val="none" w:sz="0" w:space="0" w:color="auto"/>
      </w:divBdr>
      <w:divsChild>
        <w:div w:id="1871189187">
          <w:marLeft w:val="0"/>
          <w:marRight w:val="0"/>
          <w:marTop w:val="0"/>
          <w:marBottom w:val="0"/>
          <w:divBdr>
            <w:top w:val="none" w:sz="0" w:space="0" w:color="auto"/>
            <w:left w:val="none" w:sz="0" w:space="0" w:color="auto"/>
            <w:bottom w:val="none" w:sz="0" w:space="0" w:color="auto"/>
            <w:right w:val="none" w:sz="0" w:space="0" w:color="auto"/>
          </w:divBdr>
          <w:divsChild>
            <w:div w:id="1119907817">
              <w:marLeft w:val="0"/>
              <w:marRight w:val="0"/>
              <w:marTop w:val="0"/>
              <w:marBottom w:val="0"/>
              <w:divBdr>
                <w:top w:val="none" w:sz="0" w:space="0" w:color="auto"/>
                <w:left w:val="none" w:sz="0" w:space="0" w:color="auto"/>
                <w:bottom w:val="none" w:sz="0" w:space="0" w:color="auto"/>
                <w:right w:val="none" w:sz="0" w:space="0" w:color="auto"/>
              </w:divBdr>
              <w:divsChild>
                <w:div w:id="358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8058">
      <w:bodyDiv w:val="1"/>
      <w:marLeft w:val="0"/>
      <w:marRight w:val="0"/>
      <w:marTop w:val="0"/>
      <w:marBottom w:val="0"/>
      <w:divBdr>
        <w:top w:val="none" w:sz="0" w:space="0" w:color="auto"/>
        <w:left w:val="none" w:sz="0" w:space="0" w:color="auto"/>
        <w:bottom w:val="none" w:sz="0" w:space="0" w:color="auto"/>
        <w:right w:val="none" w:sz="0" w:space="0" w:color="auto"/>
      </w:divBdr>
      <w:divsChild>
        <w:div w:id="558595968">
          <w:marLeft w:val="0"/>
          <w:marRight w:val="0"/>
          <w:marTop w:val="0"/>
          <w:marBottom w:val="0"/>
          <w:divBdr>
            <w:top w:val="none" w:sz="0" w:space="0" w:color="auto"/>
            <w:left w:val="none" w:sz="0" w:space="0" w:color="auto"/>
            <w:bottom w:val="none" w:sz="0" w:space="0" w:color="auto"/>
            <w:right w:val="none" w:sz="0" w:space="0" w:color="auto"/>
          </w:divBdr>
          <w:divsChild>
            <w:div w:id="317002527">
              <w:marLeft w:val="0"/>
              <w:marRight w:val="0"/>
              <w:marTop w:val="0"/>
              <w:marBottom w:val="0"/>
              <w:divBdr>
                <w:top w:val="none" w:sz="0" w:space="0" w:color="auto"/>
                <w:left w:val="none" w:sz="0" w:space="0" w:color="auto"/>
                <w:bottom w:val="none" w:sz="0" w:space="0" w:color="auto"/>
                <w:right w:val="none" w:sz="0" w:space="0" w:color="auto"/>
              </w:divBdr>
              <w:divsChild>
                <w:div w:id="1357728780">
                  <w:marLeft w:val="0"/>
                  <w:marRight w:val="0"/>
                  <w:marTop w:val="0"/>
                  <w:marBottom w:val="0"/>
                  <w:divBdr>
                    <w:top w:val="none" w:sz="0" w:space="0" w:color="auto"/>
                    <w:left w:val="none" w:sz="0" w:space="0" w:color="auto"/>
                    <w:bottom w:val="none" w:sz="0" w:space="0" w:color="auto"/>
                    <w:right w:val="none" w:sz="0" w:space="0" w:color="auto"/>
                  </w:divBdr>
                  <w:divsChild>
                    <w:div w:id="14463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777">
      <w:bodyDiv w:val="1"/>
      <w:marLeft w:val="0"/>
      <w:marRight w:val="0"/>
      <w:marTop w:val="0"/>
      <w:marBottom w:val="0"/>
      <w:divBdr>
        <w:top w:val="none" w:sz="0" w:space="0" w:color="auto"/>
        <w:left w:val="none" w:sz="0" w:space="0" w:color="auto"/>
        <w:bottom w:val="none" w:sz="0" w:space="0" w:color="auto"/>
        <w:right w:val="none" w:sz="0" w:space="0" w:color="auto"/>
      </w:divBdr>
      <w:divsChild>
        <w:div w:id="1258903385">
          <w:marLeft w:val="0"/>
          <w:marRight w:val="0"/>
          <w:marTop w:val="0"/>
          <w:marBottom w:val="0"/>
          <w:divBdr>
            <w:top w:val="none" w:sz="0" w:space="0" w:color="auto"/>
            <w:left w:val="none" w:sz="0" w:space="0" w:color="auto"/>
            <w:bottom w:val="none" w:sz="0" w:space="0" w:color="auto"/>
            <w:right w:val="none" w:sz="0" w:space="0" w:color="auto"/>
          </w:divBdr>
          <w:divsChild>
            <w:div w:id="474614780">
              <w:marLeft w:val="0"/>
              <w:marRight w:val="0"/>
              <w:marTop w:val="0"/>
              <w:marBottom w:val="0"/>
              <w:divBdr>
                <w:top w:val="none" w:sz="0" w:space="0" w:color="auto"/>
                <w:left w:val="none" w:sz="0" w:space="0" w:color="auto"/>
                <w:bottom w:val="none" w:sz="0" w:space="0" w:color="auto"/>
                <w:right w:val="none" w:sz="0" w:space="0" w:color="auto"/>
              </w:divBdr>
              <w:divsChild>
                <w:div w:id="286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270">
      <w:bodyDiv w:val="1"/>
      <w:marLeft w:val="0"/>
      <w:marRight w:val="0"/>
      <w:marTop w:val="0"/>
      <w:marBottom w:val="0"/>
      <w:divBdr>
        <w:top w:val="none" w:sz="0" w:space="0" w:color="auto"/>
        <w:left w:val="none" w:sz="0" w:space="0" w:color="auto"/>
        <w:bottom w:val="none" w:sz="0" w:space="0" w:color="auto"/>
        <w:right w:val="none" w:sz="0" w:space="0" w:color="auto"/>
      </w:divBdr>
    </w:div>
    <w:div w:id="107091557">
      <w:bodyDiv w:val="1"/>
      <w:marLeft w:val="0"/>
      <w:marRight w:val="0"/>
      <w:marTop w:val="0"/>
      <w:marBottom w:val="0"/>
      <w:divBdr>
        <w:top w:val="none" w:sz="0" w:space="0" w:color="auto"/>
        <w:left w:val="none" w:sz="0" w:space="0" w:color="auto"/>
        <w:bottom w:val="none" w:sz="0" w:space="0" w:color="auto"/>
        <w:right w:val="none" w:sz="0" w:space="0" w:color="auto"/>
      </w:divBdr>
      <w:divsChild>
        <w:div w:id="2028411082">
          <w:marLeft w:val="0"/>
          <w:marRight w:val="0"/>
          <w:marTop w:val="0"/>
          <w:marBottom w:val="0"/>
          <w:divBdr>
            <w:top w:val="none" w:sz="0" w:space="0" w:color="auto"/>
            <w:left w:val="none" w:sz="0" w:space="0" w:color="auto"/>
            <w:bottom w:val="none" w:sz="0" w:space="0" w:color="auto"/>
            <w:right w:val="none" w:sz="0" w:space="0" w:color="auto"/>
          </w:divBdr>
          <w:divsChild>
            <w:div w:id="1470971898">
              <w:marLeft w:val="0"/>
              <w:marRight w:val="0"/>
              <w:marTop w:val="0"/>
              <w:marBottom w:val="0"/>
              <w:divBdr>
                <w:top w:val="none" w:sz="0" w:space="0" w:color="auto"/>
                <w:left w:val="none" w:sz="0" w:space="0" w:color="auto"/>
                <w:bottom w:val="none" w:sz="0" w:space="0" w:color="auto"/>
                <w:right w:val="none" w:sz="0" w:space="0" w:color="auto"/>
              </w:divBdr>
              <w:divsChild>
                <w:div w:id="1345589101">
                  <w:marLeft w:val="0"/>
                  <w:marRight w:val="0"/>
                  <w:marTop w:val="0"/>
                  <w:marBottom w:val="0"/>
                  <w:divBdr>
                    <w:top w:val="none" w:sz="0" w:space="0" w:color="auto"/>
                    <w:left w:val="none" w:sz="0" w:space="0" w:color="auto"/>
                    <w:bottom w:val="none" w:sz="0" w:space="0" w:color="auto"/>
                    <w:right w:val="none" w:sz="0" w:space="0" w:color="auto"/>
                  </w:divBdr>
                  <w:divsChild>
                    <w:div w:id="14492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5235">
      <w:bodyDiv w:val="1"/>
      <w:marLeft w:val="0"/>
      <w:marRight w:val="0"/>
      <w:marTop w:val="0"/>
      <w:marBottom w:val="0"/>
      <w:divBdr>
        <w:top w:val="none" w:sz="0" w:space="0" w:color="auto"/>
        <w:left w:val="none" w:sz="0" w:space="0" w:color="auto"/>
        <w:bottom w:val="none" w:sz="0" w:space="0" w:color="auto"/>
        <w:right w:val="none" w:sz="0" w:space="0" w:color="auto"/>
      </w:divBdr>
      <w:divsChild>
        <w:div w:id="1173959406">
          <w:marLeft w:val="0"/>
          <w:marRight w:val="0"/>
          <w:marTop w:val="0"/>
          <w:marBottom w:val="0"/>
          <w:divBdr>
            <w:top w:val="none" w:sz="0" w:space="0" w:color="auto"/>
            <w:left w:val="none" w:sz="0" w:space="0" w:color="auto"/>
            <w:bottom w:val="none" w:sz="0" w:space="0" w:color="auto"/>
            <w:right w:val="none" w:sz="0" w:space="0" w:color="auto"/>
          </w:divBdr>
          <w:divsChild>
            <w:div w:id="394592763">
              <w:marLeft w:val="0"/>
              <w:marRight w:val="0"/>
              <w:marTop w:val="0"/>
              <w:marBottom w:val="0"/>
              <w:divBdr>
                <w:top w:val="none" w:sz="0" w:space="0" w:color="auto"/>
                <w:left w:val="none" w:sz="0" w:space="0" w:color="auto"/>
                <w:bottom w:val="none" w:sz="0" w:space="0" w:color="auto"/>
                <w:right w:val="none" w:sz="0" w:space="0" w:color="auto"/>
              </w:divBdr>
              <w:divsChild>
                <w:div w:id="1467090915">
                  <w:marLeft w:val="0"/>
                  <w:marRight w:val="0"/>
                  <w:marTop w:val="0"/>
                  <w:marBottom w:val="0"/>
                  <w:divBdr>
                    <w:top w:val="none" w:sz="0" w:space="0" w:color="auto"/>
                    <w:left w:val="none" w:sz="0" w:space="0" w:color="auto"/>
                    <w:bottom w:val="none" w:sz="0" w:space="0" w:color="auto"/>
                    <w:right w:val="none" w:sz="0" w:space="0" w:color="auto"/>
                  </w:divBdr>
                </w:div>
              </w:divsChild>
            </w:div>
            <w:div w:id="957418582">
              <w:marLeft w:val="0"/>
              <w:marRight w:val="0"/>
              <w:marTop w:val="0"/>
              <w:marBottom w:val="0"/>
              <w:divBdr>
                <w:top w:val="none" w:sz="0" w:space="0" w:color="auto"/>
                <w:left w:val="none" w:sz="0" w:space="0" w:color="auto"/>
                <w:bottom w:val="none" w:sz="0" w:space="0" w:color="auto"/>
                <w:right w:val="none" w:sz="0" w:space="0" w:color="auto"/>
              </w:divBdr>
              <w:divsChild>
                <w:div w:id="21309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0992">
          <w:marLeft w:val="0"/>
          <w:marRight w:val="0"/>
          <w:marTop w:val="0"/>
          <w:marBottom w:val="0"/>
          <w:divBdr>
            <w:top w:val="none" w:sz="0" w:space="0" w:color="auto"/>
            <w:left w:val="none" w:sz="0" w:space="0" w:color="auto"/>
            <w:bottom w:val="none" w:sz="0" w:space="0" w:color="auto"/>
            <w:right w:val="none" w:sz="0" w:space="0" w:color="auto"/>
          </w:divBdr>
          <w:divsChild>
            <w:div w:id="1776248126">
              <w:marLeft w:val="0"/>
              <w:marRight w:val="0"/>
              <w:marTop w:val="0"/>
              <w:marBottom w:val="0"/>
              <w:divBdr>
                <w:top w:val="none" w:sz="0" w:space="0" w:color="auto"/>
                <w:left w:val="none" w:sz="0" w:space="0" w:color="auto"/>
                <w:bottom w:val="none" w:sz="0" w:space="0" w:color="auto"/>
                <w:right w:val="none" w:sz="0" w:space="0" w:color="auto"/>
              </w:divBdr>
              <w:divsChild>
                <w:div w:id="2100834774">
                  <w:marLeft w:val="0"/>
                  <w:marRight w:val="0"/>
                  <w:marTop w:val="0"/>
                  <w:marBottom w:val="0"/>
                  <w:divBdr>
                    <w:top w:val="none" w:sz="0" w:space="0" w:color="auto"/>
                    <w:left w:val="none" w:sz="0" w:space="0" w:color="auto"/>
                    <w:bottom w:val="none" w:sz="0" w:space="0" w:color="auto"/>
                    <w:right w:val="none" w:sz="0" w:space="0" w:color="auto"/>
                  </w:divBdr>
                </w:div>
              </w:divsChild>
            </w:div>
            <w:div w:id="1213889428">
              <w:marLeft w:val="0"/>
              <w:marRight w:val="0"/>
              <w:marTop w:val="0"/>
              <w:marBottom w:val="0"/>
              <w:divBdr>
                <w:top w:val="none" w:sz="0" w:space="0" w:color="auto"/>
                <w:left w:val="none" w:sz="0" w:space="0" w:color="auto"/>
                <w:bottom w:val="none" w:sz="0" w:space="0" w:color="auto"/>
                <w:right w:val="none" w:sz="0" w:space="0" w:color="auto"/>
              </w:divBdr>
              <w:divsChild>
                <w:div w:id="7984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6007">
          <w:marLeft w:val="0"/>
          <w:marRight w:val="0"/>
          <w:marTop w:val="0"/>
          <w:marBottom w:val="0"/>
          <w:divBdr>
            <w:top w:val="none" w:sz="0" w:space="0" w:color="auto"/>
            <w:left w:val="none" w:sz="0" w:space="0" w:color="auto"/>
            <w:bottom w:val="none" w:sz="0" w:space="0" w:color="auto"/>
            <w:right w:val="none" w:sz="0" w:space="0" w:color="auto"/>
          </w:divBdr>
          <w:divsChild>
            <w:div w:id="2108698592">
              <w:marLeft w:val="0"/>
              <w:marRight w:val="0"/>
              <w:marTop w:val="0"/>
              <w:marBottom w:val="0"/>
              <w:divBdr>
                <w:top w:val="none" w:sz="0" w:space="0" w:color="auto"/>
                <w:left w:val="none" w:sz="0" w:space="0" w:color="auto"/>
                <w:bottom w:val="none" w:sz="0" w:space="0" w:color="auto"/>
                <w:right w:val="none" w:sz="0" w:space="0" w:color="auto"/>
              </w:divBdr>
              <w:divsChild>
                <w:div w:id="19770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2700">
      <w:bodyDiv w:val="1"/>
      <w:marLeft w:val="0"/>
      <w:marRight w:val="0"/>
      <w:marTop w:val="0"/>
      <w:marBottom w:val="0"/>
      <w:divBdr>
        <w:top w:val="none" w:sz="0" w:space="0" w:color="auto"/>
        <w:left w:val="none" w:sz="0" w:space="0" w:color="auto"/>
        <w:bottom w:val="none" w:sz="0" w:space="0" w:color="auto"/>
        <w:right w:val="none" w:sz="0" w:space="0" w:color="auto"/>
      </w:divBdr>
      <w:divsChild>
        <w:div w:id="1947811411">
          <w:marLeft w:val="0"/>
          <w:marRight w:val="0"/>
          <w:marTop w:val="0"/>
          <w:marBottom w:val="0"/>
          <w:divBdr>
            <w:top w:val="none" w:sz="0" w:space="0" w:color="auto"/>
            <w:left w:val="none" w:sz="0" w:space="0" w:color="auto"/>
            <w:bottom w:val="none" w:sz="0" w:space="0" w:color="auto"/>
            <w:right w:val="none" w:sz="0" w:space="0" w:color="auto"/>
          </w:divBdr>
          <w:divsChild>
            <w:div w:id="249702539">
              <w:marLeft w:val="0"/>
              <w:marRight w:val="0"/>
              <w:marTop w:val="0"/>
              <w:marBottom w:val="0"/>
              <w:divBdr>
                <w:top w:val="none" w:sz="0" w:space="0" w:color="auto"/>
                <w:left w:val="none" w:sz="0" w:space="0" w:color="auto"/>
                <w:bottom w:val="none" w:sz="0" w:space="0" w:color="auto"/>
                <w:right w:val="none" w:sz="0" w:space="0" w:color="auto"/>
              </w:divBdr>
              <w:divsChild>
                <w:div w:id="13191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4134">
      <w:bodyDiv w:val="1"/>
      <w:marLeft w:val="0"/>
      <w:marRight w:val="0"/>
      <w:marTop w:val="0"/>
      <w:marBottom w:val="0"/>
      <w:divBdr>
        <w:top w:val="none" w:sz="0" w:space="0" w:color="auto"/>
        <w:left w:val="none" w:sz="0" w:space="0" w:color="auto"/>
        <w:bottom w:val="none" w:sz="0" w:space="0" w:color="auto"/>
        <w:right w:val="none" w:sz="0" w:space="0" w:color="auto"/>
      </w:divBdr>
      <w:divsChild>
        <w:div w:id="1506093639">
          <w:marLeft w:val="0"/>
          <w:marRight w:val="0"/>
          <w:marTop w:val="0"/>
          <w:marBottom w:val="0"/>
          <w:divBdr>
            <w:top w:val="none" w:sz="0" w:space="0" w:color="auto"/>
            <w:left w:val="none" w:sz="0" w:space="0" w:color="auto"/>
            <w:bottom w:val="none" w:sz="0" w:space="0" w:color="auto"/>
            <w:right w:val="none" w:sz="0" w:space="0" w:color="auto"/>
          </w:divBdr>
          <w:divsChild>
            <w:div w:id="1123380244">
              <w:marLeft w:val="0"/>
              <w:marRight w:val="0"/>
              <w:marTop w:val="0"/>
              <w:marBottom w:val="0"/>
              <w:divBdr>
                <w:top w:val="none" w:sz="0" w:space="0" w:color="auto"/>
                <w:left w:val="none" w:sz="0" w:space="0" w:color="auto"/>
                <w:bottom w:val="none" w:sz="0" w:space="0" w:color="auto"/>
                <w:right w:val="none" w:sz="0" w:space="0" w:color="auto"/>
              </w:divBdr>
              <w:divsChild>
                <w:div w:id="7114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14">
      <w:bodyDiv w:val="1"/>
      <w:marLeft w:val="0"/>
      <w:marRight w:val="0"/>
      <w:marTop w:val="0"/>
      <w:marBottom w:val="0"/>
      <w:divBdr>
        <w:top w:val="none" w:sz="0" w:space="0" w:color="auto"/>
        <w:left w:val="none" w:sz="0" w:space="0" w:color="auto"/>
        <w:bottom w:val="none" w:sz="0" w:space="0" w:color="auto"/>
        <w:right w:val="none" w:sz="0" w:space="0" w:color="auto"/>
      </w:divBdr>
    </w:div>
    <w:div w:id="227690015">
      <w:bodyDiv w:val="1"/>
      <w:marLeft w:val="0"/>
      <w:marRight w:val="0"/>
      <w:marTop w:val="0"/>
      <w:marBottom w:val="0"/>
      <w:divBdr>
        <w:top w:val="none" w:sz="0" w:space="0" w:color="auto"/>
        <w:left w:val="none" w:sz="0" w:space="0" w:color="auto"/>
        <w:bottom w:val="none" w:sz="0" w:space="0" w:color="auto"/>
        <w:right w:val="none" w:sz="0" w:space="0" w:color="auto"/>
      </w:divBdr>
    </w:div>
    <w:div w:id="252713251">
      <w:bodyDiv w:val="1"/>
      <w:marLeft w:val="0"/>
      <w:marRight w:val="0"/>
      <w:marTop w:val="0"/>
      <w:marBottom w:val="0"/>
      <w:divBdr>
        <w:top w:val="none" w:sz="0" w:space="0" w:color="auto"/>
        <w:left w:val="none" w:sz="0" w:space="0" w:color="auto"/>
        <w:bottom w:val="none" w:sz="0" w:space="0" w:color="auto"/>
        <w:right w:val="none" w:sz="0" w:space="0" w:color="auto"/>
      </w:divBdr>
      <w:divsChild>
        <w:div w:id="1283879184">
          <w:marLeft w:val="0"/>
          <w:marRight w:val="0"/>
          <w:marTop w:val="0"/>
          <w:marBottom w:val="0"/>
          <w:divBdr>
            <w:top w:val="none" w:sz="0" w:space="0" w:color="auto"/>
            <w:left w:val="none" w:sz="0" w:space="0" w:color="auto"/>
            <w:bottom w:val="none" w:sz="0" w:space="0" w:color="auto"/>
            <w:right w:val="none" w:sz="0" w:space="0" w:color="auto"/>
          </w:divBdr>
          <w:divsChild>
            <w:div w:id="1840151663">
              <w:marLeft w:val="0"/>
              <w:marRight w:val="0"/>
              <w:marTop w:val="0"/>
              <w:marBottom w:val="0"/>
              <w:divBdr>
                <w:top w:val="none" w:sz="0" w:space="0" w:color="auto"/>
                <w:left w:val="none" w:sz="0" w:space="0" w:color="auto"/>
                <w:bottom w:val="none" w:sz="0" w:space="0" w:color="auto"/>
                <w:right w:val="none" w:sz="0" w:space="0" w:color="auto"/>
              </w:divBdr>
              <w:divsChild>
                <w:div w:id="6181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8813">
      <w:bodyDiv w:val="1"/>
      <w:marLeft w:val="0"/>
      <w:marRight w:val="0"/>
      <w:marTop w:val="0"/>
      <w:marBottom w:val="0"/>
      <w:divBdr>
        <w:top w:val="none" w:sz="0" w:space="0" w:color="auto"/>
        <w:left w:val="none" w:sz="0" w:space="0" w:color="auto"/>
        <w:bottom w:val="none" w:sz="0" w:space="0" w:color="auto"/>
        <w:right w:val="none" w:sz="0" w:space="0" w:color="auto"/>
      </w:divBdr>
      <w:divsChild>
        <w:div w:id="530651095">
          <w:marLeft w:val="0"/>
          <w:marRight w:val="0"/>
          <w:marTop w:val="150"/>
          <w:marBottom w:val="300"/>
          <w:divBdr>
            <w:top w:val="none" w:sz="0" w:space="0" w:color="auto"/>
            <w:left w:val="none" w:sz="0" w:space="0" w:color="auto"/>
            <w:bottom w:val="none" w:sz="0" w:space="0" w:color="auto"/>
            <w:right w:val="none" w:sz="0" w:space="0" w:color="auto"/>
          </w:divBdr>
        </w:div>
      </w:divsChild>
    </w:div>
    <w:div w:id="266885277">
      <w:bodyDiv w:val="1"/>
      <w:marLeft w:val="0"/>
      <w:marRight w:val="0"/>
      <w:marTop w:val="0"/>
      <w:marBottom w:val="0"/>
      <w:divBdr>
        <w:top w:val="none" w:sz="0" w:space="0" w:color="auto"/>
        <w:left w:val="none" w:sz="0" w:space="0" w:color="auto"/>
        <w:bottom w:val="none" w:sz="0" w:space="0" w:color="auto"/>
        <w:right w:val="none" w:sz="0" w:space="0" w:color="auto"/>
      </w:divBdr>
    </w:div>
    <w:div w:id="275524731">
      <w:bodyDiv w:val="1"/>
      <w:marLeft w:val="0"/>
      <w:marRight w:val="0"/>
      <w:marTop w:val="0"/>
      <w:marBottom w:val="0"/>
      <w:divBdr>
        <w:top w:val="none" w:sz="0" w:space="0" w:color="auto"/>
        <w:left w:val="none" w:sz="0" w:space="0" w:color="auto"/>
        <w:bottom w:val="none" w:sz="0" w:space="0" w:color="auto"/>
        <w:right w:val="none" w:sz="0" w:space="0" w:color="auto"/>
      </w:divBdr>
    </w:div>
    <w:div w:id="300159441">
      <w:bodyDiv w:val="1"/>
      <w:marLeft w:val="0"/>
      <w:marRight w:val="0"/>
      <w:marTop w:val="0"/>
      <w:marBottom w:val="0"/>
      <w:divBdr>
        <w:top w:val="none" w:sz="0" w:space="0" w:color="auto"/>
        <w:left w:val="none" w:sz="0" w:space="0" w:color="auto"/>
        <w:bottom w:val="none" w:sz="0" w:space="0" w:color="auto"/>
        <w:right w:val="none" w:sz="0" w:space="0" w:color="auto"/>
      </w:divBdr>
    </w:div>
    <w:div w:id="310788955">
      <w:bodyDiv w:val="1"/>
      <w:marLeft w:val="0"/>
      <w:marRight w:val="0"/>
      <w:marTop w:val="0"/>
      <w:marBottom w:val="0"/>
      <w:divBdr>
        <w:top w:val="none" w:sz="0" w:space="0" w:color="auto"/>
        <w:left w:val="none" w:sz="0" w:space="0" w:color="auto"/>
        <w:bottom w:val="none" w:sz="0" w:space="0" w:color="auto"/>
        <w:right w:val="none" w:sz="0" w:space="0" w:color="auto"/>
      </w:divBdr>
    </w:div>
    <w:div w:id="312877605">
      <w:bodyDiv w:val="1"/>
      <w:marLeft w:val="0"/>
      <w:marRight w:val="0"/>
      <w:marTop w:val="0"/>
      <w:marBottom w:val="0"/>
      <w:divBdr>
        <w:top w:val="none" w:sz="0" w:space="0" w:color="auto"/>
        <w:left w:val="none" w:sz="0" w:space="0" w:color="auto"/>
        <w:bottom w:val="none" w:sz="0" w:space="0" w:color="auto"/>
        <w:right w:val="none" w:sz="0" w:space="0" w:color="auto"/>
      </w:divBdr>
      <w:divsChild>
        <w:div w:id="1090931007">
          <w:marLeft w:val="0"/>
          <w:marRight w:val="0"/>
          <w:marTop w:val="0"/>
          <w:marBottom w:val="0"/>
          <w:divBdr>
            <w:top w:val="none" w:sz="0" w:space="0" w:color="auto"/>
            <w:left w:val="none" w:sz="0" w:space="0" w:color="auto"/>
            <w:bottom w:val="none" w:sz="0" w:space="0" w:color="auto"/>
            <w:right w:val="none" w:sz="0" w:space="0" w:color="auto"/>
          </w:divBdr>
          <w:divsChild>
            <w:div w:id="605890451">
              <w:marLeft w:val="0"/>
              <w:marRight w:val="0"/>
              <w:marTop w:val="0"/>
              <w:marBottom w:val="0"/>
              <w:divBdr>
                <w:top w:val="none" w:sz="0" w:space="0" w:color="auto"/>
                <w:left w:val="none" w:sz="0" w:space="0" w:color="auto"/>
                <w:bottom w:val="none" w:sz="0" w:space="0" w:color="auto"/>
                <w:right w:val="none" w:sz="0" w:space="0" w:color="auto"/>
              </w:divBdr>
              <w:divsChild>
                <w:div w:id="1880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8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8602">
          <w:marLeft w:val="0"/>
          <w:marRight w:val="0"/>
          <w:marTop w:val="0"/>
          <w:marBottom w:val="0"/>
          <w:divBdr>
            <w:top w:val="none" w:sz="0" w:space="0" w:color="auto"/>
            <w:left w:val="none" w:sz="0" w:space="0" w:color="auto"/>
            <w:bottom w:val="none" w:sz="0" w:space="0" w:color="auto"/>
            <w:right w:val="none" w:sz="0" w:space="0" w:color="auto"/>
          </w:divBdr>
          <w:divsChild>
            <w:div w:id="1296058022">
              <w:marLeft w:val="0"/>
              <w:marRight w:val="0"/>
              <w:marTop w:val="0"/>
              <w:marBottom w:val="0"/>
              <w:divBdr>
                <w:top w:val="none" w:sz="0" w:space="0" w:color="auto"/>
                <w:left w:val="none" w:sz="0" w:space="0" w:color="auto"/>
                <w:bottom w:val="none" w:sz="0" w:space="0" w:color="auto"/>
                <w:right w:val="none" w:sz="0" w:space="0" w:color="auto"/>
              </w:divBdr>
              <w:divsChild>
                <w:div w:id="4471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98909">
      <w:bodyDiv w:val="1"/>
      <w:marLeft w:val="0"/>
      <w:marRight w:val="0"/>
      <w:marTop w:val="0"/>
      <w:marBottom w:val="0"/>
      <w:divBdr>
        <w:top w:val="none" w:sz="0" w:space="0" w:color="auto"/>
        <w:left w:val="none" w:sz="0" w:space="0" w:color="auto"/>
        <w:bottom w:val="none" w:sz="0" w:space="0" w:color="auto"/>
        <w:right w:val="none" w:sz="0" w:space="0" w:color="auto"/>
      </w:divBdr>
    </w:div>
    <w:div w:id="338773558">
      <w:bodyDiv w:val="1"/>
      <w:marLeft w:val="0"/>
      <w:marRight w:val="0"/>
      <w:marTop w:val="0"/>
      <w:marBottom w:val="0"/>
      <w:divBdr>
        <w:top w:val="none" w:sz="0" w:space="0" w:color="auto"/>
        <w:left w:val="none" w:sz="0" w:space="0" w:color="auto"/>
        <w:bottom w:val="none" w:sz="0" w:space="0" w:color="auto"/>
        <w:right w:val="none" w:sz="0" w:space="0" w:color="auto"/>
      </w:divBdr>
      <w:divsChild>
        <w:div w:id="1567642944">
          <w:marLeft w:val="0"/>
          <w:marRight w:val="0"/>
          <w:marTop w:val="0"/>
          <w:marBottom w:val="0"/>
          <w:divBdr>
            <w:top w:val="none" w:sz="0" w:space="0" w:color="auto"/>
            <w:left w:val="none" w:sz="0" w:space="0" w:color="auto"/>
            <w:bottom w:val="none" w:sz="0" w:space="0" w:color="auto"/>
            <w:right w:val="none" w:sz="0" w:space="0" w:color="auto"/>
          </w:divBdr>
          <w:divsChild>
            <w:div w:id="882907377">
              <w:marLeft w:val="0"/>
              <w:marRight w:val="0"/>
              <w:marTop w:val="0"/>
              <w:marBottom w:val="0"/>
              <w:divBdr>
                <w:top w:val="none" w:sz="0" w:space="0" w:color="auto"/>
                <w:left w:val="none" w:sz="0" w:space="0" w:color="auto"/>
                <w:bottom w:val="none" w:sz="0" w:space="0" w:color="auto"/>
                <w:right w:val="none" w:sz="0" w:space="0" w:color="auto"/>
              </w:divBdr>
              <w:divsChild>
                <w:div w:id="15897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2949">
      <w:bodyDiv w:val="1"/>
      <w:marLeft w:val="0"/>
      <w:marRight w:val="0"/>
      <w:marTop w:val="0"/>
      <w:marBottom w:val="0"/>
      <w:divBdr>
        <w:top w:val="none" w:sz="0" w:space="0" w:color="auto"/>
        <w:left w:val="none" w:sz="0" w:space="0" w:color="auto"/>
        <w:bottom w:val="none" w:sz="0" w:space="0" w:color="auto"/>
        <w:right w:val="none" w:sz="0" w:space="0" w:color="auto"/>
      </w:divBdr>
      <w:divsChild>
        <w:div w:id="998114962">
          <w:marLeft w:val="0"/>
          <w:marRight w:val="0"/>
          <w:marTop w:val="0"/>
          <w:marBottom w:val="0"/>
          <w:divBdr>
            <w:top w:val="none" w:sz="0" w:space="0" w:color="auto"/>
            <w:left w:val="none" w:sz="0" w:space="0" w:color="auto"/>
            <w:bottom w:val="none" w:sz="0" w:space="0" w:color="auto"/>
            <w:right w:val="none" w:sz="0" w:space="0" w:color="auto"/>
          </w:divBdr>
          <w:divsChild>
            <w:div w:id="7681690">
              <w:marLeft w:val="0"/>
              <w:marRight w:val="0"/>
              <w:marTop w:val="0"/>
              <w:marBottom w:val="0"/>
              <w:divBdr>
                <w:top w:val="none" w:sz="0" w:space="0" w:color="auto"/>
                <w:left w:val="none" w:sz="0" w:space="0" w:color="auto"/>
                <w:bottom w:val="none" w:sz="0" w:space="0" w:color="auto"/>
                <w:right w:val="none" w:sz="0" w:space="0" w:color="auto"/>
              </w:divBdr>
              <w:divsChild>
                <w:div w:id="1168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337">
      <w:bodyDiv w:val="1"/>
      <w:marLeft w:val="0"/>
      <w:marRight w:val="0"/>
      <w:marTop w:val="0"/>
      <w:marBottom w:val="0"/>
      <w:divBdr>
        <w:top w:val="none" w:sz="0" w:space="0" w:color="auto"/>
        <w:left w:val="none" w:sz="0" w:space="0" w:color="auto"/>
        <w:bottom w:val="none" w:sz="0" w:space="0" w:color="auto"/>
        <w:right w:val="none" w:sz="0" w:space="0" w:color="auto"/>
      </w:divBdr>
      <w:divsChild>
        <w:div w:id="2117215358">
          <w:marLeft w:val="0"/>
          <w:marRight w:val="0"/>
          <w:marTop w:val="0"/>
          <w:marBottom w:val="0"/>
          <w:divBdr>
            <w:top w:val="none" w:sz="0" w:space="0" w:color="auto"/>
            <w:left w:val="none" w:sz="0" w:space="0" w:color="auto"/>
            <w:bottom w:val="none" w:sz="0" w:space="0" w:color="auto"/>
            <w:right w:val="none" w:sz="0" w:space="0" w:color="auto"/>
          </w:divBdr>
          <w:divsChild>
            <w:div w:id="348876187">
              <w:marLeft w:val="0"/>
              <w:marRight w:val="0"/>
              <w:marTop w:val="0"/>
              <w:marBottom w:val="0"/>
              <w:divBdr>
                <w:top w:val="none" w:sz="0" w:space="0" w:color="auto"/>
                <w:left w:val="none" w:sz="0" w:space="0" w:color="auto"/>
                <w:bottom w:val="none" w:sz="0" w:space="0" w:color="auto"/>
                <w:right w:val="none" w:sz="0" w:space="0" w:color="auto"/>
              </w:divBdr>
              <w:divsChild>
                <w:div w:id="210582886">
                  <w:marLeft w:val="0"/>
                  <w:marRight w:val="0"/>
                  <w:marTop w:val="0"/>
                  <w:marBottom w:val="0"/>
                  <w:divBdr>
                    <w:top w:val="none" w:sz="0" w:space="0" w:color="auto"/>
                    <w:left w:val="none" w:sz="0" w:space="0" w:color="auto"/>
                    <w:bottom w:val="none" w:sz="0" w:space="0" w:color="auto"/>
                    <w:right w:val="none" w:sz="0" w:space="0" w:color="auto"/>
                  </w:divBdr>
                  <w:divsChild>
                    <w:div w:id="5270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67317">
      <w:bodyDiv w:val="1"/>
      <w:marLeft w:val="0"/>
      <w:marRight w:val="0"/>
      <w:marTop w:val="0"/>
      <w:marBottom w:val="0"/>
      <w:divBdr>
        <w:top w:val="none" w:sz="0" w:space="0" w:color="auto"/>
        <w:left w:val="none" w:sz="0" w:space="0" w:color="auto"/>
        <w:bottom w:val="none" w:sz="0" w:space="0" w:color="auto"/>
        <w:right w:val="none" w:sz="0" w:space="0" w:color="auto"/>
      </w:divBdr>
    </w:div>
    <w:div w:id="405300377">
      <w:bodyDiv w:val="1"/>
      <w:marLeft w:val="0"/>
      <w:marRight w:val="0"/>
      <w:marTop w:val="0"/>
      <w:marBottom w:val="0"/>
      <w:divBdr>
        <w:top w:val="none" w:sz="0" w:space="0" w:color="auto"/>
        <w:left w:val="none" w:sz="0" w:space="0" w:color="auto"/>
        <w:bottom w:val="none" w:sz="0" w:space="0" w:color="auto"/>
        <w:right w:val="none" w:sz="0" w:space="0" w:color="auto"/>
      </w:divBdr>
    </w:div>
    <w:div w:id="451705991">
      <w:bodyDiv w:val="1"/>
      <w:marLeft w:val="0"/>
      <w:marRight w:val="0"/>
      <w:marTop w:val="0"/>
      <w:marBottom w:val="0"/>
      <w:divBdr>
        <w:top w:val="none" w:sz="0" w:space="0" w:color="auto"/>
        <w:left w:val="none" w:sz="0" w:space="0" w:color="auto"/>
        <w:bottom w:val="none" w:sz="0" w:space="0" w:color="auto"/>
        <w:right w:val="none" w:sz="0" w:space="0" w:color="auto"/>
      </w:divBdr>
      <w:divsChild>
        <w:div w:id="915437377">
          <w:marLeft w:val="0"/>
          <w:marRight w:val="0"/>
          <w:marTop w:val="0"/>
          <w:marBottom w:val="0"/>
          <w:divBdr>
            <w:top w:val="none" w:sz="0" w:space="0" w:color="auto"/>
            <w:left w:val="none" w:sz="0" w:space="0" w:color="auto"/>
            <w:bottom w:val="none" w:sz="0" w:space="0" w:color="auto"/>
            <w:right w:val="none" w:sz="0" w:space="0" w:color="auto"/>
          </w:divBdr>
          <w:divsChild>
            <w:div w:id="177619560">
              <w:marLeft w:val="0"/>
              <w:marRight w:val="0"/>
              <w:marTop w:val="0"/>
              <w:marBottom w:val="0"/>
              <w:divBdr>
                <w:top w:val="none" w:sz="0" w:space="0" w:color="auto"/>
                <w:left w:val="none" w:sz="0" w:space="0" w:color="auto"/>
                <w:bottom w:val="none" w:sz="0" w:space="0" w:color="auto"/>
                <w:right w:val="none" w:sz="0" w:space="0" w:color="auto"/>
              </w:divBdr>
              <w:divsChild>
                <w:div w:id="1453087484">
                  <w:marLeft w:val="0"/>
                  <w:marRight w:val="0"/>
                  <w:marTop w:val="0"/>
                  <w:marBottom w:val="0"/>
                  <w:divBdr>
                    <w:top w:val="none" w:sz="0" w:space="0" w:color="auto"/>
                    <w:left w:val="none" w:sz="0" w:space="0" w:color="auto"/>
                    <w:bottom w:val="none" w:sz="0" w:space="0" w:color="auto"/>
                    <w:right w:val="none" w:sz="0" w:space="0" w:color="auto"/>
                  </w:divBdr>
                  <w:divsChild>
                    <w:div w:id="16562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90390">
      <w:bodyDiv w:val="1"/>
      <w:marLeft w:val="0"/>
      <w:marRight w:val="0"/>
      <w:marTop w:val="0"/>
      <w:marBottom w:val="0"/>
      <w:divBdr>
        <w:top w:val="none" w:sz="0" w:space="0" w:color="auto"/>
        <w:left w:val="none" w:sz="0" w:space="0" w:color="auto"/>
        <w:bottom w:val="none" w:sz="0" w:space="0" w:color="auto"/>
        <w:right w:val="none" w:sz="0" w:space="0" w:color="auto"/>
      </w:divBdr>
    </w:div>
    <w:div w:id="462432124">
      <w:bodyDiv w:val="1"/>
      <w:marLeft w:val="0"/>
      <w:marRight w:val="0"/>
      <w:marTop w:val="0"/>
      <w:marBottom w:val="0"/>
      <w:divBdr>
        <w:top w:val="none" w:sz="0" w:space="0" w:color="auto"/>
        <w:left w:val="none" w:sz="0" w:space="0" w:color="auto"/>
        <w:bottom w:val="none" w:sz="0" w:space="0" w:color="auto"/>
        <w:right w:val="none" w:sz="0" w:space="0" w:color="auto"/>
      </w:divBdr>
      <w:divsChild>
        <w:div w:id="1529559438">
          <w:marLeft w:val="0"/>
          <w:marRight w:val="0"/>
          <w:marTop w:val="0"/>
          <w:marBottom w:val="0"/>
          <w:divBdr>
            <w:top w:val="none" w:sz="0" w:space="0" w:color="auto"/>
            <w:left w:val="none" w:sz="0" w:space="0" w:color="auto"/>
            <w:bottom w:val="none" w:sz="0" w:space="0" w:color="auto"/>
            <w:right w:val="none" w:sz="0" w:space="0" w:color="auto"/>
          </w:divBdr>
          <w:divsChild>
            <w:div w:id="1444379359">
              <w:marLeft w:val="0"/>
              <w:marRight w:val="0"/>
              <w:marTop w:val="0"/>
              <w:marBottom w:val="0"/>
              <w:divBdr>
                <w:top w:val="none" w:sz="0" w:space="0" w:color="auto"/>
                <w:left w:val="none" w:sz="0" w:space="0" w:color="auto"/>
                <w:bottom w:val="none" w:sz="0" w:space="0" w:color="auto"/>
                <w:right w:val="none" w:sz="0" w:space="0" w:color="auto"/>
              </w:divBdr>
              <w:divsChild>
                <w:div w:id="15509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5758">
      <w:bodyDiv w:val="1"/>
      <w:marLeft w:val="0"/>
      <w:marRight w:val="0"/>
      <w:marTop w:val="0"/>
      <w:marBottom w:val="0"/>
      <w:divBdr>
        <w:top w:val="none" w:sz="0" w:space="0" w:color="auto"/>
        <w:left w:val="none" w:sz="0" w:space="0" w:color="auto"/>
        <w:bottom w:val="none" w:sz="0" w:space="0" w:color="auto"/>
        <w:right w:val="none" w:sz="0" w:space="0" w:color="auto"/>
      </w:divBdr>
    </w:div>
    <w:div w:id="487868319">
      <w:bodyDiv w:val="1"/>
      <w:marLeft w:val="0"/>
      <w:marRight w:val="0"/>
      <w:marTop w:val="0"/>
      <w:marBottom w:val="0"/>
      <w:divBdr>
        <w:top w:val="none" w:sz="0" w:space="0" w:color="auto"/>
        <w:left w:val="none" w:sz="0" w:space="0" w:color="auto"/>
        <w:bottom w:val="none" w:sz="0" w:space="0" w:color="auto"/>
        <w:right w:val="none" w:sz="0" w:space="0" w:color="auto"/>
      </w:divBdr>
    </w:div>
    <w:div w:id="514272817">
      <w:bodyDiv w:val="1"/>
      <w:marLeft w:val="0"/>
      <w:marRight w:val="0"/>
      <w:marTop w:val="0"/>
      <w:marBottom w:val="0"/>
      <w:divBdr>
        <w:top w:val="none" w:sz="0" w:space="0" w:color="auto"/>
        <w:left w:val="none" w:sz="0" w:space="0" w:color="auto"/>
        <w:bottom w:val="none" w:sz="0" w:space="0" w:color="auto"/>
        <w:right w:val="none" w:sz="0" w:space="0" w:color="auto"/>
      </w:divBdr>
      <w:divsChild>
        <w:div w:id="348219490">
          <w:marLeft w:val="0"/>
          <w:marRight w:val="0"/>
          <w:marTop w:val="0"/>
          <w:marBottom w:val="0"/>
          <w:divBdr>
            <w:top w:val="none" w:sz="0" w:space="0" w:color="auto"/>
            <w:left w:val="none" w:sz="0" w:space="0" w:color="auto"/>
            <w:bottom w:val="none" w:sz="0" w:space="0" w:color="auto"/>
            <w:right w:val="none" w:sz="0" w:space="0" w:color="auto"/>
          </w:divBdr>
          <w:divsChild>
            <w:div w:id="1851065295">
              <w:marLeft w:val="0"/>
              <w:marRight w:val="0"/>
              <w:marTop w:val="0"/>
              <w:marBottom w:val="0"/>
              <w:divBdr>
                <w:top w:val="none" w:sz="0" w:space="0" w:color="auto"/>
                <w:left w:val="none" w:sz="0" w:space="0" w:color="auto"/>
                <w:bottom w:val="none" w:sz="0" w:space="0" w:color="auto"/>
                <w:right w:val="none" w:sz="0" w:space="0" w:color="auto"/>
              </w:divBdr>
              <w:divsChild>
                <w:div w:id="14013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3196">
      <w:bodyDiv w:val="1"/>
      <w:marLeft w:val="0"/>
      <w:marRight w:val="0"/>
      <w:marTop w:val="0"/>
      <w:marBottom w:val="0"/>
      <w:divBdr>
        <w:top w:val="none" w:sz="0" w:space="0" w:color="auto"/>
        <w:left w:val="none" w:sz="0" w:space="0" w:color="auto"/>
        <w:bottom w:val="none" w:sz="0" w:space="0" w:color="auto"/>
        <w:right w:val="none" w:sz="0" w:space="0" w:color="auto"/>
      </w:divBdr>
    </w:div>
    <w:div w:id="534930181">
      <w:bodyDiv w:val="1"/>
      <w:marLeft w:val="0"/>
      <w:marRight w:val="0"/>
      <w:marTop w:val="0"/>
      <w:marBottom w:val="0"/>
      <w:divBdr>
        <w:top w:val="none" w:sz="0" w:space="0" w:color="auto"/>
        <w:left w:val="none" w:sz="0" w:space="0" w:color="auto"/>
        <w:bottom w:val="none" w:sz="0" w:space="0" w:color="auto"/>
        <w:right w:val="none" w:sz="0" w:space="0" w:color="auto"/>
      </w:divBdr>
      <w:divsChild>
        <w:div w:id="1325544589">
          <w:marLeft w:val="0"/>
          <w:marRight w:val="0"/>
          <w:marTop w:val="0"/>
          <w:marBottom w:val="0"/>
          <w:divBdr>
            <w:top w:val="none" w:sz="0" w:space="0" w:color="auto"/>
            <w:left w:val="none" w:sz="0" w:space="0" w:color="auto"/>
            <w:bottom w:val="none" w:sz="0" w:space="0" w:color="auto"/>
            <w:right w:val="none" w:sz="0" w:space="0" w:color="auto"/>
          </w:divBdr>
          <w:divsChild>
            <w:div w:id="774133057">
              <w:marLeft w:val="0"/>
              <w:marRight w:val="0"/>
              <w:marTop w:val="0"/>
              <w:marBottom w:val="0"/>
              <w:divBdr>
                <w:top w:val="none" w:sz="0" w:space="0" w:color="auto"/>
                <w:left w:val="none" w:sz="0" w:space="0" w:color="auto"/>
                <w:bottom w:val="none" w:sz="0" w:space="0" w:color="auto"/>
                <w:right w:val="none" w:sz="0" w:space="0" w:color="auto"/>
              </w:divBdr>
              <w:divsChild>
                <w:div w:id="12134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818">
      <w:bodyDiv w:val="1"/>
      <w:marLeft w:val="0"/>
      <w:marRight w:val="0"/>
      <w:marTop w:val="0"/>
      <w:marBottom w:val="0"/>
      <w:divBdr>
        <w:top w:val="none" w:sz="0" w:space="0" w:color="auto"/>
        <w:left w:val="none" w:sz="0" w:space="0" w:color="auto"/>
        <w:bottom w:val="none" w:sz="0" w:space="0" w:color="auto"/>
        <w:right w:val="none" w:sz="0" w:space="0" w:color="auto"/>
      </w:divBdr>
      <w:divsChild>
        <w:div w:id="1343822857">
          <w:marLeft w:val="0"/>
          <w:marRight w:val="0"/>
          <w:marTop w:val="0"/>
          <w:marBottom w:val="0"/>
          <w:divBdr>
            <w:top w:val="none" w:sz="0" w:space="0" w:color="auto"/>
            <w:left w:val="none" w:sz="0" w:space="0" w:color="auto"/>
            <w:bottom w:val="none" w:sz="0" w:space="0" w:color="auto"/>
            <w:right w:val="none" w:sz="0" w:space="0" w:color="auto"/>
          </w:divBdr>
          <w:divsChild>
            <w:div w:id="750086797">
              <w:marLeft w:val="0"/>
              <w:marRight w:val="0"/>
              <w:marTop w:val="0"/>
              <w:marBottom w:val="0"/>
              <w:divBdr>
                <w:top w:val="none" w:sz="0" w:space="0" w:color="auto"/>
                <w:left w:val="none" w:sz="0" w:space="0" w:color="auto"/>
                <w:bottom w:val="none" w:sz="0" w:space="0" w:color="auto"/>
                <w:right w:val="none" w:sz="0" w:space="0" w:color="auto"/>
              </w:divBdr>
              <w:divsChild>
                <w:div w:id="11826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33301">
      <w:bodyDiv w:val="1"/>
      <w:marLeft w:val="0"/>
      <w:marRight w:val="0"/>
      <w:marTop w:val="0"/>
      <w:marBottom w:val="0"/>
      <w:divBdr>
        <w:top w:val="none" w:sz="0" w:space="0" w:color="auto"/>
        <w:left w:val="none" w:sz="0" w:space="0" w:color="auto"/>
        <w:bottom w:val="none" w:sz="0" w:space="0" w:color="auto"/>
        <w:right w:val="none" w:sz="0" w:space="0" w:color="auto"/>
      </w:divBdr>
      <w:divsChild>
        <w:div w:id="1351757478">
          <w:marLeft w:val="0"/>
          <w:marRight w:val="0"/>
          <w:marTop w:val="0"/>
          <w:marBottom w:val="0"/>
          <w:divBdr>
            <w:top w:val="none" w:sz="0" w:space="0" w:color="auto"/>
            <w:left w:val="none" w:sz="0" w:space="0" w:color="auto"/>
            <w:bottom w:val="none" w:sz="0" w:space="0" w:color="auto"/>
            <w:right w:val="none" w:sz="0" w:space="0" w:color="auto"/>
          </w:divBdr>
          <w:divsChild>
            <w:div w:id="387995746">
              <w:marLeft w:val="0"/>
              <w:marRight w:val="0"/>
              <w:marTop w:val="0"/>
              <w:marBottom w:val="0"/>
              <w:divBdr>
                <w:top w:val="none" w:sz="0" w:space="0" w:color="auto"/>
                <w:left w:val="none" w:sz="0" w:space="0" w:color="auto"/>
                <w:bottom w:val="none" w:sz="0" w:space="0" w:color="auto"/>
                <w:right w:val="none" w:sz="0" w:space="0" w:color="auto"/>
              </w:divBdr>
              <w:divsChild>
                <w:div w:id="10538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705">
      <w:bodyDiv w:val="1"/>
      <w:marLeft w:val="0"/>
      <w:marRight w:val="0"/>
      <w:marTop w:val="0"/>
      <w:marBottom w:val="0"/>
      <w:divBdr>
        <w:top w:val="none" w:sz="0" w:space="0" w:color="auto"/>
        <w:left w:val="none" w:sz="0" w:space="0" w:color="auto"/>
        <w:bottom w:val="none" w:sz="0" w:space="0" w:color="auto"/>
        <w:right w:val="none" w:sz="0" w:space="0" w:color="auto"/>
      </w:divBdr>
      <w:divsChild>
        <w:div w:id="955409155">
          <w:marLeft w:val="0"/>
          <w:marRight w:val="0"/>
          <w:marTop w:val="0"/>
          <w:marBottom w:val="0"/>
          <w:divBdr>
            <w:top w:val="none" w:sz="0" w:space="0" w:color="auto"/>
            <w:left w:val="none" w:sz="0" w:space="0" w:color="auto"/>
            <w:bottom w:val="none" w:sz="0" w:space="0" w:color="auto"/>
            <w:right w:val="none" w:sz="0" w:space="0" w:color="auto"/>
          </w:divBdr>
          <w:divsChild>
            <w:div w:id="1339385918">
              <w:marLeft w:val="0"/>
              <w:marRight w:val="0"/>
              <w:marTop w:val="0"/>
              <w:marBottom w:val="0"/>
              <w:divBdr>
                <w:top w:val="none" w:sz="0" w:space="0" w:color="auto"/>
                <w:left w:val="none" w:sz="0" w:space="0" w:color="auto"/>
                <w:bottom w:val="none" w:sz="0" w:space="0" w:color="auto"/>
                <w:right w:val="none" w:sz="0" w:space="0" w:color="auto"/>
              </w:divBdr>
              <w:divsChild>
                <w:div w:id="13919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9718">
      <w:bodyDiv w:val="1"/>
      <w:marLeft w:val="0"/>
      <w:marRight w:val="0"/>
      <w:marTop w:val="0"/>
      <w:marBottom w:val="0"/>
      <w:divBdr>
        <w:top w:val="none" w:sz="0" w:space="0" w:color="auto"/>
        <w:left w:val="none" w:sz="0" w:space="0" w:color="auto"/>
        <w:bottom w:val="none" w:sz="0" w:space="0" w:color="auto"/>
        <w:right w:val="none" w:sz="0" w:space="0" w:color="auto"/>
      </w:divBdr>
      <w:divsChild>
        <w:div w:id="1405493364">
          <w:marLeft w:val="0"/>
          <w:marRight w:val="0"/>
          <w:marTop w:val="0"/>
          <w:marBottom w:val="0"/>
          <w:divBdr>
            <w:top w:val="none" w:sz="0" w:space="0" w:color="auto"/>
            <w:left w:val="none" w:sz="0" w:space="0" w:color="auto"/>
            <w:bottom w:val="none" w:sz="0" w:space="0" w:color="auto"/>
            <w:right w:val="none" w:sz="0" w:space="0" w:color="auto"/>
          </w:divBdr>
          <w:divsChild>
            <w:div w:id="186791785">
              <w:marLeft w:val="0"/>
              <w:marRight w:val="0"/>
              <w:marTop w:val="0"/>
              <w:marBottom w:val="0"/>
              <w:divBdr>
                <w:top w:val="none" w:sz="0" w:space="0" w:color="auto"/>
                <w:left w:val="none" w:sz="0" w:space="0" w:color="auto"/>
                <w:bottom w:val="none" w:sz="0" w:space="0" w:color="auto"/>
                <w:right w:val="none" w:sz="0" w:space="0" w:color="auto"/>
              </w:divBdr>
              <w:divsChild>
                <w:div w:id="67923876">
                  <w:marLeft w:val="0"/>
                  <w:marRight w:val="0"/>
                  <w:marTop w:val="0"/>
                  <w:marBottom w:val="0"/>
                  <w:divBdr>
                    <w:top w:val="none" w:sz="0" w:space="0" w:color="auto"/>
                    <w:left w:val="none" w:sz="0" w:space="0" w:color="auto"/>
                    <w:bottom w:val="none" w:sz="0" w:space="0" w:color="auto"/>
                    <w:right w:val="none" w:sz="0" w:space="0" w:color="auto"/>
                  </w:divBdr>
                  <w:divsChild>
                    <w:div w:id="750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88039">
      <w:bodyDiv w:val="1"/>
      <w:marLeft w:val="0"/>
      <w:marRight w:val="0"/>
      <w:marTop w:val="0"/>
      <w:marBottom w:val="0"/>
      <w:divBdr>
        <w:top w:val="none" w:sz="0" w:space="0" w:color="auto"/>
        <w:left w:val="none" w:sz="0" w:space="0" w:color="auto"/>
        <w:bottom w:val="none" w:sz="0" w:space="0" w:color="auto"/>
        <w:right w:val="none" w:sz="0" w:space="0" w:color="auto"/>
      </w:divBdr>
    </w:div>
    <w:div w:id="614867412">
      <w:bodyDiv w:val="1"/>
      <w:marLeft w:val="0"/>
      <w:marRight w:val="0"/>
      <w:marTop w:val="0"/>
      <w:marBottom w:val="0"/>
      <w:divBdr>
        <w:top w:val="none" w:sz="0" w:space="0" w:color="auto"/>
        <w:left w:val="none" w:sz="0" w:space="0" w:color="auto"/>
        <w:bottom w:val="none" w:sz="0" w:space="0" w:color="auto"/>
        <w:right w:val="none" w:sz="0" w:space="0" w:color="auto"/>
      </w:divBdr>
      <w:divsChild>
        <w:div w:id="1603535323">
          <w:marLeft w:val="0"/>
          <w:marRight w:val="0"/>
          <w:marTop w:val="0"/>
          <w:marBottom w:val="0"/>
          <w:divBdr>
            <w:top w:val="none" w:sz="0" w:space="0" w:color="auto"/>
            <w:left w:val="none" w:sz="0" w:space="0" w:color="auto"/>
            <w:bottom w:val="none" w:sz="0" w:space="0" w:color="auto"/>
            <w:right w:val="none" w:sz="0" w:space="0" w:color="auto"/>
          </w:divBdr>
          <w:divsChild>
            <w:div w:id="1527911731">
              <w:marLeft w:val="0"/>
              <w:marRight w:val="0"/>
              <w:marTop w:val="0"/>
              <w:marBottom w:val="0"/>
              <w:divBdr>
                <w:top w:val="none" w:sz="0" w:space="0" w:color="auto"/>
                <w:left w:val="none" w:sz="0" w:space="0" w:color="auto"/>
                <w:bottom w:val="none" w:sz="0" w:space="0" w:color="auto"/>
                <w:right w:val="none" w:sz="0" w:space="0" w:color="auto"/>
              </w:divBdr>
              <w:divsChild>
                <w:div w:id="3217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9997">
      <w:bodyDiv w:val="1"/>
      <w:marLeft w:val="0"/>
      <w:marRight w:val="0"/>
      <w:marTop w:val="0"/>
      <w:marBottom w:val="0"/>
      <w:divBdr>
        <w:top w:val="none" w:sz="0" w:space="0" w:color="auto"/>
        <w:left w:val="none" w:sz="0" w:space="0" w:color="auto"/>
        <w:bottom w:val="none" w:sz="0" w:space="0" w:color="auto"/>
        <w:right w:val="none" w:sz="0" w:space="0" w:color="auto"/>
      </w:divBdr>
      <w:divsChild>
        <w:div w:id="1727988974">
          <w:marLeft w:val="0"/>
          <w:marRight w:val="0"/>
          <w:marTop w:val="0"/>
          <w:marBottom w:val="0"/>
          <w:divBdr>
            <w:top w:val="none" w:sz="0" w:space="0" w:color="auto"/>
            <w:left w:val="none" w:sz="0" w:space="0" w:color="auto"/>
            <w:bottom w:val="none" w:sz="0" w:space="0" w:color="auto"/>
            <w:right w:val="none" w:sz="0" w:space="0" w:color="auto"/>
          </w:divBdr>
          <w:divsChild>
            <w:div w:id="279148051">
              <w:marLeft w:val="0"/>
              <w:marRight w:val="0"/>
              <w:marTop w:val="0"/>
              <w:marBottom w:val="0"/>
              <w:divBdr>
                <w:top w:val="none" w:sz="0" w:space="0" w:color="auto"/>
                <w:left w:val="none" w:sz="0" w:space="0" w:color="auto"/>
                <w:bottom w:val="none" w:sz="0" w:space="0" w:color="auto"/>
                <w:right w:val="none" w:sz="0" w:space="0" w:color="auto"/>
              </w:divBdr>
              <w:divsChild>
                <w:div w:id="21090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5667">
      <w:bodyDiv w:val="1"/>
      <w:marLeft w:val="0"/>
      <w:marRight w:val="0"/>
      <w:marTop w:val="0"/>
      <w:marBottom w:val="0"/>
      <w:divBdr>
        <w:top w:val="none" w:sz="0" w:space="0" w:color="auto"/>
        <w:left w:val="none" w:sz="0" w:space="0" w:color="auto"/>
        <w:bottom w:val="none" w:sz="0" w:space="0" w:color="auto"/>
        <w:right w:val="none" w:sz="0" w:space="0" w:color="auto"/>
      </w:divBdr>
      <w:divsChild>
        <w:div w:id="1865897060">
          <w:marLeft w:val="0"/>
          <w:marRight w:val="0"/>
          <w:marTop w:val="0"/>
          <w:marBottom w:val="0"/>
          <w:divBdr>
            <w:top w:val="none" w:sz="0" w:space="0" w:color="auto"/>
            <w:left w:val="none" w:sz="0" w:space="0" w:color="auto"/>
            <w:bottom w:val="none" w:sz="0" w:space="0" w:color="auto"/>
            <w:right w:val="none" w:sz="0" w:space="0" w:color="auto"/>
          </w:divBdr>
          <w:divsChild>
            <w:div w:id="1283416624">
              <w:marLeft w:val="0"/>
              <w:marRight w:val="0"/>
              <w:marTop w:val="0"/>
              <w:marBottom w:val="0"/>
              <w:divBdr>
                <w:top w:val="none" w:sz="0" w:space="0" w:color="auto"/>
                <w:left w:val="none" w:sz="0" w:space="0" w:color="auto"/>
                <w:bottom w:val="none" w:sz="0" w:space="0" w:color="auto"/>
                <w:right w:val="none" w:sz="0" w:space="0" w:color="auto"/>
              </w:divBdr>
              <w:divsChild>
                <w:div w:id="1234509995">
                  <w:marLeft w:val="0"/>
                  <w:marRight w:val="0"/>
                  <w:marTop w:val="0"/>
                  <w:marBottom w:val="0"/>
                  <w:divBdr>
                    <w:top w:val="none" w:sz="0" w:space="0" w:color="auto"/>
                    <w:left w:val="none" w:sz="0" w:space="0" w:color="auto"/>
                    <w:bottom w:val="none" w:sz="0" w:space="0" w:color="auto"/>
                    <w:right w:val="none" w:sz="0" w:space="0" w:color="auto"/>
                  </w:divBdr>
                  <w:divsChild>
                    <w:div w:id="224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5338">
      <w:bodyDiv w:val="1"/>
      <w:marLeft w:val="0"/>
      <w:marRight w:val="0"/>
      <w:marTop w:val="0"/>
      <w:marBottom w:val="0"/>
      <w:divBdr>
        <w:top w:val="none" w:sz="0" w:space="0" w:color="auto"/>
        <w:left w:val="none" w:sz="0" w:space="0" w:color="auto"/>
        <w:bottom w:val="none" w:sz="0" w:space="0" w:color="auto"/>
        <w:right w:val="none" w:sz="0" w:space="0" w:color="auto"/>
      </w:divBdr>
      <w:divsChild>
        <w:div w:id="2078090487">
          <w:marLeft w:val="0"/>
          <w:marRight w:val="0"/>
          <w:marTop w:val="0"/>
          <w:marBottom w:val="0"/>
          <w:divBdr>
            <w:top w:val="none" w:sz="0" w:space="0" w:color="auto"/>
            <w:left w:val="none" w:sz="0" w:space="0" w:color="auto"/>
            <w:bottom w:val="none" w:sz="0" w:space="0" w:color="auto"/>
            <w:right w:val="none" w:sz="0" w:space="0" w:color="auto"/>
          </w:divBdr>
          <w:divsChild>
            <w:div w:id="1889485084">
              <w:marLeft w:val="0"/>
              <w:marRight w:val="0"/>
              <w:marTop w:val="0"/>
              <w:marBottom w:val="0"/>
              <w:divBdr>
                <w:top w:val="none" w:sz="0" w:space="0" w:color="auto"/>
                <w:left w:val="none" w:sz="0" w:space="0" w:color="auto"/>
                <w:bottom w:val="none" w:sz="0" w:space="0" w:color="auto"/>
                <w:right w:val="none" w:sz="0" w:space="0" w:color="auto"/>
              </w:divBdr>
              <w:divsChild>
                <w:div w:id="782068810">
                  <w:marLeft w:val="0"/>
                  <w:marRight w:val="0"/>
                  <w:marTop w:val="0"/>
                  <w:marBottom w:val="0"/>
                  <w:divBdr>
                    <w:top w:val="none" w:sz="0" w:space="0" w:color="auto"/>
                    <w:left w:val="none" w:sz="0" w:space="0" w:color="auto"/>
                    <w:bottom w:val="none" w:sz="0" w:space="0" w:color="auto"/>
                    <w:right w:val="none" w:sz="0" w:space="0" w:color="auto"/>
                  </w:divBdr>
                  <w:divsChild>
                    <w:div w:id="7854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98218">
      <w:bodyDiv w:val="1"/>
      <w:marLeft w:val="0"/>
      <w:marRight w:val="0"/>
      <w:marTop w:val="0"/>
      <w:marBottom w:val="0"/>
      <w:divBdr>
        <w:top w:val="none" w:sz="0" w:space="0" w:color="auto"/>
        <w:left w:val="none" w:sz="0" w:space="0" w:color="auto"/>
        <w:bottom w:val="none" w:sz="0" w:space="0" w:color="auto"/>
        <w:right w:val="none" w:sz="0" w:space="0" w:color="auto"/>
      </w:divBdr>
    </w:div>
    <w:div w:id="732654276">
      <w:bodyDiv w:val="1"/>
      <w:marLeft w:val="0"/>
      <w:marRight w:val="0"/>
      <w:marTop w:val="0"/>
      <w:marBottom w:val="0"/>
      <w:divBdr>
        <w:top w:val="none" w:sz="0" w:space="0" w:color="auto"/>
        <w:left w:val="none" w:sz="0" w:space="0" w:color="auto"/>
        <w:bottom w:val="none" w:sz="0" w:space="0" w:color="auto"/>
        <w:right w:val="none" w:sz="0" w:space="0" w:color="auto"/>
      </w:divBdr>
      <w:divsChild>
        <w:div w:id="2041780854">
          <w:marLeft w:val="0"/>
          <w:marRight w:val="0"/>
          <w:marTop w:val="0"/>
          <w:marBottom w:val="0"/>
          <w:divBdr>
            <w:top w:val="none" w:sz="0" w:space="0" w:color="auto"/>
            <w:left w:val="none" w:sz="0" w:space="0" w:color="auto"/>
            <w:bottom w:val="none" w:sz="0" w:space="0" w:color="auto"/>
            <w:right w:val="none" w:sz="0" w:space="0" w:color="auto"/>
          </w:divBdr>
          <w:divsChild>
            <w:div w:id="949049660">
              <w:marLeft w:val="0"/>
              <w:marRight w:val="0"/>
              <w:marTop w:val="0"/>
              <w:marBottom w:val="0"/>
              <w:divBdr>
                <w:top w:val="none" w:sz="0" w:space="0" w:color="auto"/>
                <w:left w:val="none" w:sz="0" w:space="0" w:color="auto"/>
                <w:bottom w:val="none" w:sz="0" w:space="0" w:color="auto"/>
                <w:right w:val="none" w:sz="0" w:space="0" w:color="auto"/>
              </w:divBdr>
              <w:divsChild>
                <w:div w:id="1619487786">
                  <w:marLeft w:val="0"/>
                  <w:marRight w:val="0"/>
                  <w:marTop w:val="0"/>
                  <w:marBottom w:val="0"/>
                  <w:divBdr>
                    <w:top w:val="none" w:sz="0" w:space="0" w:color="auto"/>
                    <w:left w:val="none" w:sz="0" w:space="0" w:color="auto"/>
                    <w:bottom w:val="none" w:sz="0" w:space="0" w:color="auto"/>
                    <w:right w:val="none" w:sz="0" w:space="0" w:color="auto"/>
                  </w:divBdr>
                  <w:divsChild>
                    <w:div w:id="11081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2512">
      <w:bodyDiv w:val="1"/>
      <w:marLeft w:val="0"/>
      <w:marRight w:val="0"/>
      <w:marTop w:val="0"/>
      <w:marBottom w:val="0"/>
      <w:divBdr>
        <w:top w:val="none" w:sz="0" w:space="0" w:color="auto"/>
        <w:left w:val="none" w:sz="0" w:space="0" w:color="auto"/>
        <w:bottom w:val="none" w:sz="0" w:space="0" w:color="auto"/>
        <w:right w:val="none" w:sz="0" w:space="0" w:color="auto"/>
      </w:divBdr>
      <w:divsChild>
        <w:div w:id="1430808221">
          <w:marLeft w:val="0"/>
          <w:marRight w:val="0"/>
          <w:marTop w:val="0"/>
          <w:marBottom w:val="0"/>
          <w:divBdr>
            <w:top w:val="none" w:sz="0" w:space="0" w:color="auto"/>
            <w:left w:val="none" w:sz="0" w:space="0" w:color="auto"/>
            <w:bottom w:val="none" w:sz="0" w:space="0" w:color="auto"/>
            <w:right w:val="none" w:sz="0" w:space="0" w:color="auto"/>
          </w:divBdr>
          <w:divsChild>
            <w:div w:id="293220938">
              <w:marLeft w:val="0"/>
              <w:marRight w:val="0"/>
              <w:marTop w:val="0"/>
              <w:marBottom w:val="0"/>
              <w:divBdr>
                <w:top w:val="none" w:sz="0" w:space="0" w:color="auto"/>
                <w:left w:val="none" w:sz="0" w:space="0" w:color="auto"/>
                <w:bottom w:val="none" w:sz="0" w:space="0" w:color="auto"/>
                <w:right w:val="none" w:sz="0" w:space="0" w:color="auto"/>
              </w:divBdr>
              <w:divsChild>
                <w:div w:id="979533163">
                  <w:marLeft w:val="0"/>
                  <w:marRight w:val="0"/>
                  <w:marTop w:val="0"/>
                  <w:marBottom w:val="0"/>
                  <w:divBdr>
                    <w:top w:val="none" w:sz="0" w:space="0" w:color="auto"/>
                    <w:left w:val="none" w:sz="0" w:space="0" w:color="auto"/>
                    <w:bottom w:val="none" w:sz="0" w:space="0" w:color="auto"/>
                    <w:right w:val="none" w:sz="0" w:space="0" w:color="auto"/>
                  </w:divBdr>
                  <w:divsChild>
                    <w:div w:id="19116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7051">
      <w:bodyDiv w:val="1"/>
      <w:marLeft w:val="0"/>
      <w:marRight w:val="0"/>
      <w:marTop w:val="0"/>
      <w:marBottom w:val="0"/>
      <w:divBdr>
        <w:top w:val="none" w:sz="0" w:space="0" w:color="auto"/>
        <w:left w:val="none" w:sz="0" w:space="0" w:color="auto"/>
        <w:bottom w:val="none" w:sz="0" w:space="0" w:color="auto"/>
        <w:right w:val="none" w:sz="0" w:space="0" w:color="auto"/>
      </w:divBdr>
      <w:divsChild>
        <w:div w:id="202861914">
          <w:marLeft w:val="0"/>
          <w:marRight w:val="0"/>
          <w:marTop w:val="0"/>
          <w:marBottom w:val="0"/>
          <w:divBdr>
            <w:top w:val="none" w:sz="0" w:space="0" w:color="auto"/>
            <w:left w:val="none" w:sz="0" w:space="0" w:color="auto"/>
            <w:bottom w:val="none" w:sz="0" w:space="0" w:color="auto"/>
            <w:right w:val="none" w:sz="0" w:space="0" w:color="auto"/>
          </w:divBdr>
          <w:divsChild>
            <w:div w:id="54548159">
              <w:marLeft w:val="0"/>
              <w:marRight w:val="0"/>
              <w:marTop w:val="0"/>
              <w:marBottom w:val="0"/>
              <w:divBdr>
                <w:top w:val="none" w:sz="0" w:space="0" w:color="auto"/>
                <w:left w:val="none" w:sz="0" w:space="0" w:color="auto"/>
                <w:bottom w:val="none" w:sz="0" w:space="0" w:color="auto"/>
                <w:right w:val="none" w:sz="0" w:space="0" w:color="auto"/>
              </w:divBdr>
              <w:divsChild>
                <w:div w:id="1326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8889">
      <w:bodyDiv w:val="1"/>
      <w:marLeft w:val="0"/>
      <w:marRight w:val="0"/>
      <w:marTop w:val="0"/>
      <w:marBottom w:val="0"/>
      <w:divBdr>
        <w:top w:val="none" w:sz="0" w:space="0" w:color="auto"/>
        <w:left w:val="none" w:sz="0" w:space="0" w:color="auto"/>
        <w:bottom w:val="none" w:sz="0" w:space="0" w:color="auto"/>
        <w:right w:val="none" w:sz="0" w:space="0" w:color="auto"/>
      </w:divBdr>
    </w:div>
    <w:div w:id="922451166">
      <w:bodyDiv w:val="1"/>
      <w:marLeft w:val="0"/>
      <w:marRight w:val="0"/>
      <w:marTop w:val="0"/>
      <w:marBottom w:val="0"/>
      <w:divBdr>
        <w:top w:val="none" w:sz="0" w:space="0" w:color="auto"/>
        <w:left w:val="none" w:sz="0" w:space="0" w:color="auto"/>
        <w:bottom w:val="none" w:sz="0" w:space="0" w:color="auto"/>
        <w:right w:val="none" w:sz="0" w:space="0" w:color="auto"/>
      </w:divBdr>
    </w:div>
    <w:div w:id="945163013">
      <w:bodyDiv w:val="1"/>
      <w:marLeft w:val="0"/>
      <w:marRight w:val="0"/>
      <w:marTop w:val="0"/>
      <w:marBottom w:val="0"/>
      <w:divBdr>
        <w:top w:val="none" w:sz="0" w:space="0" w:color="auto"/>
        <w:left w:val="none" w:sz="0" w:space="0" w:color="auto"/>
        <w:bottom w:val="none" w:sz="0" w:space="0" w:color="auto"/>
        <w:right w:val="none" w:sz="0" w:space="0" w:color="auto"/>
      </w:divBdr>
      <w:divsChild>
        <w:div w:id="1363902101">
          <w:marLeft w:val="0"/>
          <w:marRight w:val="0"/>
          <w:marTop w:val="0"/>
          <w:marBottom w:val="0"/>
          <w:divBdr>
            <w:top w:val="none" w:sz="0" w:space="0" w:color="auto"/>
            <w:left w:val="none" w:sz="0" w:space="0" w:color="auto"/>
            <w:bottom w:val="none" w:sz="0" w:space="0" w:color="auto"/>
            <w:right w:val="none" w:sz="0" w:space="0" w:color="auto"/>
          </w:divBdr>
          <w:divsChild>
            <w:div w:id="2068799083">
              <w:marLeft w:val="0"/>
              <w:marRight w:val="0"/>
              <w:marTop w:val="0"/>
              <w:marBottom w:val="0"/>
              <w:divBdr>
                <w:top w:val="none" w:sz="0" w:space="0" w:color="auto"/>
                <w:left w:val="none" w:sz="0" w:space="0" w:color="auto"/>
                <w:bottom w:val="none" w:sz="0" w:space="0" w:color="auto"/>
                <w:right w:val="none" w:sz="0" w:space="0" w:color="auto"/>
              </w:divBdr>
              <w:divsChild>
                <w:div w:id="10820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2695">
      <w:bodyDiv w:val="1"/>
      <w:marLeft w:val="0"/>
      <w:marRight w:val="0"/>
      <w:marTop w:val="0"/>
      <w:marBottom w:val="0"/>
      <w:divBdr>
        <w:top w:val="none" w:sz="0" w:space="0" w:color="auto"/>
        <w:left w:val="none" w:sz="0" w:space="0" w:color="auto"/>
        <w:bottom w:val="none" w:sz="0" w:space="0" w:color="auto"/>
        <w:right w:val="none" w:sz="0" w:space="0" w:color="auto"/>
      </w:divBdr>
      <w:divsChild>
        <w:div w:id="1848054530">
          <w:marLeft w:val="0"/>
          <w:marRight w:val="0"/>
          <w:marTop w:val="0"/>
          <w:marBottom w:val="0"/>
          <w:divBdr>
            <w:top w:val="none" w:sz="0" w:space="0" w:color="auto"/>
            <w:left w:val="none" w:sz="0" w:space="0" w:color="auto"/>
            <w:bottom w:val="none" w:sz="0" w:space="0" w:color="auto"/>
            <w:right w:val="none" w:sz="0" w:space="0" w:color="auto"/>
          </w:divBdr>
          <w:divsChild>
            <w:div w:id="317155929">
              <w:marLeft w:val="0"/>
              <w:marRight w:val="0"/>
              <w:marTop w:val="0"/>
              <w:marBottom w:val="0"/>
              <w:divBdr>
                <w:top w:val="none" w:sz="0" w:space="0" w:color="auto"/>
                <w:left w:val="none" w:sz="0" w:space="0" w:color="auto"/>
                <w:bottom w:val="none" w:sz="0" w:space="0" w:color="auto"/>
                <w:right w:val="none" w:sz="0" w:space="0" w:color="auto"/>
              </w:divBdr>
              <w:divsChild>
                <w:div w:id="14910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1975">
      <w:bodyDiv w:val="1"/>
      <w:marLeft w:val="0"/>
      <w:marRight w:val="0"/>
      <w:marTop w:val="0"/>
      <w:marBottom w:val="0"/>
      <w:divBdr>
        <w:top w:val="none" w:sz="0" w:space="0" w:color="auto"/>
        <w:left w:val="none" w:sz="0" w:space="0" w:color="auto"/>
        <w:bottom w:val="none" w:sz="0" w:space="0" w:color="auto"/>
        <w:right w:val="none" w:sz="0" w:space="0" w:color="auto"/>
      </w:divBdr>
    </w:div>
    <w:div w:id="1005521032">
      <w:bodyDiv w:val="1"/>
      <w:marLeft w:val="0"/>
      <w:marRight w:val="0"/>
      <w:marTop w:val="0"/>
      <w:marBottom w:val="0"/>
      <w:divBdr>
        <w:top w:val="none" w:sz="0" w:space="0" w:color="auto"/>
        <w:left w:val="none" w:sz="0" w:space="0" w:color="auto"/>
        <w:bottom w:val="none" w:sz="0" w:space="0" w:color="auto"/>
        <w:right w:val="none" w:sz="0" w:space="0" w:color="auto"/>
      </w:divBdr>
      <w:divsChild>
        <w:div w:id="376702014">
          <w:marLeft w:val="0"/>
          <w:marRight w:val="0"/>
          <w:marTop w:val="0"/>
          <w:marBottom w:val="0"/>
          <w:divBdr>
            <w:top w:val="none" w:sz="0" w:space="0" w:color="auto"/>
            <w:left w:val="none" w:sz="0" w:space="0" w:color="auto"/>
            <w:bottom w:val="none" w:sz="0" w:space="0" w:color="auto"/>
            <w:right w:val="none" w:sz="0" w:space="0" w:color="auto"/>
          </w:divBdr>
          <w:divsChild>
            <w:div w:id="1368794001">
              <w:marLeft w:val="0"/>
              <w:marRight w:val="0"/>
              <w:marTop w:val="0"/>
              <w:marBottom w:val="0"/>
              <w:divBdr>
                <w:top w:val="none" w:sz="0" w:space="0" w:color="auto"/>
                <w:left w:val="none" w:sz="0" w:space="0" w:color="auto"/>
                <w:bottom w:val="none" w:sz="0" w:space="0" w:color="auto"/>
                <w:right w:val="none" w:sz="0" w:space="0" w:color="auto"/>
              </w:divBdr>
              <w:divsChild>
                <w:div w:id="10236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0029">
      <w:bodyDiv w:val="1"/>
      <w:marLeft w:val="0"/>
      <w:marRight w:val="0"/>
      <w:marTop w:val="0"/>
      <w:marBottom w:val="0"/>
      <w:divBdr>
        <w:top w:val="none" w:sz="0" w:space="0" w:color="auto"/>
        <w:left w:val="none" w:sz="0" w:space="0" w:color="auto"/>
        <w:bottom w:val="none" w:sz="0" w:space="0" w:color="auto"/>
        <w:right w:val="none" w:sz="0" w:space="0" w:color="auto"/>
      </w:divBdr>
      <w:divsChild>
        <w:div w:id="770314963">
          <w:marLeft w:val="0"/>
          <w:marRight w:val="0"/>
          <w:marTop w:val="0"/>
          <w:marBottom w:val="0"/>
          <w:divBdr>
            <w:top w:val="none" w:sz="0" w:space="0" w:color="auto"/>
            <w:left w:val="none" w:sz="0" w:space="0" w:color="auto"/>
            <w:bottom w:val="none" w:sz="0" w:space="0" w:color="auto"/>
            <w:right w:val="none" w:sz="0" w:space="0" w:color="auto"/>
          </w:divBdr>
          <w:divsChild>
            <w:div w:id="1758668227">
              <w:marLeft w:val="0"/>
              <w:marRight w:val="0"/>
              <w:marTop w:val="0"/>
              <w:marBottom w:val="0"/>
              <w:divBdr>
                <w:top w:val="none" w:sz="0" w:space="0" w:color="auto"/>
                <w:left w:val="none" w:sz="0" w:space="0" w:color="auto"/>
                <w:bottom w:val="none" w:sz="0" w:space="0" w:color="auto"/>
                <w:right w:val="none" w:sz="0" w:space="0" w:color="auto"/>
              </w:divBdr>
              <w:divsChild>
                <w:div w:id="19633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1006">
      <w:bodyDiv w:val="1"/>
      <w:marLeft w:val="0"/>
      <w:marRight w:val="0"/>
      <w:marTop w:val="0"/>
      <w:marBottom w:val="0"/>
      <w:divBdr>
        <w:top w:val="none" w:sz="0" w:space="0" w:color="auto"/>
        <w:left w:val="none" w:sz="0" w:space="0" w:color="auto"/>
        <w:bottom w:val="none" w:sz="0" w:space="0" w:color="auto"/>
        <w:right w:val="none" w:sz="0" w:space="0" w:color="auto"/>
      </w:divBdr>
      <w:divsChild>
        <w:div w:id="1567909083">
          <w:marLeft w:val="0"/>
          <w:marRight w:val="0"/>
          <w:marTop w:val="0"/>
          <w:marBottom w:val="0"/>
          <w:divBdr>
            <w:top w:val="none" w:sz="0" w:space="0" w:color="auto"/>
            <w:left w:val="none" w:sz="0" w:space="0" w:color="auto"/>
            <w:bottom w:val="none" w:sz="0" w:space="0" w:color="auto"/>
            <w:right w:val="none" w:sz="0" w:space="0" w:color="auto"/>
          </w:divBdr>
          <w:divsChild>
            <w:div w:id="1273392355">
              <w:marLeft w:val="0"/>
              <w:marRight w:val="0"/>
              <w:marTop w:val="0"/>
              <w:marBottom w:val="0"/>
              <w:divBdr>
                <w:top w:val="none" w:sz="0" w:space="0" w:color="auto"/>
                <w:left w:val="none" w:sz="0" w:space="0" w:color="auto"/>
                <w:bottom w:val="none" w:sz="0" w:space="0" w:color="auto"/>
                <w:right w:val="none" w:sz="0" w:space="0" w:color="auto"/>
              </w:divBdr>
              <w:divsChild>
                <w:div w:id="1854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831">
      <w:bodyDiv w:val="1"/>
      <w:marLeft w:val="0"/>
      <w:marRight w:val="0"/>
      <w:marTop w:val="0"/>
      <w:marBottom w:val="0"/>
      <w:divBdr>
        <w:top w:val="none" w:sz="0" w:space="0" w:color="auto"/>
        <w:left w:val="none" w:sz="0" w:space="0" w:color="auto"/>
        <w:bottom w:val="none" w:sz="0" w:space="0" w:color="auto"/>
        <w:right w:val="none" w:sz="0" w:space="0" w:color="auto"/>
      </w:divBdr>
    </w:div>
    <w:div w:id="1055392256">
      <w:bodyDiv w:val="1"/>
      <w:marLeft w:val="0"/>
      <w:marRight w:val="0"/>
      <w:marTop w:val="0"/>
      <w:marBottom w:val="0"/>
      <w:divBdr>
        <w:top w:val="none" w:sz="0" w:space="0" w:color="auto"/>
        <w:left w:val="none" w:sz="0" w:space="0" w:color="auto"/>
        <w:bottom w:val="none" w:sz="0" w:space="0" w:color="auto"/>
        <w:right w:val="none" w:sz="0" w:space="0" w:color="auto"/>
      </w:divBdr>
    </w:div>
    <w:div w:id="1066152090">
      <w:bodyDiv w:val="1"/>
      <w:marLeft w:val="0"/>
      <w:marRight w:val="0"/>
      <w:marTop w:val="0"/>
      <w:marBottom w:val="0"/>
      <w:divBdr>
        <w:top w:val="none" w:sz="0" w:space="0" w:color="auto"/>
        <w:left w:val="none" w:sz="0" w:space="0" w:color="auto"/>
        <w:bottom w:val="none" w:sz="0" w:space="0" w:color="auto"/>
        <w:right w:val="none" w:sz="0" w:space="0" w:color="auto"/>
      </w:divBdr>
    </w:div>
    <w:div w:id="1081491495">
      <w:bodyDiv w:val="1"/>
      <w:marLeft w:val="0"/>
      <w:marRight w:val="0"/>
      <w:marTop w:val="0"/>
      <w:marBottom w:val="0"/>
      <w:divBdr>
        <w:top w:val="none" w:sz="0" w:space="0" w:color="auto"/>
        <w:left w:val="none" w:sz="0" w:space="0" w:color="auto"/>
        <w:bottom w:val="none" w:sz="0" w:space="0" w:color="auto"/>
        <w:right w:val="none" w:sz="0" w:space="0" w:color="auto"/>
      </w:divBdr>
      <w:divsChild>
        <w:div w:id="1622103293">
          <w:marLeft w:val="0"/>
          <w:marRight w:val="0"/>
          <w:marTop w:val="0"/>
          <w:marBottom w:val="0"/>
          <w:divBdr>
            <w:top w:val="none" w:sz="0" w:space="0" w:color="auto"/>
            <w:left w:val="none" w:sz="0" w:space="0" w:color="auto"/>
            <w:bottom w:val="none" w:sz="0" w:space="0" w:color="auto"/>
            <w:right w:val="none" w:sz="0" w:space="0" w:color="auto"/>
          </w:divBdr>
        </w:div>
        <w:div w:id="298343505">
          <w:marLeft w:val="0"/>
          <w:marRight w:val="0"/>
          <w:marTop w:val="0"/>
          <w:marBottom w:val="0"/>
          <w:divBdr>
            <w:top w:val="none" w:sz="0" w:space="0" w:color="auto"/>
            <w:left w:val="none" w:sz="0" w:space="0" w:color="auto"/>
            <w:bottom w:val="none" w:sz="0" w:space="0" w:color="auto"/>
            <w:right w:val="none" w:sz="0" w:space="0" w:color="auto"/>
          </w:divBdr>
        </w:div>
      </w:divsChild>
    </w:div>
    <w:div w:id="1083917803">
      <w:bodyDiv w:val="1"/>
      <w:marLeft w:val="0"/>
      <w:marRight w:val="0"/>
      <w:marTop w:val="0"/>
      <w:marBottom w:val="0"/>
      <w:divBdr>
        <w:top w:val="none" w:sz="0" w:space="0" w:color="auto"/>
        <w:left w:val="none" w:sz="0" w:space="0" w:color="auto"/>
        <w:bottom w:val="none" w:sz="0" w:space="0" w:color="auto"/>
        <w:right w:val="none" w:sz="0" w:space="0" w:color="auto"/>
      </w:divBdr>
    </w:div>
    <w:div w:id="1085767176">
      <w:bodyDiv w:val="1"/>
      <w:marLeft w:val="0"/>
      <w:marRight w:val="0"/>
      <w:marTop w:val="0"/>
      <w:marBottom w:val="0"/>
      <w:divBdr>
        <w:top w:val="none" w:sz="0" w:space="0" w:color="auto"/>
        <w:left w:val="none" w:sz="0" w:space="0" w:color="auto"/>
        <w:bottom w:val="none" w:sz="0" w:space="0" w:color="auto"/>
        <w:right w:val="none" w:sz="0" w:space="0" w:color="auto"/>
      </w:divBdr>
    </w:div>
    <w:div w:id="1092507995">
      <w:bodyDiv w:val="1"/>
      <w:marLeft w:val="0"/>
      <w:marRight w:val="0"/>
      <w:marTop w:val="0"/>
      <w:marBottom w:val="0"/>
      <w:divBdr>
        <w:top w:val="none" w:sz="0" w:space="0" w:color="auto"/>
        <w:left w:val="none" w:sz="0" w:space="0" w:color="auto"/>
        <w:bottom w:val="none" w:sz="0" w:space="0" w:color="auto"/>
        <w:right w:val="none" w:sz="0" w:space="0" w:color="auto"/>
      </w:divBdr>
    </w:div>
    <w:div w:id="1093432673">
      <w:bodyDiv w:val="1"/>
      <w:marLeft w:val="0"/>
      <w:marRight w:val="0"/>
      <w:marTop w:val="0"/>
      <w:marBottom w:val="0"/>
      <w:divBdr>
        <w:top w:val="none" w:sz="0" w:space="0" w:color="auto"/>
        <w:left w:val="none" w:sz="0" w:space="0" w:color="auto"/>
        <w:bottom w:val="none" w:sz="0" w:space="0" w:color="auto"/>
        <w:right w:val="none" w:sz="0" w:space="0" w:color="auto"/>
      </w:divBdr>
      <w:divsChild>
        <w:div w:id="627662526">
          <w:marLeft w:val="0"/>
          <w:marRight w:val="0"/>
          <w:marTop w:val="0"/>
          <w:marBottom w:val="0"/>
          <w:divBdr>
            <w:top w:val="none" w:sz="0" w:space="0" w:color="auto"/>
            <w:left w:val="none" w:sz="0" w:space="0" w:color="auto"/>
            <w:bottom w:val="none" w:sz="0" w:space="0" w:color="auto"/>
            <w:right w:val="none" w:sz="0" w:space="0" w:color="auto"/>
          </w:divBdr>
          <w:divsChild>
            <w:div w:id="24336661">
              <w:marLeft w:val="0"/>
              <w:marRight w:val="0"/>
              <w:marTop w:val="0"/>
              <w:marBottom w:val="0"/>
              <w:divBdr>
                <w:top w:val="none" w:sz="0" w:space="0" w:color="auto"/>
                <w:left w:val="none" w:sz="0" w:space="0" w:color="auto"/>
                <w:bottom w:val="none" w:sz="0" w:space="0" w:color="auto"/>
                <w:right w:val="none" w:sz="0" w:space="0" w:color="auto"/>
              </w:divBdr>
              <w:divsChild>
                <w:div w:id="62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0281">
      <w:bodyDiv w:val="1"/>
      <w:marLeft w:val="0"/>
      <w:marRight w:val="0"/>
      <w:marTop w:val="0"/>
      <w:marBottom w:val="0"/>
      <w:divBdr>
        <w:top w:val="none" w:sz="0" w:space="0" w:color="auto"/>
        <w:left w:val="none" w:sz="0" w:space="0" w:color="auto"/>
        <w:bottom w:val="none" w:sz="0" w:space="0" w:color="auto"/>
        <w:right w:val="none" w:sz="0" w:space="0" w:color="auto"/>
      </w:divBdr>
    </w:div>
    <w:div w:id="1139224617">
      <w:bodyDiv w:val="1"/>
      <w:marLeft w:val="0"/>
      <w:marRight w:val="0"/>
      <w:marTop w:val="0"/>
      <w:marBottom w:val="0"/>
      <w:divBdr>
        <w:top w:val="none" w:sz="0" w:space="0" w:color="auto"/>
        <w:left w:val="none" w:sz="0" w:space="0" w:color="auto"/>
        <w:bottom w:val="none" w:sz="0" w:space="0" w:color="auto"/>
        <w:right w:val="none" w:sz="0" w:space="0" w:color="auto"/>
      </w:divBdr>
      <w:divsChild>
        <w:div w:id="111563039">
          <w:marLeft w:val="0"/>
          <w:marRight w:val="0"/>
          <w:marTop w:val="0"/>
          <w:marBottom w:val="0"/>
          <w:divBdr>
            <w:top w:val="none" w:sz="0" w:space="0" w:color="auto"/>
            <w:left w:val="none" w:sz="0" w:space="0" w:color="auto"/>
            <w:bottom w:val="none" w:sz="0" w:space="0" w:color="auto"/>
            <w:right w:val="none" w:sz="0" w:space="0" w:color="auto"/>
          </w:divBdr>
          <w:divsChild>
            <w:div w:id="1288657383">
              <w:marLeft w:val="0"/>
              <w:marRight w:val="0"/>
              <w:marTop w:val="0"/>
              <w:marBottom w:val="0"/>
              <w:divBdr>
                <w:top w:val="none" w:sz="0" w:space="0" w:color="auto"/>
                <w:left w:val="none" w:sz="0" w:space="0" w:color="auto"/>
                <w:bottom w:val="none" w:sz="0" w:space="0" w:color="auto"/>
                <w:right w:val="none" w:sz="0" w:space="0" w:color="auto"/>
              </w:divBdr>
              <w:divsChild>
                <w:div w:id="5678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2063">
      <w:bodyDiv w:val="1"/>
      <w:marLeft w:val="0"/>
      <w:marRight w:val="0"/>
      <w:marTop w:val="0"/>
      <w:marBottom w:val="0"/>
      <w:divBdr>
        <w:top w:val="none" w:sz="0" w:space="0" w:color="auto"/>
        <w:left w:val="none" w:sz="0" w:space="0" w:color="auto"/>
        <w:bottom w:val="none" w:sz="0" w:space="0" w:color="auto"/>
        <w:right w:val="none" w:sz="0" w:space="0" w:color="auto"/>
      </w:divBdr>
    </w:div>
    <w:div w:id="1193611966">
      <w:bodyDiv w:val="1"/>
      <w:marLeft w:val="0"/>
      <w:marRight w:val="0"/>
      <w:marTop w:val="0"/>
      <w:marBottom w:val="0"/>
      <w:divBdr>
        <w:top w:val="none" w:sz="0" w:space="0" w:color="auto"/>
        <w:left w:val="none" w:sz="0" w:space="0" w:color="auto"/>
        <w:bottom w:val="none" w:sz="0" w:space="0" w:color="auto"/>
        <w:right w:val="none" w:sz="0" w:space="0" w:color="auto"/>
      </w:divBdr>
      <w:divsChild>
        <w:div w:id="317466839">
          <w:marLeft w:val="0"/>
          <w:marRight w:val="0"/>
          <w:marTop w:val="0"/>
          <w:marBottom w:val="0"/>
          <w:divBdr>
            <w:top w:val="none" w:sz="0" w:space="0" w:color="auto"/>
            <w:left w:val="none" w:sz="0" w:space="0" w:color="auto"/>
            <w:bottom w:val="none" w:sz="0" w:space="0" w:color="auto"/>
            <w:right w:val="none" w:sz="0" w:space="0" w:color="auto"/>
          </w:divBdr>
          <w:divsChild>
            <w:div w:id="1323895699">
              <w:marLeft w:val="0"/>
              <w:marRight w:val="0"/>
              <w:marTop w:val="0"/>
              <w:marBottom w:val="0"/>
              <w:divBdr>
                <w:top w:val="none" w:sz="0" w:space="0" w:color="auto"/>
                <w:left w:val="none" w:sz="0" w:space="0" w:color="auto"/>
                <w:bottom w:val="none" w:sz="0" w:space="0" w:color="auto"/>
                <w:right w:val="none" w:sz="0" w:space="0" w:color="auto"/>
              </w:divBdr>
              <w:divsChild>
                <w:div w:id="143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584">
      <w:bodyDiv w:val="1"/>
      <w:marLeft w:val="0"/>
      <w:marRight w:val="0"/>
      <w:marTop w:val="0"/>
      <w:marBottom w:val="0"/>
      <w:divBdr>
        <w:top w:val="none" w:sz="0" w:space="0" w:color="auto"/>
        <w:left w:val="none" w:sz="0" w:space="0" w:color="auto"/>
        <w:bottom w:val="none" w:sz="0" w:space="0" w:color="auto"/>
        <w:right w:val="none" w:sz="0" w:space="0" w:color="auto"/>
      </w:divBdr>
    </w:div>
    <w:div w:id="1225409366">
      <w:bodyDiv w:val="1"/>
      <w:marLeft w:val="0"/>
      <w:marRight w:val="0"/>
      <w:marTop w:val="0"/>
      <w:marBottom w:val="0"/>
      <w:divBdr>
        <w:top w:val="none" w:sz="0" w:space="0" w:color="auto"/>
        <w:left w:val="none" w:sz="0" w:space="0" w:color="auto"/>
        <w:bottom w:val="none" w:sz="0" w:space="0" w:color="auto"/>
        <w:right w:val="none" w:sz="0" w:space="0" w:color="auto"/>
      </w:divBdr>
      <w:divsChild>
        <w:div w:id="104541923">
          <w:marLeft w:val="0"/>
          <w:marRight w:val="0"/>
          <w:marTop w:val="0"/>
          <w:marBottom w:val="0"/>
          <w:divBdr>
            <w:top w:val="none" w:sz="0" w:space="0" w:color="auto"/>
            <w:left w:val="none" w:sz="0" w:space="0" w:color="auto"/>
            <w:bottom w:val="none" w:sz="0" w:space="0" w:color="auto"/>
            <w:right w:val="none" w:sz="0" w:space="0" w:color="auto"/>
          </w:divBdr>
          <w:divsChild>
            <w:div w:id="528296362">
              <w:marLeft w:val="0"/>
              <w:marRight w:val="0"/>
              <w:marTop w:val="0"/>
              <w:marBottom w:val="0"/>
              <w:divBdr>
                <w:top w:val="none" w:sz="0" w:space="0" w:color="auto"/>
                <w:left w:val="none" w:sz="0" w:space="0" w:color="auto"/>
                <w:bottom w:val="none" w:sz="0" w:space="0" w:color="auto"/>
                <w:right w:val="none" w:sz="0" w:space="0" w:color="auto"/>
              </w:divBdr>
              <w:divsChild>
                <w:div w:id="1405449962">
                  <w:marLeft w:val="0"/>
                  <w:marRight w:val="0"/>
                  <w:marTop w:val="0"/>
                  <w:marBottom w:val="0"/>
                  <w:divBdr>
                    <w:top w:val="none" w:sz="0" w:space="0" w:color="auto"/>
                    <w:left w:val="none" w:sz="0" w:space="0" w:color="auto"/>
                    <w:bottom w:val="none" w:sz="0" w:space="0" w:color="auto"/>
                    <w:right w:val="none" w:sz="0" w:space="0" w:color="auto"/>
                  </w:divBdr>
                  <w:divsChild>
                    <w:div w:id="386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1042">
      <w:bodyDiv w:val="1"/>
      <w:marLeft w:val="0"/>
      <w:marRight w:val="0"/>
      <w:marTop w:val="0"/>
      <w:marBottom w:val="0"/>
      <w:divBdr>
        <w:top w:val="none" w:sz="0" w:space="0" w:color="auto"/>
        <w:left w:val="none" w:sz="0" w:space="0" w:color="auto"/>
        <w:bottom w:val="none" w:sz="0" w:space="0" w:color="auto"/>
        <w:right w:val="none" w:sz="0" w:space="0" w:color="auto"/>
      </w:divBdr>
      <w:divsChild>
        <w:div w:id="1757092964">
          <w:marLeft w:val="0"/>
          <w:marRight w:val="0"/>
          <w:marTop w:val="0"/>
          <w:marBottom w:val="0"/>
          <w:divBdr>
            <w:top w:val="none" w:sz="0" w:space="0" w:color="auto"/>
            <w:left w:val="none" w:sz="0" w:space="0" w:color="auto"/>
            <w:bottom w:val="none" w:sz="0" w:space="0" w:color="auto"/>
            <w:right w:val="none" w:sz="0" w:space="0" w:color="auto"/>
          </w:divBdr>
          <w:divsChild>
            <w:div w:id="1296716308">
              <w:marLeft w:val="0"/>
              <w:marRight w:val="0"/>
              <w:marTop w:val="0"/>
              <w:marBottom w:val="0"/>
              <w:divBdr>
                <w:top w:val="none" w:sz="0" w:space="0" w:color="auto"/>
                <w:left w:val="none" w:sz="0" w:space="0" w:color="auto"/>
                <w:bottom w:val="none" w:sz="0" w:space="0" w:color="auto"/>
                <w:right w:val="none" w:sz="0" w:space="0" w:color="auto"/>
              </w:divBdr>
              <w:divsChild>
                <w:div w:id="21322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6350">
      <w:bodyDiv w:val="1"/>
      <w:marLeft w:val="0"/>
      <w:marRight w:val="0"/>
      <w:marTop w:val="0"/>
      <w:marBottom w:val="0"/>
      <w:divBdr>
        <w:top w:val="none" w:sz="0" w:space="0" w:color="auto"/>
        <w:left w:val="none" w:sz="0" w:space="0" w:color="auto"/>
        <w:bottom w:val="none" w:sz="0" w:space="0" w:color="auto"/>
        <w:right w:val="none" w:sz="0" w:space="0" w:color="auto"/>
      </w:divBdr>
      <w:divsChild>
        <w:div w:id="1682396368">
          <w:marLeft w:val="0"/>
          <w:marRight w:val="0"/>
          <w:marTop w:val="0"/>
          <w:marBottom w:val="0"/>
          <w:divBdr>
            <w:top w:val="none" w:sz="0" w:space="0" w:color="auto"/>
            <w:left w:val="none" w:sz="0" w:space="0" w:color="auto"/>
            <w:bottom w:val="none" w:sz="0" w:space="0" w:color="auto"/>
            <w:right w:val="none" w:sz="0" w:space="0" w:color="auto"/>
          </w:divBdr>
          <w:divsChild>
            <w:div w:id="650519500">
              <w:marLeft w:val="0"/>
              <w:marRight w:val="0"/>
              <w:marTop w:val="0"/>
              <w:marBottom w:val="0"/>
              <w:divBdr>
                <w:top w:val="none" w:sz="0" w:space="0" w:color="auto"/>
                <w:left w:val="none" w:sz="0" w:space="0" w:color="auto"/>
                <w:bottom w:val="none" w:sz="0" w:space="0" w:color="auto"/>
                <w:right w:val="none" w:sz="0" w:space="0" w:color="auto"/>
              </w:divBdr>
              <w:divsChild>
                <w:div w:id="23796198">
                  <w:marLeft w:val="0"/>
                  <w:marRight w:val="0"/>
                  <w:marTop w:val="0"/>
                  <w:marBottom w:val="0"/>
                  <w:divBdr>
                    <w:top w:val="none" w:sz="0" w:space="0" w:color="auto"/>
                    <w:left w:val="none" w:sz="0" w:space="0" w:color="auto"/>
                    <w:bottom w:val="none" w:sz="0" w:space="0" w:color="auto"/>
                    <w:right w:val="none" w:sz="0" w:space="0" w:color="auto"/>
                  </w:divBdr>
                  <w:divsChild>
                    <w:div w:id="869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5562">
      <w:bodyDiv w:val="1"/>
      <w:marLeft w:val="0"/>
      <w:marRight w:val="0"/>
      <w:marTop w:val="0"/>
      <w:marBottom w:val="0"/>
      <w:divBdr>
        <w:top w:val="none" w:sz="0" w:space="0" w:color="auto"/>
        <w:left w:val="none" w:sz="0" w:space="0" w:color="auto"/>
        <w:bottom w:val="none" w:sz="0" w:space="0" w:color="auto"/>
        <w:right w:val="none" w:sz="0" w:space="0" w:color="auto"/>
      </w:divBdr>
    </w:div>
    <w:div w:id="1297567031">
      <w:bodyDiv w:val="1"/>
      <w:marLeft w:val="0"/>
      <w:marRight w:val="0"/>
      <w:marTop w:val="0"/>
      <w:marBottom w:val="0"/>
      <w:divBdr>
        <w:top w:val="none" w:sz="0" w:space="0" w:color="auto"/>
        <w:left w:val="none" w:sz="0" w:space="0" w:color="auto"/>
        <w:bottom w:val="none" w:sz="0" w:space="0" w:color="auto"/>
        <w:right w:val="none" w:sz="0" w:space="0" w:color="auto"/>
      </w:divBdr>
      <w:divsChild>
        <w:div w:id="126748594">
          <w:marLeft w:val="0"/>
          <w:marRight w:val="0"/>
          <w:marTop w:val="0"/>
          <w:marBottom w:val="0"/>
          <w:divBdr>
            <w:top w:val="none" w:sz="0" w:space="0" w:color="auto"/>
            <w:left w:val="none" w:sz="0" w:space="0" w:color="auto"/>
            <w:bottom w:val="none" w:sz="0" w:space="0" w:color="auto"/>
            <w:right w:val="none" w:sz="0" w:space="0" w:color="auto"/>
          </w:divBdr>
          <w:divsChild>
            <w:div w:id="965309949">
              <w:marLeft w:val="0"/>
              <w:marRight w:val="0"/>
              <w:marTop w:val="0"/>
              <w:marBottom w:val="0"/>
              <w:divBdr>
                <w:top w:val="none" w:sz="0" w:space="0" w:color="auto"/>
                <w:left w:val="none" w:sz="0" w:space="0" w:color="auto"/>
                <w:bottom w:val="none" w:sz="0" w:space="0" w:color="auto"/>
                <w:right w:val="none" w:sz="0" w:space="0" w:color="auto"/>
              </w:divBdr>
              <w:divsChild>
                <w:div w:id="5148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5005">
      <w:bodyDiv w:val="1"/>
      <w:marLeft w:val="0"/>
      <w:marRight w:val="0"/>
      <w:marTop w:val="0"/>
      <w:marBottom w:val="0"/>
      <w:divBdr>
        <w:top w:val="none" w:sz="0" w:space="0" w:color="auto"/>
        <w:left w:val="none" w:sz="0" w:space="0" w:color="auto"/>
        <w:bottom w:val="none" w:sz="0" w:space="0" w:color="auto"/>
        <w:right w:val="none" w:sz="0" w:space="0" w:color="auto"/>
      </w:divBdr>
    </w:div>
    <w:div w:id="1348478574">
      <w:bodyDiv w:val="1"/>
      <w:marLeft w:val="0"/>
      <w:marRight w:val="0"/>
      <w:marTop w:val="0"/>
      <w:marBottom w:val="0"/>
      <w:divBdr>
        <w:top w:val="none" w:sz="0" w:space="0" w:color="auto"/>
        <w:left w:val="none" w:sz="0" w:space="0" w:color="auto"/>
        <w:bottom w:val="none" w:sz="0" w:space="0" w:color="auto"/>
        <w:right w:val="none" w:sz="0" w:space="0" w:color="auto"/>
      </w:divBdr>
      <w:divsChild>
        <w:div w:id="1498883994">
          <w:marLeft w:val="0"/>
          <w:marRight w:val="0"/>
          <w:marTop w:val="0"/>
          <w:marBottom w:val="0"/>
          <w:divBdr>
            <w:top w:val="none" w:sz="0" w:space="0" w:color="auto"/>
            <w:left w:val="none" w:sz="0" w:space="0" w:color="auto"/>
            <w:bottom w:val="none" w:sz="0" w:space="0" w:color="auto"/>
            <w:right w:val="none" w:sz="0" w:space="0" w:color="auto"/>
          </w:divBdr>
          <w:divsChild>
            <w:div w:id="1144813946">
              <w:marLeft w:val="0"/>
              <w:marRight w:val="0"/>
              <w:marTop w:val="0"/>
              <w:marBottom w:val="0"/>
              <w:divBdr>
                <w:top w:val="none" w:sz="0" w:space="0" w:color="auto"/>
                <w:left w:val="none" w:sz="0" w:space="0" w:color="auto"/>
                <w:bottom w:val="none" w:sz="0" w:space="0" w:color="auto"/>
                <w:right w:val="none" w:sz="0" w:space="0" w:color="auto"/>
              </w:divBdr>
              <w:divsChild>
                <w:div w:id="5134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0170">
      <w:bodyDiv w:val="1"/>
      <w:marLeft w:val="0"/>
      <w:marRight w:val="0"/>
      <w:marTop w:val="0"/>
      <w:marBottom w:val="0"/>
      <w:divBdr>
        <w:top w:val="none" w:sz="0" w:space="0" w:color="auto"/>
        <w:left w:val="none" w:sz="0" w:space="0" w:color="auto"/>
        <w:bottom w:val="none" w:sz="0" w:space="0" w:color="auto"/>
        <w:right w:val="none" w:sz="0" w:space="0" w:color="auto"/>
      </w:divBdr>
    </w:div>
    <w:div w:id="1381636828">
      <w:bodyDiv w:val="1"/>
      <w:marLeft w:val="0"/>
      <w:marRight w:val="0"/>
      <w:marTop w:val="0"/>
      <w:marBottom w:val="0"/>
      <w:divBdr>
        <w:top w:val="none" w:sz="0" w:space="0" w:color="auto"/>
        <w:left w:val="none" w:sz="0" w:space="0" w:color="auto"/>
        <w:bottom w:val="none" w:sz="0" w:space="0" w:color="auto"/>
        <w:right w:val="none" w:sz="0" w:space="0" w:color="auto"/>
      </w:divBdr>
      <w:divsChild>
        <w:div w:id="1866871347">
          <w:marLeft w:val="0"/>
          <w:marRight w:val="0"/>
          <w:marTop w:val="0"/>
          <w:marBottom w:val="0"/>
          <w:divBdr>
            <w:top w:val="none" w:sz="0" w:space="0" w:color="auto"/>
            <w:left w:val="none" w:sz="0" w:space="0" w:color="auto"/>
            <w:bottom w:val="none" w:sz="0" w:space="0" w:color="auto"/>
            <w:right w:val="none" w:sz="0" w:space="0" w:color="auto"/>
          </w:divBdr>
          <w:divsChild>
            <w:div w:id="124662981">
              <w:marLeft w:val="0"/>
              <w:marRight w:val="0"/>
              <w:marTop w:val="0"/>
              <w:marBottom w:val="0"/>
              <w:divBdr>
                <w:top w:val="none" w:sz="0" w:space="0" w:color="auto"/>
                <w:left w:val="none" w:sz="0" w:space="0" w:color="auto"/>
                <w:bottom w:val="none" w:sz="0" w:space="0" w:color="auto"/>
                <w:right w:val="none" w:sz="0" w:space="0" w:color="auto"/>
              </w:divBdr>
              <w:divsChild>
                <w:div w:id="1498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21208">
      <w:bodyDiv w:val="1"/>
      <w:marLeft w:val="0"/>
      <w:marRight w:val="0"/>
      <w:marTop w:val="0"/>
      <w:marBottom w:val="0"/>
      <w:divBdr>
        <w:top w:val="none" w:sz="0" w:space="0" w:color="auto"/>
        <w:left w:val="none" w:sz="0" w:space="0" w:color="auto"/>
        <w:bottom w:val="none" w:sz="0" w:space="0" w:color="auto"/>
        <w:right w:val="none" w:sz="0" w:space="0" w:color="auto"/>
      </w:divBdr>
      <w:divsChild>
        <w:div w:id="518394940">
          <w:marLeft w:val="0"/>
          <w:marRight w:val="0"/>
          <w:marTop w:val="150"/>
          <w:marBottom w:val="300"/>
          <w:divBdr>
            <w:top w:val="none" w:sz="0" w:space="0" w:color="auto"/>
            <w:left w:val="none" w:sz="0" w:space="0" w:color="auto"/>
            <w:bottom w:val="none" w:sz="0" w:space="0" w:color="auto"/>
            <w:right w:val="none" w:sz="0" w:space="0" w:color="auto"/>
          </w:divBdr>
        </w:div>
      </w:divsChild>
    </w:div>
    <w:div w:id="1401901112">
      <w:bodyDiv w:val="1"/>
      <w:marLeft w:val="0"/>
      <w:marRight w:val="0"/>
      <w:marTop w:val="0"/>
      <w:marBottom w:val="0"/>
      <w:divBdr>
        <w:top w:val="none" w:sz="0" w:space="0" w:color="auto"/>
        <w:left w:val="none" w:sz="0" w:space="0" w:color="auto"/>
        <w:bottom w:val="none" w:sz="0" w:space="0" w:color="auto"/>
        <w:right w:val="none" w:sz="0" w:space="0" w:color="auto"/>
      </w:divBdr>
      <w:divsChild>
        <w:div w:id="616759461">
          <w:marLeft w:val="0"/>
          <w:marRight w:val="0"/>
          <w:marTop w:val="0"/>
          <w:marBottom w:val="0"/>
          <w:divBdr>
            <w:top w:val="none" w:sz="0" w:space="0" w:color="auto"/>
            <w:left w:val="none" w:sz="0" w:space="0" w:color="auto"/>
            <w:bottom w:val="none" w:sz="0" w:space="0" w:color="auto"/>
            <w:right w:val="none" w:sz="0" w:space="0" w:color="auto"/>
          </w:divBdr>
        </w:div>
        <w:div w:id="1114137122">
          <w:marLeft w:val="0"/>
          <w:marRight w:val="0"/>
          <w:marTop w:val="0"/>
          <w:marBottom w:val="0"/>
          <w:divBdr>
            <w:top w:val="none" w:sz="0" w:space="0" w:color="auto"/>
            <w:left w:val="none" w:sz="0" w:space="0" w:color="auto"/>
            <w:bottom w:val="none" w:sz="0" w:space="0" w:color="auto"/>
            <w:right w:val="none" w:sz="0" w:space="0" w:color="auto"/>
          </w:divBdr>
        </w:div>
      </w:divsChild>
    </w:div>
    <w:div w:id="1464930989">
      <w:bodyDiv w:val="1"/>
      <w:marLeft w:val="0"/>
      <w:marRight w:val="0"/>
      <w:marTop w:val="0"/>
      <w:marBottom w:val="0"/>
      <w:divBdr>
        <w:top w:val="none" w:sz="0" w:space="0" w:color="auto"/>
        <w:left w:val="none" w:sz="0" w:space="0" w:color="auto"/>
        <w:bottom w:val="none" w:sz="0" w:space="0" w:color="auto"/>
        <w:right w:val="none" w:sz="0" w:space="0" w:color="auto"/>
      </w:divBdr>
      <w:divsChild>
        <w:div w:id="1052079344">
          <w:marLeft w:val="0"/>
          <w:marRight w:val="0"/>
          <w:marTop w:val="0"/>
          <w:marBottom w:val="0"/>
          <w:divBdr>
            <w:top w:val="none" w:sz="0" w:space="0" w:color="auto"/>
            <w:left w:val="none" w:sz="0" w:space="0" w:color="auto"/>
            <w:bottom w:val="none" w:sz="0" w:space="0" w:color="auto"/>
            <w:right w:val="none" w:sz="0" w:space="0" w:color="auto"/>
          </w:divBdr>
        </w:div>
      </w:divsChild>
    </w:div>
    <w:div w:id="147324985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22">
          <w:marLeft w:val="0"/>
          <w:marRight w:val="0"/>
          <w:marTop w:val="0"/>
          <w:marBottom w:val="0"/>
          <w:divBdr>
            <w:top w:val="none" w:sz="0" w:space="0" w:color="auto"/>
            <w:left w:val="none" w:sz="0" w:space="0" w:color="auto"/>
            <w:bottom w:val="none" w:sz="0" w:space="0" w:color="auto"/>
            <w:right w:val="none" w:sz="0" w:space="0" w:color="auto"/>
          </w:divBdr>
          <w:divsChild>
            <w:div w:id="154155368">
              <w:marLeft w:val="0"/>
              <w:marRight w:val="0"/>
              <w:marTop w:val="0"/>
              <w:marBottom w:val="0"/>
              <w:divBdr>
                <w:top w:val="none" w:sz="0" w:space="0" w:color="auto"/>
                <w:left w:val="none" w:sz="0" w:space="0" w:color="auto"/>
                <w:bottom w:val="none" w:sz="0" w:space="0" w:color="auto"/>
                <w:right w:val="none" w:sz="0" w:space="0" w:color="auto"/>
              </w:divBdr>
              <w:divsChild>
                <w:div w:id="10402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6623">
      <w:bodyDiv w:val="1"/>
      <w:marLeft w:val="0"/>
      <w:marRight w:val="0"/>
      <w:marTop w:val="0"/>
      <w:marBottom w:val="0"/>
      <w:divBdr>
        <w:top w:val="none" w:sz="0" w:space="0" w:color="auto"/>
        <w:left w:val="none" w:sz="0" w:space="0" w:color="auto"/>
        <w:bottom w:val="none" w:sz="0" w:space="0" w:color="auto"/>
        <w:right w:val="none" w:sz="0" w:space="0" w:color="auto"/>
      </w:divBdr>
      <w:divsChild>
        <w:div w:id="825557391">
          <w:marLeft w:val="0"/>
          <w:marRight w:val="0"/>
          <w:marTop w:val="0"/>
          <w:marBottom w:val="0"/>
          <w:divBdr>
            <w:top w:val="none" w:sz="0" w:space="0" w:color="auto"/>
            <w:left w:val="none" w:sz="0" w:space="0" w:color="auto"/>
            <w:bottom w:val="none" w:sz="0" w:space="0" w:color="auto"/>
            <w:right w:val="none" w:sz="0" w:space="0" w:color="auto"/>
          </w:divBdr>
          <w:divsChild>
            <w:div w:id="761148911">
              <w:marLeft w:val="0"/>
              <w:marRight w:val="0"/>
              <w:marTop w:val="0"/>
              <w:marBottom w:val="0"/>
              <w:divBdr>
                <w:top w:val="none" w:sz="0" w:space="0" w:color="auto"/>
                <w:left w:val="none" w:sz="0" w:space="0" w:color="auto"/>
                <w:bottom w:val="none" w:sz="0" w:space="0" w:color="auto"/>
                <w:right w:val="none" w:sz="0" w:space="0" w:color="auto"/>
              </w:divBdr>
              <w:divsChild>
                <w:div w:id="1672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7172">
      <w:bodyDiv w:val="1"/>
      <w:marLeft w:val="0"/>
      <w:marRight w:val="0"/>
      <w:marTop w:val="0"/>
      <w:marBottom w:val="0"/>
      <w:divBdr>
        <w:top w:val="none" w:sz="0" w:space="0" w:color="auto"/>
        <w:left w:val="none" w:sz="0" w:space="0" w:color="auto"/>
        <w:bottom w:val="none" w:sz="0" w:space="0" w:color="auto"/>
        <w:right w:val="none" w:sz="0" w:space="0" w:color="auto"/>
      </w:divBdr>
      <w:divsChild>
        <w:div w:id="1032342732">
          <w:marLeft w:val="0"/>
          <w:marRight w:val="0"/>
          <w:marTop w:val="0"/>
          <w:marBottom w:val="0"/>
          <w:divBdr>
            <w:top w:val="none" w:sz="0" w:space="0" w:color="auto"/>
            <w:left w:val="none" w:sz="0" w:space="0" w:color="auto"/>
            <w:bottom w:val="none" w:sz="0" w:space="0" w:color="auto"/>
            <w:right w:val="none" w:sz="0" w:space="0" w:color="auto"/>
          </w:divBdr>
          <w:divsChild>
            <w:div w:id="491408591">
              <w:marLeft w:val="0"/>
              <w:marRight w:val="0"/>
              <w:marTop w:val="0"/>
              <w:marBottom w:val="0"/>
              <w:divBdr>
                <w:top w:val="none" w:sz="0" w:space="0" w:color="auto"/>
                <w:left w:val="none" w:sz="0" w:space="0" w:color="auto"/>
                <w:bottom w:val="none" w:sz="0" w:space="0" w:color="auto"/>
                <w:right w:val="none" w:sz="0" w:space="0" w:color="auto"/>
              </w:divBdr>
              <w:divsChild>
                <w:div w:id="21333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5966">
      <w:bodyDiv w:val="1"/>
      <w:marLeft w:val="0"/>
      <w:marRight w:val="0"/>
      <w:marTop w:val="0"/>
      <w:marBottom w:val="0"/>
      <w:divBdr>
        <w:top w:val="none" w:sz="0" w:space="0" w:color="auto"/>
        <w:left w:val="none" w:sz="0" w:space="0" w:color="auto"/>
        <w:bottom w:val="none" w:sz="0" w:space="0" w:color="auto"/>
        <w:right w:val="none" w:sz="0" w:space="0" w:color="auto"/>
      </w:divBdr>
      <w:divsChild>
        <w:div w:id="34893494">
          <w:marLeft w:val="0"/>
          <w:marRight w:val="0"/>
          <w:marTop w:val="0"/>
          <w:marBottom w:val="0"/>
          <w:divBdr>
            <w:top w:val="none" w:sz="0" w:space="0" w:color="auto"/>
            <w:left w:val="none" w:sz="0" w:space="0" w:color="auto"/>
            <w:bottom w:val="none" w:sz="0" w:space="0" w:color="auto"/>
            <w:right w:val="none" w:sz="0" w:space="0" w:color="auto"/>
          </w:divBdr>
          <w:divsChild>
            <w:div w:id="1150288449">
              <w:marLeft w:val="0"/>
              <w:marRight w:val="0"/>
              <w:marTop w:val="0"/>
              <w:marBottom w:val="0"/>
              <w:divBdr>
                <w:top w:val="none" w:sz="0" w:space="0" w:color="auto"/>
                <w:left w:val="none" w:sz="0" w:space="0" w:color="auto"/>
                <w:bottom w:val="none" w:sz="0" w:space="0" w:color="auto"/>
                <w:right w:val="none" w:sz="0" w:space="0" w:color="auto"/>
              </w:divBdr>
              <w:divsChild>
                <w:div w:id="1091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1498">
      <w:bodyDiv w:val="1"/>
      <w:marLeft w:val="0"/>
      <w:marRight w:val="0"/>
      <w:marTop w:val="0"/>
      <w:marBottom w:val="0"/>
      <w:divBdr>
        <w:top w:val="none" w:sz="0" w:space="0" w:color="auto"/>
        <w:left w:val="none" w:sz="0" w:space="0" w:color="auto"/>
        <w:bottom w:val="none" w:sz="0" w:space="0" w:color="auto"/>
        <w:right w:val="none" w:sz="0" w:space="0" w:color="auto"/>
      </w:divBdr>
      <w:divsChild>
        <w:div w:id="1828013880">
          <w:marLeft w:val="0"/>
          <w:marRight w:val="0"/>
          <w:marTop w:val="0"/>
          <w:marBottom w:val="0"/>
          <w:divBdr>
            <w:top w:val="none" w:sz="0" w:space="0" w:color="auto"/>
            <w:left w:val="none" w:sz="0" w:space="0" w:color="auto"/>
            <w:bottom w:val="none" w:sz="0" w:space="0" w:color="auto"/>
            <w:right w:val="none" w:sz="0" w:space="0" w:color="auto"/>
          </w:divBdr>
          <w:divsChild>
            <w:div w:id="22174646">
              <w:marLeft w:val="0"/>
              <w:marRight w:val="0"/>
              <w:marTop w:val="0"/>
              <w:marBottom w:val="0"/>
              <w:divBdr>
                <w:top w:val="none" w:sz="0" w:space="0" w:color="auto"/>
                <w:left w:val="none" w:sz="0" w:space="0" w:color="auto"/>
                <w:bottom w:val="none" w:sz="0" w:space="0" w:color="auto"/>
                <w:right w:val="none" w:sz="0" w:space="0" w:color="auto"/>
              </w:divBdr>
              <w:divsChild>
                <w:div w:id="468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4321">
      <w:bodyDiv w:val="1"/>
      <w:marLeft w:val="0"/>
      <w:marRight w:val="0"/>
      <w:marTop w:val="0"/>
      <w:marBottom w:val="0"/>
      <w:divBdr>
        <w:top w:val="none" w:sz="0" w:space="0" w:color="auto"/>
        <w:left w:val="none" w:sz="0" w:space="0" w:color="auto"/>
        <w:bottom w:val="none" w:sz="0" w:space="0" w:color="auto"/>
        <w:right w:val="none" w:sz="0" w:space="0" w:color="auto"/>
      </w:divBdr>
      <w:divsChild>
        <w:div w:id="1139030733">
          <w:marLeft w:val="0"/>
          <w:marRight w:val="0"/>
          <w:marTop w:val="0"/>
          <w:marBottom w:val="0"/>
          <w:divBdr>
            <w:top w:val="none" w:sz="0" w:space="0" w:color="auto"/>
            <w:left w:val="none" w:sz="0" w:space="0" w:color="auto"/>
            <w:bottom w:val="none" w:sz="0" w:space="0" w:color="auto"/>
            <w:right w:val="none" w:sz="0" w:space="0" w:color="auto"/>
          </w:divBdr>
          <w:divsChild>
            <w:div w:id="1134981243">
              <w:marLeft w:val="0"/>
              <w:marRight w:val="0"/>
              <w:marTop w:val="0"/>
              <w:marBottom w:val="0"/>
              <w:divBdr>
                <w:top w:val="none" w:sz="0" w:space="0" w:color="auto"/>
                <w:left w:val="none" w:sz="0" w:space="0" w:color="auto"/>
                <w:bottom w:val="none" w:sz="0" w:space="0" w:color="auto"/>
                <w:right w:val="none" w:sz="0" w:space="0" w:color="auto"/>
              </w:divBdr>
              <w:divsChild>
                <w:div w:id="272593666">
                  <w:marLeft w:val="0"/>
                  <w:marRight w:val="0"/>
                  <w:marTop w:val="0"/>
                  <w:marBottom w:val="0"/>
                  <w:divBdr>
                    <w:top w:val="none" w:sz="0" w:space="0" w:color="auto"/>
                    <w:left w:val="none" w:sz="0" w:space="0" w:color="auto"/>
                    <w:bottom w:val="none" w:sz="0" w:space="0" w:color="auto"/>
                    <w:right w:val="none" w:sz="0" w:space="0" w:color="auto"/>
                  </w:divBdr>
                  <w:divsChild>
                    <w:div w:id="9160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9662">
      <w:bodyDiv w:val="1"/>
      <w:marLeft w:val="0"/>
      <w:marRight w:val="0"/>
      <w:marTop w:val="0"/>
      <w:marBottom w:val="0"/>
      <w:divBdr>
        <w:top w:val="none" w:sz="0" w:space="0" w:color="auto"/>
        <w:left w:val="none" w:sz="0" w:space="0" w:color="auto"/>
        <w:bottom w:val="none" w:sz="0" w:space="0" w:color="auto"/>
        <w:right w:val="none" w:sz="0" w:space="0" w:color="auto"/>
      </w:divBdr>
      <w:divsChild>
        <w:div w:id="1175612933">
          <w:marLeft w:val="0"/>
          <w:marRight w:val="0"/>
          <w:marTop w:val="0"/>
          <w:marBottom w:val="0"/>
          <w:divBdr>
            <w:top w:val="none" w:sz="0" w:space="0" w:color="auto"/>
            <w:left w:val="none" w:sz="0" w:space="0" w:color="auto"/>
            <w:bottom w:val="none" w:sz="0" w:space="0" w:color="auto"/>
            <w:right w:val="none" w:sz="0" w:space="0" w:color="auto"/>
          </w:divBdr>
          <w:divsChild>
            <w:div w:id="1467697389">
              <w:marLeft w:val="0"/>
              <w:marRight w:val="0"/>
              <w:marTop w:val="0"/>
              <w:marBottom w:val="0"/>
              <w:divBdr>
                <w:top w:val="none" w:sz="0" w:space="0" w:color="auto"/>
                <w:left w:val="none" w:sz="0" w:space="0" w:color="auto"/>
                <w:bottom w:val="none" w:sz="0" w:space="0" w:color="auto"/>
                <w:right w:val="none" w:sz="0" w:space="0" w:color="auto"/>
              </w:divBdr>
              <w:divsChild>
                <w:div w:id="12256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0909">
      <w:bodyDiv w:val="1"/>
      <w:marLeft w:val="0"/>
      <w:marRight w:val="0"/>
      <w:marTop w:val="0"/>
      <w:marBottom w:val="0"/>
      <w:divBdr>
        <w:top w:val="none" w:sz="0" w:space="0" w:color="auto"/>
        <w:left w:val="none" w:sz="0" w:space="0" w:color="auto"/>
        <w:bottom w:val="none" w:sz="0" w:space="0" w:color="auto"/>
        <w:right w:val="none" w:sz="0" w:space="0" w:color="auto"/>
      </w:divBdr>
      <w:divsChild>
        <w:div w:id="1769545275">
          <w:marLeft w:val="0"/>
          <w:marRight w:val="0"/>
          <w:marTop w:val="0"/>
          <w:marBottom w:val="0"/>
          <w:divBdr>
            <w:top w:val="none" w:sz="0" w:space="0" w:color="auto"/>
            <w:left w:val="none" w:sz="0" w:space="0" w:color="auto"/>
            <w:bottom w:val="none" w:sz="0" w:space="0" w:color="auto"/>
            <w:right w:val="none" w:sz="0" w:space="0" w:color="auto"/>
          </w:divBdr>
          <w:divsChild>
            <w:div w:id="52583240">
              <w:marLeft w:val="0"/>
              <w:marRight w:val="0"/>
              <w:marTop w:val="0"/>
              <w:marBottom w:val="0"/>
              <w:divBdr>
                <w:top w:val="none" w:sz="0" w:space="0" w:color="auto"/>
                <w:left w:val="none" w:sz="0" w:space="0" w:color="auto"/>
                <w:bottom w:val="none" w:sz="0" w:space="0" w:color="auto"/>
                <w:right w:val="none" w:sz="0" w:space="0" w:color="auto"/>
              </w:divBdr>
              <w:divsChild>
                <w:div w:id="19691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7179">
      <w:bodyDiv w:val="1"/>
      <w:marLeft w:val="0"/>
      <w:marRight w:val="0"/>
      <w:marTop w:val="0"/>
      <w:marBottom w:val="0"/>
      <w:divBdr>
        <w:top w:val="none" w:sz="0" w:space="0" w:color="auto"/>
        <w:left w:val="none" w:sz="0" w:space="0" w:color="auto"/>
        <w:bottom w:val="none" w:sz="0" w:space="0" w:color="auto"/>
        <w:right w:val="none" w:sz="0" w:space="0" w:color="auto"/>
      </w:divBdr>
      <w:divsChild>
        <w:div w:id="633871668">
          <w:marLeft w:val="0"/>
          <w:marRight w:val="0"/>
          <w:marTop w:val="0"/>
          <w:marBottom w:val="0"/>
          <w:divBdr>
            <w:top w:val="none" w:sz="0" w:space="0" w:color="auto"/>
            <w:left w:val="none" w:sz="0" w:space="0" w:color="auto"/>
            <w:bottom w:val="none" w:sz="0" w:space="0" w:color="auto"/>
            <w:right w:val="none" w:sz="0" w:space="0" w:color="auto"/>
          </w:divBdr>
          <w:divsChild>
            <w:div w:id="516116273">
              <w:marLeft w:val="0"/>
              <w:marRight w:val="0"/>
              <w:marTop w:val="0"/>
              <w:marBottom w:val="0"/>
              <w:divBdr>
                <w:top w:val="none" w:sz="0" w:space="0" w:color="auto"/>
                <w:left w:val="none" w:sz="0" w:space="0" w:color="auto"/>
                <w:bottom w:val="none" w:sz="0" w:space="0" w:color="auto"/>
                <w:right w:val="none" w:sz="0" w:space="0" w:color="auto"/>
              </w:divBdr>
              <w:divsChild>
                <w:div w:id="1150637890">
                  <w:marLeft w:val="0"/>
                  <w:marRight w:val="0"/>
                  <w:marTop w:val="0"/>
                  <w:marBottom w:val="0"/>
                  <w:divBdr>
                    <w:top w:val="none" w:sz="0" w:space="0" w:color="auto"/>
                    <w:left w:val="none" w:sz="0" w:space="0" w:color="auto"/>
                    <w:bottom w:val="none" w:sz="0" w:space="0" w:color="auto"/>
                    <w:right w:val="none" w:sz="0" w:space="0" w:color="auto"/>
                  </w:divBdr>
                  <w:divsChild>
                    <w:div w:id="6741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3798">
      <w:bodyDiv w:val="1"/>
      <w:marLeft w:val="0"/>
      <w:marRight w:val="0"/>
      <w:marTop w:val="0"/>
      <w:marBottom w:val="0"/>
      <w:divBdr>
        <w:top w:val="none" w:sz="0" w:space="0" w:color="auto"/>
        <w:left w:val="none" w:sz="0" w:space="0" w:color="auto"/>
        <w:bottom w:val="none" w:sz="0" w:space="0" w:color="auto"/>
        <w:right w:val="none" w:sz="0" w:space="0" w:color="auto"/>
      </w:divBdr>
      <w:divsChild>
        <w:div w:id="467013899">
          <w:marLeft w:val="0"/>
          <w:marRight w:val="0"/>
          <w:marTop w:val="0"/>
          <w:marBottom w:val="0"/>
          <w:divBdr>
            <w:top w:val="none" w:sz="0" w:space="0" w:color="auto"/>
            <w:left w:val="none" w:sz="0" w:space="0" w:color="auto"/>
            <w:bottom w:val="none" w:sz="0" w:space="0" w:color="auto"/>
            <w:right w:val="none" w:sz="0" w:space="0" w:color="auto"/>
          </w:divBdr>
          <w:divsChild>
            <w:div w:id="2002805097">
              <w:marLeft w:val="0"/>
              <w:marRight w:val="0"/>
              <w:marTop w:val="0"/>
              <w:marBottom w:val="0"/>
              <w:divBdr>
                <w:top w:val="none" w:sz="0" w:space="0" w:color="auto"/>
                <w:left w:val="none" w:sz="0" w:space="0" w:color="auto"/>
                <w:bottom w:val="none" w:sz="0" w:space="0" w:color="auto"/>
                <w:right w:val="none" w:sz="0" w:space="0" w:color="auto"/>
              </w:divBdr>
              <w:divsChild>
                <w:div w:id="18119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9293">
      <w:bodyDiv w:val="1"/>
      <w:marLeft w:val="0"/>
      <w:marRight w:val="0"/>
      <w:marTop w:val="0"/>
      <w:marBottom w:val="0"/>
      <w:divBdr>
        <w:top w:val="none" w:sz="0" w:space="0" w:color="auto"/>
        <w:left w:val="none" w:sz="0" w:space="0" w:color="auto"/>
        <w:bottom w:val="none" w:sz="0" w:space="0" w:color="auto"/>
        <w:right w:val="none" w:sz="0" w:space="0" w:color="auto"/>
      </w:divBdr>
    </w:div>
    <w:div w:id="1608342579">
      <w:bodyDiv w:val="1"/>
      <w:marLeft w:val="0"/>
      <w:marRight w:val="0"/>
      <w:marTop w:val="0"/>
      <w:marBottom w:val="0"/>
      <w:divBdr>
        <w:top w:val="none" w:sz="0" w:space="0" w:color="auto"/>
        <w:left w:val="none" w:sz="0" w:space="0" w:color="auto"/>
        <w:bottom w:val="none" w:sz="0" w:space="0" w:color="auto"/>
        <w:right w:val="none" w:sz="0" w:space="0" w:color="auto"/>
      </w:divBdr>
      <w:divsChild>
        <w:div w:id="1265848325">
          <w:marLeft w:val="0"/>
          <w:marRight w:val="0"/>
          <w:marTop w:val="0"/>
          <w:marBottom w:val="0"/>
          <w:divBdr>
            <w:top w:val="none" w:sz="0" w:space="0" w:color="auto"/>
            <w:left w:val="none" w:sz="0" w:space="0" w:color="auto"/>
            <w:bottom w:val="none" w:sz="0" w:space="0" w:color="auto"/>
            <w:right w:val="none" w:sz="0" w:space="0" w:color="auto"/>
          </w:divBdr>
          <w:divsChild>
            <w:div w:id="888807471">
              <w:marLeft w:val="0"/>
              <w:marRight w:val="0"/>
              <w:marTop w:val="0"/>
              <w:marBottom w:val="0"/>
              <w:divBdr>
                <w:top w:val="none" w:sz="0" w:space="0" w:color="auto"/>
                <w:left w:val="none" w:sz="0" w:space="0" w:color="auto"/>
                <w:bottom w:val="none" w:sz="0" w:space="0" w:color="auto"/>
                <w:right w:val="none" w:sz="0" w:space="0" w:color="auto"/>
              </w:divBdr>
              <w:divsChild>
                <w:div w:id="1019938754">
                  <w:marLeft w:val="0"/>
                  <w:marRight w:val="0"/>
                  <w:marTop w:val="0"/>
                  <w:marBottom w:val="0"/>
                  <w:divBdr>
                    <w:top w:val="none" w:sz="0" w:space="0" w:color="auto"/>
                    <w:left w:val="none" w:sz="0" w:space="0" w:color="auto"/>
                    <w:bottom w:val="none" w:sz="0" w:space="0" w:color="auto"/>
                    <w:right w:val="none" w:sz="0" w:space="0" w:color="auto"/>
                  </w:divBdr>
                  <w:divsChild>
                    <w:div w:id="21461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98195">
      <w:bodyDiv w:val="1"/>
      <w:marLeft w:val="0"/>
      <w:marRight w:val="0"/>
      <w:marTop w:val="0"/>
      <w:marBottom w:val="0"/>
      <w:divBdr>
        <w:top w:val="none" w:sz="0" w:space="0" w:color="auto"/>
        <w:left w:val="none" w:sz="0" w:space="0" w:color="auto"/>
        <w:bottom w:val="none" w:sz="0" w:space="0" w:color="auto"/>
        <w:right w:val="none" w:sz="0" w:space="0" w:color="auto"/>
      </w:divBdr>
      <w:divsChild>
        <w:div w:id="641007735">
          <w:marLeft w:val="0"/>
          <w:marRight w:val="0"/>
          <w:marTop w:val="0"/>
          <w:marBottom w:val="0"/>
          <w:divBdr>
            <w:top w:val="none" w:sz="0" w:space="0" w:color="auto"/>
            <w:left w:val="none" w:sz="0" w:space="0" w:color="auto"/>
            <w:bottom w:val="none" w:sz="0" w:space="0" w:color="auto"/>
            <w:right w:val="none" w:sz="0" w:space="0" w:color="auto"/>
          </w:divBdr>
          <w:divsChild>
            <w:div w:id="270474586">
              <w:marLeft w:val="0"/>
              <w:marRight w:val="0"/>
              <w:marTop w:val="0"/>
              <w:marBottom w:val="0"/>
              <w:divBdr>
                <w:top w:val="none" w:sz="0" w:space="0" w:color="auto"/>
                <w:left w:val="none" w:sz="0" w:space="0" w:color="auto"/>
                <w:bottom w:val="none" w:sz="0" w:space="0" w:color="auto"/>
                <w:right w:val="none" w:sz="0" w:space="0" w:color="auto"/>
              </w:divBdr>
              <w:divsChild>
                <w:div w:id="12408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7042">
      <w:bodyDiv w:val="1"/>
      <w:marLeft w:val="0"/>
      <w:marRight w:val="0"/>
      <w:marTop w:val="0"/>
      <w:marBottom w:val="0"/>
      <w:divBdr>
        <w:top w:val="none" w:sz="0" w:space="0" w:color="auto"/>
        <w:left w:val="none" w:sz="0" w:space="0" w:color="auto"/>
        <w:bottom w:val="none" w:sz="0" w:space="0" w:color="auto"/>
        <w:right w:val="none" w:sz="0" w:space="0" w:color="auto"/>
      </w:divBdr>
      <w:divsChild>
        <w:div w:id="1737128214">
          <w:marLeft w:val="0"/>
          <w:marRight w:val="0"/>
          <w:marTop w:val="0"/>
          <w:marBottom w:val="0"/>
          <w:divBdr>
            <w:top w:val="none" w:sz="0" w:space="0" w:color="auto"/>
            <w:left w:val="none" w:sz="0" w:space="0" w:color="auto"/>
            <w:bottom w:val="none" w:sz="0" w:space="0" w:color="auto"/>
            <w:right w:val="none" w:sz="0" w:space="0" w:color="auto"/>
          </w:divBdr>
          <w:divsChild>
            <w:div w:id="957683259">
              <w:marLeft w:val="0"/>
              <w:marRight w:val="0"/>
              <w:marTop w:val="0"/>
              <w:marBottom w:val="0"/>
              <w:divBdr>
                <w:top w:val="none" w:sz="0" w:space="0" w:color="auto"/>
                <w:left w:val="none" w:sz="0" w:space="0" w:color="auto"/>
                <w:bottom w:val="none" w:sz="0" w:space="0" w:color="auto"/>
                <w:right w:val="none" w:sz="0" w:space="0" w:color="auto"/>
              </w:divBdr>
              <w:divsChild>
                <w:div w:id="1348100821">
                  <w:marLeft w:val="0"/>
                  <w:marRight w:val="0"/>
                  <w:marTop w:val="0"/>
                  <w:marBottom w:val="0"/>
                  <w:divBdr>
                    <w:top w:val="none" w:sz="0" w:space="0" w:color="auto"/>
                    <w:left w:val="none" w:sz="0" w:space="0" w:color="auto"/>
                    <w:bottom w:val="none" w:sz="0" w:space="0" w:color="auto"/>
                    <w:right w:val="none" w:sz="0" w:space="0" w:color="auto"/>
                  </w:divBdr>
                  <w:divsChild>
                    <w:div w:id="2487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9617">
      <w:bodyDiv w:val="1"/>
      <w:marLeft w:val="0"/>
      <w:marRight w:val="0"/>
      <w:marTop w:val="0"/>
      <w:marBottom w:val="0"/>
      <w:divBdr>
        <w:top w:val="none" w:sz="0" w:space="0" w:color="auto"/>
        <w:left w:val="none" w:sz="0" w:space="0" w:color="auto"/>
        <w:bottom w:val="none" w:sz="0" w:space="0" w:color="auto"/>
        <w:right w:val="none" w:sz="0" w:space="0" w:color="auto"/>
      </w:divBdr>
      <w:divsChild>
        <w:div w:id="2114473285">
          <w:marLeft w:val="0"/>
          <w:marRight w:val="0"/>
          <w:marTop w:val="0"/>
          <w:marBottom w:val="0"/>
          <w:divBdr>
            <w:top w:val="none" w:sz="0" w:space="0" w:color="auto"/>
            <w:left w:val="none" w:sz="0" w:space="0" w:color="auto"/>
            <w:bottom w:val="none" w:sz="0" w:space="0" w:color="auto"/>
            <w:right w:val="none" w:sz="0" w:space="0" w:color="auto"/>
          </w:divBdr>
          <w:divsChild>
            <w:div w:id="1205867595">
              <w:marLeft w:val="0"/>
              <w:marRight w:val="0"/>
              <w:marTop w:val="0"/>
              <w:marBottom w:val="0"/>
              <w:divBdr>
                <w:top w:val="none" w:sz="0" w:space="0" w:color="auto"/>
                <w:left w:val="none" w:sz="0" w:space="0" w:color="auto"/>
                <w:bottom w:val="none" w:sz="0" w:space="0" w:color="auto"/>
                <w:right w:val="none" w:sz="0" w:space="0" w:color="auto"/>
              </w:divBdr>
              <w:divsChild>
                <w:div w:id="234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5703">
      <w:bodyDiv w:val="1"/>
      <w:marLeft w:val="0"/>
      <w:marRight w:val="0"/>
      <w:marTop w:val="0"/>
      <w:marBottom w:val="0"/>
      <w:divBdr>
        <w:top w:val="none" w:sz="0" w:space="0" w:color="auto"/>
        <w:left w:val="none" w:sz="0" w:space="0" w:color="auto"/>
        <w:bottom w:val="none" w:sz="0" w:space="0" w:color="auto"/>
        <w:right w:val="none" w:sz="0" w:space="0" w:color="auto"/>
      </w:divBdr>
      <w:divsChild>
        <w:div w:id="1975795842">
          <w:marLeft w:val="0"/>
          <w:marRight w:val="0"/>
          <w:marTop w:val="0"/>
          <w:marBottom w:val="0"/>
          <w:divBdr>
            <w:top w:val="none" w:sz="0" w:space="0" w:color="auto"/>
            <w:left w:val="none" w:sz="0" w:space="0" w:color="auto"/>
            <w:bottom w:val="none" w:sz="0" w:space="0" w:color="auto"/>
            <w:right w:val="none" w:sz="0" w:space="0" w:color="auto"/>
          </w:divBdr>
          <w:divsChild>
            <w:div w:id="2077170349">
              <w:marLeft w:val="0"/>
              <w:marRight w:val="0"/>
              <w:marTop w:val="0"/>
              <w:marBottom w:val="0"/>
              <w:divBdr>
                <w:top w:val="none" w:sz="0" w:space="0" w:color="auto"/>
                <w:left w:val="none" w:sz="0" w:space="0" w:color="auto"/>
                <w:bottom w:val="none" w:sz="0" w:space="0" w:color="auto"/>
                <w:right w:val="none" w:sz="0" w:space="0" w:color="auto"/>
              </w:divBdr>
              <w:divsChild>
                <w:div w:id="1184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8897">
      <w:bodyDiv w:val="1"/>
      <w:marLeft w:val="0"/>
      <w:marRight w:val="0"/>
      <w:marTop w:val="0"/>
      <w:marBottom w:val="0"/>
      <w:divBdr>
        <w:top w:val="none" w:sz="0" w:space="0" w:color="auto"/>
        <w:left w:val="none" w:sz="0" w:space="0" w:color="auto"/>
        <w:bottom w:val="none" w:sz="0" w:space="0" w:color="auto"/>
        <w:right w:val="none" w:sz="0" w:space="0" w:color="auto"/>
      </w:divBdr>
      <w:divsChild>
        <w:div w:id="766775366">
          <w:marLeft w:val="0"/>
          <w:marRight w:val="0"/>
          <w:marTop w:val="0"/>
          <w:marBottom w:val="0"/>
          <w:divBdr>
            <w:top w:val="none" w:sz="0" w:space="0" w:color="auto"/>
            <w:left w:val="none" w:sz="0" w:space="0" w:color="auto"/>
            <w:bottom w:val="none" w:sz="0" w:space="0" w:color="auto"/>
            <w:right w:val="none" w:sz="0" w:space="0" w:color="auto"/>
          </w:divBdr>
          <w:divsChild>
            <w:div w:id="550266705">
              <w:marLeft w:val="0"/>
              <w:marRight w:val="0"/>
              <w:marTop w:val="0"/>
              <w:marBottom w:val="0"/>
              <w:divBdr>
                <w:top w:val="none" w:sz="0" w:space="0" w:color="auto"/>
                <w:left w:val="none" w:sz="0" w:space="0" w:color="auto"/>
                <w:bottom w:val="none" w:sz="0" w:space="0" w:color="auto"/>
                <w:right w:val="none" w:sz="0" w:space="0" w:color="auto"/>
              </w:divBdr>
              <w:divsChild>
                <w:div w:id="15612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8052">
      <w:bodyDiv w:val="1"/>
      <w:marLeft w:val="0"/>
      <w:marRight w:val="0"/>
      <w:marTop w:val="0"/>
      <w:marBottom w:val="0"/>
      <w:divBdr>
        <w:top w:val="none" w:sz="0" w:space="0" w:color="auto"/>
        <w:left w:val="none" w:sz="0" w:space="0" w:color="auto"/>
        <w:bottom w:val="none" w:sz="0" w:space="0" w:color="auto"/>
        <w:right w:val="none" w:sz="0" w:space="0" w:color="auto"/>
      </w:divBdr>
      <w:divsChild>
        <w:div w:id="263194080">
          <w:marLeft w:val="0"/>
          <w:marRight w:val="0"/>
          <w:marTop w:val="0"/>
          <w:marBottom w:val="0"/>
          <w:divBdr>
            <w:top w:val="none" w:sz="0" w:space="0" w:color="auto"/>
            <w:left w:val="none" w:sz="0" w:space="0" w:color="auto"/>
            <w:bottom w:val="none" w:sz="0" w:space="0" w:color="auto"/>
            <w:right w:val="none" w:sz="0" w:space="0" w:color="auto"/>
          </w:divBdr>
          <w:divsChild>
            <w:div w:id="1572347116">
              <w:marLeft w:val="0"/>
              <w:marRight w:val="0"/>
              <w:marTop w:val="0"/>
              <w:marBottom w:val="0"/>
              <w:divBdr>
                <w:top w:val="none" w:sz="0" w:space="0" w:color="auto"/>
                <w:left w:val="none" w:sz="0" w:space="0" w:color="auto"/>
                <w:bottom w:val="none" w:sz="0" w:space="0" w:color="auto"/>
                <w:right w:val="none" w:sz="0" w:space="0" w:color="auto"/>
              </w:divBdr>
              <w:divsChild>
                <w:div w:id="121198514">
                  <w:marLeft w:val="0"/>
                  <w:marRight w:val="0"/>
                  <w:marTop w:val="0"/>
                  <w:marBottom w:val="0"/>
                  <w:divBdr>
                    <w:top w:val="none" w:sz="0" w:space="0" w:color="auto"/>
                    <w:left w:val="none" w:sz="0" w:space="0" w:color="auto"/>
                    <w:bottom w:val="none" w:sz="0" w:space="0" w:color="auto"/>
                    <w:right w:val="none" w:sz="0" w:space="0" w:color="auto"/>
                  </w:divBdr>
                  <w:divsChild>
                    <w:div w:id="14027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0850">
      <w:bodyDiv w:val="1"/>
      <w:marLeft w:val="0"/>
      <w:marRight w:val="0"/>
      <w:marTop w:val="0"/>
      <w:marBottom w:val="0"/>
      <w:divBdr>
        <w:top w:val="none" w:sz="0" w:space="0" w:color="auto"/>
        <w:left w:val="none" w:sz="0" w:space="0" w:color="auto"/>
        <w:bottom w:val="none" w:sz="0" w:space="0" w:color="auto"/>
        <w:right w:val="none" w:sz="0" w:space="0" w:color="auto"/>
      </w:divBdr>
    </w:div>
    <w:div w:id="1715616134">
      <w:bodyDiv w:val="1"/>
      <w:marLeft w:val="0"/>
      <w:marRight w:val="0"/>
      <w:marTop w:val="0"/>
      <w:marBottom w:val="0"/>
      <w:divBdr>
        <w:top w:val="none" w:sz="0" w:space="0" w:color="auto"/>
        <w:left w:val="none" w:sz="0" w:space="0" w:color="auto"/>
        <w:bottom w:val="none" w:sz="0" w:space="0" w:color="auto"/>
        <w:right w:val="none" w:sz="0" w:space="0" w:color="auto"/>
      </w:divBdr>
      <w:divsChild>
        <w:div w:id="849879442">
          <w:marLeft w:val="0"/>
          <w:marRight w:val="0"/>
          <w:marTop w:val="0"/>
          <w:marBottom w:val="0"/>
          <w:divBdr>
            <w:top w:val="none" w:sz="0" w:space="0" w:color="auto"/>
            <w:left w:val="none" w:sz="0" w:space="0" w:color="auto"/>
            <w:bottom w:val="none" w:sz="0" w:space="0" w:color="auto"/>
            <w:right w:val="none" w:sz="0" w:space="0" w:color="auto"/>
          </w:divBdr>
          <w:divsChild>
            <w:div w:id="622349889">
              <w:marLeft w:val="0"/>
              <w:marRight w:val="0"/>
              <w:marTop w:val="0"/>
              <w:marBottom w:val="0"/>
              <w:divBdr>
                <w:top w:val="none" w:sz="0" w:space="0" w:color="auto"/>
                <w:left w:val="none" w:sz="0" w:space="0" w:color="auto"/>
                <w:bottom w:val="none" w:sz="0" w:space="0" w:color="auto"/>
                <w:right w:val="none" w:sz="0" w:space="0" w:color="auto"/>
              </w:divBdr>
              <w:divsChild>
                <w:div w:id="15684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07655">
      <w:bodyDiv w:val="1"/>
      <w:marLeft w:val="0"/>
      <w:marRight w:val="0"/>
      <w:marTop w:val="0"/>
      <w:marBottom w:val="0"/>
      <w:divBdr>
        <w:top w:val="none" w:sz="0" w:space="0" w:color="auto"/>
        <w:left w:val="none" w:sz="0" w:space="0" w:color="auto"/>
        <w:bottom w:val="none" w:sz="0" w:space="0" w:color="auto"/>
        <w:right w:val="none" w:sz="0" w:space="0" w:color="auto"/>
      </w:divBdr>
      <w:divsChild>
        <w:div w:id="1854152085">
          <w:marLeft w:val="0"/>
          <w:marRight w:val="0"/>
          <w:marTop w:val="0"/>
          <w:marBottom w:val="0"/>
          <w:divBdr>
            <w:top w:val="none" w:sz="0" w:space="0" w:color="auto"/>
            <w:left w:val="none" w:sz="0" w:space="0" w:color="auto"/>
            <w:bottom w:val="none" w:sz="0" w:space="0" w:color="auto"/>
            <w:right w:val="none" w:sz="0" w:space="0" w:color="auto"/>
          </w:divBdr>
          <w:divsChild>
            <w:div w:id="1888452186">
              <w:marLeft w:val="0"/>
              <w:marRight w:val="0"/>
              <w:marTop w:val="0"/>
              <w:marBottom w:val="0"/>
              <w:divBdr>
                <w:top w:val="none" w:sz="0" w:space="0" w:color="auto"/>
                <w:left w:val="none" w:sz="0" w:space="0" w:color="auto"/>
                <w:bottom w:val="none" w:sz="0" w:space="0" w:color="auto"/>
                <w:right w:val="none" w:sz="0" w:space="0" w:color="auto"/>
              </w:divBdr>
              <w:divsChild>
                <w:div w:id="4155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8843">
      <w:bodyDiv w:val="1"/>
      <w:marLeft w:val="0"/>
      <w:marRight w:val="0"/>
      <w:marTop w:val="0"/>
      <w:marBottom w:val="0"/>
      <w:divBdr>
        <w:top w:val="none" w:sz="0" w:space="0" w:color="auto"/>
        <w:left w:val="none" w:sz="0" w:space="0" w:color="auto"/>
        <w:bottom w:val="none" w:sz="0" w:space="0" w:color="auto"/>
        <w:right w:val="none" w:sz="0" w:space="0" w:color="auto"/>
      </w:divBdr>
    </w:div>
    <w:div w:id="1773746003">
      <w:bodyDiv w:val="1"/>
      <w:marLeft w:val="0"/>
      <w:marRight w:val="0"/>
      <w:marTop w:val="0"/>
      <w:marBottom w:val="0"/>
      <w:divBdr>
        <w:top w:val="none" w:sz="0" w:space="0" w:color="auto"/>
        <w:left w:val="none" w:sz="0" w:space="0" w:color="auto"/>
        <w:bottom w:val="none" w:sz="0" w:space="0" w:color="auto"/>
        <w:right w:val="none" w:sz="0" w:space="0" w:color="auto"/>
      </w:divBdr>
      <w:divsChild>
        <w:div w:id="1515531226">
          <w:marLeft w:val="0"/>
          <w:marRight w:val="0"/>
          <w:marTop w:val="0"/>
          <w:marBottom w:val="0"/>
          <w:divBdr>
            <w:top w:val="none" w:sz="0" w:space="0" w:color="auto"/>
            <w:left w:val="none" w:sz="0" w:space="0" w:color="auto"/>
            <w:bottom w:val="none" w:sz="0" w:space="0" w:color="auto"/>
            <w:right w:val="none" w:sz="0" w:space="0" w:color="auto"/>
          </w:divBdr>
          <w:divsChild>
            <w:div w:id="410346328">
              <w:marLeft w:val="0"/>
              <w:marRight w:val="0"/>
              <w:marTop w:val="0"/>
              <w:marBottom w:val="0"/>
              <w:divBdr>
                <w:top w:val="none" w:sz="0" w:space="0" w:color="auto"/>
                <w:left w:val="none" w:sz="0" w:space="0" w:color="auto"/>
                <w:bottom w:val="none" w:sz="0" w:space="0" w:color="auto"/>
                <w:right w:val="none" w:sz="0" w:space="0" w:color="auto"/>
              </w:divBdr>
              <w:divsChild>
                <w:div w:id="17928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2996">
      <w:bodyDiv w:val="1"/>
      <w:marLeft w:val="0"/>
      <w:marRight w:val="0"/>
      <w:marTop w:val="0"/>
      <w:marBottom w:val="0"/>
      <w:divBdr>
        <w:top w:val="none" w:sz="0" w:space="0" w:color="auto"/>
        <w:left w:val="none" w:sz="0" w:space="0" w:color="auto"/>
        <w:bottom w:val="none" w:sz="0" w:space="0" w:color="auto"/>
        <w:right w:val="none" w:sz="0" w:space="0" w:color="auto"/>
      </w:divBdr>
      <w:divsChild>
        <w:div w:id="427310360">
          <w:marLeft w:val="0"/>
          <w:marRight w:val="0"/>
          <w:marTop w:val="0"/>
          <w:marBottom w:val="0"/>
          <w:divBdr>
            <w:top w:val="none" w:sz="0" w:space="0" w:color="auto"/>
            <w:left w:val="none" w:sz="0" w:space="0" w:color="auto"/>
            <w:bottom w:val="none" w:sz="0" w:space="0" w:color="auto"/>
            <w:right w:val="none" w:sz="0" w:space="0" w:color="auto"/>
          </w:divBdr>
          <w:divsChild>
            <w:div w:id="104153080">
              <w:marLeft w:val="0"/>
              <w:marRight w:val="0"/>
              <w:marTop w:val="0"/>
              <w:marBottom w:val="0"/>
              <w:divBdr>
                <w:top w:val="none" w:sz="0" w:space="0" w:color="auto"/>
                <w:left w:val="none" w:sz="0" w:space="0" w:color="auto"/>
                <w:bottom w:val="none" w:sz="0" w:space="0" w:color="auto"/>
                <w:right w:val="none" w:sz="0" w:space="0" w:color="auto"/>
              </w:divBdr>
              <w:divsChild>
                <w:div w:id="10168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9309">
      <w:bodyDiv w:val="1"/>
      <w:marLeft w:val="0"/>
      <w:marRight w:val="0"/>
      <w:marTop w:val="0"/>
      <w:marBottom w:val="0"/>
      <w:divBdr>
        <w:top w:val="none" w:sz="0" w:space="0" w:color="auto"/>
        <w:left w:val="none" w:sz="0" w:space="0" w:color="auto"/>
        <w:bottom w:val="none" w:sz="0" w:space="0" w:color="auto"/>
        <w:right w:val="none" w:sz="0" w:space="0" w:color="auto"/>
      </w:divBdr>
      <w:divsChild>
        <w:div w:id="2034720928">
          <w:marLeft w:val="0"/>
          <w:marRight w:val="0"/>
          <w:marTop w:val="0"/>
          <w:marBottom w:val="0"/>
          <w:divBdr>
            <w:top w:val="none" w:sz="0" w:space="0" w:color="auto"/>
            <w:left w:val="none" w:sz="0" w:space="0" w:color="auto"/>
            <w:bottom w:val="none" w:sz="0" w:space="0" w:color="auto"/>
            <w:right w:val="none" w:sz="0" w:space="0" w:color="auto"/>
          </w:divBdr>
          <w:divsChild>
            <w:div w:id="735129880">
              <w:marLeft w:val="0"/>
              <w:marRight w:val="0"/>
              <w:marTop w:val="0"/>
              <w:marBottom w:val="0"/>
              <w:divBdr>
                <w:top w:val="none" w:sz="0" w:space="0" w:color="auto"/>
                <w:left w:val="none" w:sz="0" w:space="0" w:color="auto"/>
                <w:bottom w:val="none" w:sz="0" w:space="0" w:color="auto"/>
                <w:right w:val="none" w:sz="0" w:space="0" w:color="auto"/>
              </w:divBdr>
              <w:divsChild>
                <w:div w:id="1335378763">
                  <w:marLeft w:val="0"/>
                  <w:marRight w:val="0"/>
                  <w:marTop w:val="0"/>
                  <w:marBottom w:val="0"/>
                  <w:divBdr>
                    <w:top w:val="none" w:sz="0" w:space="0" w:color="auto"/>
                    <w:left w:val="none" w:sz="0" w:space="0" w:color="auto"/>
                    <w:bottom w:val="none" w:sz="0" w:space="0" w:color="auto"/>
                    <w:right w:val="none" w:sz="0" w:space="0" w:color="auto"/>
                  </w:divBdr>
                  <w:divsChild>
                    <w:div w:id="9197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4083">
      <w:bodyDiv w:val="1"/>
      <w:marLeft w:val="0"/>
      <w:marRight w:val="0"/>
      <w:marTop w:val="0"/>
      <w:marBottom w:val="0"/>
      <w:divBdr>
        <w:top w:val="none" w:sz="0" w:space="0" w:color="auto"/>
        <w:left w:val="none" w:sz="0" w:space="0" w:color="auto"/>
        <w:bottom w:val="none" w:sz="0" w:space="0" w:color="auto"/>
        <w:right w:val="none" w:sz="0" w:space="0" w:color="auto"/>
      </w:divBdr>
      <w:divsChild>
        <w:div w:id="682316779">
          <w:marLeft w:val="0"/>
          <w:marRight w:val="0"/>
          <w:marTop w:val="0"/>
          <w:marBottom w:val="0"/>
          <w:divBdr>
            <w:top w:val="none" w:sz="0" w:space="0" w:color="auto"/>
            <w:left w:val="none" w:sz="0" w:space="0" w:color="auto"/>
            <w:bottom w:val="none" w:sz="0" w:space="0" w:color="auto"/>
            <w:right w:val="none" w:sz="0" w:space="0" w:color="auto"/>
          </w:divBdr>
          <w:divsChild>
            <w:div w:id="1724786458">
              <w:marLeft w:val="0"/>
              <w:marRight w:val="0"/>
              <w:marTop w:val="0"/>
              <w:marBottom w:val="0"/>
              <w:divBdr>
                <w:top w:val="none" w:sz="0" w:space="0" w:color="auto"/>
                <w:left w:val="none" w:sz="0" w:space="0" w:color="auto"/>
                <w:bottom w:val="none" w:sz="0" w:space="0" w:color="auto"/>
                <w:right w:val="none" w:sz="0" w:space="0" w:color="auto"/>
              </w:divBdr>
              <w:divsChild>
                <w:div w:id="19966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8407">
      <w:bodyDiv w:val="1"/>
      <w:marLeft w:val="0"/>
      <w:marRight w:val="0"/>
      <w:marTop w:val="0"/>
      <w:marBottom w:val="0"/>
      <w:divBdr>
        <w:top w:val="none" w:sz="0" w:space="0" w:color="auto"/>
        <w:left w:val="none" w:sz="0" w:space="0" w:color="auto"/>
        <w:bottom w:val="none" w:sz="0" w:space="0" w:color="auto"/>
        <w:right w:val="none" w:sz="0" w:space="0" w:color="auto"/>
      </w:divBdr>
    </w:div>
    <w:div w:id="1884361389">
      <w:bodyDiv w:val="1"/>
      <w:marLeft w:val="0"/>
      <w:marRight w:val="0"/>
      <w:marTop w:val="0"/>
      <w:marBottom w:val="0"/>
      <w:divBdr>
        <w:top w:val="none" w:sz="0" w:space="0" w:color="auto"/>
        <w:left w:val="none" w:sz="0" w:space="0" w:color="auto"/>
        <w:bottom w:val="none" w:sz="0" w:space="0" w:color="auto"/>
        <w:right w:val="none" w:sz="0" w:space="0" w:color="auto"/>
      </w:divBdr>
    </w:div>
    <w:div w:id="1900479296">
      <w:bodyDiv w:val="1"/>
      <w:marLeft w:val="0"/>
      <w:marRight w:val="0"/>
      <w:marTop w:val="0"/>
      <w:marBottom w:val="0"/>
      <w:divBdr>
        <w:top w:val="none" w:sz="0" w:space="0" w:color="auto"/>
        <w:left w:val="none" w:sz="0" w:space="0" w:color="auto"/>
        <w:bottom w:val="none" w:sz="0" w:space="0" w:color="auto"/>
        <w:right w:val="none" w:sz="0" w:space="0" w:color="auto"/>
      </w:divBdr>
      <w:divsChild>
        <w:div w:id="508376951">
          <w:marLeft w:val="0"/>
          <w:marRight w:val="0"/>
          <w:marTop w:val="0"/>
          <w:marBottom w:val="0"/>
          <w:divBdr>
            <w:top w:val="none" w:sz="0" w:space="0" w:color="auto"/>
            <w:left w:val="none" w:sz="0" w:space="0" w:color="auto"/>
            <w:bottom w:val="none" w:sz="0" w:space="0" w:color="auto"/>
            <w:right w:val="none" w:sz="0" w:space="0" w:color="auto"/>
          </w:divBdr>
          <w:divsChild>
            <w:div w:id="2023193309">
              <w:marLeft w:val="0"/>
              <w:marRight w:val="0"/>
              <w:marTop w:val="0"/>
              <w:marBottom w:val="0"/>
              <w:divBdr>
                <w:top w:val="none" w:sz="0" w:space="0" w:color="auto"/>
                <w:left w:val="none" w:sz="0" w:space="0" w:color="auto"/>
                <w:bottom w:val="none" w:sz="0" w:space="0" w:color="auto"/>
                <w:right w:val="none" w:sz="0" w:space="0" w:color="auto"/>
              </w:divBdr>
              <w:divsChild>
                <w:div w:id="15115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235">
      <w:bodyDiv w:val="1"/>
      <w:marLeft w:val="0"/>
      <w:marRight w:val="0"/>
      <w:marTop w:val="0"/>
      <w:marBottom w:val="0"/>
      <w:divBdr>
        <w:top w:val="none" w:sz="0" w:space="0" w:color="auto"/>
        <w:left w:val="none" w:sz="0" w:space="0" w:color="auto"/>
        <w:bottom w:val="none" w:sz="0" w:space="0" w:color="auto"/>
        <w:right w:val="none" w:sz="0" w:space="0" w:color="auto"/>
      </w:divBdr>
    </w:div>
    <w:div w:id="1959990807">
      <w:bodyDiv w:val="1"/>
      <w:marLeft w:val="0"/>
      <w:marRight w:val="0"/>
      <w:marTop w:val="0"/>
      <w:marBottom w:val="0"/>
      <w:divBdr>
        <w:top w:val="none" w:sz="0" w:space="0" w:color="auto"/>
        <w:left w:val="none" w:sz="0" w:space="0" w:color="auto"/>
        <w:bottom w:val="none" w:sz="0" w:space="0" w:color="auto"/>
        <w:right w:val="none" w:sz="0" w:space="0" w:color="auto"/>
      </w:divBdr>
      <w:divsChild>
        <w:div w:id="391654800">
          <w:marLeft w:val="0"/>
          <w:marRight w:val="0"/>
          <w:marTop w:val="0"/>
          <w:marBottom w:val="0"/>
          <w:divBdr>
            <w:top w:val="none" w:sz="0" w:space="0" w:color="auto"/>
            <w:left w:val="none" w:sz="0" w:space="0" w:color="auto"/>
            <w:bottom w:val="none" w:sz="0" w:space="0" w:color="auto"/>
            <w:right w:val="none" w:sz="0" w:space="0" w:color="auto"/>
          </w:divBdr>
          <w:divsChild>
            <w:div w:id="1907566969">
              <w:marLeft w:val="0"/>
              <w:marRight w:val="0"/>
              <w:marTop w:val="0"/>
              <w:marBottom w:val="0"/>
              <w:divBdr>
                <w:top w:val="none" w:sz="0" w:space="0" w:color="auto"/>
                <w:left w:val="none" w:sz="0" w:space="0" w:color="auto"/>
                <w:bottom w:val="none" w:sz="0" w:space="0" w:color="auto"/>
                <w:right w:val="none" w:sz="0" w:space="0" w:color="auto"/>
              </w:divBdr>
              <w:divsChild>
                <w:div w:id="17000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101">
      <w:bodyDiv w:val="1"/>
      <w:marLeft w:val="0"/>
      <w:marRight w:val="0"/>
      <w:marTop w:val="0"/>
      <w:marBottom w:val="0"/>
      <w:divBdr>
        <w:top w:val="none" w:sz="0" w:space="0" w:color="auto"/>
        <w:left w:val="none" w:sz="0" w:space="0" w:color="auto"/>
        <w:bottom w:val="none" w:sz="0" w:space="0" w:color="auto"/>
        <w:right w:val="none" w:sz="0" w:space="0" w:color="auto"/>
      </w:divBdr>
      <w:divsChild>
        <w:div w:id="1830513821">
          <w:marLeft w:val="0"/>
          <w:marRight w:val="0"/>
          <w:marTop w:val="0"/>
          <w:marBottom w:val="0"/>
          <w:divBdr>
            <w:top w:val="none" w:sz="0" w:space="0" w:color="auto"/>
            <w:left w:val="none" w:sz="0" w:space="0" w:color="auto"/>
            <w:bottom w:val="none" w:sz="0" w:space="0" w:color="auto"/>
            <w:right w:val="none" w:sz="0" w:space="0" w:color="auto"/>
          </w:divBdr>
          <w:divsChild>
            <w:div w:id="13849662">
              <w:marLeft w:val="0"/>
              <w:marRight w:val="0"/>
              <w:marTop w:val="0"/>
              <w:marBottom w:val="0"/>
              <w:divBdr>
                <w:top w:val="none" w:sz="0" w:space="0" w:color="auto"/>
                <w:left w:val="none" w:sz="0" w:space="0" w:color="auto"/>
                <w:bottom w:val="none" w:sz="0" w:space="0" w:color="auto"/>
                <w:right w:val="none" w:sz="0" w:space="0" w:color="auto"/>
              </w:divBdr>
              <w:divsChild>
                <w:div w:id="19272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78537">
      <w:bodyDiv w:val="1"/>
      <w:marLeft w:val="0"/>
      <w:marRight w:val="0"/>
      <w:marTop w:val="0"/>
      <w:marBottom w:val="0"/>
      <w:divBdr>
        <w:top w:val="none" w:sz="0" w:space="0" w:color="auto"/>
        <w:left w:val="none" w:sz="0" w:space="0" w:color="auto"/>
        <w:bottom w:val="none" w:sz="0" w:space="0" w:color="auto"/>
        <w:right w:val="none" w:sz="0" w:space="0" w:color="auto"/>
      </w:divBdr>
      <w:divsChild>
        <w:div w:id="691414402">
          <w:marLeft w:val="0"/>
          <w:marRight w:val="0"/>
          <w:marTop w:val="0"/>
          <w:marBottom w:val="0"/>
          <w:divBdr>
            <w:top w:val="none" w:sz="0" w:space="0" w:color="auto"/>
            <w:left w:val="none" w:sz="0" w:space="0" w:color="auto"/>
            <w:bottom w:val="none" w:sz="0" w:space="0" w:color="auto"/>
            <w:right w:val="none" w:sz="0" w:space="0" w:color="auto"/>
          </w:divBdr>
        </w:div>
      </w:divsChild>
    </w:div>
    <w:div w:id="1975065838">
      <w:bodyDiv w:val="1"/>
      <w:marLeft w:val="0"/>
      <w:marRight w:val="0"/>
      <w:marTop w:val="0"/>
      <w:marBottom w:val="0"/>
      <w:divBdr>
        <w:top w:val="none" w:sz="0" w:space="0" w:color="auto"/>
        <w:left w:val="none" w:sz="0" w:space="0" w:color="auto"/>
        <w:bottom w:val="none" w:sz="0" w:space="0" w:color="auto"/>
        <w:right w:val="none" w:sz="0" w:space="0" w:color="auto"/>
      </w:divBdr>
      <w:divsChild>
        <w:div w:id="1355958320">
          <w:marLeft w:val="0"/>
          <w:marRight w:val="0"/>
          <w:marTop w:val="0"/>
          <w:marBottom w:val="0"/>
          <w:divBdr>
            <w:top w:val="none" w:sz="0" w:space="0" w:color="auto"/>
            <w:left w:val="none" w:sz="0" w:space="0" w:color="auto"/>
            <w:bottom w:val="none" w:sz="0" w:space="0" w:color="auto"/>
            <w:right w:val="none" w:sz="0" w:space="0" w:color="auto"/>
          </w:divBdr>
          <w:divsChild>
            <w:div w:id="190456533">
              <w:marLeft w:val="0"/>
              <w:marRight w:val="0"/>
              <w:marTop w:val="0"/>
              <w:marBottom w:val="0"/>
              <w:divBdr>
                <w:top w:val="none" w:sz="0" w:space="0" w:color="auto"/>
                <w:left w:val="none" w:sz="0" w:space="0" w:color="auto"/>
                <w:bottom w:val="none" w:sz="0" w:space="0" w:color="auto"/>
                <w:right w:val="none" w:sz="0" w:space="0" w:color="auto"/>
              </w:divBdr>
              <w:divsChild>
                <w:div w:id="10762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4893">
      <w:bodyDiv w:val="1"/>
      <w:marLeft w:val="0"/>
      <w:marRight w:val="0"/>
      <w:marTop w:val="0"/>
      <w:marBottom w:val="0"/>
      <w:divBdr>
        <w:top w:val="none" w:sz="0" w:space="0" w:color="auto"/>
        <w:left w:val="none" w:sz="0" w:space="0" w:color="auto"/>
        <w:bottom w:val="none" w:sz="0" w:space="0" w:color="auto"/>
        <w:right w:val="none" w:sz="0" w:space="0" w:color="auto"/>
      </w:divBdr>
      <w:divsChild>
        <w:div w:id="215700118">
          <w:marLeft w:val="0"/>
          <w:marRight w:val="0"/>
          <w:marTop w:val="0"/>
          <w:marBottom w:val="0"/>
          <w:divBdr>
            <w:top w:val="none" w:sz="0" w:space="0" w:color="auto"/>
            <w:left w:val="none" w:sz="0" w:space="0" w:color="auto"/>
            <w:bottom w:val="none" w:sz="0" w:space="0" w:color="auto"/>
            <w:right w:val="none" w:sz="0" w:space="0" w:color="auto"/>
          </w:divBdr>
          <w:divsChild>
            <w:div w:id="72548783">
              <w:marLeft w:val="0"/>
              <w:marRight w:val="0"/>
              <w:marTop w:val="0"/>
              <w:marBottom w:val="0"/>
              <w:divBdr>
                <w:top w:val="none" w:sz="0" w:space="0" w:color="auto"/>
                <w:left w:val="none" w:sz="0" w:space="0" w:color="auto"/>
                <w:bottom w:val="none" w:sz="0" w:space="0" w:color="auto"/>
                <w:right w:val="none" w:sz="0" w:space="0" w:color="auto"/>
              </w:divBdr>
              <w:divsChild>
                <w:div w:id="16544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299">
      <w:bodyDiv w:val="1"/>
      <w:marLeft w:val="0"/>
      <w:marRight w:val="0"/>
      <w:marTop w:val="0"/>
      <w:marBottom w:val="0"/>
      <w:divBdr>
        <w:top w:val="none" w:sz="0" w:space="0" w:color="auto"/>
        <w:left w:val="none" w:sz="0" w:space="0" w:color="auto"/>
        <w:bottom w:val="none" w:sz="0" w:space="0" w:color="auto"/>
        <w:right w:val="none" w:sz="0" w:space="0" w:color="auto"/>
      </w:divBdr>
      <w:divsChild>
        <w:div w:id="1798913085">
          <w:marLeft w:val="0"/>
          <w:marRight w:val="0"/>
          <w:marTop w:val="0"/>
          <w:marBottom w:val="0"/>
          <w:divBdr>
            <w:top w:val="none" w:sz="0" w:space="0" w:color="auto"/>
            <w:left w:val="none" w:sz="0" w:space="0" w:color="auto"/>
            <w:bottom w:val="none" w:sz="0" w:space="0" w:color="auto"/>
            <w:right w:val="none" w:sz="0" w:space="0" w:color="auto"/>
          </w:divBdr>
          <w:divsChild>
            <w:div w:id="908273129">
              <w:marLeft w:val="0"/>
              <w:marRight w:val="0"/>
              <w:marTop w:val="0"/>
              <w:marBottom w:val="0"/>
              <w:divBdr>
                <w:top w:val="none" w:sz="0" w:space="0" w:color="auto"/>
                <w:left w:val="none" w:sz="0" w:space="0" w:color="auto"/>
                <w:bottom w:val="none" w:sz="0" w:space="0" w:color="auto"/>
                <w:right w:val="none" w:sz="0" w:space="0" w:color="auto"/>
              </w:divBdr>
              <w:divsChild>
                <w:div w:id="17713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4006">
      <w:bodyDiv w:val="1"/>
      <w:marLeft w:val="0"/>
      <w:marRight w:val="0"/>
      <w:marTop w:val="0"/>
      <w:marBottom w:val="0"/>
      <w:divBdr>
        <w:top w:val="none" w:sz="0" w:space="0" w:color="auto"/>
        <w:left w:val="none" w:sz="0" w:space="0" w:color="auto"/>
        <w:bottom w:val="none" w:sz="0" w:space="0" w:color="auto"/>
        <w:right w:val="none" w:sz="0" w:space="0" w:color="auto"/>
      </w:divBdr>
      <w:divsChild>
        <w:div w:id="338779909">
          <w:marLeft w:val="0"/>
          <w:marRight w:val="0"/>
          <w:marTop w:val="0"/>
          <w:marBottom w:val="0"/>
          <w:divBdr>
            <w:top w:val="none" w:sz="0" w:space="0" w:color="auto"/>
            <w:left w:val="none" w:sz="0" w:space="0" w:color="auto"/>
            <w:bottom w:val="none" w:sz="0" w:space="0" w:color="auto"/>
            <w:right w:val="none" w:sz="0" w:space="0" w:color="auto"/>
          </w:divBdr>
          <w:divsChild>
            <w:div w:id="1360397753">
              <w:marLeft w:val="0"/>
              <w:marRight w:val="0"/>
              <w:marTop w:val="0"/>
              <w:marBottom w:val="0"/>
              <w:divBdr>
                <w:top w:val="none" w:sz="0" w:space="0" w:color="auto"/>
                <w:left w:val="none" w:sz="0" w:space="0" w:color="auto"/>
                <w:bottom w:val="none" w:sz="0" w:space="0" w:color="auto"/>
                <w:right w:val="none" w:sz="0" w:space="0" w:color="auto"/>
              </w:divBdr>
              <w:divsChild>
                <w:div w:id="13805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4044">
      <w:bodyDiv w:val="1"/>
      <w:marLeft w:val="0"/>
      <w:marRight w:val="0"/>
      <w:marTop w:val="0"/>
      <w:marBottom w:val="0"/>
      <w:divBdr>
        <w:top w:val="none" w:sz="0" w:space="0" w:color="auto"/>
        <w:left w:val="none" w:sz="0" w:space="0" w:color="auto"/>
        <w:bottom w:val="none" w:sz="0" w:space="0" w:color="auto"/>
        <w:right w:val="none" w:sz="0" w:space="0" w:color="auto"/>
      </w:divBdr>
      <w:divsChild>
        <w:div w:id="1575436322">
          <w:marLeft w:val="0"/>
          <w:marRight w:val="0"/>
          <w:marTop w:val="0"/>
          <w:marBottom w:val="0"/>
          <w:divBdr>
            <w:top w:val="none" w:sz="0" w:space="0" w:color="auto"/>
            <w:left w:val="none" w:sz="0" w:space="0" w:color="auto"/>
            <w:bottom w:val="none" w:sz="0" w:space="0" w:color="auto"/>
            <w:right w:val="none" w:sz="0" w:space="0" w:color="auto"/>
          </w:divBdr>
          <w:divsChild>
            <w:div w:id="1541236379">
              <w:marLeft w:val="0"/>
              <w:marRight w:val="0"/>
              <w:marTop w:val="0"/>
              <w:marBottom w:val="0"/>
              <w:divBdr>
                <w:top w:val="none" w:sz="0" w:space="0" w:color="auto"/>
                <w:left w:val="none" w:sz="0" w:space="0" w:color="auto"/>
                <w:bottom w:val="none" w:sz="0" w:space="0" w:color="auto"/>
                <w:right w:val="none" w:sz="0" w:space="0" w:color="auto"/>
              </w:divBdr>
              <w:divsChild>
                <w:div w:id="16931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9739">
      <w:bodyDiv w:val="1"/>
      <w:marLeft w:val="0"/>
      <w:marRight w:val="0"/>
      <w:marTop w:val="0"/>
      <w:marBottom w:val="0"/>
      <w:divBdr>
        <w:top w:val="none" w:sz="0" w:space="0" w:color="auto"/>
        <w:left w:val="none" w:sz="0" w:space="0" w:color="auto"/>
        <w:bottom w:val="none" w:sz="0" w:space="0" w:color="auto"/>
        <w:right w:val="none" w:sz="0" w:space="0" w:color="auto"/>
      </w:divBdr>
      <w:divsChild>
        <w:div w:id="578714736">
          <w:marLeft w:val="0"/>
          <w:marRight w:val="0"/>
          <w:marTop w:val="0"/>
          <w:marBottom w:val="0"/>
          <w:divBdr>
            <w:top w:val="none" w:sz="0" w:space="0" w:color="auto"/>
            <w:left w:val="none" w:sz="0" w:space="0" w:color="auto"/>
            <w:bottom w:val="none" w:sz="0" w:space="0" w:color="auto"/>
            <w:right w:val="none" w:sz="0" w:space="0" w:color="auto"/>
          </w:divBdr>
          <w:divsChild>
            <w:div w:id="275527578">
              <w:marLeft w:val="0"/>
              <w:marRight w:val="0"/>
              <w:marTop w:val="0"/>
              <w:marBottom w:val="0"/>
              <w:divBdr>
                <w:top w:val="none" w:sz="0" w:space="0" w:color="auto"/>
                <w:left w:val="none" w:sz="0" w:space="0" w:color="auto"/>
                <w:bottom w:val="none" w:sz="0" w:space="0" w:color="auto"/>
                <w:right w:val="none" w:sz="0" w:space="0" w:color="auto"/>
              </w:divBdr>
              <w:divsChild>
                <w:div w:id="19231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2462">
      <w:bodyDiv w:val="1"/>
      <w:marLeft w:val="0"/>
      <w:marRight w:val="0"/>
      <w:marTop w:val="0"/>
      <w:marBottom w:val="0"/>
      <w:divBdr>
        <w:top w:val="none" w:sz="0" w:space="0" w:color="auto"/>
        <w:left w:val="none" w:sz="0" w:space="0" w:color="auto"/>
        <w:bottom w:val="none" w:sz="0" w:space="0" w:color="auto"/>
        <w:right w:val="none" w:sz="0" w:space="0" w:color="auto"/>
      </w:divBdr>
      <w:divsChild>
        <w:div w:id="173228844">
          <w:marLeft w:val="0"/>
          <w:marRight w:val="0"/>
          <w:marTop w:val="0"/>
          <w:marBottom w:val="0"/>
          <w:divBdr>
            <w:top w:val="none" w:sz="0" w:space="0" w:color="auto"/>
            <w:left w:val="none" w:sz="0" w:space="0" w:color="auto"/>
            <w:bottom w:val="none" w:sz="0" w:space="0" w:color="auto"/>
            <w:right w:val="none" w:sz="0" w:space="0" w:color="auto"/>
          </w:divBdr>
          <w:divsChild>
            <w:div w:id="1031688074">
              <w:marLeft w:val="0"/>
              <w:marRight w:val="0"/>
              <w:marTop w:val="0"/>
              <w:marBottom w:val="0"/>
              <w:divBdr>
                <w:top w:val="none" w:sz="0" w:space="0" w:color="auto"/>
                <w:left w:val="none" w:sz="0" w:space="0" w:color="auto"/>
                <w:bottom w:val="none" w:sz="0" w:space="0" w:color="auto"/>
                <w:right w:val="none" w:sz="0" w:space="0" w:color="auto"/>
              </w:divBdr>
              <w:divsChild>
                <w:div w:id="18123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09118">
      <w:bodyDiv w:val="1"/>
      <w:marLeft w:val="0"/>
      <w:marRight w:val="0"/>
      <w:marTop w:val="0"/>
      <w:marBottom w:val="0"/>
      <w:divBdr>
        <w:top w:val="none" w:sz="0" w:space="0" w:color="auto"/>
        <w:left w:val="none" w:sz="0" w:space="0" w:color="auto"/>
        <w:bottom w:val="none" w:sz="0" w:space="0" w:color="auto"/>
        <w:right w:val="none" w:sz="0" w:space="0" w:color="auto"/>
      </w:divBdr>
      <w:divsChild>
        <w:div w:id="1171020473">
          <w:marLeft w:val="0"/>
          <w:marRight w:val="0"/>
          <w:marTop w:val="0"/>
          <w:marBottom w:val="0"/>
          <w:divBdr>
            <w:top w:val="none" w:sz="0" w:space="0" w:color="auto"/>
            <w:left w:val="none" w:sz="0" w:space="0" w:color="auto"/>
            <w:bottom w:val="none" w:sz="0" w:space="0" w:color="auto"/>
            <w:right w:val="none" w:sz="0" w:space="0" w:color="auto"/>
          </w:divBdr>
          <w:divsChild>
            <w:div w:id="695154987">
              <w:marLeft w:val="0"/>
              <w:marRight w:val="0"/>
              <w:marTop w:val="0"/>
              <w:marBottom w:val="0"/>
              <w:divBdr>
                <w:top w:val="none" w:sz="0" w:space="0" w:color="auto"/>
                <w:left w:val="none" w:sz="0" w:space="0" w:color="auto"/>
                <w:bottom w:val="none" w:sz="0" w:space="0" w:color="auto"/>
                <w:right w:val="none" w:sz="0" w:space="0" w:color="auto"/>
              </w:divBdr>
              <w:divsChild>
                <w:div w:id="2183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2861">
      <w:bodyDiv w:val="1"/>
      <w:marLeft w:val="0"/>
      <w:marRight w:val="0"/>
      <w:marTop w:val="0"/>
      <w:marBottom w:val="0"/>
      <w:divBdr>
        <w:top w:val="none" w:sz="0" w:space="0" w:color="auto"/>
        <w:left w:val="none" w:sz="0" w:space="0" w:color="auto"/>
        <w:bottom w:val="none" w:sz="0" w:space="0" w:color="auto"/>
        <w:right w:val="none" w:sz="0" w:space="0" w:color="auto"/>
      </w:divBdr>
      <w:divsChild>
        <w:div w:id="1081952107">
          <w:marLeft w:val="0"/>
          <w:marRight w:val="0"/>
          <w:marTop w:val="0"/>
          <w:marBottom w:val="0"/>
          <w:divBdr>
            <w:top w:val="none" w:sz="0" w:space="0" w:color="auto"/>
            <w:left w:val="none" w:sz="0" w:space="0" w:color="auto"/>
            <w:bottom w:val="none" w:sz="0" w:space="0" w:color="auto"/>
            <w:right w:val="none" w:sz="0" w:space="0" w:color="auto"/>
          </w:divBdr>
          <w:divsChild>
            <w:div w:id="2001153996">
              <w:marLeft w:val="0"/>
              <w:marRight w:val="0"/>
              <w:marTop w:val="0"/>
              <w:marBottom w:val="0"/>
              <w:divBdr>
                <w:top w:val="none" w:sz="0" w:space="0" w:color="auto"/>
                <w:left w:val="none" w:sz="0" w:space="0" w:color="auto"/>
                <w:bottom w:val="none" w:sz="0" w:space="0" w:color="auto"/>
                <w:right w:val="none" w:sz="0" w:space="0" w:color="auto"/>
              </w:divBdr>
              <w:divsChild>
                <w:div w:id="18289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mbridge.org/core/journals/american-journal-of-international-law/article/investor-responsibilities-from-a-host-state-perspective-qualitative-data-and-proposals-for-treaty-reform/5CF0CC99B0F64512A0CB899DBD6463F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OneDrive\WORK\Hart\HA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690F-3FE5-4AA5-9075-E09A5233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C:\Users\vicki\OneDrive\WORK\Hart\HART TEMPLATE.DOT</Template>
  <TotalTime>11</TotalTime>
  <Pages>31</Pages>
  <Words>9237</Words>
  <Characters>52656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Sattorova, Mavluda</dc:creator>
  <cp:keywords/>
  <dc:description/>
  <cp:lastModifiedBy>Macbook</cp:lastModifiedBy>
  <cp:revision>4</cp:revision>
  <dcterms:created xsi:type="dcterms:W3CDTF">2021-02-12T09:32:00Z</dcterms:created>
  <dcterms:modified xsi:type="dcterms:W3CDTF">2021-02-12T09:41:00Z</dcterms:modified>
</cp:coreProperties>
</file>