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A51" w:rsidRPr="0012340B" w:rsidRDefault="0012340B" w:rsidP="0068701D">
      <w:pPr>
        <w:adjustRightInd w:val="0"/>
        <w:snapToGrid w:val="0"/>
        <w:spacing w:after="240" w:line="240" w:lineRule="auto"/>
        <w:rPr>
          <w:rFonts w:ascii="Palatino Linotype" w:eastAsia="Times New Roman" w:hAnsi="Palatino Linotype" w:cs="Times New Roman"/>
          <w:b/>
          <w:snapToGrid w:val="0"/>
          <w:color w:val="000000"/>
          <w:sz w:val="36"/>
          <w:szCs w:val="20"/>
          <w:lang w:val="en-US" w:eastAsia="de-DE" w:bidi="en-US"/>
        </w:rPr>
      </w:pPr>
      <w:r w:rsidRPr="0012340B">
        <w:rPr>
          <w:rFonts w:ascii="Palatino Linotype" w:eastAsia="Times New Roman" w:hAnsi="Palatino Linotype" w:cs="Times New Roman"/>
          <w:b/>
          <w:snapToGrid w:val="0"/>
          <w:color w:val="000000"/>
          <w:sz w:val="36"/>
          <w:szCs w:val="20"/>
          <w:lang w:val="en-US" w:eastAsia="de-DE" w:bidi="en-US"/>
        </w:rPr>
        <w:t xml:space="preserve">Generation of Liposomes to Study the Effect of </w:t>
      </w:r>
      <w:r w:rsidRPr="0012340B">
        <w:rPr>
          <w:rFonts w:ascii="Palatino Linotype" w:eastAsia="Times New Roman" w:hAnsi="Palatino Linotype" w:cs="Times New Roman"/>
          <w:b/>
          <w:i/>
          <w:iCs/>
          <w:snapToGrid w:val="0"/>
          <w:color w:val="000000"/>
          <w:sz w:val="36"/>
          <w:szCs w:val="20"/>
          <w:lang w:val="en-US" w:eastAsia="de-DE" w:bidi="en-US"/>
        </w:rPr>
        <w:t>Mycobacterium Tuberculosis</w:t>
      </w:r>
      <w:r w:rsidRPr="0012340B">
        <w:rPr>
          <w:rFonts w:ascii="Palatino Linotype" w:eastAsia="Times New Roman" w:hAnsi="Palatino Linotype" w:cs="Times New Roman"/>
          <w:b/>
          <w:snapToGrid w:val="0"/>
          <w:color w:val="000000"/>
          <w:sz w:val="36"/>
          <w:szCs w:val="20"/>
          <w:lang w:val="en-US" w:eastAsia="de-DE" w:bidi="en-US"/>
        </w:rPr>
        <w:t xml:space="preserve"> Lipids on HIV-1 </w:t>
      </w:r>
      <w:r w:rsidRPr="0012340B">
        <w:rPr>
          <w:rFonts w:ascii="Palatino Linotype" w:eastAsia="Times New Roman" w:hAnsi="Palatino Linotype" w:cs="Times New Roman"/>
          <w:b/>
          <w:i/>
          <w:iCs/>
          <w:snapToGrid w:val="0"/>
          <w:color w:val="000000"/>
          <w:sz w:val="36"/>
          <w:szCs w:val="20"/>
          <w:lang w:val="en-US" w:eastAsia="de-DE" w:bidi="en-US"/>
        </w:rPr>
        <w:t>cis</w:t>
      </w:r>
      <w:r w:rsidRPr="0012340B">
        <w:rPr>
          <w:rFonts w:ascii="Palatino Linotype" w:eastAsia="Times New Roman" w:hAnsi="Palatino Linotype" w:cs="Times New Roman"/>
          <w:b/>
          <w:snapToGrid w:val="0"/>
          <w:color w:val="000000"/>
          <w:sz w:val="36"/>
          <w:szCs w:val="20"/>
          <w:lang w:val="en-US" w:eastAsia="de-DE" w:bidi="en-US"/>
        </w:rPr>
        <w:t xml:space="preserve">- and </w:t>
      </w:r>
      <w:r w:rsidRPr="0012340B">
        <w:rPr>
          <w:rFonts w:ascii="Palatino Linotype" w:eastAsia="Times New Roman" w:hAnsi="Palatino Linotype" w:cs="Times New Roman"/>
          <w:b/>
          <w:i/>
          <w:iCs/>
          <w:snapToGrid w:val="0"/>
          <w:color w:val="000000"/>
          <w:sz w:val="36"/>
          <w:szCs w:val="20"/>
          <w:lang w:val="en-US" w:eastAsia="de-DE" w:bidi="en-US"/>
        </w:rPr>
        <w:t>trans</w:t>
      </w:r>
      <w:r w:rsidRPr="0012340B">
        <w:rPr>
          <w:rFonts w:ascii="Palatino Linotype" w:eastAsia="Times New Roman" w:hAnsi="Palatino Linotype" w:cs="Times New Roman"/>
          <w:b/>
          <w:snapToGrid w:val="0"/>
          <w:color w:val="000000"/>
          <w:sz w:val="36"/>
          <w:szCs w:val="20"/>
          <w:lang w:val="en-US" w:eastAsia="de-DE" w:bidi="en-US"/>
        </w:rPr>
        <w:t>-Infections</w:t>
      </w:r>
    </w:p>
    <w:p w:rsidR="001336A8" w:rsidRDefault="001336A8" w:rsidP="00101A51">
      <w:pPr>
        <w:adjustRightInd w:val="0"/>
        <w:snapToGrid w:val="0"/>
        <w:spacing w:after="0" w:line="240" w:lineRule="auto"/>
        <w:rPr>
          <w:rFonts w:ascii="Palatino Linotype" w:eastAsia="Times New Roman" w:hAnsi="Palatino Linotype" w:cs="Times New Roman"/>
          <w:b/>
          <w:color w:val="000000"/>
          <w:sz w:val="18"/>
          <w:szCs w:val="18"/>
          <w:lang w:val="en-US" w:eastAsia="de-DE" w:bidi="en-US"/>
        </w:rPr>
      </w:pPr>
    </w:p>
    <w:p w:rsidR="00101A51" w:rsidRPr="00101A51" w:rsidRDefault="0012340B" w:rsidP="00101A51">
      <w:pPr>
        <w:adjustRightInd w:val="0"/>
        <w:snapToGrid w:val="0"/>
        <w:spacing w:after="0" w:line="240" w:lineRule="auto"/>
        <w:rPr>
          <w:rFonts w:ascii="Palatino Linotype" w:eastAsia="Times New Roman" w:hAnsi="Palatino Linotype" w:cs="Times New Roman"/>
          <w:b/>
          <w:color w:val="000000"/>
          <w:sz w:val="18"/>
          <w:szCs w:val="18"/>
          <w:lang w:val="en-US" w:eastAsia="de-DE" w:bidi="en-US"/>
        </w:rPr>
      </w:pPr>
      <w:r w:rsidRPr="00101A51">
        <w:rPr>
          <w:rFonts w:ascii="Palatino Linotype" w:eastAsia="Times New Roman" w:hAnsi="Palatino Linotype" w:cs="Times New Roman"/>
          <w:b/>
          <w:color w:val="000000"/>
          <w:sz w:val="18"/>
          <w:szCs w:val="18"/>
          <w:lang w:val="en-US" w:eastAsia="de-DE" w:bidi="en-US"/>
        </w:rPr>
        <w:t xml:space="preserve">Marion Pouget </w:t>
      </w:r>
      <w:r w:rsidRPr="00101A51">
        <w:rPr>
          <w:rFonts w:ascii="Palatino Linotype" w:eastAsia="Times New Roman" w:hAnsi="Palatino Linotype" w:cs="Times New Roman"/>
          <w:b/>
          <w:bCs/>
          <w:color w:val="000000"/>
          <w:sz w:val="18"/>
          <w:szCs w:val="18"/>
          <w:vertAlign w:val="superscript"/>
          <w:lang w:val="en-US" w:eastAsia="de-DE" w:bidi="en-US"/>
        </w:rPr>
        <w:t>1</w:t>
      </w:r>
      <w:r w:rsidRPr="00101A51">
        <w:rPr>
          <w:rFonts w:ascii="Palatino Linotype" w:eastAsia="Times New Roman" w:hAnsi="Palatino Linotype" w:cs="Times New Roman"/>
          <w:b/>
          <w:color w:val="000000"/>
          <w:sz w:val="18"/>
          <w:szCs w:val="18"/>
          <w:lang w:val="en-US" w:eastAsia="de-DE" w:bidi="en-US"/>
        </w:rPr>
        <w:t xml:space="preserve">, </w:t>
      </w:r>
      <w:r w:rsidRPr="00101A51">
        <w:rPr>
          <w:rFonts w:ascii="Palatino Linotype" w:eastAsia="Times New Roman" w:hAnsi="Palatino Linotype" w:cs="Times New Roman"/>
          <w:b/>
          <w:sz w:val="18"/>
          <w:szCs w:val="18"/>
          <w:lang w:val="en-US" w:eastAsia="de-DE" w:bidi="en-US"/>
        </w:rPr>
        <w:t xml:space="preserve">Anna K. Coussens </w:t>
      </w:r>
      <w:r w:rsidRPr="00101A51">
        <w:rPr>
          <w:rFonts w:ascii="Palatino Linotype" w:eastAsia="Times New Roman" w:hAnsi="Palatino Linotype" w:cs="Times New Roman"/>
          <w:b/>
          <w:sz w:val="18"/>
          <w:szCs w:val="18"/>
          <w:vertAlign w:val="superscript"/>
          <w:lang w:val="en-US" w:eastAsia="de-DE" w:bidi="en-US"/>
        </w:rPr>
        <w:t>2</w:t>
      </w:r>
      <w:r w:rsidRPr="00101A51">
        <w:rPr>
          <w:rFonts w:ascii="Palatino Linotype" w:eastAsia="Times New Roman" w:hAnsi="Palatino Linotype" w:cs="Times New Roman"/>
          <w:b/>
          <w:sz w:val="18"/>
          <w:szCs w:val="18"/>
          <w:lang w:val="en-US" w:eastAsia="de-DE" w:bidi="en-US"/>
        </w:rPr>
        <w:t xml:space="preserve">, </w:t>
      </w:r>
      <w:r w:rsidRPr="00101A51">
        <w:rPr>
          <w:rFonts w:ascii="Palatino Linotype" w:eastAsia="Times New Roman" w:hAnsi="Palatino Linotype" w:cs="Times New Roman"/>
          <w:b/>
          <w:color w:val="000000"/>
          <w:sz w:val="18"/>
          <w:szCs w:val="18"/>
          <w:lang w:val="en-US" w:eastAsia="de-DE" w:bidi="en-US"/>
        </w:rPr>
        <w:t xml:space="preserve">Alessandra Ruggiero </w:t>
      </w:r>
      <w:r w:rsidRPr="00101A51">
        <w:rPr>
          <w:rFonts w:ascii="Palatino Linotype" w:eastAsia="Times New Roman" w:hAnsi="Palatino Linotype" w:cs="Times New Roman"/>
          <w:b/>
          <w:bCs/>
          <w:color w:val="000000"/>
          <w:sz w:val="18"/>
          <w:szCs w:val="18"/>
          <w:vertAlign w:val="superscript"/>
          <w:lang w:val="en-US" w:eastAsia="de-DE" w:bidi="en-US"/>
        </w:rPr>
        <w:t>1</w:t>
      </w:r>
      <w:r w:rsidRPr="00101A51">
        <w:rPr>
          <w:rFonts w:ascii="Palatino Linotype" w:eastAsia="Times New Roman" w:hAnsi="Palatino Linotype" w:cs="Times New Roman"/>
          <w:b/>
          <w:color w:val="000000"/>
          <w:sz w:val="18"/>
          <w:szCs w:val="18"/>
          <w:lang w:val="en-US" w:eastAsia="de-DE" w:bidi="en-US"/>
        </w:rPr>
        <w:t xml:space="preserve">, Anastasia Koch </w:t>
      </w:r>
      <w:r w:rsidRPr="00101A51">
        <w:rPr>
          <w:rFonts w:ascii="Palatino Linotype" w:eastAsia="Times New Roman" w:hAnsi="Palatino Linotype" w:cs="Times New Roman"/>
          <w:b/>
          <w:bCs/>
          <w:color w:val="000000"/>
          <w:sz w:val="18"/>
          <w:szCs w:val="18"/>
          <w:vertAlign w:val="superscript"/>
          <w:lang w:val="en-US" w:eastAsia="de-DE" w:bidi="en-US"/>
        </w:rPr>
        <w:t>2</w:t>
      </w:r>
      <w:r w:rsidRPr="00101A51">
        <w:rPr>
          <w:rFonts w:ascii="Palatino Linotype" w:eastAsia="Times New Roman" w:hAnsi="Palatino Linotype" w:cs="Times New Roman"/>
          <w:b/>
          <w:color w:val="000000"/>
          <w:sz w:val="18"/>
          <w:szCs w:val="18"/>
          <w:lang w:val="en-US" w:eastAsia="de-DE" w:bidi="en-US"/>
        </w:rPr>
        <w:t xml:space="preserve">, Jordan Thomas </w:t>
      </w:r>
      <w:r w:rsidRPr="00101A51">
        <w:rPr>
          <w:rFonts w:ascii="Palatino Linotype" w:eastAsia="Times New Roman" w:hAnsi="Palatino Linotype" w:cs="Times New Roman"/>
          <w:b/>
          <w:bCs/>
          <w:color w:val="000000"/>
          <w:sz w:val="18"/>
          <w:szCs w:val="18"/>
          <w:vertAlign w:val="superscript"/>
          <w:lang w:val="en-US" w:eastAsia="de-DE" w:bidi="en-US"/>
        </w:rPr>
        <w:t>1</w:t>
      </w:r>
      <w:r w:rsidRPr="00101A51">
        <w:rPr>
          <w:rFonts w:ascii="Palatino Linotype" w:eastAsia="Times New Roman" w:hAnsi="Palatino Linotype" w:cs="Times New Roman"/>
          <w:b/>
          <w:color w:val="000000"/>
          <w:sz w:val="18"/>
          <w:szCs w:val="18"/>
          <w:lang w:val="en-US" w:eastAsia="de-DE" w:bidi="en-US"/>
        </w:rPr>
        <w:t xml:space="preserve">, </w:t>
      </w:r>
    </w:p>
    <w:p w:rsidR="0012340B" w:rsidRDefault="0012340B" w:rsidP="00101A51">
      <w:pPr>
        <w:adjustRightInd w:val="0"/>
        <w:snapToGrid w:val="0"/>
        <w:spacing w:after="0" w:line="240" w:lineRule="auto"/>
        <w:rPr>
          <w:rFonts w:ascii="Palatino Linotype" w:eastAsia="Times New Roman" w:hAnsi="Palatino Linotype" w:cs="Times New Roman"/>
          <w:b/>
          <w:color w:val="000000"/>
          <w:sz w:val="18"/>
          <w:szCs w:val="18"/>
          <w:lang w:val="en-US" w:eastAsia="de-DE" w:bidi="en-US"/>
        </w:rPr>
      </w:pPr>
      <w:proofErr w:type="spellStart"/>
      <w:r w:rsidRPr="00101A51">
        <w:rPr>
          <w:rFonts w:ascii="Palatino Linotype" w:eastAsia="Times New Roman" w:hAnsi="Palatino Linotype" w:cs="Times New Roman"/>
          <w:b/>
          <w:color w:val="000000"/>
          <w:sz w:val="18"/>
          <w:szCs w:val="18"/>
          <w:lang w:val="en-US" w:eastAsia="de-DE" w:bidi="en-US"/>
        </w:rPr>
        <w:t>Gurdyal</w:t>
      </w:r>
      <w:proofErr w:type="spellEnd"/>
      <w:r w:rsidRPr="00101A51">
        <w:rPr>
          <w:rFonts w:ascii="Palatino Linotype" w:eastAsia="Times New Roman" w:hAnsi="Palatino Linotype" w:cs="Times New Roman"/>
          <w:b/>
          <w:color w:val="000000"/>
          <w:sz w:val="18"/>
          <w:szCs w:val="18"/>
          <w:lang w:val="en-US" w:eastAsia="de-DE" w:bidi="en-US"/>
        </w:rPr>
        <w:t xml:space="preserve"> S. </w:t>
      </w:r>
      <w:proofErr w:type="spellStart"/>
      <w:r w:rsidRPr="00101A51">
        <w:rPr>
          <w:rFonts w:ascii="Palatino Linotype" w:eastAsia="Times New Roman" w:hAnsi="Palatino Linotype" w:cs="Times New Roman"/>
          <w:b/>
          <w:color w:val="000000"/>
          <w:sz w:val="18"/>
          <w:szCs w:val="18"/>
          <w:lang w:val="en-US" w:eastAsia="de-DE" w:bidi="en-US"/>
        </w:rPr>
        <w:t>Besra</w:t>
      </w:r>
      <w:proofErr w:type="spellEnd"/>
      <w:r w:rsidRPr="00101A51">
        <w:rPr>
          <w:rFonts w:ascii="Palatino Linotype" w:eastAsia="Times New Roman" w:hAnsi="Palatino Linotype" w:cs="Times New Roman"/>
          <w:b/>
          <w:color w:val="000000"/>
          <w:sz w:val="18"/>
          <w:szCs w:val="18"/>
          <w:lang w:val="en-US" w:eastAsia="de-DE" w:bidi="en-US"/>
        </w:rPr>
        <w:t xml:space="preserve"> </w:t>
      </w:r>
      <w:r w:rsidRPr="00101A51">
        <w:rPr>
          <w:rFonts w:ascii="Palatino Linotype" w:eastAsia="Times New Roman" w:hAnsi="Palatino Linotype" w:cs="Times New Roman"/>
          <w:b/>
          <w:bCs/>
          <w:color w:val="000000"/>
          <w:sz w:val="18"/>
          <w:szCs w:val="18"/>
          <w:vertAlign w:val="superscript"/>
          <w:lang w:val="en-US" w:eastAsia="de-DE" w:bidi="en-US"/>
        </w:rPr>
        <w:t>3</w:t>
      </w:r>
      <w:r w:rsidRPr="00101A51">
        <w:rPr>
          <w:rFonts w:ascii="Palatino Linotype" w:eastAsia="Times New Roman" w:hAnsi="Palatino Linotype" w:cs="Times New Roman"/>
          <w:b/>
          <w:color w:val="000000"/>
          <w:sz w:val="18"/>
          <w:szCs w:val="18"/>
          <w:lang w:val="en-US" w:eastAsia="de-DE" w:bidi="en-US"/>
        </w:rPr>
        <w:t xml:space="preserve">, Robert J. Wilkinson </w:t>
      </w:r>
      <w:r w:rsidRPr="00101A51">
        <w:rPr>
          <w:rFonts w:ascii="Palatino Linotype" w:eastAsia="Times New Roman" w:hAnsi="Palatino Linotype" w:cs="Times New Roman"/>
          <w:b/>
          <w:bCs/>
          <w:color w:val="000000"/>
          <w:sz w:val="18"/>
          <w:szCs w:val="18"/>
          <w:vertAlign w:val="superscript"/>
          <w:lang w:val="en-US" w:eastAsia="de-DE" w:bidi="en-US"/>
        </w:rPr>
        <w:t>2,4,5</w:t>
      </w:r>
      <w:r w:rsidRPr="00101A51">
        <w:rPr>
          <w:rFonts w:ascii="Palatino Linotype" w:eastAsia="Times New Roman" w:hAnsi="Palatino Linotype" w:cs="Times New Roman"/>
          <w:b/>
          <w:color w:val="000000"/>
          <w:sz w:val="18"/>
          <w:szCs w:val="18"/>
          <w:lang w:val="en-US" w:eastAsia="de-DE" w:bidi="en-US"/>
        </w:rPr>
        <w:t xml:space="preserve">, Apoorva Bhatt </w:t>
      </w:r>
      <w:r w:rsidRPr="00101A51">
        <w:rPr>
          <w:rFonts w:ascii="Palatino Linotype" w:eastAsia="Times New Roman" w:hAnsi="Palatino Linotype" w:cs="Times New Roman"/>
          <w:b/>
          <w:bCs/>
          <w:color w:val="000000"/>
          <w:sz w:val="18"/>
          <w:szCs w:val="18"/>
          <w:vertAlign w:val="superscript"/>
          <w:lang w:val="en-US" w:eastAsia="de-DE" w:bidi="en-US"/>
        </w:rPr>
        <w:t>3</w:t>
      </w:r>
      <w:r w:rsidRPr="00101A51">
        <w:rPr>
          <w:rFonts w:ascii="Palatino Linotype" w:eastAsia="Times New Roman" w:hAnsi="Palatino Linotype" w:cs="Times New Roman"/>
          <w:b/>
          <w:bCs/>
          <w:color w:val="000000"/>
          <w:sz w:val="18"/>
          <w:szCs w:val="18"/>
          <w:lang w:val="en-US" w:eastAsia="de-DE" w:bidi="en-US"/>
        </w:rPr>
        <w:t xml:space="preserve">, </w:t>
      </w:r>
      <w:r w:rsidRPr="00101A51">
        <w:rPr>
          <w:rFonts w:ascii="Palatino Linotype" w:eastAsia="Times New Roman" w:hAnsi="Palatino Linotype" w:cs="Times New Roman"/>
          <w:b/>
          <w:color w:val="000000"/>
          <w:sz w:val="18"/>
          <w:szCs w:val="18"/>
          <w:lang w:val="en-US" w:eastAsia="de-DE" w:bidi="en-US"/>
        </w:rPr>
        <w:t xml:space="preserve">Georgios Pollakis </w:t>
      </w:r>
      <w:r w:rsidRPr="00101A51">
        <w:rPr>
          <w:rFonts w:ascii="Palatino Linotype" w:eastAsia="Times New Roman" w:hAnsi="Palatino Linotype" w:cs="Times New Roman"/>
          <w:b/>
          <w:bCs/>
          <w:color w:val="000000"/>
          <w:sz w:val="18"/>
          <w:szCs w:val="18"/>
          <w:vertAlign w:val="superscript"/>
          <w:lang w:val="en-US" w:eastAsia="de-DE" w:bidi="en-US"/>
        </w:rPr>
        <w:t>1,</w:t>
      </w:r>
      <w:r w:rsidRPr="00101A51">
        <w:rPr>
          <w:rFonts w:ascii="Palatino Linotype" w:eastAsia="Times New Roman" w:hAnsi="Palatino Linotype" w:cs="Times New Roman"/>
          <w:b/>
          <w:bCs/>
          <w:color w:val="000000"/>
          <w:sz w:val="18"/>
          <w:szCs w:val="18"/>
          <w:lang w:val="en-US" w:eastAsia="de-DE" w:bidi="en-US"/>
        </w:rPr>
        <w:t>*</w:t>
      </w:r>
      <w:r w:rsidRPr="00101A51">
        <w:rPr>
          <w:rFonts w:ascii="Palatino Linotype" w:eastAsia="Times New Roman" w:hAnsi="Palatino Linotype" w:cs="Times New Roman"/>
          <w:b/>
          <w:color w:val="000000"/>
          <w:sz w:val="18"/>
          <w:szCs w:val="18"/>
          <w:lang w:val="en-US" w:eastAsia="de-DE" w:bidi="en-US"/>
        </w:rPr>
        <w:t xml:space="preserve"> and William A. Paxton </w:t>
      </w:r>
      <w:r w:rsidRPr="00101A51">
        <w:rPr>
          <w:rFonts w:ascii="Palatino Linotype" w:eastAsia="Times New Roman" w:hAnsi="Palatino Linotype" w:cs="Times New Roman"/>
          <w:b/>
          <w:color w:val="000000"/>
          <w:sz w:val="18"/>
          <w:szCs w:val="18"/>
          <w:vertAlign w:val="superscript"/>
          <w:lang w:val="en-US" w:eastAsia="de-DE" w:bidi="en-US"/>
        </w:rPr>
        <w:t>1,</w:t>
      </w:r>
      <w:r w:rsidRPr="00101A51">
        <w:rPr>
          <w:rFonts w:ascii="Palatino Linotype" w:eastAsia="Times New Roman" w:hAnsi="Palatino Linotype" w:cs="Times New Roman"/>
          <w:b/>
          <w:color w:val="000000"/>
          <w:sz w:val="18"/>
          <w:szCs w:val="18"/>
          <w:lang w:val="en-US" w:eastAsia="de-DE" w:bidi="en-US"/>
        </w:rPr>
        <w:t>*</w:t>
      </w:r>
    </w:p>
    <w:p w:rsidR="00101A51" w:rsidRPr="00101A51" w:rsidRDefault="00101A51" w:rsidP="00101A51">
      <w:pPr>
        <w:adjustRightInd w:val="0"/>
        <w:snapToGrid w:val="0"/>
        <w:spacing w:after="0" w:line="240" w:lineRule="auto"/>
        <w:rPr>
          <w:rFonts w:ascii="Palatino Linotype" w:eastAsia="Times New Roman" w:hAnsi="Palatino Linotype" w:cs="Times New Roman"/>
          <w:b/>
          <w:color w:val="000000"/>
          <w:sz w:val="18"/>
          <w:szCs w:val="18"/>
          <w:lang w:val="en-US" w:eastAsia="de-DE" w:bidi="en-US"/>
        </w:rPr>
      </w:pPr>
    </w:p>
    <w:p w:rsidR="0068701D" w:rsidRDefault="0068701D" w:rsidP="0068701D">
      <w:pPr>
        <w:adjustRightInd w:val="0"/>
        <w:snapToGrid w:val="0"/>
        <w:spacing w:after="0" w:line="240" w:lineRule="auto"/>
        <w:rPr>
          <w:rFonts w:ascii="Palatino Linotype" w:eastAsia="Times New Roman" w:hAnsi="Palatino Linotype" w:cs="Times New Roman"/>
          <w:color w:val="000000"/>
          <w:sz w:val="20"/>
          <w:szCs w:val="20"/>
          <w:vertAlign w:val="superscript"/>
          <w:lang w:val="en-US" w:eastAsia="de-DE" w:bidi="en-US"/>
        </w:rPr>
      </w:pPr>
    </w:p>
    <w:p w:rsidR="0012340B" w:rsidRPr="001336A8" w:rsidRDefault="0012340B" w:rsidP="0068701D">
      <w:pPr>
        <w:adjustRightInd w:val="0"/>
        <w:snapToGrid w:val="0"/>
        <w:spacing w:after="0" w:line="240" w:lineRule="auto"/>
        <w:rPr>
          <w:rFonts w:ascii="Palatino Linotype" w:eastAsia="Times New Roman" w:hAnsi="Palatino Linotype" w:cs="Times New Roman"/>
          <w:color w:val="000000"/>
          <w:sz w:val="18"/>
          <w:szCs w:val="18"/>
          <w:lang w:val="en-US" w:eastAsia="de-DE" w:bidi="en-US"/>
        </w:rPr>
      </w:pPr>
      <w:r w:rsidRPr="001336A8">
        <w:rPr>
          <w:rFonts w:ascii="Palatino Linotype" w:eastAsia="Times New Roman" w:hAnsi="Palatino Linotype" w:cs="Times New Roman"/>
          <w:color w:val="000000"/>
          <w:sz w:val="18"/>
          <w:szCs w:val="18"/>
          <w:vertAlign w:val="superscript"/>
          <w:lang w:val="en-US" w:eastAsia="de-DE" w:bidi="en-US"/>
        </w:rPr>
        <w:t xml:space="preserve">1 </w:t>
      </w:r>
      <w:r w:rsidRPr="001336A8">
        <w:rPr>
          <w:rFonts w:ascii="Palatino Linotype" w:eastAsia="Times New Roman" w:hAnsi="Palatino Linotype" w:cs="Times New Roman"/>
          <w:color w:val="000000"/>
          <w:sz w:val="18"/>
          <w:szCs w:val="18"/>
          <w:lang w:val="en-US" w:eastAsia="de-DE" w:bidi="en-US"/>
        </w:rPr>
        <w:t>Department of Clinical Infection, Microbiology and Immunology, Institute of Infection, Veterinary and Ecological Sciences, University of Liverpool, Liverpool L69 7BE, U</w:t>
      </w:r>
      <w:r w:rsidRPr="001336A8">
        <w:rPr>
          <w:rFonts w:ascii="Palatino Linotype" w:eastAsia="Times New Roman" w:hAnsi="Palatino Linotype" w:cs="Times New Roman"/>
          <w:sz w:val="18"/>
          <w:szCs w:val="18"/>
          <w:lang w:val="en-US" w:eastAsia="de-DE" w:bidi="en-US"/>
        </w:rPr>
        <w:t xml:space="preserve">K; marion.pouget@ucd.ie (M.P.); aler@liverpool.ac.uk (A.R.); </w:t>
      </w:r>
      <w:hyperlink r:id="rId5" w:history="1">
        <w:r w:rsidRPr="001336A8">
          <w:rPr>
            <w:rFonts w:ascii="Palatino Linotype" w:eastAsia="Times New Roman" w:hAnsi="Palatino Linotype" w:cs="Times New Roman"/>
            <w:color w:val="000000" w:themeColor="text1"/>
            <w:sz w:val="18"/>
            <w:szCs w:val="18"/>
            <w:lang w:val="en-US" w:eastAsia="de-DE" w:bidi="en-US"/>
          </w:rPr>
          <w:t>hljthom2@liverpool.ac.uk</w:t>
        </w:r>
      </w:hyperlink>
      <w:r w:rsidRPr="001336A8">
        <w:rPr>
          <w:rFonts w:ascii="Palatino Linotype" w:eastAsia="Times New Roman" w:hAnsi="Palatino Linotype" w:cs="Times New Roman"/>
          <w:color w:val="000000" w:themeColor="text1"/>
          <w:sz w:val="18"/>
          <w:szCs w:val="18"/>
          <w:lang w:val="en-US" w:eastAsia="de-DE" w:bidi="en-US"/>
        </w:rPr>
        <w:t xml:space="preserve"> (</w:t>
      </w:r>
      <w:r w:rsidRPr="001336A8">
        <w:rPr>
          <w:rFonts w:ascii="Palatino Linotype" w:eastAsia="Times New Roman" w:hAnsi="Palatino Linotype" w:cs="Times New Roman"/>
          <w:sz w:val="18"/>
          <w:szCs w:val="18"/>
          <w:lang w:val="en-US" w:eastAsia="de-DE" w:bidi="en-US"/>
        </w:rPr>
        <w:t>J.T.)</w:t>
      </w:r>
    </w:p>
    <w:p w:rsidR="0012340B" w:rsidRPr="001336A8" w:rsidRDefault="0012340B" w:rsidP="0068701D">
      <w:pPr>
        <w:adjustRightInd w:val="0"/>
        <w:snapToGrid w:val="0"/>
        <w:spacing w:after="0" w:line="240" w:lineRule="auto"/>
        <w:rPr>
          <w:rFonts w:ascii="Palatino Linotype" w:eastAsia="Times New Roman" w:hAnsi="Palatino Linotype" w:cs="Times New Roman"/>
          <w:color w:val="000000"/>
          <w:sz w:val="18"/>
          <w:szCs w:val="18"/>
          <w:lang w:val="en-US" w:eastAsia="de-DE" w:bidi="en-US"/>
        </w:rPr>
      </w:pPr>
      <w:r w:rsidRPr="001336A8">
        <w:rPr>
          <w:rFonts w:ascii="Palatino Linotype" w:eastAsia="Times New Roman" w:hAnsi="Palatino Linotype" w:cs="Times New Roman"/>
          <w:color w:val="000000"/>
          <w:sz w:val="18"/>
          <w:szCs w:val="18"/>
          <w:vertAlign w:val="superscript"/>
          <w:lang w:val="en-US" w:eastAsia="de-DE" w:bidi="en-US"/>
        </w:rPr>
        <w:t xml:space="preserve">2 </w:t>
      </w:r>
      <w:proofErr w:type="spellStart"/>
      <w:r w:rsidRPr="001336A8">
        <w:rPr>
          <w:rFonts w:ascii="Palatino Linotype" w:eastAsia="Times New Roman" w:hAnsi="Palatino Linotype" w:cs="Times New Roman"/>
          <w:color w:val="000000"/>
          <w:sz w:val="18"/>
          <w:szCs w:val="18"/>
          <w:lang w:val="en-US" w:eastAsia="de-DE" w:bidi="en-US"/>
        </w:rPr>
        <w:t>Wellcome</w:t>
      </w:r>
      <w:proofErr w:type="spellEnd"/>
      <w:r w:rsidRPr="001336A8">
        <w:rPr>
          <w:rFonts w:ascii="Palatino Linotype" w:eastAsia="Times New Roman" w:hAnsi="Palatino Linotype" w:cs="Times New Roman"/>
          <w:color w:val="000000"/>
          <w:sz w:val="18"/>
          <w:szCs w:val="18"/>
          <w:lang w:val="en-US" w:eastAsia="de-DE" w:bidi="en-US"/>
        </w:rPr>
        <w:t xml:space="preserve"> Center for Infectious Diseases Research in Africa, Institute of Infectious Disease and Molecular Medicine and Department of Medicine, University of Cape Town, Observatory, 7925, South Africa; coussens.a@wehi.edu.au</w:t>
      </w:r>
      <w:r w:rsidRPr="001336A8">
        <w:rPr>
          <w:rFonts w:ascii="Palatino Linotype" w:eastAsia="Times New Roman" w:hAnsi="Palatino Linotype" w:cs="Times New Roman"/>
          <w:sz w:val="18"/>
          <w:szCs w:val="18"/>
          <w:lang w:val="en-US" w:eastAsia="de-DE" w:bidi="en-US"/>
        </w:rPr>
        <w:t xml:space="preserve"> (A.K.C.); </w:t>
      </w:r>
      <w:r w:rsidRPr="001336A8">
        <w:rPr>
          <w:rFonts w:ascii="Palatino Linotype" w:eastAsia="Times New Roman" w:hAnsi="Palatino Linotype" w:cs="Times New Roman"/>
          <w:color w:val="000000"/>
          <w:sz w:val="18"/>
          <w:szCs w:val="18"/>
          <w:lang w:val="en-US" w:eastAsia="de-DE" w:bidi="en-US"/>
        </w:rPr>
        <w:t>a.koch@uct.ac.za (A.K.); robert.wilkinson@uct.ac.za</w:t>
      </w:r>
      <w:r w:rsidRPr="001336A8">
        <w:rPr>
          <w:rFonts w:ascii="Palatino Linotype" w:eastAsia="Times New Roman" w:hAnsi="Palatino Linotype" w:cs="Times New Roman"/>
          <w:sz w:val="18"/>
          <w:szCs w:val="18"/>
          <w:lang w:val="en-US" w:eastAsia="de-DE" w:bidi="en-US"/>
        </w:rPr>
        <w:t xml:space="preserve"> (R.J.W.)</w:t>
      </w:r>
    </w:p>
    <w:p w:rsidR="0012340B" w:rsidRPr="001336A8" w:rsidRDefault="0012340B" w:rsidP="0068701D">
      <w:pPr>
        <w:adjustRightInd w:val="0"/>
        <w:snapToGrid w:val="0"/>
        <w:spacing w:after="0" w:line="240" w:lineRule="auto"/>
        <w:rPr>
          <w:rFonts w:ascii="Palatino Linotype" w:eastAsia="Times New Roman" w:hAnsi="Palatino Linotype" w:cs="Times New Roman"/>
          <w:color w:val="000000"/>
          <w:sz w:val="18"/>
          <w:szCs w:val="18"/>
          <w:lang w:val="en-US" w:eastAsia="de-DE" w:bidi="en-US"/>
        </w:rPr>
      </w:pPr>
      <w:r w:rsidRPr="001336A8">
        <w:rPr>
          <w:rFonts w:ascii="Palatino Linotype" w:eastAsia="Times New Roman" w:hAnsi="Palatino Linotype" w:cs="Times New Roman"/>
          <w:color w:val="000000"/>
          <w:sz w:val="18"/>
          <w:szCs w:val="18"/>
          <w:vertAlign w:val="superscript"/>
          <w:lang w:val="en-US" w:eastAsia="de-DE" w:bidi="en-US"/>
        </w:rPr>
        <w:t xml:space="preserve">3 </w:t>
      </w:r>
      <w:r w:rsidRPr="001336A8">
        <w:rPr>
          <w:rFonts w:ascii="Palatino Linotype" w:eastAsia="Times New Roman" w:hAnsi="Palatino Linotype" w:cs="Times New Roman"/>
          <w:color w:val="000000"/>
          <w:sz w:val="18"/>
          <w:szCs w:val="18"/>
          <w:lang w:val="en-US" w:eastAsia="de-DE" w:bidi="en-US"/>
        </w:rPr>
        <w:t xml:space="preserve">Institute of Microbiology and Infection and School of Biosciences, University of Birmingham, Birmingham, B15 2TT, UK; </w:t>
      </w:r>
      <w:r w:rsidRPr="001336A8">
        <w:rPr>
          <w:rFonts w:ascii="Palatino Linotype" w:eastAsia="Times New Roman" w:hAnsi="Palatino Linotype" w:cs="Arial"/>
          <w:color w:val="000000"/>
          <w:sz w:val="18"/>
          <w:szCs w:val="18"/>
          <w:lang w:val="en-US" w:eastAsia="de-DE"/>
        </w:rPr>
        <w:t>g.besra@bham.ac.uk</w:t>
      </w:r>
      <w:r w:rsidRPr="001336A8">
        <w:rPr>
          <w:rFonts w:ascii="Palatino Linotype" w:eastAsia="Times New Roman" w:hAnsi="Palatino Linotype" w:cs="Times New Roman"/>
          <w:color w:val="000000"/>
          <w:sz w:val="18"/>
          <w:szCs w:val="18"/>
          <w:lang w:val="en-US" w:eastAsia="de-DE"/>
        </w:rPr>
        <w:t xml:space="preserve"> (G.S.B.); </w:t>
      </w:r>
      <w:r w:rsidRPr="001336A8">
        <w:rPr>
          <w:rFonts w:ascii="Palatino Linotype" w:eastAsia="Times New Roman" w:hAnsi="Palatino Linotype" w:cs="Times New Roman"/>
          <w:color w:val="000000"/>
          <w:sz w:val="18"/>
          <w:szCs w:val="18"/>
          <w:lang w:val="en-US" w:eastAsia="de-DE" w:bidi="en-US"/>
        </w:rPr>
        <w:t>a.bhatt@bham.ac.uk (A.B.)</w:t>
      </w:r>
    </w:p>
    <w:p w:rsidR="0012340B" w:rsidRPr="001336A8" w:rsidRDefault="0012340B" w:rsidP="0068701D">
      <w:pPr>
        <w:adjustRightInd w:val="0"/>
        <w:snapToGrid w:val="0"/>
        <w:spacing w:after="0" w:line="240" w:lineRule="auto"/>
        <w:rPr>
          <w:rFonts w:ascii="Palatino Linotype" w:eastAsia="Times New Roman" w:hAnsi="Palatino Linotype" w:cs="Times New Roman"/>
          <w:color w:val="000000"/>
          <w:sz w:val="18"/>
          <w:szCs w:val="18"/>
          <w:lang w:val="en-US" w:eastAsia="de-DE" w:bidi="en-US"/>
        </w:rPr>
      </w:pPr>
      <w:r w:rsidRPr="001336A8">
        <w:rPr>
          <w:rFonts w:ascii="Palatino Linotype" w:eastAsia="Times New Roman" w:hAnsi="Palatino Linotype" w:cs="Times New Roman"/>
          <w:color w:val="000000"/>
          <w:sz w:val="18"/>
          <w:szCs w:val="18"/>
          <w:vertAlign w:val="superscript"/>
          <w:lang w:val="en-US" w:eastAsia="de-DE" w:bidi="en-US"/>
        </w:rPr>
        <w:t xml:space="preserve">4 </w:t>
      </w:r>
      <w:r w:rsidRPr="001336A8">
        <w:rPr>
          <w:rFonts w:ascii="Palatino Linotype" w:eastAsia="Times New Roman" w:hAnsi="Palatino Linotype" w:cs="Times New Roman"/>
          <w:color w:val="000000"/>
          <w:sz w:val="18"/>
          <w:szCs w:val="18"/>
          <w:lang w:val="en-US" w:eastAsia="de-DE" w:bidi="en-US"/>
        </w:rPr>
        <w:t>Department of Infectious Diseases, Imperial College, London W2 1PG, UK</w:t>
      </w:r>
    </w:p>
    <w:p w:rsidR="0012340B" w:rsidRPr="001336A8" w:rsidRDefault="0012340B" w:rsidP="0068701D">
      <w:pPr>
        <w:adjustRightInd w:val="0"/>
        <w:snapToGrid w:val="0"/>
        <w:spacing w:after="0" w:line="240" w:lineRule="auto"/>
        <w:rPr>
          <w:rFonts w:ascii="Palatino Linotype" w:eastAsia="Times New Roman" w:hAnsi="Palatino Linotype" w:cs="Times New Roman"/>
          <w:color w:val="000000"/>
          <w:sz w:val="18"/>
          <w:szCs w:val="18"/>
          <w:lang w:val="en-US" w:eastAsia="de-DE" w:bidi="en-US"/>
        </w:rPr>
      </w:pPr>
      <w:r w:rsidRPr="001336A8">
        <w:rPr>
          <w:rFonts w:ascii="Palatino Linotype" w:eastAsia="Times New Roman" w:hAnsi="Palatino Linotype" w:cs="Times New Roman"/>
          <w:color w:val="000000"/>
          <w:sz w:val="18"/>
          <w:szCs w:val="18"/>
          <w:vertAlign w:val="superscript"/>
          <w:lang w:val="en-US" w:eastAsia="de-DE" w:bidi="en-US"/>
        </w:rPr>
        <w:t xml:space="preserve">5 </w:t>
      </w:r>
      <w:r w:rsidRPr="001336A8">
        <w:rPr>
          <w:rFonts w:ascii="Palatino Linotype" w:eastAsia="Times New Roman" w:hAnsi="Palatino Linotype" w:cs="Times New Roman"/>
          <w:color w:val="000000"/>
          <w:sz w:val="18"/>
          <w:szCs w:val="18"/>
          <w:lang w:val="en-US" w:eastAsia="de-DE" w:bidi="en-US"/>
        </w:rPr>
        <w:t>The Francis Crick Institute, London, NW1 1AT, UK</w:t>
      </w:r>
    </w:p>
    <w:p w:rsidR="003565B6" w:rsidRPr="001336A8" w:rsidRDefault="0012340B" w:rsidP="0068701D">
      <w:pPr>
        <w:adjustRightInd w:val="0"/>
        <w:snapToGrid w:val="0"/>
        <w:spacing w:after="0" w:line="240" w:lineRule="auto"/>
        <w:rPr>
          <w:rFonts w:ascii="Palatino Linotype" w:eastAsia="Times New Roman" w:hAnsi="Palatino Linotype" w:cs="Times New Roman"/>
          <w:color w:val="000000"/>
          <w:sz w:val="18"/>
          <w:szCs w:val="18"/>
          <w:lang w:val="en-US" w:eastAsia="de-DE" w:bidi="en-US"/>
        </w:rPr>
      </w:pPr>
      <w:r w:rsidRPr="001336A8">
        <w:rPr>
          <w:rFonts w:ascii="Palatino Linotype" w:eastAsia="Times New Roman" w:hAnsi="Palatino Linotype" w:cs="Times New Roman"/>
          <w:b/>
          <w:sz w:val="18"/>
          <w:szCs w:val="18"/>
          <w:lang w:val="en-US" w:eastAsia="de-DE" w:bidi="en-US"/>
        </w:rPr>
        <w:t xml:space="preserve">* </w:t>
      </w:r>
      <w:r w:rsidRPr="001336A8">
        <w:rPr>
          <w:rFonts w:ascii="Palatino Linotype" w:eastAsia="Times New Roman" w:hAnsi="Palatino Linotype" w:cs="Times New Roman"/>
          <w:sz w:val="18"/>
          <w:szCs w:val="18"/>
          <w:lang w:val="en-US" w:eastAsia="de-DE" w:bidi="en-US"/>
        </w:rPr>
        <w:t xml:space="preserve">Correspondence: </w:t>
      </w:r>
      <w:r w:rsidRPr="001336A8">
        <w:rPr>
          <w:rFonts w:ascii="Palatino Linotype" w:eastAsia="Times New Roman" w:hAnsi="Palatino Linotype" w:cs="Times New Roman"/>
          <w:color w:val="000000"/>
          <w:sz w:val="18"/>
          <w:szCs w:val="18"/>
          <w:lang w:val="en-US" w:eastAsia="de-DE" w:bidi="en-US"/>
        </w:rPr>
        <w:t>g.pollakis@liverpool.ac.uk</w:t>
      </w:r>
      <w:r w:rsidRPr="001336A8">
        <w:rPr>
          <w:rFonts w:ascii="Palatino Linotype" w:eastAsia="Times New Roman" w:hAnsi="Palatino Linotype" w:cs="Times New Roman"/>
          <w:sz w:val="18"/>
          <w:szCs w:val="18"/>
          <w:lang w:val="en-US" w:eastAsia="de-DE" w:bidi="en-US"/>
        </w:rPr>
        <w:t xml:space="preserve"> (G.P.); </w:t>
      </w:r>
      <w:r w:rsidRPr="001336A8">
        <w:rPr>
          <w:rFonts w:ascii="Palatino Linotype" w:eastAsia="Times New Roman" w:hAnsi="Palatino Linotype" w:cs="Times New Roman"/>
          <w:color w:val="000000"/>
          <w:sz w:val="18"/>
          <w:szCs w:val="18"/>
          <w:lang w:val="en-US" w:eastAsia="de-DE" w:bidi="en-US"/>
        </w:rPr>
        <w:t>W.A.Paxton@liverpool.ac.uk</w:t>
      </w:r>
      <w:r w:rsidRPr="001336A8">
        <w:rPr>
          <w:rFonts w:ascii="Palatino Linotype" w:eastAsia="Times New Roman" w:hAnsi="Palatino Linotype" w:cs="Times New Roman"/>
          <w:sz w:val="18"/>
          <w:szCs w:val="18"/>
          <w:lang w:val="en-US" w:eastAsia="de-DE" w:bidi="en-US"/>
        </w:rPr>
        <w:t xml:space="preserve"> (W.A.P.)</w:t>
      </w:r>
      <w:r w:rsidRPr="001336A8">
        <w:rPr>
          <w:rFonts w:ascii="Palatino Linotype" w:eastAsia="Times New Roman" w:hAnsi="Palatino Linotype" w:cs="Times New Roman"/>
          <w:color w:val="000000"/>
          <w:sz w:val="18"/>
          <w:szCs w:val="18"/>
          <w:lang w:val="en-US" w:eastAsia="de-DE" w:bidi="en-US"/>
        </w:rPr>
        <w:t>; Tel.: +44-151-795-9681 (G.P.); +44-151-795-9605 (W.A.P)</w:t>
      </w:r>
    </w:p>
    <w:p w:rsidR="0068701D" w:rsidRDefault="0068701D" w:rsidP="0068701D">
      <w:pPr>
        <w:adjustRightInd w:val="0"/>
        <w:snapToGrid w:val="0"/>
        <w:spacing w:before="240" w:after="0" w:line="240" w:lineRule="auto"/>
        <w:ind w:left="284" w:right="521"/>
        <w:jc w:val="both"/>
        <w:rPr>
          <w:rFonts w:ascii="Palatino Linotype" w:eastAsia="Times New Roman" w:hAnsi="Palatino Linotype" w:cs="Times New Roman"/>
          <w:b/>
          <w:color w:val="000000"/>
          <w:sz w:val="20"/>
          <w:szCs w:val="20"/>
          <w:lang w:val="en-US" w:eastAsia="de-DE" w:bidi="en-US"/>
        </w:rPr>
      </w:pPr>
    </w:p>
    <w:p w:rsidR="0012340B" w:rsidRPr="0068701D" w:rsidRDefault="0012340B" w:rsidP="00101A51">
      <w:pPr>
        <w:adjustRightInd w:val="0"/>
        <w:snapToGrid w:val="0"/>
        <w:spacing w:before="240" w:after="0" w:line="240" w:lineRule="auto"/>
        <w:ind w:left="284" w:right="521"/>
        <w:jc w:val="both"/>
        <w:rPr>
          <w:rFonts w:ascii="Palatino Linotype" w:eastAsia="Times New Roman" w:hAnsi="Palatino Linotype" w:cs="Times New Roman"/>
          <w:b/>
          <w:color w:val="000000"/>
          <w:sz w:val="20"/>
          <w:szCs w:val="20"/>
          <w:lang w:val="en-US" w:eastAsia="de-DE" w:bidi="en-US"/>
        </w:rPr>
      </w:pPr>
      <w:r w:rsidRPr="0068701D">
        <w:rPr>
          <w:rFonts w:ascii="Palatino Linotype" w:eastAsia="Times New Roman" w:hAnsi="Palatino Linotype" w:cs="Times New Roman"/>
          <w:b/>
          <w:color w:val="000000"/>
          <w:sz w:val="20"/>
          <w:szCs w:val="20"/>
          <w:lang w:val="en-US" w:eastAsia="de-DE" w:bidi="en-US"/>
        </w:rPr>
        <w:t>Abstract</w:t>
      </w:r>
      <w:r w:rsidR="0068701D">
        <w:rPr>
          <w:rFonts w:ascii="Palatino Linotype" w:eastAsia="Times New Roman" w:hAnsi="Palatino Linotype" w:cs="Times New Roman"/>
          <w:b/>
          <w:color w:val="000000"/>
          <w:sz w:val="20"/>
          <w:szCs w:val="20"/>
          <w:lang w:val="en-US" w:eastAsia="de-DE" w:bidi="en-US"/>
        </w:rPr>
        <w:t>:</w:t>
      </w:r>
      <w:r w:rsidRPr="0068701D">
        <w:rPr>
          <w:rFonts w:ascii="Palatino Linotype" w:eastAsia="Times New Roman" w:hAnsi="Palatino Linotype" w:cs="Times New Roman"/>
          <w:b/>
          <w:color w:val="000000"/>
          <w:sz w:val="20"/>
          <w:szCs w:val="20"/>
          <w:lang w:val="en-US" w:eastAsia="de-DE" w:bidi="en-US"/>
        </w:rPr>
        <w:t xml:space="preserve"> </w:t>
      </w:r>
      <w:r w:rsidRPr="0068701D">
        <w:rPr>
          <w:rFonts w:ascii="Palatino Linotype" w:eastAsia="Times New Roman" w:hAnsi="Palatino Linotype" w:cs="Times New Roman"/>
          <w:color w:val="000000"/>
          <w:sz w:val="20"/>
          <w:szCs w:val="20"/>
          <w:lang w:val="en-US" w:eastAsia="de-DE" w:bidi="en-US"/>
        </w:rPr>
        <w:t xml:space="preserve">Tuberculosis (TB) is the leading cause of death among HIV-1-infected individuals and </w:t>
      </w:r>
      <w:r w:rsidRPr="0068701D">
        <w:rPr>
          <w:rFonts w:ascii="Palatino Linotype" w:eastAsia="Times New Roman" w:hAnsi="Palatino Linotype" w:cs="Times New Roman"/>
          <w:i/>
          <w:iCs/>
          <w:color w:val="000000"/>
          <w:sz w:val="20"/>
          <w:szCs w:val="20"/>
          <w:lang w:val="en-US" w:eastAsia="de-DE" w:bidi="en-US"/>
        </w:rPr>
        <w:t>Mycobacterium tuberculosis</w:t>
      </w:r>
      <w:r w:rsidRPr="0068701D">
        <w:rPr>
          <w:rFonts w:ascii="Palatino Linotype" w:eastAsia="Times New Roman" w:hAnsi="Palatino Linotype" w:cs="Times New Roman"/>
          <w:color w:val="000000"/>
          <w:sz w:val="20"/>
          <w:szCs w:val="20"/>
          <w:lang w:val="en-US" w:eastAsia="de-DE" w:bidi="en-US"/>
        </w:rPr>
        <w:t xml:space="preserve"> (</w:t>
      </w:r>
      <w:proofErr w:type="spellStart"/>
      <w:r w:rsidRPr="0068701D">
        <w:rPr>
          <w:rFonts w:ascii="Palatino Linotype" w:eastAsia="Times New Roman" w:hAnsi="Palatino Linotype" w:cs="Times New Roman"/>
          <w:i/>
          <w:iCs/>
          <w:color w:val="000000"/>
          <w:sz w:val="20"/>
          <w:szCs w:val="20"/>
          <w:lang w:val="en-US" w:eastAsia="de-DE" w:bidi="en-US"/>
        </w:rPr>
        <w:t>Mtb</w:t>
      </w:r>
      <w:proofErr w:type="spellEnd"/>
      <w:r w:rsidRPr="0068701D">
        <w:rPr>
          <w:rFonts w:ascii="Palatino Linotype" w:eastAsia="Times New Roman" w:hAnsi="Palatino Linotype" w:cs="Times New Roman"/>
          <w:color w:val="000000"/>
          <w:sz w:val="20"/>
          <w:szCs w:val="20"/>
          <w:lang w:val="en-US" w:eastAsia="de-DE" w:bidi="en-US"/>
        </w:rPr>
        <w:t xml:space="preserve">) co-infection is an early precipitate to AIDS. We aimed to determine whether </w:t>
      </w:r>
      <w:proofErr w:type="spellStart"/>
      <w:r w:rsidRPr="0068701D">
        <w:rPr>
          <w:rFonts w:ascii="Palatino Linotype" w:eastAsia="Times New Roman" w:hAnsi="Palatino Linotype" w:cs="Times New Roman"/>
          <w:i/>
          <w:iCs/>
          <w:color w:val="000000"/>
          <w:sz w:val="20"/>
          <w:szCs w:val="20"/>
          <w:lang w:val="en-US" w:eastAsia="de-DE" w:bidi="en-US"/>
        </w:rPr>
        <w:t>Mtb</w:t>
      </w:r>
      <w:proofErr w:type="spellEnd"/>
      <w:r w:rsidRPr="0068701D">
        <w:rPr>
          <w:rFonts w:ascii="Palatino Linotype" w:eastAsia="Times New Roman" w:hAnsi="Palatino Linotype" w:cs="Times New Roman"/>
          <w:i/>
          <w:iCs/>
          <w:color w:val="000000"/>
          <w:sz w:val="20"/>
          <w:szCs w:val="20"/>
          <w:lang w:val="en-US" w:eastAsia="de-DE" w:bidi="en-US"/>
        </w:rPr>
        <w:t xml:space="preserve"> </w:t>
      </w:r>
      <w:r w:rsidRPr="0068701D">
        <w:rPr>
          <w:rFonts w:ascii="Palatino Linotype" w:eastAsia="Times New Roman" w:hAnsi="Palatino Linotype" w:cs="Times New Roman"/>
          <w:color w:val="000000"/>
          <w:sz w:val="20"/>
          <w:szCs w:val="20"/>
          <w:lang w:val="en-US" w:eastAsia="de-DE" w:bidi="en-US"/>
        </w:rPr>
        <w:t>strains differentially modulate cellular susceptibility to HIV-1 infection (</w:t>
      </w:r>
      <w:r w:rsidRPr="0068701D">
        <w:rPr>
          <w:rFonts w:ascii="Palatino Linotype" w:eastAsia="Times New Roman" w:hAnsi="Palatino Linotype" w:cs="Times New Roman"/>
          <w:i/>
          <w:iCs/>
          <w:color w:val="000000"/>
          <w:sz w:val="20"/>
          <w:szCs w:val="20"/>
          <w:lang w:val="en-US" w:eastAsia="de-DE" w:bidi="en-US"/>
        </w:rPr>
        <w:t>cis</w:t>
      </w:r>
      <w:r w:rsidRPr="0068701D">
        <w:rPr>
          <w:rFonts w:ascii="Palatino Linotype" w:eastAsia="Times New Roman" w:hAnsi="Palatino Linotype" w:cs="Times New Roman"/>
          <w:color w:val="000000"/>
          <w:sz w:val="20"/>
          <w:szCs w:val="20"/>
          <w:lang w:val="en-US" w:eastAsia="de-DE" w:bidi="en-US"/>
        </w:rPr>
        <w:t xml:space="preserve">- and </w:t>
      </w:r>
      <w:r w:rsidRPr="0068701D">
        <w:rPr>
          <w:rFonts w:ascii="Palatino Linotype" w:eastAsia="Times New Roman" w:hAnsi="Palatino Linotype" w:cs="Times New Roman"/>
          <w:i/>
          <w:iCs/>
          <w:color w:val="000000"/>
          <w:sz w:val="20"/>
          <w:szCs w:val="20"/>
          <w:lang w:val="en-US" w:eastAsia="de-DE" w:bidi="en-US"/>
        </w:rPr>
        <w:t>trans</w:t>
      </w:r>
      <w:r w:rsidRPr="0068701D">
        <w:rPr>
          <w:rFonts w:ascii="Palatino Linotype" w:eastAsia="Times New Roman" w:hAnsi="Palatino Linotype" w:cs="Times New Roman"/>
          <w:color w:val="000000"/>
          <w:sz w:val="20"/>
          <w:szCs w:val="20"/>
          <w:lang w:val="en-US" w:eastAsia="de-DE" w:bidi="en-US"/>
        </w:rPr>
        <w:t xml:space="preserve">-infection), </w:t>
      </w:r>
      <w:r w:rsidRPr="0068701D">
        <w:rPr>
          <w:rFonts w:ascii="Palatino Linotype" w:eastAsia="Times New Roman" w:hAnsi="Palatino Linotype" w:cs="Times New Roman"/>
          <w:iCs/>
          <w:color w:val="000000"/>
          <w:sz w:val="20"/>
          <w:szCs w:val="20"/>
          <w:lang w:val="en-US" w:eastAsia="de-DE" w:bidi="en-US"/>
        </w:rPr>
        <w:t xml:space="preserve">via surface receptor interaction by </w:t>
      </w:r>
      <w:r w:rsidRPr="0068701D">
        <w:rPr>
          <w:rFonts w:ascii="Palatino Linotype" w:eastAsia="Times New Roman" w:hAnsi="Palatino Linotype" w:cs="Times New Roman"/>
          <w:color w:val="000000"/>
          <w:sz w:val="20"/>
          <w:szCs w:val="20"/>
          <w:lang w:val="en-US" w:eastAsia="de-DE" w:bidi="en-US"/>
        </w:rPr>
        <w:t xml:space="preserve">their cell envelope lipids. Total lipids from pathogenic (lineage 4 </w:t>
      </w:r>
      <w:proofErr w:type="spellStart"/>
      <w:r w:rsidRPr="0068701D">
        <w:rPr>
          <w:rFonts w:ascii="Palatino Linotype" w:eastAsia="Times New Roman" w:hAnsi="Palatino Linotype" w:cs="Times New Roman"/>
          <w:i/>
          <w:iCs/>
          <w:color w:val="000000"/>
          <w:sz w:val="20"/>
          <w:szCs w:val="20"/>
          <w:lang w:val="en-US" w:eastAsia="de-DE" w:bidi="en-US"/>
        </w:rPr>
        <w:t>Mtb</w:t>
      </w:r>
      <w:proofErr w:type="spellEnd"/>
      <w:r w:rsidRPr="0068701D">
        <w:rPr>
          <w:rFonts w:ascii="Palatino Linotype" w:eastAsia="Times New Roman" w:hAnsi="Palatino Linotype" w:cs="Times New Roman"/>
          <w:color w:val="000000"/>
          <w:sz w:val="20"/>
          <w:szCs w:val="20"/>
          <w:lang w:val="en-US" w:eastAsia="de-DE" w:bidi="en-US"/>
        </w:rPr>
        <w:t xml:space="preserve"> H37Rv, CDC1551 and lineage 2 </w:t>
      </w:r>
      <w:proofErr w:type="spellStart"/>
      <w:r w:rsidRPr="0068701D">
        <w:rPr>
          <w:rFonts w:ascii="Palatino Linotype" w:eastAsia="Times New Roman" w:hAnsi="Palatino Linotype" w:cs="Times New Roman"/>
          <w:i/>
          <w:iCs/>
          <w:color w:val="000000"/>
          <w:sz w:val="20"/>
          <w:szCs w:val="20"/>
          <w:lang w:val="en-US" w:eastAsia="de-DE" w:bidi="en-US"/>
        </w:rPr>
        <w:t>Mtb</w:t>
      </w:r>
      <w:proofErr w:type="spellEnd"/>
      <w:r w:rsidRPr="0068701D">
        <w:rPr>
          <w:rFonts w:ascii="Palatino Linotype" w:eastAsia="Times New Roman" w:hAnsi="Palatino Linotype" w:cs="Times New Roman"/>
          <w:i/>
          <w:iCs/>
          <w:color w:val="000000"/>
          <w:sz w:val="20"/>
          <w:szCs w:val="20"/>
          <w:lang w:val="en-US" w:eastAsia="de-DE" w:bidi="en-US"/>
        </w:rPr>
        <w:t xml:space="preserve"> </w:t>
      </w:r>
      <w:r w:rsidRPr="0068701D">
        <w:rPr>
          <w:rFonts w:ascii="Palatino Linotype" w:eastAsia="Times New Roman" w:hAnsi="Palatino Linotype" w:cs="Times New Roman"/>
          <w:iCs/>
          <w:color w:val="000000"/>
          <w:sz w:val="20"/>
          <w:szCs w:val="20"/>
          <w:lang w:val="en-US" w:eastAsia="de-DE" w:bidi="en-US"/>
        </w:rPr>
        <w:t>HN878, EU127</w:t>
      </w:r>
      <w:r w:rsidRPr="0068701D">
        <w:rPr>
          <w:rFonts w:ascii="Palatino Linotype" w:eastAsia="Times New Roman" w:hAnsi="Palatino Linotype" w:cs="Times New Roman"/>
          <w:color w:val="000000"/>
          <w:sz w:val="20"/>
          <w:szCs w:val="20"/>
          <w:lang w:val="en-US" w:eastAsia="de-DE" w:bidi="en-US"/>
        </w:rPr>
        <w:t>) and non-pathogenic (</w:t>
      </w:r>
      <w:r w:rsidRPr="0068701D">
        <w:rPr>
          <w:rFonts w:ascii="Palatino Linotype" w:eastAsia="Times New Roman" w:hAnsi="Palatino Linotype" w:cs="Times New Roman"/>
          <w:i/>
          <w:iCs/>
          <w:color w:val="000000"/>
          <w:sz w:val="20"/>
          <w:szCs w:val="20"/>
          <w:lang w:val="en-US" w:eastAsia="de-DE" w:bidi="en-US"/>
        </w:rPr>
        <w:t xml:space="preserve">Mycobacterium </w:t>
      </w:r>
      <w:proofErr w:type="spellStart"/>
      <w:r w:rsidRPr="0068701D">
        <w:rPr>
          <w:rFonts w:ascii="Palatino Linotype" w:eastAsia="Times New Roman" w:hAnsi="Palatino Linotype" w:cs="Times New Roman"/>
          <w:i/>
          <w:iCs/>
          <w:color w:val="000000"/>
          <w:sz w:val="20"/>
          <w:szCs w:val="20"/>
          <w:lang w:val="en-US" w:eastAsia="de-DE" w:bidi="en-US"/>
        </w:rPr>
        <w:t>bovis</w:t>
      </w:r>
      <w:proofErr w:type="spellEnd"/>
      <w:r w:rsidRPr="0068701D">
        <w:rPr>
          <w:rFonts w:ascii="Palatino Linotype" w:eastAsia="Times New Roman" w:hAnsi="Palatino Linotype" w:cs="Times New Roman"/>
          <w:color w:val="000000"/>
          <w:sz w:val="20"/>
          <w:szCs w:val="20"/>
          <w:lang w:val="en-US" w:eastAsia="de-DE" w:bidi="en-US"/>
        </w:rPr>
        <w:t xml:space="preserve"> BCG and </w:t>
      </w:r>
      <w:r w:rsidRPr="0068701D">
        <w:rPr>
          <w:rFonts w:ascii="Palatino Linotype" w:eastAsia="Times New Roman" w:hAnsi="Palatino Linotype" w:cs="Times New Roman"/>
          <w:i/>
          <w:iCs/>
          <w:color w:val="000000"/>
          <w:sz w:val="20"/>
          <w:szCs w:val="20"/>
          <w:lang w:val="en-US" w:eastAsia="de-DE" w:bidi="en-US"/>
        </w:rPr>
        <w:t>Mycobacterium smegmatis</w:t>
      </w:r>
      <w:r w:rsidRPr="0068701D">
        <w:rPr>
          <w:rFonts w:ascii="Palatino Linotype" w:eastAsia="Times New Roman" w:hAnsi="Palatino Linotype" w:cs="Times New Roman"/>
          <w:color w:val="000000"/>
          <w:sz w:val="20"/>
          <w:szCs w:val="20"/>
          <w:lang w:val="en-US" w:eastAsia="de-DE" w:bidi="en-US"/>
        </w:rPr>
        <w:t xml:space="preserve">) </w:t>
      </w:r>
      <w:r w:rsidRPr="0068701D">
        <w:rPr>
          <w:rFonts w:ascii="Palatino Linotype" w:eastAsia="Times New Roman" w:hAnsi="Palatino Linotype" w:cs="Times New Roman"/>
          <w:i/>
          <w:iCs/>
          <w:color w:val="000000"/>
          <w:sz w:val="20"/>
          <w:szCs w:val="20"/>
          <w:lang w:val="en-US" w:eastAsia="de-DE" w:bidi="en-US"/>
        </w:rPr>
        <w:t>Mycobacterium</w:t>
      </w:r>
      <w:r w:rsidRPr="0068701D">
        <w:rPr>
          <w:rFonts w:ascii="Palatino Linotype" w:eastAsia="Times New Roman" w:hAnsi="Palatino Linotype" w:cs="Times New Roman"/>
          <w:color w:val="000000"/>
          <w:sz w:val="20"/>
          <w:szCs w:val="20"/>
          <w:lang w:val="en-US" w:eastAsia="de-DE" w:bidi="en-US"/>
        </w:rPr>
        <w:t xml:space="preserve"> strains were integrated into liposomes mimicking the lipid distribution and antigen accessibility of the mycobacterial cell wall. The resulting liposomes were tested for modulating </w:t>
      </w:r>
      <w:r w:rsidRPr="0068701D">
        <w:rPr>
          <w:rFonts w:ascii="Palatino Linotype" w:eastAsia="Times New Roman" w:hAnsi="Palatino Linotype" w:cs="Times New Roman"/>
          <w:iCs/>
          <w:color w:val="000000"/>
          <w:sz w:val="20"/>
          <w:szCs w:val="20"/>
          <w:lang w:val="en-US" w:eastAsia="de-DE" w:bidi="en-US"/>
        </w:rPr>
        <w:t xml:space="preserve">in vitro </w:t>
      </w:r>
      <w:r w:rsidRPr="0068701D">
        <w:rPr>
          <w:rFonts w:ascii="Palatino Linotype" w:eastAsia="Times New Roman" w:hAnsi="Palatino Linotype" w:cs="Times New Roman"/>
          <w:color w:val="000000"/>
          <w:sz w:val="20"/>
          <w:szCs w:val="20"/>
          <w:lang w:val="en-US" w:eastAsia="de-DE" w:bidi="en-US"/>
        </w:rPr>
        <w:t xml:space="preserve">HIV-1 </w:t>
      </w:r>
      <w:r w:rsidRPr="0068701D">
        <w:rPr>
          <w:rFonts w:ascii="Palatino Linotype" w:eastAsia="Times New Roman" w:hAnsi="Palatino Linotype" w:cs="Times New Roman"/>
          <w:i/>
          <w:iCs/>
          <w:color w:val="000000"/>
          <w:sz w:val="20"/>
          <w:szCs w:val="20"/>
          <w:lang w:val="en-US" w:eastAsia="de-DE" w:bidi="en-US"/>
        </w:rPr>
        <w:t>cis</w:t>
      </w:r>
      <w:r w:rsidRPr="0068701D">
        <w:rPr>
          <w:rFonts w:ascii="Palatino Linotype" w:eastAsia="Times New Roman" w:hAnsi="Palatino Linotype" w:cs="Times New Roman"/>
          <w:color w:val="000000"/>
          <w:sz w:val="20"/>
          <w:szCs w:val="20"/>
          <w:lang w:val="en-US" w:eastAsia="de-DE" w:bidi="en-US"/>
        </w:rPr>
        <w:t xml:space="preserve">- and </w:t>
      </w:r>
      <w:r w:rsidRPr="0068701D">
        <w:rPr>
          <w:rFonts w:ascii="Palatino Linotype" w:eastAsia="Times New Roman" w:hAnsi="Palatino Linotype" w:cs="Times New Roman"/>
          <w:i/>
          <w:iCs/>
          <w:color w:val="000000"/>
          <w:sz w:val="20"/>
          <w:szCs w:val="20"/>
          <w:lang w:val="en-US" w:eastAsia="de-DE" w:bidi="en-US"/>
        </w:rPr>
        <w:t>trans</w:t>
      </w:r>
      <w:r w:rsidRPr="0068701D">
        <w:rPr>
          <w:rFonts w:ascii="Palatino Linotype" w:eastAsia="Times New Roman" w:hAnsi="Palatino Linotype" w:cs="Times New Roman"/>
          <w:color w:val="000000"/>
          <w:sz w:val="20"/>
          <w:szCs w:val="20"/>
          <w:lang w:val="en-US" w:eastAsia="de-DE" w:bidi="en-US"/>
        </w:rPr>
        <w:t xml:space="preserve">-infection of TZM-bl cells using single-cycle infectious virus particles. </w:t>
      </w:r>
      <w:proofErr w:type="spellStart"/>
      <w:r w:rsidRPr="0068701D">
        <w:rPr>
          <w:rFonts w:ascii="Palatino Linotype" w:eastAsia="Times New Roman" w:hAnsi="Palatino Linotype" w:cs="Times New Roman"/>
          <w:i/>
          <w:iCs/>
          <w:color w:val="000000"/>
          <w:sz w:val="20"/>
          <w:szCs w:val="20"/>
          <w:lang w:val="en-US" w:eastAsia="de-DE" w:bidi="en-US"/>
        </w:rPr>
        <w:t>Mtb</w:t>
      </w:r>
      <w:proofErr w:type="spellEnd"/>
      <w:r w:rsidRPr="0068701D">
        <w:rPr>
          <w:rFonts w:ascii="Palatino Linotype" w:eastAsia="Times New Roman" w:hAnsi="Palatino Linotype" w:cs="Times New Roman"/>
          <w:color w:val="000000"/>
          <w:sz w:val="20"/>
          <w:szCs w:val="20"/>
          <w:lang w:val="en-US" w:eastAsia="de-DE" w:bidi="en-US"/>
        </w:rPr>
        <w:t xml:space="preserve"> glycolipids did not affect HIV-1 direct infection however,</w:t>
      </w:r>
      <w:r w:rsidRPr="0068701D">
        <w:rPr>
          <w:rFonts w:ascii="Palatino Linotype" w:eastAsia="Times New Roman" w:hAnsi="Palatino Linotype" w:cs="Times New Roman"/>
          <w:i/>
          <w:iCs/>
          <w:color w:val="000000"/>
          <w:sz w:val="20"/>
          <w:szCs w:val="20"/>
          <w:lang w:val="en-US" w:eastAsia="de-DE" w:bidi="en-US"/>
        </w:rPr>
        <w:t xml:space="preserve"> trans</w:t>
      </w:r>
      <w:r w:rsidRPr="0068701D">
        <w:rPr>
          <w:rFonts w:ascii="Palatino Linotype" w:eastAsia="Times New Roman" w:hAnsi="Palatino Linotype" w:cs="Times New Roman"/>
          <w:color w:val="000000"/>
          <w:sz w:val="20"/>
          <w:szCs w:val="20"/>
          <w:lang w:val="en-US" w:eastAsia="de-DE" w:bidi="en-US"/>
        </w:rPr>
        <w:t>-infection of both R5 and X4 tropic HIV-1 strains were impaired in the presence of</w:t>
      </w:r>
      <w:r w:rsidRPr="0068701D">
        <w:rPr>
          <w:rFonts w:ascii="Palatino Linotype" w:eastAsia="Times New Roman" w:hAnsi="Palatino Linotype" w:cs="Times New Roman"/>
          <w:i/>
          <w:iCs/>
          <w:color w:val="000000"/>
          <w:sz w:val="20"/>
          <w:szCs w:val="20"/>
          <w:lang w:val="en-US" w:eastAsia="de-DE" w:bidi="en-US"/>
        </w:rPr>
        <w:t xml:space="preserve"> </w:t>
      </w:r>
      <w:r w:rsidRPr="0068701D">
        <w:rPr>
          <w:rFonts w:ascii="Palatino Linotype" w:eastAsia="Times New Roman" w:hAnsi="Palatino Linotype" w:cs="Times New Roman"/>
          <w:color w:val="000000"/>
          <w:sz w:val="20"/>
          <w:szCs w:val="20"/>
          <w:lang w:val="en-US" w:eastAsia="de-DE" w:bidi="en-US"/>
        </w:rPr>
        <w:t xml:space="preserve">glycolipids from </w:t>
      </w:r>
      <w:r w:rsidRPr="0068701D">
        <w:rPr>
          <w:rFonts w:ascii="Palatino Linotype" w:eastAsia="Times New Roman" w:hAnsi="Palatino Linotype" w:cs="Times New Roman"/>
          <w:i/>
          <w:iCs/>
          <w:color w:val="000000"/>
          <w:sz w:val="20"/>
          <w:szCs w:val="20"/>
          <w:lang w:val="en-US" w:eastAsia="de-DE" w:bidi="en-US"/>
        </w:rPr>
        <w:t xml:space="preserve">M. </w:t>
      </w:r>
      <w:proofErr w:type="spellStart"/>
      <w:r w:rsidRPr="0068701D">
        <w:rPr>
          <w:rFonts w:ascii="Palatino Linotype" w:eastAsia="Times New Roman" w:hAnsi="Palatino Linotype" w:cs="Times New Roman"/>
          <w:i/>
          <w:iCs/>
          <w:color w:val="000000"/>
          <w:sz w:val="20"/>
          <w:szCs w:val="20"/>
          <w:lang w:val="en-US" w:eastAsia="de-DE" w:bidi="en-US"/>
        </w:rPr>
        <w:t>bovis</w:t>
      </w:r>
      <w:proofErr w:type="spellEnd"/>
      <w:r w:rsidRPr="0068701D">
        <w:rPr>
          <w:rFonts w:ascii="Palatino Linotype" w:eastAsia="Times New Roman" w:hAnsi="Palatino Linotype" w:cs="Times New Roman"/>
          <w:color w:val="000000"/>
          <w:sz w:val="20"/>
          <w:szCs w:val="20"/>
          <w:lang w:val="en-US" w:eastAsia="de-DE" w:bidi="en-US"/>
        </w:rPr>
        <w:t xml:space="preserve">, </w:t>
      </w:r>
      <w:proofErr w:type="spellStart"/>
      <w:r w:rsidRPr="0068701D">
        <w:rPr>
          <w:rFonts w:ascii="Palatino Linotype" w:eastAsia="Times New Roman" w:hAnsi="Palatino Linotype" w:cs="Times New Roman"/>
          <w:i/>
          <w:iCs/>
          <w:color w:val="000000"/>
          <w:sz w:val="20"/>
          <w:szCs w:val="20"/>
          <w:lang w:val="en-US" w:eastAsia="de-DE" w:bidi="en-US"/>
        </w:rPr>
        <w:t>Mtb</w:t>
      </w:r>
      <w:proofErr w:type="spellEnd"/>
      <w:r w:rsidRPr="0068701D">
        <w:rPr>
          <w:rFonts w:ascii="Palatino Linotype" w:eastAsia="Times New Roman" w:hAnsi="Palatino Linotype" w:cs="Times New Roman"/>
          <w:color w:val="000000"/>
          <w:sz w:val="20"/>
          <w:szCs w:val="20"/>
          <w:lang w:val="en-US" w:eastAsia="de-DE" w:bidi="en-US"/>
        </w:rPr>
        <w:t xml:space="preserve"> H37Rv and </w:t>
      </w:r>
      <w:proofErr w:type="spellStart"/>
      <w:r w:rsidRPr="0068701D">
        <w:rPr>
          <w:rFonts w:ascii="Palatino Linotype" w:eastAsia="Times New Roman" w:hAnsi="Palatino Linotype" w:cs="Times New Roman"/>
          <w:i/>
          <w:iCs/>
          <w:color w:val="000000"/>
          <w:sz w:val="20"/>
          <w:szCs w:val="20"/>
          <w:lang w:val="en-US" w:eastAsia="de-DE" w:bidi="en-US"/>
        </w:rPr>
        <w:t>Mtb</w:t>
      </w:r>
      <w:proofErr w:type="spellEnd"/>
      <w:r w:rsidRPr="0068701D">
        <w:rPr>
          <w:rFonts w:ascii="Palatino Linotype" w:eastAsia="Times New Roman" w:hAnsi="Palatino Linotype" w:cs="Times New Roman"/>
          <w:i/>
          <w:iCs/>
          <w:color w:val="000000"/>
          <w:sz w:val="20"/>
          <w:szCs w:val="20"/>
          <w:lang w:val="en-US" w:eastAsia="de-DE" w:bidi="en-US"/>
        </w:rPr>
        <w:t xml:space="preserve"> </w:t>
      </w:r>
      <w:r w:rsidRPr="0068701D">
        <w:rPr>
          <w:rFonts w:ascii="Palatino Linotype" w:eastAsia="Times New Roman" w:hAnsi="Palatino Linotype" w:cs="Times New Roman"/>
          <w:color w:val="000000"/>
          <w:sz w:val="20"/>
          <w:szCs w:val="20"/>
          <w:lang w:val="en-US" w:eastAsia="de-DE" w:bidi="en-US"/>
        </w:rPr>
        <w:t xml:space="preserve">EU127 strains when using Raji-DC-SIGN cells or immature and mature dendritic cells (DCs) to capture virus. SL1, PDIM and TDM lipids were identified to be involved in DC-SIGN recognition and impairment of HIV-1 </w:t>
      </w:r>
      <w:r w:rsidRPr="0068701D">
        <w:rPr>
          <w:rFonts w:ascii="Palatino Linotype" w:eastAsia="Times New Roman" w:hAnsi="Palatino Linotype" w:cs="Times New Roman"/>
          <w:i/>
          <w:iCs/>
          <w:color w:val="000000"/>
          <w:sz w:val="20"/>
          <w:szCs w:val="20"/>
          <w:lang w:val="en-US" w:eastAsia="de-DE" w:bidi="en-US"/>
        </w:rPr>
        <w:t>trans</w:t>
      </w:r>
      <w:r w:rsidRPr="0068701D">
        <w:rPr>
          <w:rFonts w:ascii="Palatino Linotype" w:eastAsia="Times New Roman" w:hAnsi="Palatino Linotype" w:cs="Times New Roman"/>
          <w:color w:val="000000"/>
          <w:sz w:val="20"/>
          <w:szCs w:val="20"/>
          <w:lang w:val="en-US" w:eastAsia="de-DE" w:bidi="en-US"/>
        </w:rPr>
        <w:t xml:space="preserve">-infection. These findings indicate that variant strains of </w:t>
      </w:r>
      <w:proofErr w:type="spellStart"/>
      <w:r w:rsidRPr="0068701D">
        <w:rPr>
          <w:rFonts w:ascii="Palatino Linotype" w:eastAsia="Times New Roman" w:hAnsi="Palatino Linotype" w:cs="Times New Roman"/>
          <w:i/>
          <w:iCs/>
          <w:color w:val="000000"/>
          <w:sz w:val="20"/>
          <w:szCs w:val="20"/>
          <w:lang w:val="en-US" w:eastAsia="de-DE" w:bidi="en-US"/>
        </w:rPr>
        <w:t>Mtb</w:t>
      </w:r>
      <w:proofErr w:type="spellEnd"/>
      <w:r w:rsidRPr="0068701D">
        <w:rPr>
          <w:rFonts w:ascii="Palatino Linotype" w:eastAsia="Times New Roman" w:hAnsi="Palatino Linotype" w:cs="Times New Roman"/>
          <w:color w:val="000000"/>
          <w:sz w:val="20"/>
          <w:szCs w:val="20"/>
          <w:lang w:val="en-US" w:eastAsia="de-DE" w:bidi="en-US"/>
        </w:rPr>
        <w:t xml:space="preserve"> have differential effect on HIV-1 </w:t>
      </w:r>
      <w:r w:rsidRPr="0068701D">
        <w:rPr>
          <w:rFonts w:ascii="Palatino Linotype" w:eastAsia="Times New Roman" w:hAnsi="Palatino Linotype" w:cs="Times New Roman"/>
          <w:i/>
          <w:iCs/>
          <w:color w:val="000000"/>
          <w:sz w:val="20"/>
          <w:szCs w:val="20"/>
          <w:lang w:val="en-US" w:eastAsia="de-DE" w:bidi="en-US"/>
        </w:rPr>
        <w:t>trans</w:t>
      </w:r>
      <w:r w:rsidRPr="0068701D">
        <w:rPr>
          <w:rFonts w:ascii="Palatino Linotype" w:eastAsia="Times New Roman" w:hAnsi="Palatino Linotype" w:cs="Times New Roman"/>
          <w:color w:val="000000"/>
          <w:sz w:val="20"/>
          <w:szCs w:val="20"/>
          <w:lang w:val="en-US" w:eastAsia="de-DE" w:bidi="en-US"/>
        </w:rPr>
        <w:t>-infection with the potential to influence HIV-1 disease course in co-infected individuals.</w:t>
      </w:r>
    </w:p>
    <w:p w:rsidR="00101A51" w:rsidRDefault="00101A51" w:rsidP="0068701D">
      <w:pPr>
        <w:adjustRightInd w:val="0"/>
        <w:snapToGrid w:val="0"/>
        <w:spacing w:before="240" w:after="0" w:line="240" w:lineRule="auto"/>
        <w:jc w:val="both"/>
        <w:rPr>
          <w:rFonts w:ascii="Palatino Linotype" w:eastAsia="Times New Roman" w:hAnsi="Palatino Linotype" w:cs="Times New Roman"/>
          <w:b/>
          <w:snapToGrid w:val="0"/>
          <w:color w:val="000000"/>
          <w:sz w:val="20"/>
          <w:szCs w:val="20"/>
          <w:lang w:val="en-US" w:eastAsia="de-DE" w:bidi="en-US"/>
        </w:rPr>
      </w:pPr>
    </w:p>
    <w:p w:rsidR="0068701D" w:rsidRPr="0068701D" w:rsidRDefault="0068701D" w:rsidP="0068701D">
      <w:pPr>
        <w:adjustRightInd w:val="0"/>
        <w:snapToGrid w:val="0"/>
        <w:spacing w:before="240" w:after="0" w:line="240" w:lineRule="auto"/>
        <w:jc w:val="both"/>
        <w:rPr>
          <w:rFonts w:ascii="Palatino Linotype" w:eastAsia="Times New Roman" w:hAnsi="Palatino Linotype" w:cs="Times New Roman"/>
          <w:snapToGrid w:val="0"/>
          <w:color w:val="000000"/>
          <w:sz w:val="20"/>
          <w:szCs w:val="20"/>
          <w:lang w:val="en-US" w:eastAsia="de-DE" w:bidi="en-US"/>
        </w:rPr>
      </w:pPr>
      <w:r w:rsidRPr="0068701D">
        <w:rPr>
          <w:rFonts w:ascii="Palatino Linotype" w:eastAsia="Times New Roman" w:hAnsi="Palatino Linotype" w:cs="Times New Roman"/>
          <w:b/>
          <w:snapToGrid w:val="0"/>
          <w:color w:val="000000"/>
          <w:sz w:val="20"/>
          <w:szCs w:val="20"/>
          <w:lang w:val="en-US" w:eastAsia="de-DE" w:bidi="en-US"/>
        </w:rPr>
        <w:t xml:space="preserve">Keywords: </w:t>
      </w:r>
      <w:r w:rsidRPr="0068701D">
        <w:rPr>
          <w:rFonts w:ascii="Palatino Linotype" w:eastAsia="Times New Roman" w:hAnsi="Palatino Linotype" w:cs="Times New Roman"/>
          <w:snapToGrid w:val="0"/>
          <w:color w:val="000000"/>
          <w:sz w:val="20"/>
          <w:szCs w:val="20"/>
          <w:lang w:val="en-US" w:eastAsia="de-DE" w:bidi="en-US"/>
        </w:rPr>
        <w:t xml:space="preserve">HIV-1; TB; </w:t>
      </w:r>
      <w:r w:rsidRPr="0068701D">
        <w:rPr>
          <w:rFonts w:ascii="Palatino Linotype" w:eastAsia="Times New Roman" w:hAnsi="Palatino Linotype" w:cs="Times New Roman"/>
          <w:i/>
          <w:iCs/>
          <w:snapToGrid w:val="0"/>
          <w:color w:val="000000"/>
          <w:sz w:val="20"/>
          <w:szCs w:val="20"/>
          <w:lang w:val="en-US" w:eastAsia="de-DE" w:bidi="en-US"/>
        </w:rPr>
        <w:t>Mycobacterium tuberculosis</w:t>
      </w:r>
      <w:r w:rsidRPr="0068701D">
        <w:rPr>
          <w:rFonts w:ascii="Palatino Linotype" w:eastAsia="Times New Roman" w:hAnsi="Palatino Linotype" w:cs="Times New Roman"/>
          <w:snapToGrid w:val="0"/>
          <w:color w:val="000000"/>
          <w:sz w:val="20"/>
          <w:szCs w:val="20"/>
          <w:lang w:val="en-US" w:eastAsia="de-DE" w:bidi="en-US"/>
        </w:rPr>
        <w:t xml:space="preserve">; in vitro; DC-SIGN; liposomes; </w:t>
      </w:r>
      <w:r w:rsidRPr="0068701D">
        <w:rPr>
          <w:rFonts w:ascii="Palatino Linotype" w:eastAsia="Times New Roman" w:hAnsi="Palatino Linotype" w:cs="Times New Roman"/>
          <w:i/>
          <w:iCs/>
          <w:snapToGrid w:val="0"/>
          <w:color w:val="000000"/>
          <w:sz w:val="20"/>
          <w:szCs w:val="20"/>
          <w:lang w:val="en-US" w:eastAsia="de-DE" w:bidi="en-US"/>
        </w:rPr>
        <w:t>trans</w:t>
      </w:r>
      <w:r w:rsidRPr="0068701D">
        <w:rPr>
          <w:rFonts w:ascii="Palatino Linotype" w:eastAsia="Times New Roman" w:hAnsi="Palatino Linotype" w:cs="Times New Roman"/>
          <w:snapToGrid w:val="0"/>
          <w:color w:val="000000"/>
          <w:sz w:val="20"/>
          <w:szCs w:val="20"/>
          <w:lang w:val="en-US" w:eastAsia="de-DE" w:bidi="en-US"/>
        </w:rPr>
        <w:t xml:space="preserve">-infection; SL1; TDM; PDIM; H37Rv; HN878; CDC1551; EU127; BCG; </w:t>
      </w:r>
      <w:r w:rsidRPr="0068701D">
        <w:rPr>
          <w:rFonts w:ascii="Palatino Linotype" w:eastAsia="Times New Roman" w:hAnsi="Palatino Linotype" w:cs="Times New Roman"/>
          <w:i/>
          <w:iCs/>
          <w:snapToGrid w:val="0"/>
          <w:color w:val="000000"/>
          <w:sz w:val="20"/>
          <w:szCs w:val="20"/>
          <w:lang w:val="en-US" w:eastAsia="de-DE" w:bidi="en-US"/>
        </w:rPr>
        <w:t>M. smegmatis</w:t>
      </w:r>
    </w:p>
    <w:p w:rsidR="0068701D" w:rsidRDefault="0068701D" w:rsidP="00480AF7">
      <w:pPr>
        <w:adjustRightInd w:val="0"/>
        <w:snapToGrid w:val="0"/>
        <w:spacing w:before="240" w:after="60" w:line="228" w:lineRule="auto"/>
        <w:outlineLvl w:val="0"/>
        <w:rPr>
          <w:rFonts w:ascii="Palatino Linotype" w:eastAsia="Times New Roman" w:hAnsi="Palatino Linotype" w:cs="Times New Roman"/>
          <w:b/>
          <w:snapToGrid w:val="0"/>
          <w:color w:val="000000"/>
          <w:sz w:val="20"/>
          <w:lang w:val="en-US" w:eastAsia="zh-CN" w:bidi="en-US"/>
        </w:rPr>
      </w:pPr>
    </w:p>
    <w:p w:rsidR="00101A51" w:rsidRDefault="00101A51" w:rsidP="00480AF7">
      <w:pPr>
        <w:adjustRightInd w:val="0"/>
        <w:snapToGrid w:val="0"/>
        <w:spacing w:before="240" w:after="60" w:line="228" w:lineRule="auto"/>
        <w:outlineLvl w:val="0"/>
        <w:rPr>
          <w:rFonts w:ascii="Palatino Linotype" w:eastAsia="Times New Roman" w:hAnsi="Palatino Linotype" w:cs="Times New Roman"/>
          <w:b/>
          <w:snapToGrid w:val="0"/>
          <w:color w:val="000000"/>
          <w:sz w:val="20"/>
          <w:lang w:val="en-US" w:eastAsia="zh-CN" w:bidi="en-US"/>
        </w:rPr>
      </w:pPr>
    </w:p>
    <w:p w:rsidR="001336A8" w:rsidRDefault="001336A8" w:rsidP="00480AF7">
      <w:pPr>
        <w:adjustRightInd w:val="0"/>
        <w:snapToGrid w:val="0"/>
        <w:spacing w:before="240" w:after="60" w:line="228" w:lineRule="auto"/>
        <w:outlineLvl w:val="0"/>
        <w:rPr>
          <w:rFonts w:ascii="Palatino Linotype" w:eastAsia="Times New Roman" w:hAnsi="Palatino Linotype" w:cs="Times New Roman"/>
          <w:b/>
          <w:snapToGrid w:val="0"/>
          <w:color w:val="000000"/>
          <w:sz w:val="20"/>
          <w:lang w:val="en-US" w:eastAsia="zh-CN" w:bidi="en-US"/>
        </w:rPr>
      </w:pPr>
    </w:p>
    <w:p w:rsidR="00480AF7" w:rsidRPr="00480AF7" w:rsidRDefault="00480AF7" w:rsidP="00480AF7">
      <w:pPr>
        <w:adjustRightInd w:val="0"/>
        <w:snapToGrid w:val="0"/>
        <w:spacing w:before="240" w:after="60" w:line="228" w:lineRule="auto"/>
        <w:outlineLvl w:val="0"/>
        <w:rPr>
          <w:rFonts w:ascii="Palatino Linotype" w:eastAsia="Times New Roman" w:hAnsi="Palatino Linotype" w:cs="Times New Roman"/>
          <w:b/>
          <w:snapToGrid w:val="0"/>
          <w:color w:val="000000"/>
          <w:sz w:val="20"/>
          <w:lang w:val="en-US" w:eastAsia="de-DE" w:bidi="en-US"/>
        </w:rPr>
      </w:pPr>
      <w:r w:rsidRPr="00480AF7">
        <w:rPr>
          <w:rFonts w:ascii="Palatino Linotype" w:eastAsia="Times New Roman" w:hAnsi="Palatino Linotype" w:cs="Times New Roman"/>
          <w:b/>
          <w:snapToGrid w:val="0"/>
          <w:color w:val="000000"/>
          <w:sz w:val="20"/>
          <w:lang w:val="en-US" w:eastAsia="zh-CN" w:bidi="en-US"/>
        </w:rPr>
        <w:t xml:space="preserve">1. </w:t>
      </w:r>
      <w:r w:rsidRPr="00480AF7">
        <w:rPr>
          <w:rFonts w:ascii="Palatino Linotype" w:eastAsia="Times New Roman" w:hAnsi="Palatino Linotype" w:cs="Times New Roman"/>
          <w:b/>
          <w:snapToGrid w:val="0"/>
          <w:color w:val="000000"/>
          <w:sz w:val="20"/>
          <w:lang w:val="en-US" w:eastAsia="de-DE" w:bidi="en-US"/>
        </w:rPr>
        <w:t>In</w:t>
      </w:r>
      <w:bookmarkStart w:id="0" w:name="_GoBack"/>
      <w:bookmarkEnd w:id="0"/>
      <w:r w:rsidRPr="00480AF7">
        <w:rPr>
          <w:rFonts w:ascii="Palatino Linotype" w:eastAsia="Times New Roman" w:hAnsi="Palatino Linotype" w:cs="Times New Roman"/>
          <w:b/>
          <w:snapToGrid w:val="0"/>
          <w:color w:val="000000"/>
          <w:sz w:val="20"/>
          <w:lang w:val="en-US" w:eastAsia="de-DE" w:bidi="en-US"/>
        </w:rPr>
        <w:t>troduction</w:t>
      </w:r>
    </w:p>
    <w:p w:rsidR="00480AF7" w:rsidRPr="00480AF7" w:rsidRDefault="00480AF7" w:rsidP="00480AF7">
      <w:pPr>
        <w:adjustRightInd w:val="0"/>
        <w:snapToGrid w:val="0"/>
        <w:spacing w:after="0" w:line="228" w:lineRule="auto"/>
        <w:ind w:firstLine="425"/>
        <w:jc w:val="both"/>
        <w:rPr>
          <w:rFonts w:ascii="Palatino Linotype" w:eastAsia="Times New Roman" w:hAnsi="Palatino Linotype" w:cs="Times New Roman"/>
          <w:snapToGrid w:val="0"/>
          <w:color w:val="000000"/>
          <w:sz w:val="20"/>
          <w:lang w:val="en-US" w:eastAsia="de-DE" w:bidi="en-US"/>
        </w:rPr>
      </w:pPr>
      <w:bookmarkStart w:id="1" w:name="OLE_LINK1"/>
      <w:bookmarkStart w:id="2" w:name="OLE_LINK2"/>
      <w:r w:rsidRPr="00480AF7">
        <w:rPr>
          <w:rFonts w:ascii="Palatino Linotype" w:eastAsia="Times New Roman" w:hAnsi="Palatino Linotype" w:cs="Times New Roman"/>
          <w:snapToGrid w:val="0"/>
          <w:color w:val="000000"/>
          <w:sz w:val="20"/>
          <w:lang w:val="en-US" w:eastAsia="de-DE" w:bidi="en-US"/>
        </w:rPr>
        <w:t xml:space="preserve">Human immunodeficiency virus type 1 (HIV-1) and </w:t>
      </w:r>
      <w:r w:rsidRPr="00480AF7">
        <w:rPr>
          <w:rFonts w:ascii="Palatino Linotype" w:eastAsia="Times New Roman" w:hAnsi="Palatino Linotype" w:cs="Times New Roman"/>
          <w:i/>
          <w:iCs/>
          <w:snapToGrid w:val="0"/>
          <w:color w:val="000000"/>
          <w:sz w:val="20"/>
          <w:lang w:val="en-US" w:eastAsia="de-DE" w:bidi="en-US"/>
        </w:rPr>
        <w:t>Mycobacterium tuberculosis</w:t>
      </w:r>
      <w:r w:rsidRPr="00480AF7">
        <w:rPr>
          <w:rFonts w:ascii="Palatino Linotype" w:eastAsia="Times New Roman" w:hAnsi="Palatino Linotype" w:cs="Times New Roman"/>
          <w:snapToGrid w:val="0"/>
          <w:color w:val="000000"/>
          <w:sz w:val="20"/>
          <w:lang w:val="en-US" w:eastAsia="de-DE" w:bidi="en-US"/>
        </w:rPr>
        <w:t xml:space="preserve"> (</w:t>
      </w:r>
      <w:proofErr w:type="spellStart"/>
      <w:r w:rsidRPr="00480AF7">
        <w:rPr>
          <w:rFonts w:ascii="Palatino Linotype" w:eastAsia="Times New Roman" w:hAnsi="Palatino Linotype" w:cs="Times New Roman"/>
          <w:i/>
          <w:iCs/>
          <w:snapToGrid w:val="0"/>
          <w:color w:val="000000"/>
          <w:sz w:val="20"/>
          <w:lang w:val="en-US" w:eastAsia="de-DE" w:bidi="en-US"/>
        </w:rPr>
        <w:t>Mtb</w:t>
      </w:r>
      <w:proofErr w:type="spellEnd"/>
      <w:r w:rsidRPr="00480AF7">
        <w:rPr>
          <w:rFonts w:ascii="Palatino Linotype" w:eastAsia="Times New Roman" w:hAnsi="Palatino Linotype" w:cs="Times New Roman"/>
          <w:snapToGrid w:val="0"/>
          <w:color w:val="000000"/>
          <w:sz w:val="20"/>
          <w:lang w:val="en-US" w:eastAsia="de-DE" w:bidi="en-US"/>
        </w:rPr>
        <w:t xml:space="preserve">) co-infection results in a loss of numerous immunological functions and ultimately leads to death when not treated. The WHO estimated in 2019 that 208,000 people died of HIV-associated tuberculosis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{"citationItems":[{"id":"ITEM-1","itemData":{"ISBN":"9789240013131","author":[{"dropping-particle":"","family":"World Health Organization","given":"","non-dropping-particle":"","parse-names":false,"suffix":""}],"id":"ITEM-1","issued":{"date-parts":[["2020"]]},"title":"Global Tuberculosis Report","type":"report"},"uris":["http://www.mendeley.com/documents/?uuid=e3de0605-5d36-4664-af59-31110e407543"]}],"mendeley":{"formattedCitation":"[1]","plainTextFormattedCitation":"[1]","previouslyFormattedCitation":"[1]"},"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[1]</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Both, </w:t>
      </w:r>
      <w:proofErr w:type="spellStart"/>
      <w:r w:rsidRPr="00480AF7">
        <w:rPr>
          <w:rFonts w:ascii="Palatino Linotype" w:eastAsia="Times New Roman" w:hAnsi="Palatino Linotype" w:cs="Times New Roman"/>
          <w:i/>
          <w:iCs/>
          <w:snapToGrid w:val="0"/>
          <w:color w:val="000000"/>
          <w:sz w:val="20"/>
          <w:lang w:val="en-US" w:eastAsia="de-DE" w:bidi="en-US"/>
        </w:rPr>
        <w:t>Mtb</w:t>
      </w:r>
      <w:proofErr w:type="spellEnd"/>
      <w:r w:rsidRPr="00480AF7">
        <w:rPr>
          <w:rFonts w:ascii="Palatino Linotype" w:eastAsia="Times New Roman" w:hAnsi="Palatino Linotype" w:cs="Times New Roman"/>
          <w:snapToGrid w:val="0"/>
          <w:color w:val="000000"/>
          <w:sz w:val="20"/>
          <w:lang w:val="en-US" w:eastAsia="de-DE" w:bidi="en-US"/>
        </w:rPr>
        <w:t xml:space="preserve"> and HIV-1 can induce profound changes in the host immune response resulting in</w:t>
      </w:r>
      <w:r w:rsidRPr="00480AF7">
        <w:rPr>
          <w:rFonts w:ascii="Palatino Linotype" w:eastAsia="Times New Roman" w:hAnsi="Palatino Linotype" w:cs="Times New Roman"/>
          <w:i/>
          <w:iCs/>
          <w:snapToGrid w:val="0"/>
          <w:color w:val="000000"/>
          <w:sz w:val="20"/>
          <w:lang w:val="en-US" w:eastAsia="de-DE" w:bidi="en-US"/>
        </w:rPr>
        <w:t xml:space="preserve"> </w:t>
      </w:r>
      <w:r w:rsidRPr="00480AF7">
        <w:rPr>
          <w:rFonts w:ascii="Palatino Linotype" w:eastAsia="Times New Roman" w:hAnsi="Palatino Linotype" w:cs="Times New Roman"/>
          <w:snapToGrid w:val="0"/>
          <w:color w:val="000000"/>
          <w:sz w:val="20"/>
          <w:lang w:val="en-US" w:eastAsia="de-DE" w:bidi="en-US"/>
        </w:rPr>
        <w:t xml:space="preserve">increased rates of active </w:t>
      </w:r>
      <w:proofErr w:type="spellStart"/>
      <w:r w:rsidRPr="00480AF7">
        <w:rPr>
          <w:rFonts w:ascii="Palatino Linotype" w:eastAsia="Times New Roman" w:hAnsi="Palatino Linotype" w:cs="Times New Roman"/>
          <w:i/>
          <w:iCs/>
          <w:snapToGrid w:val="0"/>
          <w:color w:val="000000"/>
          <w:sz w:val="20"/>
          <w:lang w:val="en-US" w:eastAsia="de-DE" w:bidi="en-US"/>
        </w:rPr>
        <w:t>Mtb</w:t>
      </w:r>
      <w:proofErr w:type="spellEnd"/>
      <w:r w:rsidRPr="00480AF7">
        <w:rPr>
          <w:rFonts w:ascii="Palatino Linotype" w:eastAsia="Times New Roman" w:hAnsi="Palatino Linotype" w:cs="Times New Roman"/>
          <w:snapToGrid w:val="0"/>
          <w:color w:val="000000"/>
          <w:sz w:val="20"/>
          <w:lang w:val="en-US" w:eastAsia="de-DE" w:bidi="en-US"/>
        </w:rPr>
        <w:t xml:space="preserve"> disease or the exacerbation of HIV-1 infection. </w:t>
      </w:r>
      <w:proofErr w:type="spellStart"/>
      <w:r w:rsidRPr="00480AF7">
        <w:rPr>
          <w:rFonts w:ascii="Palatino Linotype" w:eastAsia="Times New Roman" w:hAnsi="Palatino Linotype" w:cs="Times New Roman"/>
          <w:i/>
          <w:iCs/>
          <w:snapToGrid w:val="0"/>
          <w:color w:val="000000"/>
          <w:sz w:val="20"/>
          <w:lang w:val="en-US" w:eastAsia="de-DE" w:bidi="en-US"/>
        </w:rPr>
        <w:t>Mtb</w:t>
      </w:r>
      <w:proofErr w:type="spellEnd"/>
      <w:r w:rsidRPr="00480AF7">
        <w:rPr>
          <w:rFonts w:ascii="Palatino Linotype" w:eastAsia="Times New Roman" w:hAnsi="Palatino Linotype" w:cs="Times New Roman"/>
          <w:snapToGrid w:val="0"/>
          <w:color w:val="000000"/>
          <w:sz w:val="20"/>
          <w:lang w:val="en-US" w:eastAsia="de-DE" w:bidi="en-US"/>
        </w:rPr>
        <w:t xml:space="preserve"> creates a favorable environment for HIV-1 direct infection (</w:t>
      </w:r>
      <w:r w:rsidRPr="00480AF7">
        <w:rPr>
          <w:rFonts w:ascii="Palatino Linotype" w:eastAsia="Times New Roman" w:hAnsi="Palatino Linotype" w:cs="Times New Roman"/>
          <w:i/>
          <w:snapToGrid w:val="0"/>
          <w:color w:val="000000"/>
          <w:sz w:val="20"/>
          <w:lang w:val="en-US" w:eastAsia="de-DE" w:bidi="en-US"/>
        </w:rPr>
        <w:t>cis</w:t>
      </w:r>
      <w:r w:rsidRPr="00480AF7">
        <w:rPr>
          <w:rFonts w:ascii="Palatino Linotype" w:eastAsia="Times New Roman" w:hAnsi="Palatino Linotype" w:cs="Times New Roman"/>
          <w:snapToGrid w:val="0"/>
          <w:color w:val="000000"/>
          <w:sz w:val="20"/>
          <w:lang w:val="en-US" w:eastAsia="de-DE" w:bidi="en-US"/>
        </w:rPr>
        <w:t xml:space="preserve">-infection) and/or replication, as </w:t>
      </w:r>
      <w:proofErr w:type="spellStart"/>
      <w:r w:rsidRPr="00480AF7">
        <w:rPr>
          <w:rFonts w:ascii="Palatino Linotype" w:eastAsia="Times New Roman" w:hAnsi="Palatino Linotype" w:cs="Times New Roman"/>
          <w:i/>
          <w:iCs/>
          <w:snapToGrid w:val="0"/>
          <w:color w:val="000000"/>
          <w:sz w:val="20"/>
          <w:lang w:val="en-US" w:eastAsia="de-DE" w:bidi="en-US"/>
        </w:rPr>
        <w:t>Mtb</w:t>
      </w:r>
      <w:proofErr w:type="spellEnd"/>
      <w:r w:rsidRPr="00480AF7">
        <w:rPr>
          <w:rFonts w:ascii="Palatino Linotype" w:eastAsia="Times New Roman" w:hAnsi="Palatino Linotype" w:cs="Times New Roman"/>
          <w:snapToGrid w:val="0"/>
          <w:color w:val="000000"/>
          <w:sz w:val="20"/>
          <w:lang w:val="en-US" w:eastAsia="de-DE" w:bidi="en-US"/>
        </w:rPr>
        <w:t xml:space="preserve"> infection leads to the activation and induction of immune responses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{"citationItems":[{"id":"ITEM-1","itemData":{"DOI":"10.1016/j.ebiom.2015.03.005","ISSN":"23523964","abstract":"In recent years, chronic immune activation and systemic inflammation haveemerged as hallmarks of HIVdisease progression and mortality. Several studies indicate that soluble inflammatory biomarkers (sCD14, IL-6, IL-8, CRP and hyaluronic acid), aswell as surface markers of T-cell activation (CD38, HLA-DR) independently predict pro- gression to AIDS andmortality inHIV-infected individuals.While co-infections have been shown to contribute to immune activation, the impact of latent tuberculosis infection (LTBI),which iswidely endemic in the areas most affected by the global AIDS epidemic, has not been evaluated.Wehypothesized that both active and latent states of Mycobacterium tuberculosis co-infection contribute to elevated immune activation as measured by these markers. In HIV-infected individualswith active, but not latent TB, we found elevated levels of solublemarkers associated with monocyte activation. Interestingly, T-cell activation was elevated individuals with both latent and active TB. These results suggest that in the highly TB- and HIV-endemic settings of southern Africa, latent TB-associated T-cell activation may contribute to HIV disease progression and exacerbate the HIV epidemic. In addition, our findings indicate that aggressive campaigns to treat LTBI in HIV-infected individuals in high- burden countrieswill not only impact TB rates, butmay also slow HIV progression. Significance: Latent tuberculosis,which affects an estimated 1/3 of theworld's population, has long been thought to be a relatively benign, quiescent state ofM. tuberculosis infection.While HIV co-infection is known to exacer- bate M. tuberculosis infection and increase the risk of developing active TB, little is known about the potential ef- fect of latent TB infection on HIV disease. This study shows that HIV-infected individuals with both active and latent TB have elevated levels of inflammation and immune activation, biomarkers of HIV disease progression and elevated risk ofmortality. These results suggest that, in the context of HIV, latent TB infection may be asso- ciatedwith increased risk of progression to AIDS andmortality.","author":[{"dropping-particle":"","family":"Sullivan","given":"Zuri a.","non-dropping-particle":"","parse-names":false,"suffix":""},{"dropping-particle":"","family":"Wong","given":"Emily B.","non-dropping-particle":"","parse-names":false,"suffix":""},{"dropping-particle":"","family":"Ndung'u","given":"Thumbi","non-dropping-particle":"","parse-names":false,"suffix":""},{"dropping-particle":"","family":"Kasprowicz","given":"Victoria O.","non-dropping-particle":"","parse-names":false,"suffix":""},{"dropping-particle":"","family":"Bishai","given":"William R.","non-dropping-particle":"","parse-names":false,"suffix":""}],"container-title":"EBioMedicine","id":"ITEM-1","issue":"4","issued":{"date-parts":[["2015","4"]]},"page":"334-340","publisher":"Elsevier B.V.","title":"Latent and Active Tuberculosis Infection Increase Immune Activation in Individuals Co-Infected with HIV","type":"article-journal","volume":"2"},"uris":["http://www.mendeley.com/documents/?uuid=bdd13f2a-b548-4cfb-9697-fd1bf0b997ac"]},{"id":"ITEM-2","itemData":{"DOI":"10.1038/nrmicro.2017.128","ISSN":"1740-1534","PMID":"29109555","abstract":"Co-infection with Mycobacterium tuberculosis is the leading cause of death in individuals infected with HIV-1. It has long been known that HIV-1 infection alters the course of M. tuberculosis infection and substantially increases the risk of active tuberculosis (TB). It has also become clear that TB increases levels of HIV-1 replication, propagation and genetic diversity. Therefore, co-infection provides reciprocal advantages to both pathogens. In this Review, we describe the epidemiological associations between the two pathogens, selected interactions of each pathogen with the host and our current understanding of how they affect the pathogenesis of TB and HIV-1/AIDS in individuals with co-infections. We evaluate the mechanisms and consequences of HIV-1 depletion of T cells on immune responses to M. tuberculosis. We also discuss the effect of HIV-1 infection on the control of M. tuberculosis by macrophages through phagocytosis, autophagy and cell death, and we propose models by which dysregulated inflammatory responses drive the pathogenesis of TB and HIV-1/AIDS.","author":[{"dropping-particle":"","family":"Bell","given":"Lucy C K","non-dropping-particle":"","parse-names":false,"suffix":""},{"dropping-particle":"","family":"Noursadeghi","given":"Mahdad","non-dropping-particle":"","parse-names":false,"suffix":""}],"container-title":"Nature reviews. Microbiology","id":"ITEM-2","issue":"2","issued":{"date-parts":[["2018","2","7"]]},"page":"80-90","publisher":"Nature Publishing Group","title":"Pathogenesis of HIV-1 and Mycobacterium tuberculosis co-infection","type":"article-journal","volume":"16"},"uris":["http://www.mendeley.com/documents/?uuid=2ed84f42-7ff3-47a2-b3cd-b8eec8f28b4a"]},{"id":"ITEM-3","itemData":{"DOI":"10.2217/fvl-2019-0069","ISSN":"1746-0794","PMID":"32273900","abstract":"Accelerated tuberculosis and AIDS progression seen in HIV-1 and Mycobacterium tuberculosis (Mtb)-coinfected individuals indicates the important interaction between these syndemic pathogens. The immunological interaction between HIV-1 and Mtb has been largely defined by how the virus exacerbates tuberculosis disease pathogenesis. Understanding of the mechanisms by which pre-existing or subsequent Mtb infection may favor the replication, persistence and progression of HIV, is less characterized. We present a rationale for the critical consideration of 'latent' Mtb infection in HIV-1 prevention and cure strategies. In support of this position, we review evidence of the effect of Mtb infection on HIV-1 acquisition, replication and persistence. We propose that 'latent' Mtb infection may have considerable impact on HIV-1 pathogenesis and the continuing HIV-1 epidemic in sub-Saharan Africa.","author":[{"dropping-particle":"","family":"Waters","given":"Robyn","non-dropping-particle":"","parse-names":false,"suffix":""},{"dropping-particle":"","family":"Ndengane","given":"Mthawelanga","non-dropping-particle":"","parse-names":false,"suffix":""},{"dropping-particle":"","family":"Abrahams","given":"Melissa-Rose","non-dropping-particle":"","parse-names":false,"suffix":""},{"dropping-particle":"","family":"Diedrich","given":"Collin R.","non-dropping-particle":"","parse-names":false,"suffix":""},{"dropping-particle":"","family":"Wilkinson","given":"Robert J.","non-dropping-particle":"","parse-names":false,"suffix":""},{"dropping-particle":"","family":"Coussens","given":"Anna K.","non-dropping-particle":"","parse-names":false,"suffix":""}],"container-title":"Future virology","id":"ITEM-3","issue":"2","issued":{"date-parts":[["2020","2"]]},"page":"101-125","title":"The Mtb-HIV syndemic interaction: why treating M. tuberculosis infection may be crucial for HIV-1 eradication.","type":"article-journal","volume":"15"},"uris":["http://www.mendeley.com/documents/?uuid=0beaf073-24d5-4825-928b-0619b364112b"]}],"mendeley":{"formattedCitation":"[2–4]","plainTextFormattedCitation":"[2–4]","previouslyFormattedCitation":"[2–4]"},"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[2–4]</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w:t>
      </w:r>
    </w:p>
    <w:p w:rsidR="00480AF7" w:rsidRPr="00480AF7" w:rsidRDefault="00480AF7" w:rsidP="00480AF7">
      <w:pPr>
        <w:adjustRightInd w:val="0"/>
        <w:snapToGrid w:val="0"/>
        <w:spacing w:after="0" w:line="228" w:lineRule="auto"/>
        <w:ind w:firstLine="425"/>
        <w:jc w:val="both"/>
        <w:rPr>
          <w:rFonts w:ascii="Palatino Linotype" w:eastAsia="Times New Roman" w:hAnsi="Palatino Linotype" w:cs="Times New Roman"/>
          <w:snapToGrid w:val="0"/>
          <w:color w:val="000000"/>
          <w:sz w:val="20"/>
          <w:lang w:val="en-US" w:eastAsia="de-DE" w:bidi="en-US"/>
        </w:rPr>
      </w:pPr>
      <w:r w:rsidRPr="00480AF7">
        <w:rPr>
          <w:rFonts w:ascii="Palatino Linotype" w:eastAsia="Times New Roman" w:hAnsi="Palatino Linotype" w:cs="Times New Roman"/>
          <w:snapToGrid w:val="0"/>
          <w:color w:val="000000"/>
          <w:sz w:val="20"/>
          <w:lang w:val="en-US" w:eastAsia="de-DE" w:bidi="en-US"/>
        </w:rPr>
        <w:t xml:space="preserve">Due to the glycosylation of the mycobacterial cell wall and HIV-1 envelope protein gp120, both pathogens engage C-type lectin receptors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{"citationItems":[{"id":"ITEM-1","itemData":{"DOI":"10.3389/fcimb.2020.00263","ISSN":"2235-2988","PMID":"32582566","abstract":"C-type lectin receptors (CLRs) are carbohydrate binding pattern recognition receptors (PRRs) which play a central role in host recognition of pathogenic microorganisms. Signaling through CLRs displayed on antigen presenting cells dictates important innate and adaptive immune responses. Several pathogens have evolved mechanisms to exploit the receptors or signaling pathways of the CLR system to gain entry or propagate in host cells. CLR responses to high priority pathogens such as Mycobacterium tuberculosis (Mtb), HIV, Ebola, and others are described and considered potential avenues for therapeutic intervention. Mtb and HIV are the leading causes of death due to infectious disease and have a synergistic relationship that further promotes aggressive disease in co-infected persons. Immune recognition through CLRs and other PRRs are important determinants of disease outcomes for both TB and HIV. Investigations of CLR responses to Mtb and HIV, to date, have primarily focused on single infection outcomes and do not account for the potential effects of co-infection. This review will focus on CLRs recognition of Mtb and HIV motifs. We will describe their respective roles in protective immunity and immune evasion or exploitation, as well as their potential as genetic determinants of disease susceptibility, and as avenues for development of therapeutic interventions. The potential convergence of CLR-driven responses of the innate and adaptive immune systems in the setting of Mtb and HIV co-infection will further be discussed relevant to disease pathogenesis and development of clinical interventions.","author":[{"dropping-particle":"","family":"Naqvi","given":"Kubra F.","non-dropping-particle":"","parse-names":false,"suffix":""},{"dropping-particle":"","family":"Endsley","given":"Janice J.","non-dropping-particle":"","parse-names":false,"suffix":""}],"container-title":"Frontiers in cellular and infection microbiology","id":"ITEM-1","issue":"June","issued":{"date-parts":[["2020"]]},"page":"263","title":"Myeloid C-Type Lectin Receptors in Tuberculosis and HIV Immunity: Insights Into Co-infection?","type":"article-journal","volume":"10"},"uris":["http://www.mendeley.com/documents/?uuid=a4d01cb3-725c-41bb-a1dc-fda8fab0d2d2"]}],"mendeley":{"formattedCitation":"[5]","plainTextFormattedCitation":"[5]","previouslyFormattedCitation":"[5]"},"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[5]</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In the case of HIV-1, numerous cells of the immune system, including dendritic cells, can bind and capture HIV-1 </w:t>
      </w:r>
      <w:r w:rsidRPr="00480AF7">
        <w:rPr>
          <w:rFonts w:ascii="Palatino Linotype" w:eastAsia="Times New Roman" w:hAnsi="Palatino Linotype" w:cs="Times New Roman"/>
          <w:iCs/>
          <w:snapToGrid w:val="0"/>
          <w:color w:val="000000"/>
          <w:sz w:val="20"/>
          <w:lang w:val="en-US" w:eastAsia="de-DE" w:bidi="en-US"/>
        </w:rPr>
        <w:t>via</w:t>
      </w:r>
      <w:r w:rsidRPr="00480AF7">
        <w:rPr>
          <w:rFonts w:ascii="Palatino Linotype" w:eastAsia="Times New Roman" w:hAnsi="Palatino Linotype" w:cs="Times New Roman"/>
          <w:snapToGrid w:val="0"/>
          <w:color w:val="000000"/>
          <w:sz w:val="20"/>
          <w:lang w:val="en-US" w:eastAsia="de-DE" w:bidi="en-US"/>
        </w:rPr>
        <w:t xml:space="preserve"> an array of C-type lectins expressed on the cell surface. Binding not only promotes the capture, processing and subsequent presentation of HIV-1 antigen to other cells of the immune system but can result in the capture and transfer of HIV-1 virions to susceptible cells, a mechanism termed </w:t>
      </w:r>
      <w:r w:rsidRPr="00480AF7">
        <w:rPr>
          <w:rFonts w:ascii="Palatino Linotype" w:eastAsia="Times New Roman" w:hAnsi="Palatino Linotype" w:cs="Times New Roman"/>
          <w:i/>
          <w:iCs/>
          <w:snapToGrid w:val="0"/>
          <w:color w:val="000000"/>
          <w:sz w:val="20"/>
          <w:lang w:val="en-US" w:eastAsia="de-DE" w:bidi="en-US"/>
        </w:rPr>
        <w:t>trans</w:t>
      </w:r>
      <w:r w:rsidRPr="00480AF7">
        <w:rPr>
          <w:rFonts w:ascii="Palatino Linotype" w:eastAsia="Times New Roman" w:hAnsi="Palatino Linotype" w:cs="Times New Roman"/>
          <w:snapToGrid w:val="0"/>
          <w:color w:val="000000"/>
          <w:sz w:val="20"/>
          <w:lang w:val="en-US" w:eastAsia="de-DE" w:bidi="en-US"/>
        </w:rPr>
        <w:t xml:space="preserve">-infection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{"citationItems":[{"id":"ITEM-1","itemData":{"DOI":"10.1002/immu.200310024","ISSN":"0014-2980","PMID":"12645947","abstract":"The human immunodeficiency virus (HIV) is an enveloped virus whose surface glycoprotein gp120 binds CD4 on target cell membranes to initiate infection. About half of the carbohydrates on gp120 are terminally mannosylated, a pattern common to many pathogens. We have examined the ability of macrophage mannose receptor (MMR) on primary monocyte-derived macrophages to bind HIV and facilitate its transmission to T cells. We adapted the tyramide signal amplification system for fluorescence detection of HIV bound to macrophages. Our data show that approximately 60% of the initial association of HIV with macrophages that lack expression of DC-SIGN (a dendritic cell-specific ICAM-3 receptor/HIV-1-binding protein) is MMR mediated, as evidenced by inhibition with mannan, D-mannose, EDTA, and soluble mannose-binding lectin, but not by D-galactose. This inhibition is not seen in cells that lack MMR. Macrophages are able to mediate transmission of bound HIV to co-cultured T cells, and this transmission is blocked up to 80% by inhibitors of MMR binding. Unlike virus bound to DC-SIGN, macrophage-bound HIV has a slightly lower half-life compared to free virus, with no transmission in co-culture observed beyond 24 h after virus binding to macrophages. Results obtained with endocytosis inhibitors indicate that this decrease in viral longevity is due to rapid internalization of macrophage-bound HIV. Together, these results suggest a substantial role for MMR in the binding and transmission of HIV-1 by macrophages.","author":[{"dropping-particle":"","family":"Nguyen","given":"Deborah Greene","non-dropping-particle":"","parse-names":false,"suffix":""},{"dropping-particle":"","family":"Hildreth","given":"James E K","non-dropping-particle":"","parse-names":false,"suffix":""}],"container-title":"European journal of immunology","id":"ITEM-1","issue":"2","issued":{"date-parts":[["2003","2"]]},"page":"483-93","title":"Involvement of macrophage mannose receptor in the binding and transmission of HIV by macrophages.","type":"article-journal","volume":"33"},"uris":["http://www.mendeley.com/documents/?uuid=4f71be6c-7976-406b-a8cf-9d09742aa112"]},{"id":"ITEM-2","itemData":{"DOI":"10.1126/science.1352913","ISBN":"0036-8075 (Print)\\r0036-8075 (Linking)","ISSN":"0036-8075","PMID":"1352913","abstract":"The paucity of virus-laden CD4+ cells in individuals infected with human immunodeficiency virus type-1 (HIV-1) contrasts with the greatly reduced numbers and function of these lymphocytes. A pathway is described whereby dendritic cells carry HIV-1 to uninfected T cells, amplifying the cytopathic effects of small amounts of virus. After exposure to HIV-1, dendritic cells continue to present superantigens and antigens, forming clusters with T cells that are driven to replicate. Infection of the dendritic cells cannot be detected, but the clustered T cells form syncytia, release virions, and die. Carriage of HIV-1 by dendritic cells may facilitate the lysis and loss of antigen specific CD4+ T cells in acquired immunodeficiency syndrome.","author":[{"dropping-particle":"","family":"Cameron","given":"P U","non-dropping-particle":"","parse-names":false,"suffix":""},{"dropping-particle":"","family":"Freudenthal","given":"P S","non-dropping-particle":"","parse-names":false,"suffix":""},{"dropping-particle":"","family":"Barker","given":"J M","non-dropping-particle":"","parse-names":false,"suffix":""},{"dropping-particle":"","family":"Gezelter","given":"S","non-dropping-particle":"","parse-names":false,"suffix":""},{"dropping-particle":"","family":"Inaba","given":"K","non-dropping-particle":"","parse-names":false,"suffix":""},{"dropping-particle":"","family":"Steinman","given":"R M","non-dropping-particle":"","parse-names":false,"suffix":""}],"container-title":"Science (New York, N.Y.)","id":"ITEM-2","issue":"5068","issued":{"date-parts":[["1992","7","17"]]},"page":"383-7","title":"Dendritic cells exposed to human immunodeficiency virus type-1 transmit a vigorous cytopathic infection to CD4+ T cells.","type":"article-journal","volume":"257"},"uris":["http://www.mendeley.com/documents/?uuid=41121dde-d178-489e-ac2f-00b188bc6423"]},{"id":"ITEM-3","itemData":{"DOI":"10.1128/JVI.76.21.10692-10701.2002","ISBN":"0022-538X (Print)\\r0022-538X (Linking)","ISSN":"0022-538X","PMID":"12368311","abstract":"Human immunodeficiency virus type 1 (HIV-1)-infected and activated CD4(+) T cells have short half-lives in vivo (&lt;2 days). We have established an in vitro culture system in which infected T cells are turned over frequently to provide a model system that examines this important facet of in vivo HIV-1 replication. We observed that virus replication in T cells under rapid-turnover conditions was possible only when immature dendritic cells or DC-SIGN-expressing cells mediated HIV-1 transmission to T cells. Virus replication was initiated more rapidly in T cells infected with the cell-associated form of virus compared to infection by the cell-free route. This accelerated transfer of virus required adhesion molecule-mediated interactions between the virus-presenting cell and T cell, but surprisingly, HIV-1 transfer could occur independently of DC-SIGN (DC-specific intracellular adhesion molecule 3 [ICAM-3]-grabbing nonintegrin)in the dendritic-cell-T-cell cocultures. These results suggest that dendritic cell-mediated transmission of HIV-1 enables virus replication under conditions of rapid cell turnover in vivo.","author":[{"dropping-particle":"","family":"Gummuluru","given":"Suryaram","non-dropping-particle":"","parse-names":false,"suffix":""},{"dropping-particle":"","family":"KewalRamani","given":"Vineet N.","non-dropping-particle":"","parse-names":false,"suffix":""},{"dropping-particle":"","family":"Emerman","given":"Michael","non-dropping-particle":"","parse-names":false,"suffix":""}],"container-title":"Journal of virology","id":"ITEM-3","issue":"21","issued":{"date-parts":[["2002","11"]]},"page":"10692-701","title":"Dendritic cell-mediated viral transfer to T cells is required for human immunodeficiency virus type 1 persistence in the face of rapid cell turnover.","type":"article-journal","volume":"76"},"uris":["http://www.mendeley.com/documents/?uuid=80a38bfc-9dff-462f-b0a9-a06bd1e364ed"]},{"id":"ITEM-4","itemData":{"DOI":"10.1111/j.1600-0854.2005.00293.x","ISBN":"1398-9219 (Print)\\r1398-9219 (Linking)","ISSN":"13989219","PMID":"15882445","abstract":"Dendritic cells (DCs) are essential components of the early events of HIV infection. Here, we characterized the trafficking pathways that HIV-1 follows during its capture by DCs and its subsequent presentation to CD4(+) T cells via an infectious synapse. Immunofluorescence microscopy indicates that the virus-containing compartment in mature DCs (mDCs) co-labels for the tetraspanins CD81, CD82, and CD9 but contains little CD63 or LAMP-1. Using ratio imaging of pH-reporting fluorescent virions in live DCs, we show that HIV-1 is internalized in an intracellular endocytic compartment with a pH of 6.2. Significantly, we demonstrate that the infectivity of cell-free virus is more stable at mildly acidic pH than at neutral pH. Using electron microscopy, we confirm that HIV-1 accumulates in intracellular vacuoles that contain CD81 positive internal membranes but overlaps only partially with CD63. When allowed to contact T cells, HIV-1-loaded DCs redistribute CD81, and CD9, as well as internalized HIV-1, but not the immunological synapse markers MHC-II and T-cell receptor to the infectious synapse. Together, our results indicate that HIV-1 is internalized into a non-conventional, non-lysosomal, endocytic compartment in mDCs and further suggest that HIV-1 is able to selectively subvert components of the intracellular trafficking machinery required for formation of the DC-T-cell immunological synapse to facilitate its own cell-to-cell transfer and propagation.","author":[{"dropping-particle":"","family":"Garcia","given":"Eduardo","non-dropping-particle":"","parse-names":false,"suffix":""},{"dropping-particle":"","family":"Pion","given":"Marjorie","non-dropping-particle":"","parse-names":false,"suffix":""},{"dropping-particle":"","family":"Pelchen-Matthews","given":"Annegret","non-dropping-particle":"","parse-names":false,"suffix":""},{"dropping-particle":"","family":"Collinson","given":"Lucy","non-dropping-particle":"","parse-names":false,"suffix":""},{"dropping-particle":"","family":"Arrighi","given":"Jean Francois","non-dropping-particle":"","parse-names":false,"suffix":""},{"dropping-particle":"","family":"Blot","given":"Guillaume","non-dropping-particle":"","parse-names":false,"suffix":""},{"dropping-particle":"","family":"Leuba","given":"Florence","non-dropping-particle":"","parse-names":false,"suffix":""},{"dropping-particle":"","family":"Escola","given":"Jean Michel","non-dropping-particle":"","parse-names":false,"suffix":""},{"dropping-particle":"","family":"Demaurex","given":"Nicolas","non-dropping-particle":"","parse-names":false,"suffix":""},{"dropping-particle":"","family":"Marsh","given":"Mark","non-dropping-particle":"","parse-names":false,"suffix":""},{"dropping-particle":"","family":"Piguet","given":"Vincent","non-dropping-particle":"","parse-names":false,"suffix":""}],"container-title":"Traffic","id":"ITEM-4","issue":"6","issued":{"date-parts":[["2005"]]},"page":"488-501","title":"HIV-1 trafficking to the dendritic cell-T-cell infectious synapse uses a pathway of tetraspanin sorting to the immunological synapse","type":"article-journal","volume":"6"},"uris":["http://www.mendeley.com/documents/?uuid=8cfc9e45-aefe-4fa2-bdd0-4239174a956f"]}],"mendeley":{"formattedCitation":"[6–9]","plainTextFormattedCitation":"[6–9]","previouslyFormattedCitation":"[6–9]"},"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[6–9]</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Different receptors have been described to be involved with </w:t>
      </w:r>
      <w:r w:rsidRPr="00480AF7">
        <w:rPr>
          <w:rFonts w:ascii="Palatino Linotype" w:eastAsia="Times New Roman" w:hAnsi="Palatino Linotype" w:cs="Times New Roman"/>
          <w:i/>
          <w:iCs/>
          <w:snapToGrid w:val="0"/>
          <w:color w:val="000000"/>
          <w:sz w:val="20"/>
          <w:lang w:val="en-US" w:eastAsia="de-DE" w:bidi="en-US"/>
        </w:rPr>
        <w:t>trans</w:t>
      </w:r>
      <w:r w:rsidRPr="00480AF7">
        <w:rPr>
          <w:rFonts w:ascii="Palatino Linotype" w:eastAsia="Times New Roman" w:hAnsi="Palatino Linotype" w:cs="Times New Roman"/>
          <w:snapToGrid w:val="0"/>
          <w:color w:val="000000"/>
          <w:sz w:val="20"/>
          <w:lang w:val="en-US" w:eastAsia="de-DE" w:bidi="en-US"/>
        </w:rPr>
        <w:t xml:space="preserve">-infection, such as the mannose receptor MR [6,10,11] and the C-type lectin receptor DC-SIGN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{"citationItems":[{"id":"ITEM-1","itemData":{"DOI":"10.1016/S0092-8674(00)80694-7","ISBN":"0092-8674","ISSN":"00928674","PMID":"10721995","abstract":"Dendritic cells (DC) capture microorganisms that enter peripheral mucosal tissues and then migrate to secondary lymphoid organs, where they present these in antigenic form to resting T cells and thus initiate adaptive immune responses. Here, we describe the properties of a DC-specific C-type lectin, DC-SIGN, that is highly expressed on DC present in mucosal tissues and binds to the HIV-1 envelope glycoprotein gp120. DC-SIGN does not function as a receptor for viral entry into DC but instead promotes efficient infection in trans of cells that express CD4 and chemokine receptors. We propose that DC-SIGN efficiently captures HIV-1 in the periphery and facilitates its transport to secondary lymphoid organs rich in T cells, to enhance infection in trans of these target cells.","author":[{"dropping-particle":"","family":"Geijtenbeek","given":"Teunis B.H","non-dropping-particle":"","parse-names":false,"suffix":""},{"dropping-particle":"","family":"Kwon","given":"Douglas S","non-dropping-particle":"","parse-names":false,"suffix":""},{"dropping-particle":"","family":"Torensma","given":"Ruurd","non-dropping-particle":"","parse-names":false,"suffix":""},{"dropping-particle":"","family":"Vliet","given":"Sandra J","non-dropping-particle":"van","parse-names":false,"suffix":""},{"dropping-particle":"","family":"Duijnhoven","given":"Gerard C.F","non-dropping-particle":"van","parse-names":false,"suffix":""},{"dropping-particle":"","family":"Middel","given":"Jeena","non-dropping-particle":"","parse-names":false,"suffix":""},{"dropping-particle":"","family":"Cornelissen","given":"Ine L.M.H.A","non-dropping-particle":"","parse-names":false,"suffix":""},{"dropping-particle":"","family":"Nottet","given":"Hans S.L.M","non-dropping-particle":"","parse-names":false,"suffix":""},{"dropping-particle":"","family":"KewalRamani","given":"Vineet N","non-dropping-particle":"","parse-names":false,"suffix":""},{"dropping-particle":"","family":"Littman","given":"Dan R","non-dropping-particle":"","parse-names":false,"suffix":""},{"dropping-particle":"","family":"Figdor","given":"Carl G","non-dropping-particle":"","parse-names":false,"suffix":""},{"dropping-particle":"","family":"Kooyk","given":"Yvette","non-dropping-particle":"van","parse-names":false,"suffix":""}],"container-title":"Cell","id":"ITEM-1","issue":"5","issued":{"date-parts":[["2000","3"]]},"page":"587-597","title":"DC-SIGN, a dendritic cell-specific HIV-1-binding protein that enhances trans-infection of T cells.","type":"article-journal","volume":"100"},"uris":["http://www.mendeley.com/documents/?uuid=9396a76e-62b3-4ea2-b042-0d277ed9842d"]},{"id":"ITEM-2","itemData":{"DOI":"10.1189/jlb.0503208","ISBN":"0741-5400","ISSN":"0741-5400","PMID":"12960229","abstract":"Dendritic cells play a major role in HIV pathogenesis. Epithelial dendritic cells appear to be one of the first cells infected after sexual transmission and transfer of the virus to CD4 lymphocytes, simultaneously activating these cells to produce high levels of HIV replication. Such transfer may occur locally in inflamed mucosa or after dendritic cells have matured and migrated to local lymph nodes. Therefore, the mechanism of binding, internalization, infection and transfer of HIV to CD4 lymphocytes is of great interest. Recently, the role of the C-type lectin DC-SIGN as a dendritic cell receptor for HIV has been intensively studied with in vitro monocyte-derived dendritic cells. However, it is clear that other C-type lectin receptors such as Langerin on Langerhan cells and mannose receptor on dermal dendritic cells are at least equally important for gp120 binding on epithelial dendritic cells. C-type lectin receptors play a role in virus transfer to T cells, either via de novo infection (\"cis transfer\") or without infection (\"in trans\" or transinfection). Both these processes are important in vitro, and both may have a role in vivo, although the low-level infection of immature dendritic cells may be more important as it leads to R5 HIV strain selection and persistence of virus within dendritic cells for at least 24 h, sufficient for these cells to transit to lymph nodes. The exact details of these processes are currently the subject of intense study.","author":[{"dropping-particle":"","family":"Turville","given":"Stuart","non-dropping-particle":"","parse-names":false,"suffix":""},{"dropping-particle":"","family":"Wilkinson","given":"John","non-dropping-particle":"","parse-names":false,"suffix":""},{"dropping-particle":"","family":"Cameron","given":"Paul","non-dropping-particle":"","parse-names":false,"suffix":""},{"dropping-particle":"","family":"Dable","given":"Joanne","non-dropping-particle":"","parse-names":false,"suffix":""},{"dropping-particle":"","family":"Cunningham","given":"Anthony L","non-dropping-particle":"","parse-names":false,"suffix":""}],"container-title":"Journal of leukocyte biology","id":"ITEM-2","issue":"5","issued":{"date-parts":[["2003"]]},"page":"710-718","title":"The role of dendritic cell C-type lectin receptors in HIV pathogenesis.","type":"article-journal","volume":"74"},"uris":["http://www.mendeley.com/documents/?uuid=3b850699-a5f6-40f5-bfe0-a1d077fdbdae"]},{"id":"ITEM-3","itemData":{"DOI":"10.1182/blood-2006-02-006361","ISSN":"0006-4971","PMID":"16675708","abstract":"Human immunodeficiency virus (HIV)-specific CD4+ lymphocytes are preferentially infected in HIV-positive individuals. To study this preferential infection, we have derived several HIV-specific (HS) CD4+ clones. We show that in dendritic cells (DCs), HIV virion capture led to major histocompatibility complex class-II (MHC-II)-restricted viral antigen presentation and to activation of HS cells. In contrast, neither cell-free virions nor infected lymphocytes activated HS cells. In DCs, the dendritic cell-specific intercellular adhesion molecule 3-grabbing nonintegrin (DC-SIGN/CD209), which internalizes virions, promoted MHC-II presentation of HIV antigens. Activation of HS cells by HIV-exposed DCs triggered an efficient viral spread in lymphocytes. CD4+ clones with irrelevant antigenic specificities were not activated by HIV-exposed DCs and poorly supported viral replication under this setting. Our results unravel the mechanisms of MHC-II-restricted HIV antigen presentation by DCs and describe how HIV gains access to the very cells designed by the immune system to counteract this pathogen.","author":[{"dropping-particle":"","family":"Moris","given":"Arnaud","non-dropping-particle":"","parse-names":false,"suffix":""},{"dropping-particle":"","family":"Pajot","given":"Anthony","non-dropping-particle":"","parse-names":false,"suffix":""},{"dropping-particle":"","family":"Blanchet","given":"Fabien","non-dropping-particle":"","parse-names":false,"suffix":""},{"dropping-particle":"","family":"Guivel-Benhassine","given":"Florence","non-dropping-particle":"","parse-names":false,"suffix":""},{"dropping-particle":"","family":"Salcedo","given":"Margarita","non-dropping-particle":"","parse-names":false,"suffix":""},{"dropping-particle":"","family":"Schwartz","given":"Olivier","non-dropping-particle":"","parse-names":false,"suffix":""}],"container-title":"Blood","id":"ITEM-3","issue":"5","issued":{"date-parts":[["2006","9","1"]]},"page":"1643-51","title":"Dendritic cells and HIV-specific CD4+ T cells: HIV antigen presentation, T-cell activation, and viral transfer.","type":"article-journal","volume":"108"},"uris":["http://www.mendeley.com/documents/?uuid=ad2bee0c-8794-45d0-8b80-ad186a9ed5c4"]},{"id":"ITEM-4","itemData":{"DOI":"10.4049/jimmunol.178.5.3177","ISBN":"0022-1767 (Print)","ISSN":"0022-1767","PMID":"17312166","abstract":"Infection of CD4+ T lymphocytes is enhanced by the capture and subsequent transfer of HIV-1 by dendritic cells (DCs) via the interaction with C-type lectins such as the DC-specific ICAM-grabbing nonintegrin (DC-SIGN). Numerous HIV-1 envelope-directed neutralizing Abs have been shown to successfully block the infection of CD4(+) T lymphocytes. In this study, we find that HIV-1-neutralized with the mAb 2F5 is more efficiently captured by immature monocyte-derived DCs (iMDDCs) and DC-SIGN-expressing Raji cells (Raji-DC-SIGN). Furthermore, a 2F5-neutralized virus captured by these cells was able to subsequently infect CD4+ T lymphocytes upon the release of HIV-1 from iMDDCs, thereby enhancing infection. We show that upon transfer via DC-SIGN-expressing cells, HIV-1 is released from immune-complexes with the Abs 2F5 and 4E10 (gp41-directed) and 2G12, 4.8D, and 1.7b (gp120-directed). The nonneutralizing V3-21 (V3 region of the gp120-directed) Ab enhanced HIV-1 infection upon capture and transfer via Raji-DC-SIGN cells, whereas no infection was observed with the neutralizing b12 Ab (gp120-directed), indicating that different Abs have variant effects on inhibiting HIV-1 transfer to CD4+ T lymphocytes. The increased capture of the 2F5-neutralized virus by iMDDCs was negated upon blocking the Fc receptors. Blocking DC-SIGN on iMDDCs resulted in a 70-75% inhibition of HIV-1 capture at 37 degrees C, whereas at 4 degrees C a full block was observed, showing that the observed transfer is mediated via DC-SIGN. Taken together, we propose that DC-SIGN-mediated capture of neutralized HIV-1 by iMDDCs has the potential to induce immune evasion from the neutralization effects of HIV-1 Abs, with implications for HIV-1 pathogenesis and vaccine development.","author":[{"dropping-particle":"","family":"Montfort","given":"Thijs","non-dropping-particle":"van","parse-names":false,"suffix":""},{"dropping-particle":"","family":"Nabatov","given":"Alexey a","non-dropping-particle":"","parse-names":false,"suffix":""},{"dropping-particle":"","family":"Geijtenbeek","given":"Teunis B H","non-dropping-particle":"","parse-names":false,"suffix":""},{"dropping-particle":"","family":"Pollakis","given":"Georgios","non-dropping-particle":"","parse-names":false,"suffix":""},{"dropping-particle":"","family":"Paxton","given":"William a","non-dropping-particle":"","parse-names":false,"suffix":""}],"container-title":"Journal of immunology (Baltimore, Md. : 1950)","id":"ITEM-4","issue":"5","issued":{"date-parts":[["2007"]]},"page":"3177-3185","title":"Efficient capture of antibody neutralized HIV-1 by cells expressing DC-SIGN and transfer to CD4+ T lymphocytes.","type":"article-journal","volume":"178"},"uris":["http://www.mendeley.com/documents/?uuid=818613d5-ac0e-4aff-9a36-593155cc2084"]}],"mendeley":{"formattedCitation":"[12–15]","plainTextFormattedCitation":"[12–15]","previouslyFormattedCitation":"[12–15]"},"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[12–15]</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alongside </w:t>
      </w:r>
      <w:proofErr w:type="spellStart"/>
      <w:r w:rsidRPr="00480AF7">
        <w:rPr>
          <w:rFonts w:ascii="Palatino Linotype" w:eastAsia="Times New Roman" w:hAnsi="Palatino Linotype" w:cs="Times New Roman"/>
          <w:snapToGrid w:val="0"/>
          <w:color w:val="000000"/>
          <w:sz w:val="20"/>
          <w:lang w:val="en-US" w:eastAsia="de-DE" w:bidi="en-US"/>
        </w:rPr>
        <w:t>Siglec</w:t>
      </w:r>
      <w:proofErr w:type="spellEnd"/>
      <w:r w:rsidRPr="00480AF7">
        <w:rPr>
          <w:rFonts w:ascii="Palatino Linotype" w:eastAsia="Times New Roman" w:hAnsi="Palatino Linotype" w:cs="Times New Roman"/>
          <w:snapToGrid w:val="0"/>
          <w:color w:val="000000"/>
          <w:sz w:val="20"/>
          <w:lang w:val="en-US" w:eastAsia="de-DE" w:bidi="en-US"/>
        </w:rPr>
        <w:t xml:space="preserve"> </w:t>
      </w:r>
      <w:r w:rsidRPr="00480AF7">
        <w:rPr>
          <w:rFonts w:ascii="Palatino Linotype" w:eastAsia="Times New Roman" w:hAnsi="Palatino Linotype" w:cs="Times New Roman"/>
          <w:iCs/>
          <w:snapToGrid w:val="0"/>
          <w:color w:val="000000"/>
          <w:sz w:val="20"/>
          <w:lang w:val="en-US" w:eastAsia="de-DE" w:bidi="en-US"/>
        </w:rPr>
        <w:t xml:space="preserve">via </w:t>
      </w:r>
      <w:r w:rsidRPr="00480AF7">
        <w:rPr>
          <w:rFonts w:ascii="Palatino Linotype" w:eastAsia="Times New Roman" w:hAnsi="Palatino Linotype" w:cs="Times New Roman"/>
          <w:snapToGrid w:val="0"/>
          <w:color w:val="000000"/>
          <w:sz w:val="20"/>
          <w:lang w:val="en-US" w:eastAsia="de-DE" w:bidi="en-US"/>
        </w:rPr>
        <w:t xml:space="preserve">interactions with ganglioside GM3 </w:t>
      </w:r>
      <w:proofErr w:type="spellStart"/>
      <w:r w:rsidRPr="00480AF7">
        <w:rPr>
          <w:rFonts w:ascii="Palatino Linotype" w:eastAsia="Times New Roman" w:hAnsi="Palatino Linotype" w:cs="Times New Roman"/>
          <w:snapToGrid w:val="0"/>
          <w:color w:val="000000"/>
          <w:sz w:val="20"/>
          <w:lang w:val="en-US" w:eastAsia="de-DE" w:bidi="en-US"/>
        </w:rPr>
        <w:t>localised</w:t>
      </w:r>
      <w:proofErr w:type="spellEnd"/>
      <w:r w:rsidRPr="00480AF7">
        <w:rPr>
          <w:rFonts w:ascii="Palatino Linotype" w:eastAsia="Times New Roman" w:hAnsi="Palatino Linotype" w:cs="Times New Roman"/>
          <w:snapToGrid w:val="0"/>
          <w:color w:val="000000"/>
          <w:sz w:val="20"/>
          <w:lang w:val="en-US" w:eastAsia="de-DE" w:bidi="en-US"/>
        </w:rPr>
        <w:t xml:space="preserve"> on the virus membrane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{"citationItems":[{"id":"ITEM-1","itemData":{"DOI":"10.1016/S1074-7613(02)00504-6","ISBN":"1074-7613 (Print)","ISSN":"1074-7613","PMID":"12530973","abstract":"This study demonstrates that syndecan functions as an in trans HIV receptor. We show that syndecan, when expressed in nonpermissive cells, becomes the major mediator for HIV adsorption. This adsorption is mediated by the binding of gp120 to the heparan sulfate chains of syndecan. Although syndecan does not substitute for HIV entry receptors, it enhances the in trans infectivity of a broad range of primate lentiviruses including primary viruses produced from PBMCs. Furthermore, syndecan preserves virus infectivity for a week, whereas unbound virus loses its infectivity in less than a day. Moreover, we obtain evidence suggesting that the vast syndecan-rich endothelial lining of the vasculature can provide a microenvironment which boosts HIV replication in T cells.","author":[{"dropping-particle":"","family":"Bobardt","given":"Michael D.","non-dropping-particle":"","parse-names":false,"suffix":""},{"dropping-particle":"","family":"Saphire","given":"Andrew C S","non-dropping-particle":"","parse-names":false,"suffix":""},{"dropping-particle":"","family":"Hung","given":"Hsiu-Cheng","non-dropping-particle":"","parse-names":false,"suffix":""},{"dropping-particle":"","family":"Yu","given":"Xiaocong","non-dropping-particle":"","parse-names":false,"suffix":""},{"dropping-particle":"","family":"Schueren","given":"Bernadette","non-dropping-particle":"Van der","parse-names":false,"suffix":""},{"dropping-particle":"","family":"Zhang","given":"Zhe","non-dropping-particle":"","parse-names":false,"suffix":""},{"dropping-particle":"","family":"David","given":"Guido","non-dropping-particle":"","parse-names":false,"suffix":""},{"dropping-particle":"","family":"Gallay","given":"Philippe A.","non-dropping-particle":"","parse-names":false,"suffix":""}],"container-title":"Immunity","id":"ITEM-1","issue":"1","issued":{"date-parts":[["2003","1"]]},"page":"27-39","title":"Syndecan captures, protects, and transmits HIV to T lymphocytes.","type":"article-journal","volume":"18"},"uris":["http://www.mendeley.com/documents/?uuid=a09358ba-c266-4d1c-8bac-250c075d5d3e"]},{"id":"ITEM-2","itemData":{"DOI":"10.1073/pnas.0703747104","ISBN":"1091-6490 (Electronic)\\r0027-8424 (Linking)","ISSN":"1091-6490","PMID":"18040049","abstract":"Dendritic cells (DCs) efficiently capture HIV-1 and mediate transmission to T cells, but the underlying molecular mechanism is still being debated. The C-type lectin DC-SIGN is important in HIV-1 transmission by DCs. However, various studies strongly suggest that another HIV-1 receptor on DCs is involved in the capture of HIV-1. Here we have identified syndecan-3 as a major HIV-1 attachment receptor on DCs. Syndecan-3 is a DC-specific heparan sulfate (HS) proteoglycan that captures HIV-1 through interaction with the HIV-1 envelope glycoprotein gp120. Syndecan-3 stabilizes the captured virus, enhances DC infection in cis, and promotes transmission to T cells. Removal of the HSs from the cell surface by heparinase III or by silencing syndecan-3 by siRNA partially inhibited HIV-1 transmission by immature DCs, whereas neutralizing both syndecan-3 and DC-SIGN completely abrogated HIV-1 capture and subsequent transmission. Thus, HIV-1 exploits both syndecan-3 and DC-SIGN to mediate HIV-1 transmission, and an effective microbicide should target both syndecan-3 and DC-SIGN on DCs to prevent transmission.","author":[{"dropping-particle":"","family":"Witte","given":"Lot","non-dropping-particle":"de","parse-names":false,"suffix":""},{"dropping-particle":"","family":"Bobardt","given":"Michael","non-dropping-particle":"","parse-names":false,"suffix":""},{"dropping-particle":"","family":"Chatterji","given":"Udayan","non-dropping-particle":"","parse-names":false,"suffix":""},{"dropping-particle":"","family":"Degeest","given":"Gisèle","non-dropping-particle":"","parse-names":false,"suffix":""},{"dropping-particle":"","family":"David","given":"Guido","non-dropping-particle":"","parse-names":false,"suffix":""},{"dropping-particle":"","family":"Geijtenbeek","given":"Teunis B. H.","non-dropping-particle":"","parse-names":false,"suffix":""},{"dropping-particle":"","family":"Gallay","given":"Philippe","non-dropping-particle":"","parse-names":false,"suffix":""}],"container-title":"Proceedings of the National Academy of Sciences of the United States of America","id":"ITEM-2","issue":"49","issued":{"date-parts":[["2007","12","4"]]},"page":"19464-9","title":"Syndecan-3 is a dendritic cell-specific attachment receptor for HIV-1.","type":"article-journal","volume":"104"},"uris":["http://www.mendeley.com/documents/?uuid=611c1e82-328a-44eb-b48c-d8780070cbd2"]},{"id":"ITEM-3","itemData":{"DOI":"10.1073/pnas.1201104109","ISBN":"1091-6490 (Electronic)\\r0027-8424 (Linking)","ISSN":"1091-6490","PMID":"22529395","abstract":"The interaction between HIV and dendritic cells (DCs) is an important early event in HIV-1 pathogenesis that leads to efficient viral dissemination. Here we demonstrate a HIV gp120-independent DC capture mechanism that uses virion-incorporated host-derived gangliosides with terminal α2-3-linked sialic acid linkages. Using exogenously enriched virus and artificial liposome particles, we demonstrate that both α2-3 gangliosides GM1 and GM3 are capable of mediating this interaction when present in the particle at high levels. In the absence of overexpression, GM3 is the primary ligand responsible for this capture mechanism, because siRNA depletion of GM3 but not GM1 from the producer cell and hence virions, resulted in a dramatic decrease in DC capture. Furthermore, HIV-1 capture by DCs was competitively inhibited by targeting virion-associated GM3, but was unchanged by targeting GM1. Finally, virions were derived from monocytoid THP-1 cells that constitutively display low levels of GM1 and GM3, or from THP-1 cells induced to express high surface levels of GM1 and GM3 upon stimulation with the TLR2/1 ligand Pam3CSK4. Compared with untreated THP-1 cells, virus produced from Pam3CSK4-stimulated THP-1 cells incorporated higher levels of GM3, but not GM1, and showed enhanced DC capture and trans-infection. Our results identify a unique HIV-1 DC attachment mechanism that is dependent on a host-cell-derived ligand, GM3, and is a unique example of pathogen mimicry of host-cell recognition pathways that drive virus capture and dissemination in vivo.","author":[{"dropping-particle":"","family":"Puryear","given":"Wendy Blay","non-dropping-particle":"","parse-names":false,"suffix":""},{"dropping-particle":"","family":"Yu","given":"Xinwei","non-dropping-particle":"","parse-names":false,"suffix":""},{"dropping-particle":"","family":"Ramirez","given":"Nora P.","non-dropping-particle":"","parse-names":false,"suffix":""},{"dropping-particle":"","family":"Reinhard","given":"Björn M.","non-dropping-particle":"","parse-names":false,"suffix":""},{"dropping-particle":"","family":"Gummuluru","given":"Suryaram","non-dropping-particle":"","parse-names":false,"suffix":""}],"container-title":"Proceedings of the National Academy of Sciences of the United States of America","id":"ITEM-3","issue":"19","issued":{"date-parts":[["2012","5","8"]]},"page":"7475-80","title":"HIV-1 incorporation of host-cell-derived glycosphingolipid GM3 allows for capture by mature dendritic cells.","type":"article-journal","volume":"109"},"uris":["http://www.mendeley.com/documents/?uuid=f8b894cb-db40-4396-b779-0f554624bebc"]},{"id":"ITEM-4","itemData":{"DOI":"10.1371/journal.ppat.1004146","ISBN":"1553-7374 (Electronic)\\r1553-7366 (Linking)","ISSN":"1553-7374","PMID":"25033082","abstract":"Dendritic cells (DCs) are essential in order to combat invading viruses and trigger antiviral responses. Paradoxically, in the case of HIV-1, DCs might contribute to viral pathogenesis through trans-infection, a mechanism that promotes viral capture and transmission to target cells, especially after DC maturation. In this review, we highlight recent evidence identifying sialyllactose-containing gangliosides in the viral membrane and the cellular lectin Siglec-1 as critical determinants for HIV-1 capture and storage by mature DCs and for DC-mediated trans-infection of T cells. In contrast, DC-SIGN, long considered to be the main receptor for DC capture of HIV-1, plays a minor role in mature DC-mediated HIV-1 capture and trans-infection.","author":[{"dropping-particle":"","family":"Izquierdo-Useros","given":"Nuria","non-dropping-particle":"","parse-names":false,"suffix":""},{"dropping-particle":"","family":"Lorizate","given":"Maier","non-dropping-particle":"","parse-names":false,"suffix":""},{"dropping-particle":"","family":"McLaren","given":"Paul J.","non-dropping-particle":"","parse-names":false,"suffix":""},{"dropping-particle":"","family":"Telenti","given":"Amalio","non-dropping-particle":"","parse-names":false,"suffix":""},{"dropping-particle":"","family":"Kräusslich","given":"Hans-Georg","non-dropping-particle":"","parse-names":false,"suffix":""},{"dropping-particle":"","family":"Martinez-Picado","given":"Javier","non-dropping-particle":"","parse-names":false,"suffix":""}],"container-title":"PLoS pathogens","id":"ITEM-4","issue":"7","issued":{"date-parts":[["2014","7"]]},"page":"e1004146","title":"HIV-1 capture and transmission by dendritic cells: the role of viral glycolipids and the cellular receptor Siglec-1.","type":"article-journal","volume":"10"},"uris":["http://www.mendeley.com/documents/?uuid=fac04b11-85b5-4b99-b72e-950d623a7489"]},{"id":"ITEM-5","itemData":{"DOI":"10.1371/journal.ppat.1004751","ISBN":"1553-7374 (Electronic) 1553-7366 (Linking)","ISSN":"1553-7374","PMID":"25760631","abstract":"Myeloid dendritic cells (DCs) can capture HIV-1 via the receptor CD169/Siglec-1 that binds to the ganglioside, GM3, in the virus particle membrane. In turn, HIV-1 particles captured by CD169, an I-type lectin, whose expression on DCs is enhanced upon maturation with LPS, are protected from degradation in CD169+ virus-containing compartments (VCCs) and disseminated to CD4⁺ T cells, a mechanism of DC-mediated HIV-1 trans-infection. In this study, we describe the mechanism of VCC formation and its role in immune evasion mechanisms of HIV-1. We find HIV-1-induced formation of VCCs is restricted to myeloid cells, and that the cytoplasmic tail of CD169 is dispensable for HIV-1 trafficking and retention within VCCs and subsequent trans-infection to CD4⁺ T cells. Interestingly, introduction of a di-aromatic endocytic motif in the cytoplasmic tail of CD169 that results in endocytosis of HIV-1 particles, suppressed CD169-mediated HIV-1 trans-infection. Furthermore, super-resolution microscopy revealed close association of CD169 and HIV-1 particles in surface-accessible but deep plasma membrane invaginations. Intriguingly, HIV-1 particles in deep VCCs were inefficiently accessed by anti-gp120 broadly neutralizing antibodies, VRC01 and NIH45-46 G54W, and thus were less susceptible to neutralization. Our study suggests that HIV-1 capture by CD169 can provide virus evasion from both innate (phagocytosis) and adaptive immune responses.","author":[{"dropping-particle":"","family":"Akiyama","given":"Hisashi","non-dropping-particle":"","parse-names":false,"suffix":""},{"dropping-particle":"","family":"Ramirez","given":"Nora-Guadalupe Pina","non-dropping-particle":"","parse-names":false,"suffix":""},{"dropping-particle":"V.","family":"Gudheti","given":"Manasa","non-dropping-particle":"","parse-names":false,"suffix":""},{"dropping-particle":"","family":"Gummuluru","given":"Suryaram","non-dropping-particle":"","parse-names":false,"suffix":""}],"container-title":"PLoS pathogens","id":"ITEM-5","issue":"3","issued":{"date-parts":[["2015","3"]]},"page":"e1004751","title":"CD169-mediated trafficking of HIV to plasma membrane invaginations in dendritic cells attenuates efficacy of anti-gp120 broadly neutralizing antibodies.","type":"article-journal","volume":"11"},"uris":["http://www.mendeley.com/documents/?uuid=5bf6d33e-effb-416e-acab-a77dc4b29e0b"]}],"mendeley":{"formattedCitation":"[16–20]","plainTextFormattedCitation":"[16–20]","previouslyFormattedCitation":"[16–20]"},"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[16–20]</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w:t>
      </w:r>
    </w:p>
    <w:p w:rsidR="00480AF7" w:rsidRPr="00480AF7" w:rsidRDefault="00480AF7" w:rsidP="00480AF7">
      <w:pPr>
        <w:adjustRightInd w:val="0"/>
        <w:snapToGrid w:val="0"/>
        <w:spacing w:after="0" w:line="228" w:lineRule="auto"/>
        <w:ind w:firstLine="425"/>
        <w:jc w:val="both"/>
        <w:rPr>
          <w:rFonts w:ascii="Palatino Linotype" w:eastAsia="Times New Roman" w:hAnsi="Palatino Linotype" w:cs="Times New Roman"/>
          <w:snapToGrid w:val="0"/>
          <w:color w:val="000000"/>
          <w:sz w:val="20"/>
          <w:lang w:val="en-US" w:eastAsia="de-DE" w:bidi="en-US"/>
        </w:rPr>
      </w:pPr>
      <w:r w:rsidRPr="00480AF7">
        <w:rPr>
          <w:rFonts w:ascii="Palatino Linotype" w:eastAsia="Times New Roman" w:hAnsi="Palatino Linotype" w:cs="Times New Roman"/>
          <w:snapToGrid w:val="0"/>
          <w:color w:val="000000"/>
          <w:sz w:val="20"/>
          <w:lang w:val="en-US" w:eastAsia="de-DE" w:bidi="en-US"/>
        </w:rPr>
        <w:t xml:space="preserve">The mycobacterial cell envelope is complex and composed of carbohydrate polymers such as arabinogalactan (AG) and distinct lipids including mycolic acids (MA) linked to peptidoglycans (PG) and free lipids </w:t>
      </w:r>
      <w:proofErr w:type="spellStart"/>
      <w:r w:rsidRPr="00480AF7">
        <w:rPr>
          <w:rFonts w:ascii="Palatino Linotype" w:eastAsia="Times New Roman" w:hAnsi="Palatino Linotype" w:cs="Times New Roman"/>
          <w:snapToGrid w:val="0"/>
          <w:color w:val="000000"/>
          <w:sz w:val="20"/>
          <w:lang w:val="en-US" w:eastAsia="de-DE" w:bidi="en-US"/>
        </w:rPr>
        <w:t>trehalose</w:t>
      </w:r>
      <w:proofErr w:type="spellEnd"/>
      <w:r w:rsidRPr="00480AF7">
        <w:rPr>
          <w:rFonts w:ascii="Palatino Linotype" w:eastAsia="Times New Roman" w:hAnsi="Palatino Linotype" w:cs="Times New Roman"/>
          <w:snapToGrid w:val="0"/>
          <w:color w:val="000000"/>
          <w:sz w:val="20"/>
          <w:lang w:val="en-US" w:eastAsia="de-DE" w:bidi="en-US"/>
        </w:rPr>
        <w:t xml:space="preserve"> </w:t>
      </w:r>
      <w:proofErr w:type="spellStart"/>
      <w:r w:rsidRPr="00480AF7">
        <w:rPr>
          <w:rFonts w:ascii="Palatino Linotype" w:eastAsia="Times New Roman" w:hAnsi="Palatino Linotype" w:cs="Times New Roman"/>
          <w:snapToGrid w:val="0"/>
          <w:color w:val="000000"/>
          <w:sz w:val="20"/>
          <w:lang w:val="en-US" w:eastAsia="de-DE" w:bidi="en-US"/>
        </w:rPr>
        <w:t>dimycolate</w:t>
      </w:r>
      <w:proofErr w:type="spellEnd"/>
      <w:r w:rsidRPr="00480AF7">
        <w:rPr>
          <w:rFonts w:ascii="Palatino Linotype" w:eastAsia="Times New Roman" w:hAnsi="Palatino Linotype" w:cs="Times New Roman"/>
          <w:snapToGrid w:val="0"/>
          <w:color w:val="000000"/>
          <w:sz w:val="20"/>
          <w:lang w:val="en-US" w:eastAsia="de-DE" w:bidi="en-US"/>
        </w:rPr>
        <w:t xml:space="preserve"> (TDM), phthiocerol dimycocerosate (PDIM/DIM), </w:t>
      </w:r>
      <w:proofErr w:type="spellStart"/>
      <w:r w:rsidRPr="00480AF7">
        <w:rPr>
          <w:rFonts w:ascii="Palatino Linotype" w:eastAsia="Times New Roman" w:hAnsi="Palatino Linotype" w:cs="Times New Roman"/>
          <w:snapToGrid w:val="0"/>
          <w:color w:val="000000"/>
          <w:sz w:val="20"/>
          <w:lang w:val="en-US" w:eastAsia="de-DE" w:bidi="en-US"/>
        </w:rPr>
        <w:t>sulfolipids</w:t>
      </w:r>
      <w:proofErr w:type="spellEnd"/>
      <w:r w:rsidRPr="00480AF7">
        <w:rPr>
          <w:rFonts w:ascii="Palatino Linotype" w:eastAsia="Times New Roman" w:hAnsi="Palatino Linotype" w:cs="Times New Roman"/>
          <w:snapToGrid w:val="0"/>
          <w:color w:val="000000"/>
          <w:sz w:val="20"/>
          <w:lang w:val="en-US" w:eastAsia="de-DE" w:bidi="en-US"/>
        </w:rPr>
        <w:t xml:space="preserve"> (SLs), phosphatidylinositol </w:t>
      </w:r>
      <w:proofErr w:type="spellStart"/>
      <w:r w:rsidRPr="00480AF7">
        <w:rPr>
          <w:rFonts w:ascii="Palatino Linotype" w:eastAsia="Times New Roman" w:hAnsi="Palatino Linotype" w:cs="Times New Roman"/>
          <w:snapToGrid w:val="0"/>
          <w:color w:val="000000"/>
          <w:sz w:val="20"/>
          <w:lang w:val="en-US" w:eastAsia="de-DE" w:bidi="en-US"/>
        </w:rPr>
        <w:t>mannosides</w:t>
      </w:r>
      <w:proofErr w:type="spellEnd"/>
      <w:r w:rsidRPr="00480AF7">
        <w:rPr>
          <w:rFonts w:ascii="Palatino Linotype" w:eastAsia="Times New Roman" w:hAnsi="Palatino Linotype" w:cs="Times New Roman"/>
          <w:snapToGrid w:val="0"/>
          <w:color w:val="000000"/>
          <w:sz w:val="20"/>
          <w:lang w:val="en-US" w:eastAsia="de-DE" w:bidi="en-US"/>
        </w:rPr>
        <w:t xml:space="preserve"> (PIM), lipomannan (LM) and lipoarabinomannan (LAM)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{"citationItems":[{"id":"ITEM-1","itemData":{"DOI":"10.1073/pnas.0709530105","ISBN":"1091-6490 (Electronic)\\n0027-8424 (Linking)","ISSN":"1091-6490","PMID":"18316738","abstract":"The cell walls of mycobacteria form an exceptional permeability barrier, and they are essential for virulence. They contain extractable lipids and long-chain mycolic acids that are covalently linked to peptidoglycan via an arabinogalactan network. The lipids were thought to form an asymmetrical bilayer of considerable thickness, but this could never be proven directly by microscopy or other means. Cryo-electron tomography of unperturbed or detergent-treated cells of Mycobacterium smegmatis embedded in vitreous ice now reveals the native organization of the cell envelope and its delineation into several distinct layers. The 3D data and the investigation of ultrathin frozen-hydrated cryosections of M. smegmatis, Myobacterium bovis bacillus Calmette-Guérin, and Corynebacterium glutamicum identified the outermost layer as a morphologically symmetrical lipid bilayer. The structure of the mycobacterial outer membrane necessitates considerable revision of the current view of its architecture. Conceivable models are proposed and discussed. These results are crucial for the investigation and understanding of transport processes across the mycobacterial cell wall, and they are of particular medical relevance in the case of pathogenic mycobacteria.","author":[{"dropping-particle":"","family":"Hoffmann","given":"Christian","non-dropping-particle":"","parse-names":false,"suffix":""},{"dropping-particle":"","family":"Leis","given":"Andrew","non-dropping-particle":"","parse-names":false,"suffix":""},{"dropping-particle":"","family":"Niederweis","given":"Michael","non-dropping-particle":"","parse-names":false,"suffix":""},{"dropping-particle":"","family":"Plitzko","given":"Jürgen M.","non-dropping-particle":"","parse-names":false,"suffix":""},{"dropping-particle":"","family":"Engelhardt","given":"Harald","non-dropping-particle":"","parse-names":false,"suffix":""}],"container-title":"Proceedings of the National Academy of Sciences of the United States of America","id":"ITEM-1","issue":"10","issued":{"date-parts":[["2008","3","11"]]},"page":"3963-7","title":"Disclosure of the mycobacterial outer membrane: cryo-electron tomography and vitreous sections reveal the lipid bilayer structure.","type":"article-journal","volume":"105"},"uris":["http://www.mendeley.com/documents/?uuid=b20d95df-3d1f-4a65-8aa9-6658e37f6bbb"]},{"id":"ITEM-2","itemData":{"DOI":"10.1128/JB.01919-07","ISBN":"1098-5530 (Electronic)\\n0021-9193 (Linking)","ISSN":"1098-5530","PMID":"18567661","abstract":"The cell envelope of mycobacteria, which include the causative agents of tuberculosis and leprosy, is crucial for their success as pathogens. Despite a continued strong emphasis on identifying the multiple chemical components of this envelope, it has proven difficult to combine its components into a comprehensive structural model, primarily because the available ultrastructural data rely on conventional electron microscopy embedding and sectioning, which are known to induce artifacts. The existence of an outer membrane bilayer has long been postulated but has never been directly observed by electron microscopy of ultrathin sections. Here we have used cryo-electron microscopy of vitreous sections (CEMOVIS) to perform a detailed ultrastructural analysis of three species belonging to the Corynebacterineae suborder, namely, Mycobacterium bovis BCG, Mycobacterium smegmatis, and Corynebacterium glutamicum, in their native state. We provide new information that accurately describes the different layers of the mycobacterial cell envelope and challenges current models of the organization of its components. We show a direct visualization of an outer membrane, analogous to that found in gram-negative bacteria, in the three bacterial species examined. Furthermore, we demonstrate that mycolic acids, the hallmark of mycobacteria and related genera, are essential for the formation of this outer membrane. In addition, a granular layer and a low-density zone typifying the periplasmic space of gram-positive bacteria are apparent in CEMOVIS images of mycobacteria and corynebacteria. Based on our observations, a model of the organization of the lipids in the outer membrane is proposed. The architecture we describe should serve as a reference for future studies to relate the structure of the mycobacterial cell envelope to its function.","author":[{"dropping-particle":"","family":"Zuber","given":"Benoît","non-dropping-particle":"","parse-names":false,"suffix":""},{"dropping-particle":"","family":"Chami","given":"Mohamed","non-dropping-particle":"","parse-names":false,"suffix":""},{"dropping-particle":"","family":"Houssin","given":"Christine","non-dropping-particle":"","parse-names":false,"suffix":""},{"dropping-particle":"","family":"Dubochet","given":"Jacques","non-dropping-particle":"","parse-names":false,"suffix":""},{"dropping-particle":"","family":"Griffiths","given":"Gareth","non-dropping-particle":"","parse-names":false,"suffix":""},{"dropping-particle":"","family":"Daffé","given":"Mamadou","non-dropping-particle":"","parse-names":false,"suffix":""}],"container-title":"Journal of bacteriology","id":"ITEM-2","issue":"16","issued":{"date-parts":[["2008","8"]]},"page":"5672-80","title":"Direct visualization of the outer membrane of mycobacteria and corynebacteria in their native state.","type":"article-journal","volume":"190"},"uris":["http://www.mendeley.com/documents/?uuid=57b4edc3-a462-453b-abf3-e45b008e2207"]},{"id":"ITEM-3","itemData":{"DOI":"10.3109/10409238.2014.925420","ISSN":"1549-7798","PMID":"24915502","abstract":"Tuberculosis (TB) remains the second most common cause of death due to a single infectious agent. The cell envelope of Mycobacterium tuberculosis (Mtb), the causative agent of the disease in humans, is a source of unique glycoconjugates and the most distinctive feature of the biology of this organism. It is the basis of much of Mtb pathogenesis and one of the major causes of its intrinsic resistance to chemotherapeutic agents. At the same time, the unique structures of Mtb cell envelope glycoconjugates, their antigenicity and essentiality for mycobacterial growth provide opportunities for drug, vaccine, diagnostic and biomarker development, as clearly illustrated by recent advances in all of these translational aspects. This review focuses on our current understanding of the structure and biogenesis of Mtb glycoconjugates with particular emphasis on one of the most intriguing and least understood aspect of the physiology of mycobacteria: the translocation of these complex macromolecules across the different layers of the cell envelope. It further reviews the rather impressive progress made in the last 10 years in the discovery and development of novel inhibitors targeting their biogenesis.","author":[{"dropping-particle":"","family":"Angala","given":"Shiva Kumar","non-dropping-particle":"","parse-names":false,"suffix":""},{"dropping-particle":"","family":"Belardinelli","given":"Juan Manuel","non-dropping-particle":"","parse-names":false,"suffix":""},{"dropping-particle":"","family":"Huc-Claustre","given":"Emilie","non-dropping-particle":"","parse-names":false,"suffix":""},{"dropping-particle":"","family":"Wheat","given":"William H","non-dropping-particle":"","parse-names":false,"suffix":""},{"dropping-particle":"","family":"Jackson","given":"Mary","non-dropping-particle":"","parse-names":false,"suffix":""}],"container-title":"Critical reviews in biochemistry and molecular biology","id":"ITEM-3","issue":"5","issued":{"date-parts":[["2014","8","10"]]},"page":"361-99","title":"The cell envelope glycoconjugates of Mycobacterium tuberculosis.","type":"article-journal","volume":"49"},"uris":["http://www.mendeley.com/documents/?uuid=497169a5-e7d0-4dec-9f85-4b98b55a4e5c"]},{"id":"ITEM-4","itemData":{"DOI":"10.1073/pnas.1403078111","ISBN":"1091-6490 (Electronic)\\r0027-8424 (Linking)","ISSN":"0027-8424","PMID":"24639491","abstract":"Mycobacterium species, including the human pathogen Mycobacterium tuberculosis, are unique among Gram-positive bacteria in producing a complex cell wall that contains unusual lipids and functions as a permeability barrier. Lipids in the cell wall were hypothesized to form a bilayer or outer membrane that would prevent the entry of chemotherapeutic agents, but this could not be tested because of the difficulty in extracting only the cell-wall lipids. We used reverse micellar extraction to achieve this goal and carried out a quantitative analysis of both the cell wall and the inner membrane lipids of Mycobacterium smegmatis. We found that the outer leaflet of the outer membrane contains a similar number of hydrocarbon chains as the inner leaflet composed of mycolic acids covalently linked to cell-wall arabinogalactan, thus validating the outer membrane model. Furthermore, we found that preliminary extraction with reverse micelles permitted the subsequent complete extraction of inner membrane lipids with chloroform-methanol-water, revealing that one-half of hydrocarbon chains in this membrane are contributed by an unusual lipid, diacyl phosphatidylinositol dimannoside. The inner leaflet of this membrane likely is composed nearly entirely of this lipid. Because it contains four fatty acyl chains within a single molecule, it may produce a bilayer environment of unusually low fluidity and may slow the influx of drugs, contributing to the general drug resistance phenotype of mycobacteria.","author":[{"dropping-particle":"","family":"Bansal-Mutalik","given":"Ritu","non-dropping-particle":"","parse-names":false,"suffix":""},{"dropping-particle":"","family":"Nikaido","given":"Hiroshi","non-dropping-particle":"","parse-names":false,"suffix":""}],"container-title":"Proceedings of the National Academy of Sciences","id":"ITEM-4","issue":"13","issued":{"date-parts":[["2014","4","1"]]},"page":"4958-4963","title":"Mycobacterial outer membrane is a lipid bilayer and the inner membrane is unusually rich in diacyl phosphatidylinositol dimannosides","type":"article-journal","volume":"111"},"uris":["http://www.mendeley.com/documents/?uuid=4639ba65-a453-439d-a1af-b75f9040c791"]},{"id":"ITEM-5","itemData":{"DOI":"10.1074/jbc.M116.739227","ISBN":"9704911815","ISSN":"1083-351X","PMID":"27417139","abstract":"The unique cell wall of mycobacteria is essential to their viability and the target of many clinically used anti-tuberculosis drugs and inhibitors under development. Despite intensive efforts to identify the ligase(s) responsible for the covalent attachment of the two major heteropolysaccharides of the mycobacterial cell wall, arabinogalactan (AG) and peptidoglycan (PG), the enzyme or enzymes responsible have remained elusive. We here report on the identification of the two enzymes of Mycobacterium tuberculosis, CpsA1 (Rv3267) and CpsA2 (Rv3484), responsible for this function. CpsA1 and CpsA2 belong to the widespread LytR-Cps2A-Psr (LCP) family of enzymes that has been shown to catalyze a variety of glycopolymer transfer reactions in Gram-positive bacteria, including the attachment of wall teichoic acids to PG. Although individual cpsA1 and cpsA2 knock-outs of M. tuberculosis were readily obtained, the combined inactivation of both genes appears to be lethal. In the closely related microorganism Corynebacterium glutamicum, the ortholog of cpsA1 is the only gene involved in this function, and its conditional knockdown leads to dramatic changes in the cell wall composition and morphology of the bacteria due to extensive shedding of cell wall material in the culture medium as a result of defective attachment of AG to PG. This work marks an important step in our understanding of the biogenesis of the unique cell envelope of mycobacteria and opens new opportunities for drug development.","author":[{"dropping-particle":"","family":"Grzegorzewicz","given":"Anna E.","non-dropping-particle":"","parse-names":false,"suffix":""},{"dropping-particle":"","family":"Sousa-d'Auria","given":"Célia","non-dropping-particle":"de","parse-names":false,"suffix":""},{"dropping-particle":"","family":"McNeil","given":"Michael R.","non-dropping-particle":"","parse-names":false,"suffix":""},{"dropping-particle":"","family":"Huc-Claustre","given":"Emilie","non-dropping-particle":"","parse-names":false,"suffix":""},{"dropping-particle":"","family":"Jones","given":"Victoria","non-dropping-particle":"","parse-names":false,"suffix":""},{"dropping-particle":"","family":"Petit","given":"Cécile","non-dropping-particle":"","parse-names":false,"suffix":""},{"dropping-particle":"","family":"Angala","given":"Shiva Kumar","non-dropping-particle":"","parse-names":false,"suffix":""},{"dropping-particle":"","family":"Zemanová","given":"Júlia","non-dropping-particle":"","parse-names":false,"suffix":""},{"dropping-particle":"","family":"Wang","given":"Qinglan","non-dropping-particle":"","parse-names":false,"suffix":""},{"dropping-particle":"","family":"Belardinelli","given":"Juan Manuel","non-dropping-particle":"","parse-names":false,"suffix":""},{"dropping-particle":"","family":"Gao","given":"Qian","non-dropping-particle":"","parse-names":false,"suffix":""},{"dropping-particle":"","family":"Ishizaki","given":"Yoshimasa","non-dropping-particle":"","parse-names":false,"suffix":""},{"dropping-particle":"","family":"Mikušová","given":"Katarína","non-dropping-particle":"","parse-names":false,"suffix":""},{"dropping-particle":"","family":"Brennan","given":"Patrick J.","non-dropping-particle":"","parse-names":false,"suffix":""},{"dropping-particle":"","family":"Ronning","given":"Donald R.","non-dropping-particle":"","parse-names":false,"suffix":""},{"dropping-particle":"","family":"Chami","given":"Mohamed","non-dropping-particle":"","parse-names":false,"suffix":""},{"dropping-particle":"","family":"Houssin","given":"Christine","non-dropping-particle":"","parse-names":false,"suffix":""},{"dropping-particle":"","family":"Jackson","given":"Mary","non-dropping-particle":"","parse-names":false,"suffix":""}],"container-title":"The Journal of biological chemistry","id":"ITEM-5","issue":"36","issued":{"date-parts":[["2016","9","2"]]},"page":"18867-79","title":"Assembling of the Mycobacterium tuberculosis Cell Wall Core.","type":"article-journal","volume":"291"},"uris":["http://www.mendeley.com/documents/?uuid=9d6bb575-a6b2-4599-84c5-414cb539e9a6"]},{"id":"ITEM-6","itemData":{"DOI":"10.2217/fmb-2017-0135","ISSN":"1746-0921","PMID":"29771143","abstract":"Mycobacterium tuberculosis is an intracellular bacterium that persists and replicates inside macrophages. The bacterium possesses an unusual lipid-rich cell envelope that provides a hydrophobic impermeable barrier against many environmental stressors and allows it to survive extremely hostile intracellular surroundings. Since the lipid-rich envelope is crucial for M. tuberculosis virulence, the components of the cell wall lipid biogenesis pathways constitute an attractive target for the development of vaccines and antimycobacterial chemotherapeutics. In this review, we provide a detailed description of the mycobacterial cell envelope lipid components and their contributions to the physiology and pathogenicity of mycobacteria. We also discussed the current status of the antimycobacterial drugs that target biosynthesis, export and regulation of cell envelope lipids.","author":[{"dropping-particle":"","family":"Singh","given":"Parul","non-dropping-particle":"","parse-names":false,"suffix":""},{"dropping-particle":"","family":"Rameshwaram","given":"Nagender Rao","non-dropping-particle":"","parse-names":false,"suffix":""},{"dropping-particle":"","family":"Ghosh","given":"Sudip","non-dropping-particle":"","parse-names":false,"suffix":""},{"dropping-particle":"","family":"Mukhopadhyay","given":"Sangita","non-dropping-particle":"","parse-names":false,"suffix":""}],"container-title":"Future microbiology","id":"ITEM-6","issue":"7","issued":{"date-parts":[["2018","5","1"]]},"page":"689-710","title":"Cell envelope lipids in the pathophysiology of Mycobacterium tuberculosis.","type":"article-journal","volume":"13"},"uris":["http://www.mendeley.com/documents/?uuid=10065a5d-1b1d-4688-9cd7-35c7eedf7353"]}],"mendeley":{"formattedCitation":"[21–26]","plainTextFormattedCitation":"[21–26]","previouslyFormattedCitation":"[21–26]"},"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[21–26]</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These outer envelope lipids play an important role in structural integrity and can modulate the host immune response, therefore influencing </w:t>
      </w:r>
      <w:r w:rsidRPr="00480AF7">
        <w:rPr>
          <w:rFonts w:ascii="Palatino Linotype" w:eastAsia="Times New Roman" w:hAnsi="Palatino Linotype" w:cs="Times New Roman"/>
          <w:i/>
          <w:iCs/>
          <w:snapToGrid w:val="0"/>
          <w:color w:val="000000"/>
          <w:sz w:val="20"/>
          <w:lang w:val="en-US" w:eastAsia="de-DE" w:bidi="en-US"/>
        </w:rPr>
        <w:t>Mycobacterium</w:t>
      </w:r>
      <w:r w:rsidRPr="00480AF7">
        <w:rPr>
          <w:rFonts w:ascii="Palatino Linotype" w:eastAsia="Times New Roman" w:hAnsi="Palatino Linotype" w:cs="Times New Roman"/>
          <w:snapToGrid w:val="0"/>
          <w:color w:val="000000"/>
          <w:sz w:val="20"/>
          <w:lang w:val="en-US" w:eastAsia="de-DE" w:bidi="en-US"/>
        </w:rPr>
        <w:t xml:space="preserve"> pathogenicity. MA constitutes a natural barrier of the bacteria and the nature of its composition and oxygenation can influence </w:t>
      </w:r>
      <w:proofErr w:type="spellStart"/>
      <w:r w:rsidRPr="00480AF7">
        <w:rPr>
          <w:rFonts w:ascii="Palatino Linotype" w:eastAsia="Times New Roman" w:hAnsi="Palatino Linotype" w:cs="Times New Roman"/>
          <w:i/>
          <w:iCs/>
          <w:snapToGrid w:val="0"/>
          <w:color w:val="000000"/>
          <w:sz w:val="20"/>
          <w:lang w:val="en-US" w:eastAsia="de-DE" w:bidi="en-US"/>
        </w:rPr>
        <w:t>Mtb</w:t>
      </w:r>
      <w:proofErr w:type="spellEnd"/>
      <w:r w:rsidRPr="00480AF7">
        <w:rPr>
          <w:rFonts w:ascii="Palatino Linotype" w:eastAsia="Times New Roman" w:hAnsi="Palatino Linotype" w:cs="Times New Roman"/>
          <w:snapToGrid w:val="0"/>
          <w:color w:val="000000"/>
          <w:sz w:val="20"/>
          <w:lang w:val="en-US" w:eastAsia="de-DE" w:bidi="en-US"/>
        </w:rPr>
        <w:t xml:space="preserve"> pathogenicity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{"citationItems":[{"id":"ITEM-1","itemData":{"DOI":"10.1016/S0163-7827(98)00008-3","ISBN":"0163-7827","ISSN":"0163-7827","PMID":"9829124","abstract":"A review with 288 refs. on mycolic acid in mycobacteria and related\\nspecies.","author":[{"dropping-particle":"","family":"Barry","given":"Clifton E.","non-dropping-particle":"","parse-names":false,"suffix":""},{"dropping-particle":"","family":"Lee","given":"Richard E.","non-dropping-particle":"","parse-names":false,"suffix":""},{"dropping-particle":"","family":"Mdluli","given":"Khisimusi","non-dropping-particle":"","parse-names":false,"suffix":""},{"dropping-particle":"","family":"Sampson","given":"Andrea E.","non-dropping-particle":"","parse-names":false,"suffix":""},{"dropping-particle":"","family":"Schroeder","given":"Benjamin G.","non-dropping-particle":"","parse-names":false,"suffix":""},{"dropping-particle":"","family":"Slayden","given":"Richard A.","non-dropping-particle":"","parse-names":false,"suffix":""},{"dropping-particle":"","family":"Yuan","given":"Ying","non-dropping-particle":"","parse-names":false,"suffix":""}],"container-title":"Progress in lipid research","id":"ITEM-1","issue":"2-3","issued":{"date-parts":[["1998"]]},"page":"143-79","title":"Mycolic acids: structure, biosynthesis and physiological functions.","type":"article-journal","volume":"37"},"uris":["http://www.mendeley.com/documents/?uuid=0d7a05cc-55a9-4400-96ca-a754704dd614"]},{"id":"ITEM-2","itemData":{"DOI":"10.1046/j.1365-2958.2000.01882.x","ISBN":"1365-2958","ISSN":"0950-382X","PMID":"10844652","abstract":"Members of the Mycobacterium tuberculosis group synthesize a family of long-chain fatty acids, mycolic acids, which are located in the cell envelope. These include the non-oxygenated alpha-mycolic acid and the oxygenated keto- and methoxymycolic acids. The function in bacterial virulence, if any, of these various types of mycolic acids is unknown. We have constructed a mutant strain of M. tuberculosis with an inactivated hma (cmaA, mma4) gene; this mutant strain no longer synthesizes oxygenated mycolic acids, has profound alterations in its envelope permeability and is attenuated in mice.","author":[{"dropping-particle":"","family":"Dubnau","given":"Eugenie","non-dropping-particle":"","parse-names":false,"suffix":""},{"dropping-particle":"","family":"Chan","given":"John","non-dropping-particle":"","parse-names":false,"suffix":""},{"dropping-particle":"","family":"Raynaud","given":"Catherine","non-dropping-particle":"","parse-names":false,"suffix":""},{"dropping-particle":"","family":"Mohan","given":"Vellore P.","non-dropping-particle":"","parse-names":false,"suffix":""},{"dropping-particle":"","family":"Lanéelle","given":"Marie Antoinette","non-dropping-particle":"","parse-names":false,"suffix":""},{"dropping-particle":"","family":"Yu","given":"Keming","non-dropping-particle":"","parse-names":false,"suffix":""},{"dropping-particle":"","family":"Quémard","given":"Annaik","non-dropping-particle":"","parse-names":false,"suffix":""},{"dropping-particle":"","family":"Smith","given":"Issar","non-dropping-particle":"","parse-names":false,"suffix":""},{"dropping-particle":"","family":"Daffé","given":"Mamadou","non-dropping-particle":"","parse-names":false,"suffix":""}],"container-title":"Molecular microbiology","id":"ITEM-2","issue":"3","issued":{"date-parts":[["2000","5"]]},"page":"630-7","title":"Oxygenated mycolic acids are necessary for virulence of Mycobacterium tuberculosis in mice.","type":"article-journal","volume":"36"},"uris":["http://www.mendeley.com/documents/?uuid=8e334a06-ccdc-45f5-b361-ef928da972cc"]}],"mendeley":{"formattedCitation":"[27,28]","plainTextFormattedCitation":"[27,28]","previouslyFormattedCitation":"[27,28]"},"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[27,28]</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by modulation of macrophage activation and differentiation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{"citationItems":[{"id":"ITEM-1","itemData":{"DOI":"10.1002/eji.201040719","ISBN":"1521-4141 (Electronic)\\r0014-2980 (Linking)","ISSN":"1521-4141","PMID":"21268014","abstract":"Mycolic acids (MAs) occur in the cell wall of Mycobacterium tuberculosis as variable mixtures of different classes and chain lengths. Here, we address the relationship between the structure and its inflammatory function of this virulence factor using single synthetic MA isomers, differing in oxygenation class and cis- versus α-methyl-trans proximal cyclopropane orientation. Analysis of bronchoalveolar inflammation, lung histopathology and alveolar macrophage transcription revealed a strong dependence on these meromycolic chemistries of mouse pulmonary inflammation in response to intratracheal treatments with MAs. Whereas α-MA was inert, oxygenated methoxy- and keto-MA with cis-cyclopropane stereochemistry elicited solid to mild inflammatory responses respectively. In trans-cyclopropane orientation, methoxy-MA partially lost its inflammatory activity and keto-MA exerted anti-inflammatory alternative activation of alveolar macrophages and counteracted cis-methoxy-MA induced airway inflammation. The differential innate immune activities of MAs demonstrated here, dependent on oxygenation class and cis versus α-methyl-trans cyclopropane chemistry, identify a novel means for M. tuberculosis to steer host immune responses during infection.","author":[{"dropping-particle":"","family":"Beken","given":"Seppe","non-dropping-particle":"Vander","parse-names":false,"suffix":""},{"dropping-particle":"","family":"Dulayymi","given":"Juma&amp;apos;a R.","non-dropping-particle":"Al","parse-names":false,"suffix":""},{"dropping-particle":"","family":"Naessens","given":"Thomas","non-dropping-particle":"","parse-names":false,"suffix":""},{"dropping-particle":"","family":"Koza","given":"Gani","non-dropping-particle":"","parse-names":false,"suffix":""},{"dropping-particle":"","family":"Maza-Iglesias","given":"Max","non-dropping-particle":"","parse-names":false,"suffix":""},{"dropping-particle":"","family":"Rowles","given":"Richard","non-dropping-particle":"","parse-names":false,"suffix":""},{"dropping-particle":"","family":"Theunissen","given":"Cornelia","non-dropping-particle":"","parse-names":false,"suffix":""},{"dropping-particle":"","family":"Medts","given":"Jelle","non-dropping-particle":"De","parse-names":false,"suffix":""},{"dropping-particle":"","family":"Lanckacker","given":"Ellen","non-dropping-particle":"","parse-names":false,"suffix":""},{"dropping-particle":"","family":"Baird","given":"Mark S.","non-dropping-particle":"","parse-names":false,"suffix":""},{"dropping-particle":"","family":"Grooten","given":"Johan","non-dropping-particle":"","parse-names":false,"suffix":""}],"container-title":"European journal of immunology","id":"ITEM-1","issue":"2","issued":{"date-parts":[["2011","2"]]},"page":"450-60","title":"Molecular structure of the Mycobacterium tuberculosis virulence factor, mycolic acid, determines the elicited inflammatory pattern.","type":"article-journal","volume":"41"},"uris":["http://www.mendeley.com/documents/?uuid=15cc0272-d5cb-47b5-bea4-e63fa63f3833"]},{"id":"ITEM-2","itemData":{"DOI":"10.4049/jimmunol.1400092","ISSN":"0022-1767","PMID":"24907344","abstract":"The cell wall of Mycobacterium tuberculosis is configured of bioactive lipid classes that are essential for virulence and potentially involved in the formation of foamy macrophages (FMs) and granulomas. Our recent work established crosstalk between M. tuberculosis cell wall lipids and the host lipid-sensing nuclear receptor TR4. In this study, we have characterized, identified, and adopted a heterologous ligand keto-mycolic acid from among M. tuberculosis lipid repertoire for the host orphan NR TR4. Crosstalk between cell wall lipids and TR4 was analyzed by transactivation and promoter reporter assays. Mycolic acid (MA) was found to transactivate TR4 significantly compared with other cell wall lipids. Among the MA, the oxygenated form, keto-MA, was responsible for transactivation, and the identity was validated by TR4 binding assays followed by TLC and nuclear magnetic resonance. Isothermal titration calorimetry revealed that keto-MA binding to TR4 is energetically favorable. This keto-MA-TR4 axis seems to be essential to this oxygenated MA induction of FMs and granuloma formation as evaluated by in vitro and in vivo model of granuloma formation. TR4 binding with keto-MA features a unique association of host nuclear receptor with a bacterial lipid and adds to the presently known ligand repertoire beyond dietary lipids. Pharmacologic modulation of this heterologous axis may hold promise as an adjunct therapy to frontline tuberculosis drugs.","author":[{"dropping-particle":"","family":"Dkhar","given":"Hedwin Kitdorlang","non-dropping-particle":"","parse-names":false,"suffix":""},{"dropping-particle":"","family":"Nanduri","given":"Ravikanth","non-dropping-particle":"","parse-names":false,"suffix":""},{"dropping-particle":"","family":"Mahajan","given":"Sahil","non-dropping-particle":"","parse-names":false,"suffix":""},{"dropping-particle":"","family":"Dave","given":"Sandeep","non-dropping-particle":"","parse-names":false,"suffix":""},{"dropping-particle":"","family":"Saini","given":"Ankita","non-dropping-particle":"","parse-names":false,"suffix":""},{"dropping-particle":"","family":"Somavarapu","given":"Arun Kumar","non-dropping-particle":"","parse-names":false,"suffix":""},{"dropping-particle":"","family":"Arora","given":"Ashish","non-dropping-particle":"","parse-names":false,"suffix":""},{"dropping-particle":"","family":"Parkesh","given":"Raman","non-dropping-particle":"","parse-names":false,"suffix":""},{"dropping-particle":"","family":"Thakur","given":"Krishan Gopal","non-dropping-particle":"","parse-names":false,"suffix":""},{"dropping-particle":"","family":"Mayilraj","given":"Shanmugam","non-dropping-particle":"","parse-names":false,"suffix":""},{"dropping-particle":"","family":"Gupta","given":"Pawan","non-dropping-particle":"","parse-names":false,"suffix":""}],"container-title":"The Journal of Immunology","id":"ITEM-2","issue":"1","issued":{"date-parts":[["2014","7","1"]]},"page":"295-305","title":"Mycobacterium tuberculosis Keto-Mycolic Acid and Macrophage Nuclear Receptor TR4 Modulate Foamy Biogenesis in Granulomas: A Case of a Heterologous and Noncanonical Ligand-Receptor Pair","type":"article-journal","volume":"193"},"uris":["http://www.mendeley.com/documents/?uuid=148b0af1-4b41-4d82-a58c-6ba5f29634a8"]}],"mendeley":{"formattedCitation":"[29,30]","plainTextFormattedCitation":"[29,30]","previouslyFormattedCitation":"[29,30]"},"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[29,30]</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In addition, the inflammatory response can be associated with AG and PG structures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{"citationItems":[{"id":"ITEM-1","itemData":{"ISSN":"0022-1767","PMID":"10490993","abstract":"Recent studies have implicated a family of mammalian Toll-like receptors (TLR) in the activation of macrophages by Gram-negative and Gram-positive bacterial products. We have previously shown that different TLR proteins mediate cellular activation by the distinct CD14 ligands Gram-negative bacterial LPS and mycobacterial glycolipid lipoarabinomannan (LAM). Here we show that viable Mycobacterium tuberculosis bacilli activated both Chinese hamster ovary cells and murine macrophages that overexpressed either TLR2 or TLR4. This contrasted with Gram-positive bacteria and Mycobacterium avium, which activated cells via TLR2 but not TLR4. Both virulent and attenuated strains of M. tuberculosis could activate the cells in a TLR-dependent manner. Neither membrane-bound nor soluble CD14 was required for bacilli to activate cells in a TLR-dependent manner. We also assessed whether LAM was the mycobacterial cell wall component responsible for TLR-dependent cellular activation by M. tuberculosis. We found that TLR2, but not TLR4, could confer responsiveness to LAM isolated from rapidly growing mycobacteria. In contrast, LAM isolated from M. tuberculosis or Mycobacterium bovis bacillus Calmette-Guérin failed to induce TLR-dependent activation. Lastly, both soluble and cell wall-associated mycobacterial factors were capable of mediating activation via distinct TLR proteins. A soluble heat-stable and protease-resistant factor was found to mediate TLR2-dependent activation, whereas a heat-sensitive cell-associated mycobacterial factor mediated TLR4-dependent activation. Together, our data demonstrate that Toll-like receptors can mediate cellular activation by M. tuberculosis via CD14-independent ligands that are distinct from the mycobacterial cell wall glycolipid LAM.","author":[{"dropping-particle":"","family":"Means","given":"Terry K","non-dropping-particle":"","parse-names":false,"suffix":""},{"dropping-particle":"","family":"Wang","given":"Shuyan","non-dropping-particle":"","parse-names":false,"suffix":""},{"dropping-particle":"","family":"Lien","given":"Egil","non-dropping-particle":"","parse-names":false,"suffix":""},{"dropping-particle":"","family":"Yoshimura","given":"A","non-dropping-particle":"","parse-names":false,"suffix":""},{"dropping-particle":"","family":"Golenbock","given":"Douglas T","non-dropping-particle":"","parse-names":false,"suffix":""},{"dropping-particle":"","family":"Fenton","given":"Matthew J","non-dropping-particle":"","parse-names":false,"suffix":""}],"container-title":"Journal of immunology (Baltimore, Md. : 1950)","id":"ITEM-1","issue":"7","issued":{"date-parts":[["1999","10","1"]]},"page":"3920-7","title":"Human toll-like receptors mediate cellular activation by Mycobacterium tuberculosis.","type":"article-journal","volume":"163"},"uris":["http://www.mendeley.com/documents/?uuid=bc212ca6-7db5-4673-962c-8f7c8e87feb8"]}],"mendeley":{"formattedCitation":"[31]","plainTextFormattedCitation":"[31]","previouslyFormattedCitation":"[31]"},"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[31]</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TDM (also known as cord factor) is a major contributor to inflammation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{"citationItems":[{"id":"ITEM-1","itemData":{"DOI":"10.1016/S1286-4579(01)01416-2","ISBN":"1286-4579 (Print)\\r1286-4579 (Linking)","ISSN":"1286-4579","PMID":"11445447","abstract":"Trehalose 6,6'-dimycolate (TDM, cord factor) has frequently been used as an adjuvant to stimulate antibody production. Although it also induces cellular immunity, detailed studies about the underlying events do not exist. To determine the kinetics of TDM-specific changes promoting a T helper 1 (Th1) response, we injected mice with TDM or 2,3,6,6'-tetraacyl trehalose 2'-sulfate (SL, sulfolipid), another mycobacterial trehalose-containing glycolipid without mycolic acid. TDM, but not SL, caused a strong increase in serum interferon-gamma (IFN-gamma) levels 2 days later, accompanied by expansion of natural killer (NK) cells. Subsequent TDM effects included depletion of normal-density CD4(+) NK1.1(+) TCRalpha/beta(intermediate) cells from day 7 on, upregulation of MHC class II and CD1d1 on macrophages (peaking on day 21), and an increased proportion of Th1 cells evident after 3 weeks. TDM, but not a similar glycolipid without mycolic acid, can therefore initiate a cascade of events starting with strong release of IFN-gamma and NK cell expansion, resulting in the appearance of macrophages activated for antigen presentation. Our data therefore provide the basis for optimized immunization schedules with TDM as the adjuvant component of a Th1 vaccine.","author":[{"dropping-particle":"","family":"Ryll","given":"Roland","non-dropping-particle":"","parse-names":false,"suffix":""},{"dropping-particle":"","family":"Watanabe","given":"Kenji","non-dropping-particle":"","parse-names":false,"suffix":""},{"dropping-particle":"","family":"Fujiwara","given":"Nagatoshi","non-dropping-particle":"","parse-names":false,"suffix":""},{"dropping-particle":"","family":"Takimoto","given":"Hiroaki","non-dropping-particle":"","parse-names":false,"suffix":""},{"dropping-particle":"","family":"Hasunuma","given":"Ryoichi","non-dropping-particle":"","parse-names":false,"suffix":""},{"dropping-particle":"","family":"Kumazawa","given":"Yoshio","non-dropping-particle":"","parse-names":false,"suffix":""},{"dropping-particle":"","family":"Okada","given":"Masaji","non-dropping-particle":"","parse-names":false,"suffix":""},{"dropping-particle":"","family":"Yano","given":"Ikuya","non-dropping-particle":"","parse-names":false,"suffix":""}],"container-title":"Microbes and infection","id":"ITEM-1","issue":"8","issued":{"date-parts":[["2001","7"]]},"page":"611-9","title":"Mycobacterial cord factor, but not sulfolipid, causes depletion of NKT cells and upregulation of CD1d1 on murine macrophages.","type":"article-journal","volume":"3"},"uris":["http://www.mendeley.com/documents/?uuid=742025b6-885c-4568-982e-20fb14484650"]},{"id":"ITEM-2","itemData":{"DOI":"10.4049/jimmunol.174.8.5007","ISBN":"0022-1767","ISSN":"0022-1767","PMID":"15814731","abstract":"The hallmark of Mycobacterium-induced pathology is granulomatous inflammation at the site of infection. Mycobacterial lipids are potent immunomodulators that contribute to the granulomatous response and are released in appreciable quantities by intracellular bacilli. Previously we investigated the granulomagenic nature of the peripheral cell wall lipids of Mycobacterium bovis bacillus Calmette-Guérin (BCG) by coating the lipids onto 90-microm diameter microspheres that were mixed into Matrigel matrix with syngeneic bone marrow-derived macrophages and injected i.p. into mice. These studies demonstrated that BCG lipids elicit proinflammatory cytokines and recruit leukocytes. In the current study we determined the lipids responsible for this proinflammatory effect. BCG-derived cell wall lipids were fractionated and purified by liquid chromatography and preparative TLC. The isolated fractions including phosphatidylinositol dimannosides, cardiolipin, phosphatidylglycerol, phosphatidylethanolamine, trehalose monomycolate, trehalose dimycolate, and mycoside B. Trehalose dimycolate, when delivered to bone marrow-derived murine macrophages, induced the greatest secretion of IL-1beta, IL-6, and TNF-alpha in vitro. Trehalose dimycolate similarly induced the greatest secretion of these proinflammatory cytokines in ex vivo matrices over the course of 12 days. Trehalose monomycolate and dimycolate also induced profound neutrophil recruitment in vivo. Experiments with TLR2 or TLR4 gene-deficient mice revealed no defects in responses to trehalose mycolates, although MyD88-deficient mice manifested significantly reduced cell recruitment and cytokine production. These results demonstrate that the trehalose mycolates, particularly trehalose dimycolate, are the most bioactive lipids in the BCG extract, inducing a proinflammatory cascade that influences granuloma formation.","author":[{"dropping-particle":"","family":"Geisel","given":"Rachel E.","non-dropping-particle":"","parse-names":false,"suffix":""},{"dropping-particle":"","family":"Sakamoto","given":"Kaori","non-dropping-particle":"","parse-names":false,"suffix":""},{"dropping-particle":"","family":"Russell","given":"David G.","non-dropping-particle":"","parse-names":false,"suffix":""},{"dropping-particle":"","family":"Rhoades","given":"Elizabeth R.","non-dropping-particle":"","parse-names":false,"suffix":""}],"container-title":"Journal of immunology (Baltimore, Md. : 1950)","id":"ITEM-2","issue":"8","issued":{"date-parts":[["2005","4","15"]]},"page":"5007-15","title":"In vivo activity of released cell wall lipids of Mycobacterium bovis bacillus Calmette-Guérin is due principally to trehalose mycolates.","type":"article-journal","volume":"174"},"uris":["http://www.mendeley.com/documents/?uuid=1008bd65-1d86-46ee-9b69-99d7475c70e0"]},{"id":"ITEM-3","itemData":{"DOI":"10.1099/mic.0.060681-0","ISBN":"1465-2080 (Electronic)\\r1350-0872 (Linking)","ISSN":"1465-2080","PMID":"22977091","abstract":"The ability to induce several cytokines relevant to tuberculosis (TNF-α, IL-1β, IL-6, IL-12p40 and IL-23) by cord factor (trehalose dimycolate) from Mycobacterium alvei CR-21(T) and Mycobacterium brumae CR-270(T) was studied in the cell lines RAW 264.7 and THP-1, and compared to the ability of cord factor from Mycobacterium tuberculosis H37Rv, where this glycolipid appears to be implicated in the pathogenesis of tuberculosis. Details of the fine structure of these molecules were obtained by NMR and MS. The mycoloyl residues were identified as α and (ω-1)-methoxy in M. alvei CR-21(T) and α in M. brumae CR-270(T); in both cases they were di-unsaturated instead of cyclopropanated as found in M. tuberculosis. In RAW 264.7 cells, cord factors from M. alvei CR-21(T), M. brumae CR-270(T) and M. tuberculosis differed in their ability to stimulate IL-6, the higher levels corresponding to the cord factor from M. tuberculosis. In THP-1 cells, a similar overall profile of cytokines was found for M. alvei CR-21(T) and M. brumae CR-270(T), with high proportions of IL-1β and TNF-α, and different from M. tuberculosis, where IL-6 and IL-12p40 prevailed. The data obtained indicate that cord factors from the atypical mycobacteria M. alvei CR-21(T) and M. brumae CR-270(T) stimulated the secretion of several pro-inflammatory cytokines, although there were some differences with those of M. tuberculosis H37Rv. This finding seems to be due to their particular mycoloyl substituents and could be of interest when considering the potential adjuvanticity of these molecules.","author":[{"dropping-particle":"","family":"Linares","given":"Carlos","non-dropping-particle":"","parse-names":false,"suffix":""},{"dropping-particle":"","family":"Bernabéu","given":"Antonia","non-dropping-particle":"","parse-names":false,"suffix":""},{"dropping-particle":"","family":"Luquin","given":"Marina","non-dropping-particle":"","parse-names":false,"suffix":""},{"dropping-particle":"","family":"Valero-Guillén","given":"Pedro L.","non-dropping-particle":"","parse-names":false,"suffix":""}],"container-title":"Microbiology (Reading, England)","id":"ITEM-3","issue":"Pt 11","issued":{"date-parts":[["2012","11"]]},"page":"2878-85","title":"Cord factors from atypical mycobacteria (Mycobacterium alvei, Mycobacterium brumae) stimulate the secretion of some pro-inflammatory cytokines of relevance in tuberculosis.","type":"article-journal","volume":"158"},"uris":["http://www.mendeley.com/documents/?uuid=1862d877-336a-41cb-aff6-91752244d130"]},{"id":"ITEM-4","itemData":{"DOI":"10.1016/S1472-9792(13)70003-9","ISBN":"1873-281X (Electronic)\\r1472-9792 (Linking)","ISSN":"1873-281X","PMID":"24388646","abstract":"Tuberculosis (TB) remains a significant public health burden worldwide. Treatment of this disease requires a minimum of six months and there is no vaccine available for the most common form of the disease. Increasing evidence suggests that the mycobacterial glycolipid trehalose 6,6' dimycolate (TDM; cord factor) plays a key role in the pathogenesis of TB disease. TDM protects the TB bacilli from macrophage-mediated killing, inhibits effective antigen presentation, and reduces the formation of protective T-cell responses. TDM promotes initiation of granuloma formation and likely plays a role in caseation. Furthermore, TDM may contribute to the development of post primary disease. Receptors for TDM were recently described and are expected to contribute to our knowledge of the molecular pathogenesis of TB disease. In this manner, understanding TDM may prove promising towards development of targeted TB therapeutics to limit clinical pathologies.","author":[{"dropping-particle":"","family":"Welsh","given":"Kerry J.","non-dropping-particle":"","parse-names":false,"suffix":""},{"dropping-particle":"","family":"Hunter","given":"Robert L.","non-dropping-particle":"","parse-names":false,"suffix":""},{"dropping-particle":"","family":"Actor","given":"Jeffrey K.","non-dropping-particle":"","parse-names":false,"suffix":""}],"container-title":"Tuberculosis (Edinburgh, Scotland)","id":"ITEM-4","issue":"SUPPL.","issued":{"date-parts":[["2013","12"]]},"page":"S3-9","publisher":"Elsevier Ltd","title":"Trehalose 6,6'-dimycolate--a coat to regulate tuberculosis immunopathogenesis.","type":"article-journal","volume":"93 Suppl"},"uris":["http://www.mendeley.com/documents/?uuid=83a891c9-50ad-49ea-91f4-06ea1f9d57c9"]}],"mendeley":{"formattedCitation":"[32–35]","plainTextFormattedCitation":"[32–35]","previouslyFormattedCitation":"[32–35]"},"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[32–35]</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and can also modulate macrophage activation [32,36,37], macrophage surface markers expression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{"citationItems":[{"id":"ITEM-1","itemData":{"DOI":"10.1016/j.micinf.2008.10.006","ISBN":"8585348585","ISSN":"1286-4579","PMID":"19007905","abstract":"Trehalose 6,6'-dimycolate (TDM) is the most abundant lipid extracted from Mycobacterium tuberculosis (MTB). TDM promotes MTB survival by decreasing phagosomal acidification and phagolysosomal fusion in macrophages. Delipidation of MTB using petroleum ether removes TDM and decreases MTB survival within host cells. TDM reconstituted onto MTB restores its virulent wild-type characteristics. We investigated the role of TDM in regulating surface marker expression in MTB-infected macrophages. Macrophages were infected with wild-type, delipidated, and TDM-reconstituted MTB for 24h and measured for changes in surface marker expression. TDM on MTB was found to specifically target MHCII, CD1d, CD40, CD80 and CD86. Both wild-type and TDM-reconstituted MTB suppressed or induced no change in expression of these surface markers, whereas delipidated MTB increased expression of the same markers. MTB-infected macrophages were also overlaid with MHCII-restricted T cell hybridomas which recognize Antigen 85B. Macrophages infected by wild-type and TDM-reconstituted MTB did not present antigen as well as delipidated MTB-infected macrophages. The evidence shown furthers supports the notion that TDM present on MTB promotes its survival and persistence in host macrophages.","author":[{"dropping-particle":"","family":"Kan-Sutton","given":"Celestine","non-dropping-particle":"","parse-names":false,"suffix":""},{"dropping-particle":"","family":"Jagannath","given":"Chinnaswamy","non-dropping-particle":"","parse-names":false,"suffix":""},{"dropping-particle":"","family":"Hunter","given":"Robert L","non-dropping-particle":"","parse-names":false,"suffix":""}],"container-title":"Microbes and infection","id":"ITEM-1","issue":"1","issued":{"date-parts":[["2009","1"]]},"page":"40-8","title":"Trehalose 6,6'-dimycolate on the surface of Mycobacterium tuberculosis modulates surface marker expression for antigen presentation and costimulation in murine macrophages.","type":"article-journal","volume":"11"},"uris":["http://www.mendeley.com/documents/?uuid=bd110ef7-33ab-49d3-9520-2234d74189d9"]}],"mendeley":{"formattedCitation":"[38]","plainTextFormattedCitation":"[38]","previouslyFormattedCitation":"[38]"},"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[38]</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and granuloma formation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{"citationItems":[{"id":"ITEM-1","itemData":{"DOI":"10.1128/IAI.68.6.3704-3709.2000","ISBN":"0019-9567 (Print)\\r0019-9567 (Linking)","ISSN":"0019-9567","PMID":"10816531","abstract":"Trehalose 6,6'-dimycolate (TDM) is a cell surface molecule of Mycobacterium tuberculosis. TDM induced a loss of body weight and prominent granulomas in the liver and lungs by the intravenous injection of TDM into rabbits. TDM also induced atrophy of the thymus and spleen due to apoptosis. By contrast, sulfolipid (2,3,6, 6'-tetraacyl trehalose 2'-sulfate) induced neither toxicity, nor granuloma formation, nor atrophy of the thymus and spleen. In rabbits the histopathological changes were more dramatic than in mice. The rabbit model may be more sensitive and may provide more information on the beneficial or pathological effects of TDM.","author":[{"dropping-particle":"","family":"Hamasaki","given":"Naoko","non-dropping-particle":"","parse-names":false,"suffix":""},{"dropping-particle":"","family":"Isowa","given":"K","non-dropping-particle":"","parse-names":false,"suffix":""},{"dropping-particle":"","family":"Kamada","given":"Kohachi","non-dropping-particle":"","parse-names":false,"suffix":""},{"dropping-particle":"","family":"Terano","given":"Yoshitake","non-dropping-particle":"","parse-names":false,"suffix":""},{"dropping-particle":"","family":"Matsumoto","given":"Takayuki","non-dropping-particle":"","parse-names":false,"suffix":""},{"dropping-particle":"","family":"Arakawa","given":"Tetsuo","non-dropping-particle":"","parse-names":false,"suffix":""},{"dropping-particle":"","family":"Kobayashi","given":"Kazuo","non-dropping-particle":"","parse-names":false,"suffix":""},{"dropping-particle":"","family":"Yano","given":"Ikuya","non-dropping-particle":"","parse-names":false,"suffix":""}],"container-title":"Infection and immunity","id":"ITEM-1","issue":"6","issued":{"date-parts":[["2000","6"]]},"page":"3704-9","title":"In vivo administration of mycobacterial cord factor (Trehalose 6, 6'-dimycolate) can induce lung and liver granulomas and thymic atrophy in rabbits.","type":"article-journal","volume":"68"},"uris":["http://www.mendeley.com/documents/?uuid=325b2d82-de55-45c0-b0b7-061135498328"]},{"id":"ITEM-2","itemData":{"DOI":"10.1128/IAI.00906-12","ISBN":"0019-9567\\n1098-5522","ISSN":"1098-5522","PMID":"23264051","abstract":"Trehalose 6,6'-dimycolate (TDM) is a cell wall glycolipid and an important virulence factor of mycobacteria. In order to study the role of TDM in the innate immune response to Mycobacterium tuberculosis, microarray analysis was used to examine gene regulation in murine bone marrow-derived macrophages in response to 90-μm-diameter polystyrene microspheres coated with TDM. A large number of genes, particularly those involved in the immune response and macrophage function, were up- or downregulated in response to these TDM-coated beads compared to control beads. Genes involved in the immune response were specifically upregulated in a myeloid differentiation primary response gene 88 (MyD88)-dependent manner. The complexity of the transcriptional response also increased greatly between 2 and 24 h. Matrix metalloproteinases (MMPs) were significantly upregulated at both time points, and this was confirmed by quantitative real-time reverse transcription-PCR (RT-PCR). Using an in vivo Matrigel granuloma model, the presence and activity of MMP-9 were examined by immunohistochemistry and in situ zymography (ISZ), respectively. We found that TDM-coated beads induced MMP-9 expression and activity in Matrigel granulomas. Macrophages were primarily responsible for MMP-9 expression, as granulomas from neutrophil-depleted mice showed staining patterns similar to that for wild-type mice. The relevance of these observations to human disease is supported by the similar induction of MMP-9 in human caseous tuberculosis (TB) granulomas. Given that MMPs likely play an important role in both the construction and breakdown of tuberculous granulomas, our results suggest that TDM may drive MMP expression during TB pathogenesis.","author":[{"dropping-particle":"","family":"Sakamoto","given":"Kaori","non-dropping-particle":"","parse-names":false,"suffix":""},{"dropping-particle":"","family":"Kim","given":"Mi Jeong","non-dropping-particle":"","parse-names":false,"suffix":""},{"dropping-particle":"","family":"Rhoades","given":"Elizabeth R.","non-dropping-particle":"","parse-names":false,"suffix":""},{"dropping-particle":"","family":"Allavena","given":"Rachel E.","non-dropping-particle":"","parse-names":false,"suffix":""},{"dropping-particle":"","family":"Ehrt","given":"Sabine","non-dropping-particle":"","parse-names":false,"suffix":""},{"dropping-particle":"","family":"Wainwright","given":"Helen C.","non-dropping-particle":"","parse-names":false,"suffix":""},{"dropping-particle":"","family":"Russell","given":"David G.","non-dropping-particle":"","parse-names":false,"suffix":""},{"dropping-particle":"","family":"Rohde","given":"Kyle H.","non-dropping-particle":"","parse-names":false,"suffix":""}],"container-title":"Infection and immunity","id":"ITEM-2","issue":"3","issued":{"date-parts":[["2013","3"]]},"page":"764-76","title":"Mycobacterial trehalose dimycolate reprograms macrophage global gene expression and activates matrix metalloproteinases.","type":"article-journal","volume":"81"},"uris":["http://www.mendeley.com/documents/?uuid=fba8fc83-0ab9-46aa-bfa8-54e142af77a3"]}],"mendeley":{"formattedCitation":"[39,40]","plainTextFormattedCitation":"[39,40]","previouslyFormattedCitation":"[39,40]"},"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[39,40]</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w:t>
      </w:r>
      <w:r w:rsidRPr="00480AF7">
        <w:rPr>
          <w:rFonts w:ascii="Palatino Linotype" w:eastAsia="Times New Roman" w:hAnsi="Palatino Linotype" w:cs="Times New Roman"/>
          <w:snapToGrid w:val="0"/>
          <w:color w:val="000000"/>
          <w:sz w:val="20"/>
          <w:szCs w:val="20"/>
          <w:lang w:val="en-US" w:eastAsia="de-DE" w:bidi="en-US"/>
        </w:rPr>
        <w:t xml:space="preserve">SLs are sulphated </w:t>
      </w:r>
      <w:proofErr w:type="spellStart"/>
      <w:r w:rsidRPr="00480AF7">
        <w:rPr>
          <w:rFonts w:ascii="Palatino Linotype" w:eastAsia="Times New Roman" w:hAnsi="Palatino Linotype" w:cs="Times New Roman"/>
          <w:snapToGrid w:val="0"/>
          <w:color w:val="000000"/>
          <w:sz w:val="20"/>
          <w:szCs w:val="20"/>
          <w:lang w:val="en-US" w:eastAsia="de-DE" w:bidi="en-US"/>
        </w:rPr>
        <w:t>trehalose</w:t>
      </w:r>
      <w:proofErr w:type="spellEnd"/>
      <w:r w:rsidRPr="00480AF7">
        <w:rPr>
          <w:rFonts w:ascii="Palatino Linotype" w:eastAsia="Times New Roman" w:hAnsi="Palatino Linotype" w:cs="Times New Roman"/>
          <w:snapToGrid w:val="0"/>
          <w:color w:val="000000"/>
          <w:sz w:val="20"/>
          <w:szCs w:val="20"/>
          <w:lang w:val="en-US" w:eastAsia="de-DE" w:bidi="en-US"/>
        </w:rPr>
        <w:t xml:space="preserve"> esters and several studies using </w:t>
      </w:r>
      <w:proofErr w:type="spellStart"/>
      <w:r w:rsidRPr="00480AF7">
        <w:rPr>
          <w:rFonts w:ascii="Palatino Linotype" w:eastAsia="Times New Roman" w:hAnsi="Palatino Linotype" w:cs="Times New Roman"/>
          <w:i/>
          <w:iCs/>
          <w:snapToGrid w:val="0"/>
          <w:color w:val="000000"/>
          <w:sz w:val="20"/>
          <w:szCs w:val="20"/>
          <w:lang w:val="en-US" w:eastAsia="de-DE" w:bidi="en-US"/>
        </w:rPr>
        <w:t>Mtb</w:t>
      </w:r>
      <w:proofErr w:type="spellEnd"/>
      <w:r w:rsidRPr="00480AF7">
        <w:rPr>
          <w:rFonts w:ascii="Palatino Linotype" w:eastAsia="Times New Roman" w:hAnsi="Palatino Linotype" w:cs="Times New Roman"/>
          <w:snapToGrid w:val="0"/>
          <w:color w:val="000000"/>
          <w:sz w:val="20"/>
          <w:szCs w:val="20"/>
          <w:lang w:val="en-US" w:eastAsia="de-DE" w:bidi="en-US"/>
        </w:rPr>
        <w:t xml:space="preserve"> mutants in SL1 biosynthesis have revealed its role in </w:t>
      </w:r>
      <w:proofErr w:type="spellStart"/>
      <w:r w:rsidRPr="00480AF7">
        <w:rPr>
          <w:rFonts w:ascii="Palatino Linotype" w:eastAsia="Times New Roman" w:hAnsi="Palatino Linotype" w:cs="Times New Roman"/>
          <w:i/>
          <w:iCs/>
          <w:snapToGrid w:val="0"/>
          <w:color w:val="000000"/>
          <w:sz w:val="20"/>
          <w:szCs w:val="20"/>
          <w:lang w:val="en-US" w:eastAsia="de-DE" w:bidi="en-US"/>
        </w:rPr>
        <w:t>Mtb</w:t>
      </w:r>
      <w:proofErr w:type="spellEnd"/>
      <w:r w:rsidRPr="00480AF7">
        <w:rPr>
          <w:rFonts w:ascii="Palatino Linotype" w:eastAsia="Times New Roman" w:hAnsi="Palatino Linotype" w:cs="Times New Roman"/>
          <w:i/>
          <w:iCs/>
          <w:snapToGrid w:val="0"/>
          <w:color w:val="000000"/>
          <w:sz w:val="20"/>
          <w:szCs w:val="20"/>
          <w:lang w:val="en-US" w:eastAsia="de-DE" w:bidi="en-US"/>
        </w:rPr>
        <w:t xml:space="preserve"> </w:t>
      </w:r>
      <w:r w:rsidRPr="00480AF7">
        <w:rPr>
          <w:rFonts w:ascii="Palatino Linotype" w:eastAsia="Times New Roman" w:hAnsi="Palatino Linotype" w:cs="Times New Roman"/>
          <w:snapToGrid w:val="0"/>
          <w:color w:val="000000"/>
          <w:sz w:val="20"/>
          <w:szCs w:val="20"/>
          <w:lang w:val="en-US" w:eastAsia="de-DE" w:bidi="en-US"/>
        </w:rPr>
        <w:t xml:space="preserve">virulence, for example, mmpL8 knock-out mutants of </w:t>
      </w:r>
      <w:proofErr w:type="spellStart"/>
      <w:r w:rsidRPr="00480AF7">
        <w:rPr>
          <w:rFonts w:ascii="Palatino Linotype" w:eastAsia="Times New Roman" w:hAnsi="Palatino Linotype" w:cs="Times New Roman"/>
          <w:i/>
          <w:iCs/>
          <w:snapToGrid w:val="0"/>
          <w:color w:val="000000"/>
          <w:sz w:val="20"/>
          <w:szCs w:val="20"/>
          <w:lang w:val="en-US" w:eastAsia="de-DE" w:bidi="en-US"/>
        </w:rPr>
        <w:t>Mtb</w:t>
      </w:r>
      <w:proofErr w:type="spellEnd"/>
      <w:r w:rsidRPr="00480AF7">
        <w:rPr>
          <w:rFonts w:ascii="Palatino Linotype" w:eastAsia="Times New Roman" w:hAnsi="Palatino Linotype" w:cs="Times New Roman"/>
          <w:i/>
          <w:iCs/>
          <w:snapToGrid w:val="0"/>
          <w:color w:val="000000"/>
          <w:sz w:val="20"/>
          <w:szCs w:val="20"/>
          <w:lang w:val="en-US" w:eastAsia="de-DE" w:bidi="en-US"/>
        </w:rPr>
        <w:t xml:space="preserve"> </w:t>
      </w:r>
      <w:r w:rsidRPr="00480AF7">
        <w:rPr>
          <w:rFonts w:ascii="Palatino Linotype" w:eastAsia="Times New Roman" w:hAnsi="Palatino Linotype" w:cs="Times New Roman"/>
          <w:snapToGrid w:val="0"/>
          <w:color w:val="000000"/>
          <w:sz w:val="20"/>
          <w:szCs w:val="20"/>
          <w:lang w:val="en-US" w:eastAsia="de-DE" w:bidi="en-US"/>
        </w:rPr>
        <w:t xml:space="preserve">have been shown to attenuate bacterial virulence in mouse models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szCs w:val="20"/>
          <w:lang w:val="en-US" w:eastAsia="de-DE" w:bidi="en-US"/>
        </w:rPr>
        <w:instrText>ADDIN CSL_CITATION {"citationItems":[{"id":"ITEM-1","itemData":{"DOI":"10.1073/pnas.1030024100","ISBN":"0027-8424 (Print)","ISSN":"0027-8424","PMID":"12724526","abstract":"Mycobacterium tuberculosis, the causative agent of human tuberculosis, is unique among bacterial pathogens in that it displays a wide array of complex lipids and lipoglycans on its cell surface. One of the more remarkable lipids is a sulfated glycolipid, termed sulfolipid-1 (SL-1), which is thought to mediate specific host-pathogen interactions during infection. However, a direct role for SL-1 in M. tuberculosis virulence has not been established. Here we show that MmpL8, a member of a large family of predicted lipid transporters in M. tuberculosis, is required for SL-1 production. The accumulation of an SL-1 precursor, termed SL(1278), in mmpL8 mutant cells indicates that MmpL8 is necessary for an intermediate step in the SL-1 biosynthesis pathway. We use a novel fractionation procedure to demonstrate that SL-1 is present on the cell surface, whereas SL(1278) is found exclusively in more internal layers. Importantly, we show that mmpL8 mutants are attenuated for growth in a mouse model of tuberculosis. However, SL-1 per se is not required for establishing infection as pks2 mutants, which are defective in an earlier step in SL-1 biosynthesis, have no obvious growth defect. Thus, we hypothesize that either MmpL8 transports molecules in addition to SL-1 that mediate host-pathogen interactions or the accumulation of SL(1278) in mmpL8 mutant cells interferes with other pathways required for growth during the early stages of infection.","author":[{"dropping-particle":"","family":"Converse","given":"Scott E","non-dropping-particle":"","parse-names":false,"suffix":""},{"dropping-particle":"","family":"Mougous","given":"Joseph D","non-dropping-particle":"","parse-names":false,"suffix":""},{"dropping-particle":"","family":"Leavell","given":"Michael D","non-dropping-particle":"","parse-names":false,"suffix":""},{"dropping-particle":"","family":"Leary","given":"Julie A","non-dropping-particle":"","parse-names":false,"suffix":""},{"dropping-particle":"","family":"Bertozzi","given":"Carolyn R","non-dropping-particle":"","parse-names":false,"suffix":""},{"dropping-particle":"","family":"Cox","given":"Jeffery S","non-dropping-particle":"","parse-names":false,"suffix":""}],"container-title":"Proceedings of the National Academy of Sciences of the United States of America","id":"ITEM-1","issue":"10","issued":{"date-parts":[["2003","5","13"]]},"page":"6121-6","title":"MmpL8 is required for sulfolipid-1 biosynthesis and Mycobacterium tuberculosis virulence.","type":"article-journal","volume":"100"},"uris":["http://www.mendeley.com/documents/?uuid=d263dff5-5810-46d7-8c8a-aa4bb00e192d"]},{"id":"ITEM-2","itemData":{"DOI":"10.1074/jbc.M400324200","ISBN":"0021-9258 (Print)\\n0021-9258 (Linking)","ISSN":"0021-9258","PMID":"15001577","abstract":"To study the role of MmpL8-mediated lipid transport in sulfatide biogenesis, we insertionally inactivated the mmpL8 gene in Mycobacterium tuberculosis. Characterization of this strain showed that the synthesis of mature sulfolipid SL-1 was interrupted and that a more polar sulfated molecule, termed SL-N, accumulated within the cell. Purification of SL-N and structural analysis identified this molecule as a family of 2,3-diacyl-alpha,alpha'-D-trehalose-2'-sulfates. This structure suggests that transport and biogenesis of SL-1 are coupled and that the final step in sulfatide biosynthesis may be the extra-cellular esterification of two trehalose 6-positions with hydroxyphthioceranic acids. To assess the effect of the loss of this anionic surface lipid on virulence, we infected mice via aerosol with the MmpL8 mutant and found that, although initial replication rates and containment levels were identical, compared with the wild type, a significant attenuation of the MmpL8 mutant strain in time-to-death was observed. Early in infection, differential expression of cytokines and cytokine receptors revealed that the mutant strain less efficiently suppresses key indicators of a Th1-type immune response, suggesting an immunomodulatory role for sulfatides in the pathogenesis of tuberculosis.","author":[{"dropping-particle":"","family":"Domenech","given":"Pilar","non-dropping-particle":"","parse-names":false,"suffix":""},{"dropping-particle":"","family":"Reed","given":"Michael B.","non-dropping-particle":"","parse-names":false,"suffix":""},{"dropping-particle":"","family":"Dowd","given":"Cynthia S.","non-dropping-particle":"","parse-names":false,"suffix":""},{"dropping-particle":"","family":"Manca","given":"Claudia","non-dropping-particle":"","parse-names":false,"suffix":""},{"dropping-particle":"","family":"Kaplan","given":"Gilla","non-dropping-particle":"","parse-names":false,"suffix":""},{"dropping-particle":"","family":"Barry","given":"Clifton E.","non-dropping-particle":"","parse-names":false,"suffix":""}],"container-title":"The Journal of biological chemistry","id":"ITEM-2","issue":"20","issued":{"date-parts":[["2004","5","14"]]},"page":"21257-65","title":"The role of MmpL8 in sulfatide biogenesis and virulence of Mycobacterium tuberculosis.","type":"article-journal","volume":"279"},"uris":["http://www.mendeley.com/documents/?uuid=f79233d3-523d-4e5e-b20f-df1bebb864c3"]}],"mendeley":{"formattedCitation":"[41,42]","plainTextFormattedCitation":"[41,42]","previouslyFormattedCitation":"[41,42]"},"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szCs w:val="20"/>
          <w:lang w:val="en-US" w:eastAsia="de-DE" w:bidi="en-US"/>
        </w:rPr>
        <w:t>[41,42]</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szCs w:val="20"/>
          <w:lang w:val="en-US" w:eastAsia="de-DE" w:bidi="en-US"/>
        </w:rPr>
        <w:t xml:space="preserve">. PDIMs have been described to play a role in </w:t>
      </w:r>
      <w:proofErr w:type="spellStart"/>
      <w:r w:rsidRPr="00480AF7">
        <w:rPr>
          <w:rFonts w:ascii="Palatino Linotype" w:eastAsia="Times New Roman" w:hAnsi="Palatino Linotype" w:cs="Times New Roman"/>
          <w:i/>
          <w:iCs/>
          <w:snapToGrid w:val="0"/>
          <w:color w:val="000000"/>
          <w:sz w:val="20"/>
          <w:szCs w:val="20"/>
          <w:lang w:val="en-US" w:eastAsia="de-DE" w:bidi="en-US"/>
        </w:rPr>
        <w:t>Mtb</w:t>
      </w:r>
      <w:proofErr w:type="spellEnd"/>
      <w:r w:rsidRPr="00480AF7">
        <w:rPr>
          <w:rFonts w:ascii="Palatino Linotype" w:eastAsia="Times New Roman" w:hAnsi="Palatino Linotype" w:cs="Times New Roman"/>
          <w:snapToGrid w:val="0"/>
          <w:color w:val="000000"/>
          <w:sz w:val="20"/>
          <w:szCs w:val="20"/>
          <w:lang w:val="en-US" w:eastAsia="de-DE" w:bidi="en-US"/>
        </w:rPr>
        <w:t xml:space="preserve"> virulence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szCs w:val="20"/>
          <w:lang w:val="en-US" w:eastAsia="de-DE" w:bidi="en-US"/>
        </w:rPr>
        <w:instrText>ADDIN CSL_CITATION {"citationItems":[{"id":"ITEM-1","itemData":{"ISBN":"0019-9567 (Print)\\r0019-9567 (Linking)","ISSN":"0019-9567","PMID":"4271720","abstract":"Lipid compositions of 40 patient isolates of Mycobacterium tuberculosis derived from Madras, Burma, Rangoon, and East Africa were studied, and two major populations of tubercle bacilli were distinguished. Nearly all of the strains previously designated as attenuated for the guinea pig (D. A. Mitchison) are characterized by a specific phenolic phthiocerol diester which is identified with the aglycone moieties of mycosides A and B (and probably G). This lipid (AI) was not seen in any of the more virulent strains. Thus, presence of AI may be taken as definitive for attenuation (P &lt; 0.001). Phthiocerol dimycoserosate (DIM), a companion substance, is ubiquitous for the series of 40 strains. However, a dramatic attenuation found in a DIM-less H37Rv mutant may support a role for this substance in the virulent state. Since mycosides A, G, and B seem to be restricted to certain chromogenic and bovine species, respectively, we speculate that lysogenization or transduction of fully virulent M. tuberculosis may have provided the genetic determinants for attenuation and AI synthesis, and thus led to the two classes of tubercle bacilli.","author":[{"dropping-particle":"","family":"Goren","given":"M. B.","non-dropping-particle":"","parse-names":false,"suffix":""},{"dropping-particle":"","family":"Brokl","given":"O.","non-dropping-particle":"","parse-names":false,"suffix":""},{"dropping-particle":"","family":"Schaefer","given":"W. B.","non-dropping-particle":"","parse-names":false,"suffix":""}],"container-title":"Infection and immunity","id":"ITEM-1","issue":"1","issued":{"date-parts":[["1974","1"]]},"page":"150-8","title":"Lipids of putative relevance to virulence in Mycobacterium tuberculosis: phthiocerol dimycocerosate and the attenuation indicator lipid.","type":"article-journal","volume":"9"},"uris":["http://www.mendeley.com/documents/?uuid=5b6ef66b-8bd8-47e5-9ea9-d48f975bdfd8"]},{"id":"ITEM-2","itemData":{"DOI":"10.1038/47042","ISBN":"0028-0836 (Print) 0028-0836 (Linking)","ISSN":"0028-0836","PMID":"10573420","abstract":"Tuberculosis is the leading cause of death in the world resulting from a single bacterial infection. Despite its enormous burden on world health, little is known about the molecular mechanisms of pathogenesis of Mycobacterium tuberculosis. Bacterial multiplication and concomitant tissue damage within an infected host, including experimentally infected mice, occurs primarily in the lungs-the favoured niche of M. tuberculosis. Although it has been proposed that the distinctive cell wall of M. tuberculosis is important for virulence, rigorous genetic proof has been lacking. Here, using signature-tagged mutagenesis, we isolated three attenuated M. tuberculosis mutants that cannot synthesize or transport a complex, cell wall-associated lipid called phthiocerol dimycocerosate (PDIM) which is found only in pathogenic mycobacteria. Two mutants have transposon insertions affecting genes implicated in PDIM synthesis; the third has a disruption in a gene encoding a large transmembrane protein required for proper subcellular localization of PDIM. Synthesis and transport of this complex lipid is only required for growth in the lung; all three mutants are unaffected for growth in the liver and spleen. This clearly shows that a lipid is required for M. tuberculosis virulence.","author":[{"dropping-particle":"","family":"Cox","given":"Jeffery S.","non-dropping-particle":"","parse-names":false,"suffix":""},{"dropping-particle":"","family":"Chen","given":"B","non-dropping-particle":"","parse-names":false,"suffix":""},{"dropping-particle":"","family":"McNeil","given":"Michael","non-dropping-particle":"","parse-names":false,"suffix":""},{"dropping-particle":"","family":"Jacobs","given":"William R.","non-dropping-particle":"","parse-names":false,"suffix":""}],"container-title":"Nature","id":"ITEM-2","issue":"6757","issued":{"date-parts":[["1999","11","4"]]},"page":"79-83","title":"Complex lipid determines tissue-specific replication of Mycobacterium tuberculosis in mice.","type":"article-journal","volume":"402"},"uris":["http://www.mendeley.com/documents/?uuid=f95b226d-87ab-4968-ba85-b975e222c5f1"]}],"mendeley":{"formattedCitation":"[43,44]","plainTextFormattedCitation":"[43,44]","previouslyFormattedCitation":"[43,44]"},"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szCs w:val="20"/>
          <w:lang w:val="en-US" w:eastAsia="de-DE" w:bidi="en-US"/>
        </w:rPr>
        <w:t>[43,44]</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szCs w:val="20"/>
          <w:lang w:val="en-US" w:eastAsia="de-DE" w:bidi="en-US"/>
        </w:rPr>
        <w:t xml:space="preserve"> and the presence of PDIMs at the bacterial surface can aide escape from macrophage recognition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szCs w:val="20"/>
          <w:lang w:val="en-US" w:eastAsia="de-DE" w:bidi="en-US"/>
        </w:rPr>
        <w:instrText>ADDIN CSL_CITATION {"citationItems":[{"id":"ITEM-1","itemData":{"DOI":"10.1371/journal.ppat.1000289","ISBN":"1553-7374 (Electronic) 1553-7366 (Linking)","ISSN":"1553-7374","PMID":"19197369","abstract":"Phthiocerol dimycocerosates (DIM) are major virulence factors of Mycobacterium tuberculosis (Mtb), in particular during the early step of infection when bacilli encounter their host macrophages. However, their cellular and molecular mechanisms of action remain unknown. Using Mtb mutants deleted for genes involved in DIM biosynthesis, we demonstrated that DIM participate both in the receptor-dependent phagocytosis of Mtb and the prevention of phagosomal acidification. The effects of DIM required a state of the membrane fluidity as demonstrated by experiments conducted with cholesterol-depleting drugs that abolished the differences in phagocytosis efficiency and phagosome acidification observed between wild-type and mutant strains. The insertion of a new cholesterol-pyrene probe in living cells demonstrated that the polarity of the membrane hydrophobic core changed upon contact with Mtb whereas the lateral diffusion of cholesterol was unaffected. This effect was dependent on DIM and was consistent with the effect observed following DIM insertion in model membrane. Therefore, we propose that DIM control the invasion of macrophages by Mtb by targeting lipid organisation in the host membrane, thereby modifying its biophysical properties. The DIM-induced changes in lipid ordering favour the efficiency of receptor-mediated phagocytosis of Mtb and contribute to the control of phagosomal pH driving bacilli in a protective niche.","author":[{"dropping-particle":"","family":"Astarie-Dequeker","given":"Catherine","non-dropping-particle":"","parse-names":false,"suffix":""},{"dropping-particle":"","family":"Guyader","given":"Laurent","non-dropping-particle":"Le","parse-names":false,"suffix":""},{"dropping-particle":"","family":"Malaga","given":"Wladimir","non-dropping-particle":"","parse-names":false,"suffix":""},{"dropping-particle":"","family":"Seaphanh","given":"Fam-Ky","non-dropping-particle":"","parse-names":false,"suffix":""},{"dropping-particle":"","family":"Chalut","given":"Christian","non-dropping-particle":"","parse-names":false,"suffix":""},{"dropping-particle":"","family":"Lopez","given":"André","non-dropping-particle":"","parse-names":false,"suffix":""},{"dropping-particle":"","family":"Guilhot","given":"Christophe","non-dropping-particle":"","parse-names":false,"suffix":""}],"container-title":"PLoS pathogens","id":"ITEM-1","issue":"2","issued":{"date-parts":[["2009","2"]]},"page":"e1000289","title":"Phthiocerol dimycocerosates of M. tuberculosis participate in macrophage invasion by inducing changes in the organization of plasma membrane lipids.","type":"article-journal","volume":"5"},"uris":["http://www.mendeley.com/documents/?uuid=acdf0a6f-be57-4585-9381-a3cd938574fe"]},{"id":"ITEM-2","itemData":{"DOI":"10.1128/mBio.00148-17","ISSN":"2150-7511","PMID":"28270579","abstract":"The cell wall of Mycobacterium tuberculosis is composed of unique lipids that are important for pathogenesis. Indeed, the first-ever genetic screen in M. tuberculosis identified genes involved in the biosynthesis and transport of the cell wall lipid PDIM (phthiocerol dimycocerosates) as crucial for the survival of M. tuberculosis in mice. Here we show evidence for a novel molecular mechanism of the PDIM-mediated virulence in M. tuberculosis We characterized the DNA interaction and the regulon of Rv3167c, a transcriptional repressor that is involved in virulence regulation of M. tuberculosis, and discovered that it controls the PDIM operon. A loss-of-function genetic approach showed that PDIM levels directly correlate with the capacity of M. tuberculosis to escape the phagosome and induce host cell necrosis and macroautophagy. In conclusion, our study attributes a novel role of the cell wall lipid PDIM in intracellular host cell modulation, which is important for host cell exit and dissemination of M. tuberculosisIMPORTANCEMycobacterium tuberculosis is a major human pathogen that has coevolved with its host for thousands of years. The complex and unique cell wall of M. tuberculosis contains the lipid PDIM (phthiocerol dimycocerosates), which is crucial for virulence of the bacterium, but its function is not well understood. Here we show that PDIM expression by M. tuberculosis is negatively regulated by a novel transcriptional repressor, Rv3167c. In addition, we discovered that the escape of M. tuberculosis from its intracellular vacuole was greatly augmented by the presence of PDIM. The increased release of M. tuberculosis into the cytosol led to increased host cell necrosis. The discovery of a link between the cell wall lipid PDIM and a major pathogenesis pathway of M. tuberculosis provides important insights into the molecular mechanisms of host cell manipulation by M. tuberculosis.","author":[{"dropping-particle":"","family":"Quigley","given":"Jeff","non-dropping-particle":"","parse-names":false,"suffix":""},{"dropping-particle":"","family":"Hughitt","given":"V. Keith","non-dropping-particle":"","parse-names":false,"suffix":""},{"dropping-particle":"","family":"Velikovsky","given":"Carlos A.","non-dropping-particle":"","parse-names":false,"suffix":""},{"dropping-particle":"","family":"Mariuzza","given":"Roy A.","non-dropping-particle":"","parse-names":false,"suffix":""},{"dropping-particle":"","family":"El-Sayed","given":"Najib M.","non-dropping-particle":"","parse-names":false,"suffix":""},{"dropping-particle":"","family":"Briken","given":"Volker","non-dropping-particle":"","parse-names":false,"suffix":""}],"container-title":"mBio","id":"ITEM-2","issue":"2","issued":{"date-parts":[["2017"]]},"page":"1-12","title":"The Cell Wall Lipid PDIM Contributes to Phagosomal Escape and Host Cell Exit of Mycobacterium tuberculosis.","type":"article-journal","volume":"8"},"uris":["http://www.mendeley.com/documents/?uuid=7bf9d1f3-1daf-479e-bfa8-cda548895bad"]}],"mendeley":{"formattedCitation":"[45,46]","plainTextFormattedCitation":"[45,46]","previouslyFormattedCitation":"[45,46]"},"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szCs w:val="20"/>
          <w:lang w:val="en-US" w:eastAsia="de-DE" w:bidi="en-US"/>
        </w:rPr>
        <w:t>[45,46]</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szCs w:val="20"/>
          <w:lang w:val="en-US" w:eastAsia="de-DE" w:bidi="en-US"/>
        </w:rPr>
        <w:t xml:space="preserve">, mask pathogen associated molecular patterns (PAMPs)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szCs w:val="20"/>
          <w:lang w:val="en-US" w:eastAsia="de-DE" w:bidi="en-US"/>
        </w:rPr>
        <w:instrText>ADDIN CSL_CITATION {"citationItems":[{"id":"ITEM-1","itemData":{"DOI":"10.1046/j.1462-5822.2004.00368.x","ISBN":"1462-5814","ISSN":"1462-5814","PMID":"14764111","abstract":"The growth of Mycobacterium tuberculosis mutants unable to synthesize phthiocerol dimycocerosates (DIMs) was recently shown to be impaired in mouse lungs. However, the precise role of these molecules in the course of infection remained to be determined. Here, we provide evidence that the attenuation of a DIM-deficient strain takes place during the acute phase of infection in both lungs and spleen of mice, and that this attenuation results in part from the increased sensitivity of the mutant to the cidal activity of reactive nitrogen intermediates released by activated macrophages. We also show that the DIM-deficient mutant, the growth and survival of which were not impaired within resting macrophages and dendritic cells, induced these cells to secrete more tumour necrosis factor (TNF)-alpha and interleukin (IL)-6 than the wild-type strain. Although purified DIM molecules by themselves had no effect on the activation of macrophages and dendritic cells in vitro, we found that the proper localization of DIMs in the cell envelope of M. tuberculosis is critical to their biological effects. Thus, our findings suggest that DIM production contributes to the initial growth of M. tuberculosis by protecting it from the nitric oxide-dependent killing of macrophages and modulating the early immune response to infection.","author":[{"dropping-particle":"","family":"Rousseau","given":"Cécile","non-dropping-particle":"","parse-names":false,"suffix":""},{"dropping-particle":"","family":"Winter","given":"Nathalie","non-dropping-particle":"","parse-names":false,"suffix":""},{"dropping-particle":"","family":"Pivert","given":"Elisabeth","non-dropping-particle":"","parse-names":false,"suffix":""},{"dropping-particle":"","family":"Bordat","given":"Yann","non-dropping-particle":"","parse-names":false,"suffix":""},{"dropping-particle":"","family":"Neyrolles","given":"Olivier","non-dropping-particle":"","parse-names":false,"suffix":""},{"dropping-particle":"","family":"Avé","given":"Patrick","non-dropping-particle":"","parse-names":false,"suffix":""},{"dropping-particle":"","family":"Huerre","given":"Michel","non-dropping-particle":"","parse-names":false,"suffix":""},{"dropping-particle":"","family":"Gicquel","given":"Brigitte","non-dropping-particle":"","parse-names":false,"suffix":""},{"dropping-particle":"","family":"Jackson","given":"Mary","non-dropping-particle":"","parse-names":false,"suffix":""}],"container-title":"Cellular microbiology","id":"ITEM-1","issue":"3","issued":{"date-parts":[["2004","3"]]},"page":"277-87","title":"Production of phthiocerol dimycocerosates protects Mycobacterium tuberculosis from the cidal activity of reactive nitrogen intermediates produced by macrophages and modulates the early immune response to infection.","type":"article-journal","volume":"6"},"uris":["http://www.mendeley.com/documents/?uuid=9a405a4d-5c63-4c41-abbe-f3bb926863b7"]}],"mendeley":{"formattedCitation":"[47]","plainTextFormattedCitation":"[47]","previouslyFormattedCitation":"[47]"},"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szCs w:val="20"/>
          <w:lang w:val="en-US" w:eastAsia="de-DE" w:bidi="en-US"/>
        </w:rPr>
        <w:t>[47]</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szCs w:val="20"/>
          <w:lang w:val="en-US" w:eastAsia="de-DE" w:bidi="en-US"/>
        </w:rPr>
        <w:t xml:space="preserve">, and prevent macrophage recruitment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szCs w:val="20"/>
          <w:lang w:val="en-US" w:eastAsia="de-DE" w:bidi="en-US"/>
        </w:rPr>
        <w:instrText>ADDIN CSL_CITATION {"citationItems":[{"id":"ITEM-1","itemData":{"DOI":"10.1038/nature12799","ISSN":"1476-4687","PMID":"24336213","abstract":"The evolutionary survival of Mycobacterium tuberculosis, the cause of human tuberculosis, depends on its ability to invade the host, replicate, and transmit infection. At its initial peripheral infection site in the distal lung airways, M. tuberculosis infects macrophages, which transport it to deeper tissues. How mycobacteria survive in these broadly microbicidal cells is an important question. Here we show in mice and zebrafish that M. tuberculosis, and its close pathogenic relative Mycobacterium marinum, preferentially recruit and infect permissive macrophages while evading microbicidal ones. This immune evasion is accomplished by using cell-surface-associated phthiocerol dimycoceroserate (PDIM) lipids to mask underlying pathogen-associated molecular patterns (PAMPs). In the absence of PDIM, these PAMPs signal a Toll-like receptor (TLR)-dependent recruitment of macrophages that produce microbicidal reactive nitrogen species. Concordantly, the related phenolic glycolipids (PGLs) promote the recruitment of permissive macrophages through a host chemokine receptor 2 (CCR2)-mediated pathway. Thus, we have identified coordinated roles for PDIM, known to be essential for mycobacterial virulence, and PGL, which (along with CCR2) is known to be associated with human tuberculosis. Our findings also suggest an explanation for the longstanding observation that M. tuberculosis initiates infection in the relatively sterile environment of the lower respiratory tract, rather than in the upper respiratory tract, where resident microflora and inhaled environmental microbes may continually recruit microbicidal macrophages through TLR-dependent signalling.","author":[{"dropping-particle":"","family":"Cambier","given":"C J","non-dropping-particle":"","parse-names":false,"suffix":""},{"dropping-particle":"","family":"Takaki","given":"Kevin K","non-dropping-particle":"","parse-names":false,"suffix":""},{"dropping-particle":"","family":"Larson","given":"Ryan P","non-dropping-particle":"","parse-names":false,"suffix":""},{"dropping-particle":"","family":"Hernandez","given":"Rafael E","non-dropping-particle":"","parse-names":false,"suffix":""},{"dropping-particle":"","family":"Tobin","given":"David M","non-dropping-particle":"","parse-names":false,"suffix":""},{"dropping-particle":"","family":"Urdahl","given":"Kevin B","non-dropping-particle":"","parse-names":false,"suffix":""},{"dropping-particle":"","family":"Cosma","given":"Christine L","non-dropping-particle":"","parse-names":false,"suffix":""},{"dropping-particle":"","family":"Ramakrishnan","given":"Lalita","non-dropping-particle":"","parse-names":false,"suffix":""}],"container-title":"Nature","id":"ITEM-1","issue":"7482","issued":{"date-parts":[["2014","1","9"]]},"page":"218-22","publisher":"Nature Publishing Group","title":"Mycobacteria manipulate macrophage recruitment through coordinated use of membrane lipids.","type":"article-journal","volume":"505"},"uris":["http://www.mendeley.com/documents/?uuid=10d2ef6c-0b73-4fa4-917f-4269fee3b0ab"]}],"mendeley":{"formattedCitation":"[48]","plainTextFormattedCitation":"[48]","previouslyFormattedCitation":"[48]"},"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szCs w:val="20"/>
          <w:lang w:val="en-US" w:eastAsia="de-DE" w:bidi="en-US"/>
        </w:rPr>
        <w:t>[48]</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szCs w:val="20"/>
          <w:lang w:val="en-US" w:eastAsia="de-DE" w:bidi="en-US"/>
        </w:rPr>
        <w:t>. PIMs are glycoconjugates and represent the major components of the mycobacterial cell envelope and are precursors of LM, LAM and mannan capped lipoarabinomannan (</w:t>
      </w:r>
      <w:proofErr w:type="spellStart"/>
      <w:r w:rsidRPr="00480AF7">
        <w:rPr>
          <w:rFonts w:ascii="Palatino Linotype" w:eastAsia="Times New Roman" w:hAnsi="Palatino Linotype" w:cs="Times New Roman"/>
          <w:snapToGrid w:val="0"/>
          <w:color w:val="000000"/>
          <w:sz w:val="20"/>
          <w:szCs w:val="20"/>
          <w:lang w:val="en-US" w:eastAsia="de-DE" w:bidi="en-US"/>
        </w:rPr>
        <w:t>ManLAM</w:t>
      </w:r>
      <w:proofErr w:type="spellEnd"/>
      <w:r w:rsidRPr="00480AF7">
        <w:rPr>
          <w:rFonts w:ascii="Palatino Linotype" w:eastAsia="Times New Roman" w:hAnsi="Palatino Linotype" w:cs="Times New Roman"/>
          <w:snapToGrid w:val="0"/>
          <w:color w:val="000000"/>
          <w:sz w:val="20"/>
          <w:szCs w:val="20"/>
          <w:lang w:val="en-US" w:eastAsia="de-DE" w:bidi="en-US"/>
        </w:rPr>
        <w:t xml:space="preserve">). </w:t>
      </w:r>
      <w:proofErr w:type="spellStart"/>
      <w:r w:rsidRPr="00480AF7">
        <w:rPr>
          <w:rFonts w:ascii="Palatino Linotype" w:eastAsia="Times New Roman" w:hAnsi="Palatino Linotype" w:cs="Times New Roman"/>
          <w:snapToGrid w:val="0"/>
          <w:color w:val="000000"/>
          <w:sz w:val="20"/>
          <w:lang w:val="en-US" w:eastAsia="de-DE" w:bidi="en-US"/>
        </w:rPr>
        <w:t>Mannoside</w:t>
      </w:r>
      <w:proofErr w:type="spellEnd"/>
      <w:r w:rsidRPr="00480AF7">
        <w:rPr>
          <w:rFonts w:ascii="Palatino Linotype" w:eastAsia="Times New Roman" w:hAnsi="Palatino Linotype" w:cs="Times New Roman"/>
          <w:snapToGrid w:val="0"/>
          <w:color w:val="000000"/>
          <w:sz w:val="20"/>
          <w:lang w:val="en-US" w:eastAsia="de-DE" w:bidi="en-US"/>
        </w:rPr>
        <w:t xml:space="preserve"> caps associated to PIMs can be </w:t>
      </w:r>
      <w:proofErr w:type="spellStart"/>
      <w:r w:rsidRPr="00480AF7">
        <w:rPr>
          <w:rFonts w:ascii="Palatino Linotype" w:eastAsia="Times New Roman" w:hAnsi="Palatino Linotype" w:cs="Times New Roman"/>
          <w:snapToGrid w:val="0"/>
          <w:color w:val="000000"/>
          <w:sz w:val="20"/>
          <w:lang w:val="en-US" w:eastAsia="de-DE" w:bidi="en-US"/>
        </w:rPr>
        <w:t>recognised</w:t>
      </w:r>
      <w:proofErr w:type="spellEnd"/>
      <w:r w:rsidRPr="00480AF7">
        <w:rPr>
          <w:rFonts w:ascii="Palatino Linotype" w:eastAsia="Times New Roman" w:hAnsi="Palatino Linotype" w:cs="Times New Roman"/>
          <w:snapToGrid w:val="0"/>
          <w:color w:val="000000"/>
          <w:sz w:val="20"/>
          <w:lang w:val="en-US" w:eastAsia="de-DE" w:bidi="en-US"/>
        </w:rPr>
        <w:t xml:space="preserve"> by phagocytic receptors such as C-type lectins, including MR and DC-SIGN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{"citationItems":[{"id":"ITEM-1","itemData":{"DOI":"10.1016/j.imbio.2004.03.003","ISSN":"01712985","PMID":"15481146","abstract":"Mycobacterium tuberculosis represents a worldwide health risk and although macrophages are primarily infected, dendritic cells (DC) are important in inducing cellular immune responses against M. tuberculosis. Recent studies have demonstrated that M. tuberculosis targets the DC-specific C-type lectin DC-SIGN to inhibit the immuno-stimulatory function of DC through the interaction of the mycobacterial mannosylated lipoarabinomannan (ManLAM) to DC-SIGN, which prevents DC maturation and induces the immuno-suppressive cytokine IL-10. This may contribute to survival and persistence of M. tuberculosis. Here, we have identified the specific pathogen-derived carbohydrate structure on ManLAM that is recognized by DC-SIGN. We have synthesized the mannose-cap oligosaccharides man-ara, (man)2-ara and (man 3-ara, and demonstrate that these neoglycoconjugates are specifically bound by DC-SIGN. Moreover, we demonstrate that the human and murine DC-SIGN homologue L-SIGN and SIGNR1, respectively, also interact with mycobacteria through ManLAM. Both homologues have the highest affinity for the (man)3-ara structure, similar to DC-SIGN. This study provides information about the specific carbohydrate structures on pathogens that are recognized by DC-SIGN, and may provide strategies to develop vaccines against these pathogens. Moreover, the identification of SIGNR1 as a receptor for ManLAM will enable in vivo studies to investigate the role of DC-SIGN in M. tuberculosis pathogenesis. ?? 2004 Elsevier GmbH. All rights reserved.","author":[{"dropping-particle":"","family":"Koppel","given":"Estella a.","non-dropping-particle":"","parse-names":false,"suffix":""},{"dropping-particle":"","family":"Ludwig","given":"Irene S.","non-dropping-particle":"","parse-names":false,"suffix":""},{"dropping-particle":"","family":"Sanchez Hernandez","given":"Marta","non-dropping-particle":"","parse-names":false,"suffix":""},{"dropping-particle":"","family":"Lowary","given":"Todd L.","non-dropping-particle":"","parse-names":false,"suffix":""},{"dropping-particle":"","family":"Gadikota","given":"Rajendrakumar R.","non-dropping-particle":"","parse-names":false,"suffix":""},{"dropping-particle":"","family":"Tuzikov","given":"Alexander B.","non-dropping-particle":"","parse-names":false,"suffix":""},{"dropping-particle":"","family":"Vandenbroucke-Grauls","given":"Christina M.J.E.","non-dropping-particle":"","parse-names":false,"suffix":""},{"dropping-particle":"","family":"Kooyk","given":"Yvette","non-dropping-particle":"van","parse-names":false,"suffix":""},{"dropping-particle":"","family":"Appelmelk","given":"Ben J.","non-dropping-particle":"","parse-names":false,"suffix":""},{"dropping-particle":"","family":"Geijtenbeek","given":"Teunis B.H.","non-dropping-particle":"","parse-names":false,"suffix":""}],"container-title":"Immunobiology","id":"ITEM-1","issue":"1-2","issued":{"date-parts":[["2004","8"]]},"page":"117-127","title":"Identification of the mycobacterial carbohydrate structure that binds the C-type lectins DC-SIGN, L-SIGN and SIGNR1","type":"article-journal","volume":"209"},"uris":["http://www.mendeley.com/documents/?uuid=2ce68d9a-b1f4-4592-bb77-07dab036a20a"]},{"id":"ITEM-2","itemData":{"DOI":"10.1042/BJ20050709","ISBN":"1470-8728 (Electronic)\\r1470-8728 (Linking)","ISSN":"02646021","PMID":"16092920","abstract":"Interactions between dendritic cells and Mycobacterium tuberculosis, the aetiological agent of tuberculosis in humans, are thought to be central to anti-mycobacterial immunity. We have previously shown that M. tuberculosis binds to human monocyte-derived dendritic cells mostly through the C-type lectin DC-SIGN (dendritic-cell-specific intercellular molecule-3-grabbing non-integrin)/CD209, and we have suggested that DC-SIGN may discriminate between mycobacterial species through recognition of the mannose-capping residues on the lipoglycan lipoarabinomannan of the bacterial envelope. Here, using a variety of fast- and slow-growing Mycobacterium species, we provide further evidence that mycobacteria recognition by DC-SIGN may be restricted to species of the M. tuberculosis complex. Fine analyses of the lipoarabinomannan molecules purified from these species show that the structure and amount of these molecules alone cannot account for such a preferential recognition. We propose that M. tuberculosis recognition by DC-SIGN relies on both a potential difference of accessibility of lipoarabinomannan in its envelope and, more probably, on the binding of additional ligands, possibly including lipomannan, mannose-capped arabinomannan, as well as the mannosylated 19 kDa and 45 kDa [Apa (alanine/proline-rich antigen)] glycoproteins. Altogether, our results reveal that the molecular basis of M. tuberculosis binding to DC-SIGN is more complicated than previously thought and provides further insight into the mechanisms of M. tuberculosis recognition by the immune system.","author":[{"dropping-particle":"","family":"Pitarque","given":"Sylvain","non-dropping-particle":"","parse-names":false,"suffix":""},{"dropping-particle":"","family":"Herrmann","given":"Jean-Louis","non-dropping-particle":"","parse-names":false,"suffix":""},{"dropping-particle":"","family":"Duteyrat","given":"Jean-Luc","non-dropping-particle":"","parse-names":false,"suffix":""},{"dropping-particle":"","family":"Jackson","given":"Mary","non-dropping-particle":"","parse-names":false,"suffix":""},{"dropping-particle":"","family":"Stewart","given":"Graham R","non-dropping-particle":"","parse-names":false,"suffix":""},{"dropping-particle":"","family":"Lecointe","given":"François","non-dropping-particle":"","parse-names":false,"suffix":""},{"dropping-particle":"","family":"Payre","given":"Bruno","non-dropping-particle":"","parse-names":false,"suffix":""},{"dropping-particle":"","family":"Schwartz","given":"Olivier","non-dropping-particle":"","parse-names":false,"suffix":""},{"dropping-particle":"","family":"Young","given":"Douglas B","non-dropping-particle":"","parse-names":false,"suffix":""},{"dropping-particle":"","family":"Marchal","given":"Gilles","non-dropping-particle":"","parse-names":false,"suffix":""},{"dropping-particle":"","family":"Lagrange","given":"Philippe H","non-dropping-particle":"","parse-names":false,"suffix":""},{"dropping-particle":"","family":"Puzo","given":"Germain","non-dropping-particle":"","parse-names":false,"suffix":""},{"dropping-particle":"","family":"Gicquel","given":"Brigitte","non-dropping-particle":"","parse-names":false,"suffix":""},{"dropping-particle":"","family":"Nigou","given":"Jérôme","non-dropping-particle":"","parse-names":false,"suffix":""},{"dropping-particle":"","family":"Neyrolles","given":"Olivier","non-dropping-particle":"","parse-names":false,"suffix":""}],"container-title":"The Biochemical journal","id":"ITEM-2","issue":"Pt 3","issued":{"date-parts":[["2005"]]},"page":"615-624","title":"Deciphering the molecular bases of Mycobacterium tuberculosis binding to the lectin DC-SIGN reveals an underestimated complexity.","type":"article-journal","volume":"392"},"uris":["http://www.mendeley.com/documents/?uuid=271a50ef-4c41-4845-9edd-1fc5baa12e9a"]},{"id":"ITEM-3","itemData":{"DOI":"10.1128/IAI.01256-08","ISBN":"0019-9567","ISSN":"0019-9567","PMID":"19651855","abstract":"The C-type lectin dendritic cell (DC)-specific intercellular adhesion molecule 3-grabbing nonintegrin (DC-SIGN) is the major receptor on DCs for mycobacteria of the Mycobacterium tuberculosis complex. Recently, we have shown that although the mannose caps of the mycobacterial surface glycolipid lipoarabinomannan (ManLAM) are essential for the binding to DC-SIGN, genetic removal of these caps did not diminish the interaction of whole mycobacteria with DC-SIGN and DCs. Here we investigated the role of the structurally related glycolipids phosphatidylinositol mannosides (PIMs) as possible ligands for DC-SIGN. In a binding assay with both synthetic and natural PIMs, DC-SIGN exhibited a high affinity for hexamannosylated PIM(6), which contains terminal alpha(1--&gt;2)-linked mannosyl residues identical to the mannose cap on ManLAM, but not for di- and tetramannosylated PIM(2) and PIM(4), respectively. To determine the role of PIM(6) in the binding of whole mycobacteria to DC-SIGN, a mutant strain of M. bovis bacillus Calmette-Guérin deficient in the production of PIM(6) (Delta pimE) was created, as well as a double knockout deficient in the production of both PIM(6) and the mannose caps on LAM (Delta pimE Delta capA). Compared to the wild-type strain, both mutant strains bound similarly well to DC-SIGN and DCs. Furthermore, the wild-type and mutant strains induced comparable levels of interleukin-10 and interleukin-12p40 when used to stimulate DCs. Hence, we conclude that, like ManLAM, PIM(6) represents a bona fide DC-SIGN ligand but that other, as-yet-unknown, ligands dominate in the interaction between mycobacteria and DCs.","author":[{"dropping-particle":"","family":"Driessen","given":"Nicole N.","non-dropping-particle":"","parse-names":false,"suffix":""},{"dropping-particle":"","family":"Ummels","given":"Roy","non-dropping-particle":"","parse-names":false,"suffix":""},{"dropping-particle":"","family":"Maaskant","given":"Janneke J.","non-dropping-particle":"","parse-names":false,"suffix":""},{"dropping-particle":"","family":"Gurcha","given":"Sudagar S.","non-dropping-particle":"","parse-names":false,"suffix":""},{"dropping-particle":"","family":"Besra","given":"Gurdyal S.","non-dropping-particle":"","parse-names":false,"suffix":""},{"dropping-particle":"","family":"Ainge","given":"Gary D.","non-dropping-particle":"","parse-names":false,"suffix":""},{"dropping-particle":"","family":"Larsen","given":"David S.","non-dropping-particle":"","parse-names":false,"suffix":""},{"dropping-particle":"","family":"Painter","given":"Gavin F.","non-dropping-particle":"","parse-names":false,"suffix":""},{"dropping-particle":"","family":"Vandenbroucke-Grauls","given":"Christina M J E","non-dropping-particle":"","parse-names":false,"suffix":""},{"dropping-particle":"","family":"Geurtsen","given":"Jeroen","non-dropping-particle":"","parse-names":false,"suffix":""},{"dropping-particle":"","family":"Appelmelk","given":"Ben J.","non-dropping-particle":"","parse-names":false,"suffix":""}],"container-title":"Infection and Immunity","id":"ITEM-3","issue":"10","issued":{"date-parts":[["2009","10","1"]]},"page":"4538-4547","title":"Role of Phosphatidylinositol Mannosides in the Interaction between Mycobacteria and DC-SIGN","type":"article-journal","volume":"77"},"uris":["http://www.mendeley.com/documents/?uuid=1149cc8a-3b3e-44bf-9020-a4232023f102"]}],"mendeley":{"formattedCitation":"[49–51]","plainTextFormattedCitation":"[49–51]","previouslyFormattedCitation":"[52–54]"},"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[49–51]</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Additionally, LM has been described as a TLR2 and TLR4 ligand, modulating anti- and pro-inflammatory responses against the bacteria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{"citationItems":[{"id":"ITEM-1","itemData":{"DOI":"10.4049/jimmunol.171.4.2014","ISBN":"0022-1767","ISSN":"0022-1767","PMID":"12902506","abstract":"Lipoarabinomannans (LAMs) are glycolipids from the mycobacterial cell wall that exhibit various biological activities, including proinflammatory and anti-inflammatory responses. However, little is known about the properties of lipomannans (LMs), considered to be precursors of LAMs. In this study, we provide evidence that LMs purified from Mycobacterium chelonae and a clinical strain of Mycobacterium kansasii stimulated mRNA expression and secretion of TNF-alpha and IL-8 from human macrophage-like differentiated THP-1 cells. In contrast to LMs, LAMs were not able to induce a significant cytokine-inducing effect. The mechanism of activation by LMs was investigated using various Abs raised against surface receptors for multiple bacterial products. The presence of anti-CD14 or anti-Toll-like receptor 2 (TLR2) Abs profoundly affected production of TNF-alpha and IL-8, suggesting that both CD14 and TLR2 participate in the LM-mediated activation process. Furthermore, stimulation of cells was dependent on the presence of the LPS-binding protein, a plasma protein that transfers glycolipids to CD14. Chemical degradation of the arabinan domain of mannose-capped LAM from M. kansasii, which presented no cytokine-eliciting effect, restored the cytokine-inducing activity at a level similar to those of LMs. These results support the hypothesis that the presence of an arabinan in LAMs prevents the interaction of these glycolipids with TLR2/CD14 receptors. In addition, we found that phosphatidylinositol dimannosides isolated from M. kansasii did not induce cytokine secretion. This study suggests that LMs isolated from different mycobacterial species participate in the immunomodulation of the infected host and that the D-mannan core of this glycolipid is essential for this function.","author":[{"dropping-particle":"","family":"Vignal","given":"Cécile","non-dropping-particle":"","parse-names":false,"suffix":""},{"dropping-particle":"","family":"Guérardel","given":"Yann","non-dropping-particle":"","parse-names":false,"suffix":""},{"dropping-particle":"","family":"Kremer","given":"Laurent","non-dropping-particle":"","parse-names":false,"suffix":""},{"dropping-particle":"","family":"Masson","given":"Maryse","non-dropping-particle":"","parse-names":false,"suffix":""},{"dropping-particle":"","family":"Legrand","given":"Dominique","non-dropping-particle":"","parse-names":false,"suffix":""},{"dropping-particle":"","family":"Mazurier","given":"Joël","non-dropping-particle":"","parse-names":false,"suffix":""},{"dropping-particle":"","family":"Elass","given":"Elisabeth","non-dropping-particle":"","parse-names":false,"suffix":""}],"container-title":"Journal of immunology (Baltimore, Md. : 1950)","id":"ITEM-1","issue":"4","issued":{"date-parts":[["2003","8","15"]]},"page":"2014-23","title":"Lipomannans, but not lipoarabinomannans, purified from Mycobacterium chelonae and Mycobacterium kansasii induce TNF-alpha and IL-8 secretion by a CD14-toll-like receptor 2-dependent mechanism.","type":"article-journal","volume":"171"},"uris":["http://www.mendeley.com/documents/?uuid=8a55903a-e9ce-4ec2-9340-3bbcb257cab8"]},{"id":"ITEM-2","itemData":{"DOI":"10.4049/jimmunol.172.7.4425","ISBN":"0022-1767 (Print)\\n0022-1767 (Linking)","ISSN":"0022-1767","PMID":"15034058","abstract":"Lipoarabinomannans (LAM) and lipomannans (LM) are integral parts of the mycobacterial cell wall recognized by cells involved in the innate immune response and have been found to modulate the cytokine response. Typically, mannosylated LAM from pathogenic mycobacteria have been reported to be anti-inflammatory, whereas phosphoinositol-substituted LAM from nonpathogenic species are proinflammatory molecules. In this study, we show that LM from several mycobacterial species, including Mycobacterium chelonae, Mycobacterium kansasii, and Mycobacterium bovis bacillus Calmette-Guérin, display a dual function by stimulating or inhibiting proinflammatory cytokine synthesis through different pathways in murine primary macrophages. LM, but none of the corresponding LAM, induce macrophage activation characterized by cell surface expression of CD40 and CD86 and by TNF and NO secretion. This activation is dependent on the presence of Toll-like receptor (TLR) 2 and mediated through the adaptor protein myeloid differentiation factor 88 (MyD88), but independent of either TLR4 or TLR6 recognition. Surprisingly, LM exerted also a potent inhibitory effect on TNF, IL-12p40, and NO production by LPS-activated macrophages. This TLR2-, TLR6-, and MyD88-independent inhibitory effect is also mediated by LAM from M. bovis bacillus Calmette-Guérin but not by LAM derived from M. chelonae and M. kansasii. This study provides evidence that mycobacterial LM bear structural motifs susceptible to interact with different pattern recognition receptors with pro- or anti-inflammatory effects. Thus, the ultimate response of the host may therefore depend on the prevailing LM or LAM in the mycobacterial envelope and the local host cell receptor availability.","author":[{"dropping-particle":"","family":"Quesniaux","given":"Valerie J.","non-dropping-particle":"","parse-names":false,"suffix":""},{"dropping-particle":"","family":"Nicolle","given":"Delphine M.","non-dropping-particle":"","parse-names":false,"suffix":""},{"dropping-particle":"","family":"Torres","given":"David","non-dropping-particle":"","parse-names":false,"suffix":""},{"dropping-particle":"","family":"Kremer","given":"Laurent","non-dropping-particle":"","parse-names":false,"suffix":""},{"dropping-particle":"","family":"Guérardel","given":"Yann","non-dropping-particle":"","parse-names":false,"suffix":""},{"dropping-particle":"","family":"Nigou","given":"Jérôme","non-dropping-particle":"","parse-names":false,"suffix":""},{"dropping-particle":"","family":"Puzo","given":"Germain","non-dropping-particle":"","parse-names":false,"suffix":""},{"dropping-particle":"","family":"Erard","given":"François","non-dropping-particle":"","parse-names":false,"suffix":""},{"dropping-particle":"","family":"Ryffel","given":"Bernhard","non-dropping-particle":"","parse-names":false,"suffix":""}],"container-title":"Journal of immunology (Baltimore, Md. : 1950)","id":"ITEM-2","issue":"7","issued":{"date-parts":[["2004","4","1"]]},"page":"4425-34","title":"Toll-like receptor 2 (TLR2)-dependent-positive and TLR2-independent-negative regulation of proinflammatory cytokines by mycobacterial lipomannans.","type":"article-journal","volume":"172"},"uris":["http://www.mendeley.com/documents/?uuid=52fb21e1-f1ad-4a7b-b376-b16f7bf6085f"]},{"id":"ITEM-3","itemData":{"DOI":"10.1016/j.chembiol.2005.10.013","ISBN":"1074-5521","ISSN":"10745521","PMID":"16426970","abstract":"Detection of Mycobacterium tuberculosis antigens by professional phagocytes via toll-like receptors (TLR) contributes to controlling chronic M. tuberculosis infection. Lipomannans (LM), which are major lipoglycans of the mycobacterial envelope, were recently described as agonists of TLR2 with potent activity on proinflammatory cytokine regulation. LM correspond to a heterogeneous population of acyl- and glyco-forms. We report here the purification and the complete structural characterization of four LM acyl-forms from Mycobacterium bovis BCG using MALDI MS and 2D 1H-31P NMR analyses. All this biochemical work provided the tools to investigate the implication of LM acylation degree on its proinflammatory activity. The latter was ascribed to the triacylated LM form, essentially an agonist of TLR2, using TLR2/TLR1 heterodimers for signaling. Altogether, these findings shed more light on the molecular basis of LM recognition by TLR. ©2006 Elsevier Ltd All rights reserved.","author":[{"dropping-particle":"","family":"Gilleron","given":"Martine","non-dropping-particle":"","parse-names":false,"suffix":""},{"dropping-particle":"","family":"Nigou","given":"Jérôme","non-dropping-particle":"","parse-names":false,"suffix":""},{"dropping-particle":"","family":"Nicolle","given":"Delphine","non-dropping-particle":"","parse-names":false,"suffix":""},{"dropping-particle":"","family":"Quesniaux","given":"Valérie","non-dropping-particle":"","parse-names":false,"suffix":""},{"dropping-particle":"","family":"Puzo","given":"Germain","non-dropping-particle":"","parse-names":false,"suffix":""}],"container-title":"Chemistry and Biology","id":"ITEM-3","issue":"1","issued":{"date-parts":[["2006"]]},"page":"39-47","title":"The acylation state of mycobacterial lipomannans modulates innate immunity response through toll-like receptor 2","type":"article-journal","volume":"13"},"uris":["http://www.mendeley.com/documents/?uuid=99b5af9a-2217-4146-93e1-bc5588c1373b"]},{"id":"ITEM-4","itemData":{"DOI":"10.1074/jbc.M702690200","ISBN":"3323825543","ISSN":"0021-9258","PMID":"17617634","abstract":"Mycobacterium tuberculosis lipomannans (LMs) modulate the host innate immune response. The total fraction of Mycobacterium bovis BCG LM was shown both to induce macrophage activation and pro-inflammatory cytokines through Toll-like receptor 2 (TLR2) and to inhibit pro-inflammatory cytokine production by lipopolysaccharide (LPS)-activated macrophages through a TLR2-independent pathway. The pro-inflammatory activity was attributed to tri- and tetra-acylated forms of BCG LM but not the mono- and di-acylated ones. Here, we further characterize the negative activities of M. bovis BCG LM on primary murine macrophage activation. We show that di-acylated LMs exhibit a potent inhibitory effect on cytokine and NO secretion by LPS-activated macrophages. The inhibitory activity of mycobacterial mannose-capped lipoarabino-mannans on human phagocytes was previously attributed to their binding to the C-type lectins mannose receptor or specific intracellular adhesion molecule-3 grabbing nonintegrin (DC-SIGN). However, we found that di-acylated LM inhibition of LPS-induced tumor necrosis factor secretion by murine macrophages was independent of TLR2, mannose receptor, or the murine ortholog SIGNR1. We further determined that tri-acyl-LM, an agonist of TLR2/TLR1, promoted interleukin-12 p40 and NO secretion through the adaptor proteins MyD88 and TIRAP, whereas the fraction containing tetra-acylated LM activated macrophages in a MyD88-dependent fashion, mostly through TLR4. TLR4-dependent pro-inflammatory activity was also seen with M. tuberculosis LM, composed mostly of tri-acylated LM, suggesting that acylation degree per se might not be sufficient to determine TLR2 versus TLR4 usage. Therefore, LM acylation pattern determines the anti-inflammatory versus pro-inflammatory effects of LM through different pattern recognition receptors or signaling pathways and may represent an additional mean of regulating the host innate immunity by mycobacteria.","author":[{"dropping-particle":"","family":"Doz","given":"Emilie","non-dropping-particle":"","parse-names":false,"suffix":""},{"dropping-particle":"","family":"Rose","given":"Stéphanie","non-dropping-particle":"","parse-names":false,"suffix":""},{"dropping-particle":"","family":"Nigou","given":"Jérôme","non-dropping-particle":"","parse-names":false,"suffix":""},{"dropping-particle":"","family":"Gilleron","given":"Martine","non-dropping-particle":"","parse-names":false,"suffix":""},{"dropping-particle":"","family":"Puzo","given":"Germain","non-dropping-particle":"","parse-names":false,"suffix":""},{"dropping-particle":"","family":"Erard","given":"François","non-dropping-particle":"","parse-names":false,"suffix":""},{"dropping-particle":"","family":"Ryffel","given":"Bernhard","non-dropping-particle":"","parse-names":false,"suffix":""},{"dropping-particle":"","family":"Quesniaux","given":"Valerie F J","non-dropping-particle":"","parse-names":false,"suffix":""}],"container-title":"The Journal of biological chemistry","id":"ITEM-4","issue":"36","issued":{"date-parts":[["2007","9","7"]]},"page":"26014-25","title":"Acylation determines the toll-like receptor (TLR)-dependent positive versus TLR2-, mannose receptor-, and SIGNR1-independent negative regulation of pro-inflammatory cytokines by mycobacterial lipomannan.","type":"article-journal","volume":"282"},"uris":["http://www.mendeley.com/documents/?uuid=2df67998-aef7-4fda-a1e3-1beabfaea2b6"]},{"id":"ITEM-5","itemData":{"DOI":"10.4049/jimmunol.178.5.3161","ISBN":"0022-1767 (Print)\\r0022-1767 (Linking)","ISSN":"0022-1767","PMID":"17312164","abstract":"Tuberculous granulomas are the sites of interaction between the host response and the tubercle bacilli within infected individuals. They mainly consist of organized aggregations of lymphocytes and macrophages (Mf). A predominant role of mycobacterial envelope glycolipids in granulomas formation has been recently emphasized, yet the signaling events interfering with granuloma cell differentiation remain elusive. To decipher this molecular machinery, we have recently developed an in vitro human model of mycobacterial granulomas. In this study, we provide evidence that the mycobacterial proinflammatory phosphatidyl-myo-inositol mannosides and lipomannans (LM), as well as the anti-inflammatory lipoarabinomannan induce granuloma formation, yet only the proinflammatory glycolipids induce the fusion of granuloma Mf into multinucleated giant cells (MGC). We also demonstrate that LM induces large MGC resembling those found in vivo within the granulomas of tuberculosis patients, and that this process is mediated by TLR2 and is dependent on the beta(1) integrin/ADAM9 cell fusion machinery. Our results demonstrate for the first time that the Mf differentiation stage specifically occurring within granulomatous structures (i.e., MGC formation) is triggered by mycobacterial envelope glycolipids, which are capable of inducing the cell fusion machinery. This provides the first characterization of the ontogeny of human granuloma MGC, thus resulting in a direct modulation by a particular mycobacterial envelope glycolipid of the differentiation process of granuloma Mf.","author":[{"dropping-particle":"","family":"Puissegur","given":"Marie-Pierre","non-dropping-particle":"","parse-names":false,"suffix":""},{"dropping-particle":"","family":"Lay","given":"Guillaume","non-dropping-particle":"","parse-names":false,"suffix":""},{"dropping-particle":"","family":"Gilleron","given":"Martine","non-dropping-particle":"","parse-names":false,"suffix":""},{"dropping-particle":"","family":"Botella","given":"Laure","non-dropping-particle":"","parse-names":false,"suffix":""},{"dropping-particle":"","family":"Nigou","given":"Jérôme","non-dropping-particle":"","parse-names":false,"suffix":""},{"dropping-particle":"","family":"Marrakchi","given":"Hedia","non-dropping-particle":"","parse-names":false,"suffix":""},{"dropping-particle":"","family":"Mari","given":"Bernard","non-dropping-particle":"","parse-names":false,"suffix":""},{"dropping-particle":"","family":"Duteyrat","given":"Jean-Luc","non-dropping-particle":"","parse-names":false,"suffix":""},{"dropping-particle":"","family":"Guerardel","given":"Yann","non-dropping-particle":"","parse-names":false,"suffix":""},{"dropping-particle":"","family":"Kremer","given":"Laurent","non-dropping-particle":"","parse-names":false,"suffix":""},{"dropping-particle":"","family":"Barbry","given":"Pascal","non-dropping-particle":"","parse-names":false,"suffix":""},{"dropping-particle":"","family":"Puzo","given":"Germain","non-dropping-particle":"","parse-names":false,"suffix":""},{"dropping-particle":"","family":"Altare","given":"Frédéric","non-dropping-particle":"","parse-names":false,"suffix":""}],"container-title":"Journal of immunology (Baltimore, Md. : 1950)","id":"ITEM-5","issue":"5","issued":{"date-parts":[["2007","3","1"]]},"page":"3161-9","title":"Mycobacterial lipomannan induces granuloma macrophage fusion via a TLR2-dependent, ADAM9- and beta1 integrin-mediated pathway.","type":"article-journal","volume":"178"},"uris":["http://www.mendeley.com/documents/?uuid=53fc2063-1229-496c-aef8-2f87a220370c"]}],"mendeley":{"formattedCitation":"[52–56]","plainTextFormattedCitation":"[52–56]","previouslyFormattedCitation":"[55–59]"},"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[52–56]</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w:t>
      </w:r>
    </w:p>
    <w:p w:rsidR="00480AF7" w:rsidRPr="00480AF7" w:rsidRDefault="00480AF7" w:rsidP="00480AF7">
      <w:pPr>
        <w:adjustRightInd w:val="0"/>
        <w:snapToGrid w:val="0"/>
        <w:spacing w:after="0" w:line="228" w:lineRule="auto"/>
        <w:ind w:firstLine="425"/>
        <w:jc w:val="both"/>
        <w:rPr>
          <w:rFonts w:ascii="Palatino Linotype" w:eastAsia="Times New Roman" w:hAnsi="Palatino Linotype" w:cs="Times New Roman"/>
          <w:snapToGrid w:val="0"/>
          <w:color w:val="000000"/>
          <w:sz w:val="20"/>
          <w:lang w:val="en-US" w:eastAsia="de-DE" w:bidi="en-US"/>
        </w:rPr>
      </w:pPr>
      <w:r w:rsidRPr="00480AF7">
        <w:rPr>
          <w:rFonts w:ascii="Palatino Linotype" w:eastAsia="Times New Roman" w:hAnsi="Palatino Linotype" w:cs="Times New Roman"/>
          <w:snapToGrid w:val="0"/>
          <w:color w:val="000000"/>
          <w:sz w:val="20"/>
          <w:lang w:val="en-US" w:eastAsia="de-DE" w:bidi="en-US"/>
        </w:rPr>
        <w:t xml:space="preserve">The proportion of lipids present within the mycobacterial cell wall can vary between </w:t>
      </w:r>
      <w:r w:rsidRPr="00480AF7">
        <w:rPr>
          <w:rFonts w:ascii="Palatino Linotype" w:eastAsia="Times New Roman" w:hAnsi="Palatino Linotype" w:cs="Times New Roman"/>
          <w:i/>
          <w:iCs/>
          <w:snapToGrid w:val="0"/>
          <w:color w:val="000000"/>
          <w:sz w:val="20"/>
          <w:lang w:val="en-US" w:eastAsia="de-DE" w:bidi="en-US"/>
        </w:rPr>
        <w:t>Mycobacterium</w:t>
      </w:r>
      <w:r w:rsidRPr="00480AF7">
        <w:rPr>
          <w:rFonts w:ascii="Palatino Linotype" w:eastAsia="Times New Roman" w:hAnsi="Palatino Linotype" w:cs="Times New Roman"/>
          <w:snapToGrid w:val="0"/>
          <w:color w:val="000000"/>
          <w:sz w:val="20"/>
          <w:lang w:val="en-US" w:eastAsia="de-DE" w:bidi="en-US"/>
        </w:rPr>
        <w:t xml:space="preserve"> strains resulting in different biochemical properties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{"citationItems":[{"id":"ITEM-1","itemData":{"DOI":"10.1111/j.1865-1682.2009.01072.x","ISBN":"1865-1682","ISSN":"18651674","PMID":"19486312","abstract":"Mycobacteria are characterized by a complex cell wall, the lipid nature of which confers to the bacilli resistance to drying, acid or alkaline conditions, and to chemical disinfectants and therapeutic agents. Pathogenic species, such as Mycobacterium tuberculosis, M. leprae and M. ulcerans, have evolved various strategies to establish residence in their hosts and provoke long-term infections. There is mounting evidence that the unique lipids composing their envelopes, strategically located at the host-pathogen interface, contribute to their escape from immune surveillance. Here, the chemical structure, host cell receptors and biological actions of this emerging class of mycobacterial virulence factors are reviewed.","author":[{"dropping-particle":"","family":"Guenin-Macé","given":"L.","non-dropping-particle":"","parse-names":false,"suffix":""},{"dropping-particle":"","family":"Siméone","given":"R.","non-dropping-particle":"","parse-names":false,"suffix":""},{"dropping-particle":"","family":"Demangel","given":"C.","non-dropping-particle":"","parse-names":false,"suffix":""}],"container-title":"Transboundary and Emerging Diseases","id":"ITEM-1","issue":"6-7","issued":{"date-parts":[["2009","8"]]},"page":"255-268","title":"Lipids of Pathogenic Mycobacteria: Contributions to Virulence and Host Immune Suppression","type":"article-journal","volume":"56"},"uris":["http://www.mendeley.com/documents/?uuid=ac1dd64b-c180-479a-ad48-fe4e00a9de3e"]},{"id":"ITEM-2","itemData":{"DOI":"10.1128/microbiolspec.MGM2-0021-2013","ISSN":"2165-0497","PMID":"26104202","abstract":"This article summarizes what is currently known of the structures, physiological roles, involvement in pathogenicity, and biogenesis of a variety of noncovalently bound cell envelope lipids and glycoconjugates of Mycobacterium tuberculosis and other Mycobacterium species. Topics addressed in this article include phospholipids; phosphatidylinositol mannosides; triglycerides; isoprenoids and related compounds (polyprenyl phosphate, menaquinones, carotenoids, noncarotenoid cyclic isoprenoids); acyltrehaloses (lipooligosaccharides, trehalose mono- and di-mycolates, sulfolipids, di- and poly-acyltrehaloses); mannosyl-beta-1-phosphomycoketides; glycopeptidolipids; phthiocerol dimycocerosates, para-hydroxybenzoic acids, and phenolic glycolipids; mycobactins; mycolactones; and capsular polysaccharides.","author":[{"dropping-particle":"","family":"Daffé","given":"Mamadou","non-dropping-particle":"","parse-names":false,"suffix":""},{"dropping-particle":"","family":"Crick","given":"Dean C","non-dropping-particle":"","parse-names":false,"suffix":""},{"dropping-particle":"","family":"Jackson","given":"Mary","non-dropping-particle":"","parse-names":false,"suffix":""}],"container-title":"Microbiology spectrum","id":"ITEM-2","issue":"4","issued":{"date-parts":[["2014","8"]]},"page":"MGM2-0021-2013","title":"Genetics of Capsular Polysaccharides and Cell Envelope (Glyco)lipids.","type":"article-journal","volume":"2"},"uris":["http://www.mendeley.com/documents/?uuid=bcc9b514-f9b5-403b-bf90-da3ccaf3b6fa"]}],"mendeley":{"formattedCitation":"[57,58]","plainTextFormattedCitation":"[57,58]","previouslyFormattedCitation":"[60,61]"},"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[57,58]</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Variation in lipid compositions inside</w:t>
      </w:r>
      <w:r w:rsidRPr="00480AF7">
        <w:rPr>
          <w:rFonts w:ascii="Palatino Linotype" w:eastAsia="Times New Roman" w:hAnsi="Palatino Linotype" w:cs="Times New Roman"/>
          <w:i/>
          <w:iCs/>
          <w:snapToGrid w:val="0"/>
          <w:color w:val="000000"/>
          <w:sz w:val="20"/>
          <w:lang w:val="en-US" w:eastAsia="de-DE" w:bidi="en-US"/>
        </w:rPr>
        <w:t xml:space="preserve"> </w:t>
      </w:r>
      <w:proofErr w:type="spellStart"/>
      <w:r w:rsidRPr="00480AF7">
        <w:rPr>
          <w:rFonts w:ascii="Palatino Linotype" w:eastAsia="Times New Roman" w:hAnsi="Palatino Linotype" w:cs="Times New Roman"/>
          <w:i/>
          <w:iCs/>
          <w:snapToGrid w:val="0"/>
          <w:color w:val="000000"/>
          <w:sz w:val="20"/>
          <w:lang w:val="en-US" w:eastAsia="de-DE" w:bidi="en-US"/>
        </w:rPr>
        <w:t>Mtb</w:t>
      </w:r>
      <w:proofErr w:type="spellEnd"/>
      <w:r w:rsidRPr="00480AF7">
        <w:rPr>
          <w:rFonts w:ascii="Palatino Linotype" w:eastAsia="Times New Roman" w:hAnsi="Palatino Linotype" w:cs="Times New Roman"/>
          <w:snapToGrid w:val="0"/>
          <w:color w:val="000000"/>
          <w:sz w:val="20"/>
          <w:lang w:val="en-US" w:eastAsia="de-DE" w:bidi="en-US"/>
        </w:rPr>
        <w:t xml:space="preserve"> species can impact on their pathogenicity. Different clinical </w:t>
      </w:r>
      <w:proofErr w:type="spellStart"/>
      <w:r w:rsidRPr="00480AF7">
        <w:rPr>
          <w:rFonts w:ascii="Palatino Linotype" w:eastAsia="Times New Roman" w:hAnsi="Palatino Linotype" w:cs="Times New Roman"/>
          <w:i/>
          <w:iCs/>
          <w:snapToGrid w:val="0"/>
          <w:color w:val="000000"/>
          <w:sz w:val="20"/>
          <w:lang w:val="en-US" w:eastAsia="de-DE" w:bidi="en-US"/>
        </w:rPr>
        <w:t>Mtb</w:t>
      </w:r>
      <w:proofErr w:type="spellEnd"/>
      <w:r w:rsidRPr="00480AF7">
        <w:rPr>
          <w:rFonts w:ascii="Palatino Linotype" w:eastAsia="Times New Roman" w:hAnsi="Palatino Linotype" w:cs="Times New Roman"/>
          <w:i/>
          <w:iCs/>
          <w:snapToGrid w:val="0"/>
          <w:color w:val="000000"/>
          <w:sz w:val="20"/>
          <w:lang w:val="en-US" w:eastAsia="de-DE" w:bidi="en-US"/>
        </w:rPr>
        <w:t xml:space="preserve"> </w:t>
      </w:r>
      <w:r w:rsidRPr="00480AF7">
        <w:rPr>
          <w:rFonts w:ascii="Palatino Linotype" w:eastAsia="Times New Roman" w:hAnsi="Palatino Linotype" w:cs="Times New Roman"/>
          <w:snapToGrid w:val="0"/>
          <w:color w:val="000000"/>
          <w:sz w:val="20"/>
          <w:lang w:val="en-US" w:eastAsia="de-DE" w:bidi="en-US"/>
        </w:rPr>
        <w:t xml:space="preserve">strains are associated with important disparities in immune response activation such as CDC1551 and HN878 [59–62]. Compared to the lineage 4 CDC1551, the lineage 2 Beijing strain HN878 induces an altered immune response partly due to its expression of phenolic glycolipids (PGL), increasing its virulence [63–66]. In order to measure and compare the impact of glycolipids derived from different </w:t>
      </w:r>
      <w:r w:rsidRPr="00480AF7">
        <w:rPr>
          <w:rFonts w:ascii="Palatino Linotype" w:eastAsia="Times New Roman" w:hAnsi="Palatino Linotype" w:cs="Times New Roman"/>
          <w:i/>
          <w:iCs/>
          <w:snapToGrid w:val="0"/>
          <w:color w:val="000000"/>
          <w:sz w:val="20"/>
          <w:lang w:val="en-US" w:eastAsia="de-DE" w:bidi="en-US"/>
        </w:rPr>
        <w:t>Mycobacterium</w:t>
      </w:r>
      <w:r w:rsidRPr="00480AF7">
        <w:rPr>
          <w:rFonts w:ascii="Palatino Linotype" w:eastAsia="Times New Roman" w:hAnsi="Palatino Linotype" w:cs="Times New Roman"/>
          <w:snapToGrid w:val="0"/>
          <w:color w:val="000000"/>
          <w:sz w:val="20"/>
          <w:lang w:val="en-US" w:eastAsia="de-DE" w:bidi="en-US"/>
        </w:rPr>
        <w:t xml:space="preserve"> strains on HIV-1 </w:t>
      </w:r>
      <w:r w:rsidRPr="00480AF7">
        <w:rPr>
          <w:rFonts w:ascii="Palatino Linotype" w:eastAsia="Times New Roman" w:hAnsi="Palatino Linotype" w:cs="Times New Roman"/>
          <w:i/>
          <w:snapToGrid w:val="0"/>
          <w:color w:val="000000"/>
          <w:sz w:val="20"/>
          <w:lang w:val="en-US" w:eastAsia="de-DE" w:bidi="en-US"/>
        </w:rPr>
        <w:t>cis-</w:t>
      </w:r>
      <w:r w:rsidRPr="00480AF7">
        <w:rPr>
          <w:rFonts w:ascii="Palatino Linotype" w:eastAsia="Times New Roman" w:hAnsi="Palatino Linotype" w:cs="Times New Roman"/>
          <w:snapToGrid w:val="0"/>
          <w:color w:val="000000"/>
          <w:sz w:val="20"/>
          <w:lang w:val="en-US" w:eastAsia="de-DE" w:bidi="en-US"/>
        </w:rPr>
        <w:t xml:space="preserve"> and </w:t>
      </w:r>
      <w:r w:rsidRPr="00480AF7">
        <w:rPr>
          <w:rFonts w:ascii="Palatino Linotype" w:eastAsia="Times New Roman" w:hAnsi="Palatino Linotype" w:cs="Times New Roman"/>
          <w:i/>
          <w:snapToGrid w:val="0"/>
          <w:color w:val="000000"/>
          <w:sz w:val="20"/>
          <w:lang w:val="en-US" w:eastAsia="de-DE" w:bidi="en-US"/>
        </w:rPr>
        <w:t>trans</w:t>
      </w:r>
      <w:r w:rsidRPr="00480AF7">
        <w:rPr>
          <w:rFonts w:ascii="Palatino Linotype" w:eastAsia="Times New Roman" w:hAnsi="Palatino Linotype" w:cs="Times New Roman"/>
          <w:snapToGrid w:val="0"/>
          <w:color w:val="000000"/>
          <w:sz w:val="20"/>
          <w:lang w:val="en-US" w:eastAsia="de-DE" w:bidi="en-US"/>
        </w:rPr>
        <w:t xml:space="preserve">-infection, we developed liposomes which contained </w:t>
      </w:r>
      <w:r w:rsidRPr="00480AF7">
        <w:rPr>
          <w:rFonts w:ascii="Palatino Linotype" w:eastAsia="Times New Roman" w:hAnsi="Palatino Linotype" w:cs="Times New Roman"/>
          <w:i/>
          <w:iCs/>
          <w:snapToGrid w:val="0"/>
          <w:color w:val="000000"/>
          <w:sz w:val="20"/>
          <w:lang w:val="en-US" w:eastAsia="de-DE" w:bidi="en-US"/>
        </w:rPr>
        <w:t>Mycobacterium</w:t>
      </w:r>
      <w:r w:rsidRPr="00480AF7">
        <w:rPr>
          <w:rFonts w:ascii="Palatino Linotype" w:eastAsia="Times New Roman" w:hAnsi="Palatino Linotype" w:cs="Times New Roman"/>
          <w:snapToGrid w:val="0"/>
          <w:color w:val="000000"/>
          <w:sz w:val="20"/>
          <w:lang w:val="en-US" w:eastAsia="de-DE" w:bidi="en-US"/>
        </w:rPr>
        <w:t xml:space="preserve"> total lipid extracts from lineage 4 </w:t>
      </w:r>
      <w:proofErr w:type="spellStart"/>
      <w:r w:rsidRPr="00480AF7">
        <w:rPr>
          <w:rFonts w:ascii="Palatino Linotype" w:eastAsia="Times New Roman" w:hAnsi="Palatino Linotype" w:cs="Times New Roman"/>
          <w:i/>
          <w:iCs/>
          <w:snapToGrid w:val="0"/>
          <w:color w:val="000000"/>
          <w:sz w:val="20"/>
          <w:lang w:val="en-US" w:eastAsia="de-DE" w:bidi="en-US"/>
        </w:rPr>
        <w:t>Mtb</w:t>
      </w:r>
      <w:proofErr w:type="spellEnd"/>
      <w:r w:rsidRPr="00480AF7">
        <w:rPr>
          <w:rFonts w:ascii="Palatino Linotype" w:eastAsia="Times New Roman" w:hAnsi="Palatino Linotype" w:cs="Times New Roman"/>
          <w:snapToGrid w:val="0"/>
          <w:color w:val="000000"/>
          <w:sz w:val="20"/>
          <w:lang w:val="en-US" w:eastAsia="de-DE" w:bidi="en-US"/>
        </w:rPr>
        <w:t xml:space="preserve"> H37Rv, and CDC1551, lineage 2 </w:t>
      </w:r>
      <w:proofErr w:type="spellStart"/>
      <w:r w:rsidRPr="00480AF7">
        <w:rPr>
          <w:rFonts w:ascii="Palatino Linotype" w:eastAsia="Times New Roman" w:hAnsi="Palatino Linotype" w:cs="Times New Roman"/>
          <w:i/>
          <w:iCs/>
          <w:snapToGrid w:val="0"/>
          <w:color w:val="000000"/>
          <w:sz w:val="20"/>
          <w:lang w:val="en-US" w:eastAsia="de-DE" w:bidi="en-US"/>
        </w:rPr>
        <w:t>Mtb</w:t>
      </w:r>
      <w:proofErr w:type="spellEnd"/>
      <w:r w:rsidRPr="00480AF7">
        <w:rPr>
          <w:rFonts w:ascii="Palatino Linotype" w:eastAsia="Times New Roman" w:hAnsi="Palatino Linotype" w:cs="Times New Roman"/>
          <w:snapToGrid w:val="0"/>
          <w:color w:val="000000"/>
          <w:sz w:val="20"/>
          <w:lang w:val="en-US" w:eastAsia="de-DE" w:bidi="en-US"/>
        </w:rPr>
        <w:t xml:space="preserve"> HN878 and non-pathogenic </w:t>
      </w:r>
      <w:r w:rsidRPr="00480AF7">
        <w:rPr>
          <w:rFonts w:ascii="Palatino Linotype" w:eastAsia="Times New Roman" w:hAnsi="Palatino Linotype" w:cs="Times New Roman"/>
          <w:i/>
          <w:iCs/>
          <w:snapToGrid w:val="0"/>
          <w:color w:val="000000"/>
          <w:sz w:val="20"/>
          <w:lang w:val="en-US" w:eastAsia="de-DE" w:bidi="en-US"/>
        </w:rPr>
        <w:t xml:space="preserve">M. </w:t>
      </w:r>
      <w:proofErr w:type="spellStart"/>
      <w:r w:rsidRPr="00480AF7">
        <w:rPr>
          <w:rFonts w:ascii="Palatino Linotype" w:eastAsia="Times New Roman" w:hAnsi="Palatino Linotype" w:cs="Times New Roman"/>
          <w:i/>
          <w:iCs/>
          <w:snapToGrid w:val="0"/>
          <w:color w:val="000000"/>
          <w:sz w:val="20"/>
          <w:lang w:val="en-US" w:eastAsia="de-DE" w:bidi="en-US"/>
        </w:rPr>
        <w:t>bovis</w:t>
      </w:r>
      <w:proofErr w:type="spellEnd"/>
      <w:r w:rsidRPr="00480AF7">
        <w:rPr>
          <w:rFonts w:ascii="Palatino Linotype" w:eastAsia="Times New Roman" w:hAnsi="Palatino Linotype" w:cs="Times New Roman"/>
          <w:i/>
          <w:iCs/>
          <w:snapToGrid w:val="0"/>
          <w:color w:val="000000"/>
          <w:sz w:val="20"/>
          <w:lang w:val="en-US" w:eastAsia="de-DE" w:bidi="en-US"/>
        </w:rPr>
        <w:t xml:space="preserve"> </w:t>
      </w:r>
      <w:r w:rsidRPr="00480AF7">
        <w:rPr>
          <w:rFonts w:ascii="Palatino Linotype" w:eastAsia="Times New Roman" w:hAnsi="Palatino Linotype" w:cs="Times New Roman"/>
          <w:snapToGrid w:val="0"/>
          <w:color w:val="000000"/>
          <w:sz w:val="20"/>
          <w:lang w:val="en-US" w:eastAsia="de-DE" w:bidi="en-US"/>
        </w:rPr>
        <w:t xml:space="preserve">BCG and </w:t>
      </w:r>
      <w:r w:rsidRPr="00480AF7">
        <w:rPr>
          <w:rFonts w:ascii="Palatino Linotype" w:eastAsia="Times New Roman" w:hAnsi="Palatino Linotype" w:cs="Times New Roman"/>
          <w:i/>
          <w:iCs/>
          <w:snapToGrid w:val="0"/>
          <w:color w:val="000000"/>
          <w:sz w:val="20"/>
          <w:lang w:val="en-US" w:eastAsia="de-DE" w:bidi="en-US"/>
        </w:rPr>
        <w:t>M. smegmatis</w:t>
      </w:r>
      <w:r w:rsidRPr="00480AF7">
        <w:rPr>
          <w:rFonts w:ascii="Palatino Linotype" w:eastAsia="Times New Roman" w:hAnsi="Palatino Linotype" w:cs="Times New Roman"/>
          <w:snapToGrid w:val="0"/>
          <w:color w:val="000000"/>
          <w:sz w:val="20"/>
          <w:lang w:val="en-US" w:eastAsia="de-DE" w:bidi="en-US"/>
        </w:rPr>
        <w:t xml:space="preserve">. These liposomes are artificial vesicles composed of a mix of phosphatidylcholine (PC) and cholesterol (Ch) and used as the experimental foundation in our assays. In many cases, liposomes have been used as a carrier for various applications in pharmacology, including for diagnostic purposes, therapeutic treatments of cancer and for use in vaccine technologies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{"citationItems":[{"id":"ITEM-1","itemData":{"DOI":"10.1186/1556-276X-8-102","ISBN":"1520-6106","ISSN":"1931-7573","PMID":"23432972","abstract":"Liposomes, sphere-shaped vesicles consisting of one or more phospholipid bilayers, were first described in the mid-60s. Today, they are a very useful reproduction, reagent, and tool in various scientific disciplines, including mathematics and theoretical physics, biophysics, chemistry, colloid science, biochemistry, and biology. Since then, liposomes have made their way to the market. Among several talented new drug delivery systems, liposomes characterize an advanced technology to deliver active molecules to the site of action, and at present, several formulations are in clinical use. Research on liposome technology has progressed from conventional vesicles to 'second-generation liposomes', in which long-circulating liposomes are obtained by modulating the lipid composition, size, and charge of the vesicle. Liposomes with modified surfaces have also been developed using several molecules, such as glycolipids or sialic acid. This paper summarizes exclusively scalable techniques and focuses on strengths, respectively, limitations in respect to industrial applicability and regulatory requirements concerning liposomal drug formulations based on FDA and EMEA documents.","author":[{"dropping-particle":"","family":"Akbarzadeh","given":"Abolfazl","non-dropping-particle":"","parse-names":false,"suffix":""},{"dropping-particle":"","family":"Rezaei-Sadabady","given":"Rogaie","non-dropping-particle":"","parse-names":false,"suffix":""},{"dropping-particle":"","family":"Davaran","given":"Soodabeh","non-dropping-particle":"","parse-names":false,"suffix":""},{"dropping-particle":"","family":"Joo","given":"Sang Woo","non-dropping-particle":"","parse-names":false,"suffix":""},{"dropping-particle":"","family":"Zarghami","given":"Nosratollah","non-dropping-particle":"","parse-names":false,"suffix":""},{"dropping-particle":"","family":"Hanifehpour","given":"Younes","non-dropping-particle":"","parse-names":false,"suffix":""},{"dropping-particle":"","family":"Samiei","given":"Mohammad","non-dropping-particle":"","parse-names":false,"suffix":""},{"dropping-particle":"","family":"Kouhi","given":"Mohammad","non-dropping-particle":"","parse-names":false,"suffix":""},{"dropping-particle":"","family":"Nejati-Koshki","given":"Kazem","non-dropping-particle":"","parse-names":false,"suffix":""}],"container-title":"Nanoscale research letters","id":"ITEM-1","issue":"1","issued":{"date-parts":[["2013","2","22"]]},"page":"102","publisher":"Nanoscale Research Letters","title":"Liposome: classification, preparation, and applications.","type":"article-journal","volume":"8"},"uris":["http://www.mendeley.com/documents/?uuid=bafbf5b3-df1e-445e-bc4c-17eebc82d403"]}],"mendeley":{"formattedCitation":"[67]","plainTextFormattedCitation":"[67]","previouslyFormattedCitation":"[70]"},"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[67]</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 xml:space="preserve">. In the context of TB, the interest in using liposomes for vaccination strategies is important and well described in the literature </w:t>
      </w:r>
      <w:r w:rsidRPr="00480AF7">
        <w:rPr>
          <w:rFonts w:ascii="Palatino Linotype" w:eastAsia="Times New Roman" w:hAnsi="Palatino Linotype" w:cs="Times New Roman"/>
          <w:snapToGrid w:val="0"/>
          <w:color w:val="000000"/>
          <w:sz w:val="20"/>
          <w:lang w:val="en-US" w:eastAsia="de-DE" w:bidi="en-US"/>
        </w:rPr>
        <w:fldChar w:fldCharType="begin" w:fldLock="1"/>
      </w:r>
      <w:r w:rsidRPr="00480AF7">
        <w:rPr>
          <w:rFonts w:ascii="Palatino Linotype" w:eastAsia="Times New Roman" w:hAnsi="Palatino Linotype" w:cs="Times New Roman"/>
          <w:snapToGrid w:val="0"/>
          <w:color w:val="000000"/>
          <w:sz w:val="20"/>
          <w:lang w:val="en-US" w:eastAsia="de-DE" w:bidi="en-US"/>
        </w:rPr>
        <w:instrText>ADDIN CSL_CITATION {"citationItems":[{"id":"ITEM-1","itemData":{"DOI":"10.1128/IAI.72.9.5235-5246.2004","ISSN":"0019-9567","abstract":"Liposome vesicles could be formed at 65°C from the chloroform-soluble, total polar lipids (TPL) extracted from Mycobacterium bovis bacillus Calmette-Gue ´rin (BCG). Mice immunized with ovalbumin (OVA) entrapped in TPL liposomes produced both anti-OVA antibody and cytotoxic T lymphocyte responses. Murine bone marrow-derived dendritic cells were activated to secrete interleukin-6 (IL-6), IL-12, and tumor necrosis factor upon exposure to antigen-free TPL liposomes. Three phosphoglycolipids and three phospholipids comprising 96% of TPL were identified as phosphatidylinositol dimannoside, palmitoyl-phosphatidylinositol dimannoside, dipalmitoyl-phosphatidylinositol dimannoside, phosphatidylinositol, phosphatidylethanolamine, and cardio- lipin. The activation of dendritic cells by liposomes prepared from each purified lipid component of TPL was evaluated in vitro. A basal activity of phosphatidylinositol liposomes to activate proinflammatory cytokine production appeared to be attributable to the tuberculosteric fatty acyl 19:0 chain characteristic of mycobac- terial glycerolipids, as similar lipids lacking tuberculosteric chains showed little activity. Phosphatidylinositol dimannoside was identified as the primary lipid that activated dendritic cells to produce amounts of proin- flammatory cytokines several times higher than the basal level, indicating the importance of mannose residues. Although the activity of phosphatidylinositol dimannoside was little influenced by palmitoylation of mannose at C-6, a further palmitoylation at inositol C-3 diminished the induction levels of IL-6 and IL-12. Further, OVA entrapped in palmitoyl-phosphatidylinositol dimannoside liposomes was delivered to dendritic cells for major histocompatibility complex class I presentation more effectively than TPL OVA-liposomes. BCG liposomes containing mannose lipids caused up-regulation of costimulatory molecules and CD40. Thus, the inclusion of pure phosphatidylinositol mannosides of BCG in lipid vesicle vaccines represents a simple and efficient option for targeting antigen delivery and providing immune stimulation. Heat-killed","author":[{"dropping-particle":"","family":"Sprott","given":"G Dennis","non-dropping-particle":"","parse-names":false,"suffix":""},{"dropping-particle":"","family":"Dicaire","given":"Chantal J","non-dropping-particle":"","parse-names":false,"suffix":""},{"dropping-particle":"","family":"Gurnani","given":"Komal","non-dropping-particle":"","parse-names":false,"suffix":""},{"dropping-particle":"","family":"Sad","given":"Subash","non-dropping-particle":"","parse-names":false,"suffix":""},{"dropping-particle":"","family":"Krishnan","given":"L.","non-dropping-particle":"","parse-names":false,"suffix":""}],"container-title":"Infection and Immunity","id":"ITEM-1","issue":"9","issued":{"date-parts":[["2004","9","1"]]},"page":"5235-5246","title":"Activation of Dendritic Cells by Liposomes Prepared from Phosphatidylinositol Mannosides from Mycobacterium bovis Bacillus Calmette-Guerin and Adjuvant Activity In Vivo","type":"article-journal","volume":"72"},"uris":["http://www.mendeley.com/documents/?uuid=095ec705-fbdd-4542-8135-4843dbf1d41e"]},{"id":"ITEM-2","itemData":{"DOI":"10.1128/IAI.73.9.5817-5826.2005","ISBN":"0019-9567","ISSN":"00199567","PMID":"16113300","abstract":"The immunostimulation provided by the mycobacterial cell wall has been exploited for many decades, e.g., in Freund's complete adjuvant. Recently, the underlying mechanism behind this adjuvant activity, including Toll receptor signaling, has begun to be unraveled, confirming the potential of mycobacterial constituents to act as adjuvants. In this study, the immunostimulatory properties of a Mycobacterium bovis BCG lipid extract were tested for their adjuvant activity. Administration of the lipids in dimethyl dioctadecyl ammonium bromide-based cationic liposomes induced a powerful Th1 response characterized by markedly elevated antigen-specific immunoglobulin G2a (IgG2a) isotype antibodies and substantial production of gamma interferon. The adjuvant formulation (designated mycosomes) elicited high levels of gamma interferon both in C57BL/6 as well as in Th2-prone BALB/c mice. Furthermore, the mycosomes induced immune responses to protein antigens from several sources including Mycobacterium tuberculosis, Chlamydia muridarum, and tetanus toxoid. In a tuberculosis challenge model, the mycosomes combined with the Ag85B-ESAT-6 fusion protein were demonstrated to have a unique ability to maintain sustained immunological memory at a level superior to live BCG.","author":[{"dropping-particle":"","family":"Rosenkrands","given":"Ida","non-dropping-particle":"","parse-names":false,"suffix":""},{"dropping-particle":"","family":"Agger","given":"Else Marie","non-dropping-particle":"","parse-names":false,"suffix":""},{"dropping-particle":"","family":"Olsen","given":"Anja W.","non-dropping-particle":"","parse-names":false,"suffix":""},{"dropping-particle":"","family":"Korsholm","given":"Karen S.","non-dropping-particle":"","parse-names":false,"suffix":""},{"dropping-particle":"","family":"Andersen","given":"Claire Swetman","non-dropping-particle":"","parse-names":false,"suffix":""},{"dropping-particle":"","family":"Jensen","given":"Klaus T.","non-dropping-particle":"","parse-names":false,"suffix":""},{"dropping-particle":"","family":"Andersen","given":"Peter","non-dropping-particle":"","parse-names":false,"suffix":""}],"container-title":"Infection and Immunity","id":"ITEM-2","issue":"9","issued":{"date-parts":[["2005"]]},"page":"5817-5826","title":"Cationic liposomes containing mycobacterial lipids: A new powerful Th1 adjuvant system","type":"article-journal","volume":"73"},"uris":["http://www.mendeley.com/documents/?uuid=54aca073-544b-4254-a5f2-48b089edc26f"]},{"id":"ITEM-3","itemData":{"DOI":"10.1016/j.tube.2006.01.024","ISBN":"1472-9792","ISSN":"14729792","PMID":"16545981","abstract":"Treatment of latent tuberculosis infection (LTBI) requires a long period of chemotherapy (9 months), which makes treatment-compliance extremely difficult. Current knowledge of latent bacilli and of the lesions with which they are associated suggests that these bacilli survive in granulomas with a central necrotic core and an outermost layer of foamy macrophages (FM) that represent an important immunosuppressive barrier. The presence of FM, which is especially strong in mice, explains not only the kinetics of the drainage of dead bacilli, debris and surfactant, but also how latent bacilli can escape from the granuloma and re-grow in the periphery, particularly in the alveolar spaces where they can disseminate easily. RUTI, a therapeutic vaccine made of detoxified, fragmented Mycobacterium tuberculosis cells, delivered in liposomes, was used to assess its effectiveness in a short period of chemotherapy (1 month). The rationale of this therapy was first to take advantage of the bactericidal properties of chemotherapy to kill active growing bacilli, eliminate the outermost layer of FM and reduce local inflammatory responses so as to avoid the predictable Koch phenomenon caused by M. tuberculosis antigens when given therapeutically. After chemotherapy, RUTI can be inoculated to reduce the probability of regrowth of the remaining latent bacilli. RUTI has already demonstrated its efficacy in controlling LTBI in experimental models of mice and guinea-pigs after a short period of chemotherapy; these experiments in animals showed the induction of a mixed Th1/Th2/Th3, polyantigenic response with no local or systemic toxicity. Local accumulation of specific CD8 T cells and a strong humoral response are characteristic features of RUTI that explain its protective properties; these are particular improvements when compared with BCG, although the regulatory response to RUTI may also be an important advantage. Further experiments using bigger animals (goats and mini-pigs) will provide more data on the efficacy of RUTI before starting phase I clinical trials. ?? 2006 Elsevier Ltd. All rights reserved.","author":[{"dropping-particle":"","family":"Cardona","given":"Pere-Joan","non-dropping-particle":"","parse-names":false,"suffix":""}],"container-title":"Tuberculosis","id":"ITEM-3","issue":"3-4","issued":{"date-parts":[["2006","5"]]},"page":"273-289","title":"RUTI: A new chance to shorten the treatment of latent tuberculosis infection","type":"article-journal","volume":"86"},"uris":["http://www.mendeley.com/documents/?uuid=d152a4c0-43d3-4d2b-b405-9d92cd82239f"]},{"id":"ITEM-4","itemData":{"DOI":"10.1016/j.jconrel.2007.03.017","ISBN":"1873-4995 (Electronic)\\r0168-3659 (Linking)","ISSN":"01683659","PMID":"17467840","abstract":"Despite the potential of mycobacterial cell wall (CW) components to serve as immunotherapeutic agents, this application is hampered by the molecules' unfavorable physicochemical properties, such as its high molecular weight, poor solubility and negatively charged nature. Here we describe a new mycobacterial CW delivery system that uses an efficient and simple packaging method. This is achieved by incorporating mycobacterial CW into liposomes and attaching arginine octamers (R8) to the liposome surface. R8-modified liposomes improve the uptake of mycobacterial CW by dendritic cells (DC) and enhance its immunostimulatory activity. High R8 surface density promoted high levels of mycobacterial CW uptake by DC compared to low density R8-modified liposomes. Maturation markers (CD80, CD86, MHC Class II molecules) showed significantly enhanced expression on DC pulsed with high density R8-modified liposomes containing mycobacterial CW. Moreover, R8-modified liposomes with mycobacterial CW incorporated induced production of IL-12 p40 by DC, at levels similar to those produced by lipopolysaccharide-pulsed DC. We assert that R8-modified liposomes with mycobacterial CW incorporated should have tremendous potential as immune-potentiating agents. © 2007 Elsevier B.V. All rights reserved.","author":[{"dropping-particle":"","family":"Homhuan","given":"Atthachai","non-dropping-particle":"","parse-names":false,"suffix":""},{"dropping-particle":"","family":"Kogure","given":"Kentaro","non-dropping-particle":"","parse-names":false,"suffix":""},{"dropping-particle":"","family":"Akaza","given":"Hideyuki","non-dropping-particle":"","parse-names":false,"suffix":""},{"dropping-particle":"","family":"Futaki","given":"Shiroh","non-dropping-particle":"","parse-names":false,"suffix":""},{"dropping-particle":"","family":"Naka","given":"Takashi","non-dropping-particle":"","parse-names":false,"suffix":""},{"dropping-particle":"","family":"Fujita","given":"Yukiko","non-dropping-particle":"","parse-names":false,"suffix":""},{"dropping-particle":"","family":"Yano","given":"Ikuya","non-dropping-particle":"","parse-names":false,"suffix":""},{"dropping-particle":"","family":"Harashima","given":"Hideyoshi","non-dropping-particle":"","parse-names":false,"suffix":""}],"container-title":"Journal of Controlled Release","id":"ITEM-4","issue":"1-2","issued":{"date-parts":[["2007","7"]]},"page":"60-69","title":"New packaging method of mycobacterial cell wall using octaarginine-modified liposomes: Enhanced uptake by and immunostimulatory activity of dendritic cells","type":"article-journal","volume":"120"},"uris":["http://www.mendeley.com/documents/?uuid=805671ce-70cb-48d4-81e7-76f7a483afdb"]},{"id":"ITEM-5","itemData":{"DOI":"10.4049/jimmunol.1303278","ISSN":"0022-1767","PMID":"25000981","abstract":"Lipids from mycobacteria can be presented to human T cells by group 1 CD1 Ag-presenting molecules (CD1a, CD1b, and CD1c). Group 1 CD1-restricted T cells are activated by lipid Ags presented by myeloid dendritic cells (DCs), after which they generate antibacterial effector functions, including IFN-γ secretion and cytolysis. Thus, mycobacterial lipids are being investigated as components of novel vaccines for mycobacterial infections. In this study we show that the mycobacterial lipid Ag C80 glucose-6-monomycolate can be delivered to human CD1b(+) DCs via targeted liposomal nanoparticles, leading to robust group 1 CD1-restricted activation of T cells. Targeting was achieved by decorating the liposomes with a high-affinity glycan ligand of sialic acid-binding Ig-like lectin (Siglec)-7, a siglec receptor expressed on DCs that mediates rapid endocytosis and transport of its cargo to lysosomes. An Ab to Siglec-7 completely blocked the binding of targeted liposomes to human monocyte-derived DCs (Mo-DCs), demonstrating their targeting specificity. Mo-DCs pulsed with targeted liposomes containing C80 glucose-6-monomycolate more potently activated a CD1b-restricted T cell line relative to Mo-DCs pulsed with free lipid Ag or antigenic liposomes without Siglec-7 ligand. These data suggest that the endocytic function of Siglec-7 can be exploited to deliver glycolipid Ags to their target cell and increase the efficiency of display to T cells.","author":[{"dropping-particle":"","family":"Kawasaki","given":"Norihito","non-dropping-particle":"","parse-names":false,"suffix":""},{"dropping-particle":"","family":"Rillahan","given":"Cory D","non-dropping-particle":"","parse-names":false,"suffix":""},{"dropping-particle":"","family":"Cheng","given":"T.-Y.","non-dropping-particle":"","parse-names":false,"suffix":""},{"dropping-particle":"","family":"Rhijn","given":"Ildiko","non-dropping-particle":"Van","parse-names":false,"suffix":""},{"dropping-particle":"","family":"Macauley","given":"Matthew S","non-dropping-particle":"","parse-names":false,"suffix":""},{"dropping-particle":"","family":"Moody","given":"D Branch","non-dropping-particle":"","parse-names":false,"suffix":""},{"dropping-particle":"","family":"Paulson","given":"James C","non-dropping-particle":"","parse-names":false,"suffix":""}],"container-title":"The Journal of Immunology","id":"ITEM-5","issue":"4","issued":{"date-parts":[["2014","8","15"]]},"page":"1560-1566","title":"Targeted Delivery of Mycobacterial Antigens to Human Dendritic Cells via Siglec-7 Induces Robust T Cell Activation","type":"article-journal","volume":"193"},"uris":["http://www.mendeley.com/documents/?uuid=98f6baa4-ab95-4806-9cc7-36345f0257a6"]},{"id":"ITEM-6","itemData":{"DOI":"10.1007/112_2018_9","ISBN":"978-3-540-73800-8","ISSN":"0303-4240","PMID":"29700609","abstract":"The weakness of the BCG vaccine and its highly variable protective efficacy in controlling tuberculosis (TB) in different age groups as well as in different geographic areas has led to intense efforts towards the development and design of novel vaccines. Currently, there are several strategies to develop novel TB vaccines. Each strategy has its advantages and disadvantages. However, the most important of these strategies is the development of subunit vaccines. In recent years, the use of cationic liposome-based vaccines has been considered due to their capacity to elicit strong humoral and cellular immune responses against TB infections. In this review, we aim to evaluate the potential for cationic liposomes to be used as adjuvants/delivery systems for eliciting immune responses against TB subunit vaccines. The present review shows that cationic liposomes have extensive applications either as adjuvants or delivery systems, to promote immune responses against Mycobacterium tuberculosis (Mtb) subunit vaccines. To overcome several limitations of these particles, they were used in combination with other immunostimulatory factors such as TDB, MPL, TDM, and Poly I:C. Cationic liposomes can provide long-term storage of subunit TB vaccines at the injection site, confer strong electrostatic interactions with APCs, potentiate both humoral and cellular (CD4 and CD8) immune responses, and induce a strong memory response by the immune system. Therefore, cationic liposomes can increase the potential of different TB subunit vaccines by serving as adjuvants/delivery systems. These properties suggest the use of cationic liposomes to produce an efficient vaccine against TB infections.","author":[{"dropping-particle":"","family":"Khademi","given":"Farzad","non-dropping-particle":"","parse-names":false,"suffix":""},{"dropping-particle":"","family":"Taheri","given":"Ramezan Ali","non-dropping-particle":"","parse-names":false,"suffix":""},{"dropping-particle":"","family":"Momtazi-Borojeni","given":"Amir Abbas","non-dropping-particle":"","parse-names":false,"suffix":""},{"dropping-particle":"","family":"Farnoosh","given":"Gholamreza","non-dropping-particle":"","parse-names":false,"suffix":""},{"dropping-particle":"","family":"Johnston","given":"Thomas P","non-dropping-particle":"","parse-names":false,"suffix":""},{"dropping-particle":"","family":"Sahebkar","given":"Amirhossein","non-dropping-particle":"","parse-names":false,"suffix":""}],"container-title":"Reviews of physiology, biochemistry and pharmacology","id":"ITEM-6","issue":"July","issued":{"date-parts":[["2018","4","27"]]},"page":"47-69","title":"Potential of Cationic Liposomes as Adjuvants/Delivery Systems for Tuberculosis Subunit Vaccines.","type":"article-journal","volume":"175"},"uris":["http://www.mendeley.com/documents/?uuid=7c0b4ffa-f721-43ce-ab9d-c04316db3837"]}],"mendeley":{"formattedCitation":"[68–73]","plainTextFormattedCitation":"[68–73]","previouslyFormattedCitation":"[71–76]"},"properties":{"noteIndex":0},"schema":"https://github.com/citation-style-language/schema/raw/master/csl-citation.json"}</w:instrText>
      </w:r>
      <w:r w:rsidRPr="00480AF7">
        <w:rPr>
          <w:rFonts w:ascii="Palatino Linotype" w:eastAsia="Times New Roman" w:hAnsi="Palatino Linotype" w:cs="Times New Roman"/>
          <w:snapToGrid w:val="0"/>
          <w:color w:val="000000"/>
          <w:sz w:val="20"/>
          <w:lang w:val="en-US" w:eastAsia="de-DE" w:bidi="en-US"/>
        </w:rPr>
        <w:fldChar w:fldCharType="separate"/>
      </w:r>
      <w:r w:rsidRPr="00480AF7">
        <w:rPr>
          <w:rFonts w:ascii="Palatino Linotype" w:eastAsia="Times New Roman" w:hAnsi="Palatino Linotype" w:cs="Times New Roman"/>
          <w:noProof/>
          <w:snapToGrid w:val="0"/>
          <w:color w:val="000000"/>
          <w:sz w:val="20"/>
          <w:lang w:val="en-US" w:eastAsia="de-DE" w:bidi="en-US"/>
        </w:rPr>
        <w:t>[68–73]</w:t>
      </w:r>
      <w:r w:rsidRPr="00480AF7">
        <w:rPr>
          <w:rFonts w:ascii="Palatino Linotype" w:eastAsia="Times New Roman" w:hAnsi="Palatino Linotype" w:cs="Times New Roman"/>
          <w:snapToGrid w:val="0"/>
          <w:color w:val="000000"/>
          <w:sz w:val="20"/>
          <w:lang w:val="en-US" w:eastAsia="de-DE" w:bidi="en-US"/>
        </w:rPr>
        <w:fldChar w:fldCharType="end"/>
      </w:r>
      <w:r w:rsidRPr="00480AF7">
        <w:rPr>
          <w:rFonts w:ascii="Palatino Linotype" w:eastAsia="Times New Roman" w:hAnsi="Palatino Linotype" w:cs="Times New Roman"/>
          <w:snapToGrid w:val="0"/>
          <w:color w:val="000000"/>
          <w:sz w:val="20"/>
          <w:lang w:val="en-US" w:eastAsia="de-DE" w:bidi="en-US"/>
        </w:rPr>
        <w:t>.</w:t>
      </w:r>
    </w:p>
    <w:bookmarkEnd w:id="1"/>
    <w:bookmarkEnd w:id="2"/>
    <w:p w:rsidR="00480AF7" w:rsidRPr="00480AF7" w:rsidRDefault="00480AF7" w:rsidP="00480AF7">
      <w:pPr>
        <w:adjustRightInd w:val="0"/>
        <w:snapToGrid w:val="0"/>
        <w:spacing w:before="240" w:after="60" w:line="228" w:lineRule="auto"/>
        <w:outlineLvl w:val="0"/>
        <w:rPr>
          <w:rFonts w:ascii="Palatino Linotype" w:eastAsia="Times New Roman" w:hAnsi="Palatino Linotype" w:cs="Times New Roman"/>
          <w:b/>
          <w:snapToGrid w:val="0"/>
          <w:color w:val="000000"/>
          <w:sz w:val="20"/>
          <w:lang w:val="en-US" w:eastAsia="de-DE" w:bidi="en-US"/>
        </w:rPr>
      </w:pPr>
      <w:r w:rsidRPr="00480AF7">
        <w:rPr>
          <w:rFonts w:ascii="Palatino Linotype" w:eastAsia="Times New Roman" w:hAnsi="Palatino Linotype" w:cs="Times New Roman"/>
          <w:b/>
          <w:snapToGrid w:val="0"/>
          <w:color w:val="000000"/>
          <w:sz w:val="20"/>
          <w:lang w:val="en-US" w:eastAsia="de-DE" w:bidi="en-US"/>
        </w:rPr>
        <w:lastRenderedPageBreak/>
        <w:t>2. Results</w:t>
      </w:r>
    </w:p>
    <w:p w:rsidR="00480AF7" w:rsidRPr="00480AF7" w:rsidRDefault="00480AF7" w:rsidP="00480AF7">
      <w:pPr>
        <w:adjustRightInd w:val="0"/>
        <w:snapToGrid w:val="0"/>
        <w:spacing w:before="60" w:after="60" w:line="228" w:lineRule="auto"/>
        <w:outlineLvl w:val="1"/>
        <w:rPr>
          <w:rFonts w:ascii="Palatino Linotype" w:eastAsia="Times New Roman" w:hAnsi="Palatino Linotype" w:cs="Times New Roman"/>
          <w:i/>
          <w:noProof/>
          <w:snapToGrid w:val="0"/>
          <w:color w:val="000000"/>
          <w:sz w:val="20"/>
          <w:lang w:val="en-US" w:eastAsia="de-DE" w:bidi="en-US"/>
        </w:rPr>
      </w:pPr>
      <w:r w:rsidRPr="00480AF7">
        <w:rPr>
          <w:rFonts w:ascii="Palatino Linotype" w:eastAsia="Times New Roman" w:hAnsi="Palatino Linotype" w:cs="Times New Roman"/>
          <w:i/>
          <w:noProof/>
          <w:snapToGrid w:val="0"/>
          <w:color w:val="000000"/>
          <w:sz w:val="20"/>
          <w:lang w:val="en-US" w:eastAsia="de-DE" w:bidi="en-US"/>
        </w:rPr>
        <w:t>2.1. Production of Liposomes Containing Mycobacterium Total Lipids</w:t>
      </w:r>
    </w:p>
    <w:p w:rsidR="00480AF7" w:rsidRPr="00480AF7" w:rsidRDefault="00480AF7" w:rsidP="00480AF7">
      <w:pPr>
        <w:adjustRightInd w:val="0"/>
        <w:snapToGrid w:val="0"/>
        <w:spacing w:after="0" w:line="228" w:lineRule="auto"/>
        <w:ind w:firstLine="425"/>
        <w:jc w:val="both"/>
        <w:rPr>
          <w:rFonts w:ascii="Palatino Linotype" w:eastAsia="Times New Roman" w:hAnsi="Palatino Linotype" w:cs="Times New Roman"/>
          <w:snapToGrid w:val="0"/>
          <w:color w:val="000000"/>
          <w:sz w:val="20"/>
          <w:lang w:val="en-US" w:eastAsia="de-DE" w:bidi="en-US"/>
        </w:rPr>
      </w:pPr>
      <w:r w:rsidRPr="00480AF7">
        <w:rPr>
          <w:rFonts w:ascii="Palatino Linotype" w:eastAsia="Times New Roman" w:hAnsi="Palatino Linotype" w:cs="Times New Roman"/>
          <w:snapToGrid w:val="0"/>
          <w:color w:val="000000"/>
          <w:sz w:val="20"/>
          <w:lang w:val="en-US" w:eastAsia="de-DE" w:bidi="en-US"/>
        </w:rPr>
        <w:t xml:space="preserve">The initial aim was to identify whether we could incorporate lipid extract antigens from variant </w:t>
      </w:r>
      <w:r w:rsidRPr="00480AF7">
        <w:rPr>
          <w:rFonts w:ascii="Palatino Linotype" w:eastAsia="Times New Roman" w:hAnsi="Palatino Linotype" w:cs="Times New Roman"/>
          <w:i/>
          <w:iCs/>
          <w:snapToGrid w:val="0"/>
          <w:color w:val="000000"/>
          <w:sz w:val="20"/>
          <w:lang w:val="en-US" w:eastAsia="de-DE" w:bidi="en-US"/>
        </w:rPr>
        <w:t>Mycobacterium</w:t>
      </w:r>
      <w:r w:rsidRPr="00480AF7">
        <w:rPr>
          <w:rFonts w:ascii="Palatino Linotype" w:eastAsia="Times New Roman" w:hAnsi="Palatino Linotype" w:cs="Times New Roman"/>
          <w:snapToGrid w:val="0"/>
          <w:color w:val="000000"/>
          <w:sz w:val="20"/>
          <w:lang w:val="en-US" w:eastAsia="de-DE" w:bidi="en-US"/>
        </w:rPr>
        <w:t xml:space="preserve"> strains into liposomes. </w:t>
      </w:r>
      <w:proofErr w:type="spellStart"/>
      <w:r w:rsidRPr="00480AF7">
        <w:rPr>
          <w:rFonts w:ascii="Palatino Linotype" w:eastAsia="Times New Roman" w:hAnsi="Palatino Linotype" w:cs="Times New Roman"/>
          <w:snapToGrid w:val="0"/>
          <w:color w:val="000000"/>
          <w:sz w:val="20"/>
          <w:lang w:val="en-US" w:eastAsia="de-DE" w:bidi="en-US"/>
        </w:rPr>
        <w:t>Unilamellar</w:t>
      </w:r>
      <w:proofErr w:type="spellEnd"/>
      <w:r w:rsidRPr="00480AF7">
        <w:rPr>
          <w:rFonts w:ascii="Palatino Linotype" w:eastAsia="Times New Roman" w:hAnsi="Palatino Linotype" w:cs="Times New Roman"/>
          <w:snapToGrid w:val="0"/>
          <w:color w:val="000000"/>
          <w:sz w:val="20"/>
          <w:lang w:val="en-US" w:eastAsia="de-DE" w:bidi="en-US"/>
        </w:rPr>
        <w:t xml:space="preserve"> liposomes were generated with total lipid extracts from differing strains as described. We </w:t>
      </w:r>
      <w:proofErr w:type="spellStart"/>
      <w:r w:rsidRPr="00480AF7">
        <w:rPr>
          <w:rFonts w:ascii="Palatino Linotype" w:eastAsia="Times New Roman" w:hAnsi="Palatino Linotype" w:cs="Times New Roman"/>
          <w:snapToGrid w:val="0"/>
          <w:color w:val="000000"/>
          <w:sz w:val="20"/>
          <w:lang w:val="en-US" w:eastAsia="de-DE" w:bidi="en-US"/>
        </w:rPr>
        <w:t>characterised</w:t>
      </w:r>
      <w:proofErr w:type="spellEnd"/>
      <w:r w:rsidRPr="00480AF7">
        <w:rPr>
          <w:rFonts w:ascii="Palatino Linotype" w:eastAsia="Times New Roman" w:hAnsi="Palatino Linotype" w:cs="Times New Roman"/>
          <w:snapToGrid w:val="0"/>
          <w:color w:val="000000"/>
          <w:sz w:val="20"/>
          <w:lang w:val="en-US" w:eastAsia="de-DE" w:bidi="en-US"/>
        </w:rPr>
        <w:t xml:space="preserve"> 0.8PC:0.2Ch, </w:t>
      </w:r>
      <w:r w:rsidRPr="00480AF7">
        <w:rPr>
          <w:rFonts w:ascii="Palatino Linotype" w:eastAsia="Times New Roman" w:hAnsi="Palatino Linotype" w:cs="Times New Roman"/>
          <w:i/>
          <w:iCs/>
          <w:snapToGrid w:val="0"/>
          <w:color w:val="000000"/>
          <w:sz w:val="20"/>
          <w:lang w:val="en-US" w:eastAsia="de-DE" w:bidi="en-US"/>
        </w:rPr>
        <w:t xml:space="preserve">M. </w:t>
      </w:r>
      <w:proofErr w:type="spellStart"/>
      <w:r w:rsidRPr="00480AF7">
        <w:rPr>
          <w:rFonts w:ascii="Palatino Linotype" w:eastAsia="Times New Roman" w:hAnsi="Palatino Linotype" w:cs="Times New Roman"/>
          <w:i/>
          <w:iCs/>
          <w:snapToGrid w:val="0"/>
          <w:color w:val="000000"/>
          <w:sz w:val="20"/>
          <w:lang w:val="en-US" w:eastAsia="de-DE" w:bidi="en-US"/>
        </w:rPr>
        <w:t>bovis</w:t>
      </w:r>
      <w:proofErr w:type="spellEnd"/>
      <w:r w:rsidRPr="00480AF7">
        <w:rPr>
          <w:rFonts w:ascii="Palatino Linotype" w:eastAsia="Times New Roman" w:hAnsi="Palatino Linotype" w:cs="Times New Roman"/>
          <w:snapToGrid w:val="0"/>
          <w:color w:val="000000"/>
          <w:sz w:val="20"/>
          <w:lang w:val="en-US" w:eastAsia="de-DE" w:bidi="en-US"/>
        </w:rPr>
        <w:t xml:space="preserve"> and </w:t>
      </w:r>
      <w:proofErr w:type="spellStart"/>
      <w:r w:rsidRPr="00480AF7">
        <w:rPr>
          <w:rFonts w:ascii="Palatino Linotype" w:eastAsia="Times New Roman" w:hAnsi="Palatino Linotype" w:cs="Times New Roman"/>
          <w:i/>
          <w:iCs/>
          <w:snapToGrid w:val="0"/>
          <w:color w:val="000000"/>
          <w:sz w:val="20"/>
          <w:lang w:val="en-US" w:eastAsia="de-DE" w:bidi="en-US"/>
        </w:rPr>
        <w:t>Mtb</w:t>
      </w:r>
      <w:proofErr w:type="spellEnd"/>
      <w:r w:rsidRPr="00480AF7">
        <w:rPr>
          <w:rFonts w:ascii="Palatino Linotype" w:eastAsia="Times New Roman" w:hAnsi="Palatino Linotype" w:cs="Times New Roman"/>
          <w:snapToGrid w:val="0"/>
          <w:color w:val="000000"/>
          <w:sz w:val="20"/>
          <w:lang w:val="en-US" w:eastAsia="de-DE" w:bidi="en-US"/>
        </w:rPr>
        <w:t xml:space="preserve"> H37Rv liposomes generated by </w:t>
      </w:r>
      <w:proofErr w:type="spellStart"/>
      <w:r w:rsidRPr="00480AF7">
        <w:rPr>
          <w:rFonts w:ascii="Palatino Linotype" w:eastAsia="Times New Roman" w:hAnsi="Palatino Linotype" w:cs="Times New Roman"/>
          <w:snapToGrid w:val="0"/>
          <w:color w:val="000000"/>
          <w:sz w:val="20"/>
          <w:lang w:val="en-US" w:eastAsia="de-DE" w:bidi="en-US"/>
        </w:rPr>
        <w:t>NanoSight</w:t>
      </w:r>
      <w:proofErr w:type="spellEnd"/>
      <w:r w:rsidRPr="00480AF7">
        <w:rPr>
          <w:rFonts w:ascii="Palatino Linotype" w:eastAsia="Times New Roman" w:hAnsi="Palatino Linotype" w:cs="Times New Roman"/>
          <w:snapToGrid w:val="0"/>
          <w:color w:val="000000"/>
          <w:sz w:val="20"/>
          <w:lang w:val="en-US" w:eastAsia="de-DE" w:bidi="en-US"/>
        </w:rPr>
        <w:t xml:space="preserve"> technology (Figure 1) and Thin-layer chromatography TLC (Figure 2).</w:t>
      </w:r>
    </w:p>
    <w:p w:rsidR="00480AF7" w:rsidRPr="008269FD" w:rsidRDefault="00480AF7" w:rsidP="00480AF7">
      <w:pPr>
        <w:pStyle w:val="MDPI31text"/>
        <w:ind w:left="0"/>
      </w:pPr>
      <w:proofErr w:type="spellStart"/>
      <w:r w:rsidRPr="008269FD">
        <w:t>Visualisation</w:t>
      </w:r>
      <w:proofErr w:type="spellEnd"/>
      <w:r w:rsidRPr="008269FD">
        <w:t xml:space="preserve"> of liposome particles using </w:t>
      </w:r>
      <w:proofErr w:type="spellStart"/>
      <w:r w:rsidRPr="008269FD">
        <w:t>NanoSight</w:t>
      </w:r>
      <w:proofErr w:type="spellEnd"/>
      <w:r w:rsidRPr="008269FD">
        <w:t xml:space="preserve"> NS300 optics and software was used to define their size and distribution (Figure 1). Calibrated liposomes were generated with an additional step of extrusion following sonication, producing: 0.8PC:0.2Ch liposomes at 100</w:t>
      </w:r>
      <w:r>
        <w:t xml:space="preserve"> </w:t>
      </w:r>
      <w:r w:rsidRPr="008269FD">
        <w:t>nm (Figure 1A) and 200</w:t>
      </w:r>
      <w:r>
        <w:t xml:space="preserve"> </w:t>
      </w:r>
      <w:r w:rsidRPr="008269FD">
        <w:t xml:space="preserve">nm (Figure 1B), respectively. In parallel, 0.8PC:0.2Ch liposomes were produced with a step of sonication only with no calibration (Figure 1C). Two separate batches of </w:t>
      </w:r>
      <w:r w:rsidRPr="008269FD">
        <w:rPr>
          <w:i/>
          <w:iCs/>
        </w:rPr>
        <w:t xml:space="preserve">M. </w:t>
      </w:r>
      <w:proofErr w:type="spellStart"/>
      <w:r w:rsidRPr="008269FD">
        <w:rPr>
          <w:i/>
          <w:iCs/>
        </w:rPr>
        <w:t>bovis</w:t>
      </w:r>
      <w:proofErr w:type="spellEnd"/>
      <w:r w:rsidRPr="008269FD">
        <w:t xml:space="preserve"> liposomes were generated (Figure 1D</w:t>
      </w:r>
      <w:r>
        <w:t>,</w:t>
      </w:r>
      <w:r w:rsidRPr="008269FD">
        <w:t>E) and each measured on average 221.3 and 229</w:t>
      </w:r>
      <w:r>
        <w:t xml:space="preserve"> </w:t>
      </w:r>
      <w:r w:rsidRPr="008269FD">
        <w:t>nm, respectively, while the mean size of H37Rv liposomes (Figure 1F) was 201.7</w:t>
      </w:r>
      <w:r>
        <w:t xml:space="preserve"> </w:t>
      </w:r>
      <w:r w:rsidRPr="008269FD">
        <w:t xml:space="preserve">nm. The similar sizes and distribution of the two independent preparations of </w:t>
      </w:r>
      <w:r w:rsidRPr="008269FD">
        <w:rPr>
          <w:i/>
          <w:iCs/>
        </w:rPr>
        <w:t xml:space="preserve">M. </w:t>
      </w:r>
      <w:proofErr w:type="spellStart"/>
      <w:r w:rsidRPr="008269FD">
        <w:rPr>
          <w:i/>
          <w:iCs/>
        </w:rPr>
        <w:t>bovis</w:t>
      </w:r>
      <w:proofErr w:type="spellEnd"/>
      <w:r w:rsidRPr="008269FD">
        <w:t xml:space="preserve"> liposomes demonstrates the reproducibility of the liposome generation technique. Due to a single sonication step, the population of </w:t>
      </w:r>
      <w:r w:rsidRPr="008269FD">
        <w:rPr>
          <w:i/>
          <w:iCs/>
        </w:rPr>
        <w:t xml:space="preserve">M. </w:t>
      </w:r>
      <w:proofErr w:type="spellStart"/>
      <w:r w:rsidRPr="008269FD">
        <w:rPr>
          <w:i/>
          <w:iCs/>
        </w:rPr>
        <w:t>bovis</w:t>
      </w:r>
      <w:proofErr w:type="spellEnd"/>
      <w:r w:rsidRPr="008269FD">
        <w:t xml:space="preserve"> and H37Rv liposomes generated is heterogenous compared to calibrated liposomes at 100</w:t>
      </w:r>
      <w:r>
        <w:t xml:space="preserve"> </w:t>
      </w:r>
      <w:r w:rsidRPr="008269FD">
        <w:t>nm and 200</w:t>
      </w:r>
      <w:r>
        <w:t xml:space="preserve"> </w:t>
      </w:r>
      <w:r w:rsidRPr="008269FD">
        <w:t xml:space="preserve">nm. Additionally, </w:t>
      </w:r>
      <w:r w:rsidRPr="008269FD">
        <w:rPr>
          <w:i/>
          <w:iCs/>
        </w:rPr>
        <w:t>Mycobacterium</w:t>
      </w:r>
      <w:r w:rsidRPr="008269FD">
        <w:t xml:space="preserve"> liposomes appear larger than the calibrated liposomes [0.8PC:0.2Ch 100</w:t>
      </w:r>
      <w:r>
        <w:t xml:space="preserve"> </w:t>
      </w:r>
      <w:r w:rsidRPr="008269FD">
        <w:t>nm (140.8</w:t>
      </w:r>
      <w:r>
        <w:t xml:space="preserve"> </w:t>
      </w:r>
      <w:r w:rsidRPr="008269FD">
        <w:t>nm), 0.8PC:0.2Ch 200</w:t>
      </w:r>
      <w:r>
        <w:t xml:space="preserve"> </w:t>
      </w:r>
      <w:r w:rsidRPr="008269FD">
        <w:t>nm (182.9</w:t>
      </w:r>
      <w:r>
        <w:t xml:space="preserve"> </w:t>
      </w:r>
      <w:r w:rsidRPr="008269FD">
        <w:t>nm)] and 0.8PC:0.2Ch liposomes generated with a single sonication step (171.4</w:t>
      </w:r>
      <w:r>
        <w:t xml:space="preserve"> </w:t>
      </w:r>
      <w:r w:rsidRPr="008269FD">
        <w:t>nm, Figure 1C). This size variation is likely explained by the incorporation of the</w:t>
      </w:r>
      <w:r w:rsidRPr="008269FD">
        <w:rPr>
          <w:i/>
          <w:iCs/>
        </w:rPr>
        <w:t xml:space="preserve"> Mycobacterium</w:t>
      </w:r>
      <w:r w:rsidRPr="008269FD">
        <w:t xml:space="preserve"> lipids onto </w:t>
      </w:r>
      <w:r w:rsidRPr="008269FD">
        <w:rPr>
          <w:i/>
          <w:iCs/>
        </w:rPr>
        <w:t xml:space="preserve">M. </w:t>
      </w:r>
      <w:proofErr w:type="spellStart"/>
      <w:r w:rsidRPr="008269FD">
        <w:rPr>
          <w:i/>
          <w:iCs/>
        </w:rPr>
        <w:t>bovis</w:t>
      </w:r>
      <w:proofErr w:type="spellEnd"/>
      <w:r w:rsidRPr="008269FD">
        <w:t xml:space="preserve"> and H37Rv liposomes. When comparing particle concentrations, we observed similar order values between liposome preparations included between 0.6</w:t>
      </w:r>
      <w:r>
        <w:t xml:space="preserve"> − </w:t>
      </w:r>
      <w:r w:rsidRPr="008269FD">
        <w:t>2</w:t>
      </w:r>
      <w:r>
        <w:t xml:space="preserve"> × </w:t>
      </w:r>
      <w:r w:rsidRPr="008269FD">
        <w:t>10</w:t>
      </w:r>
      <w:r w:rsidRPr="008269FD">
        <w:rPr>
          <w:vertAlign w:val="superscript"/>
        </w:rPr>
        <w:t>12</w:t>
      </w:r>
      <w:r w:rsidRPr="008269FD">
        <w:t xml:space="preserve"> particles per ml. </w:t>
      </w:r>
      <w:bookmarkStart w:id="3" w:name="_Hlk62557745"/>
      <w:bookmarkStart w:id="4" w:name="_Hlk62922126"/>
      <w:r w:rsidRPr="008269FD">
        <w:t xml:space="preserve">A TLC analysis of lipids extracted from the liposomes revealed two sets of lipid species. The first set was found in all preparations including the ‘empty’ liposomes and were thus liposome derived (PC and Ch, shown). The other set of lipid species (shown by arrows) were of relatively lower proportions and were only found in liposomes that were reconstituted with mycobacterial lipids and thus were of mycobacterial origin (Figure 2). However, between </w:t>
      </w:r>
      <w:r w:rsidRPr="008269FD">
        <w:rPr>
          <w:i/>
          <w:iCs/>
        </w:rPr>
        <w:t xml:space="preserve">M. </w:t>
      </w:r>
      <w:proofErr w:type="spellStart"/>
      <w:r w:rsidRPr="008269FD">
        <w:rPr>
          <w:i/>
          <w:iCs/>
        </w:rPr>
        <w:t>bovis</w:t>
      </w:r>
      <w:proofErr w:type="spellEnd"/>
      <w:r w:rsidRPr="008269FD">
        <w:t xml:space="preserve"> and H37Rv we observed variation in the intensity of the lipid bands, suggesting differences in lipid proportions contained in the liposomes. The analysis, therefore, demonstrates the integration of specific </w:t>
      </w:r>
      <w:r w:rsidRPr="008269FD">
        <w:rPr>
          <w:i/>
          <w:iCs/>
        </w:rPr>
        <w:t>Mycobacterium</w:t>
      </w:r>
      <w:r w:rsidRPr="008269FD">
        <w:t xml:space="preserve"> lipids into liposomes.</w:t>
      </w:r>
    </w:p>
    <w:bookmarkEnd w:id="3"/>
    <w:bookmarkEnd w:id="4"/>
    <w:p w:rsidR="00480AF7" w:rsidRPr="008269FD" w:rsidRDefault="00480AF7" w:rsidP="00480AF7">
      <w:pPr>
        <w:pStyle w:val="MDPI22heading2"/>
        <w:spacing w:before="240"/>
        <w:ind w:left="0"/>
      </w:pPr>
      <w:r w:rsidRPr="008269FD">
        <w:t>2.2. Mycobacterium Lipids Do Not Affect HIV-1 Cis-Infection</w:t>
      </w:r>
    </w:p>
    <w:p w:rsidR="00480AF7" w:rsidRPr="008269FD" w:rsidRDefault="00480AF7" w:rsidP="00480AF7">
      <w:pPr>
        <w:pStyle w:val="MDPI31text"/>
        <w:ind w:left="0"/>
      </w:pPr>
      <w:r w:rsidRPr="008269FD">
        <w:t xml:space="preserve">In order to measure the direct impact of </w:t>
      </w:r>
      <w:proofErr w:type="spellStart"/>
      <w:r w:rsidRPr="008269FD">
        <w:rPr>
          <w:i/>
          <w:iCs/>
        </w:rPr>
        <w:t>Mtb</w:t>
      </w:r>
      <w:proofErr w:type="spellEnd"/>
      <w:r w:rsidRPr="008269FD">
        <w:rPr>
          <w:i/>
          <w:iCs/>
        </w:rPr>
        <w:t xml:space="preserve"> </w:t>
      </w:r>
      <w:r w:rsidRPr="008269FD">
        <w:t xml:space="preserve">liposomes on HIV-1 </w:t>
      </w:r>
      <w:r w:rsidRPr="008269FD">
        <w:rPr>
          <w:i/>
          <w:iCs/>
        </w:rPr>
        <w:t>cis</w:t>
      </w:r>
      <w:r w:rsidRPr="008269FD">
        <w:t xml:space="preserve">-infection (direct infection), a non-productive HIV-1 pseudo-typed viral particle system (single round of infection) was used </w:t>
      </w:r>
      <w:r w:rsidRPr="00E35DED">
        <w:t>in vitro</w:t>
      </w:r>
      <w:r w:rsidRPr="008269FD">
        <w:t xml:space="preserve">. This system facilitates investigation into interaction or interference of HIV-1 entry and infection </w:t>
      </w:r>
      <w:r w:rsidRPr="008269FD">
        <w:rPr>
          <w:iCs/>
        </w:rPr>
        <w:t>via</w:t>
      </w:r>
      <w:r w:rsidRPr="008269FD">
        <w:t xml:space="preserve"> the co-receptors CCR5 and CXCR4 in the presence of </w:t>
      </w:r>
      <w:r w:rsidRPr="008269FD">
        <w:rPr>
          <w:i/>
          <w:iCs/>
        </w:rPr>
        <w:t>Mycobacterium</w:t>
      </w:r>
      <w:r w:rsidRPr="008269FD">
        <w:t xml:space="preserve"> derived liposomes. To this end, two types of HIV-1 pseudo-typed viruses were produced, expressing either HIV-1 LAI envelope (HIV-1 X4, </w:t>
      </w:r>
      <w:proofErr w:type="spellStart"/>
      <w:r w:rsidRPr="008269FD">
        <w:t>utilisng</w:t>
      </w:r>
      <w:proofErr w:type="spellEnd"/>
      <w:r w:rsidRPr="008269FD">
        <w:t xml:space="preserve"> CXCR4) or HIV-1 BAL envelope (HIV-1 R5, </w:t>
      </w:r>
      <w:proofErr w:type="spellStart"/>
      <w:r w:rsidRPr="008269FD">
        <w:t>utilising</w:t>
      </w:r>
      <w:proofErr w:type="spellEnd"/>
      <w:r w:rsidRPr="008269FD">
        <w:t xml:space="preserve"> CCR5).</w:t>
      </w:r>
    </w:p>
    <w:p w:rsidR="00480AF7" w:rsidRPr="008269FD" w:rsidRDefault="00480AF7" w:rsidP="00480AF7">
      <w:pPr>
        <w:pStyle w:val="MDPI31text"/>
        <w:ind w:left="0"/>
      </w:pPr>
      <w:r w:rsidRPr="008269FD">
        <w:t>The impact of 0.8PC:0.2Ch liposomes (containing PC and cholesterol only) on the viability of the target cells used in this</w:t>
      </w:r>
      <w:r w:rsidRPr="008269FD">
        <w:rPr>
          <w:iCs/>
        </w:rPr>
        <w:t xml:space="preserve"> in vitro</w:t>
      </w:r>
      <w:r w:rsidRPr="008269FD">
        <w:t xml:space="preserve"> system (TZM-bl) were tested (Figure </w:t>
      </w:r>
      <w:r>
        <w:t>S</w:t>
      </w:r>
      <w:r w:rsidRPr="008269FD">
        <w:t>1). Control liposomes composed of a mix of PC and Ch did not affect TZM-bl viability after 48</w:t>
      </w:r>
      <w:r>
        <w:t xml:space="preserve"> </w:t>
      </w:r>
      <w:r w:rsidRPr="008269FD">
        <w:t xml:space="preserve">h of incubation. Additionally, we observed that 0.8PC:0.2Ch liposomes did not interfere with HIV-1 </w:t>
      </w:r>
      <w:r w:rsidRPr="008269FD">
        <w:rPr>
          <w:i/>
          <w:iCs/>
        </w:rPr>
        <w:t>cis</w:t>
      </w:r>
      <w:r w:rsidRPr="008269FD">
        <w:t xml:space="preserve">-infection compared to other liposomes compositions (Figure </w:t>
      </w:r>
      <w:r>
        <w:t>S</w:t>
      </w:r>
      <w:r w:rsidRPr="008269FD">
        <w:t>2). For these reasons, liposome produced in the ratio 0.6PC:0.2Ch:0.2</w:t>
      </w:r>
      <w:r w:rsidRPr="008269FD">
        <w:rPr>
          <w:i/>
          <w:iCs/>
        </w:rPr>
        <w:t>Mycobacterium</w:t>
      </w:r>
      <w:r w:rsidRPr="008269FD">
        <w:t xml:space="preserve"> were chosen to build liposomes incorporating </w:t>
      </w:r>
      <w:r w:rsidRPr="008269FD">
        <w:rPr>
          <w:i/>
          <w:iCs/>
        </w:rPr>
        <w:t>Mycobacterium</w:t>
      </w:r>
      <w:r w:rsidRPr="008269FD">
        <w:t xml:space="preserve"> total lipid extracts.</w:t>
      </w:r>
    </w:p>
    <w:p w:rsidR="00480AF7" w:rsidRPr="008269FD" w:rsidRDefault="00480AF7" w:rsidP="00480AF7">
      <w:pPr>
        <w:pStyle w:val="MDPI31text"/>
        <w:ind w:left="0"/>
      </w:pPr>
      <w:r w:rsidRPr="008269FD">
        <w:t xml:space="preserve">The influence of </w:t>
      </w:r>
      <w:r w:rsidRPr="008269FD">
        <w:rPr>
          <w:i/>
          <w:iCs/>
        </w:rPr>
        <w:t>Mycobacterium</w:t>
      </w:r>
      <w:r w:rsidRPr="008269FD">
        <w:t xml:space="preserve"> liposomes containing </w:t>
      </w:r>
      <w:r w:rsidRPr="008269FD">
        <w:rPr>
          <w:i/>
          <w:iCs/>
        </w:rPr>
        <w:t xml:space="preserve">M. </w:t>
      </w:r>
      <w:proofErr w:type="spellStart"/>
      <w:r w:rsidRPr="008269FD">
        <w:rPr>
          <w:i/>
          <w:iCs/>
        </w:rPr>
        <w:t>bovis</w:t>
      </w:r>
      <w:proofErr w:type="spellEnd"/>
      <w:r w:rsidRPr="008269FD">
        <w:t xml:space="preserve">, </w:t>
      </w:r>
      <w:r w:rsidRPr="008269FD">
        <w:rPr>
          <w:i/>
          <w:iCs/>
        </w:rPr>
        <w:t>M. smegmatis</w:t>
      </w:r>
      <w:r w:rsidRPr="008269FD">
        <w:t xml:space="preserve">, </w:t>
      </w:r>
      <w:proofErr w:type="spellStart"/>
      <w:r w:rsidRPr="008269FD">
        <w:rPr>
          <w:i/>
          <w:iCs/>
        </w:rPr>
        <w:t>Mtb</w:t>
      </w:r>
      <w:proofErr w:type="spellEnd"/>
      <w:r w:rsidRPr="008269FD">
        <w:t xml:space="preserve"> H37Rv, HN878, CDC1551 and EU127 glycolipids was then assessed for modulating </w:t>
      </w:r>
      <w:r w:rsidRPr="008269FD">
        <w:rPr>
          <w:i/>
          <w:iCs/>
        </w:rPr>
        <w:t>cis</w:t>
      </w:r>
      <w:r w:rsidRPr="008269FD">
        <w:t>-infection of TZM-bl cells using HIV-1 X4 and HIV-1 R5 viruses (Figure 3). Two conditions were tested, where liposomes were added to cells at the same time as virus and where liposomes were incubated with cells 30</w:t>
      </w:r>
      <w:r>
        <w:t xml:space="preserve"> </w:t>
      </w:r>
      <w:r w:rsidRPr="008269FD">
        <w:t>m</w:t>
      </w:r>
      <w:r>
        <w:t>in</w:t>
      </w:r>
      <w:r w:rsidRPr="008269FD">
        <w:t xml:space="preserve"> prior to infection. In order to compare results from separate experiments, the raw relative light units (RLU) produced on every plate were </w:t>
      </w:r>
      <w:proofErr w:type="spellStart"/>
      <w:r w:rsidRPr="008269FD">
        <w:t>normalised</w:t>
      </w:r>
      <w:proofErr w:type="spellEnd"/>
      <w:r w:rsidRPr="008269FD">
        <w:t xml:space="preserve"> to the average value of the negative control. For both viruses, in comparison with TZM-bl </w:t>
      </w:r>
      <w:r w:rsidRPr="008269FD">
        <w:rPr>
          <w:i/>
          <w:iCs/>
        </w:rPr>
        <w:t>cis</w:t>
      </w:r>
      <w:r w:rsidRPr="008269FD">
        <w:t xml:space="preserve">-infection in the presence of 0.2PC:0.8Ch liposomes, we did not observe any significant impact of </w:t>
      </w:r>
      <w:proofErr w:type="spellStart"/>
      <w:r w:rsidRPr="008269FD">
        <w:rPr>
          <w:i/>
          <w:iCs/>
        </w:rPr>
        <w:t>Mtb</w:t>
      </w:r>
      <w:proofErr w:type="spellEnd"/>
      <w:r w:rsidRPr="008269FD">
        <w:t xml:space="preserve"> liposomes under the two conditions, suggesting that the tested glycolipids did not have the capacity to interfere with HIV-1 cell attachment and cell entry </w:t>
      </w:r>
      <w:r w:rsidRPr="008269FD">
        <w:rPr>
          <w:iCs/>
        </w:rPr>
        <w:t>via</w:t>
      </w:r>
      <w:r w:rsidRPr="008269FD">
        <w:t xml:space="preserve"> co-</w:t>
      </w:r>
      <w:r w:rsidRPr="008269FD">
        <w:lastRenderedPageBreak/>
        <w:t>receptor recognition. Our results indicate that the derived liposomes described do not alter HIV-1 direct infection of TZM-bl cells.</w:t>
      </w:r>
    </w:p>
    <w:p w:rsidR="00480AF7" w:rsidRPr="008269FD" w:rsidRDefault="00480AF7" w:rsidP="00480AF7">
      <w:pPr>
        <w:pStyle w:val="MDPI22heading2"/>
        <w:spacing w:before="240"/>
        <w:ind w:left="0"/>
      </w:pPr>
      <w:r w:rsidRPr="008269FD">
        <w:t>2.3. M. bovis, Mtb H37Rv and EU127 Lipids Interfere with HIV-1</w:t>
      </w:r>
      <w:r w:rsidRPr="008269FD">
        <w:rPr>
          <w:iCs/>
        </w:rPr>
        <w:t xml:space="preserve"> Trans</w:t>
      </w:r>
      <w:r w:rsidRPr="008269FD">
        <w:t>-Infection Mediated by DC-SIGN</w:t>
      </w:r>
    </w:p>
    <w:p w:rsidR="00480AF7" w:rsidRPr="008269FD" w:rsidRDefault="00480AF7" w:rsidP="00480AF7">
      <w:pPr>
        <w:pStyle w:val="MDPI31text"/>
        <w:ind w:left="0"/>
      </w:pPr>
      <w:r w:rsidRPr="008269FD">
        <w:t xml:space="preserve">We next investigated the influence of </w:t>
      </w:r>
      <w:proofErr w:type="spellStart"/>
      <w:r w:rsidRPr="008269FD">
        <w:rPr>
          <w:i/>
          <w:iCs/>
        </w:rPr>
        <w:t>Mtb</w:t>
      </w:r>
      <w:proofErr w:type="spellEnd"/>
      <w:r w:rsidRPr="008269FD">
        <w:t xml:space="preserve"> lipids on HIV-1 </w:t>
      </w:r>
      <w:r w:rsidRPr="008269FD">
        <w:rPr>
          <w:i/>
          <w:iCs/>
        </w:rPr>
        <w:t>trans</w:t>
      </w:r>
      <w:r w:rsidRPr="008269FD">
        <w:t xml:space="preserve">-infection </w:t>
      </w:r>
      <w:r w:rsidRPr="008269FD">
        <w:rPr>
          <w:iCs/>
        </w:rPr>
        <w:t xml:space="preserve">via </w:t>
      </w:r>
      <w:r w:rsidRPr="008269FD">
        <w:t xml:space="preserve">binding the DC-SIGN receptor using the same </w:t>
      </w:r>
      <w:r w:rsidRPr="008269FD">
        <w:rPr>
          <w:iCs/>
        </w:rPr>
        <w:t>in vitro</w:t>
      </w:r>
      <w:r w:rsidRPr="008269FD">
        <w:t xml:space="preserve"> system of pseudo-typed virus particles that allows a single-round of infection. In this assay, Raji-DC-SIGN cell lines were used to support capture-transfer of HIV-1 R5 or X4 virions due to their expression of DC-SIGN receptor and inability to be infected by the virus through lack of CD4 receptor expression. </w:t>
      </w:r>
      <w:r w:rsidRPr="008269FD">
        <w:rPr>
          <w:i/>
          <w:iCs/>
        </w:rPr>
        <w:t>Mycobacterial</w:t>
      </w:r>
      <w:r w:rsidRPr="008269FD">
        <w:t xml:space="preserve"> liposomes were pre-incubated with Raji-DC-SIGN before HIV-1 X4 (Figure 4A) and HIV-1 R5 (Figure 4B) capture. The efficacy of capture-transfer of HIV-1 was </w:t>
      </w:r>
      <w:proofErr w:type="spellStart"/>
      <w:r w:rsidRPr="008269FD">
        <w:t>normalised</w:t>
      </w:r>
      <w:proofErr w:type="spellEnd"/>
      <w:r w:rsidRPr="008269FD">
        <w:t xml:space="preserve"> to the value of </w:t>
      </w:r>
      <w:r w:rsidRPr="008269FD">
        <w:rPr>
          <w:i/>
          <w:iCs/>
        </w:rPr>
        <w:t>trans</w:t>
      </w:r>
      <w:r w:rsidRPr="008269FD">
        <w:t xml:space="preserve">-infection in the presence of liposomes 0.8PC:0.2Ch (negative control). We observed a strong inhibition of the efficacy of HIV-1 X4 and R5 </w:t>
      </w:r>
      <w:r w:rsidRPr="008269FD">
        <w:rPr>
          <w:i/>
          <w:iCs/>
        </w:rPr>
        <w:t>trans</w:t>
      </w:r>
      <w:r w:rsidRPr="008269FD">
        <w:t xml:space="preserve">-infection mediated by DC-SIGN receptor in the presence of </w:t>
      </w:r>
      <w:r w:rsidRPr="008269FD">
        <w:rPr>
          <w:i/>
          <w:iCs/>
        </w:rPr>
        <w:t xml:space="preserve">M. </w:t>
      </w:r>
      <w:proofErr w:type="spellStart"/>
      <w:r w:rsidRPr="008269FD">
        <w:rPr>
          <w:i/>
          <w:iCs/>
        </w:rPr>
        <w:t>bovis</w:t>
      </w:r>
      <w:proofErr w:type="spellEnd"/>
      <w:r w:rsidRPr="008269FD">
        <w:t xml:space="preserve">, </w:t>
      </w:r>
      <w:proofErr w:type="spellStart"/>
      <w:r w:rsidRPr="008269FD">
        <w:rPr>
          <w:i/>
          <w:iCs/>
        </w:rPr>
        <w:t>Mtb</w:t>
      </w:r>
      <w:proofErr w:type="spellEnd"/>
      <w:r w:rsidRPr="008269FD">
        <w:t xml:space="preserve"> H37Rv and EU127 liposomes. Indeed, the non-pathogenic mycobacterial strain </w:t>
      </w:r>
      <w:r w:rsidRPr="008269FD">
        <w:rPr>
          <w:i/>
          <w:iCs/>
        </w:rPr>
        <w:t xml:space="preserve">M. </w:t>
      </w:r>
      <w:proofErr w:type="spellStart"/>
      <w:r w:rsidRPr="008269FD">
        <w:rPr>
          <w:i/>
          <w:iCs/>
        </w:rPr>
        <w:t>bovis</w:t>
      </w:r>
      <w:proofErr w:type="spellEnd"/>
      <w:r w:rsidRPr="008269FD">
        <w:t xml:space="preserve"> inhibited HIV-1 capture-transfer by 2.4-fold for HIV-1 X4 (</w:t>
      </w:r>
      <w:r w:rsidRPr="00D416A9">
        <w:rPr>
          <w:i/>
          <w:iCs/>
        </w:rPr>
        <w:t>p</w:t>
      </w:r>
      <w:r>
        <w:rPr>
          <w:i/>
          <w:iCs/>
        </w:rPr>
        <w:t>-</w:t>
      </w:r>
      <w:r w:rsidRPr="008269FD">
        <w:t>value</w:t>
      </w:r>
      <w:r>
        <w:t xml:space="preserve"> </w:t>
      </w:r>
      <w:r w:rsidRPr="008269FD">
        <w:t>&lt; 0.0001) and 1.9-fold for HIV-1 R5 (</w:t>
      </w:r>
      <w:r w:rsidRPr="00D416A9">
        <w:rPr>
          <w:i/>
          <w:iCs/>
        </w:rPr>
        <w:t>p</w:t>
      </w:r>
      <w:r>
        <w:rPr>
          <w:i/>
          <w:iCs/>
        </w:rPr>
        <w:t>-</w:t>
      </w:r>
      <w:r w:rsidRPr="008269FD">
        <w:t>value</w:t>
      </w:r>
      <w:r>
        <w:t xml:space="preserve"> </w:t>
      </w:r>
      <w:r w:rsidRPr="008269FD">
        <w:t xml:space="preserve">= 0.0050). The </w:t>
      </w:r>
      <w:proofErr w:type="spellStart"/>
      <w:r w:rsidRPr="008269FD">
        <w:rPr>
          <w:i/>
          <w:iCs/>
        </w:rPr>
        <w:t>Mtb</w:t>
      </w:r>
      <w:proofErr w:type="spellEnd"/>
      <w:r w:rsidRPr="008269FD">
        <w:t xml:space="preserve"> pathogenic strain, H37Rv, strongly blocked </w:t>
      </w:r>
      <w:r w:rsidRPr="008269FD">
        <w:rPr>
          <w:i/>
          <w:iCs/>
        </w:rPr>
        <w:t>trans</w:t>
      </w:r>
      <w:r w:rsidRPr="008269FD">
        <w:t>-infection of HIV-1 X4 and R5 virus by 5.2</w:t>
      </w:r>
      <w:r>
        <w:t>-</w:t>
      </w:r>
      <w:r w:rsidRPr="008269FD">
        <w:t xml:space="preserve"> and 3.4-fold respectively (</w:t>
      </w:r>
      <w:r w:rsidRPr="00D416A9">
        <w:rPr>
          <w:i/>
          <w:iCs/>
        </w:rPr>
        <w:t>p</w:t>
      </w:r>
      <w:r>
        <w:rPr>
          <w:i/>
          <w:iCs/>
        </w:rPr>
        <w:t>-</w:t>
      </w:r>
      <w:r w:rsidRPr="008269FD">
        <w:t>value</w:t>
      </w:r>
      <w:r>
        <w:t xml:space="preserve"> </w:t>
      </w:r>
      <w:r w:rsidRPr="008269FD">
        <w:t>&lt; 0.0001), and EU127 by</w:t>
      </w:r>
      <w:r>
        <w:t xml:space="preserve"> </w:t>
      </w:r>
      <w:r w:rsidRPr="008269FD">
        <w:t>1.4-fold for HIV-1 X4 (</w:t>
      </w:r>
      <w:r w:rsidRPr="00D416A9">
        <w:rPr>
          <w:i/>
          <w:iCs/>
        </w:rPr>
        <w:t>p</w:t>
      </w:r>
      <w:r>
        <w:rPr>
          <w:i/>
          <w:iCs/>
        </w:rPr>
        <w:t>-</w:t>
      </w:r>
      <w:r w:rsidRPr="008269FD">
        <w:t>value</w:t>
      </w:r>
      <w:r>
        <w:t xml:space="preserve"> </w:t>
      </w:r>
      <w:r w:rsidRPr="008269FD">
        <w:t>=</w:t>
      </w:r>
      <w:r>
        <w:t xml:space="preserve"> </w:t>
      </w:r>
      <w:r w:rsidRPr="008269FD">
        <w:t>0.0009) and 1.5-fold for HIV-1 R5 (</w:t>
      </w:r>
      <w:r w:rsidRPr="00D416A9">
        <w:rPr>
          <w:i/>
          <w:iCs/>
        </w:rPr>
        <w:t>p</w:t>
      </w:r>
      <w:r>
        <w:rPr>
          <w:i/>
          <w:iCs/>
        </w:rPr>
        <w:t>-</w:t>
      </w:r>
      <w:r w:rsidRPr="008269FD">
        <w:t>value</w:t>
      </w:r>
      <w:r>
        <w:t xml:space="preserve"> </w:t>
      </w:r>
      <w:r w:rsidRPr="008269FD">
        <w:t>&lt; 0.0001).</w:t>
      </w:r>
    </w:p>
    <w:p w:rsidR="00480AF7" w:rsidRPr="008269FD" w:rsidRDefault="00480AF7" w:rsidP="00480AF7">
      <w:pPr>
        <w:pStyle w:val="MDPI31text"/>
        <w:ind w:left="0"/>
      </w:pPr>
      <w:r w:rsidRPr="008269FD">
        <w:t xml:space="preserve">Conversely, only small and variable effects were observed for </w:t>
      </w:r>
      <w:r w:rsidRPr="008269FD">
        <w:rPr>
          <w:i/>
          <w:iCs/>
        </w:rPr>
        <w:t>M. smegmatis</w:t>
      </w:r>
      <w:r w:rsidRPr="008269FD">
        <w:t xml:space="preserve">, </w:t>
      </w:r>
      <w:proofErr w:type="spellStart"/>
      <w:r w:rsidRPr="008269FD">
        <w:rPr>
          <w:i/>
          <w:iCs/>
        </w:rPr>
        <w:t>Mtb</w:t>
      </w:r>
      <w:proofErr w:type="spellEnd"/>
      <w:r w:rsidRPr="008269FD">
        <w:t xml:space="preserve"> HN878 and CDC1551. </w:t>
      </w:r>
      <w:proofErr w:type="spellStart"/>
      <w:r w:rsidRPr="008269FD">
        <w:rPr>
          <w:i/>
          <w:iCs/>
        </w:rPr>
        <w:t>Mtb</w:t>
      </w:r>
      <w:proofErr w:type="spellEnd"/>
      <w:r w:rsidRPr="008269FD">
        <w:t xml:space="preserve"> HN878 increased </w:t>
      </w:r>
      <w:r w:rsidRPr="008269FD">
        <w:rPr>
          <w:i/>
          <w:iCs/>
        </w:rPr>
        <w:t>trans</w:t>
      </w:r>
      <w:r w:rsidRPr="008269FD">
        <w:t>-infection efficacy of HIV X4 by 1.2-fold (</w:t>
      </w:r>
      <w:r w:rsidRPr="00D416A9">
        <w:rPr>
          <w:i/>
          <w:iCs/>
        </w:rPr>
        <w:t>p</w:t>
      </w:r>
      <w:r>
        <w:rPr>
          <w:i/>
          <w:iCs/>
        </w:rPr>
        <w:t>-</w:t>
      </w:r>
      <w:r w:rsidRPr="008269FD">
        <w:t>value</w:t>
      </w:r>
      <w:r>
        <w:t xml:space="preserve"> </w:t>
      </w:r>
      <w:r w:rsidRPr="008269FD">
        <w:t xml:space="preserve">= 0.0052), whilst there was no effect on X4 </w:t>
      </w:r>
      <w:r w:rsidRPr="008269FD">
        <w:rPr>
          <w:i/>
          <w:iCs/>
        </w:rPr>
        <w:t>trans</w:t>
      </w:r>
      <w:r w:rsidRPr="008269FD">
        <w:t xml:space="preserve">-infection by </w:t>
      </w:r>
      <w:r w:rsidRPr="008269FD">
        <w:rPr>
          <w:i/>
          <w:iCs/>
        </w:rPr>
        <w:t>M. smegmatis</w:t>
      </w:r>
      <w:r w:rsidRPr="008269FD">
        <w:t xml:space="preserve"> or </w:t>
      </w:r>
      <w:proofErr w:type="spellStart"/>
      <w:r w:rsidRPr="008269FD">
        <w:rPr>
          <w:i/>
          <w:iCs/>
        </w:rPr>
        <w:t>Mtb</w:t>
      </w:r>
      <w:proofErr w:type="spellEnd"/>
      <w:r w:rsidRPr="008269FD">
        <w:t xml:space="preserve"> CDC1551 liposomes. Conversely, HIV-1 R5 </w:t>
      </w:r>
      <w:r w:rsidRPr="008269FD">
        <w:rPr>
          <w:i/>
          <w:iCs/>
        </w:rPr>
        <w:t>trans</w:t>
      </w:r>
      <w:r w:rsidRPr="008269FD">
        <w:t xml:space="preserve">-infection exhibited the opposite effect, whereby HN878 liposomes did not affect capture-transfer but </w:t>
      </w:r>
      <w:r w:rsidRPr="008269FD">
        <w:rPr>
          <w:i/>
          <w:iCs/>
        </w:rPr>
        <w:t>M. smegmatis</w:t>
      </w:r>
      <w:r w:rsidRPr="008269FD">
        <w:t xml:space="preserve"> and </w:t>
      </w:r>
      <w:proofErr w:type="spellStart"/>
      <w:r w:rsidRPr="008269FD">
        <w:rPr>
          <w:i/>
          <w:iCs/>
        </w:rPr>
        <w:t>Mtb</w:t>
      </w:r>
      <w:proofErr w:type="spellEnd"/>
      <w:r w:rsidRPr="008269FD">
        <w:t xml:space="preserve"> CDC1551 liposomes increased the efficacy of R5 by 1.3-fold (</w:t>
      </w:r>
      <w:r w:rsidRPr="00D416A9">
        <w:rPr>
          <w:i/>
          <w:iCs/>
        </w:rPr>
        <w:t>p</w:t>
      </w:r>
      <w:r>
        <w:rPr>
          <w:i/>
          <w:iCs/>
        </w:rPr>
        <w:t>-</w:t>
      </w:r>
      <w:r w:rsidRPr="008269FD">
        <w:t>value</w:t>
      </w:r>
      <w:r>
        <w:t xml:space="preserve"> </w:t>
      </w:r>
      <w:r w:rsidRPr="008269FD">
        <w:t>= 0.0190) and 1.2-fold (</w:t>
      </w:r>
      <w:r w:rsidRPr="00D416A9">
        <w:rPr>
          <w:i/>
          <w:iCs/>
        </w:rPr>
        <w:t>p</w:t>
      </w:r>
      <w:r>
        <w:rPr>
          <w:i/>
          <w:iCs/>
        </w:rPr>
        <w:t>-</w:t>
      </w:r>
      <w:r w:rsidRPr="008269FD">
        <w:t>value</w:t>
      </w:r>
      <w:r>
        <w:t xml:space="preserve"> </w:t>
      </w:r>
      <w:r w:rsidRPr="008269FD">
        <w:t>= 0.0414), respectively.</w:t>
      </w:r>
    </w:p>
    <w:p w:rsidR="00480AF7" w:rsidRPr="008269FD" w:rsidRDefault="00480AF7" w:rsidP="00480AF7">
      <w:pPr>
        <w:pStyle w:val="MDPI31text"/>
        <w:ind w:left="0"/>
      </w:pPr>
      <w:r w:rsidRPr="008269FD">
        <w:t xml:space="preserve">The impact of </w:t>
      </w:r>
      <w:r w:rsidRPr="008269FD">
        <w:rPr>
          <w:i/>
          <w:iCs/>
        </w:rPr>
        <w:t>M. smegmatis</w:t>
      </w:r>
      <w:r w:rsidRPr="008269FD">
        <w:t>,</w:t>
      </w:r>
      <w:r w:rsidRPr="008269FD">
        <w:rPr>
          <w:i/>
          <w:iCs/>
        </w:rPr>
        <w:t xml:space="preserve"> </w:t>
      </w:r>
      <w:proofErr w:type="spellStart"/>
      <w:r w:rsidRPr="008269FD">
        <w:rPr>
          <w:i/>
          <w:iCs/>
        </w:rPr>
        <w:t>Mtb</w:t>
      </w:r>
      <w:proofErr w:type="spellEnd"/>
      <w:r w:rsidRPr="008269FD">
        <w:t xml:space="preserve"> HN878 and CDC1551 total lipids on HIV-1 X4 and R5 </w:t>
      </w:r>
      <w:r w:rsidRPr="008269FD">
        <w:rPr>
          <w:i/>
          <w:iCs/>
        </w:rPr>
        <w:t>trans</w:t>
      </w:r>
      <w:r w:rsidRPr="008269FD">
        <w:t>-infection</w:t>
      </w:r>
      <w:r w:rsidRPr="008269FD">
        <w:rPr>
          <w:iCs/>
        </w:rPr>
        <w:t xml:space="preserve"> via</w:t>
      </w:r>
      <w:r w:rsidRPr="008269FD">
        <w:t xml:space="preserve"> DC-SIGN was minimal compared to the effect </w:t>
      </w:r>
      <w:r w:rsidRPr="008269FD">
        <w:rPr>
          <w:i/>
          <w:iCs/>
        </w:rPr>
        <w:t xml:space="preserve">M. </w:t>
      </w:r>
      <w:proofErr w:type="spellStart"/>
      <w:r w:rsidRPr="008269FD">
        <w:rPr>
          <w:i/>
          <w:iCs/>
        </w:rPr>
        <w:t>bovis</w:t>
      </w:r>
      <w:proofErr w:type="spellEnd"/>
      <w:r w:rsidRPr="008269FD">
        <w:t xml:space="preserve">, </w:t>
      </w:r>
      <w:proofErr w:type="spellStart"/>
      <w:r w:rsidRPr="008269FD">
        <w:rPr>
          <w:i/>
          <w:iCs/>
        </w:rPr>
        <w:t>Mtb</w:t>
      </w:r>
      <w:proofErr w:type="spellEnd"/>
      <w:r w:rsidRPr="008269FD">
        <w:rPr>
          <w:i/>
          <w:iCs/>
        </w:rPr>
        <w:t xml:space="preserve"> </w:t>
      </w:r>
      <w:r w:rsidRPr="008269FD">
        <w:t xml:space="preserve">H37Rv and EU127, suggesting that glycolipids from these three strains could bind DC-SIGN thereby blocking virus </w:t>
      </w:r>
      <w:r w:rsidRPr="008269FD">
        <w:rPr>
          <w:i/>
          <w:iCs/>
        </w:rPr>
        <w:t>trans</w:t>
      </w:r>
      <w:r w:rsidRPr="008269FD">
        <w:t>-infection of the target cells.</w:t>
      </w:r>
    </w:p>
    <w:p w:rsidR="00480AF7" w:rsidRPr="008269FD" w:rsidRDefault="00480AF7" w:rsidP="00480AF7">
      <w:pPr>
        <w:pStyle w:val="MDPI22heading2"/>
        <w:spacing w:before="240"/>
        <w:ind w:left="0"/>
      </w:pPr>
      <w:r w:rsidRPr="008269FD">
        <w:t xml:space="preserve">2.4. Implication of SL1, PDIM and TDM Lipids in HIV-1 </w:t>
      </w:r>
      <w:r w:rsidRPr="008269FD">
        <w:rPr>
          <w:iCs/>
        </w:rPr>
        <w:t>trans</w:t>
      </w:r>
      <w:r w:rsidRPr="008269FD">
        <w:t>-Infection Mediated by DC-SIGN</w:t>
      </w:r>
    </w:p>
    <w:p w:rsidR="00480AF7" w:rsidRDefault="00480AF7" w:rsidP="00480AF7">
      <w:pPr>
        <w:pStyle w:val="MDPI31text"/>
        <w:ind w:left="0" w:firstLine="426"/>
      </w:pPr>
      <w:r w:rsidRPr="008269FD">
        <w:t xml:space="preserve">To further investigate the observed disruption of HIV-1 </w:t>
      </w:r>
      <w:r w:rsidRPr="008269FD">
        <w:rPr>
          <w:i/>
          <w:iCs/>
        </w:rPr>
        <w:t>trans</w:t>
      </w:r>
      <w:r w:rsidRPr="008269FD">
        <w:t>-infection by</w:t>
      </w:r>
      <w:r w:rsidRPr="008269FD">
        <w:rPr>
          <w:i/>
          <w:iCs/>
        </w:rPr>
        <w:t xml:space="preserve"> </w:t>
      </w:r>
      <w:proofErr w:type="spellStart"/>
      <w:r w:rsidRPr="008269FD">
        <w:rPr>
          <w:i/>
          <w:iCs/>
        </w:rPr>
        <w:t>Mtb</w:t>
      </w:r>
      <w:proofErr w:type="spellEnd"/>
      <w:r w:rsidRPr="008269FD">
        <w:t xml:space="preserve"> H37Rv glycolipids associated into liposomes, we compared the influence of total lipids from a variant H37Rv strain obtained from a different lab: H37RvMA (Figure 5) where the two lineages are differing in the number of local passage, inducing genotypic variation </w:t>
      </w:r>
      <w:r w:rsidRPr="008269FD">
        <w:fldChar w:fldCharType="begin" w:fldLock="1"/>
      </w:r>
      <w:r w:rsidRPr="008269FD">
        <w:instrText>ADDIN CSL_CITATION {"citationItems":[{"id":"ITEM-1","itemData":{"DOI":"10.1128/JB.00166-10","ISBN":"1098-5530 (Electronic)\\r0021-9193 (Linking)","ISSN":"1098-5530","PMID":"20472797","abstract":"The publication of the complete genome sequence for Mycobacterium tuberculosis H37Rv in 1998 has had a great impact on the research community. Nonetheless, it is suspected that genetic differences have arisen in stocks of H37Rv that are maintained in different laboratories. In order to assess the consistency of the genome sequences among H37Rv strains in use and the extent to which they have diverged from the original strain sequenced, we carried out whole-genome sequencing on six strains of H37Rv from different laboratories. Polymorphisms at 73 sites were observed, which were shared among the lab strains, though 72 of these were also shared with H37Ra and are likely to be due to sequencing errors in the original H37Rv reference sequence. An updated H37Rv genome sequence should be valuable to the tuberculosis research community as well as the broader microbial research community. In addition, several polymorphisms unique to individual strains and several shared polymorphisms were identified and shown to be consistent with the known provenance of these strains. Aside from nucleotide substitutions and insertion/deletions, multiple IS6110 transposition events were observed, supporting the theory that they play a significant role in plasticity of the M. tuberculosis genome. This genome-wide catalog of genetic differences can help explain any phenotypic differences that might be found, including a frameshift mutation in the mycocerosic acid synthase gene which causes two of the strains to be deficient in biosynthesis of the surface glycolipid phthiocerol dimycocerosate (PDIM). The resequencing of these six lab strains represents a fortuitous \"in vitro evolution\" experiment that demonstrates how the M. tuberculosis genome continues to evolve even in a controlled environment.","author":[{"dropping-particle":"","family":"Ioerger","given":"Thomas R.","non-dropping-particle":"","parse-names":false,"suffix":""},{"dropping-particle":"","family":"Feng","given":"Yicheng","non-dropping-particle":"","parse-names":false,"suffix":""},{"dropping-particle":"","family":"Ganesula","given":"Krishna","non-dropping-particle":"","parse-names":false,"suffix":""},{"dropping-particle":"","family":"Chen","given":"Xiaohua","non-dropping-particle":"","parse-names":false,"suffix":""},{"dropping-particle":"","family":"Dobos","given":"Karen M.","non-dropping-particle":"","parse-names":false,"suffix":""},{"dropping-particle":"","family":"Fortune","given":"Sarah","non-dropping-particle":"","parse-names":false,"suffix":""},{"dropping-particle":"","family":"Jacobs","given":"William R.","non-dropping-particle":"","parse-names":false,"suffix":""},{"dropping-particle":"","family":"Mizrahi","given":"Valerie","non-dropping-particle":"","parse-names":false,"suffix":""},{"dropping-particle":"","family":"Parish","given":"Tanya","non-dropping-particle":"","parse-names":false,"suffix":""},{"dropping-particle":"","family":"Rubin","given":"Eric","non-dropping-particle":"","parse-names":false,"suffix":""},{"dropping-particle":"","family":"Sassetti","given":"Chris","non-dropping-particle":"","parse-names":false,"suffix":""},{"dropping-particle":"","family":"Sacchettini","given":"James C.","non-dropping-particle":"","parse-names":false,"suffix":""}],"container-title":"Journal of bacteriology","id":"ITEM-1","issue":"14","issued":{"date-parts":[["2010","7"]]},"page":"3645-53","title":"Variation among genome sequences of H37Rv strains of Mycobacterium tuberculosis from multiple laboratories.","type":"article-journal","volume":"192"},"uris":["http://www.mendeley.com/documents/?uuid=5ff8a2b4-4c97-425f-8cd3-a513b9f25b2e"]}],"mendeley":{"formattedCitation":"[74]","plainTextFormattedCitation":"[74]","previouslyFormattedCitation":"[77]"},"properties":{"noteIndex":0},"schema":"https://github.com/citation-style-language/schema/raw/master/csl-citation.json"}</w:instrText>
      </w:r>
      <w:r w:rsidRPr="008269FD">
        <w:fldChar w:fldCharType="separate"/>
      </w:r>
      <w:r w:rsidRPr="008269FD">
        <w:rPr>
          <w:noProof/>
        </w:rPr>
        <w:t>[74]</w:t>
      </w:r>
      <w:r w:rsidRPr="008269FD">
        <w:fldChar w:fldCharType="end"/>
      </w:r>
      <w:r w:rsidRPr="008269FD">
        <w:t xml:space="preserve">. Raji-DC-SIGN were pre-incubated with liposomes prior to HIV-1 X4 (Figure 5A) or HIV-1 R5 (Figure 5B) capture-transfer to TZM-bl cells. Interestingly, while the presence of H37RvAE liposomes decreased HIV-1 X4 and R5 </w:t>
      </w:r>
      <w:r w:rsidRPr="008269FD">
        <w:rPr>
          <w:i/>
          <w:iCs/>
        </w:rPr>
        <w:t>trans</w:t>
      </w:r>
      <w:r w:rsidRPr="008269FD">
        <w:t xml:space="preserve">-infection </w:t>
      </w:r>
      <w:r w:rsidRPr="008269FD">
        <w:rPr>
          <w:iCs/>
        </w:rPr>
        <w:t>via</w:t>
      </w:r>
      <w:r w:rsidRPr="008269FD">
        <w:t xml:space="preserve"> DC-SIGN to 0.35 (</w:t>
      </w:r>
      <w:r w:rsidRPr="00566B7A">
        <w:rPr>
          <w:i/>
          <w:iCs/>
        </w:rPr>
        <w:t>p</w:t>
      </w:r>
      <w:r>
        <w:rPr>
          <w:i/>
          <w:iCs/>
        </w:rPr>
        <w:t>-</w:t>
      </w:r>
      <w:r w:rsidRPr="008269FD">
        <w:t>value</w:t>
      </w:r>
      <w:r>
        <w:t xml:space="preserve"> </w:t>
      </w:r>
      <w:r w:rsidRPr="008269FD">
        <w:t>= 0.0004) and 0.22 efficacy (</w:t>
      </w:r>
      <w:r w:rsidRPr="00566B7A">
        <w:rPr>
          <w:i/>
          <w:iCs/>
        </w:rPr>
        <w:t>p</w:t>
      </w:r>
      <w:r>
        <w:rPr>
          <w:i/>
          <w:iCs/>
        </w:rPr>
        <w:t>-</w:t>
      </w:r>
      <w:r w:rsidRPr="008269FD">
        <w:t>value</w:t>
      </w:r>
      <w:r>
        <w:t xml:space="preserve"> </w:t>
      </w:r>
      <w:r w:rsidRPr="008269FD">
        <w:t xml:space="preserve">= 0.0004), H37RvMA did not affect virus capture-transfer with a mean efficacy of 1.09 (HIV-1 X4) and 0.98 (HIV-1 R5). Specific mutations are observed in H37RvAE compared to H37RvMA, including mutation in </w:t>
      </w:r>
      <w:proofErr w:type="spellStart"/>
      <w:r w:rsidRPr="008269FD">
        <w:rPr>
          <w:i/>
          <w:iCs/>
        </w:rPr>
        <w:t>ppsA</w:t>
      </w:r>
      <w:proofErr w:type="spellEnd"/>
      <w:r w:rsidRPr="008269FD">
        <w:t xml:space="preserve"> that encodes a multidomain polyketide synthase involved in PDIM biosynthesis </w:t>
      </w:r>
      <w:r w:rsidRPr="008269FD">
        <w:fldChar w:fldCharType="begin" w:fldLock="1"/>
      </w:r>
      <w:r w:rsidRPr="008269FD">
        <w:instrText>ADDIN CSL_CITATION {"citationItems":[{"id":"ITEM-1","itemData":{"DOI":"10.1128/JB.00166-10","ISBN":"1098-5530 (Electronic)\\r0021-9193 (Linking)","ISSN":"1098-5530","PMID":"20472797","abstract":"The publication of the complete genome sequence for Mycobacterium tuberculosis H37Rv in 1998 has had a great impact on the research community. Nonetheless, it is suspected that genetic differences have arisen in stocks of H37Rv that are maintained in different laboratories. In order to assess the consistency of the genome sequences among H37Rv strains in use and the extent to which they have diverged from the original strain sequenced, we carried out whole-genome sequencing on six strains of H37Rv from different laboratories. Polymorphisms at 73 sites were observed, which were shared among the lab strains, though 72 of these were also shared with H37Ra and are likely to be due to sequencing errors in the original H37Rv reference sequence. An updated H37Rv genome sequence should be valuable to the tuberculosis research community as well as the broader microbial research community. In addition, several polymorphisms unique to individual strains and several shared polymorphisms were identified and shown to be consistent with the known provenance of these strains. Aside from nucleotide substitutions and insertion/deletions, multiple IS6110 transposition events were observed, supporting the theory that they play a significant role in plasticity of the M. tuberculosis genome. This genome-wide catalog of genetic differences can help explain any phenotypic differences that might be found, including a frameshift mutation in the mycocerosic acid synthase gene which causes two of the strains to be deficient in biosynthesis of the surface glycolipid phthiocerol dimycocerosate (PDIM). The resequencing of these six lab strains represents a fortuitous \"in vitro evolution\" experiment that demonstrates how the M. tuberculosis genome continues to evolve even in a controlled environment.","author":[{"dropping-particle":"","family":"Ioerger","given":"Thomas R.","non-dropping-particle":"","parse-names":false,"suffix":""},{"dropping-particle":"","family":"Feng","given":"Yicheng","non-dropping-particle":"","parse-names":false,"suffix":""},{"dropping-particle":"","family":"Ganesula","given":"Krishna","non-dropping-particle":"","parse-names":false,"suffix":""},{"dropping-particle":"","family":"Chen","given":"Xiaohua","non-dropping-particle":"","parse-names":false,"suffix":""},{"dropping-particle":"","family":"Dobos","given":"Karen M.","non-dropping-particle":"","parse-names":false,"suffix":""},{"dropping-particle":"","family":"Fortune","given":"Sarah","non-dropping-particle":"","parse-names":false,"suffix":""},{"dropping-particle":"","family":"Jacobs","given":"William R.","non-dropping-particle":"","parse-names":false,"suffix":""},{"dropping-particle":"","family":"Mizrahi","given":"Valerie","non-dropping-particle":"","parse-names":false,"suffix":""},{"dropping-particle":"","family":"Parish","given":"Tanya","non-dropping-particle":"","parse-names":false,"suffix":""},{"dropping-particle":"","family":"Rubin","given":"Eric","non-dropping-particle":"","parse-names":false,"suffix":""},{"dropping-particle":"","family":"Sassetti","given":"Chris","non-dropping-particle":"","parse-names":false,"suffix":""},{"dropping-particle":"","family":"Sacchettini","given":"James C.","non-dropping-particle":"","parse-names":false,"suffix":""}],"container-title":"Journal of bacteriology","id":"ITEM-1","issue":"14","issued":{"date-parts":[["2010","7"]]},"page":"3645-53","title":"Variation among genome sequences of H37Rv strains of Mycobacterium tuberculosis from multiple laboratories.","type":"article-journal","volume":"192"},"uris":["http://www.mendeley.com/documents/?uuid=5ff8a2b4-4c97-425f-8cd3-a513b9f25b2e"]}],"mendeley":{"formattedCitation":"[74]","plainTextFormattedCitation":"[74]","previouslyFormattedCitation":"[77]"},"properties":{"noteIndex":0},"schema":"https://github.com/citation-style-language/schema/raw/master/csl-citation.json"}</w:instrText>
      </w:r>
      <w:r w:rsidRPr="008269FD">
        <w:fldChar w:fldCharType="separate"/>
      </w:r>
      <w:r w:rsidRPr="008269FD">
        <w:rPr>
          <w:noProof/>
        </w:rPr>
        <w:t>[74]</w:t>
      </w:r>
      <w:r w:rsidRPr="008269FD">
        <w:fldChar w:fldCharType="end"/>
      </w:r>
      <w:r w:rsidRPr="008269FD">
        <w:t xml:space="preserve">. </w:t>
      </w:r>
      <w:r>
        <w:t>W</w:t>
      </w:r>
      <w:r w:rsidRPr="008269FD">
        <w:t>hile mouse passaged H37Rv strains do produce PDIM, it is likely that variations in PDIM levels occur in H37RvAE and H37RvMA liposomes, interfering with virus DC-SIGN receptor recognition. Given the low sensitivity of the TLC method in detecting the incorporated mycobacterial lipids (Figure 2), it is difficult to quantify this difference in PDIM levels in liposomes derived from the lipids of the two H37Rv strains.</w:t>
      </w:r>
    </w:p>
    <w:p w:rsidR="00480AF7" w:rsidRDefault="00480AF7" w:rsidP="00480AF7">
      <w:pPr>
        <w:pStyle w:val="MDPI31text"/>
        <w:ind w:left="0" w:firstLine="426"/>
      </w:pPr>
      <w:r w:rsidRPr="008269FD">
        <w:t xml:space="preserve">In order to identify glycolipids from </w:t>
      </w:r>
      <w:proofErr w:type="spellStart"/>
      <w:r w:rsidRPr="008269FD">
        <w:rPr>
          <w:i/>
          <w:iCs/>
        </w:rPr>
        <w:t>Mtb</w:t>
      </w:r>
      <w:proofErr w:type="spellEnd"/>
      <w:r w:rsidRPr="008269FD">
        <w:rPr>
          <w:i/>
          <w:iCs/>
        </w:rPr>
        <w:t xml:space="preserve"> </w:t>
      </w:r>
      <w:r w:rsidRPr="008269FD">
        <w:t xml:space="preserve">H37Rv that influence HIV-1 </w:t>
      </w:r>
      <w:r w:rsidRPr="008269FD">
        <w:rPr>
          <w:i/>
          <w:iCs/>
        </w:rPr>
        <w:t>trans</w:t>
      </w:r>
      <w:r w:rsidRPr="008269FD">
        <w:t>-infection</w:t>
      </w:r>
      <w:r w:rsidRPr="008269FD">
        <w:rPr>
          <w:iCs/>
        </w:rPr>
        <w:t xml:space="preserve"> via</w:t>
      </w:r>
      <w:r w:rsidRPr="008269FD">
        <w:t xml:space="preserve"> DC-SIGN, total lipids from H37Rv were fractionated and the fractions obtained were associated into liposomes to assess their impact on HIV-1 </w:t>
      </w:r>
      <w:r w:rsidRPr="008269FD">
        <w:rPr>
          <w:i/>
          <w:iCs/>
        </w:rPr>
        <w:t>trans</w:t>
      </w:r>
      <w:r w:rsidRPr="008269FD">
        <w:t xml:space="preserve">-infection (Figure 6A). For both virus tropisms, we observed inhibition of virus capture-transfer </w:t>
      </w:r>
      <w:r w:rsidRPr="008269FD">
        <w:rPr>
          <w:iCs/>
        </w:rPr>
        <w:t>via</w:t>
      </w:r>
      <w:r w:rsidRPr="008269FD">
        <w:t xml:space="preserve"> DC-SIGN with liposomes derived from fractions 2 and 4 by 6.4 and 5-fold for HIV-1 X4 and 14.5 and 6.6-fold for HIV-1 R5, respectively. Fractions 1 and 5 liposomes also inhibited virus</w:t>
      </w:r>
      <w:r w:rsidRPr="008269FD">
        <w:rPr>
          <w:i/>
          <w:iCs/>
        </w:rPr>
        <w:t xml:space="preserve"> trans</w:t>
      </w:r>
      <w:r w:rsidRPr="008269FD">
        <w:t>-infection but with a weaker effect with a decrease of 1.4-fold for HIV-1 X4 and 1.2-fold for HIV-1 R5 and an inhibition of 1.8-fold for HIV-1 X4 and 1.5</w:t>
      </w:r>
      <w:r>
        <w:t>-fold</w:t>
      </w:r>
      <w:r w:rsidRPr="008269FD">
        <w:t xml:space="preserve"> for HIV-R5, respectively. The influence of liposomes made with fractions 1, 3 and 7 was variable between replicates and virus tropism. TLC analyses (Figure </w:t>
      </w:r>
      <w:r>
        <w:t>S</w:t>
      </w:r>
      <w:r w:rsidRPr="008269FD">
        <w:t xml:space="preserve">3) revealed the presence of PDIM and SL in fraction 2 and TDM in fractions 4 to 7 where TDM concentration decreased through fractionation. These results suggest that PDIM, SL and TDM are involved in disruption of DC-SIGN mediated HIV-1 </w:t>
      </w:r>
      <w:r w:rsidRPr="008269FD">
        <w:rPr>
          <w:i/>
          <w:iCs/>
        </w:rPr>
        <w:t>trans</w:t>
      </w:r>
      <w:r w:rsidRPr="008269FD">
        <w:t>-infection.</w:t>
      </w:r>
    </w:p>
    <w:p w:rsidR="00480AF7" w:rsidRPr="008269FD" w:rsidRDefault="00480AF7" w:rsidP="00480AF7">
      <w:pPr>
        <w:pStyle w:val="MDPI31text"/>
        <w:ind w:left="0"/>
      </w:pPr>
      <w:r w:rsidRPr="008269FD">
        <w:lastRenderedPageBreak/>
        <w:t xml:space="preserve">The role of SL1 was further investigated by generating liposomes from total lipids isolated from an H37Rv papA1Δ mutant (mutant missing the polyketide associated-protein-1, papA1, involved in biogenesis of SL1 and resulting in the absence of SL1 production) in parallel to liposomes with H37Rv papA1Δ total lipids complemented with soluble SL1 (Figure 6B). When we studied the impact of these liposomes on HIV-1 X4 (1) and HIV-1 R5 (2) </w:t>
      </w:r>
      <w:r w:rsidRPr="008269FD">
        <w:rPr>
          <w:i/>
          <w:iCs/>
        </w:rPr>
        <w:t>trans</w:t>
      </w:r>
      <w:r w:rsidRPr="008269FD">
        <w:t>-infection mediated by DC-SIGN, we observed that papA1Δ liposomes only decreased virus capture-transfer by 1.1-fold for HIV-1 X4 (</w:t>
      </w:r>
      <w:r w:rsidRPr="00566B7A">
        <w:rPr>
          <w:i/>
          <w:iCs/>
        </w:rPr>
        <w:t>p</w:t>
      </w:r>
      <w:r>
        <w:rPr>
          <w:i/>
          <w:iCs/>
        </w:rPr>
        <w:t>-</w:t>
      </w:r>
      <w:r w:rsidRPr="008269FD">
        <w:t>value</w:t>
      </w:r>
      <w:r>
        <w:t xml:space="preserve"> </w:t>
      </w:r>
      <w:r w:rsidRPr="008269FD">
        <w:t>= 0.0053) and 1.2</w:t>
      </w:r>
      <w:r>
        <w:t>-</w:t>
      </w:r>
      <w:r w:rsidRPr="008269FD">
        <w:t>fold for HIV-1 R5 (</w:t>
      </w:r>
      <w:r w:rsidRPr="002A69AC">
        <w:rPr>
          <w:i/>
          <w:iCs/>
        </w:rPr>
        <w:t>p</w:t>
      </w:r>
      <w:r>
        <w:rPr>
          <w:i/>
          <w:iCs/>
        </w:rPr>
        <w:t>-</w:t>
      </w:r>
      <w:r w:rsidRPr="008269FD">
        <w:t>value</w:t>
      </w:r>
      <w:r>
        <w:t xml:space="preserve"> </w:t>
      </w:r>
      <w:r w:rsidRPr="008269FD">
        <w:t xml:space="preserve">= 0.0030) while H37Rv blocked </w:t>
      </w:r>
      <w:r w:rsidRPr="008269FD">
        <w:rPr>
          <w:i/>
          <w:iCs/>
        </w:rPr>
        <w:t>trans</w:t>
      </w:r>
      <w:r w:rsidRPr="008269FD">
        <w:t xml:space="preserve">-infection </w:t>
      </w:r>
      <w:r w:rsidRPr="008269FD">
        <w:rPr>
          <w:iCs/>
        </w:rPr>
        <w:t xml:space="preserve">via </w:t>
      </w:r>
      <w:r w:rsidRPr="008269FD">
        <w:t>DC-SIGN by 3.2</w:t>
      </w:r>
      <w:r>
        <w:t>-</w:t>
      </w:r>
      <w:r w:rsidRPr="008269FD">
        <w:t>fold (</w:t>
      </w:r>
      <w:r w:rsidRPr="002A69AC">
        <w:rPr>
          <w:i/>
          <w:iCs/>
        </w:rPr>
        <w:t>p</w:t>
      </w:r>
      <w:r>
        <w:rPr>
          <w:i/>
          <w:iCs/>
        </w:rPr>
        <w:t>-</w:t>
      </w:r>
      <w:r w:rsidRPr="008269FD">
        <w:t>value</w:t>
      </w:r>
      <w:r>
        <w:t xml:space="preserve"> </w:t>
      </w:r>
      <w:r w:rsidRPr="008269FD">
        <w:t>&lt; 0.0001) for HIV-1 X4 and 3.1</w:t>
      </w:r>
      <w:r>
        <w:t>-</w:t>
      </w:r>
      <w:r w:rsidRPr="008269FD">
        <w:t>fold (</w:t>
      </w:r>
      <w:r w:rsidRPr="002A69AC">
        <w:rPr>
          <w:i/>
          <w:iCs/>
        </w:rPr>
        <w:t>p</w:t>
      </w:r>
      <w:r>
        <w:rPr>
          <w:i/>
          <w:iCs/>
        </w:rPr>
        <w:t>-</w:t>
      </w:r>
      <w:r w:rsidRPr="008269FD">
        <w:t>value</w:t>
      </w:r>
      <w:r>
        <w:t xml:space="preserve"> </w:t>
      </w:r>
      <w:r w:rsidRPr="008269FD">
        <w:t>&lt; 0.0001) for HIV-1 R5. Interestingly, liposomes composed of papA1Δ total lipids complemented with SL1 were shown to cause strong inhibition of 3.4-fold for HIV-1 X4 (</w:t>
      </w:r>
      <w:r w:rsidRPr="002A69AC">
        <w:rPr>
          <w:i/>
          <w:iCs/>
        </w:rPr>
        <w:t>p</w:t>
      </w:r>
      <w:r>
        <w:rPr>
          <w:i/>
          <w:iCs/>
        </w:rPr>
        <w:t>-</w:t>
      </w:r>
      <w:r w:rsidRPr="008269FD">
        <w:t>value</w:t>
      </w:r>
      <w:r>
        <w:t xml:space="preserve"> </w:t>
      </w:r>
      <w:r w:rsidRPr="008269FD">
        <w:t>&lt; 0.0001) and 4.1</w:t>
      </w:r>
      <w:r>
        <w:t>-fold</w:t>
      </w:r>
      <w:r w:rsidRPr="008269FD">
        <w:t xml:space="preserve"> for HIV-1 R5 (</w:t>
      </w:r>
      <w:r w:rsidRPr="002A69AC">
        <w:rPr>
          <w:i/>
          <w:iCs/>
        </w:rPr>
        <w:t>p</w:t>
      </w:r>
      <w:r>
        <w:rPr>
          <w:i/>
          <w:iCs/>
        </w:rPr>
        <w:t>-</w:t>
      </w:r>
      <w:r w:rsidRPr="008269FD">
        <w:t xml:space="preserve">value&lt; 0.0001) </w:t>
      </w:r>
      <w:r w:rsidRPr="008269FD">
        <w:rPr>
          <w:i/>
          <w:iCs/>
        </w:rPr>
        <w:t>trans</w:t>
      </w:r>
      <w:r w:rsidRPr="008269FD">
        <w:t xml:space="preserve">-infection, indicating that SL1 expressed on H37Rv binds the DC-SIGN receptor, blocking HIV-1 </w:t>
      </w:r>
      <w:r w:rsidRPr="008269FD">
        <w:rPr>
          <w:i/>
          <w:iCs/>
        </w:rPr>
        <w:t>trans</w:t>
      </w:r>
      <w:r w:rsidRPr="008269FD">
        <w:t xml:space="preserve">-infection </w:t>
      </w:r>
      <w:r w:rsidRPr="008269FD">
        <w:rPr>
          <w:iCs/>
        </w:rPr>
        <w:t>via</w:t>
      </w:r>
      <w:r w:rsidRPr="008269FD">
        <w:t xml:space="preserve"> this C-type lectin.</w:t>
      </w:r>
    </w:p>
    <w:p w:rsidR="00480AF7" w:rsidRPr="008269FD" w:rsidRDefault="00480AF7" w:rsidP="00480AF7">
      <w:pPr>
        <w:pStyle w:val="MDPI22heading2"/>
        <w:spacing w:before="240"/>
        <w:ind w:left="0"/>
      </w:pPr>
      <w:r w:rsidRPr="008269FD">
        <w:t xml:space="preserve">2.5. Differential Effects of </w:t>
      </w:r>
      <w:r w:rsidRPr="008269FD">
        <w:rPr>
          <w:iCs/>
        </w:rPr>
        <w:t>Mtb</w:t>
      </w:r>
      <w:r w:rsidRPr="008269FD">
        <w:t xml:space="preserve"> Glycolipids on HIV-1 </w:t>
      </w:r>
      <w:r w:rsidRPr="008269FD">
        <w:rPr>
          <w:iCs/>
        </w:rPr>
        <w:t>Trans</w:t>
      </w:r>
      <w:r w:rsidRPr="008269FD">
        <w:t xml:space="preserve">-Infection Mediated </w:t>
      </w:r>
      <w:r w:rsidRPr="008269FD">
        <w:rPr>
          <w:iCs/>
        </w:rPr>
        <w:t>via</w:t>
      </w:r>
      <w:r w:rsidRPr="008269FD">
        <w:t xml:space="preserve"> iDC and mDC</w:t>
      </w:r>
    </w:p>
    <w:p w:rsidR="00480AF7" w:rsidRPr="008269FD" w:rsidRDefault="00480AF7" w:rsidP="00C67322">
      <w:pPr>
        <w:pStyle w:val="MDPI31text"/>
        <w:ind w:left="0"/>
      </w:pPr>
      <w:r w:rsidRPr="008269FD">
        <w:t xml:space="preserve">We next studied the impact of </w:t>
      </w:r>
      <w:r w:rsidRPr="008269FD">
        <w:rPr>
          <w:i/>
          <w:iCs/>
        </w:rPr>
        <w:t>Mycobacterium</w:t>
      </w:r>
      <w:r w:rsidRPr="008269FD">
        <w:t xml:space="preserve"> liposomes on </w:t>
      </w:r>
      <w:r w:rsidRPr="008269FD">
        <w:rPr>
          <w:i/>
          <w:iCs/>
        </w:rPr>
        <w:t>trans</w:t>
      </w:r>
      <w:r w:rsidRPr="008269FD">
        <w:t xml:space="preserve">-infection of HIV-1 </w:t>
      </w:r>
      <w:r w:rsidRPr="008269FD">
        <w:rPr>
          <w:iCs/>
        </w:rPr>
        <w:t>via</w:t>
      </w:r>
      <w:r w:rsidRPr="008269FD">
        <w:t xml:space="preserve"> DCs, the physiological relevant cell-types mediating HIV-1 capture-transfer. DCs were pre-incubated with liposomes before capture and transfer of HIV-1 X4 or R5 by DCs at different stages of maturation: </w:t>
      </w:r>
      <w:proofErr w:type="spellStart"/>
      <w:r w:rsidRPr="008269FD">
        <w:t>iDCs</w:t>
      </w:r>
      <w:proofErr w:type="spellEnd"/>
      <w:r w:rsidRPr="008269FD">
        <w:t xml:space="preserve"> (Figure 7A</w:t>
      </w:r>
      <w:r>
        <w:t>,</w:t>
      </w:r>
      <w:r w:rsidRPr="008269FD">
        <w:t xml:space="preserve">B) and </w:t>
      </w:r>
      <w:proofErr w:type="spellStart"/>
      <w:r w:rsidRPr="008269FD">
        <w:t>mDCs</w:t>
      </w:r>
      <w:proofErr w:type="spellEnd"/>
      <w:r w:rsidRPr="008269FD">
        <w:t xml:space="preserve"> (Figure 7C</w:t>
      </w:r>
      <w:r>
        <w:t>,</w:t>
      </w:r>
      <w:r w:rsidRPr="008269FD">
        <w:t xml:space="preserve">D). Interestingly, as observed with the Raji-DC-SIGN </w:t>
      </w:r>
      <w:r w:rsidRPr="008269FD">
        <w:rPr>
          <w:iCs/>
        </w:rPr>
        <w:t>in vitro</w:t>
      </w:r>
      <w:r w:rsidRPr="008269FD">
        <w:t xml:space="preserve"> assays, HIV-1 X4 and R5 </w:t>
      </w:r>
      <w:proofErr w:type="spellStart"/>
      <w:r w:rsidRPr="008269FD">
        <w:t>iDC</w:t>
      </w:r>
      <w:proofErr w:type="spellEnd"/>
      <w:r w:rsidRPr="008269FD">
        <w:t xml:space="preserve"> mediated </w:t>
      </w:r>
      <w:r w:rsidRPr="008269FD">
        <w:rPr>
          <w:i/>
          <w:iCs/>
        </w:rPr>
        <w:t>trans</w:t>
      </w:r>
      <w:r w:rsidRPr="008269FD">
        <w:t>-infections were inhibited by 1.4</w:t>
      </w:r>
      <w:r>
        <w:t>-</w:t>
      </w:r>
      <w:r w:rsidRPr="008269FD">
        <w:t xml:space="preserve"> and 1.5-fold (</w:t>
      </w:r>
      <w:proofErr w:type="spellStart"/>
      <w:r w:rsidRPr="00124F1E">
        <w:rPr>
          <w:i/>
          <w:iCs/>
        </w:rPr>
        <w:t>p</w:t>
      </w:r>
      <w:r>
        <w:rPr>
          <w:i/>
          <w:iCs/>
        </w:rPr>
        <w:softHyphen/>
      </w:r>
      <w:r w:rsidRPr="008269FD">
        <w:t>value</w:t>
      </w:r>
      <w:proofErr w:type="spellEnd"/>
      <w:r>
        <w:t xml:space="preserve"> </w:t>
      </w:r>
      <w:r w:rsidRPr="008269FD">
        <w:t>=</w:t>
      </w:r>
      <w:r>
        <w:t xml:space="preserve"> </w:t>
      </w:r>
      <w:r w:rsidRPr="008269FD">
        <w:t xml:space="preserve">0.0450) in the presence of </w:t>
      </w:r>
      <w:r w:rsidRPr="008269FD">
        <w:rPr>
          <w:i/>
          <w:iCs/>
        </w:rPr>
        <w:t xml:space="preserve">M. </w:t>
      </w:r>
      <w:proofErr w:type="spellStart"/>
      <w:r w:rsidRPr="008269FD">
        <w:rPr>
          <w:i/>
          <w:iCs/>
        </w:rPr>
        <w:t>bovis</w:t>
      </w:r>
      <w:proofErr w:type="spellEnd"/>
      <w:r w:rsidRPr="008269FD">
        <w:t>; by 1.8</w:t>
      </w:r>
      <w:r>
        <w:t>-</w:t>
      </w:r>
      <w:r w:rsidRPr="008269FD">
        <w:t xml:space="preserve"> (</w:t>
      </w:r>
      <w:r w:rsidRPr="00124F1E">
        <w:rPr>
          <w:i/>
          <w:iCs/>
        </w:rPr>
        <w:t>p</w:t>
      </w:r>
      <w:r>
        <w:rPr>
          <w:i/>
          <w:iCs/>
        </w:rPr>
        <w:t>-</w:t>
      </w:r>
      <w:r w:rsidRPr="008269FD">
        <w:t>value</w:t>
      </w:r>
      <w:r>
        <w:t xml:space="preserve"> </w:t>
      </w:r>
      <w:r w:rsidRPr="008269FD">
        <w:t>= 0.0025) and 2.1-fold (</w:t>
      </w:r>
      <w:r w:rsidRPr="00124F1E">
        <w:rPr>
          <w:i/>
          <w:iCs/>
        </w:rPr>
        <w:t>p</w:t>
      </w:r>
      <w:r>
        <w:rPr>
          <w:i/>
          <w:iCs/>
        </w:rPr>
        <w:t>-</w:t>
      </w:r>
      <w:r w:rsidRPr="008269FD">
        <w:t>value</w:t>
      </w:r>
      <w:r>
        <w:t xml:space="preserve"> </w:t>
      </w:r>
      <w:r w:rsidRPr="008269FD">
        <w:t>= 0.0002) in the presence of H37Rv; and by 1.7</w:t>
      </w:r>
      <w:r>
        <w:t>-</w:t>
      </w:r>
      <w:r w:rsidRPr="008269FD">
        <w:t xml:space="preserve"> (</w:t>
      </w:r>
      <w:r w:rsidRPr="00124F1E">
        <w:rPr>
          <w:i/>
          <w:iCs/>
        </w:rPr>
        <w:t>p</w:t>
      </w:r>
      <w:r>
        <w:rPr>
          <w:i/>
          <w:iCs/>
        </w:rPr>
        <w:t>-</w:t>
      </w:r>
      <w:r w:rsidRPr="008269FD">
        <w:t>value</w:t>
      </w:r>
      <w:r>
        <w:t xml:space="preserve"> </w:t>
      </w:r>
      <w:r w:rsidRPr="008269FD">
        <w:t>= 0.0011) and 1.6</w:t>
      </w:r>
      <w:r>
        <w:t>-</w:t>
      </w:r>
      <w:r w:rsidRPr="008269FD">
        <w:t>fold (</w:t>
      </w:r>
      <w:r w:rsidRPr="00124F1E">
        <w:rPr>
          <w:i/>
          <w:iCs/>
        </w:rPr>
        <w:t>p</w:t>
      </w:r>
      <w:r>
        <w:rPr>
          <w:i/>
          <w:iCs/>
        </w:rPr>
        <w:t>-</w:t>
      </w:r>
      <w:r w:rsidRPr="008269FD">
        <w:t>value</w:t>
      </w:r>
      <w:r>
        <w:t xml:space="preserve"> </w:t>
      </w:r>
      <w:r w:rsidRPr="008269FD">
        <w:t xml:space="preserve">= 0.0034) in the presence of EU127 liposomes, respectively. On the contrary, </w:t>
      </w:r>
      <w:r w:rsidRPr="008269FD">
        <w:rPr>
          <w:i/>
          <w:iCs/>
        </w:rPr>
        <w:t>M. smegmatis</w:t>
      </w:r>
      <w:r w:rsidRPr="008269FD">
        <w:t xml:space="preserve">, as well as </w:t>
      </w:r>
      <w:proofErr w:type="spellStart"/>
      <w:r w:rsidRPr="008269FD">
        <w:rPr>
          <w:i/>
          <w:iCs/>
        </w:rPr>
        <w:t>Mtb</w:t>
      </w:r>
      <w:proofErr w:type="spellEnd"/>
      <w:r w:rsidRPr="008269FD">
        <w:rPr>
          <w:i/>
          <w:iCs/>
        </w:rPr>
        <w:t xml:space="preserve"> </w:t>
      </w:r>
      <w:r w:rsidRPr="008269FD">
        <w:t xml:space="preserve">HN878 and CDC1551 liposomes showed a trend toward increasing HIV-1 </w:t>
      </w:r>
      <w:r w:rsidRPr="008269FD">
        <w:rPr>
          <w:i/>
          <w:iCs/>
        </w:rPr>
        <w:t>trans</w:t>
      </w:r>
      <w:r w:rsidRPr="008269FD">
        <w:t xml:space="preserve">-infection </w:t>
      </w:r>
      <w:r w:rsidRPr="008269FD">
        <w:rPr>
          <w:iCs/>
        </w:rPr>
        <w:t>via</w:t>
      </w:r>
      <w:r w:rsidRPr="008269FD">
        <w:t xml:space="preserve"> </w:t>
      </w:r>
      <w:proofErr w:type="spellStart"/>
      <w:r w:rsidRPr="008269FD">
        <w:t>iDCs</w:t>
      </w:r>
      <w:proofErr w:type="spellEnd"/>
      <w:r w:rsidRPr="008269FD">
        <w:t xml:space="preserve"> by 1.6-fold (HIV-1 R5); 1.3</w:t>
      </w:r>
      <w:r>
        <w:t>-</w:t>
      </w:r>
      <w:r w:rsidRPr="008269FD">
        <w:t xml:space="preserve"> (HIV-1 X4) and 1.5-fold (HIV-1 R5); and by 1.4</w:t>
      </w:r>
      <w:r>
        <w:t>-</w:t>
      </w:r>
      <w:r w:rsidRPr="008269FD">
        <w:t xml:space="preserve"> (HIV-1 X4) and 1.6</w:t>
      </w:r>
      <w:r>
        <w:t>-fold</w:t>
      </w:r>
      <w:r w:rsidRPr="008269FD">
        <w:t xml:space="preserve"> (HIV-1 R5, </w:t>
      </w:r>
      <w:r w:rsidRPr="00E9598B">
        <w:rPr>
          <w:i/>
          <w:iCs/>
        </w:rPr>
        <w:t>p</w:t>
      </w:r>
      <w:r>
        <w:rPr>
          <w:i/>
          <w:iCs/>
        </w:rPr>
        <w:t>-</w:t>
      </w:r>
      <w:r w:rsidRPr="008269FD">
        <w:t>value</w:t>
      </w:r>
      <w:r>
        <w:t xml:space="preserve"> </w:t>
      </w:r>
      <w:r w:rsidRPr="008269FD">
        <w:t>= 0.0220) respectively (Figure 7A</w:t>
      </w:r>
      <w:r>
        <w:t>,</w:t>
      </w:r>
      <w:r w:rsidRPr="008269FD">
        <w:t xml:space="preserve">B). These observations suggest that </w:t>
      </w:r>
      <w:r w:rsidRPr="008269FD">
        <w:rPr>
          <w:i/>
          <w:iCs/>
        </w:rPr>
        <w:t xml:space="preserve">M. </w:t>
      </w:r>
      <w:proofErr w:type="spellStart"/>
      <w:r w:rsidRPr="008269FD">
        <w:rPr>
          <w:i/>
          <w:iCs/>
        </w:rPr>
        <w:t>bovis</w:t>
      </w:r>
      <w:proofErr w:type="spellEnd"/>
      <w:r w:rsidRPr="008269FD">
        <w:t xml:space="preserve">, </w:t>
      </w:r>
      <w:proofErr w:type="spellStart"/>
      <w:r w:rsidRPr="008269FD">
        <w:rPr>
          <w:i/>
          <w:iCs/>
        </w:rPr>
        <w:t>Mtb</w:t>
      </w:r>
      <w:proofErr w:type="spellEnd"/>
      <w:r w:rsidRPr="008269FD">
        <w:t xml:space="preserve"> H37Rv and EU127 glycolipids are </w:t>
      </w:r>
      <w:proofErr w:type="spellStart"/>
      <w:r w:rsidRPr="008269FD">
        <w:t>recognised</w:t>
      </w:r>
      <w:proofErr w:type="spellEnd"/>
      <w:r w:rsidRPr="008269FD">
        <w:t xml:space="preserve"> by the DC-SIGN receptor expressed on </w:t>
      </w:r>
      <w:proofErr w:type="spellStart"/>
      <w:r w:rsidRPr="008269FD">
        <w:t>iDCs</w:t>
      </w:r>
      <w:proofErr w:type="spellEnd"/>
      <w:r w:rsidRPr="008269FD">
        <w:t xml:space="preserve"> causing inhibition of HIV-1 capture and transfer to target cells.</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 xml:space="preserve">In parallel,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were grown in the presence of poly(I:C) to allow maturation into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and further used to mediate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to TZM-bl in the presence of </w:t>
      </w:r>
      <w:r w:rsidRPr="00C67322">
        <w:rPr>
          <w:rFonts w:ascii="Palatino Linotype" w:eastAsia="Times New Roman" w:hAnsi="Palatino Linotype" w:cs="Times New Roman"/>
          <w:i/>
          <w:iCs/>
          <w:snapToGrid w:val="0"/>
          <w:color w:val="000000"/>
          <w:sz w:val="20"/>
          <w:lang w:val="en-US" w:eastAsia="de-DE" w:bidi="en-US"/>
        </w:rPr>
        <w:t>Mycobacterium</w:t>
      </w:r>
      <w:r w:rsidRPr="00C67322">
        <w:rPr>
          <w:rFonts w:ascii="Palatino Linotype" w:eastAsia="Times New Roman" w:hAnsi="Palatino Linotype" w:cs="Times New Roman"/>
          <w:snapToGrid w:val="0"/>
          <w:color w:val="000000"/>
          <w:sz w:val="20"/>
          <w:lang w:val="en-US" w:eastAsia="de-DE" w:bidi="en-US"/>
        </w:rPr>
        <w:t xml:space="preserve"> liposomes (Figure 7C,D). Although we observed variant efficiency of virus capture and transfer reflecting donor-to-donor variation, trends were observed when comparing the different </w:t>
      </w:r>
      <w:r w:rsidRPr="00C67322">
        <w:rPr>
          <w:rFonts w:ascii="Palatino Linotype" w:eastAsia="Times New Roman" w:hAnsi="Palatino Linotype" w:cs="Times New Roman"/>
          <w:iCs/>
          <w:snapToGrid w:val="0"/>
          <w:color w:val="000000"/>
          <w:sz w:val="20"/>
          <w:lang w:val="en-US" w:eastAsia="de-DE" w:bidi="en-US"/>
        </w:rPr>
        <w:t>mycobacterial</w:t>
      </w:r>
      <w:r w:rsidRPr="00C67322">
        <w:rPr>
          <w:rFonts w:ascii="Palatino Linotype" w:eastAsia="Times New Roman" w:hAnsi="Palatino Linotype" w:cs="Times New Roman"/>
          <w:snapToGrid w:val="0"/>
          <w:color w:val="000000"/>
          <w:sz w:val="20"/>
          <w:lang w:val="en-US" w:eastAsia="de-DE" w:bidi="en-US"/>
        </w:rPr>
        <w:t xml:space="preserve"> strains. The presence of </w:t>
      </w:r>
      <w:r w:rsidRPr="00C67322">
        <w:rPr>
          <w:rFonts w:ascii="Palatino Linotype" w:eastAsia="Times New Roman" w:hAnsi="Palatino Linotype" w:cs="Times New Roman"/>
          <w:i/>
          <w:iCs/>
          <w:snapToGrid w:val="0"/>
          <w:color w:val="000000"/>
          <w:sz w:val="20"/>
          <w:lang w:val="en-US" w:eastAsia="de-DE" w:bidi="en-US"/>
        </w:rPr>
        <w:t xml:space="preserve">M. </w:t>
      </w:r>
      <w:proofErr w:type="spellStart"/>
      <w:r w:rsidRPr="00C67322">
        <w:rPr>
          <w:rFonts w:ascii="Palatino Linotype" w:eastAsia="Times New Roman" w:hAnsi="Palatino Linotype" w:cs="Times New Roman"/>
          <w:i/>
          <w:iCs/>
          <w:snapToGrid w:val="0"/>
          <w:color w:val="000000"/>
          <w:sz w:val="20"/>
          <w:lang w:val="en-US" w:eastAsia="de-DE" w:bidi="en-US"/>
        </w:rPr>
        <w:t>bovis</w:t>
      </w:r>
      <w:proofErr w:type="spellEnd"/>
      <w:r w:rsidRPr="00C67322">
        <w:rPr>
          <w:rFonts w:ascii="Palatino Linotype" w:eastAsia="Times New Roman" w:hAnsi="Palatino Linotype" w:cs="Times New Roman"/>
          <w:snapToGrid w:val="0"/>
          <w:color w:val="000000"/>
          <w:sz w:val="20"/>
          <w:lang w:val="en-US" w:eastAsia="de-DE" w:bidi="en-US"/>
        </w:rPr>
        <w:t xml:space="preserve"> liposomes prior to HIV-1 X4 and R5 capture-transfer</w:t>
      </w:r>
      <w:r w:rsidRPr="00C67322">
        <w:rPr>
          <w:rFonts w:ascii="Palatino Linotype" w:eastAsia="Times New Roman" w:hAnsi="Palatino Linotype" w:cs="Times New Roman"/>
          <w:iCs/>
          <w:snapToGrid w:val="0"/>
          <w:color w:val="000000"/>
          <w:sz w:val="20"/>
          <w:lang w:val="en-US" w:eastAsia="de-DE" w:bidi="en-US"/>
        </w:rPr>
        <w:t xml:space="preserve"> via</w:t>
      </w:r>
      <w:r w:rsidRPr="00C67322">
        <w:rPr>
          <w:rFonts w:ascii="Palatino Linotype" w:eastAsia="Times New Roman" w:hAnsi="Palatino Linotype" w:cs="Times New Roman"/>
          <w:snapToGrid w:val="0"/>
          <w:color w:val="000000"/>
          <w:sz w:val="20"/>
          <w:lang w:val="en-US" w:eastAsia="de-DE" w:bidi="en-US"/>
        </w:rPr>
        <w:t xml:space="preserve">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significantly inhibited the efficiency of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-infection by 1.3- (</w:t>
      </w:r>
      <w:r w:rsidRPr="00C67322">
        <w:rPr>
          <w:rFonts w:ascii="Palatino Linotype" w:eastAsia="Times New Roman" w:hAnsi="Palatino Linotype" w:cs="Times New Roman"/>
          <w:i/>
          <w:iCs/>
          <w:snapToGrid w:val="0"/>
          <w:color w:val="000000"/>
          <w:sz w:val="20"/>
          <w:lang w:val="en-US" w:eastAsia="de-DE" w:bidi="en-US"/>
        </w:rPr>
        <w:t>p-</w:t>
      </w:r>
      <w:r w:rsidRPr="00C67322">
        <w:rPr>
          <w:rFonts w:ascii="Palatino Linotype" w:eastAsia="Times New Roman" w:hAnsi="Palatino Linotype" w:cs="Times New Roman"/>
          <w:snapToGrid w:val="0"/>
          <w:color w:val="000000"/>
          <w:sz w:val="20"/>
          <w:lang w:val="en-US" w:eastAsia="de-DE" w:bidi="en-US"/>
        </w:rPr>
        <w:t>value = 0.0071) and 1.5-fold (</w:t>
      </w:r>
      <w:r w:rsidRPr="00C67322">
        <w:rPr>
          <w:rFonts w:ascii="Palatino Linotype" w:eastAsia="Times New Roman" w:hAnsi="Palatino Linotype" w:cs="Times New Roman"/>
          <w:i/>
          <w:iCs/>
          <w:snapToGrid w:val="0"/>
          <w:color w:val="000000"/>
          <w:sz w:val="20"/>
          <w:lang w:val="en-US" w:eastAsia="de-DE" w:bidi="en-US"/>
        </w:rPr>
        <w:t>p-</w:t>
      </w:r>
      <w:r w:rsidRPr="00C67322">
        <w:rPr>
          <w:rFonts w:ascii="Palatino Linotype" w:eastAsia="Times New Roman" w:hAnsi="Palatino Linotype" w:cs="Times New Roman"/>
          <w:snapToGrid w:val="0"/>
          <w:color w:val="000000"/>
          <w:sz w:val="20"/>
          <w:lang w:val="en-US" w:eastAsia="de-DE" w:bidi="en-US"/>
        </w:rPr>
        <w:t>value = 0.0047) respectively. Similarly, H37Rv and CDC1551 liposomes blocked HIV-1 R5 viruses by 1.3- (</w:t>
      </w:r>
      <w:r w:rsidRPr="00C67322">
        <w:rPr>
          <w:rFonts w:ascii="Palatino Linotype" w:eastAsia="Times New Roman" w:hAnsi="Palatino Linotype" w:cs="Times New Roman"/>
          <w:i/>
          <w:iCs/>
          <w:snapToGrid w:val="0"/>
          <w:color w:val="000000"/>
          <w:sz w:val="20"/>
          <w:lang w:val="en-US" w:eastAsia="de-DE" w:bidi="en-US"/>
        </w:rPr>
        <w:t>p-</w:t>
      </w:r>
      <w:r w:rsidRPr="00C67322">
        <w:rPr>
          <w:rFonts w:ascii="Palatino Linotype" w:eastAsia="Times New Roman" w:hAnsi="Palatino Linotype" w:cs="Times New Roman"/>
          <w:snapToGrid w:val="0"/>
          <w:color w:val="000000"/>
          <w:sz w:val="20"/>
          <w:lang w:val="en-US" w:eastAsia="de-DE" w:bidi="en-US"/>
        </w:rPr>
        <w:t>value = 0.0052) and 1.6-fold (</w:t>
      </w:r>
      <w:r w:rsidRPr="00C67322">
        <w:rPr>
          <w:rFonts w:ascii="Palatino Linotype" w:eastAsia="Times New Roman" w:hAnsi="Palatino Linotype" w:cs="Times New Roman"/>
          <w:i/>
          <w:iCs/>
          <w:snapToGrid w:val="0"/>
          <w:color w:val="000000"/>
          <w:sz w:val="20"/>
          <w:lang w:val="en-US" w:eastAsia="de-DE" w:bidi="en-US"/>
        </w:rPr>
        <w:t>p</w:t>
      </w:r>
      <w:r w:rsidRPr="00C67322">
        <w:rPr>
          <w:rFonts w:ascii="Palatino Linotype" w:eastAsia="Times New Roman" w:hAnsi="Palatino Linotype" w:cs="Times New Roman"/>
          <w:i/>
          <w:iCs/>
          <w:snapToGrid w:val="0"/>
          <w:color w:val="000000"/>
          <w:sz w:val="20"/>
          <w:lang w:val="en-US" w:eastAsia="de-DE" w:bidi="en-US"/>
        </w:rPr>
        <w:softHyphen/>
        <w:t>-</w:t>
      </w:r>
      <w:r w:rsidRPr="00C67322">
        <w:rPr>
          <w:rFonts w:ascii="Palatino Linotype" w:eastAsia="Times New Roman" w:hAnsi="Palatino Linotype" w:cs="Times New Roman"/>
          <w:snapToGrid w:val="0"/>
          <w:color w:val="000000"/>
          <w:sz w:val="20"/>
          <w:lang w:val="en-US" w:eastAsia="de-DE" w:bidi="en-US"/>
        </w:rPr>
        <w:t xml:space="preserve">value = 0.0009) compared to the negative control 0.8PC:0.2Ch. For HN878, one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donor did exhibit heightened transfer of HIV-1 X4 by 2.5-fold and which seemed to follow a trend of activation. Interestingly, cells from another donor showed an increase of HIV-1 X4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in the presence of </w:t>
      </w:r>
      <w:r w:rsidRPr="00C67322">
        <w:rPr>
          <w:rFonts w:ascii="Palatino Linotype" w:eastAsia="Times New Roman" w:hAnsi="Palatino Linotype" w:cs="Times New Roman"/>
          <w:i/>
          <w:iCs/>
          <w:snapToGrid w:val="0"/>
          <w:color w:val="000000"/>
          <w:sz w:val="20"/>
          <w:lang w:val="en-US" w:eastAsia="de-DE" w:bidi="en-US"/>
        </w:rPr>
        <w:t>M. smegmatis</w:t>
      </w:r>
      <w:r w:rsidRPr="00C67322">
        <w:rPr>
          <w:rFonts w:ascii="Palatino Linotype" w:eastAsia="Times New Roman" w:hAnsi="Palatino Linotype" w:cs="Times New Roman"/>
          <w:snapToGrid w:val="0"/>
          <w:color w:val="000000"/>
          <w:sz w:val="20"/>
          <w:lang w:val="en-US" w:eastAsia="de-DE" w:bidi="en-US"/>
        </w:rPr>
        <w:t xml:space="preserve">. There is a clear variation in the impact of </w:t>
      </w:r>
      <w:r w:rsidRPr="00C67322">
        <w:rPr>
          <w:rFonts w:ascii="Palatino Linotype" w:eastAsia="Times New Roman" w:hAnsi="Palatino Linotype" w:cs="Times New Roman"/>
          <w:i/>
          <w:iCs/>
          <w:snapToGrid w:val="0"/>
          <w:color w:val="000000"/>
          <w:sz w:val="20"/>
          <w:lang w:val="en-US" w:eastAsia="de-DE" w:bidi="en-US"/>
        </w:rPr>
        <w:t>Mycobacterium</w:t>
      </w:r>
      <w:r w:rsidRPr="00C67322">
        <w:rPr>
          <w:rFonts w:ascii="Palatino Linotype" w:eastAsia="Times New Roman" w:hAnsi="Palatino Linotype" w:cs="Times New Roman"/>
          <w:snapToGrid w:val="0"/>
          <w:color w:val="000000"/>
          <w:sz w:val="20"/>
          <w:lang w:val="en-US" w:eastAsia="de-DE" w:bidi="en-US"/>
        </w:rPr>
        <w:t xml:space="preserve"> liposomes on HIV-1 X4 and R5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depending on the stage of DC maturation and virus tropism. These results suggest that the DC-SIGN receptor is likely involved in HIV-1 DCs mediated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as well as other receptors expressed by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and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explaining variations between the cells types used.</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The above is supported when analyzing the effect of mannan, a DC-SIGN receptor antagonist, on HIV-1</w:t>
      </w:r>
      <w:r w:rsidRPr="00C67322">
        <w:rPr>
          <w:rFonts w:ascii="Palatino Linotype" w:eastAsia="Times New Roman" w:hAnsi="Palatino Linotype" w:cs="Times New Roman"/>
          <w:i/>
          <w:iCs/>
          <w:snapToGrid w:val="0"/>
          <w:color w:val="000000"/>
          <w:sz w:val="20"/>
          <w:lang w:val="en-US" w:eastAsia="de-DE" w:bidi="en-US"/>
        </w:rPr>
        <w:t xml:space="preserve"> trans</w:t>
      </w:r>
      <w:r w:rsidRPr="00C67322">
        <w:rPr>
          <w:rFonts w:ascii="Palatino Linotype" w:eastAsia="Times New Roman" w:hAnsi="Palatino Linotype" w:cs="Times New Roman"/>
          <w:snapToGrid w:val="0"/>
          <w:color w:val="000000"/>
          <w:sz w:val="20"/>
          <w:lang w:val="en-US" w:eastAsia="de-DE" w:bidi="en-US"/>
        </w:rPr>
        <w:t xml:space="preserve">-infection mediated by Raji-DC-SIGN,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or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(Figure S4). We tested two different concentrations of mannan, which was pre-incubated with each cell type prior to HIV-1 X4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as was performed for liposomes. We observed that Raji-DC-SIGN HIV-1 X4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of TZM-bl cells is strongly inhibited with both concentrations of mannan tested with efficacy decreased to 0.16 with 20 µg/mL and in total with 2 mg/mL of mannan compared to virus alone. Blocking the DC-SIGN receptor with mannan on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seems to not fully inhibit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-infection. Indeed capture-transfer was partially blocked and displayed a dose dependent effect: 20 µg/mL mannan reduced efficacy by 1.5-fold and 2 mg/mL by 2.0-fold. Concerning capture-transfer</w:t>
      </w:r>
      <w:r w:rsidRPr="00C67322">
        <w:rPr>
          <w:rFonts w:ascii="Palatino Linotype" w:eastAsia="Times New Roman" w:hAnsi="Palatino Linotype" w:cs="Times New Roman"/>
          <w:iCs/>
          <w:snapToGrid w:val="0"/>
          <w:color w:val="000000"/>
          <w:sz w:val="20"/>
          <w:lang w:val="en-US" w:eastAsia="de-DE" w:bidi="en-US"/>
        </w:rPr>
        <w:t xml:space="preserve"> via</w:t>
      </w:r>
      <w:r w:rsidRPr="00C67322">
        <w:rPr>
          <w:rFonts w:ascii="Palatino Linotype" w:eastAsia="Times New Roman" w:hAnsi="Palatino Linotype" w:cs="Times New Roman"/>
          <w:snapToGrid w:val="0"/>
          <w:color w:val="000000"/>
          <w:sz w:val="20"/>
          <w:lang w:val="en-US" w:eastAsia="de-DE" w:bidi="en-US"/>
        </w:rPr>
        <w:t xml:space="preserve">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we did not observe any inhibition to HIV-1 X4 capture-transfer but an increase was observed with 2 mg/mL by 1.6-fold. DC-SIGN recognition from antagonists such as mannan can decrease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-infection</w:t>
      </w:r>
      <w:r w:rsidRPr="00C67322">
        <w:rPr>
          <w:rFonts w:ascii="Palatino Linotype" w:eastAsia="Times New Roman" w:hAnsi="Palatino Linotype" w:cs="Times New Roman"/>
          <w:iCs/>
          <w:snapToGrid w:val="0"/>
          <w:color w:val="000000"/>
          <w:sz w:val="20"/>
          <w:lang w:val="en-US" w:eastAsia="de-DE" w:bidi="en-US"/>
        </w:rPr>
        <w:t xml:space="preserve"> via</w:t>
      </w:r>
      <w:r w:rsidRPr="00C67322">
        <w:rPr>
          <w:rFonts w:ascii="Palatino Linotype" w:eastAsia="Times New Roman" w:hAnsi="Palatino Linotype" w:cs="Times New Roman"/>
          <w:snapToGrid w:val="0"/>
          <w:color w:val="000000"/>
          <w:sz w:val="20"/>
          <w:lang w:val="en-US" w:eastAsia="de-DE" w:bidi="en-US"/>
        </w:rPr>
        <w:t xml:space="preserve"> </w:t>
      </w:r>
      <w:proofErr w:type="spellStart"/>
      <w:r w:rsidRPr="00C67322">
        <w:rPr>
          <w:rFonts w:ascii="Palatino Linotype" w:eastAsia="Times New Roman" w:hAnsi="Palatino Linotype" w:cs="Times New Roman"/>
          <w:snapToGrid w:val="0"/>
          <w:color w:val="000000"/>
          <w:sz w:val="20"/>
          <w:lang w:val="en-US" w:eastAsia="de-DE" w:bidi="en-US"/>
        </w:rPr>
        <w:lastRenderedPageBreak/>
        <w:t>iDCs</w:t>
      </w:r>
      <w:proofErr w:type="spellEnd"/>
      <w:r w:rsidRPr="00C67322">
        <w:rPr>
          <w:rFonts w:ascii="Palatino Linotype" w:eastAsia="Times New Roman" w:hAnsi="Palatino Linotype" w:cs="Times New Roman"/>
          <w:snapToGrid w:val="0"/>
          <w:color w:val="000000"/>
          <w:sz w:val="20"/>
          <w:lang w:val="en-US" w:eastAsia="de-DE" w:bidi="en-US"/>
        </w:rPr>
        <w:t xml:space="preserve"> whereas on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the DC-SIGN antagonist could be seen to increase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-infection at the highest concentration.</w:t>
      </w:r>
    </w:p>
    <w:p w:rsidR="00C67322" w:rsidRPr="00C67322" w:rsidRDefault="00C67322" w:rsidP="00C67322">
      <w:pPr>
        <w:adjustRightInd w:val="0"/>
        <w:snapToGrid w:val="0"/>
        <w:spacing w:before="240" w:after="60" w:line="228" w:lineRule="auto"/>
        <w:outlineLvl w:val="0"/>
        <w:rPr>
          <w:rFonts w:ascii="Palatino Linotype" w:eastAsia="Times New Roman" w:hAnsi="Palatino Linotype" w:cs="Times New Roman"/>
          <w:b/>
          <w:snapToGrid w:val="0"/>
          <w:color w:val="000000"/>
          <w:sz w:val="20"/>
          <w:lang w:val="en-US" w:eastAsia="de-DE" w:bidi="en-US"/>
        </w:rPr>
      </w:pPr>
      <w:r w:rsidRPr="00C67322">
        <w:rPr>
          <w:rFonts w:ascii="Palatino Linotype" w:eastAsia="Times New Roman" w:hAnsi="Palatino Linotype" w:cs="Times New Roman"/>
          <w:b/>
          <w:snapToGrid w:val="0"/>
          <w:color w:val="000000"/>
          <w:sz w:val="20"/>
          <w:lang w:val="en-US" w:eastAsia="de-DE" w:bidi="en-US"/>
        </w:rPr>
        <w:t>3. Discussion</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 xml:space="preserve">Here we investigated the role of </w:t>
      </w:r>
      <w:r w:rsidRPr="00C67322">
        <w:rPr>
          <w:rFonts w:ascii="Palatino Linotype" w:eastAsia="Times New Roman" w:hAnsi="Palatino Linotype" w:cs="Times New Roman"/>
          <w:i/>
          <w:iCs/>
          <w:snapToGrid w:val="0"/>
          <w:color w:val="000000"/>
          <w:sz w:val="20"/>
          <w:lang w:val="en-US" w:eastAsia="de-DE" w:bidi="en-US"/>
        </w:rPr>
        <w:t xml:space="preserve">Mycobacterium </w:t>
      </w:r>
      <w:r w:rsidRPr="00C67322">
        <w:rPr>
          <w:rFonts w:ascii="Palatino Linotype" w:eastAsia="Times New Roman" w:hAnsi="Palatino Linotype" w:cs="Times New Roman"/>
          <w:snapToGrid w:val="0"/>
          <w:color w:val="000000"/>
          <w:sz w:val="20"/>
          <w:lang w:val="en-US" w:eastAsia="de-DE" w:bidi="en-US"/>
        </w:rPr>
        <w:t xml:space="preserve">lipid extracts presented </w:t>
      </w:r>
      <w:r w:rsidRPr="00C67322">
        <w:rPr>
          <w:rFonts w:ascii="Palatino Linotype" w:eastAsia="Times New Roman" w:hAnsi="Palatino Linotype" w:cs="Times New Roman"/>
          <w:iCs/>
          <w:snapToGrid w:val="0"/>
          <w:color w:val="000000"/>
          <w:sz w:val="20"/>
          <w:lang w:val="en-US" w:eastAsia="de-DE" w:bidi="en-US"/>
        </w:rPr>
        <w:t xml:space="preserve">via </w:t>
      </w:r>
      <w:r w:rsidRPr="00C67322">
        <w:rPr>
          <w:rFonts w:ascii="Palatino Linotype" w:eastAsia="Times New Roman" w:hAnsi="Palatino Linotype" w:cs="Times New Roman"/>
          <w:snapToGrid w:val="0"/>
          <w:color w:val="000000"/>
          <w:sz w:val="20"/>
          <w:lang w:val="en-US" w:eastAsia="de-DE" w:bidi="en-US"/>
        </w:rPr>
        <w:t xml:space="preserve">liposomes on influencing HIV-1 </w:t>
      </w:r>
      <w:r w:rsidRPr="00C67322">
        <w:rPr>
          <w:rFonts w:ascii="Palatino Linotype" w:eastAsia="Times New Roman" w:hAnsi="Palatino Linotype" w:cs="Times New Roman"/>
          <w:i/>
          <w:iCs/>
          <w:snapToGrid w:val="0"/>
          <w:color w:val="000000"/>
          <w:sz w:val="20"/>
          <w:lang w:val="en-US" w:eastAsia="de-DE" w:bidi="en-US"/>
        </w:rPr>
        <w:t>cis</w:t>
      </w:r>
      <w:r w:rsidRPr="00C67322">
        <w:rPr>
          <w:rFonts w:ascii="Palatino Linotype" w:eastAsia="Times New Roman" w:hAnsi="Palatino Linotype" w:cs="Times New Roman"/>
          <w:snapToGrid w:val="0"/>
          <w:color w:val="000000"/>
          <w:sz w:val="20"/>
          <w:lang w:val="en-US" w:eastAsia="de-DE" w:bidi="en-US"/>
        </w:rPr>
        <w:t xml:space="preserve">- and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From this preliminary analysis of </w:t>
      </w:r>
      <w:proofErr w:type="spellStart"/>
      <w:r w:rsidRPr="00C67322">
        <w:rPr>
          <w:rFonts w:ascii="Palatino Linotype" w:eastAsia="Times New Roman" w:hAnsi="Palatino Linotype" w:cs="Times New Roman"/>
          <w:snapToGrid w:val="0"/>
          <w:color w:val="000000"/>
          <w:sz w:val="20"/>
          <w:lang w:val="en-US" w:eastAsia="de-DE" w:bidi="en-US"/>
        </w:rPr>
        <w:t>utilising</w:t>
      </w:r>
      <w:proofErr w:type="spellEnd"/>
      <w:r w:rsidRPr="00C67322">
        <w:rPr>
          <w:rFonts w:ascii="Palatino Linotype" w:eastAsia="Times New Roman" w:hAnsi="Palatino Linotype" w:cs="Times New Roman"/>
          <w:snapToGrid w:val="0"/>
          <w:color w:val="000000"/>
          <w:sz w:val="20"/>
          <w:lang w:val="en-US" w:eastAsia="de-DE" w:bidi="en-US"/>
        </w:rPr>
        <w:t xml:space="preserve"> generated liposomes containing lipid extract antigen from variant pathogenic (e.g., </w:t>
      </w:r>
      <w:proofErr w:type="spellStart"/>
      <w:r w:rsidRPr="00C67322">
        <w:rPr>
          <w:rFonts w:ascii="Palatino Linotype" w:eastAsia="Times New Roman" w:hAnsi="Palatino Linotype" w:cs="Times New Roman"/>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H37Rv, HN878, CDC1551 and EU127) and non-pathogenic (</w:t>
      </w:r>
      <w:r w:rsidRPr="00C67322">
        <w:rPr>
          <w:rFonts w:ascii="Palatino Linotype" w:eastAsia="Times New Roman" w:hAnsi="Palatino Linotype" w:cs="Times New Roman"/>
          <w:i/>
          <w:iCs/>
          <w:snapToGrid w:val="0"/>
          <w:color w:val="000000"/>
          <w:sz w:val="20"/>
          <w:lang w:val="en-US" w:eastAsia="de-DE" w:bidi="en-US"/>
        </w:rPr>
        <w:t xml:space="preserve">M. </w:t>
      </w:r>
      <w:proofErr w:type="spellStart"/>
      <w:r w:rsidRPr="00C67322">
        <w:rPr>
          <w:rFonts w:ascii="Palatino Linotype" w:eastAsia="Times New Roman" w:hAnsi="Palatino Linotype" w:cs="Times New Roman"/>
          <w:i/>
          <w:iCs/>
          <w:snapToGrid w:val="0"/>
          <w:color w:val="000000"/>
          <w:sz w:val="20"/>
          <w:lang w:val="en-US" w:eastAsia="de-DE" w:bidi="en-US"/>
        </w:rPr>
        <w:t>bovis</w:t>
      </w:r>
      <w:proofErr w:type="spellEnd"/>
      <w:r w:rsidRPr="00C67322">
        <w:rPr>
          <w:rFonts w:ascii="Palatino Linotype" w:eastAsia="Times New Roman" w:hAnsi="Palatino Linotype" w:cs="Times New Roman"/>
          <w:snapToGrid w:val="0"/>
          <w:color w:val="000000"/>
          <w:sz w:val="20"/>
          <w:lang w:val="en-US" w:eastAsia="de-DE" w:bidi="en-US"/>
        </w:rPr>
        <w:t xml:space="preserve"> and </w:t>
      </w:r>
      <w:r w:rsidRPr="00C67322">
        <w:rPr>
          <w:rFonts w:ascii="Palatino Linotype" w:eastAsia="Times New Roman" w:hAnsi="Palatino Linotype" w:cs="Times New Roman"/>
          <w:i/>
          <w:iCs/>
          <w:snapToGrid w:val="0"/>
          <w:color w:val="000000"/>
          <w:sz w:val="20"/>
          <w:lang w:val="en-US" w:eastAsia="de-DE" w:bidi="en-US"/>
        </w:rPr>
        <w:t>M. smegmatis</w:t>
      </w:r>
      <w:r w:rsidRPr="00C67322">
        <w:rPr>
          <w:rFonts w:ascii="Palatino Linotype" w:eastAsia="Times New Roman" w:hAnsi="Palatino Linotype" w:cs="Times New Roman"/>
          <w:snapToGrid w:val="0"/>
          <w:color w:val="000000"/>
          <w:sz w:val="20"/>
          <w:lang w:val="en-US" w:eastAsia="de-DE" w:bidi="en-US"/>
        </w:rPr>
        <w:t xml:space="preserve">) </w:t>
      </w:r>
      <w:r w:rsidRPr="00C67322">
        <w:rPr>
          <w:rFonts w:ascii="Palatino Linotype" w:eastAsia="Times New Roman" w:hAnsi="Palatino Linotype" w:cs="Times New Roman"/>
          <w:i/>
          <w:iCs/>
          <w:snapToGrid w:val="0"/>
          <w:color w:val="000000"/>
          <w:sz w:val="20"/>
          <w:lang w:val="en-US" w:eastAsia="de-DE" w:bidi="en-US"/>
        </w:rPr>
        <w:t>Mycobacterium</w:t>
      </w:r>
      <w:r w:rsidRPr="00C67322">
        <w:rPr>
          <w:rFonts w:ascii="Palatino Linotype" w:eastAsia="Times New Roman" w:hAnsi="Palatino Linotype" w:cs="Times New Roman"/>
          <w:snapToGrid w:val="0"/>
          <w:color w:val="000000"/>
          <w:sz w:val="20"/>
          <w:lang w:val="en-US" w:eastAsia="de-DE" w:bidi="en-US"/>
        </w:rPr>
        <w:t xml:space="preserve"> strains we observed no difference between strains for influencing HIV-1 X4 or HIV-1 R5 direct infection of TZM-bl cells. The bacterial glycolipid antigens presented on liposomes therefore did not interfere with direct HIV-1 entry to target cells</w:t>
      </w:r>
      <w:r w:rsidRPr="00C67322">
        <w:rPr>
          <w:rFonts w:ascii="Palatino Linotype" w:eastAsia="Times New Roman" w:hAnsi="Palatino Linotype" w:cs="Times New Roman"/>
          <w:iCs/>
          <w:snapToGrid w:val="0"/>
          <w:color w:val="000000"/>
          <w:sz w:val="20"/>
          <w:lang w:val="en-US" w:eastAsia="de-DE" w:bidi="en-US"/>
        </w:rPr>
        <w:t xml:space="preserve"> via</w:t>
      </w:r>
      <w:r w:rsidRPr="00C67322">
        <w:rPr>
          <w:rFonts w:ascii="Palatino Linotype" w:eastAsia="Times New Roman" w:hAnsi="Palatino Linotype" w:cs="Times New Roman"/>
          <w:snapToGrid w:val="0"/>
          <w:color w:val="000000"/>
          <w:sz w:val="20"/>
          <w:lang w:val="en-US" w:eastAsia="de-DE" w:bidi="en-US"/>
        </w:rPr>
        <w:t xml:space="preserve"> either the CCR5 or CXCR4 co-receptor. This indicates that the interaction and binding of HIV-1 envelope protein sub-unit gp120 with CD4 receptor and co-receptors CCR5 and CXCR4 is not impacted by mycobacterial glycolipids. These results support that the mechanisms involved in enhancement of HIV-1 replication observed in co-infected patient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{"citationItems":[{"id":"ITEM-1","itemData":{"DOI":"10.1164/ajrccm.155.3.9117038","ISBN":"1073-449X (Print)\\r1073-449X (Linking)","ISSN":"1073-449X","PMID":"9117038","abstract":"We investigated the in vivo effect of coinfection of Mycobacterium tuberculosis on human immunodeficiency virus type 1 (HIV-1) replication using bronchoalveolar lavage (BAL) of 11 HIV-1-infected patients with pulmonary tuberculosis and 10 patients with no lung disease. Lung segments involved with pulmonary tuberculosis had significantly elevated HIV-1 branched DNA (bDNA) levels and p24 in BAL compared with lung segments uninvolved with tuberculosis or with BAL from patients with no lung disease. The BAL viral burden was higher than plasma HIV-1 in tuberculosis patients, indicating local production of virus. BAL HIV-1 bDNA declined over the course of treatment for tuberculosis in three patients who underwent serial bronchoscopies. Tumor necrosis factor-alpha (TNF-alpha) and HIV-1 bDNA particles were strongly correlated (r2 = 0.9, p &lt; 0.01) in lung segments involved with tuberculosis. The deduced amino acid sequence of HIV-1 gp120 V3 region from involved segments of three patients with pulmonary tuberculosis showed basic substitutions associated with altered viral phenotype. Phylogenetic analysis of V3 sequences demonstrated that BAL HIV-1 RNA had diverged from plasma. These data support the conclusion that pulmonary tuberculosis enhances local HIV-1 replication in vivo.","author":[{"dropping-particle":"","family":"Nakata","given":"K","non-dropping-particle":"","parse-names":false,"suffix":""},{"dropping-particle":"","family":"Rom","given":"W N","non-dropping-particle":"","parse-names":false,"suffix":""},{"dropping-particle":"","family":"Honda","given":"Y","non-dropping-particle":"","parse-names":false,"suffix":""},{"dropping-particle":"","family":"Condos","given":"R","non-dropping-particle":"","parse-names":false,"suffix":""},{"dropping-particle":"","family":"Kanegasaki","given":"S","non-dropping-particle":"","parse-names":false,"suffix":""},{"dropping-particle":"","family":"Cao","given":"Y","non-dropping-particle":"","parse-names":false,"suffix":""},{"dropping-particle":"","family":"Weiden","given":"M","non-dropping-particle":"","parse-names":false,"suffix":""}],"container-title":"American journal of respiratory and critical care medicine","id":"ITEM-1","issue":"3","issued":{"date-parts":[["1997","3"]]},"page":"996-1003","title":"Mycobacterium tuberculosis enhances human immunodeficiency virus-1 replication in the lung.","type":"article-journal","volume":"155"},"uris":["http://www.mendeley.com/documents/?uuid=3a7f95ed-6746-4a0d-8a44-594d7458e3d6"]},{"id":"ITEM-2","itemData":{"DOI":"10.1086/323649","ISBN":"0022-1899 (Print)\\r0022-1899 (Linking)","ISSN":"0022-1899","PMID":"11598835","abstract":"This study examined the impact of the host inflammatory microenvironment associated with localized tuberculosis (TB) on human immunodeficiency virus type 1 (HIV-1) replication within lymphocytes and macrophages in vivo. Paired plasma and pleural fluid samples from HIV-1-infected individuals with pleural TB (n=9) were analyzed. Detection of host proteins incorporated into the HIV-1 envelope by immunomagnetic capture analysis provided insight into the phenotype of cells supporting HIV-1 replication. The results indicated that the 4.0-fold greater median HIV-1 load in pleural fluid, compared with median load in plasma (P&lt;.01), was derived in part from viral replication within HLA-DR+ cells, CD26+ lymphocytes, and, importantly, CD14+ macrophages. Greatly increased local concentrations of proinflammatory cytokines and immune activation markers in the pleural space correlated with the virologic findings. In summary, HIV-1 replication was increased at sites of Mycobacterium tuberculosis coinfection within activated cells, including lymphocytes and CD14+ macrophages.","author":[{"dropping-particle":"","family":"Lawn","given":"Stephen D.","non-dropping-particle":"","parse-names":false,"suffix":""},{"dropping-particle":"","family":"Pisell","given":"Tracy L.","non-dropping-particle":"","parse-names":false,"suffix":""},{"dropping-particle":"","family":"Hirsch","given":"Christina S.","non-dropping-particle":"","parse-names":false,"suffix":""},{"dropping-particle":"","family":"Wu","given":"Mianda","non-dropping-particle":"","parse-names":false,"suffix":""},{"dropping-particle":"","family":"Butera","given":"Salvatore T.","non-dropping-particle":"","parse-names":false,"suffix":""},{"dropping-particle":"","family":"Toossi","given":"Zahra","non-dropping-particle":"","parse-names":false,"suffix":""}],"container-title":"The Journal of infectious diseases","id":"ITEM-2","issue":"9","issued":{"date-parts":[["2001","11","1"]]},"page":"1127-33","title":"Anatomically compartmentalized human immunodeficiency virus replication in HLA-DR+ cells and CD14+ macrophages at the site of pleural tuberculosis coinfection.","type":"article-journal","volume":"184"},"uris":["http://www.mendeley.com/documents/?uuid=e0b6a4c7-b1d4-4646-870d-841791b5f383"]}],"mendeley":{"formattedCitation":"[75,76]","plainTextFormattedCitation":"[75,76]","previouslyFormattedCitation":"[78,79]"},"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[75,76]</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xml:space="preserve"> is most likely due to the modulation of the immune system by</w:t>
      </w:r>
      <w:r w:rsidRPr="00C67322">
        <w:rPr>
          <w:rFonts w:ascii="Palatino Linotype" w:eastAsia="Times New Roman" w:hAnsi="Palatino Linotype" w:cs="Times New Roman"/>
          <w:i/>
          <w:iCs/>
          <w:snapToGrid w:val="0"/>
          <w:color w:val="000000"/>
          <w:sz w:val="20"/>
          <w:lang w:val="en-US" w:eastAsia="de-DE" w:bidi="en-US"/>
        </w:rPr>
        <w:t xml:space="preserve">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infection and do not involve an increase of HIV-1 entry efficacy </w:t>
      </w:r>
      <w:r w:rsidRPr="00C67322">
        <w:rPr>
          <w:rFonts w:ascii="Palatino Linotype" w:eastAsia="Times New Roman" w:hAnsi="Palatino Linotype" w:cs="Times New Roman"/>
          <w:iCs/>
          <w:snapToGrid w:val="0"/>
          <w:color w:val="000000"/>
          <w:sz w:val="20"/>
          <w:lang w:val="en-US" w:eastAsia="de-DE" w:bidi="en-US"/>
        </w:rPr>
        <w:t xml:space="preserve">via </w:t>
      </w:r>
      <w:r w:rsidRPr="00C67322">
        <w:rPr>
          <w:rFonts w:ascii="Palatino Linotype" w:eastAsia="Times New Roman" w:hAnsi="Palatino Linotype" w:cs="Times New Roman"/>
          <w:snapToGrid w:val="0"/>
          <w:color w:val="000000"/>
          <w:sz w:val="20"/>
          <w:lang w:val="en-US" w:eastAsia="de-DE" w:bidi="en-US"/>
        </w:rPr>
        <w:t>direct interaction</w:t>
      </w:r>
      <w:r w:rsidRPr="00C67322">
        <w:rPr>
          <w:rFonts w:ascii="Palatino Linotype" w:eastAsia="Times New Roman" w:hAnsi="Palatino Linotype" w:cs="Times New Roman"/>
          <w:i/>
          <w:iCs/>
          <w:snapToGrid w:val="0"/>
          <w:color w:val="000000"/>
          <w:sz w:val="20"/>
          <w:lang w:val="en-US" w:eastAsia="de-DE" w:bidi="en-US"/>
        </w:rPr>
        <w:t xml:space="preserve"> </w:t>
      </w:r>
      <w:r w:rsidRPr="00C67322">
        <w:rPr>
          <w:rFonts w:ascii="Palatino Linotype" w:eastAsia="Times New Roman" w:hAnsi="Palatino Linotype" w:cs="Times New Roman"/>
          <w:iCs/>
          <w:snapToGrid w:val="0"/>
          <w:color w:val="000000"/>
          <w:sz w:val="20"/>
          <w:lang w:val="en-US" w:eastAsia="de-DE" w:bidi="en-US"/>
        </w:rPr>
        <w:t xml:space="preserve">with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i/>
          <w:iCs/>
          <w:snapToGrid w:val="0"/>
          <w:color w:val="000000"/>
          <w:sz w:val="20"/>
          <w:lang w:val="en-US" w:eastAsia="de-DE" w:bidi="en-US"/>
        </w:rPr>
        <w:t xml:space="preserve"> </w:t>
      </w:r>
      <w:r w:rsidRPr="00C67322">
        <w:rPr>
          <w:rFonts w:ascii="Palatino Linotype" w:eastAsia="Times New Roman" w:hAnsi="Palatino Linotype" w:cs="Times New Roman"/>
          <w:snapToGrid w:val="0"/>
          <w:color w:val="000000"/>
          <w:sz w:val="20"/>
          <w:lang w:val="en-US" w:eastAsia="de-DE" w:bidi="en-US"/>
        </w:rPr>
        <w:t>components.</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 xml:space="preserve">However, our data suggest that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glycolipids potentially impair or enhance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where DCs capture and present virus to CD4 T cells, with important implications for virus transmission and dissemination. The capture of infectious virions and subsequent transmission to uninfected cells occurs by attachment of the glycoprotein Env to DC receptors such as MR or DC-SIGN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{"citationItems":[{"id":"ITEM-1","itemData":{"DOI":"10.1084/jem.182.2.389","ISBN":"0022-1007 (Print)\\r0022-1007 (Linking)","ISSN":"0022-1007","PMID":"7629501","abstract":"We have previously demonstrated that human peripheral blood low density mononuclear cells cultured in granulocyte/macrophage colony-stimulating factor (GM-CSF) and interleukin (IL)-4 develop into dendritic cells (DCs) that are extremely efficient in presenting soluble antigens to T cells. To identify the mechanisms responsible for efficient antigen capture, we studied the endocytic capacity of DCs using fluorescein isothiocyanate-dextran, horseradish peroxidase, and lucifer yellow. We found that DCs use two distinct mechanisms for antigen capture. The first is a high level of fluid phase uptake via macropinocytosis. In contrast to what has been found with other cell types, macropinocytosis in DCs is constitutive and allows continuous internalization of large volumes of fluid. The second mechanism of capture is mediated via the mannose receptor (MR), which is expressed at high levels on DCs. At low ligand concentrations, the MR can deliver a large number of ligands to the cell in successive rounds. Thus, while macropinocytosis endows DCs with a high capacity, nonsaturable mechanism for capture of any soluble antigen, the MR gives an extra capacity for antigen capture with some degree of selectivity for non-self molecules. In addition to their high endocytic capacity, DCs from GM-CSF + IL-4-dependent cultures are characterized by the presence of a large intracellular compartment that contains high levels of class II molecules, cathepsin D, and lysosomal-associated membrane protein-1, and is rapidly accessible to endocytic markers. We investigated whether the capacity of DCs to capture and process antigen could be modulated by exogenous stimuli. We found that DCs respond to tumor necrosis factor alpha, CD40 ligand, IL-1, and lipopolysaccharide with a coordinate series of changes that include downregulation of macropinocytosis and Fc receptors, disappearance of the class II compartment, and upregulation of adhesion and costimulatory molecules. These changes occur within 1-2 d and are irreversible, since neither pinocytosis nor the class II compartment are recovered when the maturation-inducing stimulus is removed. The specificity of the MR and the capacity to respond to inflammatory stimuli maximize the capacity of DCs to present infectious non-self antigens to T cells.","author":[{"dropping-particle":"","family":"Sallusto","given":"F.","non-dropping-particle":"","parse-names":false,"suffix":""},{"dropping-particle":"","family":"Cella","given":"M","non-dropping-particle":"","parse-names":false,"suffix":""},{"dropping-particle":"","family":"Danieli","given":"C","non-dropping-particle":"","parse-names":false,"suffix":""},{"dropping-particle":"","family":"Lanzavecchia","given":"A","non-dropping-particle":"","parse-names":false,"suffix":""}],"container-title":"The Journal of experimental medicine","id":"ITEM-1","issue":"2","issued":{"date-parts":[["1995","8","1"]]},"page":"389-400","title":"Dendritic cells use macropinocytosis and the mannose receptor to concentrate macromolecules in the major histocompatibility complex class II compartment: downregulation by cytokines and bacterial products.","type":"article-journal","volume":"182"},"uris":["http://www.mendeley.com/documents/?uuid=8d635573-d655-4c81-98fd-00ca2a1c1b1f"]},{"id":"ITEM-2","itemData":{"DOI":"10.1128/JVI.76.21.10692-10701.2002","ISBN":"0022-538X (Print)\\r0022-538X (Linking)","ISSN":"0022-538X","PMID":"12368311","abstract":"Human immunodeficiency virus type 1 (HIV-1)-infected and activated CD4(+) T cells have short half-lives in vivo (&lt;2 days). We have established an in vitro culture system in which infected T cells are turned over frequently to provide a model system that examines this important facet of in vivo HIV-1 replication. We observed that virus replication in T cells under rapid-turnover conditions was possible only when immature dendritic cells or DC-SIGN-expressing cells mediated HIV-1 transmission to T cells. Virus replication was initiated more rapidly in T cells infected with the cell-associated form of virus compared to infection by the cell-free route. This accelerated transfer of virus required adhesion molecule-mediated interactions between the virus-presenting cell and T cell, but surprisingly, HIV-1 transfer could occur independently of DC-SIGN (DC-specific intracellular adhesion molecule 3 [ICAM-3]-grabbing nonintegrin)in the dendritic-cell-T-cell cocultures. These results suggest that dendritic cell-mediated transmission of HIV-1 enables virus replication under conditions of rapid cell turnover in vivo.","author":[{"dropping-particle":"","family":"Gummuluru","given":"Suryaram","non-dropping-particle":"","parse-names":false,"suffix":""},{"dropping-particle":"","family":"KewalRamani","given":"Vineet N.","non-dropping-particle":"","parse-names":false,"suffix":""},{"dropping-particle":"","family":"Emerman","given":"Michael","non-dropping-particle":"","parse-names":false,"suffix":""}],"container-title":"Journal of virology","id":"ITEM-2","issue":"21","issued":{"date-parts":[["2002","11"]]},"page":"10692-701","title":"Dendritic cell-mediated viral transfer to T cells is required for human immunodeficiency virus type 1 persistence in the face of rapid cell turnover.","type":"article-journal","volume":"76"},"uris":["http://www.mendeley.com/documents/?uuid=80a38bfc-9dff-462f-b0a9-a06bd1e364ed"]},{"id":"ITEM-3","itemData":{"DOI":"10.1126/science.1084238","ISBN":"0036-8075","ISSN":"1095-9203","PMID":"12730499","abstract":"Monocyte-derived dendritic cells (MDDCs) can efficiently bind and transfer HIV infectivity without themselves becoming infected. Using live-cell microscopy, we found that HIV was recruited to sites of cell contact in MDDCs. Analysis of conjugates between MDDCs and T cells revealed that, in the absence of antigen-specific signaling, the HIV receptors CD4, CCR5, and CXCR4 on the T cell were recruited to the interface while the MDDCs concentrated HIV to the same region. We propose that contact between dendritic cells and T cells facilitates transmission of HIV by locally concentrating virus, receptor, and coreceptor during the formation of an infectious synapse.","author":[{"dropping-particle":"","family":"McDonald","given":"David","non-dropping-particle":"","parse-names":false,"suffix":""},{"dropping-particle":"","family":"Wu","given":"Li","non-dropping-particle":"","parse-names":false,"suffix":""},{"dropping-particle":"","family":"Bohks","given":"Stacy M.","non-dropping-particle":"","parse-names":false,"suffix":""},{"dropping-particle":"","family":"KewalRamani","given":"Vineet N.","non-dropping-particle":"","parse-names":false,"suffix":""},{"dropping-particle":"","family":"Unutmaz","given":"Derya","non-dropping-particle":"","parse-names":false,"suffix":""},{"dropping-particle":"","family":"Hope","given":"Thomas J.","non-dropping-particle":"","parse-names":false,"suffix":""}],"container-title":"Science (New York, N.Y.)","id":"ITEM-3","issue":"5623","issued":{"date-parts":[["2003","5","23"]]},"page":"1295-7","title":"Recruitment of HIV and its receptors to dendritic cell-T cell junctions.","type":"article-journal","volume":"300"},"uris":["http://www.mendeley.com/documents/?uuid=5f935fa9-18f3-45dd-b1ee-0c5ba4cb7fb7"]},{"id":"ITEM-4","itemData":{"DOI":"10.1189/jlb.0503208","ISBN":"0741-5400","ISSN":"0741-5400","PMID":"12960229","abstract":"Dendritic cells play a major role in HIV pathogenesis. Epithelial dendritic cells appear to be one of the first cells infected after sexual transmission and transfer of the virus to CD4 lymphocytes, simultaneously activating these cells to produce high levels of HIV replication. Such transfer may occur locally in inflamed mucosa or after dendritic cells have matured and migrated to local lymph nodes. Therefore, the mechanism of binding, internalization, infection and transfer of HIV to CD4 lymphocytes is of great interest. Recently, the role of the C-type lectin DC-SIGN as a dendritic cell receptor for HIV has been intensively studied with in vitro monocyte-derived dendritic cells. However, it is clear that other C-type lectin receptors such as Langerin on Langerhan cells and mannose receptor on dermal dendritic cells are at least equally important for gp120 binding on epithelial dendritic cells. C-type lectin receptors play a role in virus transfer to T cells, either via de novo infection (\"cis transfer\") or without infection (\"in trans\" or transinfection). Both these processes are important in vitro, and both may have a role in vivo, although the low-level infection of immature dendritic cells may be more important as it leads to R5 HIV strain selection and persistence of virus within dendritic cells for at least 24 h, sufficient for these cells to transit to lymph nodes. The exact details of these processes are currently the subject of intense study.","author":[{"dropping-particle":"","family":"Turville","given":"Stuart","non-dropping-particle":"","parse-names":false,"suffix":""},{"dropping-particle":"","family":"Wilkinson","given":"John","non-dropping-particle":"","parse-names":false,"suffix":""},{"dropping-particle":"","family":"Cameron","given":"Paul","non-dropping-particle":"","parse-names":false,"suffix":""},{"dropping-particle":"","family":"Dable","given":"Joanne","non-dropping-particle":"","parse-names":false,"suffix":""},{"dropping-particle":"","family":"Cunningham","given":"Anthony L","non-dropping-particle":"","parse-names":false,"suffix":""}],"container-title":"Journal of leukocyte biology","id":"ITEM-4","issue":"5","issued":{"date-parts":[["2003"]]},"page":"710-718","title":"The role of dendritic cell C-type lectin receptors in HIV pathogenesis.","type":"article-journal","volume":"74"},"uris":["http://www.mendeley.com/documents/?uuid=3b850699-a5f6-40f5-bfe0-a1d077fdbdae"]},{"id":"ITEM-5","itemData":{"DOI":"10.1111/j.1600-0854.2005.00293.x","ISBN":"1398-9219 (Print)\\r1398-9219 (Linking)","ISSN":"13989219","PMID":"15882445","abstract":"Dendritic cells (DCs) are essential components of the early events of HIV infection. Here, we characterized the trafficking pathways that HIV-1 follows during its capture by DCs and its subsequent presentation to CD4(+) T cells via an infectious synapse. Immunofluorescence microscopy indicates that the virus-containing compartment in mature DCs (mDCs) co-labels for the tetraspanins CD81, CD82, and CD9 but contains little CD63 or LAMP-1. Using ratio imaging of pH-reporting fluorescent virions in live DCs, we show that HIV-1 is internalized in an intracellular endocytic compartment with a pH of 6.2. Significantly, we demonstrate that the infectivity of cell-free virus is more stable at mildly acidic pH than at neutral pH. Using electron microscopy, we confirm that HIV-1 accumulates in intracellular vacuoles that contain CD81 positive internal membranes but overlaps only partially with CD63. When allowed to contact T cells, HIV-1-loaded DCs redistribute CD81, and CD9, as well as internalized HIV-1, but not the immunological synapse markers MHC-II and T-cell receptor to the infectious synapse. Together, our results indicate that HIV-1 is internalized into a non-conventional, non-lysosomal, endocytic compartment in mDCs and further suggest that HIV-1 is able to selectively subvert components of the intracellular trafficking machinery required for formation of the DC-T-cell immunological synapse to facilitate its own cell-to-cell transfer and propagation.","author":[{"dropping-particle":"","family":"Garcia","given":"Eduardo","non-dropping-particle":"","parse-names":false,"suffix":""},{"dropping-particle":"","family":"Pion","given":"Marjorie","non-dropping-particle":"","parse-names":false,"suffix":""},{"dropping-particle":"","family":"Pelchen-Matthews","given":"Annegret","non-dropping-particle":"","parse-names":false,"suffix":""},{"dropping-particle":"","family":"Collinson","given":"Lucy","non-dropping-particle":"","parse-names":false,"suffix":""},{"dropping-particle":"","family":"Arrighi","given":"Jean Francois","non-dropping-particle":"","parse-names":false,"suffix":""},{"dropping-particle":"","family":"Blot","given":"Guillaume","non-dropping-particle":"","parse-names":false,"suffix":""},{"dropping-particle":"","family":"Leuba","given":"Florence","non-dropping-particle":"","parse-names":false,"suffix":""},{"dropping-particle":"","family":"Escola","given":"Jean Michel","non-dropping-particle":"","parse-names":false,"suffix":""},{"dropping-particle":"","family":"Demaurex","given":"Nicolas","non-dropping-particle":"","parse-names":false,"suffix":""},{"dropping-particle":"","family":"Marsh","given":"Mark","non-dropping-particle":"","parse-names":false,"suffix":""},{"dropping-particle":"","family":"Piguet","given":"Vincent","non-dropping-particle":"","parse-names":false,"suffix":""}],"container-title":"Traffic","id":"ITEM-5","issue":"6","issued":{"date-parts":[["2005"]]},"page":"488-501","title":"HIV-1 trafficking to the dendritic cell-T-cell infectious synapse uses a pathway of tetraspanin sorting to the immunological synapse","type":"article-journal","volume":"6"},"uris":["http://www.mendeley.com/documents/?uuid=8cfc9e45-aefe-4fa2-bdd0-4239174a956f"]},{"id":"ITEM-6","itemData":{"DOI":"10.1097/COH.0b013e32830634c6","ISBN":"2122633255","ISSN":"1746-6318","PMID":"18802490","abstract":"PURPOSE OF REVIEW HIV-1 mucosal transmission plays a critical role in HIV-1 infection and AIDS pathogenesis. This review summarizes the latest advances in biological studies of HIV-1 mucosal transmission, highlighting the implications of these studies in the development of microbicides to prevent HIV-1 transmission. RECENT FINDINGS New studies of initial HIV-1 infection using improved culture models updated the current view of mucosal transmission. Mechanistic studies enhanced our understanding of cell-cell transmission of HIV-1 mediated by the major target cells, including dendritic cells, CD4(+) T cells, and macrophages. Increasing evidence indicated the significance of host factors and immune responses in HIV-1 mucosal infection and transmission. SUMMARY Recent progress in HIV-1 mucosal infection and transmission enriches our knowledge of virus-host interactions and viral pathogenesis. Functional studies of HIV-1 interactions with host cells can provide new insights into the design of more effective approaches to combat HIV-1 infection and AIDS.","author":[{"dropping-particle":"","family":"Wu","given":"Li","non-dropping-particle":"","parse-names":false,"suffix":""}],"container-title":"Current opinion in HIV and AIDS","id":"ITEM-6","issue":"5","issued":{"date-parts":[["2008","9"]]},"page":"534-40","title":"Biology of HIV mucosal transmission.","type":"article-journal","volume":"3"},"uris":["http://www.mendeley.com/documents/?uuid=7087e0d6-eb8b-45b6-aed9-95707d6019ba"]}],"mendeley":{"formattedCitation":"[8–10,13,77,78]","plainTextFormattedCitation":"[8–10,13,77,78]","previouslyFormattedCitation":"[8–10,13,80,81]"},"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[8–10,13,77,78]</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xml:space="preserve">. We demonstrate that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of both R5 and X4 tropic HIV-1, mediated by DC-SIGN receptor, was impaired in the presence of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glycolipids from </w:t>
      </w:r>
      <w:r w:rsidRPr="00C67322">
        <w:rPr>
          <w:rFonts w:ascii="Palatino Linotype" w:eastAsia="Times New Roman" w:hAnsi="Palatino Linotype" w:cs="Times New Roman"/>
          <w:i/>
          <w:iCs/>
          <w:snapToGrid w:val="0"/>
          <w:color w:val="000000"/>
          <w:sz w:val="20"/>
          <w:lang w:val="en-US" w:eastAsia="de-DE" w:bidi="en-US"/>
        </w:rPr>
        <w:t xml:space="preserve">M. </w:t>
      </w:r>
      <w:proofErr w:type="spellStart"/>
      <w:r w:rsidRPr="00C67322">
        <w:rPr>
          <w:rFonts w:ascii="Palatino Linotype" w:eastAsia="Times New Roman" w:hAnsi="Palatino Linotype" w:cs="Times New Roman"/>
          <w:i/>
          <w:iCs/>
          <w:snapToGrid w:val="0"/>
          <w:color w:val="000000"/>
          <w:sz w:val="20"/>
          <w:lang w:val="en-US" w:eastAsia="de-DE" w:bidi="en-US"/>
        </w:rPr>
        <w:t>bovis</w:t>
      </w:r>
      <w:proofErr w:type="spellEnd"/>
      <w:r w:rsidRPr="00C67322">
        <w:rPr>
          <w:rFonts w:ascii="Palatino Linotype" w:eastAsia="Times New Roman" w:hAnsi="Palatino Linotype" w:cs="Times New Roman"/>
          <w:snapToGrid w:val="0"/>
          <w:color w:val="000000"/>
          <w:sz w:val="20"/>
          <w:lang w:val="en-US" w:eastAsia="de-DE" w:bidi="en-US"/>
        </w:rPr>
        <w:t xml:space="preserve">,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H37Rv and</w:t>
      </w:r>
      <w:r w:rsidRPr="00C67322">
        <w:rPr>
          <w:rFonts w:ascii="Palatino Linotype" w:eastAsia="Times New Roman" w:hAnsi="Palatino Linotype" w:cs="Times New Roman"/>
          <w:i/>
          <w:iCs/>
          <w:snapToGrid w:val="0"/>
          <w:color w:val="000000"/>
          <w:sz w:val="20"/>
          <w:lang w:val="en-US" w:eastAsia="de-DE" w:bidi="en-US"/>
        </w:rPr>
        <w:t xml:space="preserve">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EU127 strains. Unexpectedly, we identified TDM, SL1 and PDIM glycolipids to be involved in DC-SIGN recognition and impairment of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by using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H37Rv total lipids fractionation. TDM is a major contributor of the immune simulation and is known to interact with C-type lectin receptor </w:t>
      </w:r>
      <w:proofErr w:type="spellStart"/>
      <w:r w:rsidRPr="00C67322">
        <w:rPr>
          <w:rFonts w:ascii="Palatino Linotype" w:eastAsia="Times New Roman" w:hAnsi="Palatino Linotype" w:cs="Times New Roman"/>
          <w:snapToGrid w:val="0"/>
          <w:color w:val="000000"/>
          <w:sz w:val="20"/>
          <w:lang w:val="en-US" w:eastAsia="de-DE" w:bidi="en-US"/>
        </w:rPr>
        <w:t>Mincle</w:t>
      </w:r>
      <w:proofErr w:type="spellEnd"/>
      <w:r w:rsidRPr="00C67322">
        <w:rPr>
          <w:rFonts w:ascii="Palatino Linotype" w:eastAsia="Times New Roman" w:hAnsi="Palatino Linotype" w:cs="Times New Roman"/>
          <w:snapToGrid w:val="0"/>
          <w:color w:val="000000"/>
          <w:sz w:val="20"/>
          <w:lang w:val="en-US" w:eastAsia="de-DE" w:bidi="en-US"/>
        </w:rPr>
        <w:t xml:space="preserve"> expressed on macrophages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{"citationItems":[{"id":"ITEM-1","itemData":{"DOI":"10.1084/jem.20091750","ISBN":"1540-9538 (Electronic)\\r0022-1007 (Linking)","ISSN":"1540-9538","PMID":"20008526","abstract":"Tuberculosis remains a fatal disease caused by Mycobacterium tuberculosis, which contains various unique components that affect the host immune system. Trehalose-6,6'-dimycolate (TDM; also called cord factor) is a mycobacterial cell wall glycolipid that is the most studied immunostimulatory component of M. tuberculosis. Despite five decades of research on TDM, its host receptor has not been clearly identified. Here, we demonstrate that macrophage inducible C-type lectin (Mincle) is an essential receptor for TDM. Heat-killed mycobacteria activated Mincle-expressing cells, but the activity was lost upon delipidation of the bacteria; analysis of the lipid extracts identified TDM as a Mincle ligand. TDM activated macrophages to produce inflammatory cytokines and nitric oxide, which are completely suppressed in Mincle-deficient macrophages. In vivo TDM administration induced a robust elevation of inflammatory cytokines in sera and characteristic lung inflammation, such as granuloma formation. However, no TDM-induced lung granuloma was formed in Mincle-deficient mice. Whole mycobacteria were able to activate macrophages even in MyD88-deficient background, but the activation was significantly diminished in Mincle/MyD88 double-deficient macrophages. These results demonstrate that Mincle is an essential receptor for the mycobacterial glycolipid, TDM.","author":[{"dropping-particle":"","family":"Ishikawa","given":"Eri","non-dropping-particle":"","parse-names":false,"suffix":""},{"dropping-particle":"","family":"Ishikawa","given":"Tetsuaki","non-dropping-particle":"","parse-names":false,"suffix":""},{"dropping-particle":"","family":"Morita","given":"Yasu S.","non-dropping-particle":"","parse-names":false,"suffix":""},{"dropping-particle":"","family":"Toyonaga","given":"Kenji","non-dropping-particle":"","parse-names":false,"suffix":""},{"dropping-particle":"","family":"Yamada","given":"Hisakata","non-dropping-particle":"","parse-names":false,"suffix":""},{"dropping-particle":"","family":"Takeuchi","given":"Osamu","non-dropping-particle":"","parse-names":false,"suffix":""},{"dropping-particle":"","family":"Kinoshita","given":"Taroh","non-dropping-particle":"","parse-names":false,"suffix":""},{"dropping-particle":"","family":"Akira","given":"Shizuo","non-dropping-particle":"","parse-names":false,"suffix":""},{"dropping-particle":"","family":"Yoshikai","given":"Yasunobu","non-dropping-particle":"","parse-names":false,"suffix":""},{"dropping-particle":"","family":"Yamasaki","given":"Sho","non-dropping-particle":"","parse-names":false,"suffix":""}],"container-title":"The Journal of experimental medicine","id":"ITEM-1","issue":"13","issued":{"date-parts":[["2009","12","21"]]},"page":"2879-88","title":"Direct recognition of the mycobacterial glycolipid, trehalose dimycolate, by C-type lectin Mincle.","type":"article-journal","volume":"206"},"uris":["http://www.mendeley.com/documents/?uuid=dc2d0b0a-c3c9-4ae6-a30c-72bddfe32d8c"]},{"id":"ITEM-2","itemData":{"DOI":"10.1016/j.immuni.2013.03.010","ISSN":"1097-4180","PMID":"23602766","abstract":"Cord factor, also called trehalose-6,6'-dimycolate (TDM), is a potent mycobacterial adjuvant. We herein report that the C-type lectin MCL (also called Clec4d) is a TDM receptor that is likely to arise from gene duplication of Mincle (also called Clec4e). Mincle is known to be an inducible receptor recognizing TDM, whereas MCL was constitutively expressed in myeloid cells. To examine the contribution of MCL in response to TDM adjuvant, we generated MCL-deficient mice. TDM promoted innate immune responses, such as granuloma formation, which was severely impaired in MCL-deficient mice. TDM-induced acquired immune responses, such as experimental autoimmune encephalomyelitis (EAE), was almost completely dependent on MCL, but not Mincle. Furthermore, by generating Clec4e(gfp) reporter mice, we found that MCL was also crucial for driving Mincle induction upon TDM stimulation. These results suggest that MCL is an FcRγ-coupled activating receptor that mediates the adjuvanticity of TDM.","author":[{"dropping-particle":"","family":"Miyake","given":"Yasunobu","non-dropping-particle":"","parse-names":false,"suffix":""},{"dropping-particle":"","family":"Toyonaga","given":"Kenji","non-dropping-particle":"","parse-names":false,"suffix":""},{"dropping-particle":"","family":"Mori","given":"Daiki","non-dropping-particle":"","parse-names":false,"suffix":""},{"dropping-particle":"","family":"Kakuta","given":"Shigeru","non-dropping-particle":"","parse-names":false,"suffix":""},{"dropping-particle":"","family":"Hoshino","given":"Yoshihiko","non-dropping-particle":"","parse-names":false,"suffix":""},{"dropping-particle":"","family":"Oyamada","given":"Akiko","non-dropping-particle":"","parse-names":false,"suffix":""},{"dropping-particle":"","family":"Yamada","given":"Hisakata","non-dropping-particle":"","parse-names":false,"suffix":""},{"dropping-particle":"","family":"Ono","given":"Ken-Ichiro","non-dropping-particle":"","parse-names":false,"suffix":""},{"dropping-particle":"","family":"Suyama","given":"Mikita","non-dropping-particle":"","parse-names":false,"suffix":""},{"dropping-particle":"","family":"Iwakura","given":"Yoichiro","non-dropping-particle":"","parse-names":false,"suffix":""},{"dropping-particle":"","family":"Yoshikai","given":"Yasunobu","non-dropping-particle":"","parse-names":false,"suffix":""},{"dropping-particle":"","family":"Yamasaki","given":"Sho","non-dropping-particle":"","parse-names":false,"suffix":""}],"container-title":"Immunity","id":"ITEM-2","issue":"5","issued":{"date-parts":[["2013","5","23"]]},"page":"1050-62","publisher":"Elsevier Inc.","title":"C-type lectin MCL is an FcRγ-coupled receptor that mediates the adjuvanticity of mycobacterial cord factor.","type":"article-journal","volume":"38"},"uris":["http://www.mendeley.com/documents/?uuid=1187fdb7-8d82-4f0c-9025-32cd3c2f603f"]}],"mendeley":{"formattedCitation":"[37,79]","plainTextFormattedCitation":"[37,79]","previouslyFormattedCitation":"[37,82]"},"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[37,79]</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xml:space="preserve"> but not DC-SIGN. Conversely,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i/>
          <w:iCs/>
          <w:snapToGrid w:val="0"/>
          <w:color w:val="000000"/>
          <w:sz w:val="20"/>
          <w:lang w:val="en-US" w:eastAsia="de-DE" w:bidi="en-US"/>
        </w:rPr>
        <w:t xml:space="preserve"> </w:t>
      </w:r>
      <w:r w:rsidRPr="00C67322">
        <w:rPr>
          <w:rFonts w:ascii="Palatino Linotype" w:eastAsia="Times New Roman" w:hAnsi="Palatino Linotype" w:cs="Times New Roman"/>
          <w:snapToGrid w:val="0"/>
          <w:color w:val="000000"/>
          <w:sz w:val="20"/>
          <w:lang w:val="en-US" w:eastAsia="de-DE" w:bidi="en-US"/>
        </w:rPr>
        <w:t xml:space="preserve">glycolipids PIMs, LM and LAM, identified to interact with C-type lectin receptors due to their </w:t>
      </w:r>
      <w:proofErr w:type="spellStart"/>
      <w:r w:rsidRPr="00C67322">
        <w:rPr>
          <w:rFonts w:ascii="Palatino Linotype" w:eastAsia="Times New Roman" w:hAnsi="Palatino Linotype" w:cs="Times New Roman"/>
          <w:snapToGrid w:val="0"/>
          <w:color w:val="000000"/>
          <w:sz w:val="20"/>
          <w:lang w:val="en-US" w:eastAsia="de-DE" w:bidi="en-US"/>
        </w:rPr>
        <w:t>mannoside</w:t>
      </w:r>
      <w:proofErr w:type="spellEnd"/>
      <w:r w:rsidRPr="00C67322">
        <w:rPr>
          <w:rFonts w:ascii="Palatino Linotype" w:eastAsia="Times New Roman" w:hAnsi="Palatino Linotype" w:cs="Times New Roman"/>
          <w:snapToGrid w:val="0"/>
          <w:color w:val="000000"/>
          <w:sz w:val="20"/>
          <w:lang w:val="en-US" w:eastAsia="de-DE" w:bidi="en-US"/>
        </w:rPr>
        <w:t xml:space="preserve"> caps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{"citationItems":[{"id":"ITEM-1","itemData":{"DOI":"10.1016/j.imbio.2004.03.003","ISSN":"01712985","PMID":"15481146","abstract":"Mycobacterium tuberculosis represents a worldwide health risk and although macrophages are primarily infected, dendritic cells (DC) are important in inducing cellular immune responses against M. tuberculosis. Recent studies have demonstrated that M. tuberculosis targets the DC-specific C-type lectin DC-SIGN to inhibit the immuno-stimulatory function of DC through the interaction of the mycobacterial mannosylated lipoarabinomannan (ManLAM) to DC-SIGN, which prevents DC maturation and induces the immuno-suppressive cytokine IL-10. This may contribute to survival and persistence of M. tuberculosis. Here, we have identified the specific pathogen-derived carbohydrate structure on ManLAM that is recognized by DC-SIGN. We have synthesized the mannose-cap oligosaccharides man-ara, (man)2-ara and (man 3-ara, and demonstrate that these neoglycoconjugates are specifically bound by DC-SIGN. Moreover, we demonstrate that the human and murine DC-SIGN homologue L-SIGN and SIGNR1, respectively, also interact with mycobacteria through ManLAM. Both homologues have the highest affinity for the (man)3-ara structure, similar to DC-SIGN. This study provides information about the specific carbohydrate structures on pathogens that are recognized by DC-SIGN, and may provide strategies to develop vaccines against these pathogens. Moreover, the identification of SIGNR1 as a receptor for ManLAM will enable in vivo studies to investigate the role of DC-SIGN in M. tuberculosis pathogenesis. ?? 2004 Elsevier GmbH. All rights reserved.","author":[{"dropping-particle":"","family":"Koppel","given":"Estella a.","non-dropping-particle":"","parse-names":false,"suffix":""},{"dropping-particle":"","family":"Ludwig","given":"Irene S.","non-dropping-particle":"","parse-names":false,"suffix":""},{"dropping-particle":"","family":"Sanchez Hernandez","given":"Marta","non-dropping-particle":"","parse-names":false,"suffix":""},{"dropping-particle":"","family":"Lowary","given":"Todd L.","non-dropping-particle":"","parse-names":false,"suffix":""},{"dropping-particle":"","family":"Gadikota","given":"Rajendrakumar R.","non-dropping-particle":"","parse-names":false,"suffix":""},{"dropping-particle":"","family":"Tuzikov","given":"Alexander B.","non-dropping-particle":"","parse-names":false,"suffix":""},{"dropping-particle":"","family":"Vandenbroucke-Grauls","given":"Christina M.J.E.","non-dropping-particle":"","parse-names":false,"suffix":""},{"dropping-particle":"","family":"Kooyk","given":"Yvette","non-dropping-particle":"van","parse-names":false,"suffix":""},{"dropping-particle":"","family":"Appelmelk","given":"Ben J.","non-dropping-particle":"","parse-names":false,"suffix":""},{"dropping-particle":"","family":"Geijtenbeek","given":"Teunis B.H.","non-dropping-particle":"","parse-names":false,"suffix":""}],"container-title":"Immunobiology","id":"ITEM-1","issue":"1-2","issued":{"date-parts":[["2004","8"]]},"page":"117-127","title":"Identification of the mycobacterial carbohydrate structure that binds the C-type lectins DC-SIGN, L-SIGN and SIGNR1","type":"article-journal","volume":"209"},"uris":["http://www.mendeley.com/documents/?uuid=2ce68d9a-b1f4-4592-bb77-07dab036a20a"]},{"id":"ITEM-2","itemData":{"DOI":"10.1042/BJ20050709","ISBN":"1470-8728 (Electronic)\\r1470-8728 (Linking)","ISSN":"02646021","PMID":"16092920","abstract":"Interactions between dendritic cells and Mycobacterium tuberculosis, the aetiological agent of tuberculosis in humans, are thought to be central to anti-mycobacterial immunity. We have previously shown that M. tuberculosis binds to human monocyte-derived dendritic cells mostly through the C-type lectin DC-SIGN (dendritic-cell-specific intercellular molecule-3-grabbing non-integrin)/CD209, and we have suggested that DC-SIGN may discriminate between mycobacterial species through recognition of the mannose-capping residues on the lipoglycan lipoarabinomannan of the bacterial envelope. Here, using a variety of fast- and slow-growing Mycobacterium species, we provide further evidence that mycobacteria recognition by DC-SIGN may be restricted to species of the M. tuberculosis complex. Fine analyses of the lipoarabinomannan molecules purified from these species show that the structure and amount of these molecules alone cannot account for such a preferential recognition. We propose that M. tuberculosis recognition by DC-SIGN relies on both a potential difference of accessibility of lipoarabinomannan in its envelope and, more probably, on the binding of additional ligands, possibly including lipomannan, mannose-capped arabinomannan, as well as the mannosylated 19 kDa and 45 kDa [Apa (alanine/proline-rich antigen)] glycoproteins. Altogether, our results reveal that the molecular basis of M. tuberculosis binding to DC-SIGN is more complicated than previously thought and provides further insight into the mechanisms of M. tuberculosis recognition by the immune system.","author":[{"dropping-particle":"","family":"Pitarque","given":"Sylvain","non-dropping-particle":"","parse-names":false,"suffix":""},{"dropping-particle":"","family":"Herrmann","given":"Jean-Louis","non-dropping-particle":"","parse-names":false,"suffix":""},{"dropping-particle":"","family":"Duteyrat","given":"Jean-Luc","non-dropping-particle":"","parse-names":false,"suffix":""},{"dropping-particle":"","family":"Jackson","given":"Mary","non-dropping-particle":"","parse-names":false,"suffix":""},{"dropping-particle":"","family":"Stewart","given":"Graham R","non-dropping-particle":"","parse-names":false,"suffix":""},{"dropping-particle":"","family":"Lecointe","given":"François","non-dropping-particle":"","parse-names":false,"suffix":""},{"dropping-particle":"","family":"Payre","given":"Bruno","non-dropping-particle":"","parse-names":false,"suffix":""},{"dropping-particle":"","family":"Schwartz","given":"Olivier","non-dropping-particle":"","parse-names":false,"suffix":""},{"dropping-particle":"","family":"Young","given":"Douglas B","non-dropping-particle":"","parse-names":false,"suffix":""},{"dropping-particle":"","family":"Marchal","given":"Gilles","non-dropping-particle":"","parse-names":false,"suffix":""},{"dropping-particle":"","family":"Lagrange","given":"Philippe H","non-dropping-particle":"","parse-names":false,"suffix":""},{"dropping-particle":"","family":"Puzo","given":"Germain","non-dropping-particle":"","parse-names":false,"suffix":""},{"dropping-particle":"","family":"Gicquel","given":"Brigitte","non-dropping-particle":"","parse-names":false,"suffix":""},{"dropping-particle":"","family":"Nigou","given":"Jérôme","non-dropping-particle":"","parse-names":false,"suffix":""},{"dropping-particle":"","family":"Neyrolles","given":"Olivier","non-dropping-particle":"","parse-names":false,"suffix":""}],"container-title":"The Biochemical journal","id":"ITEM-2","issue":"Pt 3","issued":{"date-parts":[["2005"]]},"page":"615-624","title":"Deciphering the molecular bases of Mycobacterium tuberculosis binding to the lectin DC-SIGN reveals an underestimated complexity.","type":"article-journal","volume":"392"},"uris":["http://www.mendeley.com/documents/?uuid=271a50ef-4c41-4845-9edd-1fc5baa12e9a"]},{"id":"ITEM-3","itemData":{"DOI":"10.1128/IAI.01256-08","ISBN":"0019-9567","ISSN":"0019-9567","PMID":"19651855","abstract":"The C-type lectin dendritic cell (DC)-specific intercellular adhesion molecule 3-grabbing nonintegrin (DC-SIGN) is the major receptor on DCs for mycobacteria of the Mycobacterium tuberculosis complex. Recently, we have shown that although the mannose caps of the mycobacterial surface glycolipid lipoarabinomannan (ManLAM) are essential for the binding to DC-SIGN, genetic removal of these caps did not diminish the interaction of whole mycobacteria with DC-SIGN and DCs. Here we investigated the role of the structurally related glycolipids phosphatidylinositol mannosides (PIMs) as possible ligands for DC-SIGN. In a binding assay with both synthetic and natural PIMs, DC-SIGN exhibited a high affinity for hexamannosylated PIM(6), which contains terminal alpha(1--&gt;2)-linked mannosyl residues identical to the mannose cap on ManLAM, but not for di- and tetramannosylated PIM(2) and PIM(4), respectively. To determine the role of PIM(6) in the binding of whole mycobacteria to DC-SIGN, a mutant strain of M. bovis bacillus Calmette-Guérin deficient in the production of PIM(6) (Delta pimE) was created, as well as a double knockout deficient in the production of both PIM(6) and the mannose caps on LAM (Delta pimE Delta capA). Compared to the wild-type strain, both mutant strains bound similarly well to DC-SIGN and DCs. Furthermore, the wild-type and mutant strains induced comparable levels of interleukin-10 and interleukin-12p40 when used to stimulate DCs. Hence, we conclude that, like ManLAM, PIM(6) represents a bona fide DC-SIGN ligand but that other, as-yet-unknown, ligands dominate in the interaction between mycobacteria and DCs.","author":[{"dropping-particle":"","family":"Driessen","given":"Nicole N.","non-dropping-particle":"","parse-names":false,"suffix":""},{"dropping-particle":"","family":"Ummels","given":"Roy","non-dropping-particle":"","parse-names":false,"suffix":""},{"dropping-particle":"","family":"Maaskant","given":"Janneke J.","non-dropping-particle":"","parse-names":false,"suffix":""},{"dropping-particle":"","family":"Gurcha","given":"Sudagar S.","non-dropping-particle":"","parse-names":false,"suffix":""},{"dropping-particle":"","family":"Besra","given":"Gurdyal S.","non-dropping-particle":"","parse-names":false,"suffix":""},{"dropping-particle":"","family":"Ainge","given":"Gary D.","non-dropping-particle":"","parse-names":false,"suffix":""},{"dropping-particle":"","family":"Larsen","given":"David S.","non-dropping-particle":"","parse-names":false,"suffix":""},{"dropping-particle":"","family":"Painter","given":"Gavin F.","non-dropping-particle":"","parse-names":false,"suffix":""},{"dropping-particle":"","family":"Vandenbroucke-Grauls","given":"Christina M J E","non-dropping-particle":"","parse-names":false,"suffix":""},{"dropping-particle":"","family":"Geurtsen","given":"Jeroen","non-dropping-particle":"","parse-names":false,"suffix":""},{"dropping-particle":"","family":"Appelmelk","given":"Ben J.","non-dropping-particle":"","parse-names":false,"suffix":""}],"container-title":"Infection and Immunity","id":"ITEM-3","issue":"10","issued":{"date-parts":[["2009","10","1"]]},"page":"4538-4547","title":"Role of Phosphatidylinositol Mannosides in the Interaction between Mycobacteria and DC-SIGN","type":"article-journal","volume":"77"},"uris":["http://www.mendeley.com/documents/?uuid=1149cc8a-3b3e-44bf-9020-a4232023f102"]}],"mendeley":{"formattedCitation":"[49–51]","plainTextFormattedCitation":"[49–51]","previouslyFormattedCitation":"[52–54]"},"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[49–51]</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xml:space="preserve">, present in fraction 8 on H37Rv total lipids fractionation in our assays, did not show a clear impact on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mediated by DC-SIGN receptor. Concerning SL1, its role in </w:t>
      </w:r>
      <w:r w:rsidRPr="00C67322">
        <w:rPr>
          <w:rFonts w:ascii="Palatino Linotype" w:eastAsia="Times New Roman" w:hAnsi="Palatino Linotype" w:cs="Times New Roman"/>
          <w:i/>
          <w:iCs/>
          <w:snapToGrid w:val="0"/>
          <w:color w:val="000000"/>
          <w:sz w:val="20"/>
          <w:lang w:val="en-US" w:eastAsia="de-DE" w:bidi="en-US"/>
        </w:rPr>
        <w:t xml:space="preserve">Mycobacterium </w:t>
      </w:r>
      <w:r w:rsidRPr="00C67322">
        <w:rPr>
          <w:rFonts w:ascii="Palatino Linotype" w:eastAsia="Times New Roman" w:hAnsi="Palatino Linotype" w:cs="Times New Roman"/>
          <w:snapToGrid w:val="0"/>
          <w:color w:val="000000"/>
          <w:sz w:val="20"/>
          <w:lang w:val="en-US" w:eastAsia="de-DE" w:bidi="en-US"/>
        </w:rPr>
        <w:t xml:space="preserve">pathogenicity remains unclear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{"citationItems":[{"id":"ITEM-1","itemData":{"DOI":"10.1128/IAI.71.8.4684","ISSN":"0019-9567","PMID":"12874349","abstract":"Lipids that are found only in the cell envelope of pathogenic mycobacteria, such as those containing multiple methyl-branched fatty acids, have long been thought to play a role in pathogenesis. Among these complex lipids, sulfolipids have been the most extensively studied over the last 50 years. The numerous biological effects exhibited by purified sulfolipids on phagocytic cells led to the idea that these molecules are probably important virulence factors facilitating the intracellular survival of Mycobacterium tuberculosis. However, definitive evidence to support this concept has been lacking. The recent construction of an isogenic sulfolipid-deficient mutant of M. tuberculosis H37Rv (Sirakova et al., J. Biol. Chem. 276:16833-16839, 2001) has for the first time provided the opportunity to directly assess the contribution of these complex lipids to pathogenesis. In the present study, we show that against all expectations, sulfolipid deficiency does not significantly affect the replication, persistence, and pathogenicity of M. tuberculosis H37Rv in mice and guinea pigs or in cultured macrophages.","author":[{"dropping-particle":"","family":"Rousseau","given":"Cécile","non-dropping-particle":"","parse-names":false,"suffix":""},{"dropping-particle":"","family":"Turner","given":"Oliver C","non-dropping-particle":"","parse-names":false,"suffix":""},{"dropping-particle":"","family":"Rush","given":"Erik","non-dropping-particle":"","parse-names":false,"suffix":""},{"dropping-particle":"","family":"Bordat","given":"Yann","non-dropping-particle":"","parse-names":false,"suffix":""},{"dropping-particle":"","family":"Sirakova","given":"Tatiana D","non-dropping-particle":"","parse-names":false,"suffix":""},{"dropping-particle":"","family":"Kolattukudy","given":"Pappachan E","non-dropping-particle":"","parse-names":false,"suffix":""},{"dropping-particle":"","family":"Ritter","given":"Shannon","non-dropping-particle":"","parse-names":false,"suffix":""},{"dropping-particle":"","family":"Orme","given":"Ian M","non-dropping-particle":"","parse-names":false,"suffix":""},{"dropping-particle":"","family":"Gicquel","given":"Brigitte","non-dropping-particle":"","parse-names":false,"suffix":""},{"dropping-particle":"","family":"Jackson","given":"Mary","non-dropping-particle":"","parse-names":false,"suffix":""}],"container-title":"Infection and immunity","id":"ITEM-1","issue":"8","issued":{"date-parts":[["2003","8"]]},"page":"4684-90","title":"Sulfolipid deficiency does not affect the virulence of Mycobacterium tuberculosis H37Rv in mice and guinea pigs.","type":"article-journal","volume":"71"},"uris":["http://www.mendeley.com/documents/?uuid=c06bc7ed-807e-4aa9-b9df-63815c5d74cf"]},{"id":"ITEM-2","itemData":{"DOI":"10.1073/pnas.0611649104","ISBN":"0027-8424","ISSN":"0027-8424","PMID":"17592143","abstract":"Mycobacterium tuberculosis produces numerous exotic lipids that have been implicated as virulence determinants. One such glycolipid, Sulfolipid-1 (SL-1), consists of a trehalose-2-sulfate (T2S) core acylated with four lipid moieties. A diacylated intermediate in SL-1 biosynthesis, SL(1278), has been shown to activate the adaptive immune response in human patients. Although several proteins involved in SL-1 biosynthesis have been identified, the enzymes that acylate the T2S core to form SL(1278) and SL-1, and the biosynthetic order of these acylation reactions, are unknown. Here we demonstrate that PapA2 and PapA1 are responsible for the sequential acylation of T2S to form SL(1278) and are essential for SL-1 biosynthesis. In vitro, recombinant PapA2 converts T2S to 2'-palmitoyl T2S, and PapA1 further elaborates this newly identified SL-1 intermediate to an analog of SL(1278). Disruption of papA2 and papA1 in M. tuberculosis confirmed their essential role in SL-1 biosynthesis and their order of action. Finally, the Delta papA2 and Delta papA1 mutants were screened for virulence defects in a mouse model of infection. The loss of SL-1 (and SL(1278)) did not appear to affect bacterial replication or trafficking, suggesting that the functions of SL-1 are specific to human infection.","author":[{"dropping-particle":"","family":"Kumar","given":"Pawan","non-dropping-particle":"","parse-names":false,"suffix":""},{"dropping-particle":"","family":"Schelle","given":"Michael W","non-dropping-particle":"","parse-names":false,"suffix":""},{"dropping-particle":"","family":"Jain","given":"Madhulika","non-dropping-particle":"","parse-names":false,"suffix":""},{"dropping-particle":"","family":"Lin","given":"Fiona L","non-dropping-particle":"","parse-names":false,"suffix":""},{"dropping-particle":"","family":"Petzold","given":"Christopher J","non-dropping-particle":"","parse-names":false,"suffix":""},{"dropping-particle":"","family":"Leavell","given":"Michael D","non-dropping-particle":"","parse-names":false,"suffix":""},{"dropping-particle":"","family":"Leary","given":"Julie a","non-dropping-particle":"","parse-names":false,"suffix":""},{"dropping-particle":"","family":"Cox","given":"Jeffery S","non-dropping-particle":"","parse-names":false,"suffix":""},{"dropping-particle":"","family":"Bertozzi","given":"Carolyn R","non-dropping-particle":"","parse-names":false,"suffix":""}],"container-title":"Proceedings of the National Academy of Sciences of the United States of America","id":"ITEM-2","issue":"27","issued":{"date-parts":[["2007","7","3"]]},"page":"11221-6","title":"PapA1 and PapA2 are acyltransferases essential for the biosynthesis of the Mycobacterium tuberculosis virulence factor sulfolipid-1.","type":"article-journal","volume":"104"},"uris":["http://www.mendeley.com/documents/?uuid=7a86e8ae-d1df-4433-8dd8-9b70e163490c"]}],"mendeley":{"formattedCitation":"[80,81]","plainTextFormattedCitation":"[80,81]","previouslyFormattedCitation":"[83,84]"},"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[80,81]</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xml:space="preserve">. In our model, we demonstrated using total lipids extract from the H37Rv mutant papA1Δ associated into liposomes, that SL1 is critical in the inhibition of DC-SIGN mediated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from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H37Rv, suggesting SL1 interactions with DC-SIGN receptor. Additionally, the comparison between H37RvMA strains and H37RvAE differing from their origin and PDIM biosynthesis and composition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{"citationItems":[{"id":"ITEM-1","itemData":{"DOI":"10.1128/JB.00166-10","ISBN":"1098-5530 (Electronic)\\r0021-9193 (Linking)","ISSN":"1098-5530","PMID":"20472797","abstract":"The publication of the complete genome sequence for Mycobacterium tuberculosis H37Rv in 1998 has had a great impact on the research community. Nonetheless, it is suspected that genetic differences have arisen in stocks of H37Rv that are maintained in different laboratories. In order to assess the consistency of the genome sequences among H37Rv strains in use and the extent to which they have diverged from the original strain sequenced, we carried out whole-genome sequencing on six strains of H37Rv from different laboratories. Polymorphisms at 73 sites were observed, which were shared among the lab strains, though 72 of these were also shared with H37Ra and are likely to be due to sequencing errors in the original H37Rv reference sequence. An updated H37Rv genome sequence should be valuable to the tuberculosis research community as well as the broader microbial research community. In addition, several polymorphisms unique to individual strains and several shared polymorphisms were identified and shown to be consistent with the known provenance of these strains. Aside from nucleotide substitutions and insertion/deletions, multiple IS6110 transposition events were observed, supporting the theory that they play a significant role in plasticity of the M. tuberculosis genome. This genome-wide catalog of genetic differences can help explain any phenotypic differences that might be found, including a frameshift mutation in the mycocerosic acid synthase gene which causes two of the strains to be deficient in biosynthesis of the surface glycolipid phthiocerol dimycocerosate (PDIM). The resequencing of these six lab strains represents a fortuitous \"in vitro evolution\" experiment that demonstrates how the M. tuberculosis genome continues to evolve even in a controlled environment.","author":[{"dropping-particle":"","family":"Ioerger","given":"Thomas R.","non-dropping-particle":"","parse-names":false,"suffix":""},{"dropping-particle":"","family":"Feng","given":"Yicheng","non-dropping-particle":"","parse-names":false,"suffix":""},{"dropping-particle":"","family":"Ganesula","given":"Krishna","non-dropping-particle":"","parse-names":false,"suffix":""},{"dropping-particle":"","family":"Chen","given":"Xiaohua","non-dropping-particle":"","parse-names":false,"suffix":""},{"dropping-particle":"","family":"Dobos","given":"Karen M.","non-dropping-particle":"","parse-names":false,"suffix":""},{"dropping-particle":"","family":"Fortune","given":"Sarah","non-dropping-particle":"","parse-names":false,"suffix":""},{"dropping-particle":"","family":"Jacobs","given":"William R.","non-dropping-particle":"","parse-names":false,"suffix":""},{"dropping-particle":"","family":"Mizrahi","given":"Valerie","non-dropping-particle":"","parse-names":false,"suffix":""},{"dropping-particle":"","family":"Parish","given":"Tanya","non-dropping-particle":"","parse-names":false,"suffix":""},{"dropping-particle":"","family":"Rubin","given":"Eric","non-dropping-particle":"","parse-names":false,"suffix":""},{"dropping-particle":"","family":"Sassetti","given":"Chris","non-dropping-particle":"","parse-names":false,"suffix":""},{"dropping-particle":"","family":"Sacchettini","given":"James C.","non-dropping-particle":"","parse-names":false,"suffix":""}],"container-title":"Journal of bacteriology","id":"ITEM-1","issue":"14","issued":{"date-parts":[["2010","7"]]},"page":"3645-53","title":"Variation among genome sequences of H37Rv strains of Mycobacterium tuberculosis from multiple laboratories.","type":"article-journal","volume":"192"},"uris":["http://www.mendeley.com/documents/?uuid=5ff8a2b4-4c97-425f-8cd3-a513b9f25b2e"]}],"mendeley":{"formattedCitation":"[74]","plainTextFormattedCitation":"[74]","previouslyFormattedCitation":"[77]"},"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[74]</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xml:space="preserve">, reveals the implication of PDIM in DC-SIGN/SL1 interactions. Indeed, the impairment of HIV-1 DC-SIGN mediated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with glycolipids from H37RvAE is lost using liposomes with total lipids extracted from H37RvMA. PDIM is known to be able to mask PAMPs to escape from macrophage recognition [45,46,48], suggesting that in our system, high levels of expression of PDIM in H37RvMA could mask SL1 interactions with DC-SIGN and not interfere with virus capture. Nevertheless, the interaction of PDIM, SL1 and TDM with DC-SIGN receptors remains to be </w:t>
      </w:r>
      <w:proofErr w:type="spellStart"/>
      <w:r w:rsidRPr="00C67322">
        <w:rPr>
          <w:rFonts w:ascii="Palatino Linotype" w:eastAsia="Times New Roman" w:hAnsi="Palatino Linotype" w:cs="Times New Roman"/>
          <w:snapToGrid w:val="0"/>
          <w:color w:val="000000"/>
          <w:sz w:val="20"/>
          <w:lang w:val="en-US" w:eastAsia="de-DE" w:bidi="en-US"/>
        </w:rPr>
        <w:t>characterised</w:t>
      </w:r>
      <w:proofErr w:type="spellEnd"/>
      <w:r w:rsidRPr="00C67322">
        <w:rPr>
          <w:rFonts w:ascii="Palatino Linotype" w:eastAsia="Times New Roman" w:hAnsi="Palatino Linotype" w:cs="Times New Roman"/>
          <w:snapToGrid w:val="0"/>
          <w:color w:val="000000"/>
          <w:sz w:val="20"/>
          <w:lang w:val="en-US" w:eastAsia="de-DE" w:bidi="en-US"/>
        </w:rPr>
        <w:t>.</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 xml:space="preserve">We tested the impact of the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glycolipids associated into liposomes on HIV-1</w:t>
      </w:r>
      <w:r w:rsidRPr="00C67322">
        <w:rPr>
          <w:rFonts w:ascii="Palatino Linotype" w:eastAsia="Times New Roman" w:hAnsi="Palatino Linotype" w:cs="Times New Roman"/>
          <w:i/>
          <w:iCs/>
          <w:snapToGrid w:val="0"/>
          <w:color w:val="000000"/>
          <w:sz w:val="20"/>
          <w:lang w:val="en-US" w:eastAsia="de-DE" w:bidi="en-US"/>
        </w:rPr>
        <w:t xml:space="preserve"> trans</w:t>
      </w:r>
      <w:r w:rsidRPr="00C67322">
        <w:rPr>
          <w:rFonts w:ascii="Palatino Linotype" w:eastAsia="Times New Roman" w:hAnsi="Palatino Linotype" w:cs="Times New Roman"/>
          <w:snapToGrid w:val="0"/>
          <w:color w:val="000000"/>
          <w:sz w:val="20"/>
          <w:lang w:val="en-US" w:eastAsia="de-DE" w:bidi="en-US"/>
        </w:rPr>
        <w:t xml:space="preserve">-infection mediated by DCs at different stage of maturation. Our findings indicate that </w:t>
      </w:r>
      <w:r w:rsidRPr="00C67322">
        <w:rPr>
          <w:rFonts w:ascii="Palatino Linotype" w:eastAsia="Times New Roman" w:hAnsi="Palatino Linotype" w:cs="Times New Roman"/>
          <w:i/>
          <w:iCs/>
          <w:snapToGrid w:val="0"/>
          <w:color w:val="000000"/>
          <w:sz w:val="20"/>
          <w:lang w:val="en-US" w:eastAsia="de-DE" w:bidi="en-US"/>
        </w:rPr>
        <w:t xml:space="preserve">M. </w:t>
      </w:r>
      <w:proofErr w:type="spellStart"/>
      <w:r w:rsidRPr="00C67322">
        <w:rPr>
          <w:rFonts w:ascii="Palatino Linotype" w:eastAsia="Times New Roman" w:hAnsi="Palatino Linotype" w:cs="Times New Roman"/>
          <w:i/>
          <w:iCs/>
          <w:snapToGrid w:val="0"/>
          <w:color w:val="000000"/>
          <w:sz w:val="20"/>
          <w:lang w:val="en-US" w:eastAsia="de-DE" w:bidi="en-US"/>
        </w:rPr>
        <w:t>bovis</w:t>
      </w:r>
      <w:proofErr w:type="spellEnd"/>
      <w:r w:rsidRPr="00C67322">
        <w:rPr>
          <w:rFonts w:ascii="Palatino Linotype" w:eastAsia="Times New Roman" w:hAnsi="Palatino Linotype" w:cs="Times New Roman"/>
          <w:snapToGrid w:val="0"/>
          <w:color w:val="000000"/>
          <w:sz w:val="20"/>
          <w:lang w:val="en-US" w:eastAsia="de-DE" w:bidi="en-US"/>
        </w:rPr>
        <w:t xml:space="preserve">,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H37Rv and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EU127 are able to inhibit HIV-1</w:t>
      </w:r>
      <w:r w:rsidRPr="00C67322">
        <w:rPr>
          <w:rFonts w:ascii="Palatino Linotype" w:eastAsia="Times New Roman" w:hAnsi="Palatino Linotype" w:cs="Times New Roman"/>
          <w:i/>
          <w:iCs/>
          <w:snapToGrid w:val="0"/>
          <w:color w:val="000000"/>
          <w:sz w:val="20"/>
          <w:lang w:val="en-US" w:eastAsia="de-DE" w:bidi="en-US"/>
        </w:rPr>
        <w:t xml:space="preserve"> trans</w:t>
      </w:r>
      <w:r w:rsidRPr="00C67322">
        <w:rPr>
          <w:rFonts w:ascii="Palatino Linotype" w:eastAsia="Times New Roman" w:hAnsi="Palatino Linotype" w:cs="Times New Roman"/>
          <w:snapToGrid w:val="0"/>
          <w:color w:val="000000"/>
          <w:sz w:val="20"/>
          <w:lang w:val="en-US" w:eastAsia="de-DE" w:bidi="en-US"/>
        </w:rPr>
        <w:t xml:space="preserve">-infection </w:t>
      </w:r>
      <w:r w:rsidRPr="00C67322">
        <w:rPr>
          <w:rFonts w:ascii="Palatino Linotype" w:eastAsia="Times New Roman" w:hAnsi="Palatino Linotype" w:cs="Times New Roman"/>
          <w:iCs/>
          <w:snapToGrid w:val="0"/>
          <w:color w:val="000000"/>
          <w:sz w:val="20"/>
          <w:lang w:val="en-US" w:eastAsia="de-DE" w:bidi="en-US"/>
        </w:rPr>
        <w:t>via</w:t>
      </w:r>
      <w:r w:rsidRPr="00C67322">
        <w:rPr>
          <w:rFonts w:ascii="Palatino Linotype" w:eastAsia="Times New Roman" w:hAnsi="Palatino Linotype" w:cs="Times New Roman"/>
          <w:snapToGrid w:val="0"/>
          <w:color w:val="000000"/>
          <w:sz w:val="20"/>
          <w:lang w:val="en-US" w:eastAsia="de-DE" w:bidi="en-US"/>
        </w:rPr>
        <w:t xml:space="preserve">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The similar observations obtained on HIV-1 capture/transfer mediated by DC-SIGN, suggests the involvement of DC-SIGN receptors in the inhibition of virus capture by </w:t>
      </w:r>
      <w:proofErr w:type="spellStart"/>
      <w:r w:rsidRPr="00C67322">
        <w:rPr>
          <w:rFonts w:ascii="Palatino Linotype" w:eastAsia="Times New Roman" w:hAnsi="Palatino Linotype" w:cs="Times New Roman"/>
          <w:snapToGrid w:val="0"/>
          <w:color w:val="000000"/>
          <w:sz w:val="20"/>
          <w:lang w:val="en-US" w:eastAsia="de-DE" w:bidi="en-US"/>
        </w:rPr>
        <w:t>iDC</w:t>
      </w:r>
      <w:proofErr w:type="spellEnd"/>
      <w:r w:rsidRPr="00C67322">
        <w:rPr>
          <w:rFonts w:ascii="Palatino Linotype" w:eastAsia="Times New Roman" w:hAnsi="Palatino Linotype" w:cs="Times New Roman"/>
          <w:snapToGrid w:val="0"/>
          <w:color w:val="000000"/>
          <w:sz w:val="20"/>
          <w:lang w:val="en-US" w:eastAsia="de-DE" w:bidi="en-US"/>
        </w:rPr>
        <w:t xml:space="preserve"> in the presence of glycolipids from these strains. Conversely, </w:t>
      </w:r>
      <w:r w:rsidRPr="00C67322">
        <w:rPr>
          <w:rFonts w:ascii="Palatino Linotype" w:eastAsia="Times New Roman" w:hAnsi="Palatino Linotype" w:cs="Times New Roman"/>
          <w:i/>
          <w:iCs/>
          <w:snapToGrid w:val="0"/>
          <w:color w:val="000000"/>
          <w:sz w:val="20"/>
          <w:lang w:val="en-US" w:eastAsia="de-DE" w:bidi="en-US"/>
        </w:rPr>
        <w:t>M. smegmatis</w:t>
      </w:r>
      <w:r w:rsidRPr="00C67322">
        <w:rPr>
          <w:rFonts w:ascii="Palatino Linotype" w:eastAsia="Times New Roman" w:hAnsi="Palatino Linotype" w:cs="Times New Roman"/>
          <w:snapToGrid w:val="0"/>
          <w:color w:val="000000"/>
          <w:sz w:val="20"/>
          <w:lang w:val="en-US" w:eastAsia="de-DE" w:bidi="en-US"/>
        </w:rPr>
        <w:t xml:space="preserve">,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HN878 and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CDC1551 liposomes showed a trend toward increasing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-infection</w:t>
      </w:r>
      <w:r w:rsidRPr="00C67322">
        <w:rPr>
          <w:rFonts w:ascii="Palatino Linotype" w:eastAsia="Times New Roman" w:hAnsi="Palatino Linotype" w:cs="Times New Roman"/>
          <w:iCs/>
          <w:snapToGrid w:val="0"/>
          <w:color w:val="000000"/>
          <w:sz w:val="20"/>
          <w:lang w:val="en-US" w:eastAsia="de-DE" w:bidi="en-US"/>
        </w:rPr>
        <w:t xml:space="preserve"> via</w:t>
      </w:r>
      <w:r w:rsidRPr="00C67322">
        <w:rPr>
          <w:rFonts w:ascii="Palatino Linotype" w:eastAsia="Times New Roman" w:hAnsi="Palatino Linotype" w:cs="Times New Roman"/>
          <w:snapToGrid w:val="0"/>
          <w:color w:val="000000"/>
          <w:sz w:val="20"/>
          <w:lang w:val="en-US" w:eastAsia="de-DE" w:bidi="en-US"/>
        </w:rPr>
        <w:t xml:space="preserve">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w:t>
      </w:r>
      <w:bookmarkStart w:id="5" w:name="_Hlk62553457"/>
      <w:r w:rsidRPr="00C67322">
        <w:rPr>
          <w:rFonts w:ascii="Palatino Linotype" w:eastAsia="Times New Roman" w:hAnsi="Palatino Linotype" w:cs="Times New Roman"/>
          <w:snapToGrid w:val="0"/>
          <w:color w:val="000000"/>
          <w:sz w:val="20"/>
          <w:lang w:val="en-US" w:eastAsia="de-DE" w:bidi="en-US"/>
        </w:rPr>
        <w:t xml:space="preserve">These results suggest the involvement of receptors other than DC-SIGN, such as MR, in </w:t>
      </w:r>
      <w:proofErr w:type="spellStart"/>
      <w:r w:rsidRPr="00C67322">
        <w:rPr>
          <w:rFonts w:ascii="Palatino Linotype" w:eastAsia="Times New Roman" w:hAnsi="Palatino Linotype" w:cs="Times New Roman"/>
          <w:i/>
          <w:snapToGrid w:val="0"/>
          <w:color w:val="000000"/>
          <w:sz w:val="20"/>
          <w:lang w:val="en-US" w:eastAsia="de-DE" w:bidi="en-US"/>
        </w:rPr>
        <w:t>Mtb</w:t>
      </w:r>
      <w:proofErr w:type="spellEnd"/>
      <w:r w:rsidRPr="00C67322">
        <w:rPr>
          <w:rFonts w:ascii="Palatino Linotype" w:eastAsia="Times New Roman" w:hAnsi="Palatino Linotype" w:cs="Times New Roman"/>
          <w:i/>
          <w:snapToGrid w:val="0"/>
          <w:color w:val="000000"/>
          <w:sz w:val="20"/>
          <w:lang w:val="en-US" w:eastAsia="de-DE" w:bidi="en-US"/>
        </w:rPr>
        <w:t xml:space="preserve"> </w:t>
      </w:r>
      <w:r w:rsidRPr="00C67322">
        <w:rPr>
          <w:rFonts w:ascii="Palatino Linotype" w:eastAsia="Times New Roman" w:hAnsi="Palatino Linotype" w:cs="Times New Roman"/>
          <w:snapToGrid w:val="0"/>
          <w:color w:val="000000"/>
          <w:sz w:val="20"/>
          <w:lang w:val="en-US" w:eastAsia="de-DE" w:bidi="en-US"/>
        </w:rPr>
        <w:t xml:space="preserve">antigen recognition, impacting HIV-1 </w:t>
      </w:r>
      <w:r w:rsidRPr="00C67322">
        <w:rPr>
          <w:rFonts w:ascii="Palatino Linotype" w:eastAsia="Times New Roman" w:hAnsi="Palatino Linotype" w:cs="Times New Roman"/>
          <w:i/>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via </w:t>
      </w:r>
      <w:proofErr w:type="spellStart"/>
      <w:r w:rsidRPr="00C67322">
        <w:rPr>
          <w:rFonts w:ascii="Palatino Linotype" w:eastAsia="Times New Roman" w:hAnsi="Palatino Linotype" w:cs="Times New Roman"/>
          <w:snapToGrid w:val="0"/>
          <w:color w:val="000000"/>
          <w:sz w:val="20"/>
          <w:lang w:val="en-US" w:eastAsia="de-DE" w:bidi="en-US"/>
        </w:rPr>
        <w:t>mDC</w:t>
      </w:r>
      <w:proofErr w:type="spellEnd"/>
      <w:r w:rsidRPr="00C67322">
        <w:rPr>
          <w:rFonts w:ascii="Palatino Linotype" w:eastAsia="Times New Roman" w:hAnsi="Palatino Linotype" w:cs="Times New Roman"/>
          <w:snapToGrid w:val="0"/>
          <w:color w:val="000000"/>
          <w:sz w:val="20"/>
          <w:lang w:val="en-US" w:eastAsia="de-DE" w:bidi="en-US"/>
        </w:rPr>
        <w:t xml:space="preserve">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{"citationItems":[{"id":"ITEM-1","itemData":{"DOI":"10.1084/jem.182.2.389","ISBN":"0022-1007 (Print)\\r0022-1007 (Linking)","ISSN":"0022-1007","PMID":"7629501","abstract":"We have previously demonstrated that human peripheral blood low density mononuclear cells cultured in granulocyte/macrophage colony-stimulating factor (GM-CSF) and interleukin (IL)-4 develop into dendritic cells (DCs) that are extremely efficient in presenting soluble antigens to T cells. To identify the mechanisms responsible for efficient antigen capture, we studied the endocytic capacity of DCs using fluorescein isothiocyanate-dextran, horseradish peroxidase, and lucifer yellow. We found that DCs use two distinct mechanisms for antigen capture. The first is a high level of fluid phase uptake via macropinocytosis. In contrast to what has been found with other cell types, macropinocytosis in DCs is constitutive and allows continuous internalization of large volumes of fluid. The second mechanism of capture is mediated via the mannose receptor (MR), which is expressed at high levels on DCs. At low ligand concentrations, the MR can deliver a large number of ligands to the cell in successive rounds. Thus, while macropinocytosis endows DCs with a high capacity, nonsaturable mechanism for capture of any soluble antigen, the MR gives an extra capacity for antigen capture with some degree of selectivity for non-self molecules. In addition to their high endocytic capacity, DCs from GM-CSF + IL-4-dependent cultures are characterized by the presence of a large intracellular compartment that contains high levels of class II molecules, cathepsin D, and lysosomal-associated membrane protein-1, and is rapidly accessible to endocytic markers. We investigated whether the capacity of DCs to capture and process antigen could be modulated by exogenous stimuli. We found that DCs respond to tumor necrosis factor alpha, CD40 ligand, IL-1, and lipopolysaccharide with a coordinate series of changes that include downregulation of macropinocytosis and Fc receptors, disappearance of the class II compartment, and upregulation of adhesion and costimulatory molecules. These changes occur within 1-2 d and are irreversible, since neither pinocytosis nor the class II compartment are recovered when the maturation-inducing stimulus is removed. The specificity of the MR and the capacity to respond to inflammatory stimuli maximize the capacity of DCs to present infectious non-self antigens to T cells.","author":[{"dropping-particle":"","family":"Sallusto","given":"F.","non-dropping-particle":"","parse-names":false,"suffix":""},{"dropping-particle":"","family":"Cella","given":"M","non-dropping-particle":"","parse-names":false,"suffix":""},{"dropping-particle":"","family":"Danieli","given":"C","non-dropping-particle":"","parse-names":false,"suffix":""},{"dropping-particle":"","family":"Lanzavecchia","given":"A","non-dropping-particle":"","parse-names":false,"suffix":""}],"container-title":"The Journal of experimental medicine","id":"ITEM-1","issue":"2","issued":{"date-parts":[["1995","8","1"]]},"page":"389-400","title":"Dendritic cells use macropinocytosis and the mannose receptor to concentrate macromolecules in the major histocompatibility complex class II compartment: downregulation by cytokines and bacterial products.","type":"article-journal","volume":"182"},"uris":["http://www.mendeley.com/documents/?uuid=8d635573-d655-4c81-98fd-00ca2a1c1b1f"]},{"id":"ITEM-2","itemData":{"DOI":"10.1038/ni841","ISBN":"1529-2908","ISSN":"1529-2908","PMID":"12352970","abstract":"The ability of HIV-1 to use dendritic cells (DCs) for transport and to transfer virus to activated T cells in the lymph node may be crucial in early HIV-1 pathogenesis. We have characterized primary DCs for the receptors involved in viral envelope attachment and observed that C-type lectin receptor (CLR) binding was predominant in skin DCs, whereas binding to emigrating and tonsil DCs was CD4-dependent. No one CLR was solely responsible for envelope binding on all skin DC subsets. DC-SIGN (DC-specific ICAM-3-grabbing nonintegrin) was only expressed by CD14(+)CDla(lo) dermal DCs. The mannose receptor was expressed by CD1a(hi) and CD14(+)CDla(lo) dermal DCs, and langerin was expressed by Langerhans cells. The diversity of CLRs able to bind HIV-1 in skin DCs may reflect their ability to bind a range of microbial glycoproteins.","author":[{"dropping-particle":"","family":"Turville","given":"Stuart G.","non-dropping-particle":"","parse-names":false,"suffix":""},{"dropping-particle":"","family":"Cameron","given":"Paul U.","non-dropping-particle":"","parse-names":false,"suffix":""},{"dropping-particle":"","family":"Handley","given":"Amanda","non-dropping-particle":"","parse-names":false,"suffix":""},{"dropping-particle":"","family":"Lin","given":"George","non-dropping-particle":"","parse-names":false,"suffix":""},{"dropping-particle":"","family":"Pöhlmann","given":"Stefan","non-dropping-particle":"","parse-names":false,"suffix":""},{"dropping-particle":"","family":"Doms","given":"Robert W.","non-dropping-particle":"","parse-names":false,"suffix":""},{"dropping-particle":"","family":"Cunningham","given":"Anthony L.","non-dropping-particle":"","parse-names":false,"suffix":""}],"container-title":"Nature immunology","id":"ITEM-2","issue":"10","issued":{"date-parts":[["2002","10"]]},"page":"975-83","title":"Diversity of receptors binding HIV on dendritic cell subsets.","type":"article-journal","volume":"3"},"uris":["http://www.mendeley.com/documents/?uuid=bd885bbd-7a38-48a9-b078-e35bf3533a99"]}],"mendeley":{"formattedCitation":"[10,11]","plainTextFormattedCitation":"[10,11]","previouslyFormattedCitation":"[10,11]"},"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[10,11]</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xml:space="preserve">. </w:t>
      </w:r>
      <w:bookmarkEnd w:id="5"/>
      <w:r w:rsidRPr="00C67322">
        <w:rPr>
          <w:rFonts w:ascii="Palatino Linotype" w:eastAsia="Times New Roman" w:hAnsi="Palatino Linotype" w:cs="Times New Roman"/>
          <w:snapToGrid w:val="0"/>
          <w:color w:val="000000"/>
          <w:sz w:val="20"/>
          <w:lang w:val="en-US" w:eastAsia="de-DE" w:bidi="en-US"/>
        </w:rPr>
        <w:t xml:space="preserve">Moreover, the stage of DCs maturation influences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where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are more efficient at supporting virus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using different mechanisms compared to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{"citationItems":[{"id":"ITEM-1","itemData":{"ISBN":"0022-538X (Print)\\r0022-538X (Linking)","ISSN":"0022-538X","PMID":"9525591","abstract":"Dendritic cells (DCs) can develop from CD14+ peripheral blood monocytes cultured in granulocyte-macrophage colony-stimulating factor (GM-CSF) and interleukin 4 (IL-4). By 6 days in culture, the cells have the characteristics of immature DCs and can be further induced to mature by inflammatory stimuli or by monocyte-conditioned medium. After infection with macrophagetropic (M-tropic) human immunodeficiency virus type 1 (HIV-1), monocytes and mature DCs show a block in reverse transcription and only form early transcripts that can be amplified with primers for the R/U5 region. In contrast, immature DCs cultured for 6 or 11 days in GM-CSF and IL-4 complete reverse transcription and show a strong signal when LTR/gag primers are used. Blood monocytes and mature DCs do not replicate HIV-1, whereas immature DCs can be productively infected, but only with M-tropic HIV-1. The virus produced by immature DCs readily infects activated T cells. Although mature DCs do not produce virus, these cells transmit both M- and T-tropic virus to T cells. In the cocultures, both DCs and T cells must express functional chemokine coreceptors for viral replication to occur. Therefore, the developmental stage of DCs can influence the interaction of these cells with HIV-1 and influence the extent to which M-tropic and T-tropic virus can replicate.","author":[{"dropping-particle":"","family":"Granelli-Piperno","given":"A","non-dropping-particle":"","parse-names":false,"suffix":""},{"dropping-particle":"","family":"Delgado","given":"Elena","non-dropping-particle":"","parse-names":false,"suffix":""},{"dropping-particle":"","family":"Finkel","given":"Victoria","non-dropping-particle":"","parse-names":false,"suffix":""},{"dropping-particle":"","family":"Paxton","given":"William","non-dropping-particle":"","parse-names":false,"suffix":""},{"dropping-particle":"","family":"Steinman","given":"Ralph M","non-dropping-particle":"","parse-names":false,"suffix":""}],"container-title":"Journal of virology","id":"ITEM-1","issue":"4","issued":{"date-parts":[["1998","4"]]},"page":"2733-7","title":"Immature dendritic cells selectively replicate macrophagetropic (M-tropic) human immunodeficiency virus type 1, while mature cells efficiently transmit both M- and T-tropic virus to T cells.","type":"article-journal","volume":"72"},"uris":["http://www.mendeley.com/documents/?uuid=a16f48b7-559f-4f11-bd0b-29de067119c4"]},{"id":"ITEM-2","itemData":{"DOI":"10.1128/JVI.76.15.7812","ISSN":"0022-538X","PMID":"12097593","abstract":"Dendritic cells (DC) support human immunodeficiency virus type 1 (HIV-1) transmission by capture of the virus particle in the mucosa and subsequent transport to the draining lymph node, where HIV-1 is presented to CD4(+) Th cells. Virus transmission involves a high-affinity interaction between the DC-specific surface molecule DC-SIGN and the viral envelope glycoprotein gp120 and subsequent internalization of the virus, which remains infectious. The mechanism of viral transmission from DC to T cells is currently unknown. Sentinel immature DC (iDC) develop into Th1-promoting effector DC1 or Th2-promoting DC2, depending on the activation signals. We studied the ability of these effector DC subsets to support HIV-1 transmission in vitro. Compared with iDC, virus transmission is greatly upregulated for the DC1 subset, whereas DC2 cells are inactive. Increased transmission by DC1 correlates with increased expression of ICAM-1, and blocking studies confirm that ICAM-1 expression on DC is important for HIV transmission. The ICAM-1-LFA-1 interaction is known to be important for immunological cross talk between DC and T cells, and our results indicate that this cell-cell contact is exploited by HIV-1 for efficient transmission.","author":[{"dropping-particle":"","family":"Sanders","given":"Rogier W","non-dropping-particle":"","parse-names":false,"suffix":""},{"dropping-particle":"","family":"Jong","given":"Esther C","non-dropping-particle":"de","parse-names":false,"suffix":""},{"dropping-particle":"","family":"Baldwin","given":"Christopher E","non-dropping-particle":"","parse-names":false,"suffix":""},{"dropping-particle":"","family":"Schuitemaker","given":"Joost H N","non-dropping-particle":"","parse-names":false,"suffix":""},{"dropping-particle":"","family":"Kapsenberg","given":"Martien L","non-dropping-particle":"","parse-names":false,"suffix":""},{"dropping-particle":"","family":"Berkhout","given":"Ben","non-dropping-particle":"","parse-names":false,"suffix":""}],"container-title":"Journal of virology","id":"ITEM-2","issue":"15","issued":{"date-parts":[["2002","8"]]},"page":"7812-21","title":"Differential transmission of human immunodeficiency virus type 1 by distinct subsets of effector dendritic cells.","type":"article-journal","volume":"76"},"uris":["http://www.mendeley.com/documents/?uuid=54b0a6c4-2c72-4f51-ac17-e89d02f65204"]},{"id":"ITEM-3","itemData":{"DOI":"10.1371/journal.ppat.1004146","ISBN":"1553-7374 (Electronic)\\r1553-7366 (Linking)","ISSN":"1553-7374","PMID":"25033082","abstract":"Dendritic cells (DCs) are essential in order to combat invading viruses and trigger antiviral responses. Paradoxically, in the case of HIV-1, DCs might contribute to viral pathogenesis through trans-infection, a mechanism that promotes viral capture and transmission to target cells, especially after DC maturation. In this review, we highlight recent evidence identifying sialyllactose-containing gangliosides in the viral membrane and the cellular lectin Siglec-1 as critical determinants for HIV-1 capture and storage by mature DCs and for DC-mediated trans-infection of T cells. In contrast, DC-SIGN, long considered to be the main receptor for DC capture of HIV-1, plays a minor role in mature DC-mediated HIV-1 capture and trans-infection.","author":[{"dropping-particle":"","family":"Izquierdo-Useros","given":"Nuria","non-dropping-particle":"","parse-names":false,"suffix":""},{"dropping-particle":"","family":"Lorizate","given":"Maier","non-dropping-particle":"","parse-names":false,"suffix":""},{"dropping-particle":"","family":"McLaren","given":"Paul J.","non-dropping-particle":"","parse-names":false,"suffix":""},{"dropping-particle":"","family":"Telenti","given":"Amalio","non-dropping-particle":"","parse-names":false,"suffix":""},{"dropping-particle":"","family":"Kräusslich","given":"Hans-Georg","non-dropping-particle":"","parse-names":false,"suffix":""},{"dropping-particle":"","family":"Martinez-Picado","given":"Javier","non-dropping-particle":"","parse-names":false,"suffix":""}],"container-title":"PLoS pathogens","id":"ITEM-3","issue":"7","issued":{"date-parts":[["2014","7"]]},"page":"e1004146","title":"HIV-1 capture and transmission by dendritic cells: the role of viral glycolipids and the cellular receptor Siglec-1.","type":"article-journal","volume":"10"},"uris":["http://www.mendeley.com/documents/?uuid=fac04b11-85b5-4b99-b72e-950d623a7489"]},{"id":"ITEM-4","itemData":{"DOI":"10.3389/fcimb.2020.00070","ISSN":"2235-2988","PMID":"32181159","abstract":"Dendritic cells (DCs) serve a key function in host defense, linking innate detection of microbes to activation of pathogen-specific adaptive immune responses. DCs express cell surface receptors for HIV-1 entry, but are relatively resistant to productive viral replication. They do, however, facilitate infection of co-cultured T-helper cells through a process referred to as trans-infection. We previously showed that tetraspanin 7 (TSPAN7), a transmembrane protein, is involved, through positive regulation of actin nucleation, in the transfer of HIV-1 from the dendrites of immature monocyte-derived DCs (iMDDCs) to activated CD4+ T lymphocytes. Various molecular mechanisms have been described regarding HIV-1 trans-infection and seem to depend on DC maturation status. We sought to investigate the crosstalk between DC maturation status, TSPAN7 expression and trans-infection. We followed trans-infection through co-culture of iMDDCs with CD4+ T lymphocytes, in the presence of CXCR4-tropic replicative-competent HIV-1 expressing GFP. T cell infection, DC maturation status and dendrite morphogenesis were assessed through time both by flow cytometry and confocal microscopy. Our previously described TSPAN7/actin nucleation-dependent mechanism of HIV-1 transfer appeared to be mostly observed during the first 20 h of co-culture experiments and to be independent of HIV replication. In the course of co-culture experiments, we observed a progressive maturation of MDDCs, correlated with a decrease in TSPAN7 expression, a drastic loss of dendrites and a change in the shape of DCs. A TSPAN7 and actin nucleation-independent mechanism of trans-infection, relying on HIV-1 replication, was then at play. We discovered that TSPAN7 expression is downregulated in response to different innate immune stimuli driving DC maturation, explaining the requirement for a TSPAN7/actin nucleation-independent mechanism of HIV transfer from mature MDDCs (mMDDCs) to T lymphocytes. As previously described, this mechanism relies on the capture of HIV-1 by the I-type lectin CD169/Siglec-1 on mMDDCs and the formation of a “big invaginated pocket” at the surface of DCs, both events being tightly regulated by DC maturation. Interestingly, in iMDDCs, although CD169/Siglec-1 can capture HIV-1, this capture does not lead to HIV-1 transfer to T lymphocytes.","author":[{"dropping-particle":"","family":"Perot","given":"Brieuc P.","non-dropping-particle":"","parse-names":false,"suffix":""},{"dropping-particle":"","family":"García-Paredes","given":"Victor","non-dropping-particle":"","parse-names":false,"suffix":""},{"dropping-particle":"","family":"Luka","given":"Marine","non-dropping-particle":"","parse-names":false,"suffix":""},{"dropping-particle":"","family":"Ménager","given":"Mickaël M.","non-dropping-particle":"","parse-names":false,"suffix":""}],"container-title":"Frontiers in Cellular and Infection Microbiology","id":"ITEM-4","issue":"February","issued":{"date-parts":[["2020","2","28"]]},"page":"1-17","title":"Dendritic Cell Maturation Regulates TSPAN7 Function in HIV-1 Transfer to CD4+ T Lymphocytes","type":"article-journal","volume":"10"},"uris":["http://www.mendeley.com/documents/?uuid=0dd04757-6f62-49ba-9928-3a236ad2894f"]}],"mendeley":{"formattedCitation":"[19,82–84]","plainTextFormattedCitation":"[19,82–84]","previouslyFormattedCitation":"[19,85–87]"},"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[19,82–84]</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xml:space="preserve">, glycolipids from </w:t>
      </w:r>
      <w:r w:rsidRPr="00C67322">
        <w:rPr>
          <w:rFonts w:ascii="Palatino Linotype" w:eastAsia="Times New Roman" w:hAnsi="Palatino Linotype" w:cs="Times New Roman"/>
          <w:i/>
          <w:iCs/>
          <w:snapToGrid w:val="0"/>
          <w:color w:val="000000"/>
          <w:sz w:val="20"/>
          <w:lang w:val="en-US" w:eastAsia="de-DE" w:bidi="en-US"/>
        </w:rPr>
        <w:t>M. smegmatis</w:t>
      </w:r>
      <w:r w:rsidRPr="00C67322">
        <w:rPr>
          <w:rFonts w:ascii="Palatino Linotype" w:eastAsia="Times New Roman" w:hAnsi="Palatino Linotype" w:cs="Times New Roman"/>
          <w:snapToGrid w:val="0"/>
          <w:color w:val="000000"/>
          <w:sz w:val="20"/>
          <w:lang w:val="en-US" w:eastAsia="de-DE" w:bidi="en-US"/>
        </w:rPr>
        <w:t>,</w:t>
      </w:r>
      <w:r w:rsidRPr="00C67322">
        <w:rPr>
          <w:rFonts w:ascii="Palatino Linotype" w:eastAsia="Times New Roman" w:hAnsi="Palatino Linotype" w:cs="Times New Roman"/>
          <w:i/>
          <w:iCs/>
          <w:snapToGrid w:val="0"/>
          <w:color w:val="000000"/>
          <w:sz w:val="20"/>
          <w:lang w:val="en-US" w:eastAsia="de-DE" w:bidi="en-US"/>
        </w:rPr>
        <w:t xml:space="preserve">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HN878 and CDC1551 could activate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maturation by pattern recognition receptors (PRRs) recognition and improve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efficacy. Interestingly, the impact of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liposomes on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mediated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 xml:space="preserve">-infection varies from the experiments using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The variations observed between cell types supports the hypothesis that receptors other than DC-SIGN can </w:t>
      </w:r>
      <w:r w:rsidRPr="00C67322">
        <w:rPr>
          <w:rFonts w:ascii="Palatino Linotype" w:eastAsia="Times New Roman" w:hAnsi="Palatino Linotype" w:cs="Times New Roman"/>
          <w:snapToGrid w:val="0"/>
          <w:color w:val="000000"/>
          <w:sz w:val="20"/>
          <w:lang w:val="en-US" w:eastAsia="de-DE" w:bidi="en-US"/>
        </w:rPr>
        <w:lastRenderedPageBreak/>
        <w:t xml:space="preserve">impact HIV-1 capture and transfer and which can be differentially modulated by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glycolipids. These complex interactions between bacterial antigens and immune cells will undoubtedly influence the ensuing immune responses generated. HIV-1 t</w:t>
      </w:r>
      <w:r w:rsidRPr="00C67322">
        <w:rPr>
          <w:rFonts w:ascii="Palatino Linotype" w:eastAsia="Times New Roman" w:hAnsi="Palatino Linotype" w:cs="Times New Roman"/>
          <w:i/>
          <w:iCs/>
          <w:snapToGrid w:val="0"/>
          <w:color w:val="000000"/>
          <w:sz w:val="20"/>
          <w:lang w:val="en-US" w:eastAsia="de-DE" w:bidi="en-US"/>
        </w:rPr>
        <w:t>rans</w:t>
      </w:r>
      <w:r w:rsidRPr="00C67322">
        <w:rPr>
          <w:rFonts w:ascii="Palatino Linotype" w:eastAsia="Times New Roman" w:hAnsi="Palatino Linotype" w:cs="Times New Roman"/>
          <w:snapToGrid w:val="0"/>
          <w:color w:val="000000"/>
          <w:sz w:val="20"/>
          <w:lang w:val="en-US" w:eastAsia="de-DE" w:bidi="en-US"/>
        </w:rPr>
        <w:t xml:space="preserve">-infection mediated by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involved the receptor </w:t>
      </w:r>
      <w:proofErr w:type="spellStart"/>
      <w:r w:rsidRPr="00C67322">
        <w:rPr>
          <w:rFonts w:ascii="Palatino Linotype" w:eastAsia="Times New Roman" w:hAnsi="Palatino Linotype" w:cs="Times New Roman"/>
          <w:snapToGrid w:val="0"/>
          <w:color w:val="000000"/>
          <w:sz w:val="20"/>
          <w:lang w:val="en-US" w:eastAsia="de-DE" w:bidi="en-US"/>
        </w:rPr>
        <w:t>Siglec</w:t>
      </w:r>
      <w:proofErr w:type="spellEnd"/>
      <w:r w:rsidRPr="00C67322">
        <w:rPr>
          <w:rFonts w:ascii="Palatino Linotype" w:eastAsia="Times New Roman" w:hAnsi="Palatino Linotype" w:cs="Times New Roman"/>
          <w:snapToGrid w:val="0"/>
          <w:color w:val="000000"/>
          <w:sz w:val="20"/>
          <w:lang w:val="en-US" w:eastAsia="de-DE" w:bidi="en-US"/>
        </w:rPr>
        <w:t xml:space="preserve">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{"citationItems":[{"id":"ITEM-1","itemData":{"DOI":"10.1016/S1074-7613(02)00504-6","ISBN":"1074-7613 (Print)","ISSN":"1074-7613","PMID":"12530973","abstract":"This study demonstrates that syndecan functions as an in trans HIV receptor. We show that syndecan, when expressed in nonpermissive cells, becomes the major mediator for HIV adsorption. This adsorption is mediated by the binding of gp120 to the heparan sulfate chains of syndecan. Although syndecan does not substitute for HIV entry receptors, it enhances the in trans infectivity of a broad range of primate lentiviruses including primary viruses produced from PBMCs. Furthermore, syndecan preserves virus infectivity for a week, whereas unbound virus loses its infectivity in less than a day. Moreover, we obtain evidence suggesting that the vast syndecan-rich endothelial lining of the vasculature can provide a microenvironment which boosts HIV replication in T cells.","author":[{"dropping-particle":"","family":"Bobardt","given":"Michael D.","non-dropping-particle":"","parse-names":false,"suffix":""},{"dropping-particle":"","family":"Saphire","given":"Andrew C S","non-dropping-particle":"","parse-names":false,"suffix":""},{"dropping-particle":"","family":"Hung","given":"Hsiu-Cheng","non-dropping-particle":"","parse-names":false,"suffix":""},{"dropping-particle":"","family":"Yu","given":"Xiaocong","non-dropping-particle":"","parse-names":false,"suffix":""},{"dropping-particle":"","family":"Schueren","given":"Bernadette","non-dropping-particle":"Van der","parse-names":false,"suffix":""},{"dropping-particle":"","family":"Zhang","given":"Zhe","non-dropping-particle":"","parse-names":false,"suffix":""},{"dropping-particle":"","family":"David","given":"Guido","non-dropping-particle":"","parse-names":false,"suffix":""},{"dropping-particle":"","family":"Gallay","given":"Philippe A.","non-dropping-particle":"","parse-names":false,"suffix":""}],"container-title":"Immunity","id":"ITEM-1","issue":"1","issued":{"date-parts":[["2003","1"]]},"page":"27-39","title":"Syndecan captures, protects, and transmits HIV to T lymphocytes.","type":"article-journal","volume":"18"},"uris":["http://www.mendeley.com/documents/?uuid=a09358ba-c266-4d1c-8bac-250c075d5d3e"]},{"id":"ITEM-2","itemData":{"DOI":"10.1073/pnas.0703747104","ISBN":"1091-6490 (Electronic)\\r0027-8424 (Linking)","ISSN":"1091-6490","PMID":"18040049","abstract":"Dendritic cells (DCs) efficiently capture HIV-1 and mediate transmission to T cells, but the underlying molecular mechanism is still being debated. The C-type lectin DC-SIGN is important in HIV-1 transmission by DCs. However, various studies strongly suggest that another HIV-1 receptor on DCs is involved in the capture of HIV-1. Here we have identified syndecan-3 as a major HIV-1 attachment receptor on DCs. Syndecan-3 is a DC-specific heparan sulfate (HS) proteoglycan that captures HIV-1 through interaction with the HIV-1 envelope glycoprotein gp120. Syndecan-3 stabilizes the captured virus, enhances DC infection in cis, and promotes transmission to T cells. Removal of the HSs from the cell surface by heparinase III or by silencing syndecan-3 by siRNA partially inhibited HIV-1 transmission by immature DCs, whereas neutralizing both syndecan-3 and DC-SIGN completely abrogated HIV-1 capture and subsequent transmission. Thus, HIV-1 exploits both syndecan-3 and DC-SIGN to mediate HIV-1 transmission, and an effective microbicide should target both syndecan-3 and DC-SIGN on DCs to prevent transmission.","author":[{"dropping-particle":"","family":"Witte","given":"Lot","non-dropping-particle":"de","parse-names":false,"suffix":""},{"dropping-particle":"","family":"Bobardt","given":"Michael","non-dropping-particle":"","parse-names":false,"suffix":""},{"dropping-particle":"","family":"Chatterji","given":"Udayan","non-dropping-particle":"","parse-names":false,"suffix":""},{"dropping-particle":"","family":"Degeest","given":"Gisèle","non-dropping-particle":"","parse-names":false,"suffix":""},{"dropping-particle":"","family":"David","given":"Guido","non-dropping-particle":"","parse-names":false,"suffix":""},{"dropping-particle":"","family":"Geijtenbeek","given":"Teunis B. H.","non-dropping-particle":"","parse-names":false,"suffix":""},{"dropping-particle":"","family":"Gallay","given":"Philippe","non-dropping-particle":"","parse-names":false,"suffix":""}],"container-title":"Proceedings of the National Academy of Sciences of the United States of America","id":"ITEM-2","issue":"49","issued":{"date-parts":[["2007","12","4"]]},"page":"19464-9","title":"Syndecan-3 is a dendritic cell-specific attachment receptor for HIV-1.","type":"article-journal","volume":"104"},"uris":["http://www.mendeley.com/documents/?uuid=611c1e82-328a-44eb-b48c-d8780070cbd2"]},{"id":"ITEM-3","itemData":{"DOI":"10.1073/pnas.1201104109","ISBN":"1091-6490 (Electronic)\\r0027-8424 (Linking)","ISSN":"1091-6490","PMID":"22529395","abstract":"The interaction between HIV and dendritic cells (DCs) is an important early event in HIV-1 pathogenesis that leads to efficient viral dissemination. Here we demonstrate a HIV gp120-independent DC capture mechanism that uses virion-incorporated host-derived gangliosides with terminal α2-3-linked sialic acid linkages. Using exogenously enriched virus and artificial liposome particles, we demonstrate that both α2-3 gangliosides GM1 and GM3 are capable of mediating this interaction when present in the particle at high levels. In the absence of overexpression, GM3 is the primary ligand responsible for this capture mechanism, because siRNA depletion of GM3 but not GM1 from the producer cell and hence virions, resulted in a dramatic decrease in DC capture. Furthermore, HIV-1 capture by DCs was competitively inhibited by targeting virion-associated GM3, but was unchanged by targeting GM1. Finally, virions were derived from monocytoid THP-1 cells that constitutively display low levels of GM1 and GM3, or from THP-1 cells induced to express high surface levels of GM1 and GM3 upon stimulation with the TLR2/1 ligand Pam3CSK4. Compared with untreated THP-1 cells, virus produced from Pam3CSK4-stimulated THP-1 cells incorporated higher levels of GM3, but not GM1, and showed enhanced DC capture and trans-infection. Our results identify a unique HIV-1 DC attachment mechanism that is dependent on a host-cell-derived ligand, GM3, and is a unique example of pathogen mimicry of host-cell recognition pathways that drive virus capture and dissemination in vivo.","author":[{"dropping-particle":"","family":"Puryear","given":"Wendy Blay","non-dropping-particle":"","parse-names":false,"suffix":""},{"dropping-particle":"","family":"Yu","given":"Xinwei","non-dropping-particle":"","parse-names":false,"suffix":""},{"dropping-particle":"","family":"Ramirez","given":"Nora P.","non-dropping-particle":"","parse-names":false,"suffix":""},{"dropping-particle":"","family":"Reinhard","given":"Björn M.","non-dropping-particle":"","parse-names":false,"suffix":""},{"dropping-particle":"","family":"Gummuluru","given":"Suryaram","non-dropping-particle":"","parse-names":false,"suffix":""}],"container-title":"Proceedings of the National Academy of Sciences of the United States of America","id":"ITEM-3","issue":"19","issued":{"date-parts":[["2012","5","8"]]},"page":"7475-80","title":"HIV-1 incorporation of host-cell-derived glycosphingolipid GM3 allows for capture by mature dendritic cells.","type":"article-journal","volume":"109"},"uris":["http://www.mendeley.com/documents/?uuid=f8b894cb-db40-4396-b779-0f554624bebc"]},{"id":"ITEM-4","itemData":{"DOI":"10.1371/journal.ppat.1004146","ISBN":"1553-7374 (Electronic)\\r1553-7366 (Linking)","ISSN":"1553-7374","PMID":"25033082","abstract":"Dendritic cells (DCs) are essential in order to combat invading viruses and trigger antiviral responses. Paradoxically, in the case of HIV-1, DCs might contribute to viral pathogenesis through trans-infection, a mechanism that promotes viral capture and transmission to target cells, especially after DC maturation. In this review, we highlight recent evidence identifying sialyllactose-containing gangliosides in the viral membrane and the cellular lectin Siglec-1 as critical determinants for HIV-1 capture and storage by mature DCs and for DC-mediated trans-infection of T cells. In contrast, DC-SIGN, long considered to be the main receptor for DC capture of HIV-1, plays a minor role in mature DC-mediated HIV-1 capture and trans-infection.","author":[{"dropping-particle":"","family":"Izquierdo-Useros","given":"Nuria","non-dropping-particle":"","parse-names":false,"suffix":""},{"dropping-particle":"","family":"Lorizate","given":"Maier","non-dropping-particle":"","parse-names":false,"suffix":""},{"dropping-particle":"","family":"McLaren","given":"Paul J.","non-dropping-particle":"","parse-names":false,"suffix":""},{"dropping-particle":"","family":"Telenti","given":"Amalio","non-dropping-particle":"","parse-names":false,"suffix":""},{"dropping-particle":"","family":"Kräusslich","given":"Hans-Georg","non-dropping-particle":"","parse-names":false,"suffix":""},{"dropping-particle":"","family":"Martinez-Picado","given":"Javier","non-dropping-particle":"","parse-names":false,"suffix":""}],"container-title":"PLoS pathogens","id":"ITEM-4","issue":"7","issued":{"date-parts":[["2014","7"]]},"page":"e1004146","title":"HIV-1 capture and transmission by dendritic cells: the role of viral glycolipids and the cellular receptor Siglec-1.","type":"article-journal","volume":"10"},"uris":["http://www.mendeley.com/documents/?uuid=fac04b11-85b5-4b99-b72e-950d623a7489"]},{"id":"ITEM-5","itemData":{"DOI":"10.1371/journal.ppat.1004751","ISBN":"1553-7374 (Electronic) 1553-7366 (Linking)","ISSN":"1553-7374","PMID":"25760631","abstract":"Myeloid dendritic cells (DCs) can capture HIV-1 via the receptor CD169/Siglec-1 that binds to the ganglioside, GM3, in the virus particle membrane. In turn, HIV-1 particles captured by CD169, an I-type lectin, whose expression on DCs is enhanced upon maturation with LPS, are protected from degradation in CD169+ virus-containing compartments (VCCs) and disseminated to CD4⁺ T cells, a mechanism of DC-mediated HIV-1 trans-infection. In this study, we describe the mechanism of VCC formation and its role in immune evasion mechanisms of HIV-1. We find HIV-1-induced formation of VCCs is restricted to myeloid cells, and that the cytoplasmic tail of CD169 is dispensable for HIV-1 trafficking and retention within VCCs and subsequent trans-infection to CD4⁺ T cells. Interestingly, introduction of a di-aromatic endocytic motif in the cytoplasmic tail of CD169 that results in endocytosis of HIV-1 particles, suppressed CD169-mediated HIV-1 trans-infection. Furthermore, super-resolution microscopy revealed close association of CD169 and HIV-1 particles in surface-accessible but deep plasma membrane invaginations. Intriguingly, HIV-1 particles in deep VCCs were inefficiently accessed by anti-gp120 broadly neutralizing antibodies, VRC01 and NIH45-46 G54W, and thus were less susceptible to neutralization. Our study suggests that HIV-1 capture by CD169 can provide virus evasion from both innate (phagocytosis) and adaptive immune responses.","author":[{"dropping-particle":"","family":"Akiyama","given":"Hisashi","non-dropping-particle":"","parse-names":false,"suffix":""},{"dropping-particle":"","family":"Ramirez","given":"Nora-Guadalupe Pina","non-dropping-particle":"","parse-names":false,"suffix":""},{"dropping-particle":"V.","family":"Gudheti","given":"Manasa","non-dropping-particle":"","parse-names":false,"suffix":""},{"dropping-particle":"","family":"Gummuluru","given":"Suryaram","non-dropping-particle":"","parse-names":false,"suffix":""}],"container-title":"PLoS pathogens","id":"ITEM-5","issue":"3","issued":{"date-parts":[["2015","3"]]},"page":"e1004751","title":"CD169-mediated trafficking of HIV to plasma membrane invaginations in dendritic cells attenuates efficacy of anti-gp120 broadly neutralizing antibodies.","type":"article-journal","volume":"11"},"uris":["http://www.mendeley.com/documents/?uuid=5bf6d33e-effb-416e-acab-a77dc4b29e0b"]},{"id":"ITEM-6","itemData":{"DOI":"10.3389/fcimb.2020.00070","ISSN":"2235-2988","PMID":"32181159","abstract":"Dendritic cells (DCs) serve a key function in host defense, linking innate detection of microbes to activation of pathogen-specific adaptive immune responses. DCs express cell surface receptors for HIV-1 entry, but are relatively resistant to productive viral replication. They do, however, facilitate infection of co-cultured T-helper cells through a process referred to as trans-infection. We previously showed that tetraspanin 7 (TSPAN7), a transmembrane protein, is involved, through positive regulation of actin nucleation, in the transfer of HIV-1 from the dendrites of immature monocyte-derived DCs (iMDDCs) to activated CD4+ T lymphocytes. Various molecular mechanisms have been described regarding HIV-1 trans-infection and seem to depend on DC maturation status. We sought to investigate the crosstalk between DC maturation status, TSPAN7 expression and trans-infection. We followed trans-infection through co-culture of iMDDCs with CD4+ T lymphocytes, in the presence of CXCR4-tropic replicative-competent HIV-1 expressing GFP. T cell infection, DC maturation status and dendrite morphogenesis were assessed through time both by flow cytometry and confocal microscopy. Our previously described TSPAN7/actin nucleation-dependent mechanism of HIV-1 transfer appeared to be mostly observed during the first 20 h of co-culture experiments and to be independent of HIV replication. In the course of co-culture experiments, we observed a progressive maturation of MDDCs, correlated with a decrease in TSPAN7 expression, a drastic loss of dendrites and a change in the shape of DCs. A TSPAN7 and actin nucleation-independent mechanism of trans-infection, relying on HIV-1 replication, was then at play. We discovered that TSPAN7 expression is downregulated in response to different innate immune stimuli driving DC maturation, explaining the requirement for a TSPAN7/actin nucleation-independent mechanism of HIV transfer from mature MDDCs (mMDDCs) to T lymphocytes. As previously described, this mechanism relies on the capture of HIV-1 by the I-type lectin CD169/Siglec-1 on mMDDCs and the formation of a “big invaginated pocket” at the surface of DCs, both events being tightly regulated by DC maturation. Interestingly, in iMDDCs, although CD169/Siglec-1 can capture HIV-1, this capture does not lead to HIV-1 transfer to T lymphocytes.","author":[{"dropping-particle":"","family":"Perot","given":"Brieuc P.","non-dropping-particle":"","parse-names":false,"suffix":""},{"dropping-particle":"","family":"García-Paredes","given":"Victor","non-dropping-particle":"","parse-names":false,"suffix":""},{"dropping-particle":"","family":"Luka","given":"Marine","non-dropping-particle":"","parse-names":false,"suffix":""},{"dropping-particle":"","family":"Ménager","given":"Mickaël M.","non-dropping-particle":"","parse-names":false,"suffix":""}],"container-title":"Frontiers in Cellular and Infection Microbiology","id":"ITEM-6","issue":"February","issued":{"date-parts":[["2020","2","28"]]},"page":"1-17","title":"Dendritic Cell Maturation Regulates TSPAN7 Function in HIV-1 Transfer to CD4+ T Lymphocytes","type":"article-journal","volume":"10"},"uris":["http://www.mendeley.com/documents/?uuid=0dd04757-6f62-49ba-9928-3a236ad2894f"]}],"mendeley":{"formattedCitation":"[16–20,84]","plainTextFormattedCitation":"[16–20,84]","previouslyFormattedCitation":"[16–20,87]"},"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[16–20,84]</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xml:space="preserve">. The influence reported here of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i/>
          <w:iCs/>
          <w:snapToGrid w:val="0"/>
          <w:color w:val="000000"/>
          <w:sz w:val="20"/>
          <w:lang w:val="en-US" w:eastAsia="de-DE" w:bidi="en-US"/>
        </w:rPr>
        <w:t xml:space="preserve"> </w:t>
      </w:r>
      <w:r w:rsidRPr="00C67322">
        <w:rPr>
          <w:rFonts w:ascii="Palatino Linotype" w:eastAsia="Times New Roman" w:hAnsi="Palatino Linotype" w:cs="Times New Roman"/>
          <w:snapToGrid w:val="0"/>
          <w:color w:val="000000"/>
          <w:sz w:val="20"/>
          <w:lang w:val="en-US" w:eastAsia="de-DE" w:bidi="en-US"/>
        </w:rPr>
        <w:t>liposomes on HIV-1 t</w:t>
      </w:r>
      <w:r w:rsidRPr="00C67322">
        <w:rPr>
          <w:rFonts w:ascii="Palatino Linotype" w:eastAsia="Times New Roman" w:hAnsi="Palatino Linotype" w:cs="Times New Roman"/>
          <w:i/>
          <w:iCs/>
          <w:snapToGrid w:val="0"/>
          <w:color w:val="000000"/>
          <w:sz w:val="20"/>
          <w:lang w:val="en-US" w:eastAsia="de-DE" w:bidi="en-US"/>
        </w:rPr>
        <w:t>rans</w:t>
      </w:r>
      <w:r w:rsidRPr="00C67322">
        <w:rPr>
          <w:rFonts w:ascii="Palatino Linotype" w:eastAsia="Times New Roman" w:hAnsi="Palatino Linotype" w:cs="Times New Roman"/>
          <w:snapToGrid w:val="0"/>
          <w:color w:val="000000"/>
          <w:sz w:val="20"/>
          <w:lang w:val="en-US" w:eastAsia="de-DE" w:bidi="en-US"/>
        </w:rPr>
        <w:t xml:space="preserve">-infection mediated may be due to interactions with other PRRs, influencing </w:t>
      </w:r>
      <w:proofErr w:type="spellStart"/>
      <w:r w:rsidRPr="00C67322">
        <w:rPr>
          <w:rFonts w:ascii="Palatino Linotype" w:eastAsia="Times New Roman" w:hAnsi="Palatino Linotype" w:cs="Times New Roman"/>
          <w:snapToGrid w:val="0"/>
          <w:color w:val="000000"/>
          <w:sz w:val="20"/>
          <w:lang w:val="en-US" w:eastAsia="de-DE" w:bidi="en-US"/>
        </w:rPr>
        <w:t>Siglec</w:t>
      </w:r>
      <w:proofErr w:type="spellEnd"/>
      <w:r w:rsidRPr="00C67322">
        <w:rPr>
          <w:rFonts w:ascii="Palatino Linotype" w:eastAsia="Times New Roman" w:hAnsi="Palatino Linotype" w:cs="Times New Roman"/>
          <w:snapToGrid w:val="0"/>
          <w:color w:val="000000"/>
          <w:sz w:val="20"/>
          <w:lang w:val="en-US" w:eastAsia="de-DE" w:bidi="en-US"/>
        </w:rPr>
        <w:t xml:space="preserve"> expression, or direct interaction with </w:t>
      </w:r>
      <w:proofErr w:type="spellStart"/>
      <w:r w:rsidRPr="00C67322">
        <w:rPr>
          <w:rFonts w:ascii="Palatino Linotype" w:eastAsia="Times New Roman" w:hAnsi="Palatino Linotype" w:cs="Times New Roman"/>
          <w:snapToGrid w:val="0"/>
          <w:color w:val="000000"/>
          <w:sz w:val="20"/>
          <w:lang w:val="en-US" w:eastAsia="de-DE" w:bidi="en-US"/>
        </w:rPr>
        <w:t>Siglec</w:t>
      </w:r>
      <w:proofErr w:type="spellEnd"/>
      <w:r w:rsidRPr="00C67322">
        <w:rPr>
          <w:rFonts w:ascii="Palatino Linotype" w:eastAsia="Times New Roman" w:hAnsi="Palatino Linotype" w:cs="Times New Roman"/>
          <w:snapToGrid w:val="0"/>
          <w:color w:val="000000"/>
          <w:sz w:val="20"/>
          <w:lang w:val="en-US" w:eastAsia="de-DE" w:bidi="en-US"/>
        </w:rPr>
        <w:t>.</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 xml:space="preserve">Collectively, our findings indicate that variant strains of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can provide differential effects on HIV-1 </w:t>
      </w:r>
      <w:r w:rsidRPr="00C67322">
        <w:rPr>
          <w:rFonts w:ascii="Palatino Linotype" w:eastAsia="Times New Roman" w:hAnsi="Palatino Linotype" w:cs="Times New Roman"/>
          <w:i/>
          <w:iCs/>
          <w:snapToGrid w:val="0"/>
          <w:color w:val="000000"/>
          <w:sz w:val="20"/>
          <w:lang w:val="en-US" w:eastAsia="de-DE" w:bidi="en-US"/>
        </w:rPr>
        <w:t>trans</w:t>
      </w:r>
      <w:r w:rsidRPr="00C67322">
        <w:rPr>
          <w:rFonts w:ascii="Palatino Linotype" w:eastAsia="Times New Roman" w:hAnsi="Palatino Linotype" w:cs="Times New Roman"/>
          <w:snapToGrid w:val="0"/>
          <w:color w:val="000000"/>
          <w:sz w:val="20"/>
          <w:lang w:val="en-US" w:eastAsia="de-DE" w:bidi="en-US"/>
        </w:rPr>
        <w:t>-infection which has the potential to influence HIV-1 disease course in co-infected individuals. Studying HIV-1</w:t>
      </w:r>
      <w:r w:rsidRPr="00C67322">
        <w:rPr>
          <w:rFonts w:ascii="Palatino Linotype" w:eastAsia="Times New Roman" w:hAnsi="Palatino Linotype" w:cs="Times New Roman"/>
          <w:i/>
          <w:iCs/>
          <w:snapToGrid w:val="0"/>
          <w:color w:val="000000"/>
          <w:sz w:val="20"/>
          <w:lang w:val="en-US" w:eastAsia="de-DE" w:bidi="en-US"/>
        </w:rPr>
        <w:t xml:space="preserve"> trans</w:t>
      </w:r>
      <w:r w:rsidRPr="00C67322">
        <w:rPr>
          <w:rFonts w:ascii="Palatino Linotype" w:eastAsia="Times New Roman" w:hAnsi="Palatino Linotype" w:cs="Times New Roman"/>
          <w:snapToGrid w:val="0"/>
          <w:color w:val="000000"/>
          <w:sz w:val="20"/>
          <w:lang w:val="en-US" w:eastAsia="de-DE" w:bidi="en-US"/>
        </w:rPr>
        <w:t xml:space="preserve">-infection mediated </w:t>
      </w:r>
      <w:r w:rsidRPr="00C67322">
        <w:rPr>
          <w:rFonts w:ascii="Palatino Linotype" w:eastAsia="Times New Roman" w:hAnsi="Palatino Linotype" w:cs="Times New Roman"/>
          <w:iCs/>
          <w:snapToGrid w:val="0"/>
          <w:color w:val="000000"/>
          <w:sz w:val="20"/>
          <w:lang w:val="en-US" w:eastAsia="de-DE" w:bidi="en-US"/>
        </w:rPr>
        <w:t>via</w:t>
      </w:r>
      <w:r w:rsidRPr="00C67322">
        <w:rPr>
          <w:rFonts w:ascii="Palatino Linotype" w:eastAsia="Times New Roman" w:hAnsi="Palatino Linotype" w:cs="Times New Roman"/>
          <w:snapToGrid w:val="0"/>
          <w:color w:val="000000"/>
          <w:sz w:val="20"/>
          <w:lang w:val="en-US" w:eastAsia="de-DE" w:bidi="en-US"/>
        </w:rPr>
        <w:t xml:space="preserve"> DC-SIGN receptor represents a valuable alternative </w:t>
      </w:r>
      <w:r w:rsidRPr="00C67322">
        <w:rPr>
          <w:rFonts w:ascii="Palatino Linotype" w:eastAsia="Times New Roman" w:hAnsi="Palatino Linotype" w:cs="Times New Roman"/>
          <w:iCs/>
          <w:snapToGrid w:val="0"/>
          <w:color w:val="000000"/>
          <w:sz w:val="20"/>
          <w:lang w:val="en-US" w:eastAsia="de-DE" w:bidi="en-US"/>
        </w:rPr>
        <w:t>in vitro</w:t>
      </w:r>
      <w:r w:rsidRPr="00C67322">
        <w:rPr>
          <w:rFonts w:ascii="Palatino Linotype" w:eastAsia="Times New Roman" w:hAnsi="Palatino Linotype" w:cs="Times New Roman"/>
          <w:snapToGrid w:val="0"/>
          <w:color w:val="000000"/>
          <w:sz w:val="20"/>
          <w:lang w:val="en-US" w:eastAsia="de-DE" w:bidi="en-US"/>
        </w:rPr>
        <w:t xml:space="preserve"> model to </w:t>
      </w:r>
      <w:proofErr w:type="spellStart"/>
      <w:r w:rsidRPr="00C67322">
        <w:rPr>
          <w:rFonts w:ascii="Palatino Linotype" w:eastAsia="Times New Roman" w:hAnsi="Palatino Linotype" w:cs="Times New Roman"/>
          <w:snapToGrid w:val="0"/>
          <w:color w:val="000000"/>
          <w:sz w:val="20"/>
          <w:lang w:val="en-US" w:eastAsia="de-DE" w:bidi="en-US"/>
        </w:rPr>
        <w:t>analyse</w:t>
      </w:r>
      <w:proofErr w:type="spellEnd"/>
      <w:r w:rsidRPr="00C67322">
        <w:rPr>
          <w:rFonts w:ascii="Palatino Linotype" w:eastAsia="Times New Roman" w:hAnsi="Palatino Linotype" w:cs="Times New Roman"/>
          <w:snapToGrid w:val="0"/>
          <w:color w:val="000000"/>
          <w:sz w:val="20"/>
          <w:lang w:val="en-US" w:eastAsia="de-DE" w:bidi="en-US"/>
        </w:rPr>
        <w:t xml:space="preserve"> DC-SIGN interactions with bacterial glycolipid components. Additionally, liposomes technology represents a useful technique to best mimic lipid distribution and antigen presentation on the mycobacterial cell wall. The activation of PRR signaling pathways by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PAMPs leads to the activation of HIV-1 replication and infection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{"citationItems":[{"id":"ITEM-1","itemData":{"DOI":"10.4049/jimmunol.171.3.1123","ISBN":"0022-1767","ISSN":"0022-1767","PMID":"12874196","abstract":"Mycobacterial infection has been implicated as a possible factor in AIDS progression in populations where HIV-1 and Mycobacterium tuberculosis are coendemic. In support of this concept, we have previously shown that HIV-1-transgenic (Tg) mice infected with mycobacteria display enhanced viral gene and protein expression. In this study, we demonstrate that the induction of HIV-1 observed in this model is dependent on Toll-like receptor 2 (TLR2), a pattern recognition receptor known to be involved in mycobacteria-host interaction. Spleen cells from HIV-1-Tg mice deficient in TLR2 (Tg/TLR2(-/-)) were found to be completely defective in p24 production induced in response to live M. tuberculosis or Mycobacterium avium as well as certain mycobacterial products. Importantly, following in vivo mycobacterial infection, Tg/TLR2(-/-) mice failed to display the enhanced HIV-1 gag/env mRNA and p24 protein synthesis exhibited by wild-type Tg animals. Together, these results argue that TLR2 plays a crucial role in the activation of HIV-1 expression by mycobacterial coinfections.","author":[{"dropping-particle":"","family":"Bafica","given":"A.","non-dropping-particle":"","parse-names":false,"suffix":""},{"dropping-particle":"","family":"Scanga","given":"Charles a","non-dropping-particle":"","parse-names":false,"suffix":""},{"dropping-particle":"","family":"Schito","given":"Marco L","non-dropping-particle":"","parse-names":false,"suffix":""},{"dropping-particle":"","family":"Hieny","given":"Sara","non-dropping-particle":"","parse-names":false,"suffix":""},{"dropping-particle":"","family":"Sher","given":"Alan","non-dropping-particle":"","parse-names":false,"suffix":""}],"container-title":"The Journal of Immunology","id":"ITEM-1","issue":"3","issued":{"date-parts":[["2003","8","1"]]},"page":"1123-1127","title":"Cutting Edge: In Vivo Induction of Integrated HIV-1 Expression by Mycobacteria Is Critically Dependent on Toll-Like Receptor 2","type":"article-journal","volume":"171"},"uris":["http://www.mendeley.com/documents/?uuid=d6720adf-0671-4407-9758-13cf50110c4c"]}],"mendeley":{"formattedCitation":"[85]","plainTextFormattedCitation":"[85]","previouslyFormattedCitation":"[88]"},"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[85]</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xml:space="preserve"> through various mechanisms including the modification/translocation of transcription factors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{"citationItems":[{"id":"ITEM-1","itemData":{"DOI":"10.4049/jimmunol.170.10.5159","ISBN":"0022-1767 (Print)","ISSN":"0022-1767","PMID":"12734363","abstract":"Opportunistic infections are common in HIV-infected patients; they activate HIV replication and contribute to disease progression. In the present study we examined the role of Toll-like receptor 2 (TLR2) and TLR9 in HIV-long terminal repeat (HIV-LTR) trans-activation and assessed whether TLR4 synergized with TLR2 or TLR9 to induce HIV replication. Soluble Mycobacterium tuberculosis factor (STF) and phenol-soluble modulin from Staphylococcus epidermidis induced HIV-LTR trans-activation in human microvessel endothelial cells cotransfected with TLR2 cDNA. Stimulation of ex vivo spleen cells from HIV-1 transgenic mice with TLR4, TLR2, and TLR9 ligands (LPS, STF, and CpG DNA, respectively) induced p24 Ag production in a dose-dependent manner. Costimulation of HIV-1 transgenic mice spleen cells with LPS and STF or CpG DNA induced TNF-alpha and IFN-gamma production in a synergistic manner and p24 production in an additive fashion. In the THP-1 human monocytic cell line stably expressing the HIV-LTR-luciferase construct, LPS and STF also induced HIV-LTR trans-activation in an additive manner. This is the first time that TLR2 and TLR9 and costimulation of TLRs have been shown to induce HIV replication. Together these results underscore the importance of TLRs in bacterial Ag- and CpG DNA-induced HIV-LTR trans-activation and HIV replication. These observations may be important in understanding the role of the innate immune system and the molecular mechanisms involved in the increased HIV replication and HIV disease progression associated with multiple opportunistic infections.","author":[{"dropping-particle":"","family":"Equils","given":"Ozlem","non-dropping-particle":"","parse-names":false,"suffix":""},{"dropping-particle":"","family":"Schito","given":"Marco L","non-dropping-particle":"","parse-names":false,"suffix":""},{"dropping-particle":"","family":"Karahashi","given":"Hiase","non-dropping-particle":"","parse-names":false,"suffix":""},{"dropping-particle":"","family":"Madak","given":"Zeynep","non-dropping-particle":"","parse-names":false,"suffix":""},{"dropping-particle":"","family":"Yarali","given":"Ayse","non-dropping-particle":"","parse-names":false,"suffix":""},{"dropping-particle":"","family":"Michelsen","given":"Kathrin S","non-dropping-particle":"","parse-names":false,"suffix":""},{"dropping-particle":"","family":"Sher","given":"Alan","non-dropping-particle":"","parse-names":false,"suffix":""},{"dropping-particle":"","family":"Arditi","given":"Moshe","non-dropping-particle":"","parse-names":false,"suffix":""}],"container-title":"The Journal of Immunology","id":"ITEM-1","issue":"10","issued":{"date-parts":[["2003","5","15"]]},"page":"5159-5164","title":"Toll-Like Receptor 2 (TLR2) and TLR9 Signaling Results in HIV-Long Terminal Repeat Trans-Activation and HIV Replication in HIV-1 Transgenic Mouse Spleen Cells: Implications of Simultaneous Activation of TLRs on HIV Replication","type":"article-journal","volume":"170"},"uris":["http://www.mendeley.com/documents/?uuid=45d1334f-9847-44cb-890f-738b28a4f9a3"]},{"id":"ITEM-2","itemData":{"DOI":"10.1371/journal.pone.0185162","ISBN":"1111111111","ISSN":"1932-6203","PMID":"28949981","abstract":"Following proviral integration into the host cell genome and establishment of a latent state, the human immunodeficiency virus type 1 (HIV-1) can reenter a productive life cycle in response to various stimuli. HIV-1 reactivation occurs when transcription factors, such as nuclear factor-κB (NF-κB), nuclear factor of activated T cells (NFAT), and activator protein -1 (AP-1), bind cognate sites within the long terminal repeat (LTR) region of the HIV-1 provirus to promote transcription. Interestingly, pattern recognition receptors (PRRs) that recognize pathogen-associated molecular patterns (PAMPs) can reactivate latent HIV-1 through activation of the transcription factor NF-κB. Some PRRs are expressed on central memory CD4+ T cells (TCM), which in HIV-1 patients constitute the main reservoir of latent HIV-1. Mycobacterium tuberculosis (Mtb), the causative agent of tuberculosis (TB), interacts with PRRs through membrane components. However, the ability of Mtb to reactivate latent HIV-1 has not been extensively studied. Here we show that phosphatidylinositol mannoside 6 (PIM6), a component of the Mtb membrane, in addition to whole bacteria in co-culture, can reactivate HIV-1 in a primary TCM cell model of latency. Using a JLAT model of HIV-1 latency, we found this interaction to be mediated through Toll-like receptor-2 (TLR-2). Thus, we describe a mechanism by which Mtb can exacerbate HIV-1 infection. We hypothesize that chronic Mtb infection can drive HIV-1 reactivation. The phenomenon described here could explain, in part, the poor prognosis that characterizes HIV-1/Mtb co-infection.","author":[{"dropping-particle":"","family":"Larson","given":"Erica C.","non-dropping-particle":"","parse-names":false,"suffix":""},{"dropping-particle":"","family":"Novis","given":"Camille L.","non-dropping-particle":"","parse-names":false,"suffix":""},{"dropping-particle":"","family":"Martins","given":"Laura J.","non-dropping-particle":"","parse-names":false,"suffix":""},{"dropping-particle":"","family":"Macedo","given":"Amanda B.","non-dropping-particle":"","parse-names":false,"suffix":""},{"dropping-particle":"","family":"Kimball","given":"Kadyn E.","non-dropping-particle":"","parse-names":false,"suffix":""},{"dropping-particle":"","family":"Bosque","given":"Alberto","non-dropping-particle":"","parse-names":false,"suffix":""},{"dropping-particle":"","family":"Planelles","given":"Vicente","non-dropping-particle":"","parse-names":false,"suffix":""},{"dropping-particle":"","family":"Barrows","given":"Louis R.","non-dropping-particle":"","parse-names":false,"suffix":""}],"container-title":"PloS one","editor":[{"dropping-particle":"","family":"Cardona","given":"Pere-Joan","non-dropping-particle":"","parse-names":false,"suffix":""}],"id":"ITEM-2","issue":"9","issued":{"date-parts":[["2017","9","26"]]},"page":"e0185162","title":"Mycobacterium tuberculosis reactivates latent HIV-1 in T cells in vitro.","type":"article-journal","volume":"12"},"uris":["http://www.mendeley.com/documents/?uuid=cbf49149-2ca2-4f63-bc6d-7401542755bd"]}],"mendeley":{"formattedCitation":"[86,87]","plainTextFormattedCitation":"[86,87]","previouslyFormattedCitation":"[89,90]"},"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[86,87]</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activation of NF-</w:t>
      </w:r>
      <w:proofErr w:type="spellStart"/>
      <w:r w:rsidRPr="00C67322">
        <w:rPr>
          <w:rFonts w:ascii="Palatino Linotype" w:eastAsia="Times New Roman" w:hAnsi="Palatino Linotype" w:cs="Times New Roman"/>
          <w:snapToGrid w:val="0"/>
          <w:color w:val="000000"/>
          <w:sz w:val="20"/>
          <w:lang w:val="en-US" w:eastAsia="de-DE" w:bidi="en-US"/>
        </w:rPr>
        <w:t>κB</w:t>
      </w:r>
      <w:proofErr w:type="spellEnd"/>
      <w:r w:rsidRPr="00C67322">
        <w:rPr>
          <w:rFonts w:ascii="Palatino Linotype" w:eastAsia="Times New Roman" w:hAnsi="Palatino Linotype" w:cs="Times New Roman"/>
          <w:snapToGrid w:val="0"/>
          <w:color w:val="000000"/>
          <w:sz w:val="20"/>
          <w:lang w:val="en-US" w:eastAsia="de-DE" w:bidi="en-US"/>
        </w:rPr>
        <w:t xml:space="preserve"> pathways, or cytokine production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{"citationItems":[{"id":"ITEM-1","itemData":{"ISBN":"0022-1899 (Print) 0022-1899 (Linking)","ISSN":"00221899","PMID":"9593021","abstract":"Coinfection with Mycobacterium tuberculosis and human immunodeficiency virus (HIV) is a serious problem, particularly in developing countries. Recently, M. tuberculosis and purified protein derivative (PPD) were demonstrated to induce HIV replication in CD8 T cell-depleted peripheral blood mononuclear cells from HIV-positive, PPD-positive persons but not in cells from PPD-negative persons. The role of endogenous and exogenous cytokines in modulating M. tuberculosis-induced HIV replication was evaluated. M. tuberculosis-induced HIV replication decreased following simultaneous inhibition of endogenous interleukin (IL)-2, IL-1beta, and tumor necrosis factor-alpha by the addition of soluble receptors and receptor antagonists or following exogenous IL-10 and transforming growth factor (TGF)-beta. In contrast, neutralization of endogenous IL-10 and TGF-beta augmented M. tuberculosis-induced HIV replication by increasing cellular activation. Thus, the balance between IL-2 and proinflammatory and antiinflammatory cytokines plays a major role in M. tuberculosis-induced replication of HIV.","author":[{"dropping-particle":"","family":"Goletti","given":"D","non-dropping-particle":"","parse-names":false,"suffix":""},{"dropping-particle":"","family":"Weissman","given":"D","non-dropping-particle":"","parse-names":false,"suffix":""},{"dropping-particle":"","family":"Jackson","given":"R W","non-dropping-particle":"","parse-names":false,"suffix":""},{"dropping-particle":"","family":"Collins","given":"F","non-dropping-particle":"","parse-names":false,"suffix":""},{"dropping-particle":"","family":"Kinter","given":"A","non-dropping-particle":"","parse-names":false,"suffix":""},{"dropping-particle":"","family":"Fauci","given":"a S","non-dropping-particle":"","parse-names":false,"suffix":""}],"container-title":"The Journal of infectious diseases","id":"ITEM-1","issue":"5","issued":{"date-parts":[["1998"]]},"page":"1332-1338","title":"The in vitro induction of human immunodeficiency virus (HIV) replication in purified protein derivative-positive HIV-infected persons by recall antigen response to Mycobacterium tuberculosis is the result of a balance of the effects of endogenous interleu","type":"article-journal","volume":"177"},"uris":["http://www.mendeley.com/documents/?uuid=43c2b42b-91f5-424d-99bb-996e6a47aad9"]},{"id":"ITEM-2","itemData":{"DOI":"15128813","ISBN":"0022-1767 (Print)\\r0022-1767 (Linking)","ISSN":"0022-1767","PMID":"15128813","abstract":"Opportunistic infections such as pulmonary tuberculosis (TB) increase local HIV-1 replication and mutation. As AIDS progresses, alteration of the HIV-1 gp120 V3 sequence is associated with a shift in viral coreceptor use from CCR5 (CD195) to CXCR4 (CD184). To better understand the effect of HIV/TB coinfection, we screened transcripts from bronchoalveolar lavage cells with high density cDNA arrays and found that CXCR4 mRNA is increased in patients with TB. Surprisingly, CXCR4 was predominately expressed on alveolar macrophages (AM). Mycobacterium tuberculosis infection of macrophages in vitro increased CXCR4 surface expression, whereas amelioration of disease reduced CXCR4 expression in vivo. Bronchoalveolar lavage fluid from TB patients had elevated levels of CCL4 (macrophage inflammatory protein-1beta), CCL5 (RANTES), and CX3CL1 (fractalkine), but not CXCL12 (stromal-derived factor-1alpha). We found that M. tuberculosis infection of macrophages in vitro increased viral entry and RT of CXCR4-using [corrected] HIV-1, but not of CCR5-using [corrected] HIV-1. Lastly, HIV-1 derived from the lung contains CD14, suggesting that they were produced in AM. Our results demonstrate that TB produces a permissive environment for replication of CXCR4-using virus by increasing CXCR4 expression in AM and for suppression of CCR5-using HIV-1 by increasing CC chemokine expression. These changes explain in part why TB accelerates the course of AIDS. CXCR4 inhibitors are a rational therapeutic approach in HIV/TB coinfection.","author":[{"dropping-particle":"","family":"Hoshino","given":"Yoshihiko","non-dropping-particle":"","parse-names":false,"suffix":""},{"dropping-particle":"","family":"Tse","given":"Doris B","non-dropping-particle":"","parse-names":false,"suffix":""},{"dropping-particle":"","family":"Rochford","given":"Gemma","non-dropping-particle":"","parse-names":false,"suffix":""},{"dropping-particle":"","family":"Prabhakar","given":"Savita","non-dropping-particle":"","parse-names":false,"suffix":""},{"dropping-particle":"","family":"Hoshino","given":"Satomi","non-dropping-particle":"","parse-names":false,"suffix":""},{"dropping-particle":"","family":"Chitkara","given":"Nishay","non-dropping-particle":"","parse-names":false,"suffix":""},{"dropping-particle":"","family":"Kuwabara","given":"Kenichi","non-dropping-particle":"","parse-names":false,"suffix":""},{"dropping-particle":"","family":"Ching","given":"Elbert","non-dropping-particle":"","parse-names":false,"suffix":""},{"dropping-particle":"","family":"Raju","given":"Bindu","non-dropping-particle":"","parse-names":false,"suffix":""},{"dropping-particle":"","family":"Gold","given":"Jeffrey a","non-dropping-particle":"","parse-names":false,"suffix":""},{"dropping-particle":"","family":"Borkowsky","given":"William","non-dropping-particle":"","parse-names":false,"suffix":""},{"dropping-particle":"","family":"Rom","given":"William N","non-dropping-particle":"","parse-names":false,"suffix":""},{"dropping-particle":"","family":"Pine","given":"Richard","non-dropping-particle":"","parse-names":false,"suffix":""},{"dropping-particle":"","family":"Weiden","given":"Michael","non-dropping-particle":"","parse-names":false,"suffix":""}],"container-title":"Journal of immunology (Baltimore, Md. : 1950)","id":"ITEM-2","issue":"10","issued":{"date-parts":[["2004"]]},"page":"6251-6258","title":"Mycobacterium tuberculosis-induced CXCR4 and chemokine expression leads to preferential X4 HIV-1 replication in human macrophages.","type":"article-journal","volume":"172"},"uris":["http://www.mendeley.com/documents/?uuid=545c79f4-5415-460a-8645-06e7cd249042"]},{"id":"ITEM-3","itemData":{"DOI":"10.1371/journal.pone.0080938","ISSN":"19326203","PMID":"24282561","abstract":"Tuberculosis (TB) is the leading cause of mortality among those infected with human immunodeficiency virus (HIV-1) worldwide. HIV-1 load and heterogeneity are increased both locally and systemically in active TB. Mycobacterium tuberculosis (MTB) infection supports HIV-1 replication through dysregulation of host cytokines, chemokines, and their receptors. However the possibility that mycobacterial molecules released from MTB infected macrophages directly interact with CD4(+) T cells triggering HIV-1 replication has not been fully explored. We studied the direct effect of different MTB molecules on HIV-1 replication (R5-tropic strain Bal) in anti-CD3- stimulated CD4(+) T cells from healthy donors in an antigen presenting cell (APC)-free system. PIM6, a major glycolipid of the mycobacterial cell wall, induced significant increases in the percent of HIV-1 infected T cells and the viral production in culture supernatants. In spite of structural relatedness, none of the other three major MTB cell wall glycolipids had significant impact on HIV-1 replication in T cells. Increased levels of IFN-γ in culture supernatants from cells treated with PIM6 indicate that HIV-1 replication is likely dependent on enhanced T cell activation. In HEK293 cells transfected with TLR2, PIM6 was the strongest TLR2 agonist among the cell wall associated glycolipids tested. PIM6 increased the percentage of HIV infected cells and viral particles in the supernatant in a T-cell-based reporter cell line (JLTRg-R5) transfected with TLR1 and TLR2 but not in the cells transfected with the empty vector (which lack TLR2 expression) confirming that PIM6-induced HIV-1 replication depends at least partially on TLR2 signaling.","author":[{"dropping-particle":"","family":"Rodriguez","given":"Myriam E.","non-dropping-particle":"","parse-names":false,"suffix":""},{"dropping-particle":"","family":"Loyd","given":"Candace M.","non-dropping-particle":"","parse-names":false,"suffix":""},{"dropping-particle":"","family":"Ding","given":"Xuedong","non-dropping-particle":"","parse-names":false,"suffix":""},{"dropping-particle":"","family":"Karim","given":"Ahmad F.","non-dropping-particle":"","parse-names":false,"suffix":""},{"dropping-particle":"","family":"McDonald","given":"David J.","non-dropping-particle":"","parse-names":false,"suffix":""},{"dropping-particle":"","family":"Canaday","given":"David H.","non-dropping-particle":"","parse-names":false,"suffix":""},{"dropping-particle":"","family":"Rojas","given":"Roxana E.","non-dropping-particle":"","parse-names":false,"suffix":""}],"container-title":"PLoS ONE","id":"ITEM-3","issue":"11","issued":{"date-parts":[["2013"]]},"title":"Mycobacterial phosphatidylinositol mannoside 6 (PIM6) up-regulates TCR-triggered HIV-1 replication in CD4+ T cells","type":"article-journal","volume":"8"},"uris":["http://www.mendeley.com/documents/?uuid=1b6ece76-dbbc-4d8c-84cc-b51f1f3623e5"]},{"id":"ITEM-4","itemData":{"DOI":"10.1093/infdis/jit621","ISBN":"1537-6613 (Electronic)\\r0022-1899 (Linking)","ISSN":"1537-6613","PMID":"24265436","abstract":"Human immunodeficiency virus (HIV)-1 and Mycobacterium tuberculosis (M. tuberculosis) both target macrophages, which are key cells in inflammatory responses and their resolution. Therefore, we tested the hypothesis that HIV-1 may modulate macrophage responses to coinfection with M. tuberculosis. HIV-1 caused exaggerated proinflammatory responses to M. tuberculosis that supported enhanced virus replication, and were associated with deficient stimulus-specific induction of anti-inflammatory interleukin (IL)-10 and attenuation of mitogen-activated kinase signaling downstream of Toll-like receptor 2 and dectin-1 stimulation. Our in vitro data were mirrored by lower IL-10 and higher proinflammatory IL-1β in airway samples from HIV-1-infected patients with pulmonary tuberculosis compared with those with non-tuberculous respiratory tract infections. Single-round infection of macrophages with HIV-1 was sufficient to attenuate IL-10 responses, and antiretroviral treatment of replicative virus did not affect this phenotype. We propose that deficient homeostatic IL-10 responses may contribute to the immunopathogenesis of active tuberculosis and propagation of virus infection in HIV-1/M. tuberculosis coinfection.","author":[{"dropping-particle":"","family":"Tomlinson","given":"Gillian S.","non-dropping-particle":"","parse-names":false,"suffix":""},{"dropping-particle":"","family":"Bell","given":"Lucy C K","non-dropping-particle":"","parse-names":false,"suffix":""},{"dropping-particle":"","family":"Walker","given":"Naomi F.","non-dropping-particle":"","parse-names":false,"suffix":""},{"dropping-particle":"","family":"Tsang","given":"Jhen","non-dropping-particle":"","parse-names":false,"suffix":""},{"dropping-particle":"","family":"Brown","given":"Jeremy S.","non-dropping-particle":"","parse-names":false,"suffix":""},{"dropping-particle":"","family":"Breen","given":"Ronan","non-dropping-particle":"","parse-names":false,"suffix":""},{"dropping-particle":"","family":"Lipman","given":"Marc","non-dropping-particle":"","parse-names":false,"suffix":""},{"dropping-particle":"","family":"Katz","given":"David R.","non-dropping-particle":"","parse-names":false,"suffix":""},{"dropping-particle":"","family":"Miller","given":"Robert F.","non-dropping-particle":"","parse-names":false,"suffix":""},{"dropping-particle":"","family":"Chain","given":"Benjamin M.","non-dropping-particle":"","parse-names":false,"suffix":""},{"dropping-particle":"","family":"Elkington","given":"Paul T G","non-dropping-particle":"","parse-names":false,"suffix":""},{"dropping-particle":"","family":"Noursadeghi","given":"Mahdad","non-dropping-particle":"","parse-names":false,"suffix":""}],"container-title":"The Journal of infectious diseases","id":"ITEM-4","issue":"7","issued":{"date-parts":[["2014","4","1"]]},"page":"1055-65","title":"HIV-1 infection of macrophages dysregulates innate immune responses to Mycobacterium tuberculosis by inhibition of interleukin-10.","type":"article-journal","volume":"209"},"uris":["http://www.mendeley.com/documents/?uuid=e82e7cbb-9b01-4e98-b80a-aab50dfdf721"]}],"mendeley":{"formattedCitation":"[88–91]","plainTextFormattedCitation":"[88–91]","previouslyFormattedCitation":"[91–94]"},"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[88–91]</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xml:space="preserve">. Liposome technology will provide a means to study the effects that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antigens can exert on cell signaling and induction of immune responses impacting HIV-1 infection, and more generally, the effect of bacterial antigens on the immune responses.</w:t>
      </w:r>
    </w:p>
    <w:p w:rsidR="00C67322" w:rsidRPr="00C67322" w:rsidRDefault="00C67322" w:rsidP="00C67322">
      <w:pPr>
        <w:adjustRightInd w:val="0"/>
        <w:snapToGrid w:val="0"/>
        <w:spacing w:before="240" w:after="60" w:line="228" w:lineRule="auto"/>
        <w:outlineLvl w:val="0"/>
        <w:rPr>
          <w:rFonts w:ascii="Palatino Linotype" w:eastAsia="Times New Roman" w:hAnsi="Palatino Linotype" w:cs="Times New Roman"/>
          <w:b/>
          <w:snapToGrid w:val="0"/>
          <w:color w:val="000000"/>
          <w:sz w:val="20"/>
          <w:lang w:val="en-US" w:eastAsia="de-DE" w:bidi="en-US"/>
        </w:rPr>
      </w:pPr>
      <w:r w:rsidRPr="00C67322">
        <w:rPr>
          <w:rFonts w:ascii="Palatino Linotype" w:eastAsia="Times New Roman" w:hAnsi="Palatino Linotype" w:cs="Times New Roman"/>
          <w:b/>
          <w:snapToGrid w:val="0"/>
          <w:color w:val="000000"/>
          <w:sz w:val="20"/>
          <w:lang w:val="en-US" w:eastAsia="zh-CN" w:bidi="en-US"/>
        </w:rPr>
        <w:t xml:space="preserve">4. </w:t>
      </w:r>
      <w:r w:rsidRPr="00C67322">
        <w:rPr>
          <w:rFonts w:ascii="Palatino Linotype" w:eastAsia="Times New Roman" w:hAnsi="Palatino Linotype" w:cs="Times New Roman"/>
          <w:b/>
          <w:snapToGrid w:val="0"/>
          <w:color w:val="000000"/>
          <w:sz w:val="20"/>
          <w:lang w:val="en-US" w:eastAsia="de-DE" w:bidi="en-US"/>
        </w:rPr>
        <w:t>Materials and Methods</w:t>
      </w:r>
    </w:p>
    <w:p w:rsidR="00C67322" w:rsidRPr="00C67322" w:rsidRDefault="00C67322" w:rsidP="00C67322">
      <w:pPr>
        <w:adjustRightInd w:val="0"/>
        <w:snapToGrid w:val="0"/>
        <w:spacing w:before="60" w:after="60" w:line="228" w:lineRule="auto"/>
        <w:outlineLvl w:val="1"/>
        <w:rPr>
          <w:rFonts w:ascii="Palatino Linotype" w:eastAsia="Times New Roman" w:hAnsi="Palatino Linotype" w:cs="Times New Roman"/>
          <w:i/>
          <w:noProof/>
          <w:snapToGrid w:val="0"/>
          <w:color w:val="000000"/>
          <w:sz w:val="20"/>
          <w:lang w:val="en-US" w:eastAsia="de-DE" w:bidi="en-US"/>
        </w:rPr>
      </w:pPr>
      <w:r w:rsidRPr="00C67322">
        <w:rPr>
          <w:rFonts w:ascii="Palatino Linotype" w:eastAsia="Times New Roman" w:hAnsi="Palatino Linotype" w:cs="Times New Roman"/>
          <w:i/>
          <w:noProof/>
          <w:snapToGrid w:val="0"/>
          <w:color w:val="000000"/>
          <w:sz w:val="20"/>
          <w:lang w:val="en-US" w:eastAsia="de-DE" w:bidi="en-US"/>
        </w:rPr>
        <w:t>4.1. Commercial Lipids</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Cholesterol (Ch) and phosphatidylcholine (PC) were purchased from Sigma-Aldrich (Sigma-Aldrich, St Louis, MO, USA), and SL1 lipid solutions from BEI Resources.</w:t>
      </w:r>
    </w:p>
    <w:p w:rsidR="00C67322" w:rsidRPr="00C67322" w:rsidRDefault="00C67322" w:rsidP="00C67322">
      <w:pPr>
        <w:adjustRightInd w:val="0"/>
        <w:snapToGrid w:val="0"/>
        <w:spacing w:before="240" w:after="60" w:line="228" w:lineRule="auto"/>
        <w:outlineLvl w:val="1"/>
        <w:rPr>
          <w:rFonts w:ascii="Palatino Linotype" w:eastAsia="Times New Roman" w:hAnsi="Palatino Linotype" w:cs="Times New Roman"/>
          <w:i/>
          <w:noProof/>
          <w:snapToGrid w:val="0"/>
          <w:color w:val="000000"/>
          <w:sz w:val="20"/>
          <w:lang w:val="en-US" w:eastAsia="de-DE" w:bidi="en-US"/>
        </w:rPr>
      </w:pPr>
      <w:r w:rsidRPr="00C67322">
        <w:rPr>
          <w:rFonts w:ascii="Palatino Linotype" w:eastAsia="Times New Roman" w:hAnsi="Palatino Linotype" w:cs="Times New Roman"/>
          <w:i/>
          <w:noProof/>
          <w:snapToGrid w:val="0"/>
          <w:color w:val="000000"/>
          <w:sz w:val="20"/>
          <w:lang w:val="en-US" w:eastAsia="de-DE" w:bidi="en-US"/>
        </w:rPr>
        <w:t>4.2. M. Tuberculosis Strains and H37Rv Mutants</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H37RvAE was used for all experiments unless otherwise mentioned. The EU127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strain was selected from a biobank of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i/>
          <w:iCs/>
          <w:snapToGrid w:val="0"/>
          <w:color w:val="000000"/>
          <w:sz w:val="20"/>
          <w:lang w:val="en-US" w:eastAsia="de-DE" w:bidi="en-US"/>
        </w:rPr>
        <w:t xml:space="preserve"> </w:t>
      </w:r>
      <w:r w:rsidRPr="00C67322">
        <w:rPr>
          <w:rFonts w:ascii="Palatino Linotype" w:eastAsia="Times New Roman" w:hAnsi="Palatino Linotype" w:cs="Times New Roman"/>
          <w:snapToGrid w:val="0"/>
          <w:color w:val="000000"/>
          <w:sz w:val="20"/>
          <w:lang w:val="en-US" w:eastAsia="de-DE" w:bidi="en-US"/>
        </w:rPr>
        <w:t xml:space="preserve">strains collected in a clinical study conducted at the </w:t>
      </w:r>
      <w:proofErr w:type="spellStart"/>
      <w:r w:rsidRPr="00C67322">
        <w:rPr>
          <w:rFonts w:ascii="Palatino Linotype" w:eastAsia="Times New Roman" w:hAnsi="Palatino Linotype" w:cs="Times New Roman"/>
          <w:snapToGrid w:val="0"/>
          <w:color w:val="000000"/>
          <w:sz w:val="20"/>
          <w:lang w:val="en-US" w:eastAsia="de-DE" w:bidi="en-US"/>
        </w:rPr>
        <w:t>uBuntu</w:t>
      </w:r>
      <w:proofErr w:type="spellEnd"/>
      <w:r w:rsidRPr="00C67322">
        <w:rPr>
          <w:rFonts w:ascii="Palatino Linotype" w:eastAsia="Times New Roman" w:hAnsi="Palatino Linotype" w:cs="Times New Roman"/>
          <w:snapToGrid w:val="0"/>
          <w:color w:val="000000"/>
          <w:sz w:val="20"/>
          <w:lang w:val="en-US" w:eastAsia="de-DE" w:bidi="en-US"/>
        </w:rPr>
        <w:t xml:space="preserve"> clinic in Site B, Khayelitsha, a peri-urban township 30 km outside of Cape Town, South Africa. </w:t>
      </w:r>
      <w:proofErr w:type="spellStart"/>
      <w:r w:rsidRPr="00C67322">
        <w:rPr>
          <w:rFonts w:ascii="Palatino Linotype" w:eastAsia="Times New Roman" w:hAnsi="Palatino Linotype" w:cs="Times New Roman"/>
          <w:snapToGrid w:val="0"/>
          <w:color w:val="000000"/>
          <w:sz w:val="20"/>
          <w:lang w:val="en-US" w:eastAsia="de-DE" w:bidi="en-US"/>
        </w:rPr>
        <w:t>Spoligotyping</w:t>
      </w:r>
      <w:proofErr w:type="spellEnd"/>
      <w:r w:rsidRPr="00C67322">
        <w:rPr>
          <w:rFonts w:ascii="Palatino Linotype" w:eastAsia="Times New Roman" w:hAnsi="Palatino Linotype" w:cs="Times New Roman"/>
          <w:snapToGrid w:val="0"/>
          <w:color w:val="000000"/>
          <w:sz w:val="20"/>
          <w:lang w:val="en-US" w:eastAsia="de-DE" w:bidi="en-US"/>
        </w:rPr>
        <w:t xml:space="preserve"> of this indicated that EU127 was a Beijing genotype. The HN878, CDC1551 and H37RvMA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isolates were propagated as part of the same strain library and included as controls. H37RvAE Δ papA1 was constructed by specialized transduction as described [92].</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i/>
          <w:iCs/>
          <w:snapToGrid w:val="0"/>
          <w:color w:val="000000"/>
          <w:sz w:val="20"/>
          <w:lang w:val="en-US" w:eastAsia="de-DE" w:bidi="en-US"/>
        </w:rPr>
        <w:t xml:space="preserve"> </w:t>
      </w:r>
      <w:r w:rsidRPr="00C67322">
        <w:rPr>
          <w:rFonts w:ascii="Palatino Linotype" w:eastAsia="Times New Roman" w:hAnsi="Palatino Linotype" w:cs="Times New Roman"/>
          <w:snapToGrid w:val="0"/>
          <w:color w:val="000000"/>
          <w:sz w:val="20"/>
          <w:lang w:val="en-US" w:eastAsia="de-DE" w:bidi="en-US"/>
        </w:rPr>
        <w:t>glycerol stocks were inoculated into 10 mL of 7H9 (BD, Franklin Lakes, NJ,</w:t>
      </w:r>
      <w:r w:rsidRPr="00C67322">
        <w:rPr>
          <w:rFonts w:ascii="Palatino Linotype" w:eastAsia="Times New Roman" w:hAnsi="Palatino Linotype" w:cs="Times New Roman"/>
          <w:i/>
          <w:iCs/>
          <w:snapToGrid w:val="0"/>
          <w:color w:val="000000"/>
          <w:sz w:val="20"/>
          <w:lang w:val="en-US" w:eastAsia="de-DE" w:bidi="en-US"/>
        </w:rPr>
        <w:t xml:space="preserve"> </w:t>
      </w:r>
      <w:r w:rsidRPr="00C67322">
        <w:rPr>
          <w:rFonts w:ascii="Palatino Linotype" w:eastAsia="Times New Roman" w:hAnsi="Palatino Linotype" w:cs="Times New Roman"/>
          <w:snapToGrid w:val="0"/>
          <w:color w:val="000000"/>
          <w:sz w:val="20"/>
          <w:lang w:val="en-US" w:eastAsia="de-DE" w:bidi="en-US"/>
        </w:rPr>
        <w:t xml:space="preserve">USA) media with ADC (BD, Franklin Lakes, NJ, USA) and 0.05% Tween 80 (Sigma-Aldrich, St Louis, MO, USA) supplementation and cultured at 37°for 10 days, with gentle agitation every two days. On day 10, 1 mL of this culture was used to inoculate 100 mL of 7H9 media with ADC supplementation (without Tween 80) and cultured for a further 10 days at 37 </w:t>
      </w:r>
      <w:r w:rsidRPr="00C67322">
        <w:rPr>
          <w:rFonts w:ascii="Palatino Linotype" w:eastAsia="Times New Roman" w:hAnsi="Palatino Linotype" w:cs="Times New Roman"/>
          <w:snapToGrid w:val="0"/>
          <w:color w:val="000000"/>
          <w:sz w:val="20"/>
          <w:lang w:val="en-US" w:eastAsia="de-DE" w:bidi="en-US"/>
        </w:rPr>
        <w:sym w:font="Symbol" w:char="F0B0"/>
      </w:r>
      <w:r w:rsidRPr="00C67322">
        <w:rPr>
          <w:rFonts w:ascii="Palatino Linotype" w:eastAsia="Times New Roman" w:hAnsi="Palatino Linotype" w:cs="Times New Roman"/>
          <w:snapToGrid w:val="0"/>
          <w:color w:val="000000"/>
          <w:sz w:val="20"/>
          <w:lang w:val="en-US" w:eastAsia="de-DE" w:bidi="en-US"/>
        </w:rPr>
        <w:t xml:space="preserve">C without shaking. Cultures were centrifuged at 8000× rpm for 10 min to pellet the cells. The supernatant was removed and discarded, and the pellet was resuspended in 1 mL of PBS.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i/>
          <w:iCs/>
          <w:snapToGrid w:val="0"/>
          <w:color w:val="000000"/>
          <w:sz w:val="20"/>
          <w:lang w:val="en-US" w:eastAsia="de-DE" w:bidi="en-US"/>
        </w:rPr>
        <w:t xml:space="preserve"> </w:t>
      </w:r>
      <w:r w:rsidRPr="00C67322">
        <w:rPr>
          <w:rFonts w:ascii="Palatino Linotype" w:eastAsia="Times New Roman" w:hAnsi="Palatino Linotype" w:cs="Times New Roman"/>
          <w:snapToGrid w:val="0"/>
          <w:color w:val="000000"/>
          <w:sz w:val="20"/>
          <w:lang w:val="en-US" w:eastAsia="de-DE" w:bidi="en-US"/>
        </w:rPr>
        <w:t>was killed by boiling cell suspensions at 80 °C for 1 h and used from lipid extractions and preparation of liposomes.</w:t>
      </w:r>
    </w:p>
    <w:p w:rsidR="00C67322" w:rsidRPr="00C67322" w:rsidRDefault="00C67322" w:rsidP="005C3D3A">
      <w:pPr>
        <w:adjustRightInd w:val="0"/>
        <w:snapToGrid w:val="0"/>
        <w:spacing w:before="240" w:after="60" w:line="228" w:lineRule="auto"/>
        <w:outlineLvl w:val="1"/>
        <w:rPr>
          <w:rFonts w:ascii="Palatino Linotype" w:eastAsia="Times New Roman" w:hAnsi="Palatino Linotype" w:cs="Times New Roman"/>
          <w:i/>
          <w:noProof/>
          <w:snapToGrid w:val="0"/>
          <w:color w:val="000000"/>
          <w:sz w:val="20"/>
          <w:lang w:val="en-US" w:eastAsia="de-DE" w:bidi="en-US"/>
        </w:rPr>
      </w:pPr>
      <w:r w:rsidRPr="00C67322">
        <w:rPr>
          <w:rFonts w:ascii="Palatino Linotype" w:eastAsia="Times New Roman" w:hAnsi="Palatino Linotype" w:cs="Times New Roman"/>
          <w:i/>
          <w:noProof/>
          <w:snapToGrid w:val="0"/>
          <w:color w:val="000000"/>
          <w:sz w:val="20"/>
          <w:lang w:val="en-US" w:eastAsia="de-DE" w:bidi="en-US"/>
        </w:rPr>
        <w:t>4.3. Lipids Extractions</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 xml:space="preserve">Total lipid extracts were obtained from culture pellet of </w:t>
      </w:r>
      <w:r w:rsidRPr="00C67322">
        <w:rPr>
          <w:rFonts w:ascii="Palatino Linotype" w:eastAsia="Times New Roman" w:hAnsi="Palatino Linotype" w:cs="Times New Roman"/>
          <w:i/>
          <w:iCs/>
          <w:snapToGrid w:val="0"/>
          <w:color w:val="000000"/>
          <w:sz w:val="20"/>
          <w:lang w:val="en-US" w:eastAsia="de-DE" w:bidi="en-US"/>
        </w:rPr>
        <w:t xml:space="preserve">M. </w:t>
      </w:r>
      <w:proofErr w:type="spellStart"/>
      <w:r w:rsidRPr="00C67322">
        <w:rPr>
          <w:rFonts w:ascii="Palatino Linotype" w:eastAsia="Times New Roman" w:hAnsi="Palatino Linotype" w:cs="Times New Roman"/>
          <w:i/>
          <w:iCs/>
          <w:snapToGrid w:val="0"/>
          <w:color w:val="000000"/>
          <w:sz w:val="20"/>
          <w:lang w:val="en-US" w:eastAsia="de-DE" w:bidi="en-US"/>
        </w:rPr>
        <w:t>bovis</w:t>
      </w:r>
      <w:proofErr w:type="spellEnd"/>
      <w:r w:rsidRPr="00C67322">
        <w:rPr>
          <w:rFonts w:ascii="Palatino Linotype" w:eastAsia="Times New Roman" w:hAnsi="Palatino Linotype" w:cs="Times New Roman"/>
          <w:snapToGrid w:val="0"/>
          <w:color w:val="000000"/>
          <w:sz w:val="20"/>
          <w:lang w:val="en-US" w:eastAsia="de-DE" w:bidi="en-US"/>
        </w:rPr>
        <w:t xml:space="preserve"> (BCG), </w:t>
      </w:r>
      <w:r w:rsidRPr="00C67322">
        <w:rPr>
          <w:rFonts w:ascii="Palatino Linotype" w:eastAsia="Times New Roman" w:hAnsi="Palatino Linotype" w:cs="Times New Roman"/>
          <w:i/>
          <w:iCs/>
          <w:snapToGrid w:val="0"/>
          <w:color w:val="000000"/>
          <w:sz w:val="20"/>
          <w:lang w:val="en-US" w:eastAsia="de-DE" w:bidi="en-US"/>
        </w:rPr>
        <w:t xml:space="preserve">M. smegmatis </w:t>
      </w:r>
      <w:r w:rsidRPr="00C67322">
        <w:rPr>
          <w:rFonts w:ascii="Palatino Linotype" w:eastAsia="Times New Roman" w:hAnsi="Palatino Linotype" w:cs="Times New Roman"/>
          <w:snapToGrid w:val="0"/>
          <w:color w:val="000000"/>
          <w:sz w:val="20"/>
          <w:lang w:val="en-US" w:eastAsia="de-DE" w:bidi="en-US"/>
        </w:rPr>
        <w:t>(MC</w:t>
      </w:r>
      <w:r w:rsidRPr="00C67322">
        <w:rPr>
          <w:rFonts w:ascii="Palatino Linotype" w:eastAsia="Times New Roman" w:hAnsi="Palatino Linotype" w:cs="Times New Roman"/>
          <w:snapToGrid w:val="0"/>
          <w:color w:val="000000"/>
          <w:sz w:val="20"/>
          <w:vertAlign w:val="super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155),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H37Rv (H37RvAE), H37RvMA, H37RvAE Δ papA1, HN878, CDC1551 and EU127 following standard procedures as described </w:t>
      </w:r>
      <w:r w:rsidRPr="00C67322">
        <w:rPr>
          <w:rFonts w:ascii="Palatino Linotype" w:eastAsia="Times New Roman" w:hAnsi="Palatino Linotype" w:cs="Times New Roman"/>
          <w:snapToGrid w:val="0"/>
          <w:color w:val="000000"/>
          <w:sz w:val="20"/>
          <w:lang w:val="en-US" w:eastAsia="de-DE" w:bidi="en-US"/>
        </w:rPr>
        <w:fldChar w:fldCharType="begin" w:fldLock="1"/>
      </w:r>
      <w:r w:rsidRPr="00C67322">
        <w:rPr>
          <w:rFonts w:ascii="Palatino Linotype" w:eastAsia="Times New Roman" w:hAnsi="Palatino Linotype" w:cs="Times New Roman"/>
          <w:snapToGrid w:val="0"/>
          <w:color w:val="000000"/>
          <w:sz w:val="20"/>
          <w:lang w:val="en-US" w:eastAsia="de-DE" w:bidi="en-US"/>
        </w:rPr>
        <w:instrText>ADDIN CSL_CITATION {"citationItems":[{"id":"ITEM-1","itemData":{"author":[{"dropping-particle":"","family":"Dobson","given":"G.","non-dropping-particle":"","parse-names":false,"suffix":""},{"dropping-particle":"","family":"Minnikin","given":"D. E.","non-dropping-particle":"","parse-names":false,"suffix":""},{"dropping-particle":"","family":"Minnikin","given":"S. M.","non-dropping-particle":"","parse-names":false,"suffix":""},{"dropping-particle":"","family":"Parlett","given":"J. H.","non-dropping-particle":"","parse-names":false,"suffix":""},{"dropping-particle":"","family":"Goodfellow","given":"M.","non-dropping-particle":"","parse-names":false,"suffix":""},{"dropping-particle":"","family":"Ridell","given":"M.","non-dropping-particle":"","parse-names":false,"suffix":""},{"dropping-particle":"","family":"Magnusson","given":"M.","non-dropping-particle":"","parse-names":false,"suffix":""}],"container-title":"Chemical Methods in Bacterial Systematics","editor":[{"dropping-particle":"","family":"Goodfellow","given":"M.","non-dropping-particle":"","parse-names":false,"suffix":""},{"dropping-particle":"","family":"Minnikin","given":"D. E.","non-dropping-particle":"","parse-names":false,"suffix":""}],"id":"ITEM-1","issued":{"date-parts":[["1985"]]},"page":"237–265","publisher":"Academic Press","publisher-place":"London","title":"Systematic analysis of complex mycobacterial lipids","type":"chapter","volume":"1"},"uris":["http://www.mendeley.com/documents/?uuid=c413a0bc-6a0f-4c40-b1b1-bf902b48054a"]}],"mendeley":{"formattedCitation":"[92]","plainTextFormattedCitation":"[92]","previouslyFormattedCitation":"[95]"},"properties":{"noteIndex":0},"schema":"https://github.com/citation-style-language/schema/raw/master/csl-citation.json"}</w:instrText>
      </w:r>
      <w:r w:rsidRPr="00C67322">
        <w:rPr>
          <w:rFonts w:ascii="Palatino Linotype" w:eastAsia="Times New Roman" w:hAnsi="Palatino Linotype" w:cs="Times New Roman"/>
          <w:snapToGrid w:val="0"/>
          <w:color w:val="000000"/>
          <w:sz w:val="20"/>
          <w:lang w:val="en-US" w:eastAsia="de-DE" w:bidi="en-US"/>
        </w:rPr>
        <w:fldChar w:fldCharType="separate"/>
      </w:r>
      <w:r w:rsidRPr="00C67322">
        <w:rPr>
          <w:rFonts w:ascii="Palatino Linotype" w:eastAsia="Times New Roman" w:hAnsi="Palatino Linotype" w:cs="Times New Roman"/>
          <w:noProof/>
          <w:snapToGrid w:val="0"/>
          <w:color w:val="000000"/>
          <w:sz w:val="20"/>
          <w:lang w:val="en-US" w:eastAsia="de-DE" w:bidi="en-US"/>
        </w:rPr>
        <w:t>[93]</w:t>
      </w:r>
      <w:r w:rsidRPr="00C67322">
        <w:rPr>
          <w:rFonts w:ascii="Palatino Linotype" w:eastAsia="Times New Roman" w:hAnsi="Palatino Linotype" w:cs="Times New Roman"/>
          <w:snapToGrid w:val="0"/>
          <w:color w:val="000000"/>
          <w:sz w:val="20"/>
          <w:lang w:val="en-US" w:eastAsia="de-DE" w:bidi="en-US"/>
        </w:rPr>
        <w:fldChar w:fldCharType="end"/>
      </w:r>
      <w:r w:rsidRPr="00C67322">
        <w:rPr>
          <w:rFonts w:ascii="Palatino Linotype" w:eastAsia="Times New Roman" w:hAnsi="Palatino Linotype" w:cs="Times New Roman"/>
          <w:snapToGrid w:val="0"/>
          <w:color w:val="000000"/>
          <w:sz w:val="20"/>
          <w:lang w:val="en-US" w:eastAsia="de-DE" w:bidi="en-US"/>
        </w:rPr>
        <w:t>. Shortly, a solution of CHCl</w:t>
      </w:r>
      <w:r w:rsidRPr="00C67322">
        <w:rPr>
          <w:rFonts w:ascii="Palatino Linotype" w:eastAsia="Times New Roman" w:hAnsi="Palatino Linotype" w:cs="Times New Roman"/>
          <w:snapToGrid w:val="0"/>
          <w:color w:val="000000"/>
          <w:sz w:val="20"/>
          <w:vertAlign w:val="subscript"/>
          <w:lang w:val="en-US" w:eastAsia="de-DE" w:bidi="en-US"/>
        </w:rPr>
        <w:t>3</w:t>
      </w:r>
      <w:r w:rsidRPr="00C67322">
        <w:rPr>
          <w:rFonts w:ascii="Palatino Linotype" w:eastAsia="Times New Roman" w:hAnsi="Palatino Linotype" w:cs="Times New Roman"/>
          <w:snapToGrid w:val="0"/>
          <w:color w:val="000000"/>
          <w:sz w:val="20"/>
          <w:lang w:val="en-US" w:eastAsia="de-DE" w:bidi="en-US"/>
        </w:rPr>
        <w:t>:MeOH:H</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O was added to the bacterial pellet and kept at 50 °C for 3h. After centrifugation at 3000× </w:t>
      </w:r>
      <w:r w:rsidRPr="00C67322">
        <w:rPr>
          <w:rFonts w:ascii="Palatino Linotype" w:eastAsia="Times New Roman" w:hAnsi="Palatino Linotype" w:cs="Times New Roman"/>
          <w:i/>
          <w:iCs/>
          <w:snapToGrid w:val="0"/>
          <w:color w:val="000000"/>
          <w:sz w:val="20"/>
          <w:lang w:val="en-US" w:eastAsia="de-DE" w:bidi="en-US"/>
        </w:rPr>
        <w:t>g</w:t>
      </w:r>
      <w:r w:rsidRPr="00C67322">
        <w:rPr>
          <w:rFonts w:ascii="Palatino Linotype" w:eastAsia="Times New Roman" w:hAnsi="Palatino Linotype" w:cs="Times New Roman"/>
          <w:snapToGrid w:val="0"/>
          <w:color w:val="000000"/>
          <w:sz w:val="20"/>
          <w:lang w:val="en-US" w:eastAsia="de-DE" w:bidi="en-US"/>
        </w:rPr>
        <w:t xml:space="preserve"> rpm, a mix of CHCl</w:t>
      </w:r>
      <w:r w:rsidRPr="00C67322">
        <w:rPr>
          <w:rFonts w:ascii="Palatino Linotype" w:eastAsia="Times New Roman" w:hAnsi="Palatino Linotype" w:cs="Times New Roman"/>
          <w:snapToGrid w:val="0"/>
          <w:color w:val="000000"/>
          <w:sz w:val="20"/>
          <w:vertAlign w:val="subscript"/>
          <w:lang w:val="en-US" w:eastAsia="de-DE" w:bidi="en-US"/>
        </w:rPr>
        <w:t>3</w:t>
      </w:r>
      <w:r w:rsidRPr="00C67322">
        <w:rPr>
          <w:rFonts w:ascii="Palatino Linotype" w:eastAsia="Times New Roman" w:hAnsi="Palatino Linotype" w:cs="Times New Roman"/>
          <w:snapToGrid w:val="0"/>
          <w:color w:val="000000"/>
          <w:sz w:val="20"/>
          <w:lang w:val="en-US" w:eastAsia="de-DE" w:bidi="en-US"/>
        </w:rPr>
        <w:t>:H</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O was added to the supernatant and centrifuged after mixing. The bottom phase obtained was then washed 2× </w:t>
      </w:r>
      <w:r w:rsidRPr="00C67322">
        <w:rPr>
          <w:rFonts w:ascii="Palatino Linotype" w:eastAsia="Times New Roman" w:hAnsi="Palatino Linotype" w:cs="Times New Roman"/>
          <w:i/>
          <w:iCs/>
          <w:snapToGrid w:val="0"/>
          <w:color w:val="000000"/>
          <w:sz w:val="20"/>
          <w:lang w:val="en-US" w:eastAsia="de-DE" w:bidi="en-US"/>
        </w:rPr>
        <w:t>g</w:t>
      </w:r>
      <w:r w:rsidRPr="00C67322">
        <w:rPr>
          <w:rFonts w:ascii="Palatino Linotype" w:eastAsia="Times New Roman" w:hAnsi="Palatino Linotype" w:cs="Times New Roman"/>
          <w:snapToGrid w:val="0"/>
          <w:color w:val="000000"/>
          <w:sz w:val="20"/>
          <w:lang w:val="en-US" w:eastAsia="de-DE" w:bidi="en-US"/>
        </w:rPr>
        <w:t xml:space="preserve"> by with a mix of CHCl</w:t>
      </w:r>
      <w:r w:rsidRPr="00C67322">
        <w:rPr>
          <w:rFonts w:ascii="Palatino Linotype" w:eastAsia="Times New Roman" w:hAnsi="Palatino Linotype" w:cs="Times New Roman"/>
          <w:snapToGrid w:val="0"/>
          <w:color w:val="000000"/>
          <w:sz w:val="20"/>
          <w:vertAlign w:val="subscript"/>
          <w:lang w:val="en-US" w:eastAsia="de-DE" w:bidi="en-US"/>
        </w:rPr>
        <w:t>3</w:t>
      </w:r>
      <w:r w:rsidRPr="00C67322">
        <w:rPr>
          <w:rFonts w:ascii="Palatino Linotype" w:eastAsia="Times New Roman" w:hAnsi="Palatino Linotype" w:cs="Times New Roman"/>
          <w:snapToGrid w:val="0"/>
          <w:color w:val="000000"/>
          <w:sz w:val="20"/>
          <w:lang w:val="en-US" w:eastAsia="de-DE" w:bidi="en-US"/>
        </w:rPr>
        <w:t>:MeOH:H</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O (3:47:48 proportions) and heat at 55 °C to obtained a dry pellet.</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 xml:space="preserve">For H37Rv (H37RvAE) lipids fractionation, 2 mg of total lipid extract from </w:t>
      </w:r>
      <w:proofErr w:type="spellStart"/>
      <w:r w:rsidRPr="00C67322">
        <w:rPr>
          <w:rFonts w:ascii="Palatino Linotype" w:eastAsia="Times New Roman" w:hAnsi="Palatino Linotype" w:cs="Times New Roman"/>
          <w:i/>
          <w:iCs/>
          <w:snapToGrid w:val="0"/>
          <w:color w:val="000000"/>
          <w:sz w:val="20"/>
          <w:lang w:val="en-US" w:eastAsia="de-DE" w:bidi="en-US"/>
        </w:rPr>
        <w:t>Mtb</w:t>
      </w:r>
      <w:proofErr w:type="spellEnd"/>
      <w:r w:rsidRPr="00C67322">
        <w:rPr>
          <w:rFonts w:ascii="Palatino Linotype" w:eastAsia="Times New Roman" w:hAnsi="Palatino Linotype" w:cs="Times New Roman"/>
          <w:snapToGrid w:val="0"/>
          <w:color w:val="000000"/>
          <w:sz w:val="20"/>
          <w:lang w:val="en-US" w:eastAsia="de-DE" w:bidi="en-US"/>
        </w:rPr>
        <w:t xml:space="preserve"> H37RvAE was fractioned using a silica column. The column was pre-washed with chloroform (3× void volume) before the sample was added. Once the input sample was added onto the column, 100 mL of chloroform was added to start flow through collection. A mix of CHCl</w:t>
      </w:r>
      <w:r w:rsidRPr="00C67322">
        <w:rPr>
          <w:rFonts w:ascii="Palatino Linotype" w:eastAsia="Times New Roman" w:hAnsi="Palatino Linotype" w:cs="Times New Roman"/>
          <w:snapToGrid w:val="0"/>
          <w:color w:val="000000"/>
          <w:sz w:val="20"/>
          <w:vertAlign w:val="subscript"/>
          <w:lang w:val="en-US" w:eastAsia="de-DE" w:bidi="en-US"/>
        </w:rPr>
        <w:t>3</w:t>
      </w:r>
      <w:r w:rsidRPr="00C67322">
        <w:rPr>
          <w:rFonts w:ascii="Palatino Linotype" w:eastAsia="Times New Roman" w:hAnsi="Palatino Linotype" w:cs="Times New Roman"/>
          <w:snapToGrid w:val="0"/>
          <w:color w:val="000000"/>
          <w:sz w:val="20"/>
          <w:lang w:val="en-US" w:eastAsia="de-DE" w:bidi="en-US"/>
        </w:rPr>
        <w:t xml:space="preserve">:MeOH solvent was passed through the column with a progressive increase in the proportion of methanol (99:1, 1–8 collection tubes; 98:2, 9–15 collection tubes; 97:3, 16–23 collection tubes; 95:5, 24–31 collection tubes; 93:7, 32–49 collection tubes; 90:10, 50–57 collection tubes and 80:20, 58–63 collection tubes). For the analyses of H37RvAE, collection tubes 1 to 9 were pooled as Fraction 1; 10 to 13 pooled as Fraction 2; 14 to 18 pooled as Fraction 3; 19 to </w:t>
      </w:r>
      <w:r w:rsidRPr="00C67322">
        <w:rPr>
          <w:rFonts w:ascii="Palatino Linotype" w:eastAsia="Times New Roman" w:hAnsi="Palatino Linotype" w:cs="Times New Roman"/>
          <w:snapToGrid w:val="0"/>
          <w:color w:val="000000"/>
          <w:sz w:val="20"/>
          <w:lang w:val="en-US" w:eastAsia="de-DE" w:bidi="en-US"/>
        </w:rPr>
        <w:lastRenderedPageBreak/>
        <w:t>27 pooled as Fraction 4; 28 to 32 pooled as Fraction 5; 33 to 36 pooled as Fraction 6, 37 to 44 pooled as Fraction 7 and 45 to 63 pooled as Fraction 8.</w:t>
      </w:r>
    </w:p>
    <w:p w:rsidR="00C67322" w:rsidRPr="00C67322" w:rsidRDefault="00C67322" w:rsidP="005C3D3A">
      <w:pPr>
        <w:adjustRightInd w:val="0"/>
        <w:snapToGrid w:val="0"/>
        <w:spacing w:before="240" w:after="60" w:line="228" w:lineRule="auto"/>
        <w:outlineLvl w:val="1"/>
        <w:rPr>
          <w:rFonts w:ascii="Palatino Linotype" w:eastAsia="Times New Roman" w:hAnsi="Palatino Linotype" w:cs="Times New Roman"/>
          <w:i/>
          <w:noProof/>
          <w:snapToGrid w:val="0"/>
          <w:color w:val="000000"/>
          <w:sz w:val="20"/>
          <w:lang w:val="en-US" w:eastAsia="de-DE" w:bidi="en-US"/>
        </w:rPr>
      </w:pPr>
      <w:r w:rsidRPr="00C67322">
        <w:rPr>
          <w:rFonts w:ascii="Palatino Linotype" w:eastAsia="Times New Roman" w:hAnsi="Palatino Linotype" w:cs="Times New Roman"/>
          <w:i/>
          <w:noProof/>
          <w:snapToGrid w:val="0"/>
          <w:color w:val="000000"/>
          <w:sz w:val="20"/>
          <w:lang w:val="en-US" w:eastAsia="de-DE" w:bidi="en-US"/>
        </w:rPr>
        <w:t>4.4. Liposomes</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 xml:space="preserve">All dried lipid pellets were </w:t>
      </w:r>
      <w:proofErr w:type="spellStart"/>
      <w:r w:rsidRPr="00C67322">
        <w:rPr>
          <w:rFonts w:ascii="Palatino Linotype" w:eastAsia="Times New Roman" w:hAnsi="Palatino Linotype" w:cs="Times New Roman"/>
          <w:snapToGrid w:val="0"/>
          <w:color w:val="000000"/>
          <w:sz w:val="20"/>
          <w:lang w:val="en-US" w:eastAsia="de-DE" w:bidi="en-US"/>
        </w:rPr>
        <w:t>solubilised</w:t>
      </w:r>
      <w:proofErr w:type="spellEnd"/>
      <w:r w:rsidRPr="00C67322">
        <w:rPr>
          <w:rFonts w:ascii="Palatino Linotype" w:eastAsia="Times New Roman" w:hAnsi="Palatino Linotype" w:cs="Times New Roman"/>
          <w:snapToGrid w:val="0"/>
          <w:color w:val="000000"/>
          <w:sz w:val="20"/>
          <w:lang w:val="en-US" w:eastAsia="de-DE" w:bidi="en-US"/>
        </w:rPr>
        <w:t xml:space="preserve"> in CHCl</w:t>
      </w:r>
      <w:r w:rsidRPr="00C67322">
        <w:rPr>
          <w:rFonts w:ascii="Palatino Linotype" w:eastAsia="Times New Roman" w:hAnsi="Palatino Linotype" w:cs="Times New Roman"/>
          <w:snapToGrid w:val="0"/>
          <w:color w:val="000000"/>
          <w:sz w:val="20"/>
          <w:vertAlign w:val="subscript"/>
          <w:lang w:val="en-US" w:eastAsia="de-DE" w:bidi="en-US"/>
        </w:rPr>
        <w:t>3</w:t>
      </w:r>
      <w:r w:rsidRPr="00C67322">
        <w:rPr>
          <w:rFonts w:ascii="Palatino Linotype" w:eastAsia="Times New Roman" w:hAnsi="Palatino Linotype" w:cs="Times New Roman"/>
          <w:snapToGrid w:val="0"/>
          <w:color w:val="000000"/>
          <w:sz w:val="20"/>
          <w:lang w:val="en-US" w:eastAsia="de-DE" w:bidi="en-US"/>
        </w:rPr>
        <w:t xml:space="preserve">:MeOH (2:1 proportion) and PC and Ch were </w:t>
      </w:r>
      <w:proofErr w:type="spellStart"/>
      <w:r w:rsidRPr="00C67322">
        <w:rPr>
          <w:rFonts w:ascii="Palatino Linotype" w:eastAsia="Times New Roman" w:hAnsi="Palatino Linotype" w:cs="Times New Roman"/>
          <w:snapToGrid w:val="0"/>
          <w:color w:val="000000"/>
          <w:sz w:val="20"/>
          <w:lang w:val="en-US" w:eastAsia="de-DE" w:bidi="en-US"/>
        </w:rPr>
        <w:t>solubilised</w:t>
      </w:r>
      <w:proofErr w:type="spellEnd"/>
      <w:r w:rsidRPr="00C67322">
        <w:rPr>
          <w:rFonts w:ascii="Palatino Linotype" w:eastAsia="Times New Roman" w:hAnsi="Palatino Linotype" w:cs="Times New Roman"/>
          <w:snapToGrid w:val="0"/>
          <w:color w:val="000000"/>
          <w:sz w:val="20"/>
          <w:lang w:val="en-US" w:eastAsia="de-DE" w:bidi="en-US"/>
        </w:rPr>
        <w:t xml:space="preserve"> in chloroform. Liposomes were generated with a mix of PC and Ch in 0.8PC:0.2Ch proportion for liposomes without </w:t>
      </w:r>
      <w:r w:rsidRPr="00C67322">
        <w:rPr>
          <w:rFonts w:ascii="Palatino Linotype" w:eastAsia="Times New Roman" w:hAnsi="Palatino Linotype" w:cs="Times New Roman"/>
          <w:i/>
          <w:iCs/>
          <w:snapToGrid w:val="0"/>
          <w:color w:val="000000"/>
          <w:sz w:val="20"/>
          <w:lang w:val="en-US" w:eastAsia="de-DE" w:bidi="en-US"/>
        </w:rPr>
        <w:t>Mycobacterium</w:t>
      </w:r>
      <w:r w:rsidRPr="00C67322">
        <w:rPr>
          <w:rFonts w:ascii="Palatino Linotype" w:eastAsia="Times New Roman" w:hAnsi="Palatino Linotype" w:cs="Times New Roman"/>
          <w:snapToGrid w:val="0"/>
          <w:color w:val="000000"/>
          <w:sz w:val="20"/>
          <w:lang w:val="en-US" w:eastAsia="de-DE" w:bidi="en-US"/>
        </w:rPr>
        <w:t xml:space="preserve"> lipids; a mix of PC, Ch and total lipids extracted from BCG, MC</w:t>
      </w:r>
      <w:r w:rsidRPr="00C67322">
        <w:rPr>
          <w:rFonts w:ascii="Palatino Linotype" w:eastAsia="Times New Roman" w:hAnsi="Palatino Linotype" w:cs="Times New Roman"/>
          <w:snapToGrid w:val="0"/>
          <w:color w:val="000000"/>
          <w:sz w:val="20"/>
          <w:vertAlign w:val="super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155, H37RvAE, H37RvMA, H37Rv papA1Δ, H37RvAE Fractions, HN878, CDC1551 and EU127 in 0.6PC:0.2Ch:0.2 </w:t>
      </w:r>
      <w:r w:rsidRPr="00C67322">
        <w:rPr>
          <w:rFonts w:ascii="Palatino Linotype" w:eastAsia="Times New Roman" w:hAnsi="Palatino Linotype" w:cs="Times New Roman"/>
          <w:i/>
          <w:iCs/>
          <w:snapToGrid w:val="0"/>
          <w:color w:val="000000"/>
          <w:sz w:val="20"/>
          <w:lang w:val="en-US" w:eastAsia="de-DE" w:bidi="en-US"/>
        </w:rPr>
        <w:t>Mycobacterium</w:t>
      </w:r>
      <w:r w:rsidRPr="00C67322">
        <w:rPr>
          <w:rFonts w:ascii="Palatino Linotype" w:eastAsia="Times New Roman" w:hAnsi="Palatino Linotype" w:cs="Times New Roman"/>
          <w:snapToGrid w:val="0"/>
          <w:color w:val="000000"/>
          <w:sz w:val="20"/>
          <w:lang w:val="en-US" w:eastAsia="de-DE" w:bidi="en-US"/>
        </w:rPr>
        <w:t xml:space="preserve"> proportion; a mix of PC, Ch, H37Rv papA1Δ and SL1 lipids in 0.6PC:0.2Ch:1.9:0.1SL1; or a mix of PC, Ch and PDIM lipids in 7.8PC:0.2Ch:0.2PDIM proportion. After the different lipids were mixed together in chloroform solution (2 mg in total), the chloroform was then evaporated with nitrogen gas for 30 min forming a film of dried lipids. Liposomes were hydrated by addition of Roswell Park Memorial Institute (RPMI-1640, Thermo Fisher Scientific, Waltham, MA, USA), Dulbecco Modified Eagle Medium (DMEM, Thermo Fisher Scientific, Waltham, MA, USA), Phosphate-Buffered Saline (PBS, Thermo Fisher Scientific, Waltham, MA, USA), or sterile water. Liposomes were then incubated at 55 °C for 30 min with </w:t>
      </w:r>
      <w:proofErr w:type="spellStart"/>
      <w:r w:rsidRPr="00C67322">
        <w:rPr>
          <w:rFonts w:ascii="Palatino Linotype" w:eastAsia="Times New Roman" w:hAnsi="Palatino Linotype" w:cs="Times New Roman"/>
          <w:snapToGrid w:val="0"/>
          <w:color w:val="000000"/>
          <w:sz w:val="20"/>
          <w:lang w:val="en-US" w:eastAsia="de-DE" w:bidi="en-US"/>
        </w:rPr>
        <w:t>vortexing</w:t>
      </w:r>
      <w:proofErr w:type="spellEnd"/>
      <w:r w:rsidRPr="00C67322">
        <w:rPr>
          <w:rFonts w:ascii="Palatino Linotype" w:eastAsia="Times New Roman" w:hAnsi="Palatino Linotype" w:cs="Times New Roman"/>
          <w:snapToGrid w:val="0"/>
          <w:color w:val="000000"/>
          <w:sz w:val="20"/>
          <w:lang w:val="en-US" w:eastAsia="de-DE" w:bidi="en-US"/>
        </w:rPr>
        <w:t xml:space="preserve"> (final concentration 10 mg/mL). The preparations were subsequently sonicated for 30 min at 4 °C.</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 xml:space="preserve">For </w:t>
      </w:r>
      <w:proofErr w:type="spellStart"/>
      <w:r w:rsidRPr="00C67322">
        <w:rPr>
          <w:rFonts w:ascii="Palatino Linotype" w:eastAsia="Times New Roman" w:hAnsi="Palatino Linotype" w:cs="Times New Roman"/>
          <w:snapToGrid w:val="0"/>
          <w:color w:val="000000"/>
          <w:sz w:val="20"/>
          <w:lang w:val="en-US" w:eastAsia="de-DE" w:bidi="en-US"/>
        </w:rPr>
        <w:t>NanoSight</w:t>
      </w:r>
      <w:proofErr w:type="spellEnd"/>
      <w:r w:rsidRPr="00C67322">
        <w:rPr>
          <w:rFonts w:ascii="Palatino Linotype" w:eastAsia="Times New Roman" w:hAnsi="Palatino Linotype" w:cs="Times New Roman"/>
          <w:snapToGrid w:val="0"/>
          <w:color w:val="000000"/>
          <w:sz w:val="20"/>
          <w:lang w:val="en-US" w:eastAsia="de-DE" w:bidi="en-US"/>
        </w:rPr>
        <w:t xml:space="preserve"> analyses of liposomes, 0.8PC:0.2Ch liposomes were filtered using the Avanti</w:t>
      </w:r>
      <w:r w:rsidRPr="00C67322">
        <w:rPr>
          <w:rFonts w:ascii="Palatino Linotype" w:eastAsia="Times New Roman" w:hAnsi="Palatino Linotype" w:cs="Times New Roman"/>
          <w:snapToGrid w:val="0"/>
          <w:color w:val="000000"/>
          <w:sz w:val="20"/>
          <w:vertAlign w:val="superscript"/>
          <w:lang w:val="en-US" w:eastAsia="de-DE" w:bidi="en-US"/>
        </w:rPr>
        <w:t>®</w:t>
      </w:r>
      <w:r w:rsidRPr="00C67322">
        <w:rPr>
          <w:rFonts w:ascii="Palatino Linotype" w:eastAsia="Times New Roman" w:hAnsi="Palatino Linotype" w:cs="Times New Roman"/>
          <w:snapToGrid w:val="0"/>
          <w:color w:val="000000"/>
          <w:sz w:val="20"/>
          <w:lang w:val="en-US" w:eastAsia="de-DE" w:bidi="en-US"/>
        </w:rPr>
        <w:t xml:space="preserve"> Mini-Extruder system after sonication. Liposome solutions were filtered through a 100 or 200 nm polycarbonate filter under 50 °C temperature to produce 100 and 200 nm 0.8PC:0.2Ch liposome diameters.</w:t>
      </w:r>
    </w:p>
    <w:p w:rsidR="00C67322" w:rsidRPr="00C67322" w:rsidRDefault="00C67322" w:rsidP="005C3D3A">
      <w:pPr>
        <w:adjustRightInd w:val="0"/>
        <w:snapToGrid w:val="0"/>
        <w:spacing w:before="240" w:after="60" w:line="228" w:lineRule="auto"/>
        <w:outlineLvl w:val="1"/>
        <w:rPr>
          <w:rFonts w:ascii="Palatino Linotype" w:eastAsia="Times New Roman" w:hAnsi="Palatino Linotype" w:cs="Times New Roman"/>
          <w:i/>
          <w:noProof/>
          <w:snapToGrid w:val="0"/>
          <w:color w:val="000000"/>
          <w:sz w:val="20"/>
          <w:lang w:val="en-US" w:eastAsia="de-DE" w:bidi="en-US"/>
        </w:rPr>
      </w:pPr>
      <w:r w:rsidRPr="00C67322">
        <w:rPr>
          <w:rFonts w:ascii="Palatino Linotype" w:eastAsia="Times New Roman" w:hAnsi="Palatino Linotype" w:cs="Times New Roman"/>
          <w:i/>
          <w:noProof/>
          <w:snapToGrid w:val="0"/>
          <w:color w:val="000000"/>
          <w:sz w:val="20"/>
          <w:lang w:val="en-US" w:eastAsia="de-DE" w:bidi="en-US"/>
        </w:rPr>
        <w:t>4.5. Liposomes Characterisation</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For TLC analyses, 10 µL of 0.8PC:0.2Ch, BCG and H37RvAE liposomes made in sterile water, SL, TDM, PIMs, PDIM lipid solution or H37RvAE lipid Fractions 1 to 8 were spotted and dried on a silica gel 60 F254 plate (Sigma-Aldrich, St Louis, MO, USA). Sample separation occurred in 60:16:2 CHCl</w:t>
      </w:r>
      <w:r w:rsidRPr="00C67322">
        <w:rPr>
          <w:rFonts w:ascii="Palatino Linotype" w:eastAsia="Times New Roman" w:hAnsi="Palatino Linotype" w:cs="Times New Roman"/>
          <w:snapToGrid w:val="0"/>
          <w:color w:val="000000"/>
          <w:sz w:val="20"/>
          <w:vertAlign w:val="subscript"/>
          <w:lang w:val="en-US" w:eastAsia="de-DE" w:bidi="en-US"/>
        </w:rPr>
        <w:t>3</w:t>
      </w:r>
      <w:r w:rsidRPr="00C67322">
        <w:rPr>
          <w:rFonts w:ascii="Palatino Linotype" w:eastAsia="Times New Roman" w:hAnsi="Palatino Linotype" w:cs="Times New Roman"/>
          <w:snapToGrid w:val="0"/>
          <w:color w:val="000000"/>
          <w:sz w:val="20"/>
          <w:lang w:val="en-US" w:eastAsia="de-DE" w:bidi="en-US"/>
        </w:rPr>
        <w:t>:MeOH:H</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O solvent and was </w:t>
      </w:r>
      <w:proofErr w:type="spellStart"/>
      <w:r w:rsidRPr="00C67322">
        <w:rPr>
          <w:rFonts w:ascii="Palatino Linotype" w:eastAsia="Times New Roman" w:hAnsi="Palatino Linotype" w:cs="Times New Roman"/>
          <w:snapToGrid w:val="0"/>
          <w:color w:val="000000"/>
          <w:sz w:val="20"/>
          <w:lang w:val="en-US" w:eastAsia="de-DE" w:bidi="en-US"/>
        </w:rPr>
        <w:t>visualised</w:t>
      </w:r>
      <w:proofErr w:type="spellEnd"/>
      <w:r w:rsidRPr="00C67322">
        <w:rPr>
          <w:rFonts w:ascii="Palatino Linotype" w:eastAsia="Times New Roman" w:hAnsi="Palatino Linotype" w:cs="Times New Roman"/>
          <w:snapToGrid w:val="0"/>
          <w:color w:val="000000"/>
          <w:sz w:val="20"/>
          <w:lang w:val="en-US" w:eastAsia="de-DE" w:bidi="en-US"/>
        </w:rPr>
        <w:t xml:space="preserve"> by staining with </w:t>
      </w:r>
      <w:proofErr w:type="spellStart"/>
      <w:r w:rsidRPr="00C67322">
        <w:rPr>
          <w:rFonts w:ascii="Palatino Linotype" w:eastAsia="Times New Roman" w:hAnsi="Palatino Linotype" w:cs="Times New Roman"/>
          <w:snapToGrid w:val="0"/>
          <w:color w:val="000000"/>
          <w:sz w:val="20"/>
          <w:lang w:val="en-US" w:eastAsia="de-DE" w:bidi="en-US"/>
        </w:rPr>
        <w:t>molybdophosphoric</w:t>
      </w:r>
      <w:proofErr w:type="spellEnd"/>
      <w:r w:rsidRPr="00C67322">
        <w:rPr>
          <w:rFonts w:ascii="Palatino Linotype" w:eastAsia="Times New Roman" w:hAnsi="Palatino Linotype" w:cs="Times New Roman"/>
          <w:snapToGrid w:val="0"/>
          <w:color w:val="000000"/>
          <w:sz w:val="20"/>
          <w:lang w:val="en-US" w:eastAsia="de-DE" w:bidi="en-US"/>
        </w:rPr>
        <w:t xml:space="preserve"> acid (MPA) and charring.</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proofErr w:type="spellStart"/>
      <w:r w:rsidRPr="00C67322">
        <w:rPr>
          <w:rFonts w:ascii="Palatino Linotype" w:eastAsia="Times New Roman" w:hAnsi="Palatino Linotype" w:cs="Times New Roman"/>
          <w:snapToGrid w:val="0"/>
          <w:color w:val="000000"/>
          <w:sz w:val="20"/>
          <w:lang w:val="en-US" w:eastAsia="de-DE" w:bidi="en-US"/>
        </w:rPr>
        <w:t>Visualisation</w:t>
      </w:r>
      <w:proofErr w:type="spellEnd"/>
      <w:r w:rsidRPr="00C67322">
        <w:rPr>
          <w:rFonts w:ascii="Palatino Linotype" w:eastAsia="Times New Roman" w:hAnsi="Palatino Linotype" w:cs="Times New Roman"/>
          <w:snapToGrid w:val="0"/>
          <w:color w:val="000000"/>
          <w:sz w:val="20"/>
          <w:lang w:val="en-US" w:eastAsia="de-DE" w:bidi="en-US"/>
        </w:rPr>
        <w:t xml:space="preserve">, particle concentration and the size distribution of the generated liposomes were evaluated using the </w:t>
      </w:r>
      <w:proofErr w:type="spellStart"/>
      <w:r w:rsidRPr="00C67322">
        <w:rPr>
          <w:rFonts w:ascii="Palatino Linotype" w:eastAsia="Times New Roman" w:hAnsi="Palatino Linotype" w:cs="Times New Roman"/>
          <w:snapToGrid w:val="0"/>
          <w:color w:val="000000"/>
          <w:sz w:val="20"/>
          <w:lang w:val="en-US" w:eastAsia="de-DE" w:bidi="en-US"/>
        </w:rPr>
        <w:t>NanoSight</w:t>
      </w:r>
      <w:proofErr w:type="spellEnd"/>
      <w:r w:rsidRPr="00C67322">
        <w:rPr>
          <w:rFonts w:ascii="Palatino Linotype" w:eastAsia="Times New Roman" w:hAnsi="Palatino Linotype" w:cs="Times New Roman"/>
          <w:snapToGrid w:val="0"/>
          <w:color w:val="000000"/>
          <w:sz w:val="20"/>
          <w:lang w:val="en-US" w:eastAsia="de-DE" w:bidi="en-US"/>
        </w:rPr>
        <w:t xml:space="preserve"> NS300 instrument (Malvern </w:t>
      </w:r>
      <w:proofErr w:type="spellStart"/>
      <w:r w:rsidRPr="00C67322">
        <w:rPr>
          <w:rFonts w:ascii="Palatino Linotype" w:eastAsia="Times New Roman" w:hAnsi="Palatino Linotype" w:cs="Times New Roman"/>
          <w:snapToGrid w:val="0"/>
          <w:color w:val="000000"/>
          <w:sz w:val="20"/>
          <w:lang w:val="en-US" w:eastAsia="de-DE" w:bidi="en-US"/>
        </w:rPr>
        <w:t>Panatical</w:t>
      </w:r>
      <w:proofErr w:type="spellEnd"/>
      <w:r w:rsidRPr="00C67322">
        <w:rPr>
          <w:rFonts w:ascii="Palatino Linotype" w:eastAsia="Times New Roman" w:hAnsi="Palatino Linotype" w:cs="Times New Roman"/>
          <w:snapToGrid w:val="0"/>
          <w:color w:val="000000"/>
          <w:sz w:val="20"/>
          <w:lang w:val="en-US" w:eastAsia="de-DE" w:bidi="en-US"/>
        </w:rPr>
        <w:t xml:space="preserve">, Malvern, UK) and using Nanoparticle Tracking Analysis (NTA) software. Videos were recording at camera level 13. The post-acquisition settings were with a minimum detection threshold 7, automatic blur and automatic minimum expected particle size. 0.8PC:0.2Ch, BCG and H37RvAE liposome made in PBS were diluted 1:1000–1:2000 in PBS for each sample and three 60 s videos were recorded and </w:t>
      </w:r>
      <w:proofErr w:type="spellStart"/>
      <w:r w:rsidRPr="00C67322">
        <w:rPr>
          <w:rFonts w:ascii="Palatino Linotype" w:eastAsia="Times New Roman" w:hAnsi="Palatino Linotype" w:cs="Times New Roman"/>
          <w:snapToGrid w:val="0"/>
          <w:color w:val="000000"/>
          <w:sz w:val="20"/>
          <w:lang w:val="en-US" w:eastAsia="de-DE" w:bidi="en-US"/>
        </w:rPr>
        <w:t>analysed</w:t>
      </w:r>
      <w:proofErr w:type="spellEnd"/>
      <w:r w:rsidRPr="00C67322">
        <w:rPr>
          <w:rFonts w:ascii="Palatino Linotype" w:eastAsia="Times New Roman" w:hAnsi="Palatino Linotype" w:cs="Times New Roman"/>
          <w:snapToGrid w:val="0"/>
          <w:color w:val="000000"/>
          <w:sz w:val="20"/>
          <w:lang w:val="en-US" w:eastAsia="de-DE" w:bidi="en-US"/>
        </w:rPr>
        <w:t>.</w:t>
      </w:r>
    </w:p>
    <w:p w:rsidR="00C67322" w:rsidRPr="00C67322" w:rsidRDefault="00C67322" w:rsidP="005C3D3A">
      <w:pPr>
        <w:adjustRightInd w:val="0"/>
        <w:snapToGrid w:val="0"/>
        <w:spacing w:before="240" w:after="60" w:line="228" w:lineRule="auto"/>
        <w:outlineLvl w:val="1"/>
        <w:rPr>
          <w:rFonts w:ascii="Palatino Linotype" w:eastAsia="Times New Roman" w:hAnsi="Palatino Linotype" w:cs="Times New Roman"/>
          <w:i/>
          <w:noProof/>
          <w:snapToGrid w:val="0"/>
          <w:color w:val="000000"/>
          <w:sz w:val="20"/>
          <w:lang w:val="en-US" w:eastAsia="de-DE" w:bidi="en-US"/>
        </w:rPr>
      </w:pPr>
      <w:r w:rsidRPr="00C67322">
        <w:rPr>
          <w:rFonts w:ascii="Palatino Linotype" w:eastAsia="Times New Roman" w:hAnsi="Palatino Linotype" w:cs="Times New Roman"/>
          <w:i/>
          <w:noProof/>
          <w:snapToGrid w:val="0"/>
          <w:color w:val="000000"/>
          <w:sz w:val="20"/>
          <w:lang w:val="en-US" w:eastAsia="de-DE" w:bidi="en-US"/>
        </w:rPr>
        <w:t>4.6. Cells</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293T and TZM-bl (NIH AIDS) cells were maintained at 37 °C 5% CO</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 in DMEM supplemented with 10% FBS, L-glutamine, 100 U/mL penicillin and 100 mg/mL streptomycin. Raji-DC-SIGN (NIH AIDS) were cultured at 37 °C 5% CO</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 in RPMI-1640 containing </w:t>
      </w:r>
      <w:r w:rsidRPr="00C67322">
        <w:rPr>
          <w:rFonts w:ascii="Palatino Linotype" w:eastAsia="Times New Roman" w:hAnsi="Palatino Linotype" w:cs="Times New Roman"/>
          <w:smallCaps/>
          <w:snapToGrid w:val="0"/>
          <w:color w:val="000000"/>
          <w:sz w:val="20"/>
          <w:lang w:val="en-US" w:eastAsia="de-DE" w:bidi="en-US"/>
        </w:rPr>
        <w:t>l</w:t>
      </w:r>
      <w:r w:rsidRPr="00C67322">
        <w:rPr>
          <w:rFonts w:ascii="Palatino Linotype" w:eastAsia="Times New Roman" w:hAnsi="Palatino Linotype" w:cs="Times New Roman"/>
          <w:snapToGrid w:val="0"/>
          <w:color w:val="000000"/>
          <w:sz w:val="20"/>
          <w:lang w:val="en-US" w:eastAsia="de-DE" w:bidi="en-US"/>
        </w:rPr>
        <w:t>-glutamine, supplemented with 10% FBS, 100 U/mL penicillin and 100 mg/mL streptomycin.</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 xml:space="preserve">Human blood monocytes were isolated in buffy coats from healthy donors by using </w:t>
      </w:r>
      <w:proofErr w:type="spellStart"/>
      <w:r w:rsidRPr="00C67322">
        <w:rPr>
          <w:rFonts w:ascii="Palatino Linotype" w:eastAsia="Times New Roman" w:hAnsi="Palatino Linotype" w:cs="Times New Roman"/>
          <w:snapToGrid w:val="0"/>
          <w:color w:val="000000"/>
          <w:sz w:val="20"/>
          <w:lang w:val="en-US" w:eastAsia="de-DE" w:bidi="en-US"/>
        </w:rPr>
        <w:t>Ficoll</w:t>
      </w:r>
      <w:proofErr w:type="spellEnd"/>
      <w:r w:rsidRPr="00C67322">
        <w:rPr>
          <w:rFonts w:ascii="Palatino Linotype" w:eastAsia="Times New Roman" w:hAnsi="Palatino Linotype" w:cs="Times New Roman"/>
          <w:snapToGrid w:val="0"/>
          <w:color w:val="000000"/>
          <w:sz w:val="20"/>
          <w:lang w:val="en-US" w:eastAsia="de-DE" w:bidi="en-US"/>
        </w:rPr>
        <w:t xml:space="preserve"> gradient and a subsequent CD14 selection step using the MACS system (</w:t>
      </w:r>
      <w:proofErr w:type="spellStart"/>
      <w:r w:rsidRPr="00C67322">
        <w:rPr>
          <w:rFonts w:ascii="Palatino Linotype" w:eastAsia="Times New Roman" w:hAnsi="Palatino Linotype" w:cs="Times New Roman"/>
          <w:snapToGrid w:val="0"/>
          <w:color w:val="000000"/>
          <w:sz w:val="20"/>
          <w:lang w:val="en-US" w:eastAsia="de-DE" w:bidi="en-US"/>
        </w:rPr>
        <w:t>Miltenyi</w:t>
      </w:r>
      <w:proofErr w:type="spellEnd"/>
      <w:r w:rsidRPr="00C67322">
        <w:rPr>
          <w:rFonts w:ascii="Palatino Linotype" w:eastAsia="Times New Roman" w:hAnsi="Palatino Linotype" w:cs="Times New Roman"/>
          <w:snapToGrid w:val="0"/>
          <w:color w:val="000000"/>
          <w:sz w:val="20"/>
          <w:lang w:val="en-US" w:eastAsia="de-DE" w:bidi="en-US"/>
        </w:rPr>
        <w:t xml:space="preserve"> </w:t>
      </w:r>
      <w:proofErr w:type="spellStart"/>
      <w:r w:rsidRPr="00C67322">
        <w:rPr>
          <w:rFonts w:ascii="Palatino Linotype" w:eastAsia="Times New Roman" w:hAnsi="Palatino Linotype" w:cs="Times New Roman"/>
          <w:snapToGrid w:val="0"/>
          <w:color w:val="000000"/>
          <w:sz w:val="20"/>
          <w:lang w:val="en-US" w:eastAsia="de-DE" w:bidi="en-US"/>
        </w:rPr>
        <w:t>Biotec</w:t>
      </w:r>
      <w:proofErr w:type="spellEnd"/>
      <w:r w:rsidRPr="00C67322">
        <w:rPr>
          <w:rFonts w:ascii="Palatino Linotype" w:eastAsia="Times New Roman" w:hAnsi="Palatino Linotype" w:cs="Times New Roman"/>
          <w:snapToGrid w:val="0"/>
          <w:color w:val="000000"/>
          <w:sz w:val="20"/>
          <w:lang w:val="en-US" w:eastAsia="de-DE" w:bidi="en-US"/>
        </w:rPr>
        <w:t xml:space="preserve">, </w:t>
      </w:r>
      <w:proofErr w:type="spellStart"/>
      <w:r w:rsidRPr="00C67322">
        <w:rPr>
          <w:rFonts w:ascii="Palatino Linotype" w:eastAsia="Times New Roman" w:hAnsi="Palatino Linotype" w:cs="Times New Roman"/>
          <w:snapToGrid w:val="0"/>
          <w:color w:val="000000"/>
          <w:sz w:val="20"/>
          <w:lang w:val="en-US" w:eastAsia="de-DE" w:bidi="en-US"/>
        </w:rPr>
        <w:t>Bergisch</w:t>
      </w:r>
      <w:proofErr w:type="spellEnd"/>
      <w:r w:rsidRPr="00C67322">
        <w:rPr>
          <w:rFonts w:ascii="Palatino Linotype" w:eastAsia="Times New Roman" w:hAnsi="Palatino Linotype" w:cs="Times New Roman"/>
          <w:snapToGrid w:val="0"/>
          <w:color w:val="000000"/>
          <w:sz w:val="20"/>
          <w:lang w:val="en-US" w:eastAsia="de-DE" w:bidi="en-US"/>
        </w:rPr>
        <w:t xml:space="preserve"> </w:t>
      </w:r>
      <w:proofErr w:type="spellStart"/>
      <w:r w:rsidRPr="00C67322">
        <w:rPr>
          <w:rFonts w:ascii="Palatino Linotype" w:eastAsia="Times New Roman" w:hAnsi="Palatino Linotype" w:cs="Times New Roman"/>
          <w:snapToGrid w:val="0"/>
          <w:color w:val="000000"/>
          <w:sz w:val="20"/>
          <w:lang w:val="en-US" w:eastAsia="de-DE" w:bidi="en-US"/>
        </w:rPr>
        <w:t>Gladbach</w:t>
      </w:r>
      <w:proofErr w:type="spellEnd"/>
      <w:r w:rsidRPr="00C67322">
        <w:rPr>
          <w:rFonts w:ascii="Palatino Linotype" w:eastAsia="Times New Roman" w:hAnsi="Palatino Linotype" w:cs="Times New Roman"/>
          <w:snapToGrid w:val="0"/>
          <w:color w:val="000000"/>
          <w:sz w:val="20"/>
          <w:lang w:val="en-US" w:eastAsia="de-DE" w:bidi="en-US"/>
        </w:rPr>
        <w:t>, Germany). Purified monocytes were cultured RPMI-1640 containing L-glutamine supplemented with 10% FBS serum 100 U/mL penicillin, 100 mg/mL streptomycin, 70 ng/mL human IL-4 (Thermo Fisher Scientific, Waltham, MA, USA) and 50 ng/mL human GM-CSF (Thermo Fisher Scientific, Waltham, MA, USA) for differentiation into immature dendritic cells (</w:t>
      </w:r>
      <w:proofErr w:type="spellStart"/>
      <w:r w:rsidRPr="00C67322">
        <w:rPr>
          <w:rFonts w:ascii="Palatino Linotype" w:eastAsia="Times New Roman" w:hAnsi="Palatino Linotype" w:cs="Times New Roman"/>
          <w:snapToGrid w:val="0"/>
          <w:color w:val="000000"/>
          <w:sz w:val="20"/>
          <w:lang w:val="en-US" w:eastAsia="de-DE" w:bidi="en-US"/>
        </w:rPr>
        <w:t>iDC</w:t>
      </w:r>
      <w:proofErr w:type="spellEnd"/>
      <w:r w:rsidRPr="00C67322">
        <w:rPr>
          <w:rFonts w:ascii="Palatino Linotype" w:eastAsia="Times New Roman" w:hAnsi="Palatino Linotype" w:cs="Times New Roman"/>
          <w:snapToGrid w:val="0"/>
          <w:color w:val="000000"/>
          <w:sz w:val="20"/>
          <w:lang w:val="en-US" w:eastAsia="de-DE" w:bidi="en-US"/>
        </w:rPr>
        <w:t xml:space="preserve">). The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were harvested after 6 days of incubation. Mature monocyte derived dendritic cells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were isolated from fresh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At day 620 µg/mL of Poly(I:C) (Sigma-Aldrich, St Louis, MO, USA) was added to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media. The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cells were harvested after 18–24 h of incubation at 37 °C, 5% CO</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w:t>
      </w:r>
    </w:p>
    <w:p w:rsidR="00C67322" w:rsidRPr="00C67322" w:rsidRDefault="00C67322" w:rsidP="005C3D3A">
      <w:pPr>
        <w:adjustRightInd w:val="0"/>
        <w:snapToGrid w:val="0"/>
        <w:spacing w:before="240" w:after="60" w:line="228" w:lineRule="auto"/>
        <w:outlineLvl w:val="1"/>
        <w:rPr>
          <w:rFonts w:ascii="Palatino Linotype" w:eastAsia="Times New Roman" w:hAnsi="Palatino Linotype" w:cs="Times New Roman"/>
          <w:i/>
          <w:noProof/>
          <w:snapToGrid w:val="0"/>
          <w:color w:val="000000"/>
          <w:sz w:val="20"/>
          <w:lang w:val="en-US" w:eastAsia="de-DE" w:bidi="en-US"/>
        </w:rPr>
      </w:pPr>
      <w:r w:rsidRPr="00C67322">
        <w:rPr>
          <w:rFonts w:ascii="Palatino Linotype" w:eastAsia="Times New Roman" w:hAnsi="Palatino Linotype" w:cs="Times New Roman"/>
          <w:i/>
          <w:noProof/>
          <w:snapToGrid w:val="0"/>
          <w:color w:val="000000"/>
          <w:sz w:val="20"/>
          <w:lang w:val="en-US" w:eastAsia="de-DE" w:bidi="en-US"/>
        </w:rPr>
        <w:t>4.7. Cell Viability in the Presence of Liposomes</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bookmarkStart w:id="6" w:name="_Hlk62922083"/>
      <w:r w:rsidRPr="00C67322">
        <w:rPr>
          <w:rFonts w:ascii="Palatino Linotype" w:eastAsia="Times New Roman" w:hAnsi="Palatino Linotype" w:cs="Times New Roman"/>
          <w:snapToGrid w:val="0"/>
          <w:color w:val="000000"/>
          <w:sz w:val="20"/>
          <w:lang w:val="en-US" w:eastAsia="de-DE" w:bidi="en-US"/>
        </w:rPr>
        <w:t>3 × 10</w:t>
      </w:r>
      <w:r w:rsidRPr="00C67322">
        <w:rPr>
          <w:rFonts w:ascii="Palatino Linotype" w:eastAsia="Times New Roman" w:hAnsi="Palatino Linotype" w:cs="Times New Roman"/>
          <w:snapToGrid w:val="0"/>
          <w:color w:val="000000"/>
          <w:sz w:val="20"/>
          <w:vertAlign w:val="superscript"/>
          <w:lang w:val="en-US" w:eastAsia="de-DE" w:bidi="en-US"/>
        </w:rPr>
        <w:t>4</w:t>
      </w:r>
      <w:r w:rsidRPr="00C67322">
        <w:rPr>
          <w:rFonts w:ascii="Palatino Linotype" w:eastAsia="Times New Roman" w:hAnsi="Palatino Linotype" w:cs="Times New Roman"/>
          <w:snapToGrid w:val="0"/>
          <w:color w:val="000000"/>
          <w:sz w:val="20"/>
          <w:lang w:val="en-US" w:eastAsia="de-DE" w:bidi="en-US"/>
        </w:rPr>
        <w:t xml:space="preserve"> TZM-bl cells in 250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media per well were seeded in 96-well plates. After 24 h at 37 °C 5% CO</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 the cells were incubated with 1000, 100, 10 and 1 ng of 0.8PC:0.2Ch liposomes in 250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total </w:t>
      </w:r>
      <w:r w:rsidRPr="00C67322">
        <w:rPr>
          <w:rFonts w:ascii="Palatino Linotype" w:eastAsia="Times New Roman" w:hAnsi="Palatino Linotype" w:cs="Times New Roman"/>
          <w:snapToGrid w:val="0"/>
          <w:color w:val="000000"/>
          <w:sz w:val="20"/>
          <w:lang w:val="en-US" w:eastAsia="de-DE" w:bidi="en-US"/>
        </w:rPr>
        <w:lastRenderedPageBreak/>
        <w:t>volume. After 48 h incubation at 37 °C 5% CO</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 the media was removed and the cells harvested </w:t>
      </w:r>
      <w:r w:rsidRPr="00C67322">
        <w:rPr>
          <w:rFonts w:ascii="Palatino Linotype" w:eastAsia="Times New Roman" w:hAnsi="Palatino Linotype" w:cs="Times New Roman"/>
          <w:iCs/>
          <w:snapToGrid w:val="0"/>
          <w:color w:val="000000"/>
          <w:sz w:val="20"/>
          <w:lang w:val="en-US" w:eastAsia="de-DE" w:bidi="en-US"/>
        </w:rPr>
        <w:t>via</w:t>
      </w:r>
      <w:r w:rsidRPr="00C67322">
        <w:rPr>
          <w:rFonts w:ascii="Palatino Linotype" w:eastAsia="Times New Roman" w:hAnsi="Palatino Linotype" w:cs="Times New Roman"/>
          <w:snapToGrid w:val="0"/>
          <w:color w:val="000000"/>
          <w:sz w:val="20"/>
          <w:lang w:val="en-US" w:eastAsia="de-DE" w:bidi="en-US"/>
        </w:rPr>
        <w:t xml:space="preserve"> trypsin treatment and fixed in 2% PFA (Sigma-Aldrich, St Louis, MO, USA). After fixation, the cells were re-suspended in PBS and the viability was </w:t>
      </w:r>
      <w:proofErr w:type="spellStart"/>
      <w:r w:rsidRPr="00C67322">
        <w:rPr>
          <w:rFonts w:ascii="Palatino Linotype" w:eastAsia="Times New Roman" w:hAnsi="Palatino Linotype" w:cs="Times New Roman"/>
          <w:snapToGrid w:val="0"/>
          <w:color w:val="000000"/>
          <w:sz w:val="20"/>
          <w:lang w:val="en-US" w:eastAsia="de-DE" w:bidi="en-US"/>
        </w:rPr>
        <w:t>analysed</w:t>
      </w:r>
      <w:proofErr w:type="spellEnd"/>
      <w:r w:rsidRPr="00C67322">
        <w:rPr>
          <w:rFonts w:ascii="Palatino Linotype" w:eastAsia="Times New Roman" w:hAnsi="Palatino Linotype" w:cs="Times New Roman"/>
          <w:snapToGrid w:val="0"/>
          <w:color w:val="000000"/>
          <w:sz w:val="20"/>
          <w:lang w:val="en-US" w:eastAsia="de-DE" w:bidi="en-US"/>
        </w:rPr>
        <w:t xml:space="preserve"> by standard flow cytometry measuring forward and side scatter to determine live from dead cell populations. BD </w:t>
      </w:r>
      <w:proofErr w:type="spellStart"/>
      <w:r w:rsidRPr="00C67322">
        <w:rPr>
          <w:rFonts w:ascii="Palatino Linotype" w:eastAsia="Times New Roman" w:hAnsi="Palatino Linotype" w:cs="Times New Roman"/>
          <w:snapToGrid w:val="0"/>
          <w:color w:val="000000"/>
          <w:sz w:val="20"/>
          <w:lang w:val="en-US" w:eastAsia="de-DE" w:bidi="en-US"/>
        </w:rPr>
        <w:t>Accuri</w:t>
      </w:r>
      <w:r w:rsidRPr="00C67322">
        <w:rPr>
          <w:rFonts w:ascii="Palatino Linotype" w:eastAsia="Times New Roman" w:hAnsi="Palatino Linotype" w:cs="Times New Roman"/>
          <w:snapToGrid w:val="0"/>
          <w:color w:val="000000"/>
          <w:sz w:val="20"/>
          <w:vertAlign w:val="superscript"/>
          <w:lang w:val="en-US" w:eastAsia="de-DE" w:bidi="en-US"/>
        </w:rPr>
        <w:t>TM</w:t>
      </w:r>
      <w:proofErr w:type="spellEnd"/>
      <w:r w:rsidRPr="00C67322">
        <w:rPr>
          <w:rFonts w:ascii="Palatino Linotype" w:eastAsia="Times New Roman" w:hAnsi="Palatino Linotype" w:cs="Times New Roman"/>
          <w:snapToGrid w:val="0"/>
          <w:color w:val="000000"/>
          <w:sz w:val="20"/>
          <w:lang w:val="en-US" w:eastAsia="de-DE" w:bidi="en-US"/>
        </w:rPr>
        <w:t xml:space="preserve"> C6 was used to record 10,000 events for each sample and data analysis was performed using the BD </w:t>
      </w:r>
      <w:proofErr w:type="spellStart"/>
      <w:r w:rsidRPr="00C67322">
        <w:rPr>
          <w:rFonts w:ascii="Palatino Linotype" w:eastAsia="Times New Roman" w:hAnsi="Palatino Linotype" w:cs="Times New Roman"/>
          <w:snapToGrid w:val="0"/>
          <w:color w:val="000000"/>
          <w:sz w:val="20"/>
          <w:lang w:val="en-US" w:eastAsia="de-DE" w:bidi="en-US"/>
        </w:rPr>
        <w:t>Accuri</w:t>
      </w:r>
      <w:r w:rsidRPr="00C67322">
        <w:rPr>
          <w:rFonts w:ascii="Palatino Linotype" w:eastAsia="Times New Roman" w:hAnsi="Palatino Linotype" w:cs="Times New Roman"/>
          <w:snapToGrid w:val="0"/>
          <w:color w:val="000000"/>
          <w:sz w:val="20"/>
          <w:vertAlign w:val="superscript"/>
          <w:lang w:val="en-US" w:eastAsia="de-DE" w:bidi="en-US"/>
        </w:rPr>
        <w:t>TM</w:t>
      </w:r>
      <w:proofErr w:type="spellEnd"/>
      <w:r w:rsidRPr="00C67322">
        <w:rPr>
          <w:rFonts w:ascii="Palatino Linotype" w:eastAsia="Times New Roman" w:hAnsi="Palatino Linotype" w:cs="Times New Roman"/>
          <w:snapToGrid w:val="0"/>
          <w:color w:val="000000"/>
          <w:sz w:val="20"/>
          <w:lang w:val="en-US" w:eastAsia="de-DE" w:bidi="en-US"/>
        </w:rPr>
        <w:t xml:space="preserve"> C6 Plus software. Furthermore, no differences in cell recoveries were observed following culturing in the presence of the variant concentrations of liposomes.</w:t>
      </w:r>
    </w:p>
    <w:bookmarkEnd w:id="6"/>
    <w:p w:rsidR="00C67322" w:rsidRPr="00C67322" w:rsidRDefault="00C67322" w:rsidP="00C67322">
      <w:pPr>
        <w:adjustRightInd w:val="0"/>
        <w:snapToGrid w:val="0"/>
        <w:spacing w:before="240" w:after="60" w:line="228" w:lineRule="auto"/>
        <w:ind w:firstLine="426"/>
        <w:outlineLvl w:val="1"/>
        <w:rPr>
          <w:rFonts w:ascii="Palatino Linotype" w:eastAsia="Times New Roman" w:hAnsi="Palatino Linotype" w:cs="Times New Roman"/>
          <w:i/>
          <w:noProof/>
          <w:snapToGrid w:val="0"/>
          <w:color w:val="000000"/>
          <w:sz w:val="20"/>
          <w:lang w:val="en-US" w:eastAsia="de-DE" w:bidi="en-US"/>
        </w:rPr>
      </w:pPr>
      <w:r w:rsidRPr="00C67322">
        <w:rPr>
          <w:rFonts w:ascii="Palatino Linotype" w:eastAsia="Times New Roman" w:hAnsi="Palatino Linotype" w:cs="Times New Roman"/>
          <w:i/>
          <w:noProof/>
          <w:snapToGrid w:val="0"/>
          <w:color w:val="000000"/>
          <w:sz w:val="20"/>
          <w:lang w:val="en-US" w:eastAsia="de-DE" w:bidi="en-US"/>
        </w:rPr>
        <w:t>4.8. Virus Production</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One day prior to transfection 1.2 × 10</w:t>
      </w:r>
      <w:r w:rsidRPr="00C67322">
        <w:rPr>
          <w:rFonts w:ascii="Palatino Linotype" w:eastAsia="Times New Roman" w:hAnsi="Palatino Linotype" w:cs="Times New Roman"/>
          <w:snapToGrid w:val="0"/>
          <w:color w:val="000000"/>
          <w:sz w:val="20"/>
          <w:vertAlign w:val="superscript"/>
          <w:lang w:val="en-US" w:eastAsia="de-DE" w:bidi="en-US"/>
        </w:rPr>
        <w:t>6</w:t>
      </w:r>
      <w:r w:rsidRPr="00C67322">
        <w:rPr>
          <w:rFonts w:ascii="Palatino Linotype" w:eastAsia="Times New Roman" w:hAnsi="Palatino Linotype" w:cs="Times New Roman"/>
          <w:snapToGrid w:val="0"/>
          <w:color w:val="000000"/>
          <w:sz w:val="20"/>
          <w:lang w:val="en-US" w:eastAsia="de-DE" w:bidi="en-US"/>
        </w:rPr>
        <w:t xml:space="preserve"> 293T cells were seeded in a 10 cm dish in 8 mL of media. After 24 h, the cells were transfected using the Lipofectamine standard method where 2 </w:t>
      </w:r>
      <w:proofErr w:type="spellStart"/>
      <w:r w:rsidRPr="00C67322">
        <w:rPr>
          <w:rFonts w:ascii="Palatino Linotype" w:eastAsia="Times New Roman" w:hAnsi="Palatino Linotype" w:cs="Times New Roman"/>
          <w:snapToGrid w:val="0"/>
          <w:color w:val="000000"/>
          <w:sz w:val="20"/>
          <w:lang w:val="en-US" w:eastAsia="de-DE" w:bidi="en-US"/>
        </w:rPr>
        <w:t>μg</w:t>
      </w:r>
      <w:proofErr w:type="spellEnd"/>
      <w:r w:rsidRPr="00C67322">
        <w:rPr>
          <w:rFonts w:ascii="Palatino Linotype" w:eastAsia="Times New Roman" w:hAnsi="Palatino Linotype" w:cs="Times New Roman"/>
          <w:snapToGrid w:val="0"/>
          <w:color w:val="000000"/>
          <w:sz w:val="20"/>
          <w:lang w:val="en-US" w:eastAsia="de-DE" w:bidi="en-US"/>
        </w:rPr>
        <w:t xml:space="preserve"> of HIV-1 envelope plasmid BAL (R5 tropism, NIH AIDS) or LAI (X4 tropism, NIH AIDS), and 2 </w:t>
      </w:r>
      <w:proofErr w:type="spellStart"/>
      <w:r w:rsidRPr="00C67322">
        <w:rPr>
          <w:rFonts w:ascii="Palatino Linotype" w:eastAsia="Times New Roman" w:hAnsi="Palatino Linotype" w:cs="Times New Roman"/>
          <w:snapToGrid w:val="0"/>
          <w:color w:val="000000"/>
          <w:sz w:val="20"/>
          <w:lang w:val="en-US" w:eastAsia="de-DE" w:bidi="en-US"/>
        </w:rPr>
        <w:t>μg</w:t>
      </w:r>
      <w:proofErr w:type="spellEnd"/>
      <w:r w:rsidRPr="00C67322">
        <w:rPr>
          <w:rFonts w:ascii="Palatino Linotype" w:eastAsia="Times New Roman" w:hAnsi="Palatino Linotype" w:cs="Times New Roman"/>
          <w:snapToGrid w:val="0"/>
          <w:color w:val="000000"/>
          <w:sz w:val="20"/>
          <w:lang w:val="en-US" w:eastAsia="de-DE" w:bidi="en-US"/>
        </w:rPr>
        <w:t xml:space="preserve"> of the backbone pSG3</w:t>
      </w:r>
      <w:r w:rsidRPr="00C67322">
        <w:rPr>
          <w:rFonts w:ascii="Palatino Linotype" w:eastAsia="Times New Roman" w:hAnsi="Palatino Linotype" w:cs="Times New Roman"/>
          <w:i/>
          <w:iCs/>
          <w:snapToGrid w:val="0"/>
          <w:color w:val="000000"/>
          <w:sz w:val="20"/>
          <w:lang w:val="en-US" w:eastAsia="de-DE" w:bidi="en-US"/>
        </w:rPr>
        <w:t>Δenv</w:t>
      </w:r>
      <w:r w:rsidRPr="00C67322">
        <w:rPr>
          <w:rFonts w:ascii="Palatino Linotype" w:eastAsia="Times New Roman" w:hAnsi="Palatino Linotype" w:cs="Times New Roman"/>
          <w:snapToGrid w:val="0"/>
          <w:color w:val="000000"/>
          <w:sz w:val="20"/>
          <w:lang w:val="en-US" w:eastAsia="de-DE" w:bidi="en-US"/>
        </w:rPr>
        <w:t xml:space="preserve"> plasmid (NIH AIDS) were mixed in 300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of </w:t>
      </w:r>
      <w:proofErr w:type="spellStart"/>
      <w:r w:rsidRPr="00C67322">
        <w:rPr>
          <w:rFonts w:ascii="Palatino Linotype" w:eastAsia="Times New Roman" w:hAnsi="Palatino Linotype" w:cs="Times New Roman"/>
          <w:snapToGrid w:val="0"/>
          <w:color w:val="000000"/>
          <w:sz w:val="20"/>
          <w:lang w:val="en-US" w:eastAsia="de-DE" w:bidi="en-US"/>
        </w:rPr>
        <w:t>OptiMEM</w:t>
      </w:r>
      <w:proofErr w:type="spellEnd"/>
      <w:r w:rsidRPr="00C67322">
        <w:rPr>
          <w:rFonts w:ascii="Palatino Linotype" w:eastAsia="Times New Roman" w:hAnsi="Palatino Linotype" w:cs="Times New Roman"/>
          <w:snapToGrid w:val="0"/>
          <w:color w:val="000000"/>
          <w:sz w:val="20"/>
          <w:lang w:val="en-US" w:eastAsia="de-DE" w:bidi="en-US"/>
        </w:rPr>
        <w:t xml:space="preserve"> (Thermo Fisher Scientific, Waltham, MA, USA). Separately, 24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of Lipofectamine was mixed with 276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of </w:t>
      </w:r>
      <w:proofErr w:type="spellStart"/>
      <w:r w:rsidRPr="00C67322">
        <w:rPr>
          <w:rFonts w:ascii="Palatino Linotype" w:eastAsia="Times New Roman" w:hAnsi="Palatino Linotype" w:cs="Times New Roman"/>
          <w:snapToGrid w:val="0"/>
          <w:color w:val="000000"/>
          <w:sz w:val="20"/>
          <w:lang w:val="en-US" w:eastAsia="de-DE" w:bidi="en-US"/>
        </w:rPr>
        <w:t>OptiMEM</w:t>
      </w:r>
      <w:proofErr w:type="spellEnd"/>
      <w:r w:rsidRPr="00C67322">
        <w:rPr>
          <w:rFonts w:ascii="Palatino Linotype" w:eastAsia="Times New Roman" w:hAnsi="Palatino Linotype" w:cs="Times New Roman"/>
          <w:snapToGrid w:val="0"/>
          <w:color w:val="000000"/>
          <w:sz w:val="20"/>
          <w:lang w:val="en-US" w:eastAsia="de-DE" w:bidi="en-US"/>
        </w:rPr>
        <w:t xml:space="preserve"> and 300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of this was added to the DNA mix. After 30 min incubation at RT, the Lipofectamine/DNA mixture was added dropwise to 293T cells with 1 mL of </w:t>
      </w:r>
      <w:proofErr w:type="spellStart"/>
      <w:r w:rsidRPr="00C67322">
        <w:rPr>
          <w:rFonts w:ascii="Palatino Linotype" w:eastAsia="Times New Roman" w:hAnsi="Palatino Linotype" w:cs="Times New Roman"/>
          <w:snapToGrid w:val="0"/>
          <w:color w:val="000000"/>
          <w:sz w:val="20"/>
          <w:lang w:val="en-US" w:eastAsia="de-DE" w:bidi="en-US"/>
        </w:rPr>
        <w:t>OptiMEM</w:t>
      </w:r>
      <w:proofErr w:type="spellEnd"/>
      <w:r w:rsidRPr="00C67322">
        <w:rPr>
          <w:rFonts w:ascii="Palatino Linotype" w:eastAsia="Times New Roman" w:hAnsi="Palatino Linotype" w:cs="Times New Roman"/>
          <w:snapToGrid w:val="0"/>
          <w:color w:val="000000"/>
          <w:sz w:val="20"/>
          <w:lang w:val="en-US" w:eastAsia="de-DE" w:bidi="en-US"/>
        </w:rPr>
        <w:t>. After 6h, the media was replaced with fresh DMEM and the pseudo-typed virus stock (supernatant) was harvested after further 48 h of incubation at 37 °C 5% CO</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Viruses were stored at −80 °C and virus concentrations were quantified by measuring CA-p24 antigen levels by ELISA (Aalto Bio Reagents, Dublin, Ireland).</w:t>
      </w:r>
    </w:p>
    <w:p w:rsidR="00C67322" w:rsidRPr="00C67322" w:rsidRDefault="00C67322" w:rsidP="00C67322">
      <w:pPr>
        <w:adjustRightInd w:val="0"/>
        <w:snapToGrid w:val="0"/>
        <w:spacing w:before="240" w:after="60" w:line="228" w:lineRule="auto"/>
        <w:ind w:firstLine="426"/>
        <w:outlineLvl w:val="1"/>
        <w:rPr>
          <w:rFonts w:ascii="Palatino Linotype" w:eastAsia="Times New Roman" w:hAnsi="Palatino Linotype" w:cs="Times New Roman"/>
          <w:i/>
          <w:noProof/>
          <w:snapToGrid w:val="0"/>
          <w:color w:val="000000"/>
          <w:sz w:val="20"/>
          <w:lang w:val="en-US" w:eastAsia="de-DE" w:bidi="en-US"/>
        </w:rPr>
      </w:pPr>
      <w:r w:rsidRPr="00C67322">
        <w:rPr>
          <w:rFonts w:ascii="Palatino Linotype" w:eastAsia="Times New Roman" w:hAnsi="Palatino Linotype" w:cs="Times New Roman"/>
          <w:i/>
          <w:noProof/>
          <w:snapToGrid w:val="0"/>
          <w:color w:val="000000"/>
          <w:sz w:val="20"/>
          <w:lang w:val="en-US" w:eastAsia="de-DE" w:bidi="en-US"/>
        </w:rPr>
        <w:t xml:space="preserve">4.9. HIV-1 </w:t>
      </w:r>
      <w:r w:rsidRPr="00C67322">
        <w:rPr>
          <w:rFonts w:ascii="Palatino Linotype" w:eastAsia="Times New Roman" w:hAnsi="Palatino Linotype" w:cs="Times New Roman"/>
          <w:i/>
          <w:iCs/>
          <w:noProof/>
          <w:snapToGrid w:val="0"/>
          <w:color w:val="000000"/>
          <w:sz w:val="20"/>
          <w:lang w:val="en-US" w:eastAsia="de-DE" w:bidi="en-US"/>
        </w:rPr>
        <w:t>Cis</w:t>
      </w:r>
      <w:r w:rsidRPr="00C67322">
        <w:rPr>
          <w:rFonts w:ascii="Palatino Linotype" w:eastAsia="Times New Roman" w:hAnsi="Palatino Linotype" w:cs="Times New Roman"/>
          <w:i/>
          <w:noProof/>
          <w:snapToGrid w:val="0"/>
          <w:color w:val="000000"/>
          <w:sz w:val="20"/>
          <w:lang w:val="en-US" w:eastAsia="de-DE" w:bidi="en-US"/>
        </w:rPr>
        <w:t>-Infection</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One day prior to infection, 3 × 10</w:t>
      </w:r>
      <w:r w:rsidRPr="00C67322">
        <w:rPr>
          <w:rFonts w:ascii="Palatino Linotype" w:eastAsia="Times New Roman" w:hAnsi="Palatino Linotype" w:cs="Times New Roman"/>
          <w:snapToGrid w:val="0"/>
          <w:color w:val="000000"/>
          <w:sz w:val="20"/>
          <w:vertAlign w:val="superscript"/>
          <w:lang w:val="en-US" w:eastAsia="de-DE" w:bidi="en-US"/>
        </w:rPr>
        <w:t xml:space="preserve">4 </w:t>
      </w:r>
      <w:r w:rsidRPr="00C67322">
        <w:rPr>
          <w:rFonts w:ascii="Palatino Linotype" w:eastAsia="Times New Roman" w:hAnsi="Palatino Linotype" w:cs="Times New Roman"/>
          <w:snapToGrid w:val="0"/>
          <w:color w:val="000000"/>
          <w:sz w:val="20"/>
          <w:lang w:val="en-US" w:eastAsia="de-DE" w:bidi="en-US"/>
        </w:rPr>
        <w:t xml:space="preserve">TZM-bl cells in 250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of media per well were seeded in 96-well plates. In scenario one, liposomes suspension in DMEM was added to the cells at the same time virus was added. 8ng CA-p24 of pSG3-LAI, pSG3-BAL pseudo-typed virus was mixed with 100 ng liposomes in 50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total volume and added to the TZM-bl cells. After 2 h incubation at 37 °C 5% CO</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 200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of media was added and the infection measured after 48 h. In the second scenario, liposome suspensions in DMEM were added to the cells prior to virus input. 50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of 100ng of liposome was added to the TZM-bl cells. After 30 min incubation at 37 °C and 5% CO</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 8 ng CA-p24 of pSG3-LAI or pSG3-BAL pseudo-typed virus was added and incubated for 2 h as described above. Following this incubation, 200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of media was added to each well and incubated for 48 h. For both scenarios, after 48 h of infection the cells were washed with PBS, and 20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of lysis Buffer (Promega, Madison, WI, USA) was added per well. Luciferase activity was determined using the Luciferase Assay kit (Promega, Madison, WI, USA) and </w:t>
      </w:r>
      <w:proofErr w:type="spellStart"/>
      <w:r w:rsidRPr="00C67322">
        <w:rPr>
          <w:rFonts w:ascii="Palatino Linotype" w:eastAsia="Times New Roman" w:hAnsi="Palatino Linotype" w:cs="Times New Roman"/>
          <w:snapToGrid w:val="0"/>
          <w:color w:val="000000"/>
          <w:sz w:val="20"/>
          <w:lang w:val="en-US" w:eastAsia="de-DE" w:bidi="en-US"/>
        </w:rPr>
        <w:t>FLUOStar</w:t>
      </w:r>
      <w:proofErr w:type="spellEnd"/>
      <w:r w:rsidRPr="00C67322">
        <w:rPr>
          <w:rFonts w:ascii="Palatino Linotype" w:eastAsia="Times New Roman" w:hAnsi="Palatino Linotype" w:cs="Times New Roman"/>
          <w:snapToGrid w:val="0"/>
          <w:color w:val="000000"/>
          <w:sz w:val="20"/>
          <w:lang w:val="en-US" w:eastAsia="de-DE" w:bidi="en-US"/>
        </w:rPr>
        <w:t xml:space="preserve"> Omega luminometer (BMG LabTech, </w:t>
      </w:r>
      <w:proofErr w:type="spellStart"/>
      <w:r w:rsidRPr="00C67322">
        <w:rPr>
          <w:rFonts w:ascii="Palatino Linotype" w:eastAsia="Times New Roman" w:hAnsi="Palatino Linotype" w:cs="Times New Roman"/>
          <w:snapToGrid w:val="0"/>
          <w:color w:val="000000"/>
          <w:sz w:val="20"/>
          <w:lang w:val="en-US" w:eastAsia="de-DE" w:bidi="en-US"/>
        </w:rPr>
        <w:t>Ortenberg</w:t>
      </w:r>
      <w:proofErr w:type="spellEnd"/>
      <w:r w:rsidRPr="00C67322">
        <w:rPr>
          <w:rFonts w:ascii="Palatino Linotype" w:eastAsia="Times New Roman" w:hAnsi="Palatino Linotype" w:cs="Times New Roman"/>
          <w:snapToGrid w:val="0"/>
          <w:color w:val="000000"/>
          <w:sz w:val="20"/>
          <w:lang w:val="en-US" w:eastAsia="de-DE" w:bidi="en-US"/>
        </w:rPr>
        <w:t>, Germany) following the manufacturer’s instructions. Infections with pSG3Δenv virus were used as negative control.</w:t>
      </w:r>
    </w:p>
    <w:p w:rsidR="00C67322" w:rsidRPr="00C67322" w:rsidRDefault="00C67322" w:rsidP="00C67322">
      <w:pPr>
        <w:adjustRightInd w:val="0"/>
        <w:snapToGrid w:val="0"/>
        <w:spacing w:before="240" w:after="60" w:line="228" w:lineRule="auto"/>
        <w:ind w:firstLine="426"/>
        <w:outlineLvl w:val="1"/>
        <w:rPr>
          <w:rFonts w:ascii="Palatino Linotype" w:eastAsia="Times New Roman" w:hAnsi="Palatino Linotype" w:cs="Times New Roman"/>
          <w:i/>
          <w:noProof/>
          <w:snapToGrid w:val="0"/>
          <w:color w:val="000000"/>
          <w:sz w:val="20"/>
          <w:lang w:val="en-US" w:eastAsia="de-DE" w:bidi="en-US"/>
        </w:rPr>
      </w:pPr>
      <w:r w:rsidRPr="00C67322">
        <w:rPr>
          <w:rFonts w:ascii="Palatino Linotype" w:eastAsia="Times New Roman" w:hAnsi="Palatino Linotype" w:cs="Times New Roman"/>
          <w:i/>
          <w:noProof/>
          <w:snapToGrid w:val="0"/>
          <w:color w:val="000000"/>
          <w:sz w:val="20"/>
          <w:lang w:val="en-US" w:eastAsia="de-DE" w:bidi="en-US"/>
        </w:rPr>
        <w:t xml:space="preserve">4.10. HIV-1 </w:t>
      </w:r>
      <w:r w:rsidRPr="00C67322">
        <w:rPr>
          <w:rFonts w:ascii="Palatino Linotype" w:eastAsia="Times New Roman" w:hAnsi="Palatino Linotype" w:cs="Times New Roman"/>
          <w:i/>
          <w:iCs/>
          <w:noProof/>
          <w:snapToGrid w:val="0"/>
          <w:color w:val="000000"/>
          <w:sz w:val="20"/>
          <w:lang w:val="en-US" w:eastAsia="de-DE" w:bidi="en-US"/>
        </w:rPr>
        <w:t>Trans</w:t>
      </w:r>
      <w:r w:rsidRPr="00C67322">
        <w:rPr>
          <w:rFonts w:ascii="Palatino Linotype" w:eastAsia="Times New Roman" w:hAnsi="Palatino Linotype" w:cs="Times New Roman"/>
          <w:i/>
          <w:noProof/>
          <w:snapToGrid w:val="0"/>
          <w:color w:val="000000"/>
          <w:sz w:val="20"/>
          <w:lang w:val="en-US" w:eastAsia="de-DE" w:bidi="en-US"/>
        </w:rPr>
        <w:t>-Infection</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One day prior to capture/transfer, 3 × 10</w:t>
      </w:r>
      <w:r w:rsidRPr="00C67322">
        <w:rPr>
          <w:rFonts w:ascii="Palatino Linotype" w:eastAsia="Times New Roman" w:hAnsi="Palatino Linotype" w:cs="Times New Roman"/>
          <w:snapToGrid w:val="0"/>
          <w:color w:val="000000"/>
          <w:sz w:val="20"/>
          <w:vertAlign w:val="superscript"/>
          <w:lang w:val="en-US" w:eastAsia="de-DE" w:bidi="en-US"/>
        </w:rPr>
        <w:t xml:space="preserve">4 </w:t>
      </w:r>
      <w:r w:rsidRPr="00C67322">
        <w:rPr>
          <w:rFonts w:ascii="Palatino Linotype" w:eastAsia="Times New Roman" w:hAnsi="Palatino Linotype" w:cs="Times New Roman"/>
          <w:snapToGrid w:val="0"/>
          <w:color w:val="000000"/>
          <w:sz w:val="20"/>
          <w:lang w:val="en-US" w:eastAsia="de-DE" w:bidi="en-US"/>
        </w:rPr>
        <w:t>TZM-bl cells per well were seeded on 96-well plates and cultured overnight. Prior virus capture, 0.5 × 10</w:t>
      </w:r>
      <w:r w:rsidRPr="00C67322">
        <w:rPr>
          <w:rFonts w:ascii="Palatino Linotype" w:eastAsia="Times New Roman" w:hAnsi="Palatino Linotype" w:cs="Times New Roman"/>
          <w:snapToGrid w:val="0"/>
          <w:color w:val="000000"/>
          <w:sz w:val="20"/>
          <w:vertAlign w:val="superscript"/>
          <w:lang w:val="en-US" w:eastAsia="de-DE" w:bidi="en-US"/>
        </w:rPr>
        <w:t>6</w:t>
      </w:r>
      <w:r w:rsidRPr="00C67322">
        <w:rPr>
          <w:rFonts w:ascii="Palatino Linotype" w:eastAsia="Times New Roman" w:hAnsi="Palatino Linotype" w:cs="Times New Roman"/>
          <w:snapToGrid w:val="0"/>
          <w:color w:val="000000"/>
          <w:sz w:val="20"/>
          <w:lang w:val="en-US" w:eastAsia="de-DE" w:bidi="en-US"/>
        </w:rPr>
        <w:t xml:space="preserve"> Raji DC-SIGN, </w:t>
      </w:r>
      <w:proofErr w:type="spellStart"/>
      <w:r w:rsidRPr="00C67322">
        <w:rPr>
          <w:rFonts w:ascii="Palatino Linotype" w:eastAsia="Times New Roman" w:hAnsi="Palatino Linotype" w:cs="Times New Roman"/>
          <w:snapToGrid w:val="0"/>
          <w:color w:val="000000"/>
          <w:sz w:val="20"/>
          <w:lang w:val="en-US" w:eastAsia="de-DE" w:bidi="en-US"/>
        </w:rPr>
        <w:t>iDCs</w:t>
      </w:r>
      <w:proofErr w:type="spellEnd"/>
      <w:r w:rsidRPr="00C67322">
        <w:rPr>
          <w:rFonts w:ascii="Palatino Linotype" w:eastAsia="Times New Roman" w:hAnsi="Palatino Linotype" w:cs="Times New Roman"/>
          <w:snapToGrid w:val="0"/>
          <w:color w:val="000000"/>
          <w:sz w:val="20"/>
          <w:lang w:val="en-US" w:eastAsia="de-DE" w:bidi="en-US"/>
        </w:rPr>
        <w:t xml:space="preserve"> or </w:t>
      </w:r>
      <w:proofErr w:type="spellStart"/>
      <w:r w:rsidRPr="00C67322">
        <w:rPr>
          <w:rFonts w:ascii="Palatino Linotype" w:eastAsia="Times New Roman" w:hAnsi="Palatino Linotype" w:cs="Times New Roman"/>
          <w:snapToGrid w:val="0"/>
          <w:color w:val="000000"/>
          <w:sz w:val="20"/>
          <w:lang w:val="en-US" w:eastAsia="de-DE" w:bidi="en-US"/>
        </w:rPr>
        <w:t>mDCs</w:t>
      </w:r>
      <w:proofErr w:type="spellEnd"/>
      <w:r w:rsidRPr="00C67322">
        <w:rPr>
          <w:rFonts w:ascii="Palatino Linotype" w:eastAsia="Times New Roman" w:hAnsi="Palatino Linotype" w:cs="Times New Roman"/>
          <w:snapToGrid w:val="0"/>
          <w:color w:val="000000"/>
          <w:sz w:val="20"/>
          <w:lang w:val="en-US" w:eastAsia="de-DE" w:bidi="en-US"/>
        </w:rPr>
        <w:t xml:space="preserve"> cells were pelleted and mixed with 100 </w:t>
      </w:r>
      <w:proofErr w:type="spellStart"/>
      <w:r w:rsidRPr="00C67322">
        <w:rPr>
          <w:rFonts w:ascii="Palatino Linotype" w:eastAsia="Times New Roman" w:hAnsi="Palatino Linotype" w:cs="Times New Roman"/>
          <w:snapToGrid w:val="0"/>
          <w:color w:val="000000"/>
          <w:sz w:val="20"/>
          <w:lang w:val="en-US" w:eastAsia="de-DE" w:bidi="en-US"/>
        </w:rPr>
        <w:t>μg</w:t>
      </w:r>
      <w:proofErr w:type="spellEnd"/>
      <w:r w:rsidRPr="00C67322">
        <w:rPr>
          <w:rFonts w:ascii="Palatino Linotype" w:eastAsia="Times New Roman" w:hAnsi="Palatino Linotype" w:cs="Times New Roman"/>
          <w:snapToGrid w:val="0"/>
          <w:color w:val="000000"/>
          <w:sz w:val="20"/>
          <w:lang w:val="en-US" w:eastAsia="de-DE" w:bidi="en-US"/>
        </w:rPr>
        <w:t xml:space="preserve"> of liposomes in RPMI-1640 suspension. After 30 min incubation at 37 °C 5% CO</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12.5 ng CA-p24 pSG3Δenv, 12.5 ng CA-p24 pSG3-LAI or 25 ng CA-p24 of pSG3-BAL were added to cells for 2 h at 37 °C 5% CO</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xml:space="preserve">. The cells were then washed 4× with cold PBS and re-suspended in 45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of DMEM containing 30 ng/mL of Dextran. Finally, 15 </w:t>
      </w:r>
      <w:proofErr w:type="spellStart"/>
      <w:r w:rsidRPr="00C67322">
        <w:rPr>
          <w:rFonts w:ascii="Palatino Linotype" w:eastAsia="Times New Roman" w:hAnsi="Palatino Linotype" w:cs="Times New Roman"/>
          <w:snapToGrid w:val="0"/>
          <w:color w:val="000000"/>
          <w:sz w:val="20"/>
          <w:lang w:val="en-US" w:eastAsia="de-DE" w:bidi="en-US"/>
        </w:rPr>
        <w:t>μL</w:t>
      </w:r>
      <w:proofErr w:type="spellEnd"/>
      <w:r w:rsidRPr="00C67322">
        <w:rPr>
          <w:rFonts w:ascii="Palatino Linotype" w:eastAsia="Times New Roman" w:hAnsi="Palatino Linotype" w:cs="Times New Roman"/>
          <w:snapToGrid w:val="0"/>
          <w:color w:val="000000"/>
          <w:sz w:val="20"/>
          <w:lang w:val="en-US" w:eastAsia="de-DE" w:bidi="en-US"/>
        </w:rPr>
        <w:t xml:space="preserve"> of the suspension was used per well to infect TZM-bl cells. After 48 h at 37 °C 5% CO</w:t>
      </w:r>
      <w:r w:rsidRPr="00C67322">
        <w:rPr>
          <w:rFonts w:ascii="Palatino Linotype" w:eastAsia="Times New Roman" w:hAnsi="Palatino Linotype" w:cs="Times New Roman"/>
          <w:snapToGrid w:val="0"/>
          <w:color w:val="000000"/>
          <w:sz w:val="20"/>
          <w:vertAlign w:val="subscript"/>
          <w:lang w:val="en-US" w:eastAsia="de-DE" w:bidi="en-US"/>
        </w:rPr>
        <w:t>2</w:t>
      </w:r>
      <w:r w:rsidRPr="00C67322">
        <w:rPr>
          <w:rFonts w:ascii="Palatino Linotype" w:eastAsia="Times New Roman" w:hAnsi="Palatino Linotype" w:cs="Times New Roman"/>
          <w:snapToGrid w:val="0"/>
          <w:color w:val="000000"/>
          <w:sz w:val="20"/>
          <w:lang w:val="en-US" w:eastAsia="de-DE" w:bidi="en-US"/>
        </w:rPr>
        <w:t>, the TZM-bl cells were lysed and luciferase activity measured as described above. Infection with pSG3Δenv virus were used as negative control.</w:t>
      </w:r>
    </w:p>
    <w:p w:rsidR="00C67322" w:rsidRPr="00C67322" w:rsidRDefault="00C67322" w:rsidP="00C67322">
      <w:pPr>
        <w:adjustRightInd w:val="0"/>
        <w:snapToGrid w:val="0"/>
        <w:spacing w:before="240" w:after="60" w:line="228" w:lineRule="auto"/>
        <w:ind w:firstLine="426"/>
        <w:outlineLvl w:val="1"/>
        <w:rPr>
          <w:rFonts w:ascii="Palatino Linotype" w:eastAsia="Times New Roman" w:hAnsi="Palatino Linotype" w:cs="Times New Roman"/>
          <w:i/>
          <w:noProof/>
          <w:snapToGrid w:val="0"/>
          <w:color w:val="000000"/>
          <w:sz w:val="20"/>
          <w:lang w:val="en-US" w:eastAsia="de-DE" w:bidi="en-US"/>
        </w:rPr>
      </w:pPr>
      <w:r w:rsidRPr="00C67322">
        <w:rPr>
          <w:rFonts w:ascii="Palatino Linotype" w:eastAsia="Times New Roman" w:hAnsi="Palatino Linotype" w:cs="Times New Roman"/>
          <w:i/>
          <w:noProof/>
          <w:snapToGrid w:val="0"/>
          <w:color w:val="000000"/>
          <w:sz w:val="20"/>
          <w:lang w:val="en-US" w:eastAsia="de-DE" w:bidi="en-US"/>
        </w:rPr>
        <w:t>4.11. Statistical Analysis</w:t>
      </w:r>
    </w:p>
    <w:p w:rsidR="00C67322" w:rsidRPr="00C67322" w:rsidRDefault="00C67322" w:rsidP="00C67322">
      <w:pPr>
        <w:adjustRightInd w:val="0"/>
        <w:snapToGrid w:val="0"/>
        <w:spacing w:after="0" w:line="228" w:lineRule="auto"/>
        <w:ind w:firstLine="426"/>
        <w:jc w:val="both"/>
        <w:rPr>
          <w:rFonts w:ascii="Palatino Linotype" w:eastAsia="Times New Roman" w:hAnsi="Palatino Linotype" w:cs="Times New Roman"/>
          <w:snapToGrid w:val="0"/>
          <w:color w:val="000000"/>
          <w:sz w:val="20"/>
          <w:lang w:val="en-US" w:eastAsia="de-DE" w:bidi="en-US"/>
        </w:rPr>
      </w:pPr>
      <w:r w:rsidRPr="00C67322">
        <w:rPr>
          <w:rFonts w:ascii="Palatino Linotype" w:eastAsia="Times New Roman" w:hAnsi="Palatino Linotype" w:cs="Times New Roman"/>
          <w:snapToGrid w:val="0"/>
          <w:color w:val="000000"/>
          <w:sz w:val="20"/>
          <w:lang w:val="en-US" w:eastAsia="de-DE" w:bidi="en-US"/>
        </w:rPr>
        <w:t xml:space="preserve">For all results, unpaired sample comparisons were performed using the non-parametric rank test Mann–Whitney and depict in Figures using the following: * for </w:t>
      </w:r>
      <w:r w:rsidRPr="00C67322">
        <w:rPr>
          <w:rFonts w:ascii="Palatino Linotype" w:eastAsia="Times New Roman" w:hAnsi="Palatino Linotype" w:cs="Times New Roman"/>
          <w:i/>
          <w:iCs/>
          <w:snapToGrid w:val="0"/>
          <w:color w:val="000000"/>
          <w:sz w:val="20"/>
          <w:lang w:val="en-US" w:eastAsia="de-DE" w:bidi="en-US"/>
        </w:rPr>
        <w:t>p-</w:t>
      </w:r>
      <w:r w:rsidRPr="00C67322">
        <w:rPr>
          <w:rFonts w:ascii="Palatino Linotype" w:eastAsia="Times New Roman" w:hAnsi="Palatino Linotype" w:cs="Times New Roman"/>
          <w:snapToGrid w:val="0"/>
          <w:color w:val="000000"/>
          <w:sz w:val="20"/>
          <w:lang w:val="en-US" w:eastAsia="de-DE" w:bidi="en-US"/>
        </w:rPr>
        <w:t xml:space="preserve">value &lt; 0.05, ** for </w:t>
      </w:r>
      <w:r w:rsidRPr="00C67322">
        <w:rPr>
          <w:rFonts w:ascii="Palatino Linotype" w:eastAsia="Times New Roman" w:hAnsi="Palatino Linotype" w:cs="Times New Roman"/>
          <w:i/>
          <w:iCs/>
          <w:snapToGrid w:val="0"/>
          <w:color w:val="000000"/>
          <w:sz w:val="20"/>
          <w:lang w:val="en-US" w:eastAsia="de-DE" w:bidi="en-US"/>
        </w:rPr>
        <w:t>p-</w:t>
      </w:r>
      <w:r w:rsidRPr="00C67322">
        <w:rPr>
          <w:rFonts w:ascii="Palatino Linotype" w:eastAsia="Times New Roman" w:hAnsi="Palatino Linotype" w:cs="Times New Roman"/>
          <w:snapToGrid w:val="0"/>
          <w:color w:val="000000"/>
          <w:sz w:val="20"/>
          <w:lang w:val="en-US" w:eastAsia="de-DE" w:bidi="en-US"/>
        </w:rPr>
        <w:t xml:space="preserve">value &lt; 0.01, *** for </w:t>
      </w:r>
      <w:r w:rsidRPr="00C67322">
        <w:rPr>
          <w:rFonts w:ascii="Palatino Linotype" w:eastAsia="Times New Roman" w:hAnsi="Palatino Linotype" w:cs="Times New Roman"/>
          <w:i/>
          <w:iCs/>
          <w:snapToGrid w:val="0"/>
          <w:color w:val="000000"/>
          <w:sz w:val="20"/>
          <w:lang w:val="en-US" w:eastAsia="de-DE" w:bidi="en-US"/>
        </w:rPr>
        <w:t>p-</w:t>
      </w:r>
      <w:r w:rsidRPr="00C67322">
        <w:rPr>
          <w:rFonts w:ascii="Palatino Linotype" w:eastAsia="Times New Roman" w:hAnsi="Palatino Linotype" w:cs="Times New Roman"/>
          <w:snapToGrid w:val="0"/>
          <w:color w:val="000000"/>
          <w:sz w:val="20"/>
          <w:lang w:val="en-US" w:eastAsia="de-DE" w:bidi="en-US"/>
        </w:rPr>
        <w:t xml:space="preserve">value &lt; 0.001, **** for </w:t>
      </w:r>
      <w:r w:rsidRPr="00C67322">
        <w:rPr>
          <w:rFonts w:ascii="Palatino Linotype" w:eastAsia="Times New Roman" w:hAnsi="Palatino Linotype" w:cs="Times New Roman"/>
          <w:i/>
          <w:iCs/>
          <w:snapToGrid w:val="0"/>
          <w:color w:val="000000"/>
          <w:sz w:val="20"/>
          <w:lang w:val="en-US" w:eastAsia="de-DE" w:bidi="en-US"/>
        </w:rPr>
        <w:t>p-</w:t>
      </w:r>
      <w:r w:rsidRPr="00C67322">
        <w:rPr>
          <w:rFonts w:ascii="Palatino Linotype" w:eastAsia="Times New Roman" w:hAnsi="Palatino Linotype" w:cs="Times New Roman"/>
          <w:snapToGrid w:val="0"/>
          <w:color w:val="000000"/>
          <w:sz w:val="20"/>
          <w:lang w:val="en-US" w:eastAsia="de-DE" w:bidi="en-US"/>
        </w:rPr>
        <w:t>value &lt; 0.0001. Data are represented in boxplot where the box extends from the 25th and 75th percentiles, the median is plotted at the line in the middle of the box, the whiskers represent the minimum and maximum value. All statistical analyses were performed with the Prism software.</w:t>
      </w:r>
    </w:p>
    <w:p w:rsidR="005C3D3A" w:rsidRPr="005C3D3A" w:rsidRDefault="005C3D3A" w:rsidP="005C3D3A">
      <w:pPr>
        <w:adjustRightInd w:val="0"/>
        <w:snapToGrid w:val="0"/>
        <w:spacing w:before="240" w:after="120" w:line="228" w:lineRule="auto"/>
        <w:jc w:val="both"/>
        <w:rPr>
          <w:rFonts w:ascii="Palatino Linotype" w:eastAsia="Times New Roman" w:hAnsi="Palatino Linotype" w:cs="Times New Roman"/>
          <w:snapToGrid w:val="0"/>
          <w:color w:val="000000"/>
          <w:sz w:val="18"/>
          <w:szCs w:val="20"/>
          <w:lang w:val="en-US" w:bidi="en-US"/>
        </w:rPr>
      </w:pPr>
      <w:r w:rsidRPr="005C3D3A">
        <w:rPr>
          <w:rFonts w:ascii="Palatino Linotype" w:eastAsia="Times New Roman" w:hAnsi="Palatino Linotype" w:cs="Times New Roman"/>
          <w:b/>
          <w:snapToGrid w:val="0"/>
          <w:color w:val="000000"/>
          <w:sz w:val="18"/>
          <w:szCs w:val="20"/>
          <w:lang w:val="en-US" w:bidi="en-US"/>
        </w:rPr>
        <w:lastRenderedPageBreak/>
        <w:t>Supplementary Materials:</w:t>
      </w:r>
      <w:r w:rsidRPr="005C3D3A">
        <w:rPr>
          <w:rFonts w:ascii="Palatino Linotype" w:eastAsia="Times New Roman" w:hAnsi="Palatino Linotype" w:cs="Times New Roman"/>
          <w:snapToGrid w:val="0"/>
          <w:color w:val="000000"/>
          <w:sz w:val="18"/>
          <w:szCs w:val="20"/>
          <w:lang w:val="en-US" w:bidi="en-US"/>
        </w:rPr>
        <w:t xml:space="preserve"> The following are available online at www.mdpi.com/xxx/s1, Figure S1: Viability of TZM-bl with 0.8PC:0.2Ch liposomes, Figure S2: Influence of PC and Ch in liposome composition on HIV-1 </w:t>
      </w:r>
      <w:r w:rsidRPr="005C3D3A">
        <w:rPr>
          <w:rFonts w:ascii="Palatino Linotype" w:eastAsia="Times New Roman" w:hAnsi="Palatino Linotype" w:cs="Times New Roman"/>
          <w:i/>
          <w:iCs/>
          <w:snapToGrid w:val="0"/>
          <w:color w:val="000000"/>
          <w:sz w:val="18"/>
          <w:szCs w:val="20"/>
          <w:lang w:val="en-US" w:bidi="en-US"/>
        </w:rPr>
        <w:t>cis</w:t>
      </w:r>
      <w:r w:rsidRPr="005C3D3A">
        <w:rPr>
          <w:rFonts w:ascii="Palatino Linotype" w:eastAsia="Times New Roman" w:hAnsi="Palatino Linotype" w:cs="Times New Roman"/>
          <w:snapToGrid w:val="0"/>
          <w:color w:val="000000"/>
          <w:sz w:val="18"/>
          <w:szCs w:val="20"/>
          <w:lang w:val="en-US" w:bidi="en-US"/>
        </w:rPr>
        <w:t xml:space="preserve">-infection, Figure S3: Thin-layer chromatography analyses of H37Rv Fractions, Figure S4: HIV-1 </w:t>
      </w:r>
      <w:r w:rsidRPr="005C3D3A">
        <w:rPr>
          <w:rFonts w:ascii="Palatino Linotype" w:eastAsia="Times New Roman" w:hAnsi="Palatino Linotype" w:cs="Times New Roman"/>
          <w:i/>
          <w:iCs/>
          <w:snapToGrid w:val="0"/>
          <w:color w:val="000000"/>
          <w:sz w:val="18"/>
          <w:szCs w:val="20"/>
          <w:lang w:val="en-US" w:bidi="en-US"/>
        </w:rPr>
        <w:t>trans</w:t>
      </w:r>
      <w:r w:rsidRPr="005C3D3A">
        <w:rPr>
          <w:rFonts w:ascii="Palatino Linotype" w:eastAsia="Times New Roman" w:hAnsi="Palatino Linotype" w:cs="Times New Roman"/>
          <w:snapToGrid w:val="0"/>
          <w:color w:val="000000"/>
          <w:sz w:val="18"/>
          <w:szCs w:val="20"/>
          <w:lang w:val="en-US" w:bidi="en-US"/>
        </w:rPr>
        <w:t>-infection on TZM-bl cells in presence of mannan.</w:t>
      </w:r>
    </w:p>
    <w:p w:rsidR="005C3D3A" w:rsidRPr="005C3D3A" w:rsidRDefault="005C3D3A" w:rsidP="005C3D3A">
      <w:pPr>
        <w:adjustRightInd w:val="0"/>
        <w:snapToGrid w:val="0"/>
        <w:spacing w:after="120" w:line="228" w:lineRule="auto"/>
        <w:jc w:val="both"/>
        <w:rPr>
          <w:rFonts w:ascii="Palatino Linotype" w:eastAsia="Times New Roman" w:hAnsi="Palatino Linotype" w:cs="Times New Roman"/>
          <w:b/>
          <w:snapToGrid w:val="0"/>
          <w:color w:val="000000"/>
          <w:sz w:val="18"/>
          <w:szCs w:val="20"/>
          <w:lang w:val="en-US" w:bidi="en-US"/>
        </w:rPr>
      </w:pPr>
      <w:r w:rsidRPr="005C3D3A">
        <w:rPr>
          <w:rFonts w:ascii="Palatino Linotype" w:eastAsia="Times New Roman" w:hAnsi="Palatino Linotype" w:cs="Times New Roman"/>
          <w:b/>
          <w:snapToGrid w:val="0"/>
          <w:color w:val="000000"/>
          <w:sz w:val="18"/>
          <w:szCs w:val="20"/>
          <w:lang w:val="en-US" w:bidi="en-US"/>
        </w:rPr>
        <w:t xml:space="preserve">Author Contributions: </w:t>
      </w:r>
      <w:r w:rsidRPr="005C3D3A">
        <w:rPr>
          <w:rFonts w:ascii="Palatino Linotype" w:eastAsia="Times New Roman" w:hAnsi="Palatino Linotype" w:cs="Times New Roman"/>
          <w:snapToGrid w:val="0"/>
          <w:color w:val="000000"/>
          <w:sz w:val="18"/>
          <w:szCs w:val="20"/>
          <w:lang w:val="en-US" w:bidi="en-US"/>
        </w:rPr>
        <w:t>Conceptualization, G.P., W.A.P., G.S.B., A.B. and R.J.W.; performed experiments, M.P., A.R., J.T., A.K. and A.K.C.; data analysis, G.P., W.A.P., M.P., A.R. and A.B.; writing initial manuscript, M.P., manuscript review and editing performed by all authors. All authors have read and agreed to the published version of the manuscript.</w:t>
      </w:r>
    </w:p>
    <w:p w:rsidR="005C3D3A" w:rsidRPr="005C3D3A" w:rsidRDefault="005C3D3A" w:rsidP="005C3D3A">
      <w:pPr>
        <w:adjustRightInd w:val="0"/>
        <w:snapToGrid w:val="0"/>
        <w:spacing w:after="120" w:line="228" w:lineRule="auto"/>
        <w:jc w:val="both"/>
        <w:rPr>
          <w:rFonts w:ascii="Palatino Linotype" w:eastAsia="Times New Roman" w:hAnsi="Palatino Linotype" w:cs="Times New Roman"/>
          <w:snapToGrid w:val="0"/>
          <w:color w:val="000000"/>
          <w:sz w:val="18"/>
          <w:szCs w:val="20"/>
          <w:lang w:val="en-US" w:bidi="en-US"/>
        </w:rPr>
      </w:pPr>
      <w:r w:rsidRPr="005C3D3A">
        <w:rPr>
          <w:rFonts w:ascii="Palatino Linotype" w:eastAsia="Times New Roman" w:hAnsi="Palatino Linotype" w:cs="Times New Roman"/>
          <w:b/>
          <w:snapToGrid w:val="0"/>
          <w:color w:val="000000"/>
          <w:sz w:val="18"/>
          <w:szCs w:val="20"/>
          <w:lang w:val="en-US" w:bidi="en-US"/>
        </w:rPr>
        <w:t xml:space="preserve">Funding: </w:t>
      </w:r>
      <w:r w:rsidRPr="005C3D3A">
        <w:rPr>
          <w:rFonts w:ascii="Palatino Linotype" w:eastAsia="Times New Roman" w:hAnsi="Palatino Linotype" w:cs="Times New Roman"/>
          <w:snapToGrid w:val="0"/>
          <w:color w:val="000000"/>
          <w:sz w:val="18"/>
          <w:szCs w:val="20"/>
          <w:lang w:val="en-US" w:bidi="en-US"/>
        </w:rPr>
        <w:t xml:space="preserve">The project was funded through the European Community’s Seventh Framework </w:t>
      </w:r>
      <w:proofErr w:type="spellStart"/>
      <w:r w:rsidRPr="005C3D3A">
        <w:rPr>
          <w:rFonts w:ascii="Palatino Linotype" w:eastAsia="Times New Roman" w:hAnsi="Palatino Linotype" w:cs="Times New Roman"/>
          <w:snapToGrid w:val="0"/>
          <w:color w:val="000000"/>
          <w:sz w:val="18"/>
          <w:szCs w:val="20"/>
          <w:lang w:val="en-US" w:bidi="en-US"/>
        </w:rPr>
        <w:t>Programme</w:t>
      </w:r>
      <w:proofErr w:type="spellEnd"/>
      <w:r w:rsidRPr="005C3D3A">
        <w:rPr>
          <w:rFonts w:ascii="Palatino Linotype" w:eastAsia="Times New Roman" w:hAnsi="Palatino Linotype" w:cs="Times New Roman"/>
          <w:snapToGrid w:val="0"/>
          <w:color w:val="000000"/>
          <w:sz w:val="18"/>
          <w:szCs w:val="20"/>
          <w:lang w:val="en-US" w:bidi="en-US"/>
        </w:rPr>
        <w:t xml:space="preserve"> under grant agreement nr. HEALTH-F3-2012-305578 (</w:t>
      </w:r>
      <w:proofErr w:type="spellStart"/>
      <w:r w:rsidRPr="005C3D3A">
        <w:rPr>
          <w:rFonts w:ascii="Palatino Linotype" w:eastAsia="Times New Roman" w:hAnsi="Palatino Linotype" w:cs="Times New Roman"/>
          <w:snapToGrid w:val="0"/>
          <w:color w:val="000000"/>
          <w:sz w:val="18"/>
          <w:szCs w:val="20"/>
          <w:lang w:val="en-US" w:bidi="en-US"/>
        </w:rPr>
        <w:t>PathCo</w:t>
      </w:r>
      <w:proofErr w:type="spellEnd"/>
      <w:r w:rsidRPr="005C3D3A">
        <w:rPr>
          <w:rFonts w:ascii="Palatino Linotype" w:eastAsia="Times New Roman" w:hAnsi="Palatino Linotype" w:cs="Times New Roman"/>
          <w:snapToGrid w:val="0"/>
          <w:color w:val="000000"/>
          <w:sz w:val="18"/>
          <w:szCs w:val="20"/>
          <w:lang w:val="en-US" w:bidi="en-US"/>
        </w:rPr>
        <w:t xml:space="preserve">). RJW receives supports from Francis Crick Institute which is funded by UKRI (FC0010218), CRUK (FC0010218 and </w:t>
      </w:r>
      <w:proofErr w:type="spellStart"/>
      <w:r w:rsidRPr="005C3D3A">
        <w:rPr>
          <w:rFonts w:ascii="Palatino Linotype" w:eastAsia="Times New Roman" w:hAnsi="Palatino Linotype" w:cs="Times New Roman"/>
          <w:snapToGrid w:val="0"/>
          <w:color w:val="000000"/>
          <w:sz w:val="18"/>
          <w:szCs w:val="20"/>
          <w:lang w:val="en-US" w:bidi="en-US"/>
        </w:rPr>
        <w:t>Wellcome</w:t>
      </w:r>
      <w:proofErr w:type="spellEnd"/>
      <w:r w:rsidRPr="005C3D3A">
        <w:rPr>
          <w:rFonts w:ascii="Palatino Linotype" w:eastAsia="Times New Roman" w:hAnsi="Palatino Linotype" w:cs="Times New Roman"/>
          <w:snapToGrid w:val="0"/>
          <w:color w:val="000000"/>
          <w:sz w:val="18"/>
          <w:szCs w:val="20"/>
          <w:lang w:val="en-US" w:bidi="en-US"/>
        </w:rPr>
        <w:t xml:space="preserve"> (FC0010218). He also receives support from </w:t>
      </w:r>
      <w:proofErr w:type="spellStart"/>
      <w:r w:rsidRPr="005C3D3A">
        <w:rPr>
          <w:rFonts w:ascii="Palatino Linotype" w:eastAsia="Times New Roman" w:hAnsi="Palatino Linotype" w:cs="Times New Roman"/>
          <w:snapToGrid w:val="0"/>
          <w:color w:val="000000"/>
          <w:sz w:val="18"/>
          <w:szCs w:val="20"/>
          <w:lang w:val="en-US" w:bidi="en-US"/>
        </w:rPr>
        <w:t>Wellcome</w:t>
      </w:r>
      <w:proofErr w:type="spellEnd"/>
      <w:r w:rsidRPr="005C3D3A">
        <w:rPr>
          <w:rFonts w:ascii="Palatino Linotype" w:eastAsia="Times New Roman" w:hAnsi="Palatino Linotype" w:cs="Times New Roman"/>
          <w:snapToGrid w:val="0"/>
          <w:color w:val="000000"/>
          <w:sz w:val="18"/>
          <w:szCs w:val="20"/>
          <w:lang w:val="en-US" w:bidi="en-US"/>
        </w:rPr>
        <w:t xml:space="preserve"> (104803; 203135).</w:t>
      </w:r>
    </w:p>
    <w:p w:rsidR="005C3D3A" w:rsidRPr="005C3D3A" w:rsidRDefault="005C3D3A" w:rsidP="005C3D3A">
      <w:pPr>
        <w:adjustRightInd w:val="0"/>
        <w:snapToGrid w:val="0"/>
        <w:spacing w:after="120" w:line="228" w:lineRule="auto"/>
        <w:jc w:val="both"/>
        <w:rPr>
          <w:rFonts w:ascii="Palatino Linotype" w:eastAsia="Times New Roman" w:hAnsi="Palatino Linotype" w:cs="Times New Roman"/>
          <w:snapToGrid w:val="0"/>
          <w:color w:val="000000"/>
          <w:sz w:val="18"/>
          <w:szCs w:val="20"/>
          <w:lang w:val="en-US" w:bidi="en-US"/>
        </w:rPr>
      </w:pPr>
      <w:r w:rsidRPr="005C3D3A">
        <w:rPr>
          <w:rFonts w:ascii="Palatino Linotype" w:eastAsia="Times New Roman" w:hAnsi="Palatino Linotype" w:cs="Times New Roman"/>
          <w:b/>
          <w:snapToGrid w:val="0"/>
          <w:color w:val="000000"/>
          <w:sz w:val="18"/>
          <w:szCs w:val="20"/>
          <w:lang w:val="en-US" w:bidi="en-US"/>
        </w:rPr>
        <w:t xml:space="preserve">Institutional Review Board Statement: </w:t>
      </w:r>
      <w:r w:rsidRPr="005C3D3A">
        <w:rPr>
          <w:rFonts w:ascii="Palatino Linotype" w:eastAsia="Times New Roman" w:hAnsi="Palatino Linotype" w:cs="Times New Roman"/>
          <w:bCs/>
          <w:snapToGrid w:val="0"/>
          <w:color w:val="000000"/>
          <w:sz w:val="18"/>
          <w:szCs w:val="20"/>
          <w:lang w:val="en-US" w:bidi="en-US"/>
        </w:rPr>
        <w:t xml:space="preserve">Cells were obtained from blood drawn from healthy individuals within the Institute of Infection and Global Health, the University of Liverpool. This study has been conducted in accordance with the ethical principles set out in the declaration of Helsinki and was approved by the institutional review board of the University of Liverpool. </w:t>
      </w:r>
    </w:p>
    <w:p w:rsidR="005C3D3A" w:rsidRPr="005C3D3A" w:rsidRDefault="005C3D3A" w:rsidP="005C3D3A">
      <w:pPr>
        <w:adjustRightInd w:val="0"/>
        <w:snapToGrid w:val="0"/>
        <w:spacing w:after="120" w:line="228" w:lineRule="auto"/>
        <w:jc w:val="both"/>
        <w:rPr>
          <w:rFonts w:ascii="Palatino Linotype" w:eastAsia="Times New Roman" w:hAnsi="Palatino Linotype" w:cs="Times New Roman"/>
          <w:snapToGrid w:val="0"/>
          <w:color w:val="000000"/>
          <w:sz w:val="18"/>
          <w:szCs w:val="20"/>
          <w:lang w:val="en-US" w:bidi="en-US"/>
        </w:rPr>
      </w:pPr>
      <w:r w:rsidRPr="005C3D3A">
        <w:rPr>
          <w:rFonts w:ascii="Palatino Linotype" w:eastAsia="Times New Roman" w:hAnsi="Palatino Linotype" w:cs="Times New Roman"/>
          <w:b/>
          <w:snapToGrid w:val="0"/>
          <w:color w:val="000000"/>
          <w:sz w:val="18"/>
          <w:szCs w:val="20"/>
          <w:lang w:val="en-US" w:bidi="en-US"/>
        </w:rPr>
        <w:t xml:space="preserve">Informed Consent Statement: </w:t>
      </w:r>
      <w:r w:rsidRPr="005C3D3A">
        <w:rPr>
          <w:rFonts w:ascii="Palatino Linotype" w:eastAsia="Times New Roman" w:hAnsi="Palatino Linotype" w:cs="Times New Roman"/>
          <w:bCs/>
          <w:snapToGrid w:val="0"/>
          <w:color w:val="000000"/>
          <w:sz w:val="18"/>
          <w:szCs w:val="20"/>
          <w:lang w:val="en-US" w:bidi="en-US"/>
        </w:rPr>
        <w:t>Written informed consent was obtained from all participants.</w:t>
      </w:r>
    </w:p>
    <w:p w:rsidR="005C3D3A" w:rsidRPr="005C3D3A" w:rsidRDefault="005C3D3A" w:rsidP="005C3D3A">
      <w:pPr>
        <w:adjustRightInd w:val="0"/>
        <w:snapToGrid w:val="0"/>
        <w:spacing w:after="120" w:line="228" w:lineRule="auto"/>
        <w:jc w:val="both"/>
        <w:rPr>
          <w:rFonts w:ascii="Palatino Linotype" w:eastAsia="Times New Roman" w:hAnsi="Palatino Linotype" w:cs="Times New Roman"/>
          <w:bCs/>
          <w:snapToGrid w:val="0"/>
          <w:color w:val="000000"/>
          <w:sz w:val="18"/>
          <w:szCs w:val="20"/>
          <w:lang w:val="en-US" w:bidi="en-US"/>
        </w:rPr>
      </w:pPr>
      <w:r w:rsidRPr="005C3D3A">
        <w:rPr>
          <w:rFonts w:ascii="Palatino Linotype" w:eastAsia="Times New Roman" w:hAnsi="Palatino Linotype" w:cs="Times New Roman"/>
          <w:b/>
          <w:snapToGrid w:val="0"/>
          <w:color w:val="000000"/>
          <w:sz w:val="18"/>
          <w:szCs w:val="20"/>
          <w:lang w:val="en-US" w:bidi="en-US"/>
        </w:rPr>
        <w:t xml:space="preserve">Data Availability Statement: </w:t>
      </w:r>
      <w:r w:rsidRPr="005C3D3A">
        <w:rPr>
          <w:rFonts w:ascii="Palatino Linotype" w:eastAsia="Times New Roman" w:hAnsi="Palatino Linotype" w:cs="Times New Roman"/>
          <w:bCs/>
          <w:snapToGrid w:val="0"/>
          <w:color w:val="000000"/>
          <w:sz w:val="18"/>
          <w:szCs w:val="20"/>
          <w:lang w:val="en-US" w:bidi="en-US"/>
        </w:rPr>
        <w:t>Data available on request.</w:t>
      </w:r>
    </w:p>
    <w:p w:rsidR="005C3D3A" w:rsidRPr="005C3D3A" w:rsidRDefault="005C3D3A" w:rsidP="005C3D3A">
      <w:pPr>
        <w:adjustRightInd w:val="0"/>
        <w:snapToGrid w:val="0"/>
        <w:spacing w:after="120" w:line="228" w:lineRule="auto"/>
        <w:jc w:val="both"/>
        <w:rPr>
          <w:rFonts w:ascii="Palatino Linotype" w:eastAsia="Times New Roman" w:hAnsi="Palatino Linotype" w:cs="Times New Roman"/>
          <w:b/>
          <w:snapToGrid w:val="0"/>
          <w:color w:val="000000"/>
          <w:sz w:val="18"/>
          <w:szCs w:val="20"/>
          <w:lang w:val="en-US" w:bidi="en-US"/>
        </w:rPr>
      </w:pPr>
      <w:r w:rsidRPr="005C3D3A">
        <w:rPr>
          <w:rFonts w:ascii="Palatino Linotype" w:eastAsia="Times New Roman" w:hAnsi="Palatino Linotype" w:cs="Times New Roman"/>
          <w:b/>
          <w:bCs/>
          <w:snapToGrid w:val="0"/>
          <w:sz w:val="18"/>
          <w:szCs w:val="20"/>
          <w:lang w:val="en-US" w:bidi="en-US"/>
        </w:rPr>
        <w:t>Acknowledgments</w:t>
      </w:r>
      <w:r w:rsidRPr="005C3D3A">
        <w:rPr>
          <w:rFonts w:ascii="Palatino Linotype" w:eastAsia="Times New Roman" w:hAnsi="Palatino Linotype" w:cs="Times New Roman"/>
          <w:b/>
          <w:snapToGrid w:val="0"/>
          <w:color w:val="000000"/>
          <w:sz w:val="18"/>
          <w:szCs w:val="24"/>
          <w:lang w:val="en-US" w:bidi="en-US"/>
        </w:rPr>
        <w:t xml:space="preserve">: </w:t>
      </w:r>
      <w:r w:rsidRPr="005C3D3A">
        <w:rPr>
          <w:rFonts w:ascii="Palatino Linotype" w:eastAsia="Times New Roman" w:hAnsi="Palatino Linotype" w:cs="Times New Roman"/>
          <w:snapToGrid w:val="0"/>
          <w:color w:val="000000"/>
          <w:sz w:val="18"/>
          <w:szCs w:val="20"/>
          <w:lang w:val="en-US" w:bidi="en-US"/>
        </w:rPr>
        <w:t xml:space="preserve">We thank </w:t>
      </w:r>
      <w:proofErr w:type="spellStart"/>
      <w:r w:rsidRPr="005C3D3A">
        <w:rPr>
          <w:rFonts w:ascii="Palatino Linotype" w:eastAsia="Times New Roman" w:hAnsi="Palatino Linotype" w:cs="Times New Roman"/>
          <w:snapToGrid w:val="0"/>
          <w:color w:val="000000"/>
          <w:sz w:val="18"/>
          <w:szCs w:val="20"/>
          <w:lang w:val="en-US" w:bidi="en-US"/>
        </w:rPr>
        <w:t>Albel</w:t>
      </w:r>
      <w:proofErr w:type="spellEnd"/>
      <w:r w:rsidRPr="005C3D3A">
        <w:rPr>
          <w:rFonts w:ascii="Palatino Linotype" w:eastAsia="Times New Roman" w:hAnsi="Palatino Linotype" w:cs="Times New Roman"/>
          <w:snapToGrid w:val="0"/>
          <w:color w:val="000000"/>
          <w:sz w:val="18"/>
          <w:szCs w:val="20"/>
          <w:lang w:val="en-US" w:bidi="en-US"/>
        </w:rPr>
        <w:t xml:space="preserve"> Singh (University of Birmingham) for technical support.</w:t>
      </w:r>
    </w:p>
    <w:p w:rsidR="005C3D3A" w:rsidRPr="005C3D3A" w:rsidRDefault="005C3D3A" w:rsidP="005C3D3A">
      <w:pPr>
        <w:adjustRightInd w:val="0"/>
        <w:snapToGrid w:val="0"/>
        <w:spacing w:after="120" w:line="228" w:lineRule="auto"/>
        <w:jc w:val="both"/>
        <w:rPr>
          <w:rFonts w:ascii="Palatino Linotype" w:eastAsia="Times New Roman" w:hAnsi="Palatino Linotype" w:cs="Times New Roman"/>
          <w:b/>
          <w:snapToGrid w:val="0"/>
          <w:color w:val="000000"/>
          <w:sz w:val="18"/>
          <w:szCs w:val="20"/>
          <w:lang w:val="en-US" w:bidi="en-US"/>
        </w:rPr>
      </w:pPr>
      <w:r w:rsidRPr="005C3D3A">
        <w:rPr>
          <w:rFonts w:ascii="Palatino Linotype" w:eastAsia="Times New Roman" w:hAnsi="Palatino Linotype" w:cs="Times New Roman"/>
          <w:b/>
          <w:snapToGrid w:val="0"/>
          <w:color w:val="000000"/>
          <w:sz w:val="18"/>
          <w:szCs w:val="20"/>
          <w:lang w:val="en-US" w:bidi="en-US"/>
        </w:rPr>
        <w:t xml:space="preserve">Conflicts of Interest: </w:t>
      </w:r>
      <w:r w:rsidRPr="005C3D3A">
        <w:rPr>
          <w:rFonts w:ascii="Palatino Linotype" w:eastAsia="Times New Roman" w:hAnsi="Palatino Linotype" w:cs="Times New Roman"/>
          <w:snapToGrid w:val="0"/>
          <w:color w:val="000000"/>
          <w:sz w:val="18"/>
          <w:szCs w:val="20"/>
          <w:lang w:val="en-US" w:bidi="en-US"/>
        </w:rPr>
        <w:t>The authors declare no conflict of interest.</w:t>
      </w:r>
    </w:p>
    <w:p w:rsidR="005C3D3A" w:rsidRPr="005C3D3A" w:rsidRDefault="005C3D3A" w:rsidP="005C3D3A">
      <w:pPr>
        <w:adjustRightInd w:val="0"/>
        <w:snapToGrid w:val="0"/>
        <w:spacing w:before="240" w:after="60" w:line="228" w:lineRule="auto"/>
        <w:outlineLvl w:val="0"/>
        <w:rPr>
          <w:rFonts w:ascii="Palatino Linotype" w:eastAsia="Times New Roman" w:hAnsi="Palatino Linotype" w:cs="Times New Roman"/>
          <w:b/>
          <w:snapToGrid w:val="0"/>
          <w:color w:val="000000"/>
          <w:sz w:val="20"/>
          <w:lang w:val="en-US" w:eastAsia="de-DE" w:bidi="en-US"/>
        </w:rPr>
      </w:pPr>
      <w:r w:rsidRPr="005C3D3A">
        <w:rPr>
          <w:rFonts w:ascii="Palatino Linotype" w:eastAsia="Times New Roman" w:hAnsi="Palatino Linotype" w:cs="Times New Roman"/>
          <w:b/>
          <w:snapToGrid w:val="0"/>
          <w:color w:val="000000"/>
          <w:sz w:val="20"/>
          <w:lang w:val="en-US" w:eastAsia="de-DE" w:bidi="en-US"/>
        </w:rPr>
        <w:t>Abbreviations</w:t>
      </w:r>
    </w:p>
    <w:tbl>
      <w:tblPr>
        <w:tblW w:w="7859" w:type="dxa"/>
        <w:tblInd w:w="2608" w:type="dxa"/>
        <w:tblLook w:val="04A0" w:firstRow="1" w:lastRow="0" w:firstColumn="1" w:lastColumn="0" w:noHBand="0" w:noVBand="1"/>
      </w:tblPr>
      <w:tblGrid>
        <w:gridCol w:w="961"/>
        <w:gridCol w:w="6898"/>
      </w:tblGrid>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AG</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Arabinogalactan</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BCG</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proofErr w:type="spellStart"/>
            <w:r w:rsidRPr="005C3D3A">
              <w:rPr>
                <w:rFonts w:ascii="Palatino Linotype" w:eastAsia="Times New Roman" w:hAnsi="Palatino Linotype" w:cs="Times New Roman"/>
                <w:color w:val="000000"/>
                <w:sz w:val="18"/>
                <w:szCs w:val="18"/>
                <w:lang w:val="en-US" w:eastAsia="de-DE" w:bidi="en-US"/>
              </w:rPr>
              <w:t>Bacille</w:t>
            </w:r>
            <w:proofErr w:type="spellEnd"/>
            <w:r w:rsidRPr="005C3D3A">
              <w:rPr>
                <w:rFonts w:ascii="Palatino Linotype" w:eastAsia="Times New Roman" w:hAnsi="Palatino Linotype" w:cs="Times New Roman"/>
                <w:color w:val="000000"/>
                <w:sz w:val="18"/>
                <w:szCs w:val="18"/>
                <w:lang w:val="en-US" w:eastAsia="de-DE" w:bidi="en-US"/>
              </w:rPr>
              <w:t xml:space="preserve"> Calmette Guerin</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 xml:space="preserve">CCR5 </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CC chemokine receptor 5</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Ch</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Cholesterol</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CXCR4</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CXC chemokine receptor 4</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DC</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Dendritic cell</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DC-SIGN</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Dendritic cell-specific ICAM-3-grabbing non-integrin</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HIV-1</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Human Immunodeficiency Virus type 1</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proofErr w:type="spellStart"/>
            <w:r w:rsidRPr="005C3D3A">
              <w:rPr>
                <w:rFonts w:ascii="Palatino Linotype" w:eastAsia="Times New Roman" w:hAnsi="Palatino Linotype" w:cs="Times New Roman"/>
                <w:color w:val="000000"/>
                <w:sz w:val="18"/>
                <w:szCs w:val="18"/>
                <w:lang w:val="en-US" w:eastAsia="de-DE" w:bidi="en-US"/>
              </w:rPr>
              <w:t>iDC</w:t>
            </w:r>
            <w:proofErr w:type="spellEnd"/>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Immature dendritic cell</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LAM</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lipoarabinomannan</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LM</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lipomannan</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LTR</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Long Terminal Repeat</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MA</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Mycolic acids</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proofErr w:type="spellStart"/>
            <w:r w:rsidRPr="005C3D3A">
              <w:rPr>
                <w:rFonts w:ascii="Palatino Linotype" w:eastAsia="Times New Roman" w:hAnsi="Palatino Linotype" w:cs="Times New Roman"/>
                <w:color w:val="000000"/>
                <w:sz w:val="18"/>
                <w:szCs w:val="18"/>
                <w:lang w:val="en-US" w:eastAsia="de-DE" w:bidi="en-US"/>
              </w:rPr>
              <w:t>Mincle</w:t>
            </w:r>
            <w:proofErr w:type="spellEnd"/>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macrophage-inducible C-type lectin</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proofErr w:type="spellStart"/>
            <w:r w:rsidRPr="005C3D3A">
              <w:rPr>
                <w:rFonts w:ascii="Palatino Linotype" w:eastAsia="Times New Roman" w:hAnsi="Palatino Linotype" w:cs="Times New Roman"/>
                <w:color w:val="000000"/>
                <w:sz w:val="18"/>
                <w:szCs w:val="18"/>
                <w:lang w:val="en-US" w:eastAsia="de-DE" w:bidi="en-US"/>
              </w:rPr>
              <w:t>mDC</w:t>
            </w:r>
            <w:proofErr w:type="spellEnd"/>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Mature dendritic cell</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MR</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Mannose receptor</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i/>
                <w:iCs/>
                <w:color w:val="000000"/>
                <w:sz w:val="18"/>
                <w:szCs w:val="18"/>
                <w:lang w:val="en-US" w:eastAsia="de-DE" w:bidi="en-US"/>
              </w:rPr>
            </w:pPr>
            <w:proofErr w:type="spellStart"/>
            <w:r w:rsidRPr="005C3D3A">
              <w:rPr>
                <w:rFonts w:ascii="Palatino Linotype" w:eastAsia="Times New Roman" w:hAnsi="Palatino Linotype" w:cs="Times New Roman"/>
                <w:i/>
                <w:iCs/>
                <w:color w:val="000000"/>
                <w:sz w:val="18"/>
                <w:szCs w:val="18"/>
                <w:lang w:val="en-US" w:eastAsia="de-DE" w:bidi="en-US"/>
              </w:rPr>
              <w:t>Mtb</w:t>
            </w:r>
            <w:proofErr w:type="spellEnd"/>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i/>
                <w:iCs/>
                <w:color w:val="000000"/>
                <w:sz w:val="18"/>
                <w:szCs w:val="18"/>
                <w:lang w:val="en-US" w:eastAsia="de-DE" w:bidi="en-US"/>
              </w:rPr>
            </w:pPr>
            <w:r w:rsidRPr="005C3D3A">
              <w:rPr>
                <w:rFonts w:ascii="Palatino Linotype" w:eastAsia="Times New Roman" w:hAnsi="Palatino Linotype" w:cs="Times New Roman"/>
                <w:i/>
                <w:iCs/>
                <w:color w:val="000000"/>
                <w:sz w:val="18"/>
                <w:szCs w:val="18"/>
                <w:lang w:val="en-US" w:eastAsia="de-DE" w:bidi="en-US"/>
              </w:rPr>
              <w:t>Mycobacterium tuberculosis</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PAMPs</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Pathogen associated molecular patterns</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papA1</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Polyketide associated-protein-1</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PC</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Phosphatidylcholine</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PDIM</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Phthiocerol dimycocerosate</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PG</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Peptidoglycan</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PGL</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Phenolic glycolipids</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PIM</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 xml:space="preserve">Phosphatidylinositol </w:t>
            </w:r>
            <w:proofErr w:type="spellStart"/>
            <w:r w:rsidRPr="005C3D3A">
              <w:rPr>
                <w:rFonts w:ascii="Palatino Linotype" w:eastAsia="Times New Roman" w:hAnsi="Palatino Linotype" w:cs="Times New Roman"/>
                <w:color w:val="000000"/>
                <w:sz w:val="18"/>
                <w:szCs w:val="18"/>
                <w:lang w:val="en-US" w:eastAsia="de-DE" w:bidi="en-US"/>
              </w:rPr>
              <w:t>mannoside</w:t>
            </w:r>
            <w:proofErr w:type="spellEnd"/>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PRR</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Pattern recognition receptors</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SL</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proofErr w:type="spellStart"/>
            <w:r w:rsidRPr="005C3D3A">
              <w:rPr>
                <w:rFonts w:ascii="Palatino Linotype" w:eastAsia="Times New Roman" w:hAnsi="Palatino Linotype" w:cs="Times New Roman"/>
                <w:color w:val="000000"/>
                <w:sz w:val="18"/>
                <w:szCs w:val="18"/>
                <w:lang w:val="en-US" w:eastAsia="de-DE" w:bidi="en-US"/>
              </w:rPr>
              <w:t>Sulfolipid</w:t>
            </w:r>
            <w:proofErr w:type="spellEnd"/>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TB</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Tuberculosis</w:t>
            </w:r>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TDM</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proofErr w:type="spellStart"/>
            <w:r w:rsidRPr="005C3D3A">
              <w:rPr>
                <w:rFonts w:ascii="Palatino Linotype" w:eastAsia="Times New Roman" w:hAnsi="Palatino Linotype" w:cs="Times New Roman"/>
                <w:color w:val="000000"/>
                <w:sz w:val="18"/>
                <w:szCs w:val="18"/>
                <w:lang w:val="en-US" w:eastAsia="de-DE" w:bidi="en-US"/>
              </w:rPr>
              <w:t>Trehalose</w:t>
            </w:r>
            <w:proofErr w:type="spellEnd"/>
            <w:r w:rsidRPr="005C3D3A">
              <w:rPr>
                <w:rFonts w:ascii="Palatino Linotype" w:eastAsia="Times New Roman" w:hAnsi="Palatino Linotype" w:cs="Times New Roman"/>
                <w:color w:val="000000"/>
                <w:sz w:val="18"/>
                <w:szCs w:val="18"/>
                <w:lang w:val="en-US" w:eastAsia="de-DE" w:bidi="en-US"/>
              </w:rPr>
              <w:t xml:space="preserve"> </w:t>
            </w:r>
            <w:proofErr w:type="spellStart"/>
            <w:r w:rsidRPr="005C3D3A">
              <w:rPr>
                <w:rFonts w:ascii="Palatino Linotype" w:eastAsia="Times New Roman" w:hAnsi="Palatino Linotype" w:cs="Times New Roman"/>
                <w:color w:val="000000"/>
                <w:sz w:val="18"/>
                <w:szCs w:val="18"/>
                <w:lang w:val="en-US" w:eastAsia="de-DE" w:bidi="en-US"/>
              </w:rPr>
              <w:t>dimycolate</w:t>
            </w:r>
            <w:proofErr w:type="spellEnd"/>
          </w:p>
        </w:tc>
      </w:tr>
      <w:tr w:rsidR="005C3D3A" w:rsidRPr="005C3D3A" w:rsidTr="00EA4710">
        <w:tc>
          <w:tcPr>
            <w:tcW w:w="988"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TLC</w:t>
            </w:r>
          </w:p>
        </w:tc>
        <w:tc>
          <w:tcPr>
            <w:tcW w:w="7846" w:type="dxa"/>
            <w:shd w:val="clear" w:color="auto" w:fill="auto"/>
          </w:tcPr>
          <w:p w:rsidR="005C3D3A" w:rsidRPr="005C3D3A" w:rsidRDefault="005C3D3A" w:rsidP="005C3D3A">
            <w:pPr>
              <w:adjustRightInd w:val="0"/>
              <w:snapToGrid w:val="0"/>
              <w:spacing w:after="0" w:line="240" w:lineRule="auto"/>
              <w:jc w:val="both"/>
              <w:rPr>
                <w:rFonts w:ascii="Palatino Linotype" w:eastAsia="Times New Roman" w:hAnsi="Palatino Linotype" w:cs="Times New Roman"/>
                <w:color w:val="000000"/>
                <w:sz w:val="18"/>
                <w:szCs w:val="18"/>
                <w:lang w:val="en-US" w:eastAsia="de-DE" w:bidi="en-US"/>
              </w:rPr>
            </w:pPr>
            <w:r w:rsidRPr="005C3D3A">
              <w:rPr>
                <w:rFonts w:ascii="Palatino Linotype" w:eastAsia="Times New Roman" w:hAnsi="Palatino Linotype" w:cs="Times New Roman"/>
                <w:color w:val="000000"/>
                <w:sz w:val="18"/>
                <w:szCs w:val="18"/>
                <w:lang w:val="en-US" w:eastAsia="de-DE" w:bidi="en-US"/>
              </w:rPr>
              <w:t>Thin-layer chromatography</w:t>
            </w:r>
          </w:p>
        </w:tc>
      </w:tr>
    </w:tbl>
    <w:p w:rsidR="0068701D" w:rsidRDefault="0068701D" w:rsidP="005C3D3A">
      <w:pPr>
        <w:adjustRightInd w:val="0"/>
        <w:snapToGrid w:val="0"/>
        <w:spacing w:before="240" w:after="60" w:line="228" w:lineRule="auto"/>
        <w:outlineLvl w:val="0"/>
        <w:rPr>
          <w:rFonts w:ascii="Palatino Linotype" w:eastAsia="Times New Roman" w:hAnsi="Palatino Linotype" w:cs="Times New Roman"/>
          <w:b/>
          <w:snapToGrid w:val="0"/>
          <w:color w:val="000000"/>
          <w:sz w:val="20"/>
          <w:lang w:val="en-US" w:eastAsia="de-DE" w:bidi="en-US"/>
        </w:rPr>
      </w:pPr>
    </w:p>
    <w:p w:rsidR="005C3D3A" w:rsidRPr="005C3D3A" w:rsidRDefault="005C3D3A" w:rsidP="005C3D3A">
      <w:pPr>
        <w:adjustRightInd w:val="0"/>
        <w:snapToGrid w:val="0"/>
        <w:spacing w:before="240" w:after="60" w:line="228" w:lineRule="auto"/>
        <w:outlineLvl w:val="0"/>
        <w:rPr>
          <w:rFonts w:ascii="Palatino Linotype" w:eastAsia="Times New Roman" w:hAnsi="Palatino Linotype" w:cs="Times New Roman"/>
          <w:b/>
          <w:snapToGrid w:val="0"/>
          <w:color w:val="000000"/>
          <w:sz w:val="20"/>
          <w:lang w:val="en-US" w:eastAsia="de-DE" w:bidi="en-US"/>
        </w:rPr>
      </w:pPr>
      <w:r w:rsidRPr="005C3D3A">
        <w:rPr>
          <w:rFonts w:ascii="Palatino Linotype" w:eastAsia="Times New Roman" w:hAnsi="Palatino Linotype" w:cs="Times New Roman"/>
          <w:b/>
          <w:snapToGrid w:val="0"/>
          <w:color w:val="000000"/>
          <w:sz w:val="20"/>
          <w:lang w:val="en-US" w:eastAsia="de-DE" w:bidi="en-US"/>
        </w:rPr>
        <w:t>References</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18"/>
          <w:lang w:val="en-US" w:eastAsia="zh-CN"/>
        </w:rPr>
      </w:pPr>
      <w:r w:rsidRPr="005C3D3A">
        <w:rPr>
          <w:rFonts w:ascii="Palatino Linotype" w:eastAsia="SimSun" w:hAnsi="Palatino Linotype" w:cs="Times New Roman"/>
          <w:color w:val="000000"/>
          <w:sz w:val="18"/>
          <w:szCs w:val="20"/>
          <w:lang w:val="en-US" w:eastAsia="zh-CN"/>
        </w:rPr>
        <w:lastRenderedPageBreak/>
        <w:fldChar w:fldCharType="begin" w:fldLock="1"/>
      </w:r>
      <w:r w:rsidRPr="005C3D3A">
        <w:rPr>
          <w:rFonts w:ascii="Palatino Linotype" w:eastAsia="SimSun" w:hAnsi="Palatino Linotype" w:cs="Times New Roman"/>
          <w:color w:val="000000"/>
          <w:sz w:val="18"/>
          <w:szCs w:val="20"/>
          <w:lang w:val="en-US" w:eastAsia="zh-CN"/>
        </w:rPr>
        <w:instrText xml:space="preserve">ADDIN Mendeley Bibliography CSL_BIBLIOGRAPHY </w:instrText>
      </w:r>
      <w:r w:rsidRPr="005C3D3A">
        <w:rPr>
          <w:rFonts w:ascii="Palatino Linotype" w:eastAsia="SimSun" w:hAnsi="Palatino Linotype" w:cs="Times New Roman"/>
          <w:color w:val="000000"/>
          <w:sz w:val="18"/>
          <w:szCs w:val="20"/>
          <w:lang w:val="en-US" w:eastAsia="zh-CN"/>
        </w:rPr>
        <w:fldChar w:fldCharType="separate"/>
      </w:r>
      <w:r w:rsidRPr="005C3D3A">
        <w:rPr>
          <w:rFonts w:ascii="Palatino Linotype" w:eastAsia="SimSun" w:hAnsi="Palatino Linotype" w:cs="Times New Roman"/>
          <w:color w:val="000000"/>
          <w:sz w:val="18"/>
          <w:szCs w:val="18"/>
          <w:lang w:val="en-US" w:eastAsia="zh-CN"/>
        </w:rPr>
        <w:t xml:space="preserve">World Health Organization </w:t>
      </w:r>
      <w:r w:rsidRPr="005C3D3A">
        <w:rPr>
          <w:rFonts w:ascii="Palatino Linotype" w:eastAsia="SimSun" w:hAnsi="Palatino Linotype" w:cs="Times New Roman"/>
          <w:i/>
          <w:iCs/>
          <w:color w:val="000000"/>
          <w:sz w:val="18"/>
          <w:szCs w:val="18"/>
          <w:lang w:val="en-US" w:eastAsia="zh-CN"/>
        </w:rPr>
        <w:t>Global Tuberculosis Report</w:t>
      </w:r>
      <w:r w:rsidRPr="005C3D3A">
        <w:rPr>
          <w:rFonts w:ascii="Palatino Linotype" w:eastAsia="SimSun" w:hAnsi="Palatino Linotype" w:cs="Times New Roman"/>
          <w:color w:val="000000"/>
          <w:sz w:val="18"/>
          <w:szCs w:val="18"/>
          <w:lang w:val="en-US" w:eastAsia="zh-CN"/>
        </w:rPr>
        <w:t>; WHO: Geneva, Switzerland, 2020.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Sullivan, Z.A.; Wong, E.B.; </w:t>
      </w:r>
      <w:proofErr w:type="spellStart"/>
      <w:r w:rsidRPr="005C3D3A">
        <w:rPr>
          <w:rFonts w:ascii="Palatino Linotype" w:eastAsia="SimSun" w:hAnsi="Palatino Linotype" w:cs="Times New Roman"/>
          <w:color w:val="000000"/>
          <w:sz w:val="18"/>
          <w:szCs w:val="20"/>
          <w:lang w:val="en-US" w:eastAsia="zh-CN"/>
        </w:rPr>
        <w:t>Ndung’u</w:t>
      </w:r>
      <w:proofErr w:type="spellEnd"/>
      <w:r w:rsidRPr="005C3D3A">
        <w:rPr>
          <w:rFonts w:ascii="Palatino Linotype" w:eastAsia="SimSun" w:hAnsi="Palatino Linotype" w:cs="Times New Roman"/>
          <w:color w:val="000000"/>
          <w:sz w:val="18"/>
          <w:szCs w:val="20"/>
          <w:lang w:val="en-US" w:eastAsia="zh-CN"/>
        </w:rPr>
        <w:t xml:space="preserve">, T.; Kasprowicz, V.O.; </w:t>
      </w:r>
      <w:proofErr w:type="spellStart"/>
      <w:r w:rsidRPr="005C3D3A">
        <w:rPr>
          <w:rFonts w:ascii="Palatino Linotype" w:eastAsia="SimSun" w:hAnsi="Palatino Linotype" w:cs="Times New Roman"/>
          <w:color w:val="000000"/>
          <w:sz w:val="18"/>
          <w:szCs w:val="20"/>
          <w:lang w:val="en-US" w:eastAsia="zh-CN"/>
        </w:rPr>
        <w:t>Bishai</w:t>
      </w:r>
      <w:proofErr w:type="spellEnd"/>
      <w:r w:rsidRPr="005C3D3A">
        <w:rPr>
          <w:rFonts w:ascii="Palatino Linotype" w:eastAsia="SimSun" w:hAnsi="Palatino Linotype" w:cs="Times New Roman"/>
          <w:color w:val="000000"/>
          <w:sz w:val="18"/>
          <w:szCs w:val="20"/>
          <w:lang w:val="en-US" w:eastAsia="zh-CN"/>
        </w:rPr>
        <w:t xml:space="preserve">, W.R. Latent and Active Tuberculosis Infection Increase Immune Activation in Individuals Co-Infected with HIV. </w:t>
      </w:r>
      <w:proofErr w:type="spellStart"/>
      <w:r w:rsidRPr="005C3D3A">
        <w:rPr>
          <w:rFonts w:ascii="Palatino Linotype" w:eastAsia="SimSun" w:hAnsi="Palatino Linotype" w:cs="Times New Roman"/>
          <w:i/>
          <w:iCs/>
          <w:color w:val="000000"/>
          <w:sz w:val="18"/>
          <w:szCs w:val="20"/>
          <w:lang w:val="en-US" w:eastAsia="zh-CN"/>
        </w:rPr>
        <w:t>EBioMedicine</w:t>
      </w:r>
      <w:proofErr w:type="spellEnd"/>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2015</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2</w:t>
      </w:r>
      <w:r w:rsidRPr="005C3D3A">
        <w:rPr>
          <w:rFonts w:ascii="Palatino Linotype" w:eastAsia="SimSun" w:hAnsi="Palatino Linotype" w:cs="Times New Roman"/>
          <w:bCs/>
          <w:color w:val="000000"/>
          <w:sz w:val="18"/>
          <w:szCs w:val="20"/>
          <w:lang w:val="en-US" w:eastAsia="zh-CN"/>
        </w:rPr>
        <w:t>, 334–340</w:t>
      </w:r>
      <w:r w:rsidRPr="005C3D3A">
        <w:rPr>
          <w:rFonts w:ascii="Palatino Linotype" w:eastAsia="SimSun" w:hAnsi="Palatino Linotype" w:cs="Times New Roman"/>
          <w:color w:val="000000"/>
          <w:sz w:val="18"/>
          <w:szCs w:val="20"/>
          <w:lang w:val="en-US" w:eastAsia="zh-CN"/>
        </w:rPr>
        <w:t>, doi:10.1016/j.ebiom.2015.03.005.</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Bell, L.C.K.; </w:t>
      </w:r>
      <w:proofErr w:type="spellStart"/>
      <w:r w:rsidRPr="005C3D3A">
        <w:rPr>
          <w:rFonts w:ascii="Palatino Linotype" w:eastAsia="SimSun" w:hAnsi="Palatino Linotype" w:cs="Times New Roman"/>
          <w:color w:val="000000"/>
          <w:sz w:val="18"/>
          <w:szCs w:val="20"/>
          <w:lang w:val="en-US" w:eastAsia="zh-CN"/>
        </w:rPr>
        <w:t>Noursadeghi</w:t>
      </w:r>
      <w:proofErr w:type="spellEnd"/>
      <w:r w:rsidRPr="005C3D3A">
        <w:rPr>
          <w:rFonts w:ascii="Palatino Linotype" w:eastAsia="SimSun" w:hAnsi="Palatino Linotype" w:cs="Times New Roman"/>
          <w:color w:val="000000"/>
          <w:sz w:val="18"/>
          <w:szCs w:val="20"/>
          <w:lang w:val="en-US" w:eastAsia="zh-CN"/>
        </w:rPr>
        <w:t xml:space="preserve">, M. Pathogenesis of HIV-1 and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co-infection. </w:t>
      </w:r>
      <w:r w:rsidRPr="005C3D3A">
        <w:rPr>
          <w:rFonts w:ascii="Palatino Linotype" w:eastAsia="SimSun" w:hAnsi="Palatino Linotype" w:cs="Times New Roman"/>
          <w:i/>
          <w:iCs/>
          <w:color w:val="000000"/>
          <w:sz w:val="18"/>
          <w:szCs w:val="20"/>
          <w:lang w:val="en-US" w:eastAsia="zh-CN"/>
        </w:rPr>
        <w:t>Nat. Rev. Microbiol.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2018</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16</w:t>
      </w:r>
      <w:r w:rsidRPr="005C3D3A">
        <w:rPr>
          <w:rFonts w:ascii="Palatino Linotype" w:eastAsia="SimSun" w:hAnsi="Palatino Linotype" w:cs="Times New Roman"/>
          <w:bCs/>
          <w:color w:val="000000"/>
          <w:sz w:val="18"/>
          <w:szCs w:val="20"/>
          <w:lang w:val="en-US" w:eastAsia="zh-CN"/>
        </w:rPr>
        <w:t>, 80–90</w:t>
      </w:r>
      <w:r w:rsidRPr="005C3D3A">
        <w:rPr>
          <w:rFonts w:ascii="Palatino Linotype" w:eastAsia="SimSun" w:hAnsi="Palatino Linotype" w:cs="Times New Roman"/>
          <w:color w:val="000000"/>
          <w:sz w:val="18"/>
          <w:szCs w:val="20"/>
          <w:lang w:val="en-US" w:eastAsia="zh-CN"/>
        </w:rPr>
        <w:t>, doi:10.1038/nrmicro.2017.128.</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pacing w:val="-4"/>
          <w:sz w:val="18"/>
          <w:szCs w:val="20"/>
          <w:lang w:val="en-US" w:eastAsia="zh-CN"/>
        </w:rPr>
      </w:pPr>
      <w:r w:rsidRPr="005C3D3A">
        <w:rPr>
          <w:rFonts w:ascii="Palatino Linotype" w:eastAsia="SimSun" w:hAnsi="Palatino Linotype" w:cs="Times New Roman"/>
          <w:color w:val="000000"/>
          <w:spacing w:val="-4"/>
          <w:sz w:val="18"/>
          <w:szCs w:val="20"/>
          <w:lang w:val="en-US" w:eastAsia="zh-CN"/>
        </w:rPr>
        <w:t xml:space="preserve">Waters, R.; </w:t>
      </w:r>
      <w:proofErr w:type="spellStart"/>
      <w:r w:rsidRPr="005C3D3A">
        <w:rPr>
          <w:rFonts w:ascii="Palatino Linotype" w:eastAsia="SimSun" w:hAnsi="Palatino Linotype" w:cs="Times New Roman"/>
          <w:color w:val="000000"/>
          <w:spacing w:val="-4"/>
          <w:sz w:val="18"/>
          <w:szCs w:val="20"/>
          <w:lang w:val="en-US" w:eastAsia="zh-CN"/>
        </w:rPr>
        <w:t>Ndengane</w:t>
      </w:r>
      <w:proofErr w:type="spellEnd"/>
      <w:r w:rsidRPr="005C3D3A">
        <w:rPr>
          <w:rFonts w:ascii="Palatino Linotype" w:eastAsia="SimSun" w:hAnsi="Palatino Linotype" w:cs="Times New Roman"/>
          <w:color w:val="000000"/>
          <w:spacing w:val="-4"/>
          <w:sz w:val="18"/>
          <w:szCs w:val="20"/>
          <w:lang w:val="en-US" w:eastAsia="zh-CN"/>
        </w:rPr>
        <w:t xml:space="preserve">, M.; Abrahams, M.-R.; Diedrich, C.R.; Wilkinson, R.J.; Coussens, A.K. The </w:t>
      </w:r>
      <w:proofErr w:type="spellStart"/>
      <w:r w:rsidRPr="005C3D3A">
        <w:rPr>
          <w:rFonts w:ascii="Palatino Linotype" w:eastAsia="SimSun" w:hAnsi="Palatino Linotype" w:cs="Times New Roman"/>
          <w:color w:val="000000"/>
          <w:spacing w:val="-4"/>
          <w:sz w:val="18"/>
          <w:szCs w:val="20"/>
          <w:lang w:val="en-US" w:eastAsia="zh-CN"/>
        </w:rPr>
        <w:t>Mtb</w:t>
      </w:r>
      <w:proofErr w:type="spellEnd"/>
      <w:r w:rsidRPr="005C3D3A">
        <w:rPr>
          <w:rFonts w:ascii="Palatino Linotype" w:eastAsia="SimSun" w:hAnsi="Palatino Linotype" w:cs="Times New Roman"/>
          <w:color w:val="000000"/>
          <w:spacing w:val="-4"/>
          <w:sz w:val="18"/>
          <w:szCs w:val="20"/>
          <w:lang w:val="en-US" w:eastAsia="zh-CN"/>
        </w:rPr>
        <w:t xml:space="preserve">-HIV </w:t>
      </w:r>
      <w:proofErr w:type="spellStart"/>
      <w:r w:rsidRPr="005C3D3A">
        <w:rPr>
          <w:rFonts w:ascii="Palatino Linotype" w:eastAsia="SimSun" w:hAnsi="Palatino Linotype" w:cs="Times New Roman"/>
          <w:color w:val="000000"/>
          <w:spacing w:val="-4"/>
          <w:sz w:val="18"/>
          <w:szCs w:val="20"/>
          <w:lang w:val="en-US" w:eastAsia="zh-CN"/>
        </w:rPr>
        <w:t>syndemic</w:t>
      </w:r>
      <w:proofErr w:type="spellEnd"/>
      <w:r w:rsidRPr="005C3D3A">
        <w:rPr>
          <w:rFonts w:ascii="Palatino Linotype" w:eastAsia="SimSun" w:hAnsi="Palatino Linotype" w:cs="Times New Roman"/>
          <w:color w:val="000000"/>
          <w:spacing w:val="-4"/>
          <w:sz w:val="18"/>
          <w:szCs w:val="20"/>
          <w:lang w:val="en-US" w:eastAsia="zh-CN"/>
        </w:rPr>
        <w:t xml:space="preserve"> interaction: Why treating </w:t>
      </w:r>
      <w:r w:rsidRPr="005C3D3A">
        <w:rPr>
          <w:rFonts w:ascii="Palatino Linotype" w:eastAsia="SimSun" w:hAnsi="Palatino Linotype" w:cs="Times New Roman"/>
          <w:i/>
          <w:color w:val="000000"/>
          <w:spacing w:val="-4"/>
          <w:sz w:val="18"/>
          <w:szCs w:val="20"/>
          <w:lang w:val="en-US" w:eastAsia="zh-CN"/>
        </w:rPr>
        <w:t>M. tuberculosis</w:t>
      </w:r>
      <w:r w:rsidRPr="005C3D3A">
        <w:rPr>
          <w:rFonts w:ascii="Palatino Linotype" w:eastAsia="SimSun" w:hAnsi="Palatino Linotype" w:cs="Times New Roman"/>
          <w:color w:val="000000"/>
          <w:spacing w:val="-4"/>
          <w:sz w:val="18"/>
          <w:szCs w:val="20"/>
          <w:lang w:val="en-US" w:eastAsia="zh-CN"/>
        </w:rPr>
        <w:t xml:space="preserve"> infection may be crucial for HIV-1 eradication. </w:t>
      </w:r>
      <w:r w:rsidRPr="005C3D3A">
        <w:rPr>
          <w:rFonts w:ascii="Palatino Linotype" w:eastAsia="SimSun" w:hAnsi="Palatino Linotype" w:cs="Times New Roman"/>
          <w:i/>
          <w:iCs/>
          <w:color w:val="000000"/>
          <w:spacing w:val="-4"/>
          <w:sz w:val="18"/>
          <w:szCs w:val="20"/>
          <w:lang w:val="en-US" w:eastAsia="zh-CN"/>
        </w:rPr>
        <w:t xml:space="preserve">Future </w:t>
      </w:r>
      <w:proofErr w:type="spellStart"/>
      <w:r w:rsidRPr="005C3D3A">
        <w:rPr>
          <w:rFonts w:ascii="Palatino Linotype" w:eastAsia="SimSun" w:hAnsi="Palatino Linotype" w:cs="Times New Roman"/>
          <w:i/>
          <w:iCs/>
          <w:color w:val="000000"/>
          <w:spacing w:val="-4"/>
          <w:sz w:val="18"/>
          <w:szCs w:val="20"/>
          <w:lang w:val="en-US" w:eastAsia="zh-CN"/>
        </w:rPr>
        <w:t>Virol</w:t>
      </w:r>
      <w:proofErr w:type="spellEnd"/>
      <w:r w:rsidRPr="005C3D3A">
        <w:rPr>
          <w:rFonts w:ascii="Palatino Linotype" w:eastAsia="SimSun" w:hAnsi="Palatino Linotype" w:cs="Times New Roman"/>
          <w:i/>
          <w:iCs/>
          <w:color w:val="000000"/>
          <w:spacing w:val="-4"/>
          <w:sz w:val="18"/>
          <w:szCs w:val="20"/>
          <w:lang w:val="en-US" w:eastAsia="zh-CN"/>
        </w:rPr>
        <w:t>.</w:t>
      </w:r>
      <w:r w:rsidRPr="005C3D3A">
        <w:rPr>
          <w:rFonts w:ascii="Palatino Linotype" w:eastAsia="SimSun" w:hAnsi="Palatino Linotype" w:cs="Times New Roman"/>
          <w:color w:val="000000"/>
          <w:spacing w:val="-4"/>
          <w:sz w:val="18"/>
          <w:szCs w:val="20"/>
          <w:lang w:val="en-US" w:eastAsia="zh-CN"/>
        </w:rPr>
        <w:t xml:space="preserve"> </w:t>
      </w:r>
      <w:r w:rsidRPr="005C3D3A">
        <w:rPr>
          <w:rFonts w:ascii="Palatino Linotype" w:eastAsia="SimSun" w:hAnsi="Palatino Linotype" w:cs="Times New Roman"/>
          <w:b/>
          <w:bCs/>
          <w:color w:val="000000"/>
          <w:spacing w:val="-4"/>
          <w:sz w:val="18"/>
          <w:szCs w:val="20"/>
          <w:lang w:val="en-US" w:eastAsia="zh-CN"/>
        </w:rPr>
        <w:t>2020</w:t>
      </w:r>
      <w:r w:rsidRPr="005C3D3A">
        <w:rPr>
          <w:rFonts w:ascii="Palatino Linotype" w:eastAsia="SimSun" w:hAnsi="Palatino Linotype" w:cs="Times New Roman"/>
          <w:bCs/>
          <w:color w:val="000000"/>
          <w:spacing w:val="-4"/>
          <w:sz w:val="18"/>
          <w:szCs w:val="20"/>
          <w:lang w:val="en-US" w:eastAsia="zh-CN"/>
        </w:rPr>
        <w:t xml:space="preserve">, </w:t>
      </w:r>
      <w:r w:rsidRPr="005C3D3A">
        <w:rPr>
          <w:rFonts w:ascii="Palatino Linotype" w:eastAsia="SimSun" w:hAnsi="Palatino Linotype" w:cs="Times New Roman"/>
          <w:bCs/>
          <w:i/>
          <w:color w:val="000000"/>
          <w:spacing w:val="-4"/>
          <w:sz w:val="18"/>
          <w:szCs w:val="20"/>
          <w:lang w:val="en-US" w:eastAsia="zh-CN"/>
        </w:rPr>
        <w:t>15</w:t>
      </w:r>
      <w:r w:rsidRPr="005C3D3A">
        <w:rPr>
          <w:rFonts w:ascii="Palatino Linotype" w:eastAsia="SimSun" w:hAnsi="Palatino Linotype" w:cs="Times New Roman"/>
          <w:bCs/>
          <w:color w:val="000000"/>
          <w:spacing w:val="-4"/>
          <w:sz w:val="18"/>
          <w:szCs w:val="20"/>
          <w:lang w:val="en-US" w:eastAsia="zh-CN"/>
        </w:rPr>
        <w:t>, 101–125</w:t>
      </w:r>
      <w:r w:rsidRPr="005C3D3A">
        <w:rPr>
          <w:rFonts w:ascii="Palatino Linotype" w:eastAsia="SimSun" w:hAnsi="Palatino Linotype" w:cs="Times New Roman"/>
          <w:color w:val="000000"/>
          <w:spacing w:val="-4"/>
          <w:sz w:val="18"/>
          <w:szCs w:val="20"/>
          <w:lang w:val="en-US" w:eastAsia="zh-CN"/>
        </w:rPr>
        <w:t>, doi:10.2217/fvl-2019-0069.</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Naqvi, K.F.; </w:t>
      </w:r>
      <w:proofErr w:type="spellStart"/>
      <w:r w:rsidRPr="005C3D3A">
        <w:rPr>
          <w:rFonts w:ascii="Palatino Linotype" w:eastAsia="SimSun" w:hAnsi="Palatino Linotype" w:cs="Times New Roman"/>
          <w:color w:val="000000"/>
          <w:sz w:val="18"/>
          <w:szCs w:val="20"/>
          <w:lang w:val="en-US" w:eastAsia="zh-CN"/>
        </w:rPr>
        <w:t>Endsley</w:t>
      </w:r>
      <w:proofErr w:type="spellEnd"/>
      <w:r w:rsidRPr="005C3D3A">
        <w:rPr>
          <w:rFonts w:ascii="Palatino Linotype" w:eastAsia="SimSun" w:hAnsi="Palatino Linotype" w:cs="Times New Roman"/>
          <w:color w:val="000000"/>
          <w:sz w:val="18"/>
          <w:szCs w:val="20"/>
          <w:lang w:val="en-US" w:eastAsia="zh-CN"/>
        </w:rPr>
        <w:t xml:space="preserve">, J.J. Myeloid C-Type Lectin Receptors in Tuberculosis and HIV Immunity: Insights </w:t>
      </w:r>
      <w:proofErr w:type="gramStart"/>
      <w:r w:rsidRPr="005C3D3A">
        <w:rPr>
          <w:rFonts w:ascii="Palatino Linotype" w:eastAsia="SimSun" w:hAnsi="Palatino Linotype" w:cs="Times New Roman"/>
          <w:color w:val="000000"/>
          <w:sz w:val="18"/>
          <w:szCs w:val="20"/>
          <w:lang w:val="en-US" w:eastAsia="zh-CN"/>
        </w:rPr>
        <w:t>Into</w:t>
      </w:r>
      <w:proofErr w:type="gramEnd"/>
      <w:r w:rsidRPr="005C3D3A">
        <w:rPr>
          <w:rFonts w:ascii="Palatino Linotype" w:eastAsia="SimSun" w:hAnsi="Palatino Linotype" w:cs="Times New Roman"/>
          <w:color w:val="000000"/>
          <w:sz w:val="18"/>
          <w:szCs w:val="20"/>
          <w:lang w:val="en-US" w:eastAsia="zh-CN"/>
        </w:rPr>
        <w:t xml:space="preserve"> Co-infection? </w:t>
      </w:r>
      <w:r w:rsidRPr="005C3D3A">
        <w:rPr>
          <w:rFonts w:ascii="Palatino Linotype" w:eastAsia="SimSun" w:hAnsi="Palatino Linotype" w:cs="Times New Roman"/>
          <w:i/>
          <w:iCs/>
          <w:color w:val="000000"/>
          <w:sz w:val="18"/>
          <w:szCs w:val="20"/>
          <w:lang w:val="en-US" w:eastAsia="zh-CN"/>
        </w:rPr>
        <w:t>Front. Cell. Infect. Microbiol.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2020</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10</w:t>
      </w:r>
      <w:r w:rsidRPr="005C3D3A">
        <w:rPr>
          <w:rFonts w:ascii="Palatino Linotype" w:eastAsia="SimSun" w:hAnsi="Palatino Linotype" w:cs="Times New Roman"/>
          <w:bCs/>
          <w:color w:val="000000"/>
          <w:sz w:val="18"/>
          <w:szCs w:val="20"/>
          <w:lang w:val="en-US" w:eastAsia="zh-CN"/>
        </w:rPr>
        <w:t>, 263</w:t>
      </w:r>
      <w:r w:rsidRPr="005C3D3A">
        <w:rPr>
          <w:rFonts w:ascii="Palatino Linotype" w:eastAsia="SimSun" w:hAnsi="Palatino Linotype" w:cs="Times New Roman"/>
          <w:color w:val="000000"/>
          <w:sz w:val="18"/>
          <w:szCs w:val="20"/>
          <w:lang w:val="en-US" w:eastAsia="zh-CN"/>
        </w:rPr>
        <w:t>, doi:10.3389/fcimb.2020.00263.</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Nguyen, D.G.; Hildreth, J.E.K. Involvement of macrophage mannose receptor in the binding and transmission of HIV by macrophages. </w:t>
      </w:r>
      <w:r w:rsidRPr="005C3D3A">
        <w:rPr>
          <w:rFonts w:ascii="Palatino Linotype" w:eastAsia="SimSun" w:hAnsi="Palatino Linotype" w:cs="Times New Roman"/>
          <w:i/>
          <w:iCs/>
          <w:color w:val="000000"/>
          <w:sz w:val="18"/>
          <w:szCs w:val="20"/>
          <w:lang w:val="en-US" w:eastAsia="zh-CN"/>
        </w:rPr>
        <w:t>Eur. 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33</w:t>
      </w:r>
      <w:r w:rsidRPr="005C3D3A">
        <w:rPr>
          <w:rFonts w:ascii="Palatino Linotype" w:eastAsia="SimSun" w:hAnsi="Palatino Linotype" w:cs="Times New Roman"/>
          <w:bCs/>
          <w:color w:val="000000"/>
          <w:sz w:val="18"/>
          <w:szCs w:val="20"/>
          <w:lang w:val="en-US" w:eastAsia="zh-CN"/>
        </w:rPr>
        <w:t>, 483–493,</w:t>
      </w:r>
      <w:r w:rsidRPr="005C3D3A">
        <w:rPr>
          <w:rFonts w:ascii="Palatino Linotype" w:eastAsia="SimSun" w:hAnsi="Palatino Linotype" w:cs="Times New Roman"/>
          <w:color w:val="000000"/>
          <w:sz w:val="18"/>
          <w:szCs w:val="20"/>
          <w:lang w:val="en-US" w:eastAsia="zh-CN"/>
        </w:rPr>
        <w:t xml:space="preserve"> doi:10.1002/immu.200310024.</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Cameron, P.U.; </w:t>
      </w:r>
      <w:proofErr w:type="spellStart"/>
      <w:r w:rsidRPr="005C3D3A">
        <w:rPr>
          <w:rFonts w:ascii="Palatino Linotype" w:eastAsia="SimSun" w:hAnsi="Palatino Linotype" w:cs="Times New Roman"/>
          <w:color w:val="000000"/>
          <w:sz w:val="18"/>
          <w:szCs w:val="20"/>
          <w:lang w:val="en-US" w:eastAsia="zh-CN"/>
        </w:rPr>
        <w:t>Freudenthal</w:t>
      </w:r>
      <w:proofErr w:type="spellEnd"/>
      <w:r w:rsidRPr="005C3D3A">
        <w:rPr>
          <w:rFonts w:ascii="Palatino Linotype" w:eastAsia="SimSun" w:hAnsi="Palatino Linotype" w:cs="Times New Roman"/>
          <w:color w:val="000000"/>
          <w:sz w:val="18"/>
          <w:szCs w:val="20"/>
          <w:lang w:val="en-US" w:eastAsia="zh-CN"/>
        </w:rPr>
        <w:t xml:space="preserve">, P.S.; Barker, J.M.; </w:t>
      </w:r>
      <w:proofErr w:type="spellStart"/>
      <w:r w:rsidRPr="005C3D3A">
        <w:rPr>
          <w:rFonts w:ascii="Palatino Linotype" w:eastAsia="SimSun" w:hAnsi="Palatino Linotype" w:cs="Times New Roman"/>
          <w:color w:val="000000"/>
          <w:sz w:val="18"/>
          <w:szCs w:val="20"/>
          <w:lang w:val="en-US" w:eastAsia="zh-CN"/>
        </w:rPr>
        <w:t>Gezelter</w:t>
      </w:r>
      <w:proofErr w:type="spellEnd"/>
      <w:r w:rsidRPr="005C3D3A">
        <w:rPr>
          <w:rFonts w:ascii="Palatino Linotype" w:eastAsia="SimSun" w:hAnsi="Palatino Linotype" w:cs="Times New Roman"/>
          <w:color w:val="000000"/>
          <w:sz w:val="18"/>
          <w:szCs w:val="20"/>
          <w:lang w:val="en-US" w:eastAsia="zh-CN"/>
        </w:rPr>
        <w:t xml:space="preserve">, S.; Inaba, K.; Steinman, R.M. Dendritic cells exposed to human immunodeficiency virus type-1 transmit a vigorous cytopathic infection to CD4+ T cells. </w:t>
      </w:r>
      <w:r w:rsidRPr="005C3D3A">
        <w:rPr>
          <w:rFonts w:ascii="Palatino Linotype" w:eastAsia="SimSun" w:hAnsi="Palatino Linotype" w:cs="Times New Roman"/>
          <w:i/>
          <w:iCs/>
          <w:color w:val="000000"/>
          <w:sz w:val="18"/>
          <w:szCs w:val="20"/>
          <w:lang w:val="en-US" w:eastAsia="zh-CN"/>
        </w:rPr>
        <w:t>Science</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1992</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257</w:t>
      </w:r>
      <w:r w:rsidRPr="005C3D3A">
        <w:rPr>
          <w:rFonts w:ascii="Palatino Linotype" w:eastAsia="SimSun" w:hAnsi="Palatino Linotype" w:cs="Times New Roman"/>
          <w:bCs/>
          <w:color w:val="000000"/>
          <w:sz w:val="18"/>
          <w:szCs w:val="20"/>
          <w:lang w:val="en-US" w:eastAsia="zh-CN"/>
        </w:rPr>
        <w:t>, 383–387,</w:t>
      </w:r>
      <w:r w:rsidRPr="005C3D3A">
        <w:rPr>
          <w:rFonts w:ascii="Palatino Linotype" w:eastAsia="SimSun" w:hAnsi="Palatino Linotype" w:cs="Times New Roman"/>
          <w:color w:val="000000"/>
          <w:sz w:val="18"/>
          <w:szCs w:val="20"/>
          <w:lang w:val="en-US" w:eastAsia="zh-CN"/>
        </w:rPr>
        <w:t xml:space="preserve"> doi:10.1126/science.1352913.</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Gummuluru</w:t>
      </w:r>
      <w:proofErr w:type="spellEnd"/>
      <w:r w:rsidRPr="005C3D3A">
        <w:rPr>
          <w:rFonts w:ascii="Palatino Linotype" w:eastAsia="SimSun" w:hAnsi="Palatino Linotype" w:cs="Times New Roman"/>
          <w:color w:val="000000"/>
          <w:sz w:val="18"/>
          <w:szCs w:val="20"/>
          <w:lang w:val="en-US" w:eastAsia="zh-CN"/>
        </w:rPr>
        <w:t xml:space="preserve">, S.; </w:t>
      </w:r>
      <w:proofErr w:type="spellStart"/>
      <w:r w:rsidRPr="005C3D3A">
        <w:rPr>
          <w:rFonts w:ascii="Palatino Linotype" w:eastAsia="SimSun" w:hAnsi="Palatino Linotype" w:cs="Times New Roman"/>
          <w:color w:val="000000"/>
          <w:sz w:val="18"/>
          <w:szCs w:val="20"/>
          <w:lang w:val="en-US" w:eastAsia="zh-CN"/>
        </w:rPr>
        <w:t>KewalRamani</w:t>
      </w:r>
      <w:proofErr w:type="spellEnd"/>
      <w:r w:rsidRPr="005C3D3A">
        <w:rPr>
          <w:rFonts w:ascii="Palatino Linotype" w:eastAsia="SimSun" w:hAnsi="Palatino Linotype" w:cs="Times New Roman"/>
          <w:color w:val="000000"/>
          <w:sz w:val="18"/>
          <w:szCs w:val="20"/>
          <w:lang w:val="en-US" w:eastAsia="zh-CN"/>
        </w:rPr>
        <w:t xml:space="preserve">, V.N.; </w:t>
      </w:r>
      <w:proofErr w:type="spellStart"/>
      <w:r w:rsidRPr="005C3D3A">
        <w:rPr>
          <w:rFonts w:ascii="Palatino Linotype" w:eastAsia="SimSun" w:hAnsi="Palatino Linotype" w:cs="Times New Roman"/>
          <w:color w:val="000000"/>
          <w:sz w:val="18"/>
          <w:szCs w:val="20"/>
          <w:lang w:val="en-US" w:eastAsia="zh-CN"/>
        </w:rPr>
        <w:t>Emerman</w:t>
      </w:r>
      <w:proofErr w:type="spellEnd"/>
      <w:r w:rsidRPr="005C3D3A">
        <w:rPr>
          <w:rFonts w:ascii="Palatino Linotype" w:eastAsia="SimSun" w:hAnsi="Palatino Linotype" w:cs="Times New Roman"/>
          <w:color w:val="000000"/>
          <w:sz w:val="18"/>
          <w:szCs w:val="20"/>
          <w:lang w:val="en-US" w:eastAsia="zh-CN"/>
        </w:rPr>
        <w:t xml:space="preserve">, M. Dendritic cell-mediated viral transfer to T cells is required for human immunodeficiency virus type 1 persistence in the face of rapid cell turnover. </w:t>
      </w:r>
      <w:r w:rsidRPr="005C3D3A">
        <w:rPr>
          <w:rFonts w:ascii="Palatino Linotype" w:eastAsia="SimSun" w:hAnsi="Palatino Linotype" w:cs="Times New Roman"/>
          <w:i/>
          <w:iCs/>
          <w:color w:val="000000"/>
          <w:sz w:val="18"/>
          <w:szCs w:val="20"/>
          <w:lang w:val="en-US" w:eastAsia="zh-CN"/>
        </w:rPr>
        <w:t xml:space="preserve">J. </w:t>
      </w:r>
      <w:proofErr w:type="spellStart"/>
      <w:r w:rsidRPr="005C3D3A">
        <w:rPr>
          <w:rFonts w:ascii="Palatino Linotype" w:eastAsia="SimSun" w:hAnsi="Palatino Linotype" w:cs="Times New Roman"/>
          <w:i/>
          <w:iCs/>
          <w:color w:val="000000"/>
          <w:sz w:val="18"/>
          <w:szCs w:val="20"/>
          <w:lang w:val="en-US" w:eastAsia="zh-CN"/>
        </w:rPr>
        <w:t>Virol</w:t>
      </w:r>
      <w:proofErr w:type="spellEnd"/>
      <w:r w:rsidRPr="005C3D3A">
        <w:rPr>
          <w:rFonts w:ascii="Palatino Linotype" w:eastAsia="SimSun" w:hAnsi="Palatino Linotype" w:cs="Times New Roman"/>
          <w:i/>
          <w:iCs/>
          <w:color w:val="000000"/>
          <w:sz w:val="18"/>
          <w:szCs w:val="20"/>
          <w:lang w:val="en-US" w:eastAsia="zh-CN"/>
        </w:rPr>
        <w: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2002</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76</w:t>
      </w:r>
      <w:r w:rsidRPr="005C3D3A">
        <w:rPr>
          <w:rFonts w:ascii="Palatino Linotype" w:eastAsia="SimSun" w:hAnsi="Palatino Linotype" w:cs="Times New Roman"/>
          <w:bCs/>
          <w:color w:val="000000"/>
          <w:sz w:val="18"/>
          <w:szCs w:val="20"/>
          <w:lang w:val="en-US" w:eastAsia="zh-CN"/>
        </w:rPr>
        <w:t>, 10692–10701,</w:t>
      </w:r>
      <w:r w:rsidRPr="005C3D3A">
        <w:rPr>
          <w:rFonts w:ascii="Palatino Linotype" w:eastAsia="SimSun" w:hAnsi="Palatino Linotype" w:cs="Times New Roman"/>
          <w:color w:val="000000"/>
          <w:sz w:val="18"/>
          <w:szCs w:val="20"/>
          <w:lang w:val="en-US" w:eastAsia="zh-CN"/>
        </w:rPr>
        <w:t xml:space="preserve"> doi:10.1128/JVI.76.21.10692-10701.2002.</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fr-FR" w:eastAsia="zh-CN"/>
        </w:rPr>
        <w:t xml:space="preserve">Garcia, </w:t>
      </w:r>
      <w:proofErr w:type="gramStart"/>
      <w:r w:rsidRPr="005C3D3A">
        <w:rPr>
          <w:rFonts w:ascii="Palatino Linotype" w:eastAsia="SimSun" w:hAnsi="Palatino Linotype" w:cs="Times New Roman"/>
          <w:color w:val="000000"/>
          <w:sz w:val="18"/>
          <w:szCs w:val="20"/>
          <w:lang w:val="fr-FR" w:eastAsia="zh-CN"/>
        </w:rPr>
        <w:t>E.;</w:t>
      </w:r>
      <w:proofErr w:type="gramEnd"/>
      <w:r w:rsidRPr="005C3D3A">
        <w:rPr>
          <w:rFonts w:ascii="Palatino Linotype" w:eastAsia="SimSun" w:hAnsi="Palatino Linotype" w:cs="Times New Roman"/>
          <w:color w:val="000000"/>
          <w:sz w:val="18"/>
          <w:szCs w:val="20"/>
          <w:lang w:val="fr-FR" w:eastAsia="zh-CN"/>
        </w:rPr>
        <w:t xml:space="preserve"> Pion, M.; </w:t>
      </w:r>
      <w:proofErr w:type="spellStart"/>
      <w:r w:rsidRPr="005C3D3A">
        <w:rPr>
          <w:rFonts w:ascii="Palatino Linotype" w:eastAsia="SimSun" w:hAnsi="Palatino Linotype" w:cs="Times New Roman"/>
          <w:color w:val="000000"/>
          <w:sz w:val="18"/>
          <w:szCs w:val="20"/>
          <w:lang w:val="fr-FR" w:eastAsia="zh-CN"/>
        </w:rPr>
        <w:t>Pelchen</w:t>
      </w:r>
      <w:proofErr w:type="spellEnd"/>
      <w:r w:rsidRPr="005C3D3A">
        <w:rPr>
          <w:rFonts w:ascii="Palatino Linotype" w:eastAsia="SimSun" w:hAnsi="Palatino Linotype" w:cs="Times New Roman"/>
          <w:color w:val="000000"/>
          <w:sz w:val="18"/>
          <w:szCs w:val="20"/>
          <w:lang w:val="fr-FR" w:eastAsia="zh-CN"/>
        </w:rPr>
        <w:t xml:space="preserve">-Matthews, A.; Collinson, L.; Arrighi, J.F.; Blot, G.; </w:t>
      </w:r>
      <w:proofErr w:type="spellStart"/>
      <w:r w:rsidRPr="005C3D3A">
        <w:rPr>
          <w:rFonts w:ascii="Palatino Linotype" w:eastAsia="SimSun" w:hAnsi="Palatino Linotype" w:cs="Times New Roman"/>
          <w:color w:val="000000"/>
          <w:sz w:val="18"/>
          <w:szCs w:val="20"/>
          <w:lang w:val="fr-FR" w:eastAsia="zh-CN"/>
        </w:rPr>
        <w:t>Leuba</w:t>
      </w:r>
      <w:proofErr w:type="spellEnd"/>
      <w:r w:rsidRPr="005C3D3A">
        <w:rPr>
          <w:rFonts w:ascii="Palatino Linotype" w:eastAsia="SimSun" w:hAnsi="Palatino Linotype" w:cs="Times New Roman"/>
          <w:color w:val="000000"/>
          <w:sz w:val="18"/>
          <w:szCs w:val="20"/>
          <w:lang w:val="fr-FR" w:eastAsia="zh-CN"/>
        </w:rPr>
        <w:t xml:space="preserve">, F.; Escola, J.M.; </w:t>
      </w:r>
      <w:proofErr w:type="spellStart"/>
      <w:r w:rsidRPr="005C3D3A">
        <w:rPr>
          <w:rFonts w:ascii="Palatino Linotype" w:eastAsia="SimSun" w:hAnsi="Palatino Linotype" w:cs="Times New Roman"/>
          <w:color w:val="000000"/>
          <w:sz w:val="18"/>
          <w:szCs w:val="20"/>
          <w:lang w:val="fr-FR" w:eastAsia="zh-CN"/>
        </w:rPr>
        <w:t>Demaurex</w:t>
      </w:r>
      <w:proofErr w:type="spellEnd"/>
      <w:r w:rsidRPr="005C3D3A">
        <w:rPr>
          <w:rFonts w:ascii="Palatino Linotype" w:eastAsia="SimSun" w:hAnsi="Palatino Linotype" w:cs="Times New Roman"/>
          <w:color w:val="000000"/>
          <w:sz w:val="18"/>
          <w:szCs w:val="20"/>
          <w:lang w:val="fr-FR" w:eastAsia="zh-CN"/>
        </w:rPr>
        <w:t xml:space="preserve">, N.; Marsh, M.; et al. </w:t>
      </w:r>
      <w:r w:rsidRPr="005C3D3A">
        <w:rPr>
          <w:rFonts w:ascii="Palatino Linotype" w:eastAsia="SimSun" w:hAnsi="Palatino Linotype" w:cs="Times New Roman"/>
          <w:color w:val="000000"/>
          <w:sz w:val="18"/>
          <w:szCs w:val="20"/>
          <w:lang w:val="en-US" w:eastAsia="zh-CN"/>
        </w:rPr>
        <w:t xml:space="preserve">HIV-1 trafficking to the dendritic cell-T-cell infectious synapse uses a pathway of </w:t>
      </w:r>
      <w:proofErr w:type="spellStart"/>
      <w:r w:rsidRPr="005C3D3A">
        <w:rPr>
          <w:rFonts w:ascii="Palatino Linotype" w:eastAsia="SimSun" w:hAnsi="Palatino Linotype" w:cs="Times New Roman"/>
          <w:color w:val="000000"/>
          <w:sz w:val="18"/>
          <w:szCs w:val="20"/>
          <w:lang w:val="en-US" w:eastAsia="zh-CN"/>
        </w:rPr>
        <w:t>tetraspanin</w:t>
      </w:r>
      <w:proofErr w:type="spellEnd"/>
      <w:r w:rsidRPr="005C3D3A">
        <w:rPr>
          <w:rFonts w:ascii="Palatino Linotype" w:eastAsia="SimSun" w:hAnsi="Palatino Linotype" w:cs="Times New Roman"/>
          <w:color w:val="000000"/>
          <w:sz w:val="18"/>
          <w:szCs w:val="20"/>
          <w:lang w:val="en-US" w:eastAsia="zh-CN"/>
        </w:rPr>
        <w:t xml:space="preserve"> sorting to the immunological synapse. </w:t>
      </w:r>
      <w:r w:rsidRPr="005C3D3A">
        <w:rPr>
          <w:rFonts w:ascii="Palatino Linotype" w:eastAsia="SimSun" w:hAnsi="Palatino Linotype" w:cs="Times New Roman"/>
          <w:i/>
          <w:iCs/>
          <w:color w:val="000000"/>
          <w:sz w:val="18"/>
          <w:szCs w:val="20"/>
          <w:lang w:val="en-US" w:eastAsia="zh-CN"/>
        </w:rPr>
        <w:t>Traffic</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2005</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6</w:t>
      </w:r>
      <w:r w:rsidRPr="005C3D3A">
        <w:rPr>
          <w:rFonts w:ascii="Palatino Linotype" w:eastAsia="SimSun" w:hAnsi="Palatino Linotype" w:cs="Times New Roman"/>
          <w:bCs/>
          <w:color w:val="000000"/>
          <w:sz w:val="18"/>
          <w:szCs w:val="20"/>
          <w:lang w:val="en-US" w:eastAsia="zh-CN"/>
        </w:rPr>
        <w:t>, 488–501</w:t>
      </w:r>
      <w:r w:rsidRPr="005C3D3A">
        <w:rPr>
          <w:rFonts w:ascii="Palatino Linotype" w:eastAsia="SimSun" w:hAnsi="Palatino Linotype" w:cs="Times New Roman"/>
          <w:color w:val="000000"/>
          <w:sz w:val="18"/>
          <w:szCs w:val="20"/>
          <w:lang w:val="en-US" w:eastAsia="zh-CN"/>
        </w:rPr>
        <w:t>, doi:10.1111/j.1600-0854.2005.00293.x.</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Sallusto</w:t>
      </w:r>
      <w:proofErr w:type="spellEnd"/>
      <w:r w:rsidRPr="005C3D3A">
        <w:rPr>
          <w:rFonts w:ascii="Palatino Linotype" w:eastAsia="SimSun" w:hAnsi="Palatino Linotype" w:cs="Times New Roman"/>
          <w:color w:val="000000"/>
          <w:sz w:val="18"/>
          <w:szCs w:val="20"/>
          <w:lang w:val="en-US" w:eastAsia="zh-CN"/>
        </w:rPr>
        <w:t xml:space="preserve">, F.; </w:t>
      </w:r>
      <w:proofErr w:type="spellStart"/>
      <w:r w:rsidRPr="005C3D3A">
        <w:rPr>
          <w:rFonts w:ascii="Palatino Linotype" w:eastAsia="SimSun" w:hAnsi="Palatino Linotype" w:cs="Times New Roman"/>
          <w:color w:val="000000"/>
          <w:sz w:val="18"/>
          <w:szCs w:val="20"/>
          <w:lang w:val="en-US" w:eastAsia="zh-CN"/>
        </w:rPr>
        <w:t>Cella</w:t>
      </w:r>
      <w:proofErr w:type="spellEnd"/>
      <w:r w:rsidRPr="005C3D3A">
        <w:rPr>
          <w:rFonts w:ascii="Palatino Linotype" w:eastAsia="SimSun" w:hAnsi="Palatino Linotype" w:cs="Times New Roman"/>
          <w:color w:val="000000"/>
          <w:sz w:val="18"/>
          <w:szCs w:val="20"/>
          <w:lang w:val="en-US" w:eastAsia="zh-CN"/>
        </w:rPr>
        <w:t xml:space="preserve">, M.; </w:t>
      </w:r>
      <w:proofErr w:type="spellStart"/>
      <w:r w:rsidRPr="005C3D3A">
        <w:rPr>
          <w:rFonts w:ascii="Palatino Linotype" w:eastAsia="SimSun" w:hAnsi="Palatino Linotype" w:cs="Times New Roman"/>
          <w:color w:val="000000"/>
          <w:sz w:val="18"/>
          <w:szCs w:val="20"/>
          <w:lang w:val="en-US" w:eastAsia="zh-CN"/>
        </w:rPr>
        <w:t>Danieli</w:t>
      </w:r>
      <w:proofErr w:type="spellEnd"/>
      <w:r w:rsidRPr="005C3D3A">
        <w:rPr>
          <w:rFonts w:ascii="Palatino Linotype" w:eastAsia="SimSun" w:hAnsi="Palatino Linotype" w:cs="Times New Roman"/>
          <w:color w:val="000000"/>
          <w:sz w:val="18"/>
          <w:szCs w:val="20"/>
          <w:lang w:val="en-US" w:eastAsia="zh-CN"/>
        </w:rPr>
        <w:t xml:space="preserve">, C.; </w:t>
      </w:r>
      <w:proofErr w:type="spellStart"/>
      <w:r w:rsidRPr="005C3D3A">
        <w:rPr>
          <w:rFonts w:ascii="Palatino Linotype" w:eastAsia="SimSun" w:hAnsi="Palatino Linotype" w:cs="Times New Roman"/>
          <w:color w:val="000000"/>
          <w:sz w:val="18"/>
          <w:szCs w:val="20"/>
          <w:lang w:val="en-US" w:eastAsia="zh-CN"/>
        </w:rPr>
        <w:t>Lanzavecchia</w:t>
      </w:r>
      <w:proofErr w:type="spellEnd"/>
      <w:r w:rsidRPr="005C3D3A">
        <w:rPr>
          <w:rFonts w:ascii="Palatino Linotype" w:eastAsia="SimSun" w:hAnsi="Palatino Linotype" w:cs="Times New Roman"/>
          <w:color w:val="000000"/>
          <w:sz w:val="18"/>
          <w:szCs w:val="20"/>
          <w:lang w:val="en-US" w:eastAsia="zh-CN"/>
        </w:rPr>
        <w:t xml:space="preserve">, A. Dendritic cells use </w:t>
      </w:r>
      <w:proofErr w:type="spellStart"/>
      <w:r w:rsidRPr="005C3D3A">
        <w:rPr>
          <w:rFonts w:ascii="Palatino Linotype" w:eastAsia="SimSun" w:hAnsi="Palatino Linotype" w:cs="Times New Roman"/>
          <w:color w:val="000000"/>
          <w:sz w:val="18"/>
          <w:szCs w:val="20"/>
          <w:lang w:val="en-US" w:eastAsia="zh-CN"/>
        </w:rPr>
        <w:t>macropinocytosis</w:t>
      </w:r>
      <w:proofErr w:type="spellEnd"/>
      <w:r w:rsidRPr="005C3D3A">
        <w:rPr>
          <w:rFonts w:ascii="Palatino Linotype" w:eastAsia="SimSun" w:hAnsi="Palatino Linotype" w:cs="Times New Roman"/>
          <w:color w:val="000000"/>
          <w:sz w:val="18"/>
          <w:szCs w:val="20"/>
          <w:lang w:val="en-US" w:eastAsia="zh-CN"/>
        </w:rPr>
        <w:t xml:space="preserve"> and the mannose receptor to concentrate macromolecules in the major histocompatibility complex class II compartment: Downregulation by cytokines and bacterial products. </w:t>
      </w:r>
      <w:r w:rsidRPr="005C3D3A">
        <w:rPr>
          <w:rFonts w:ascii="Palatino Linotype" w:eastAsia="SimSun" w:hAnsi="Palatino Linotype" w:cs="Times New Roman"/>
          <w:i/>
          <w:iCs/>
          <w:color w:val="000000"/>
          <w:sz w:val="18"/>
          <w:szCs w:val="20"/>
          <w:lang w:val="en-US" w:eastAsia="zh-CN"/>
        </w:rPr>
        <w:t>J. Exp. Med.</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1995</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182</w:t>
      </w:r>
      <w:r w:rsidRPr="005C3D3A">
        <w:rPr>
          <w:rFonts w:ascii="Palatino Linotype" w:eastAsia="SimSun" w:hAnsi="Palatino Linotype" w:cs="Times New Roman"/>
          <w:bCs/>
          <w:color w:val="000000"/>
          <w:sz w:val="18"/>
          <w:szCs w:val="20"/>
          <w:lang w:val="en-US" w:eastAsia="zh-CN"/>
        </w:rPr>
        <w:t>, 389–400</w:t>
      </w:r>
      <w:r w:rsidRPr="005C3D3A">
        <w:rPr>
          <w:rFonts w:ascii="Palatino Linotype" w:eastAsia="SimSun" w:hAnsi="Palatino Linotype" w:cs="Times New Roman"/>
          <w:color w:val="000000"/>
          <w:sz w:val="18"/>
          <w:szCs w:val="20"/>
          <w:lang w:val="en-US" w:eastAsia="zh-CN"/>
        </w:rPr>
        <w:t>, doi:10.1084/jem.182.2.389.</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Turville</w:t>
      </w:r>
      <w:proofErr w:type="spellEnd"/>
      <w:r w:rsidRPr="005C3D3A">
        <w:rPr>
          <w:rFonts w:ascii="Palatino Linotype" w:eastAsia="SimSun" w:hAnsi="Palatino Linotype" w:cs="Times New Roman"/>
          <w:color w:val="000000"/>
          <w:sz w:val="18"/>
          <w:szCs w:val="20"/>
          <w:lang w:val="en-US" w:eastAsia="zh-CN"/>
        </w:rPr>
        <w:t xml:space="preserve">, S.G.; Cameron, P.U.; Handley, A.; Lin, G.; </w:t>
      </w:r>
      <w:proofErr w:type="spellStart"/>
      <w:r w:rsidRPr="005C3D3A">
        <w:rPr>
          <w:rFonts w:ascii="Palatino Linotype" w:eastAsia="SimSun" w:hAnsi="Palatino Linotype" w:cs="Times New Roman"/>
          <w:color w:val="000000"/>
          <w:sz w:val="18"/>
          <w:szCs w:val="20"/>
          <w:lang w:val="en-US" w:eastAsia="zh-CN"/>
        </w:rPr>
        <w:t>Pöhlmann</w:t>
      </w:r>
      <w:proofErr w:type="spellEnd"/>
      <w:r w:rsidRPr="005C3D3A">
        <w:rPr>
          <w:rFonts w:ascii="Palatino Linotype" w:eastAsia="SimSun" w:hAnsi="Palatino Linotype" w:cs="Times New Roman"/>
          <w:color w:val="000000"/>
          <w:sz w:val="18"/>
          <w:szCs w:val="20"/>
          <w:lang w:val="en-US" w:eastAsia="zh-CN"/>
        </w:rPr>
        <w:t xml:space="preserve">, S.; </w:t>
      </w:r>
      <w:proofErr w:type="spellStart"/>
      <w:r w:rsidRPr="005C3D3A">
        <w:rPr>
          <w:rFonts w:ascii="Palatino Linotype" w:eastAsia="SimSun" w:hAnsi="Palatino Linotype" w:cs="Times New Roman"/>
          <w:color w:val="000000"/>
          <w:sz w:val="18"/>
          <w:szCs w:val="20"/>
          <w:lang w:val="en-US" w:eastAsia="zh-CN"/>
        </w:rPr>
        <w:t>Doms</w:t>
      </w:r>
      <w:proofErr w:type="spellEnd"/>
      <w:r w:rsidRPr="005C3D3A">
        <w:rPr>
          <w:rFonts w:ascii="Palatino Linotype" w:eastAsia="SimSun" w:hAnsi="Palatino Linotype" w:cs="Times New Roman"/>
          <w:color w:val="000000"/>
          <w:sz w:val="18"/>
          <w:szCs w:val="20"/>
          <w:lang w:val="en-US" w:eastAsia="zh-CN"/>
        </w:rPr>
        <w:t xml:space="preserve">, R.W.; Cunningham, A.L. Diversity of receptors binding HIV on dendritic cell subsets. </w:t>
      </w:r>
      <w:r w:rsidRPr="005C3D3A">
        <w:rPr>
          <w:rFonts w:ascii="Palatino Linotype" w:eastAsia="SimSun" w:hAnsi="Palatino Linotype" w:cs="Times New Roman"/>
          <w:i/>
          <w:iCs/>
          <w:color w:val="000000"/>
          <w:sz w:val="18"/>
          <w:szCs w:val="20"/>
          <w:lang w:val="en-US" w:eastAsia="zh-CN"/>
        </w:rPr>
        <w:t>Nat.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2002</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3</w:t>
      </w:r>
      <w:r w:rsidRPr="005C3D3A">
        <w:rPr>
          <w:rFonts w:ascii="Palatino Linotype" w:eastAsia="SimSun" w:hAnsi="Palatino Linotype" w:cs="Times New Roman"/>
          <w:bCs/>
          <w:color w:val="000000"/>
          <w:sz w:val="18"/>
          <w:szCs w:val="20"/>
          <w:lang w:val="en-US" w:eastAsia="zh-CN"/>
        </w:rPr>
        <w:t>, 975–983,</w:t>
      </w:r>
      <w:r w:rsidRPr="005C3D3A">
        <w:rPr>
          <w:rFonts w:ascii="Palatino Linotype" w:eastAsia="SimSun" w:hAnsi="Palatino Linotype" w:cs="Times New Roman"/>
          <w:color w:val="000000"/>
          <w:sz w:val="18"/>
          <w:szCs w:val="20"/>
          <w:lang w:val="en-US" w:eastAsia="zh-CN"/>
        </w:rPr>
        <w:t xml:space="preserve"> doi:10.1038/ni841.</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Geijtenbeek</w:t>
      </w:r>
      <w:proofErr w:type="spellEnd"/>
      <w:r w:rsidRPr="005C3D3A">
        <w:rPr>
          <w:rFonts w:ascii="Palatino Linotype" w:eastAsia="SimSun" w:hAnsi="Palatino Linotype" w:cs="Times New Roman"/>
          <w:color w:val="000000"/>
          <w:sz w:val="18"/>
          <w:szCs w:val="20"/>
          <w:lang w:val="en-US" w:eastAsia="zh-CN"/>
        </w:rPr>
        <w:t xml:space="preserve">, T.B.; Kwon, D.S.; </w:t>
      </w:r>
      <w:proofErr w:type="spellStart"/>
      <w:r w:rsidRPr="005C3D3A">
        <w:rPr>
          <w:rFonts w:ascii="Palatino Linotype" w:eastAsia="SimSun" w:hAnsi="Palatino Linotype" w:cs="Times New Roman"/>
          <w:color w:val="000000"/>
          <w:sz w:val="18"/>
          <w:szCs w:val="20"/>
          <w:lang w:val="en-US" w:eastAsia="zh-CN"/>
        </w:rPr>
        <w:t>Torensma</w:t>
      </w:r>
      <w:proofErr w:type="spellEnd"/>
      <w:r w:rsidRPr="005C3D3A">
        <w:rPr>
          <w:rFonts w:ascii="Palatino Linotype" w:eastAsia="SimSun" w:hAnsi="Palatino Linotype" w:cs="Times New Roman"/>
          <w:color w:val="000000"/>
          <w:sz w:val="18"/>
          <w:szCs w:val="20"/>
          <w:lang w:val="en-US" w:eastAsia="zh-CN"/>
        </w:rPr>
        <w:t xml:space="preserve">, R.; van Vliet, S.J.; van </w:t>
      </w:r>
      <w:proofErr w:type="spellStart"/>
      <w:r w:rsidRPr="005C3D3A">
        <w:rPr>
          <w:rFonts w:ascii="Palatino Linotype" w:eastAsia="SimSun" w:hAnsi="Palatino Linotype" w:cs="Times New Roman"/>
          <w:color w:val="000000"/>
          <w:sz w:val="18"/>
          <w:szCs w:val="20"/>
          <w:lang w:val="en-US" w:eastAsia="zh-CN"/>
        </w:rPr>
        <w:t>Duijnhoven</w:t>
      </w:r>
      <w:proofErr w:type="spellEnd"/>
      <w:r w:rsidRPr="005C3D3A">
        <w:rPr>
          <w:rFonts w:ascii="Palatino Linotype" w:eastAsia="SimSun" w:hAnsi="Palatino Linotype" w:cs="Times New Roman"/>
          <w:color w:val="000000"/>
          <w:sz w:val="18"/>
          <w:szCs w:val="20"/>
          <w:lang w:val="en-US" w:eastAsia="zh-CN"/>
        </w:rPr>
        <w:t xml:space="preserve">, G.C.; </w:t>
      </w:r>
      <w:proofErr w:type="spellStart"/>
      <w:r w:rsidRPr="005C3D3A">
        <w:rPr>
          <w:rFonts w:ascii="Palatino Linotype" w:eastAsia="SimSun" w:hAnsi="Palatino Linotype" w:cs="Times New Roman"/>
          <w:color w:val="000000"/>
          <w:sz w:val="18"/>
          <w:szCs w:val="20"/>
          <w:lang w:val="en-US" w:eastAsia="zh-CN"/>
        </w:rPr>
        <w:t>Middel</w:t>
      </w:r>
      <w:proofErr w:type="spellEnd"/>
      <w:r w:rsidRPr="005C3D3A">
        <w:rPr>
          <w:rFonts w:ascii="Palatino Linotype" w:eastAsia="SimSun" w:hAnsi="Palatino Linotype" w:cs="Times New Roman"/>
          <w:color w:val="000000"/>
          <w:sz w:val="18"/>
          <w:szCs w:val="20"/>
          <w:lang w:val="en-US" w:eastAsia="zh-CN"/>
        </w:rPr>
        <w:t xml:space="preserve">, J.; Cornelissen, I.L.M.H.; </w:t>
      </w:r>
      <w:proofErr w:type="spellStart"/>
      <w:r w:rsidRPr="005C3D3A">
        <w:rPr>
          <w:rFonts w:ascii="Palatino Linotype" w:eastAsia="SimSun" w:hAnsi="Palatino Linotype" w:cs="Times New Roman"/>
          <w:color w:val="000000"/>
          <w:sz w:val="18"/>
          <w:szCs w:val="20"/>
          <w:lang w:val="en-US" w:eastAsia="zh-CN"/>
        </w:rPr>
        <w:t>Nottet</w:t>
      </w:r>
      <w:proofErr w:type="spellEnd"/>
      <w:r w:rsidRPr="005C3D3A">
        <w:rPr>
          <w:rFonts w:ascii="Palatino Linotype" w:eastAsia="SimSun" w:hAnsi="Palatino Linotype" w:cs="Times New Roman"/>
          <w:color w:val="000000"/>
          <w:sz w:val="18"/>
          <w:szCs w:val="20"/>
          <w:lang w:val="en-US" w:eastAsia="zh-CN"/>
        </w:rPr>
        <w:t xml:space="preserve">, H.S.L.; </w:t>
      </w:r>
      <w:proofErr w:type="spellStart"/>
      <w:r w:rsidRPr="005C3D3A">
        <w:rPr>
          <w:rFonts w:ascii="Palatino Linotype" w:eastAsia="SimSun" w:hAnsi="Palatino Linotype" w:cs="Times New Roman"/>
          <w:color w:val="000000"/>
          <w:sz w:val="18"/>
          <w:szCs w:val="20"/>
          <w:lang w:val="en-US" w:eastAsia="zh-CN"/>
        </w:rPr>
        <w:t>KewalRamani</w:t>
      </w:r>
      <w:proofErr w:type="spellEnd"/>
      <w:r w:rsidRPr="005C3D3A">
        <w:rPr>
          <w:rFonts w:ascii="Palatino Linotype" w:eastAsia="SimSun" w:hAnsi="Palatino Linotype" w:cs="Times New Roman"/>
          <w:color w:val="000000"/>
          <w:sz w:val="18"/>
          <w:szCs w:val="20"/>
          <w:lang w:val="en-US" w:eastAsia="zh-CN"/>
        </w:rPr>
        <w:t xml:space="preserve">, V.N.; Littman, D.R.; et al. DC-SIGN, a dendritic cell-specific HIV-1-binding protein that enhances trans-infection of T cells. </w:t>
      </w:r>
      <w:r w:rsidRPr="005C3D3A">
        <w:rPr>
          <w:rFonts w:ascii="Palatino Linotype" w:eastAsia="SimSun" w:hAnsi="Palatino Linotype" w:cs="Times New Roman"/>
          <w:i/>
          <w:iCs/>
          <w:color w:val="000000"/>
          <w:sz w:val="18"/>
          <w:szCs w:val="20"/>
          <w:lang w:val="en-US" w:eastAsia="zh-CN"/>
        </w:rPr>
        <w:t>Cell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2000</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100</w:t>
      </w:r>
      <w:r w:rsidRPr="005C3D3A">
        <w:rPr>
          <w:rFonts w:ascii="Palatino Linotype" w:eastAsia="SimSun" w:hAnsi="Palatino Linotype" w:cs="Times New Roman"/>
          <w:bCs/>
          <w:color w:val="000000"/>
          <w:sz w:val="18"/>
          <w:szCs w:val="20"/>
          <w:lang w:val="en-US" w:eastAsia="zh-CN"/>
        </w:rPr>
        <w:t>, 587–597</w:t>
      </w:r>
      <w:r w:rsidRPr="005C3D3A">
        <w:rPr>
          <w:rFonts w:ascii="Palatino Linotype" w:eastAsia="SimSun" w:hAnsi="Palatino Linotype" w:cs="Times New Roman"/>
          <w:color w:val="000000"/>
          <w:sz w:val="18"/>
          <w:szCs w:val="20"/>
          <w:lang w:val="en-US" w:eastAsia="zh-CN"/>
        </w:rPr>
        <w:t>, doi:10.1016/S0092-8674(00)80694-7.</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Turville</w:t>
      </w:r>
      <w:proofErr w:type="spellEnd"/>
      <w:r w:rsidRPr="005C3D3A">
        <w:rPr>
          <w:rFonts w:ascii="Palatino Linotype" w:eastAsia="SimSun" w:hAnsi="Palatino Linotype" w:cs="Times New Roman"/>
          <w:color w:val="000000"/>
          <w:sz w:val="18"/>
          <w:szCs w:val="20"/>
          <w:lang w:val="en-US" w:eastAsia="zh-CN"/>
        </w:rPr>
        <w:t xml:space="preserve">, S.; Wilkinson, J.; Cameron, P.; </w:t>
      </w:r>
      <w:proofErr w:type="spellStart"/>
      <w:r w:rsidRPr="005C3D3A">
        <w:rPr>
          <w:rFonts w:ascii="Palatino Linotype" w:eastAsia="SimSun" w:hAnsi="Palatino Linotype" w:cs="Times New Roman"/>
          <w:color w:val="000000"/>
          <w:sz w:val="18"/>
          <w:szCs w:val="20"/>
          <w:lang w:val="en-US" w:eastAsia="zh-CN"/>
        </w:rPr>
        <w:t>Dable</w:t>
      </w:r>
      <w:proofErr w:type="spellEnd"/>
      <w:r w:rsidRPr="005C3D3A">
        <w:rPr>
          <w:rFonts w:ascii="Palatino Linotype" w:eastAsia="SimSun" w:hAnsi="Palatino Linotype" w:cs="Times New Roman"/>
          <w:color w:val="000000"/>
          <w:sz w:val="18"/>
          <w:szCs w:val="20"/>
          <w:lang w:val="en-US" w:eastAsia="zh-CN"/>
        </w:rPr>
        <w:t xml:space="preserve">, J.; Cunningham, A.L. The role of dendritic cell C-type lectin receptors in HIV pathogenesis. </w:t>
      </w:r>
      <w:r w:rsidRPr="005C3D3A">
        <w:rPr>
          <w:rFonts w:ascii="Palatino Linotype" w:eastAsia="SimSun" w:hAnsi="Palatino Linotype" w:cs="Times New Roman"/>
          <w:i/>
          <w:iCs/>
          <w:color w:val="000000"/>
          <w:sz w:val="18"/>
          <w:szCs w:val="20"/>
          <w:lang w:val="en-US" w:eastAsia="zh-CN"/>
        </w:rPr>
        <w:t xml:space="preserve">J. </w:t>
      </w:r>
      <w:proofErr w:type="spellStart"/>
      <w:r w:rsidRPr="005C3D3A">
        <w:rPr>
          <w:rFonts w:ascii="Palatino Linotype" w:eastAsia="SimSun" w:hAnsi="Palatino Linotype" w:cs="Times New Roman"/>
          <w:i/>
          <w:iCs/>
          <w:color w:val="000000"/>
          <w:sz w:val="18"/>
          <w:szCs w:val="20"/>
          <w:lang w:val="en-US" w:eastAsia="zh-CN"/>
        </w:rPr>
        <w:t>Leukoc</w:t>
      </w:r>
      <w:proofErr w:type="spellEnd"/>
      <w:r w:rsidRPr="005C3D3A">
        <w:rPr>
          <w:rFonts w:ascii="Palatino Linotype" w:eastAsia="SimSun" w:hAnsi="Palatino Linotype" w:cs="Times New Roman"/>
          <w:i/>
          <w:iCs/>
          <w:color w:val="000000"/>
          <w:sz w:val="18"/>
          <w:szCs w:val="20"/>
          <w:lang w:val="en-US" w:eastAsia="zh-CN"/>
        </w:rPr>
        <w:t>. Biol.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74</w:t>
      </w:r>
      <w:r w:rsidRPr="005C3D3A">
        <w:rPr>
          <w:rFonts w:ascii="Palatino Linotype" w:eastAsia="SimSun" w:hAnsi="Palatino Linotype" w:cs="Times New Roman"/>
          <w:bCs/>
          <w:color w:val="000000"/>
          <w:sz w:val="18"/>
          <w:szCs w:val="20"/>
          <w:lang w:val="en-US" w:eastAsia="zh-CN"/>
        </w:rPr>
        <w:t>, 710–718</w:t>
      </w:r>
      <w:r w:rsidRPr="005C3D3A">
        <w:rPr>
          <w:rFonts w:ascii="Palatino Linotype" w:eastAsia="SimSun" w:hAnsi="Palatino Linotype" w:cs="Times New Roman"/>
          <w:color w:val="000000"/>
          <w:sz w:val="18"/>
          <w:szCs w:val="20"/>
          <w:lang w:val="en-US" w:eastAsia="zh-CN"/>
        </w:rPr>
        <w:t>, doi:10.1189/jlb.0503208.</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Moris</w:t>
      </w:r>
      <w:proofErr w:type="spellEnd"/>
      <w:r w:rsidRPr="005C3D3A">
        <w:rPr>
          <w:rFonts w:ascii="Palatino Linotype" w:eastAsia="SimSun" w:hAnsi="Palatino Linotype" w:cs="Times New Roman"/>
          <w:color w:val="000000"/>
          <w:sz w:val="18"/>
          <w:szCs w:val="20"/>
          <w:lang w:val="en-US" w:eastAsia="zh-CN"/>
        </w:rPr>
        <w:t xml:space="preserve">, A.; </w:t>
      </w:r>
      <w:proofErr w:type="spellStart"/>
      <w:r w:rsidRPr="005C3D3A">
        <w:rPr>
          <w:rFonts w:ascii="Palatino Linotype" w:eastAsia="SimSun" w:hAnsi="Palatino Linotype" w:cs="Times New Roman"/>
          <w:color w:val="000000"/>
          <w:sz w:val="18"/>
          <w:szCs w:val="20"/>
          <w:lang w:val="en-US" w:eastAsia="zh-CN"/>
        </w:rPr>
        <w:t>Pajot</w:t>
      </w:r>
      <w:proofErr w:type="spellEnd"/>
      <w:r w:rsidRPr="005C3D3A">
        <w:rPr>
          <w:rFonts w:ascii="Palatino Linotype" w:eastAsia="SimSun" w:hAnsi="Palatino Linotype" w:cs="Times New Roman"/>
          <w:color w:val="000000"/>
          <w:sz w:val="18"/>
          <w:szCs w:val="20"/>
          <w:lang w:val="en-US" w:eastAsia="zh-CN"/>
        </w:rPr>
        <w:t xml:space="preserve">, A.; Blanchet, F.; </w:t>
      </w:r>
      <w:proofErr w:type="spellStart"/>
      <w:r w:rsidRPr="005C3D3A">
        <w:rPr>
          <w:rFonts w:ascii="Palatino Linotype" w:eastAsia="SimSun" w:hAnsi="Palatino Linotype" w:cs="Times New Roman"/>
          <w:color w:val="000000"/>
          <w:sz w:val="18"/>
          <w:szCs w:val="20"/>
          <w:lang w:val="en-US" w:eastAsia="zh-CN"/>
        </w:rPr>
        <w:t>Guivel-Benhassine</w:t>
      </w:r>
      <w:proofErr w:type="spellEnd"/>
      <w:r w:rsidRPr="005C3D3A">
        <w:rPr>
          <w:rFonts w:ascii="Palatino Linotype" w:eastAsia="SimSun" w:hAnsi="Palatino Linotype" w:cs="Times New Roman"/>
          <w:color w:val="000000"/>
          <w:sz w:val="18"/>
          <w:szCs w:val="20"/>
          <w:lang w:val="en-US" w:eastAsia="zh-CN"/>
        </w:rPr>
        <w:t xml:space="preserve">, F.; Salcedo, M.; Schwartz, O. Dendritic cells and HIV-specific CD4+ T cells: HIV antigen presentation, T-cell activation, and viral transfer. </w:t>
      </w:r>
      <w:r w:rsidRPr="005C3D3A">
        <w:rPr>
          <w:rFonts w:ascii="Palatino Linotype" w:eastAsia="SimSun" w:hAnsi="Palatino Linotype" w:cs="Times New Roman"/>
          <w:i/>
          <w:iCs/>
          <w:color w:val="000000"/>
          <w:sz w:val="18"/>
          <w:szCs w:val="20"/>
          <w:lang w:val="en-US" w:eastAsia="zh-CN"/>
        </w:rPr>
        <w:t>Blood</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2006</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108</w:t>
      </w:r>
      <w:r w:rsidRPr="005C3D3A">
        <w:rPr>
          <w:rFonts w:ascii="Palatino Linotype" w:eastAsia="SimSun" w:hAnsi="Palatino Linotype" w:cs="Times New Roman"/>
          <w:bCs/>
          <w:color w:val="000000"/>
          <w:sz w:val="18"/>
          <w:szCs w:val="20"/>
          <w:lang w:val="en-US" w:eastAsia="zh-CN"/>
        </w:rPr>
        <w:t>, 1643–1651,</w:t>
      </w:r>
      <w:r w:rsidRPr="005C3D3A">
        <w:rPr>
          <w:rFonts w:ascii="Palatino Linotype" w:eastAsia="SimSun" w:hAnsi="Palatino Linotype" w:cs="Times New Roman"/>
          <w:color w:val="000000"/>
          <w:sz w:val="18"/>
          <w:szCs w:val="20"/>
          <w:lang w:val="en-US" w:eastAsia="zh-CN"/>
        </w:rPr>
        <w:t xml:space="preserve"> doi:10.1182/blood-2006-02-006361.</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Van Montfort, T.; </w:t>
      </w:r>
      <w:proofErr w:type="spellStart"/>
      <w:r w:rsidRPr="005C3D3A">
        <w:rPr>
          <w:rFonts w:ascii="Palatino Linotype" w:eastAsia="SimSun" w:hAnsi="Palatino Linotype" w:cs="Times New Roman"/>
          <w:color w:val="000000"/>
          <w:sz w:val="18"/>
          <w:szCs w:val="20"/>
          <w:lang w:val="en-US" w:eastAsia="zh-CN"/>
        </w:rPr>
        <w:t>Nabatov</w:t>
      </w:r>
      <w:proofErr w:type="spellEnd"/>
      <w:r w:rsidRPr="005C3D3A">
        <w:rPr>
          <w:rFonts w:ascii="Palatino Linotype" w:eastAsia="SimSun" w:hAnsi="Palatino Linotype" w:cs="Times New Roman"/>
          <w:color w:val="000000"/>
          <w:sz w:val="18"/>
          <w:szCs w:val="20"/>
          <w:lang w:val="en-US" w:eastAsia="zh-CN"/>
        </w:rPr>
        <w:t xml:space="preserve">, A.A.; </w:t>
      </w:r>
      <w:proofErr w:type="spellStart"/>
      <w:r w:rsidRPr="005C3D3A">
        <w:rPr>
          <w:rFonts w:ascii="Palatino Linotype" w:eastAsia="SimSun" w:hAnsi="Palatino Linotype" w:cs="Times New Roman"/>
          <w:color w:val="000000"/>
          <w:sz w:val="18"/>
          <w:szCs w:val="20"/>
          <w:lang w:val="en-US" w:eastAsia="zh-CN"/>
        </w:rPr>
        <w:t>Geijtenbeek</w:t>
      </w:r>
      <w:proofErr w:type="spellEnd"/>
      <w:r w:rsidRPr="005C3D3A">
        <w:rPr>
          <w:rFonts w:ascii="Palatino Linotype" w:eastAsia="SimSun" w:hAnsi="Palatino Linotype" w:cs="Times New Roman"/>
          <w:color w:val="000000"/>
          <w:sz w:val="18"/>
          <w:szCs w:val="20"/>
          <w:lang w:val="en-US" w:eastAsia="zh-CN"/>
        </w:rPr>
        <w:t xml:space="preserve">, T.B.H.; Pollakis, G.; Paxton, W.A. Efficient capture of antibody neutralized HIV-1 by cells expressing DC-SIGN and transfer to CD4+ T lymphocytes. </w:t>
      </w:r>
      <w:r w:rsidRPr="005C3D3A">
        <w:rPr>
          <w:rFonts w:ascii="Palatino Linotype" w:eastAsia="SimSun" w:hAnsi="Palatino Linotype" w:cs="Times New Roman"/>
          <w:i/>
          <w:iCs/>
          <w:color w:val="000000"/>
          <w:sz w:val="18"/>
          <w:szCs w:val="20"/>
          <w:lang w:val="en-US" w:eastAsia="zh-CN"/>
        </w:rPr>
        <w:t>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2007</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178</w:t>
      </w:r>
      <w:r w:rsidRPr="005C3D3A">
        <w:rPr>
          <w:rFonts w:ascii="Palatino Linotype" w:eastAsia="SimSun" w:hAnsi="Palatino Linotype" w:cs="Times New Roman"/>
          <w:bCs/>
          <w:color w:val="000000"/>
          <w:sz w:val="18"/>
          <w:szCs w:val="20"/>
          <w:lang w:val="en-US" w:eastAsia="zh-CN"/>
        </w:rPr>
        <w:t>, 3177–3185</w:t>
      </w:r>
      <w:r w:rsidRPr="005C3D3A">
        <w:rPr>
          <w:rFonts w:ascii="Palatino Linotype" w:eastAsia="SimSun" w:hAnsi="Palatino Linotype" w:cs="Times New Roman"/>
          <w:color w:val="000000"/>
          <w:sz w:val="18"/>
          <w:szCs w:val="20"/>
          <w:lang w:val="en-US" w:eastAsia="zh-CN"/>
        </w:rPr>
        <w:t>, doi:10.4049/jimmunol.178.5.3177.</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Bobardt</w:t>
      </w:r>
      <w:proofErr w:type="spellEnd"/>
      <w:r w:rsidRPr="005C3D3A">
        <w:rPr>
          <w:rFonts w:ascii="Palatino Linotype" w:eastAsia="SimSun" w:hAnsi="Palatino Linotype" w:cs="Times New Roman"/>
          <w:color w:val="000000"/>
          <w:sz w:val="18"/>
          <w:szCs w:val="20"/>
          <w:lang w:val="en-US" w:eastAsia="zh-CN"/>
        </w:rPr>
        <w:t xml:space="preserve">, M.D.; </w:t>
      </w:r>
      <w:proofErr w:type="spellStart"/>
      <w:r w:rsidRPr="005C3D3A">
        <w:rPr>
          <w:rFonts w:ascii="Palatino Linotype" w:eastAsia="SimSun" w:hAnsi="Palatino Linotype" w:cs="Times New Roman"/>
          <w:color w:val="000000"/>
          <w:sz w:val="18"/>
          <w:szCs w:val="20"/>
          <w:lang w:val="en-US" w:eastAsia="zh-CN"/>
        </w:rPr>
        <w:t>Saphire</w:t>
      </w:r>
      <w:proofErr w:type="spellEnd"/>
      <w:r w:rsidRPr="005C3D3A">
        <w:rPr>
          <w:rFonts w:ascii="Palatino Linotype" w:eastAsia="SimSun" w:hAnsi="Palatino Linotype" w:cs="Times New Roman"/>
          <w:color w:val="000000"/>
          <w:sz w:val="18"/>
          <w:szCs w:val="20"/>
          <w:lang w:val="en-US" w:eastAsia="zh-CN"/>
        </w:rPr>
        <w:t xml:space="preserve">, A.C.S.; Hung, H.-C.; Yu, X.; Van der </w:t>
      </w:r>
      <w:proofErr w:type="spellStart"/>
      <w:r w:rsidRPr="005C3D3A">
        <w:rPr>
          <w:rFonts w:ascii="Palatino Linotype" w:eastAsia="SimSun" w:hAnsi="Palatino Linotype" w:cs="Times New Roman"/>
          <w:color w:val="000000"/>
          <w:sz w:val="18"/>
          <w:szCs w:val="20"/>
          <w:lang w:val="en-US" w:eastAsia="zh-CN"/>
        </w:rPr>
        <w:t>Schueren</w:t>
      </w:r>
      <w:proofErr w:type="spellEnd"/>
      <w:r w:rsidRPr="005C3D3A">
        <w:rPr>
          <w:rFonts w:ascii="Palatino Linotype" w:eastAsia="SimSun" w:hAnsi="Palatino Linotype" w:cs="Times New Roman"/>
          <w:color w:val="000000"/>
          <w:sz w:val="18"/>
          <w:szCs w:val="20"/>
          <w:lang w:val="en-US" w:eastAsia="zh-CN"/>
        </w:rPr>
        <w:t xml:space="preserve">, B.; Zhang, Z.; David, G.; </w:t>
      </w:r>
      <w:proofErr w:type="spellStart"/>
      <w:r w:rsidRPr="005C3D3A">
        <w:rPr>
          <w:rFonts w:ascii="Palatino Linotype" w:eastAsia="SimSun" w:hAnsi="Palatino Linotype" w:cs="Times New Roman"/>
          <w:color w:val="000000"/>
          <w:sz w:val="18"/>
          <w:szCs w:val="20"/>
          <w:lang w:val="en-US" w:eastAsia="zh-CN"/>
        </w:rPr>
        <w:t>Gallay</w:t>
      </w:r>
      <w:proofErr w:type="spellEnd"/>
      <w:r w:rsidRPr="005C3D3A">
        <w:rPr>
          <w:rFonts w:ascii="Palatino Linotype" w:eastAsia="SimSun" w:hAnsi="Palatino Linotype" w:cs="Times New Roman"/>
          <w:color w:val="000000"/>
          <w:sz w:val="18"/>
          <w:szCs w:val="20"/>
          <w:lang w:val="en-US" w:eastAsia="zh-CN"/>
        </w:rPr>
        <w:t xml:space="preserve">, P.A. </w:t>
      </w:r>
      <w:proofErr w:type="spellStart"/>
      <w:r w:rsidRPr="005C3D3A">
        <w:rPr>
          <w:rFonts w:ascii="Palatino Linotype" w:eastAsia="SimSun" w:hAnsi="Palatino Linotype" w:cs="Times New Roman"/>
          <w:color w:val="000000"/>
          <w:sz w:val="18"/>
          <w:szCs w:val="20"/>
          <w:lang w:val="en-US" w:eastAsia="zh-CN"/>
        </w:rPr>
        <w:t>Syndecan</w:t>
      </w:r>
      <w:proofErr w:type="spellEnd"/>
      <w:r w:rsidRPr="005C3D3A">
        <w:rPr>
          <w:rFonts w:ascii="Palatino Linotype" w:eastAsia="SimSun" w:hAnsi="Palatino Linotype" w:cs="Times New Roman"/>
          <w:color w:val="000000"/>
          <w:sz w:val="18"/>
          <w:szCs w:val="20"/>
          <w:lang w:val="en-US" w:eastAsia="zh-CN"/>
        </w:rPr>
        <w:t xml:space="preserve"> captures, protects, and transmits HIV to T lymphocytes. </w:t>
      </w:r>
      <w:r w:rsidRPr="005C3D3A">
        <w:rPr>
          <w:rFonts w:ascii="Palatino Linotype" w:eastAsia="SimSun" w:hAnsi="Palatino Linotype" w:cs="Times New Roman"/>
          <w:i/>
          <w:iCs/>
          <w:color w:val="000000"/>
          <w:sz w:val="18"/>
          <w:szCs w:val="20"/>
          <w:lang w:val="en-US" w:eastAsia="zh-CN"/>
        </w:rPr>
        <w:t>Immunity</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18</w:t>
      </w:r>
      <w:r w:rsidRPr="005C3D3A">
        <w:rPr>
          <w:rFonts w:ascii="Palatino Linotype" w:eastAsia="SimSun" w:hAnsi="Palatino Linotype" w:cs="Times New Roman"/>
          <w:bCs/>
          <w:color w:val="000000"/>
          <w:sz w:val="18"/>
          <w:szCs w:val="20"/>
          <w:lang w:val="en-US" w:eastAsia="zh-CN"/>
        </w:rPr>
        <w:t>, 27–39</w:t>
      </w:r>
      <w:r w:rsidRPr="005C3D3A">
        <w:rPr>
          <w:rFonts w:ascii="Palatino Linotype" w:eastAsia="SimSun" w:hAnsi="Palatino Linotype" w:cs="Times New Roman"/>
          <w:color w:val="000000"/>
          <w:sz w:val="18"/>
          <w:szCs w:val="20"/>
          <w:lang w:val="en-US" w:eastAsia="zh-CN"/>
        </w:rPr>
        <w:t>, doi:10.1016/S1074-7613(02)00504-6.</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De Witte, L.; </w:t>
      </w:r>
      <w:proofErr w:type="spellStart"/>
      <w:r w:rsidRPr="005C3D3A">
        <w:rPr>
          <w:rFonts w:ascii="Palatino Linotype" w:eastAsia="SimSun" w:hAnsi="Palatino Linotype" w:cs="Times New Roman"/>
          <w:color w:val="000000"/>
          <w:sz w:val="18"/>
          <w:szCs w:val="20"/>
          <w:lang w:val="en-US" w:eastAsia="zh-CN"/>
        </w:rPr>
        <w:t>Bobardt</w:t>
      </w:r>
      <w:proofErr w:type="spellEnd"/>
      <w:r w:rsidRPr="005C3D3A">
        <w:rPr>
          <w:rFonts w:ascii="Palatino Linotype" w:eastAsia="SimSun" w:hAnsi="Palatino Linotype" w:cs="Times New Roman"/>
          <w:color w:val="000000"/>
          <w:sz w:val="18"/>
          <w:szCs w:val="20"/>
          <w:lang w:val="en-US" w:eastAsia="zh-CN"/>
        </w:rPr>
        <w:t xml:space="preserve">, M.; </w:t>
      </w:r>
      <w:proofErr w:type="spellStart"/>
      <w:r w:rsidRPr="005C3D3A">
        <w:rPr>
          <w:rFonts w:ascii="Palatino Linotype" w:eastAsia="SimSun" w:hAnsi="Palatino Linotype" w:cs="Times New Roman"/>
          <w:color w:val="000000"/>
          <w:sz w:val="18"/>
          <w:szCs w:val="20"/>
          <w:lang w:val="en-US" w:eastAsia="zh-CN"/>
        </w:rPr>
        <w:t>Chatterji</w:t>
      </w:r>
      <w:proofErr w:type="spellEnd"/>
      <w:r w:rsidRPr="005C3D3A">
        <w:rPr>
          <w:rFonts w:ascii="Palatino Linotype" w:eastAsia="SimSun" w:hAnsi="Palatino Linotype" w:cs="Times New Roman"/>
          <w:color w:val="000000"/>
          <w:sz w:val="18"/>
          <w:szCs w:val="20"/>
          <w:lang w:val="en-US" w:eastAsia="zh-CN"/>
        </w:rPr>
        <w:t xml:space="preserve">, U.; </w:t>
      </w:r>
      <w:proofErr w:type="spellStart"/>
      <w:r w:rsidRPr="005C3D3A">
        <w:rPr>
          <w:rFonts w:ascii="Palatino Linotype" w:eastAsia="SimSun" w:hAnsi="Palatino Linotype" w:cs="Times New Roman"/>
          <w:color w:val="000000"/>
          <w:sz w:val="18"/>
          <w:szCs w:val="20"/>
          <w:lang w:val="en-US" w:eastAsia="zh-CN"/>
        </w:rPr>
        <w:t>Degeest</w:t>
      </w:r>
      <w:proofErr w:type="spellEnd"/>
      <w:r w:rsidRPr="005C3D3A">
        <w:rPr>
          <w:rFonts w:ascii="Palatino Linotype" w:eastAsia="SimSun" w:hAnsi="Palatino Linotype" w:cs="Times New Roman"/>
          <w:color w:val="000000"/>
          <w:sz w:val="18"/>
          <w:szCs w:val="20"/>
          <w:lang w:val="en-US" w:eastAsia="zh-CN"/>
        </w:rPr>
        <w:t xml:space="preserve">, G.; David, G.; </w:t>
      </w:r>
      <w:proofErr w:type="spellStart"/>
      <w:r w:rsidRPr="005C3D3A">
        <w:rPr>
          <w:rFonts w:ascii="Palatino Linotype" w:eastAsia="SimSun" w:hAnsi="Palatino Linotype" w:cs="Times New Roman"/>
          <w:color w:val="000000"/>
          <w:sz w:val="18"/>
          <w:szCs w:val="20"/>
          <w:lang w:val="en-US" w:eastAsia="zh-CN"/>
        </w:rPr>
        <w:t>Geijtenbeek</w:t>
      </w:r>
      <w:proofErr w:type="spellEnd"/>
      <w:r w:rsidRPr="005C3D3A">
        <w:rPr>
          <w:rFonts w:ascii="Palatino Linotype" w:eastAsia="SimSun" w:hAnsi="Palatino Linotype" w:cs="Times New Roman"/>
          <w:color w:val="000000"/>
          <w:sz w:val="18"/>
          <w:szCs w:val="20"/>
          <w:lang w:val="en-US" w:eastAsia="zh-CN"/>
        </w:rPr>
        <w:t xml:space="preserve">, T.B.H.; </w:t>
      </w:r>
      <w:proofErr w:type="spellStart"/>
      <w:r w:rsidRPr="005C3D3A">
        <w:rPr>
          <w:rFonts w:ascii="Palatino Linotype" w:eastAsia="SimSun" w:hAnsi="Palatino Linotype" w:cs="Times New Roman"/>
          <w:color w:val="000000"/>
          <w:sz w:val="18"/>
          <w:szCs w:val="20"/>
          <w:lang w:val="en-US" w:eastAsia="zh-CN"/>
        </w:rPr>
        <w:t>Gallay</w:t>
      </w:r>
      <w:proofErr w:type="spellEnd"/>
      <w:r w:rsidRPr="005C3D3A">
        <w:rPr>
          <w:rFonts w:ascii="Palatino Linotype" w:eastAsia="SimSun" w:hAnsi="Palatino Linotype" w:cs="Times New Roman"/>
          <w:color w:val="000000"/>
          <w:sz w:val="18"/>
          <w:szCs w:val="20"/>
          <w:lang w:val="en-US" w:eastAsia="zh-CN"/>
        </w:rPr>
        <w:t xml:space="preserve">, P. Syndecan-3 is a dendritic cell-specific attachment receptor for HIV-1. </w:t>
      </w:r>
      <w:r w:rsidRPr="005C3D3A">
        <w:rPr>
          <w:rFonts w:ascii="Palatino Linotype" w:eastAsia="SimSun" w:hAnsi="Palatino Linotype" w:cs="Times New Roman"/>
          <w:i/>
          <w:iCs/>
          <w:color w:val="000000"/>
          <w:sz w:val="18"/>
          <w:szCs w:val="20"/>
          <w:lang w:val="en-US" w:eastAsia="zh-CN"/>
        </w:rPr>
        <w:t>Proc. Natl. Acad. Sci. USA</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2007</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104</w:t>
      </w:r>
      <w:r w:rsidRPr="005C3D3A">
        <w:rPr>
          <w:rFonts w:ascii="Palatino Linotype" w:eastAsia="SimSun" w:hAnsi="Palatino Linotype" w:cs="Times New Roman"/>
          <w:bCs/>
          <w:color w:val="000000"/>
          <w:sz w:val="18"/>
          <w:szCs w:val="20"/>
          <w:lang w:val="en-US" w:eastAsia="zh-CN"/>
        </w:rPr>
        <w:t>, 19464–19469,</w:t>
      </w:r>
      <w:r w:rsidRPr="005C3D3A">
        <w:rPr>
          <w:rFonts w:ascii="Palatino Linotype" w:eastAsia="SimSun" w:hAnsi="Palatino Linotype" w:cs="Times New Roman"/>
          <w:color w:val="000000"/>
          <w:sz w:val="18"/>
          <w:szCs w:val="20"/>
          <w:lang w:val="en-US" w:eastAsia="zh-CN"/>
        </w:rPr>
        <w:t xml:space="preserve"> doi:10.1073/pnas.0703747104.</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Puryear, W.B.; Yu, X.; Ramirez, N.P.; Reinhard, B.M.; </w:t>
      </w:r>
      <w:proofErr w:type="spellStart"/>
      <w:r w:rsidRPr="005C3D3A">
        <w:rPr>
          <w:rFonts w:ascii="Palatino Linotype" w:eastAsia="SimSun" w:hAnsi="Palatino Linotype" w:cs="Times New Roman"/>
          <w:color w:val="000000"/>
          <w:sz w:val="18"/>
          <w:szCs w:val="20"/>
          <w:lang w:val="en-US" w:eastAsia="zh-CN"/>
        </w:rPr>
        <w:t>Gummuluru</w:t>
      </w:r>
      <w:proofErr w:type="spellEnd"/>
      <w:r w:rsidRPr="005C3D3A">
        <w:rPr>
          <w:rFonts w:ascii="Palatino Linotype" w:eastAsia="SimSun" w:hAnsi="Palatino Linotype" w:cs="Times New Roman"/>
          <w:color w:val="000000"/>
          <w:sz w:val="18"/>
          <w:szCs w:val="20"/>
          <w:lang w:val="en-US" w:eastAsia="zh-CN"/>
        </w:rPr>
        <w:t xml:space="preserve">, S. HIV-1 incorporation of host-cell-derived glycosphingolipid GM3 allows for capture by mature dendritic cells. </w:t>
      </w:r>
      <w:r w:rsidRPr="005C3D3A">
        <w:rPr>
          <w:rFonts w:ascii="Palatino Linotype" w:eastAsia="SimSun" w:hAnsi="Palatino Linotype" w:cs="Times New Roman"/>
          <w:i/>
          <w:iCs/>
          <w:color w:val="000000"/>
          <w:sz w:val="18"/>
          <w:szCs w:val="20"/>
          <w:lang w:val="en-US" w:eastAsia="zh-CN"/>
        </w:rPr>
        <w:t>Proc. Natl. Acad. Sci. USA</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2012</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109</w:t>
      </w:r>
      <w:r w:rsidRPr="005C3D3A">
        <w:rPr>
          <w:rFonts w:ascii="Palatino Linotype" w:eastAsia="SimSun" w:hAnsi="Palatino Linotype" w:cs="Times New Roman"/>
          <w:bCs/>
          <w:color w:val="000000"/>
          <w:sz w:val="18"/>
          <w:szCs w:val="20"/>
          <w:lang w:val="en-US" w:eastAsia="zh-CN"/>
        </w:rPr>
        <w:t>, 7475–7480,</w:t>
      </w:r>
      <w:r w:rsidRPr="005C3D3A">
        <w:rPr>
          <w:rFonts w:ascii="Palatino Linotype" w:eastAsia="SimSun" w:hAnsi="Palatino Linotype" w:cs="Times New Roman"/>
          <w:color w:val="000000"/>
          <w:sz w:val="18"/>
          <w:szCs w:val="20"/>
          <w:lang w:val="en-US" w:eastAsia="zh-CN"/>
        </w:rPr>
        <w:t xml:space="preserve"> doi:10.1073/pnas.1201104109.</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Izquierdo-Useros</w:t>
      </w:r>
      <w:proofErr w:type="spellEnd"/>
      <w:r w:rsidRPr="005C3D3A">
        <w:rPr>
          <w:rFonts w:ascii="Palatino Linotype" w:eastAsia="SimSun" w:hAnsi="Palatino Linotype" w:cs="Times New Roman"/>
          <w:color w:val="000000"/>
          <w:sz w:val="18"/>
          <w:szCs w:val="20"/>
          <w:lang w:val="en-US" w:eastAsia="zh-CN"/>
        </w:rPr>
        <w:t xml:space="preserve">, N.; </w:t>
      </w:r>
      <w:proofErr w:type="spellStart"/>
      <w:r w:rsidRPr="005C3D3A">
        <w:rPr>
          <w:rFonts w:ascii="Palatino Linotype" w:eastAsia="SimSun" w:hAnsi="Palatino Linotype" w:cs="Times New Roman"/>
          <w:color w:val="000000"/>
          <w:sz w:val="18"/>
          <w:szCs w:val="20"/>
          <w:lang w:val="en-US" w:eastAsia="zh-CN"/>
        </w:rPr>
        <w:t>Lorizate</w:t>
      </w:r>
      <w:proofErr w:type="spellEnd"/>
      <w:r w:rsidRPr="005C3D3A">
        <w:rPr>
          <w:rFonts w:ascii="Palatino Linotype" w:eastAsia="SimSun" w:hAnsi="Palatino Linotype" w:cs="Times New Roman"/>
          <w:color w:val="000000"/>
          <w:sz w:val="18"/>
          <w:szCs w:val="20"/>
          <w:lang w:val="en-US" w:eastAsia="zh-CN"/>
        </w:rPr>
        <w:t xml:space="preserve">, M.; McLaren, P.J.; </w:t>
      </w:r>
      <w:proofErr w:type="spellStart"/>
      <w:r w:rsidRPr="005C3D3A">
        <w:rPr>
          <w:rFonts w:ascii="Palatino Linotype" w:eastAsia="SimSun" w:hAnsi="Palatino Linotype" w:cs="Times New Roman"/>
          <w:color w:val="000000"/>
          <w:sz w:val="18"/>
          <w:szCs w:val="20"/>
          <w:lang w:val="en-US" w:eastAsia="zh-CN"/>
        </w:rPr>
        <w:t>Telenti</w:t>
      </w:r>
      <w:proofErr w:type="spellEnd"/>
      <w:r w:rsidRPr="005C3D3A">
        <w:rPr>
          <w:rFonts w:ascii="Palatino Linotype" w:eastAsia="SimSun" w:hAnsi="Palatino Linotype" w:cs="Times New Roman"/>
          <w:color w:val="000000"/>
          <w:sz w:val="18"/>
          <w:szCs w:val="20"/>
          <w:lang w:val="en-US" w:eastAsia="zh-CN"/>
        </w:rPr>
        <w:t xml:space="preserve">, A.; </w:t>
      </w:r>
      <w:proofErr w:type="spellStart"/>
      <w:r w:rsidRPr="005C3D3A">
        <w:rPr>
          <w:rFonts w:ascii="Palatino Linotype" w:eastAsia="SimSun" w:hAnsi="Palatino Linotype" w:cs="Times New Roman"/>
          <w:color w:val="000000"/>
          <w:sz w:val="18"/>
          <w:szCs w:val="20"/>
          <w:lang w:val="en-US" w:eastAsia="zh-CN"/>
        </w:rPr>
        <w:t>Kräusslich</w:t>
      </w:r>
      <w:proofErr w:type="spellEnd"/>
      <w:r w:rsidRPr="005C3D3A">
        <w:rPr>
          <w:rFonts w:ascii="Palatino Linotype" w:eastAsia="SimSun" w:hAnsi="Palatino Linotype" w:cs="Times New Roman"/>
          <w:color w:val="000000"/>
          <w:sz w:val="18"/>
          <w:szCs w:val="20"/>
          <w:lang w:val="en-US" w:eastAsia="zh-CN"/>
        </w:rPr>
        <w:t xml:space="preserve">, H.-G.; Martinez-Picado, J. HIV-1 capture and transmission by dendritic cells: The role of viral glycolipids and the cellular receptor Siglec-1. </w:t>
      </w:r>
      <w:proofErr w:type="spellStart"/>
      <w:r w:rsidRPr="005C3D3A">
        <w:rPr>
          <w:rFonts w:ascii="Palatino Linotype" w:eastAsia="SimSun" w:hAnsi="Palatino Linotype" w:cs="Times New Roman"/>
          <w:i/>
          <w:iCs/>
          <w:color w:val="000000"/>
          <w:sz w:val="18"/>
          <w:szCs w:val="20"/>
          <w:lang w:val="en-US" w:eastAsia="zh-CN"/>
        </w:rPr>
        <w:t>PLoS</w:t>
      </w:r>
      <w:proofErr w:type="spellEnd"/>
      <w:r w:rsidRPr="005C3D3A">
        <w:rPr>
          <w:rFonts w:ascii="Palatino Linotype" w:eastAsia="SimSun" w:hAnsi="Palatino Linotype" w:cs="Times New Roman"/>
          <w:i/>
          <w:iCs/>
          <w:color w:val="000000"/>
          <w:sz w:val="18"/>
          <w:szCs w:val="20"/>
          <w:lang w:val="en-US" w:eastAsia="zh-CN"/>
        </w:rPr>
        <w:t xml:space="preserve"> </w:t>
      </w:r>
      <w:proofErr w:type="spellStart"/>
      <w:r w:rsidRPr="005C3D3A">
        <w:rPr>
          <w:rFonts w:ascii="Palatino Linotype" w:eastAsia="SimSun" w:hAnsi="Palatino Linotype" w:cs="Times New Roman"/>
          <w:i/>
          <w:iCs/>
          <w:color w:val="000000"/>
          <w:sz w:val="18"/>
          <w:szCs w:val="20"/>
          <w:lang w:val="en-US" w:eastAsia="zh-CN"/>
        </w:rPr>
        <w:t>Pathog</w:t>
      </w:r>
      <w:proofErr w:type="spellEnd"/>
      <w:r w:rsidRPr="005C3D3A">
        <w:rPr>
          <w:rFonts w:ascii="Palatino Linotype" w:eastAsia="SimSun" w:hAnsi="Palatino Linotype" w:cs="Times New Roman"/>
          <w:i/>
          <w:iCs/>
          <w:color w:val="000000"/>
          <w:sz w:val="18"/>
          <w:szCs w:val="20"/>
          <w:lang w:val="en-US" w:eastAsia="zh-CN"/>
        </w:rPr>
        <w: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2014</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10</w:t>
      </w:r>
      <w:r w:rsidRPr="005C3D3A">
        <w:rPr>
          <w:rFonts w:ascii="Palatino Linotype" w:eastAsia="SimSun" w:hAnsi="Palatino Linotype" w:cs="Times New Roman"/>
          <w:color w:val="000000"/>
          <w:sz w:val="18"/>
          <w:szCs w:val="20"/>
          <w:lang w:val="en-US" w:eastAsia="zh-CN"/>
        </w:rPr>
        <w:t>, e1004146, doi:10.1371/journal.ppat.1004146.</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Akiyama, H.; Ramirez, N.-G.P.; </w:t>
      </w:r>
      <w:proofErr w:type="spellStart"/>
      <w:r w:rsidRPr="005C3D3A">
        <w:rPr>
          <w:rFonts w:ascii="Palatino Linotype" w:eastAsia="SimSun" w:hAnsi="Palatino Linotype" w:cs="Times New Roman"/>
          <w:color w:val="000000"/>
          <w:sz w:val="18"/>
          <w:szCs w:val="20"/>
          <w:lang w:val="en-US" w:eastAsia="zh-CN"/>
        </w:rPr>
        <w:t>Gudheti</w:t>
      </w:r>
      <w:proofErr w:type="spellEnd"/>
      <w:r w:rsidRPr="005C3D3A">
        <w:rPr>
          <w:rFonts w:ascii="Palatino Linotype" w:eastAsia="SimSun" w:hAnsi="Palatino Linotype" w:cs="Times New Roman"/>
          <w:color w:val="000000"/>
          <w:sz w:val="18"/>
          <w:szCs w:val="20"/>
          <w:lang w:val="en-US" w:eastAsia="zh-CN"/>
        </w:rPr>
        <w:t xml:space="preserve">, M.V.; </w:t>
      </w:r>
      <w:proofErr w:type="spellStart"/>
      <w:r w:rsidRPr="005C3D3A">
        <w:rPr>
          <w:rFonts w:ascii="Palatino Linotype" w:eastAsia="SimSun" w:hAnsi="Palatino Linotype" w:cs="Times New Roman"/>
          <w:color w:val="000000"/>
          <w:sz w:val="18"/>
          <w:szCs w:val="20"/>
          <w:lang w:val="en-US" w:eastAsia="zh-CN"/>
        </w:rPr>
        <w:t>Gummuluru</w:t>
      </w:r>
      <w:proofErr w:type="spellEnd"/>
      <w:r w:rsidRPr="005C3D3A">
        <w:rPr>
          <w:rFonts w:ascii="Palatino Linotype" w:eastAsia="SimSun" w:hAnsi="Palatino Linotype" w:cs="Times New Roman"/>
          <w:color w:val="000000"/>
          <w:sz w:val="18"/>
          <w:szCs w:val="20"/>
          <w:lang w:val="en-US" w:eastAsia="zh-CN"/>
        </w:rPr>
        <w:t xml:space="preserve">, S. CD169-mediated trafficking of HIV to plasma membrane invaginations in dendritic cells attenuates efficacy of anti-gp120 broadly neutralizing antibodies. </w:t>
      </w:r>
      <w:proofErr w:type="spellStart"/>
      <w:r w:rsidRPr="005C3D3A">
        <w:rPr>
          <w:rFonts w:ascii="Palatino Linotype" w:eastAsia="SimSun" w:hAnsi="Palatino Linotype" w:cs="Times New Roman"/>
          <w:i/>
          <w:iCs/>
          <w:color w:val="000000"/>
          <w:sz w:val="18"/>
          <w:szCs w:val="20"/>
          <w:lang w:val="en-US" w:eastAsia="zh-CN"/>
        </w:rPr>
        <w:t>PLoS</w:t>
      </w:r>
      <w:proofErr w:type="spellEnd"/>
      <w:r w:rsidRPr="005C3D3A">
        <w:rPr>
          <w:rFonts w:ascii="Palatino Linotype" w:eastAsia="SimSun" w:hAnsi="Palatino Linotype" w:cs="Times New Roman"/>
          <w:i/>
          <w:iCs/>
          <w:color w:val="000000"/>
          <w:sz w:val="18"/>
          <w:szCs w:val="20"/>
          <w:lang w:val="en-US" w:eastAsia="zh-CN"/>
        </w:rPr>
        <w:t xml:space="preserve"> </w:t>
      </w:r>
      <w:proofErr w:type="spellStart"/>
      <w:r w:rsidRPr="005C3D3A">
        <w:rPr>
          <w:rFonts w:ascii="Palatino Linotype" w:eastAsia="SimSun" w:hAnsi="Palatino Linotype" w:cs="Times New Roman"/>
          <w:i/>
          <w:iCs/>
          <w:color w:val="000000"/>
          <w:sz w:val="18"/>
          <w:szCs w:val="20"/>
          <w:lang w:val="en-US" w:eastAsia="zh-CN"/>
        </w:rPr>
        <w:t>Pathog</w:t>
      </w:r>
      <w:proofErr w:type="spellEnd"/>
      <w:r w:rsidRPr="005C3D3A">
        <w:rPr>
          <w:rFonts w:ascii="Palatino Linotype" w:eastAsia="SimSun" w:hAnsi="Palatino Linotype" w:cs="Times New Roman"/>
          <w:i/>
          <w:iCs/>
          <w:color w:val="000000"/>
          <w:sz w:val="18"/>
          <w:szCs w:val="20"/>
          <w:lang w:val="en-US" w:eastAsia="zh-CN"/>
        </w:rPr>
        <w: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2015</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11</w:t>
      </w:r>
      <w:r w:rsidRPr="005C3D3A">
        <w:rPr>
          <w:rFonts w:ascii="Palatino Linotype" w:eastAsia="SimSun" w:hAnsi="Palatino Linotype" w:cs="Times New Roman"/>
          <w:color w:val="000000"/>
          <w:sz w:val="18"/>
          <w:szCs w:val="20"/>
          <w:lang w:val="en-US" w:eastAsia="zh-CN"/>
        </w:rPr>
        <w:t>, e1004751, doi:10.1371/journal.ppat.1004751.</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Hoffmann, C.; Leis, A.; </w:t>
      </w:r>
      <w:proofErr w:type="spellStart"/>
      <w:r w:rsidRPr="005C3D3A">
        <w:rPr>
          <w:rFonts w:ascii="Palatino Linotype" w:eastAsia="SimSun" w:hAnsi="Palatino Linotype" w:cs="Times New Roman"/>
          <w:color w:val="000000"/>
          <w:sz w:val="18"/>
          <w:szCs w:val="20"/>
          <w:lang w:val="en-US" w:eastAsia="zh-CN"/>
        </w:rPr>
        <w:t>Niederweis</w:t>
      </w:r>
      <w:proofErr w:type="spellEnd"/>
      <w:r w:rsidRPr="005C3D3A">
        <w:rPr>
          <w:rFonts w:ascii="Palatino Linotype" w:eastAsia="SimSun" w:hAnsi="Palatino Linotype" w:cs="Times New Roman"/>
          <w:color w:val="000000"/>
          <w:sz w:val="18"/>
          <w:szCs w:val="20"/>
          <w:lang w:val="en-US" w:eastAsia="zh-CN"/>
        </w:rPr>
        <w:t xml:space="preserve">, M.; </w:t>
      </w:r>
      <w:proofErr w:type="spellStart"/>
      <w:r w:rsidRPr="005C3D3A">
        <w:rPr>
          <w:rFonts w:ascii="Palatino Linotype" w:eastAsia="SimSun" w:hAnsi="Palatino Linotype" w:cs="Times New Roman"/>
          <w:color w:val="000000"/>
          <w:sz w:val="18"/>
          <w:szCs w:val="20"/>
          <w:lang w:val="en-US" w:eastAsia="zh-CN"/>
        </w:rPr>
        <w:t>Plitzko</w:t>
      </w:r>
      <w:proofErr w:type="spellEnd"/>
      <w:r w:rsidRPr="005C3D3A">
        <w:rPr>
          <w:rFonts w:ascii="Palatino Linotype" w:eastAsia="SimSun" w:hAnsi="Palatino Linotype" w:cs="Times New Roman"/>
          <w:color w:val="000000"/>
          <w:sz w:val="18"/>
          <w:szCs w:val="20"/>
          <w:lang w:val="en-US" w:eastAsia="zh-CN"/>
        </w:rPr>
        <w:t xml:space="preserve">, J.M.; Engelhardt, H. Disclosure of the mycobacterial outer membrane: Cryo-electron tomography and vitreous sections reveal the lipid bilayer structure. </w:t>
      </w:r>
      <w:r w:rsidRPr="005C3D3A">
        <w:rPr>
          <w:rFonts w:ascii="Palatino Linotype" w:eastAsia="SimSun" w:hAnsi="Palatino Linotype" w:cs="Times New Roman"/>
          <w:i/>
          <w:iCs/>
          <w:color w:val="000000"/>
          <w:sz w:val="18"/>
          <w:szCs w:val="20"/>
          <w:lang w:val="en-US" w:eastAsia="zh-CN"/>
        </w:rPr>
        <w:t>Proc. Natl. Acad. Sci. USA</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2008</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105</w:t>
      </w:r>
      <w:r w:rsidRPr="005C3D3A">
        <w:rPr>
          <w:rFonts w:ascii="Palatino Linotype" w:eastAsia="SimSun" w:hAnsi="Palatino Linotype" w:cs="Times New Roman"/>
          <w:bCs/>
          <w:color w:val="000000"/>
          <w:sz w:val="18"/>
          <w:szCs w:val="20"/>
          <w:lang w:val="en-US" w:eastAsia="zh-CN"/>
        </w:rPr>
        <w:t>, 3963–3967,</w:t>
      </w:r>
      <w:r w:rsidRPr="005C3D3A">
        <w:rPr>
          <w:rFonts w:ascii="Palatino Linotype" w:eastAsia="SimSun" w:hAnsi="Palatino Linotype" w:cs="Times New Roman"/>
          <w:color w:val="000000"/>
          <w:sz w:val="18"/>
          <w:szCs w:val="20"/>
          <w:lang w:val="en-US" w:eastAsia="zh-CN"/>
        </w:rPr>
        <w:t xml:space="preserve"> doi:10.1073/pnas.0709530105.</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lastRenderedPageBreak/>
        <w:t xml:space="preserve">Zuber, B.; </w:t>
      </w:r>
      <w:proofErr w:type="spellStart"/>
      <w:r w:rsidRPr="005C3D3A">
        <w:rPr>
          <w:rFonts w:ascii="Palatino Linotype" w:eastAsia="SimSun" w:hAnsi="Palatino Linotype" w:cs="Times New Roman"/>
          <w:color w:val="000000"/>
          <w:sz w:val="18"/>
          <w:szCs w:val="20"/>
          <w:lang w:val="en-US" w:eastAsia="zh-CN"/>
        </w:rPr>
        <w:t>Chami</w:t>
      </w:r>
      <w:proofErr w:type="spellEnd"/>
      <w:r w:rsidRPr="005C3D3A">
        <w:rPr>
          <w:rFonts w:ascii="Palatino Linotype" w:eastAsia="SimSun" w:hAnsi="Palatino Linotype" w:cs="Times New Roman"/>
          <w:color w:val="000000"/>
          <w:sz w:val="18"/>
          <w:szCs w:val="20"/>
          <w:lang w:val="en-US" w:eastAsia="zh-CN"/>
        </w:rPr>
        <w:t xml:space="preserve">, M.; </w:t>
      </w:r>
      <w:proofErr w:type="spellStart"/>
      <w:r w:rsidRPr="005C3D3A">
        <w:rPr>
          <w:rFonts w:ascii="Palatino Linotype" w:eastAsia="SimSun" w:hAnsi="Palatino Linotype" w:cs="Times New Roman"/>
          <w:color w:val="000000"/>
          <w:sz w:val="18"/>
          <w:szCs w:val="20"/>
          <w:lang w:val="en-US" w:eastAsia="zh-CN"/>
        </w:rPr>
        <w:t>Houssin</w:t>
      </w:r>
      <w:proofErr w:type="spellEnd"/>
      <w:r w:rsidRPr="005C3D3A">
        <w:rPr>
          <w:rFonts w:ascii="Palatino Linotype" w:eastAsia="SimSun" w:hAnsi="Palatino Linotype" w:cs="Times New Roman"/>
          <w:color w:val="000000"/>
          <w:sz w:val="18"/>
          <w:szCs w:val="20"/>
          <w:lang w:val="en-US" w:eastAsia="zh-CN"/>
        </w:rPr>
        <w:t xml:space="preserve">, C.; </w:t>
      </w:r>
      <w:proofErr w:type="spellStart"/>
      <w:r w:rsidRPr="005C3D3A">
        <w:rPr>
          <w:rFonts w:ascii="Palatino Linotype" w:eastAsia="SimSun" w:hAnsi="Palatino Linotype" w:cs="Times New Roman"/>
          <w:color w:val="000000"/>
          <w:sz w:val="18"/>
          <w:szCs w:val="20"/>
          <w:lang w:val="en-US" w:eastAsia="zh-CN"/>
        </w:rPr>
        <w:t>Dubochet</w:t>
      </w:r>
      <w:proofErr w:type="spellEnd"/>
      <w:r w:rsidRPr="005C3D3A">
        <w:rPr>
          <w:rFonts w:ascii="Palatino Linotype" w:eastAsia="SimSun" w:hAnsi="Palatino Linotype" w:cs="Times New Roman"/>
          <w:color w:val="000000"/>
          <w:sz w:val="18"/>
          <w:szCs w:val="20"/>
          <w:lang w:val="en-US" w:eastAsia="zh-CN"/>
        </w:rPr>
        <w:t xml:space="preserve">, J.; Griffiths, G.; </w:t>
      </w:r>
      <w:proofErr w:type="spellStart"/>
      <w:r w:rsidRPr="005C3D3A">
        <w:rPr>
          <w:rFonts w:ascii="Palatino Linotype" w:eastAsia="SimSun" w:hAnsi="Palatino Linotype" w:cs="Times New Roman"/>
          <w:color w:val="000000"/>
          <w:sz w:val="18"/>
          <w:szCs w:val="20"/>
          <w:lang w:val="en-US" w:eastAsia="zh-CN"/>
        </w:rPr>
        <w:t>Daffé</w:t>
      </w:r>
      <w:proofErr w:type="spellEnd"/>
      <w:r w:rsidRPr="005C3D3A">
        <w:rPr>
          <w:rFonts w:ascii="Palatino Linotype" w:eastAsia="SimSun" w:hAnsi="Palatino Linotype" w:cs="Times New Roman"/>
          <w:color w:val="000000"/>
          <w:sz w:val="18"/>
          <w:szCs w:val="20"/>
          <w:lang w:val="en-US" w:eastAsia="zh-CN"/>
        </w:rPr>
        <w:t xml:space="preserve">, M. Direct visualization of the outer membrane of mycobacteria and </w:t>
      </w:r>
      <w:proofErr w:type="spellStart"/>
      <w:r w:rsidRPr="005C3D3A">
        <w:rPr>
          <w:rFonts w:ascii="Palatino Linotype" w:eastAsia="SimSun" w:hAnsi="Palatino Linotype" w:cs="Times New Roman"/>
          <w:color w:val="000000"/>
          <w:sz w:val="18"/>
          <w:szCs w:val="20"/>
          <w:lang w:val="en-US" w:eastAsia="zh-CN"/>
        </w:rPr>
        <w:t>corynebacteria</w:t>
      </w:r>
      <w:proofErr w:type="spellEnd"/>
      <w:r w:rsidRPr="005C3D3A">
        <w:rPr>
          <w:rFonts w:ascii="Palatino Linotype" w:eastAsia="SimSun" w:hAnsi="Palatino Linotype" w:cs="Times New Roman"/>
          <w:color w:val="000000"/>
          <w:sz w:val="18"/>
          <w:szCs w:val="20"/>
          <w:lang w:val="en-US" w:eastAsia="zh-CN"/>
        </w:rPr>
        <w:t xml:space="preserve"> in their native state. </w:t>
      </w:r>
      <w:r w:rsidRPr="005C3D3A">
        <w:rPr>
          <w:rFonts w:ascii="Palatino Linotype" w:eastAsia="SimSun" w:hAnsi="Palatino Linotype" w:cs="Times New Roman"/>
          <w:i/>
          <w:iCs/>
          <w:color w:val="000000"/>
          <w:sz w:val="18"/>
          <w:szCs w:val="20"/>
          <w:lang w:val="en-US" w:eastAsia="zh-CN"/>
        </w:rPr>
        <w:t xml:space="preserve">J. </w:t>
      </w:r>
      <w:proofErr w:type="spellStart"/>
      <w:r w:rsidRPr="005C3D3A">
        <w:rPr>
          <w:rFonts w:ascii="Palatino Linotype" w:eastAsia="SimSun" w:hAnsi="Palatino Linotype" w:cs="Times New Roman"/>
          <w:i/>
          <w:iCs/>
          <w:color w:val="000000"/>
          <w:sz w:val="18"/>
          <w:szCs w:val="20"/>
          <w:lang w:val="en-US" w:eastAsia="zh-CN"/>
        </w:rPr>
        <w:t>Bacteriol</w:t>
      </w:r>
      <w:proofErr w:type="spellEnd"/>
      <w:r w:rsidRPr="005C3D3A">
        <w:rPr>
          <w:rFonts w:ascii="Palatino Linotype" w:eastAsia="SimSun" w:hAnsi="Palatino Linotype" w:cs="Times New Roman"/>
          <w:i/>
          <w:iCs/>
          <w:color w:val="000000"/>
          <w:sz w:val="18"/>
          <w:szCs w:val="20"/>
          <w:lang w:val="en-US" w:eastAsia="zh-CN"/>
        </w:rPr>
        <w: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2008</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190</w:t>
      </w:r>
      <w:r w:rsidRPr="005C3D3A">
        <w:rPr>
          <w:rFonts w:ascii="Palatino Linotype" w:eastAsia="SimSun" w:hAnsi="Palatino Linotype" w:cs="Times New Roman"/>
          <w:bCs/>
          <w:color w:val="000000"/>
          <w:sz w:val="18"/>
          <w:szCs w:val="20"/>
          <w:lang w:val="en-US" w:eastAsia="zh-CN"/>
        </w:rPr>
        <w:t>, 5672–5680,</w:t>
      </w:r>
      <w:r w:rsidRPr="005C3D3A">
        <w:rPr>
          <w:rFonts w:ascii="Palatino Linotype" w:eastAsia="SimSun" w:hAnsi="Palatino Linotype" w:cs="Times New Roman"/>
          <w:color w:val="000000"/>
          <w:sz w:val="18"/>
          <w:szCs w:val="20"/>
          <w:lang w:val="en-US" w:eastAsia="zh-CN"/>
        </w:rPr>
        <w:t xml:space="preserve"> doi:10.1128/JB.01919-07.</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Angala</w:t>
      </w:r>
      <w:proofErr w:type="spellEnd"/>
      <w:r w:rsidRPr="005C3D3A">
        <w:rPr>
          <w:rFonts w:ascii="Palatino Linotype" w:eastAsia="SimSun" w:hAnsi="Palatino Linotype" w:cs="Times New Roman"/>
          <w:color w:val="000000"/>
          <w:sz w:val="18"/>
          <w:szCs w:val="20"/>
          <w:lang w:val="en-US" w:eastAsia="zh-CN"/>
        </w:rPr>
        <w:t xml:space="preserve">, S.K.; </w:t>
      </w:r>
      <w:proofErr w:type="spellStart"/>
      <w:r w:rsidRPr="005C3D3A">
        <w:rPr>
          <w:rFonts w:ascii="Palatino Linotype" w:eastAsia="SimSun" w:hAnsi="Palatino Linotype" w:cs="Times New Roman"/>
          <w:color w:val="000000"/>
          <w:sz w:val="18"/>
          <w:szCs w:val="20"/>
          <w:lang w:val="en-US" w:eastAsia="zh-CN"/>
        </w:rPr>
        <w:t>Belardinelli</w:t>
      </w:r>
      <w:proofErr w:type="spellEnd"/>
      <w:r w:rsidRPr="005C3D3A">
        <w:rPr>
          <w:rFonts w:ascii="Palatino Linotype" w:eastAsia="SimSun" w:hAnsi="Palatino Linotype" w:cs="Times New Roman"/>
          <w:color w:val="000000"/>
          <w:sz w:val="18"/>
          <w:szCs w:val="20"/>
          <w:lang w:val="en-US" w:eastAsia="zh-CN"/>
        </w:rPr>
        <w:t xml:space="preserve">, J.M.; </w:t>
      </w:r>
      <w:proofErr w:type="spellStart"/>
      <w:r w:rsidRPr="005C3D3A">
        <w:rPr>
          <w:rFonts w:ascii="Palatino Linotype" w:eastAsia="SimSun" w:hAnsi="Palatino Linotype" w:cs="Times New Roman"/>
          <w:color w:val="000000"/>
          <w:sz w:val="18"/>
          <w:szCs w:val="20"/>
          <w:lang w:val="en-US" w:eastAsia="zh-CN"/>
        </w:rPr>
        <w:t>Huc-Claustre</w:t>
      </w:r>
      <w:proofErr w:type="spellEnd"/>
      <w:r w:rsidRPr="005C3D3A">
        <w:rPr>
          <w:rFonts w:ascii="Palatino Linotype" w:eastAsia="SimSun" w:hAnsi="Palatino Linotype" w:cs="Times New Roman"/>
          <w:color w:val="000000"/>
          <w:sz w:val="18"/>
          <w:szCs w:val="20"/>
          <w:lang w:val="en-US" w:eastAsia="zh-CN"/>
        </w:rPr>
        <w:t xml:space="preserve">, E.; Wheat, W.H.; Jackson, M. The cell envelope glycoconjugates of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 xml:space="preserve">Crit. Rev. </w:t>
      </w:r>
      <w:proofErr w:type="spellStart"/>
      <w:r w:rsidRPr="005C3D3A">
        <w:rPr>
          <w:rFonts w:ascii="Palatino Linotype" w:eastAsia="SimSun" w:hAnsi="Palatino Linotype" w:cs="Times New Roman"/>
          <w:i/>
          <w:iCs/>
          <w:color w:val="000000"/>
          <w:sz w:val="18"/>
          <w:szCs w:val="20"/>
          <w:lang w:val="en-US" w:eastAsia="zh-CN"/>
        </w:rPr>
        <w:t>Biochem</w:t>
      </w:r>
      <w:proofErr w:type="spellEnd"/>
      <w:r w:rsidRPr="005C3D3A">
        <w:rPr>
          <w:rFonts w:ascii="Palatino Linotype" w:eastAsia="SimSun" w:hAnsi="Palatino Linotype" w:cs="Times New Roman"/>
          <w:i/>
          <w:iCs/>
          <w:color w:val="000000"/>
          <w:sz w:val="18"/>
          <w:szCs w:val="20"/>
          <w:lang w:val="en-US" w:eastAsia="zh-CN"/>
        </w:rPr>
        <w:t>. Mol. Biol.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49</w:t>
      </w:r>
      <w:r w:rsidRPr="005C3D3A">
        <w:rPr>
          <w:rFonts w:ascii="Palatino Linotype" w:eastAsia="SimSun" w:hAnsi="Palatino Linotype" w:cs="Times New Roman"/>
          <w:bCs/>
          <w:color w:val="000000"/>
          <w:sz w:val="18"/>
          <w:szCs w:val="20"/>
          <w:lang w:val="en-US" w:eastAsia="zh-CN"/>
        </w:rPr>
        <w:t>, 361–399,</w:t>
      </w:r>
      <w:r w:rsidRPr="005C3D3A">
        <w:rPr>
          <w:rFonts w:ascii="Palatino Linotype" w:eastAsia="SimSun" w:hAnsi="Palatino Linotype" w:cs="Times New Roman"/>
          <w:color w:val="000000"/>
          <w:sz w:val="18"/>
          <w:szCs w:val="20"/>
          <w:lang w:val="en-US" w:eastAsia="zh-CN"/>
        </w:rPr>
        <w:t xml:space="preserve"> doi:10.3109/10409238.2014.925420.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Bansal-</w:t>
      </w:r>
      <w:proofErr w:type="spellStart"/>
      <w:r w:rsidRPr="005C3D3A">
        <w:rPr>
          <w:rFonts w:ascii="Palatino Linotype" w:eastAsia="SimSun" w:hAnsi="Palatino Linotype" w:cs="Times New Roman"/>
          <w:color w:val="000000"/>
          <w:sz w:val="18"/>
          <w:szCs w:val="20"/>
          <w:lang w:val="en-US" w:eastAsia="zh-CN"/>
        </w:rPr>
        <w:t>Mutalik</w:t>
      </w:r>
      <w:proofErr w:type="spellEnd"/>
      <w:r w:rsidRPr="005C3D3A">
        <w:rPr>
          <w:rFonts w:ascii="Palatino Linotype" w:eastAsia="SimSun" w:hAnsi="Palatino Linotype" w:cs="Times New Roman"/>
          <w:color w:val="000000"/>
          <w:sz w:val="18"/>
          <w:szCs w:val="20"/>
          <w:lang w:val="en-US" w:eastAsia="zh-CN"/>
        </w:rPr>
        <w:t xml:space="preserve">, R.; </w:t>
      </w:r>
      <w:proofErr w:type="spellStart"/>
      <w:r w:rsidRPr="005C3D3A">
        <w:rPr>
          <w:rFonts w:ascii="Palatino Linotype" w:eastAsia="SimSun" w:hAnsi="Palatino Linotype" w:cs="Times New Roman"/>
          <w:color w:val="000000"/>
          <w:sz w:val="18"/>
          <w:szCs w:val="20"/>
          <w:lang w:val="en-US" w:eastAsia="zh-CN"/>
        </w:rPr>
        <w:t>Nikaido</w:t>
      </w:r>
      <w:proofErr w:type="spellEnd"/>
      <w:r w:rsidRPr="005C3D3A">
        <w:rPr>
          <w:rFonts w:ascii="Palatino Linotype" w:eastAsia="SimSun" w:hAnsi="Palatino Linotype" w:cs="Times New Roman"/>
          <w:color w:val="000000"/>
          <w:sz w:val="18"/>
          <w:szCs w:val="20"/>
          <w:lang w:val="en-US" w:eastAsia="zh-CN"/>
        </w:rPr>
        <w:t xml:space="preserve">, H. Mycobacterial outer membrane is a lipid bilayer and the inner membrane is unusually rich in diacyl phosphatidylinositol </w:t>
      </w:r>
      <w:proofErr w:type="spellStart"/>
      <w:r w:rsidRPr="005C3D3A">
        <w:rPr>
          <w:rFonts w:ascii="Palatino Linotype" w:eastAsia="SimSun" w:hAnsi="Palatino Linotype" w:cs="Times New Roman"/>
          <w:color w:val="000000"/>
          <w:sz w:val="18"/>
          <w:szCs w:val="20"/>
          <w:lang w:val="en-US" w:eastAsia="zh-CN"/>
        </w:rPr>
        <w:t>dimannosides</w:t>
      </w:r>
      <w:proofErr w:type="spellEnd"/>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Proc. Natl. Acad. Sci. USA</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111</w:t>
      </w:r>
      <w:r w:rsidRPr="005C3D3A">
        <w:rPr>
          <w:rFonts w:ascii="Palatino Linotype" w:eastAsia="SimSun" w:hAnsi="Palatino Linotype" w:cs="Times New Roman"/>
          <w:bCs/>
          <w:color w:val="000000"/>
          <w:sz w:val="18"/>
          <w:szCs w:val="20"/>
          <w:lang w:val="en-US" w:eastAsia="zh-CN"/>
        </w:rPr>
        <w:t>, 4958–4963</w:t>
      </w:r>
      <w:r w:rsidRPr="005C3D3A">
        <w:rPr>
          <w:rFonts w:ascii="Palatino Linotype" w:eastAsia="SimSun" w:hAnsi="Palatino Linotype" w:cs="Times New Roman"/>
          <w:color w:val="000000"/>
          <w:sz w:val="18"/>
          <w:szCs w:val="20"/>
          <w:lang w:val="en-US" w:eastAsia="zh-CN"/>
        </w:rPr>
        <w:t>, doi:10.1073/pnas.1403078111.</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Grzegorzewicz</w:t>
      </w:r>
      <w:proofErr w:type="spellEnd"/>
      <w:r w:rsidRPr="005C3D3A">
        <w:rPr>
          <w:rFonts w:ascii="Palatino Linotype" w:eastAsia="SimSun" w:hAnsi="Palatino Linotype" w:cs="Times New Roman"/>
          <w:color w:val="000000"/>
          <w:sz w:val="18"/>
          <w:szCs w:val="20"/>
          <w:lang w:val="en-US" w:eastAsia="zh-CN"/>
        </w:rPr>
        <w:t>, A.E.; de Sousa-</w:t>
      </w:r>
      <w:proofErr w:type="spellStart"/>
      <w:r w:rsidRPr="005C3D3A">
        <w:rPr>
          <w:rFonts w:ascii="Palatino Linotype" w:eastAsia="SimSun" w:hAnsi="Palatino Linotype" w:cs="Times New Roman"/>
          <w:color w:val="000000"/>
          <w:sz w:val="18"/>
          <w:szCs w:val="20"/>
          <w:lang w:val="en-US" w:eastAsia="zh-CN"/>
        </w:rPr>
        <w:t>d’Auria</w:t>
      </w:r>
      <w:proofErr w:type="spellEnd"/>
      <w:r w:rsidRPr="005C3D3A">
        <w:rPr>
          <w:rFonts w:ascii="Palatino Linotype" w:eastAsia="SimSun" w:hAnsi="Palatino Linotype" w:cs="Times New Roman"/>
          <w:color w:val="000000"/>
          <w:sz w:val="18"/>
          <w:szCs w:val="20"/>
          <w:lang w:val="en-US" w:eastAsia="zh-CN"/>
        </w:rPr>
        <w:t xml:space="preserve">, C.; McNeil, M.R.; </w:t>
      </w:r>
      <w:proofErr w:type="spellStart"/>
      <w:r w:rsidRPr="005C3D3A">
        <w:rPr>
          <w:rFonts w:ascii="Palatino Linotype" w:eastAsia="SimSun" w:hAnsi="Palatino Linotype" w:cs="Times New Roman"/>
          <w:color w:val="000000"/>
          <w:sz w:val="18"/>
          <w:szCs w:val="20"/>
          <w:lang w:val="en-US" w:eastAsia="zh-CN"/>
        </w:rPr>
        <w:t>Huc-Claustre</w:t>
      </w:r>
      <w:proofErr w:type="spellEnd"/>
      <w:r w:rsidRPr="005C3D3A">
        <w:rPr>
          <w:rFonts w:ascii="Palatino Linotype" w:eastAsia="SimSun" w:hAnsi="Palatino Linotype" w:cs="Times New Roman"/>
          <w:color w:val="000000"/>
          <w:sz w:val="18"/>
          <w:szCs w:val="20"/>
          <w:lang w:val="en-US" w:eastAsia="zh-CN"/>
        </w:rPr>
        <w:t xml:space="preserve">, E.; Jones, V.; Petit, C.; </w:t>
      </w:r>
      <w:proofErr w:type="spellStart"/>
      <w:r w:rsidRPr="005C3D3A">
        <w:rPr>
          <w:rFonts w:ascii="Palatino Linotype" w:eastAsia="SimSun" w:hAnsi="Palatino Linotype" w:cs="Times New Roman"/>
          <w:color w:val="000000"/>
          <w:sz w:val="18"/>
          <w:szCs w:val="20"/>
          <w:lang w:val="en-US" w:eastAsia="zh-CN"/>
        </w:rPr>
        <w:t>Angala</w:t>
      </w:r>
      <w:proofErr w:type="spellEnd"/>
      <w:r w:rsidRPr="005C3D3A">
        <w:rPr>
          <w:rFonts w:ascii="Palatino Linotype" w:eastAsia="SimSun" w:hAnsi="Palatino Linotype" w:cs="Times New Roman"/>
          <w:color w:val="000000"/>
          <w:sz w:val="18"/>
          <w:szCs w:val="20"/>
          <w:lang w:val="en-US" w:eastAsia="zh-CN"/>
        </w:rPr>
        <w:t xml:space="preserve">, S.K.; </w:t>
      </w:r>
      <w:proofErr w:type="spellStart"/>
      <w:r w:rsidRPr="005C3D3A">
        <w:rPr>
          <w:rFonts w:ascii="Palatino Linotype" w:eastAsia="SimSun" w:hAnsi="Palatino Linotype" w:cs="Times New Roman"/>
          <w:color w:val="000000"/>
          <w:sz w:val="18"/>
          <w:szCs w:val="20"/>
          <w:lang w:val="en-US" w:eastAsia="zh-CN"/>
        </w:rPr>
        <w:t>Zemanová</w:t>
      </w:r>
      <w:proofErr w:type="spellEnd"/>
      <w:r w:rsidRPr="005C3D3A">
        <w:rPr>
          <w:rFonts w:ascii="Palatino Linotype" w:eastAsia="SimSun" w:hAnsi="Palatino Linotype" w:cs="Times New Roman"/>
          <w:color w:val="000000"/>
          <w:sz w:val="18"/>
          <w:szCs w:val="20"/>
          <w:lang w:val="en-US" w:eastAsia="zh-CN"/>
        </w:rPr>
        <w:t xml:space="preserve">, J.; Wang, Q.; </w:t>
      </w:r>
      <w:proofErr w:type="spellStart"/>
      <w:r w:rsidRPr="005C3D3A">
        <w:rPr>
          <w:rFonts w:ascii="Palatino Linotype" w:eastAsia="SimSun" w:hAnsi="Palatino Linotype" w:cs="Times New Roman"/>
          <w:color w:val="000000"/>
          <w:sz w:val="18"/>
          <w:szCs w:val="20"/>
          <w:lang w:val="en-US" w:eastAsia="zh-CN"/>
        </w:rPr>
        <w:t>Belardinelli</w:t>
      </w:r>
      <w:proofErr w:type="spellEnd"/>
      <w:r w:rsidRPr="005C3D3A">
        <w:rPr>
          <w:rFonts w:ascii="Palatino Linotype" w:eastAsia="SimSun" w:hAnsi="Palatino Linotype" w:cs="Times New Roman"/>
          <w:color w:val="000000"/>
          <w:sz w:val="18"/>
          <w:szCs w:val="20"/>
          <w:lang w:val="en-US" w:eastAsia="zh-CN"/>
        </w:rPr>
        <w:t xml:space="preserve">, J.M.; et al. Assembling of the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Cell Wall Core. </w:t>
      </w:r>
      <w:r w:rsidRPr="005C3D3A">
        <w:rPr>
          <w:rFonts w:ascii="Palatino Linotype" w:eastAsia="SimSun" w:hAnsi="Palatino Linotype" w:cs="Times New Roman"/>
          <w:i/>
          <w:iCs/>
          <w:color w:val="000000"/>
          <w:sz w:val="18"/>
          <w:szCs w:val="20"/>
          <w:lang w:val="en-US" w:eastAsia="zh-CN"/>
        </w:rPr>
        <w:t>J. Biol. Chem.</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2016</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291</w:t>
      </w:r>
      <w:r w:rsidRPr="005C3D3A">
        <w:rPr>
          <w:rFonts w:ascii="Palatino Linotype" w:eastAsia="SimSun" w:hAnsi="Palatino Linotype" w:cs="Times New Roman"/>
          <w:bCs/>
          <w:color w:val="000000"/>
          <w:sz w:val="18"/>
          <w:szCs w:val="20"/>
          <w:lang w:val="en-US" w:eastAsia="zh-CN"/>
        </w:rPr>
        <w:t>, 18867–18879,</w:t>
      </w:r>
      <w:r w:rsidRPr="005C3D3A">
        <w:rPr>
          <w:rFonts w:ascii="Palatino Linotype" w:eastAsia="SimSun" w:hAnsi="Palatino Linotype" w:cs="Times New Roman"/>
          <w:color w:val="000000"/>
          <w:sz w:val="18"/>
          <w:szCs w:val="20"/>
          <w:lang w:val="en-US" w:eastAsia="zh-CN"/>
        </w:rPr>
        <w:t xml:space="preserve"> doi:10.1074/jbc.M116.739227.</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Singh, P.; </w:t>
      </w:r>
      <w:proofErr w:type="spellStart"/>
      <w:r w:rsidRPr="005C3D3A">
        <w:rPr>
          <w:rFonts w:ascii="Palatino Linotype" w:eastAsia="SimSun" w:hAnsi="Palatino Linotype" w:cs="Times New Roman"/>
          <w:color w:val="000000"/>
          <w:sz w:val="18"/>
          <w:szCs w:val="20"/>
          <w:lang w:val="en-US" w:eastAsia="zh-CN"/>
        </w:rPr>
        <w:t>Rameshwaram</w:t>
      </w:r>
      <w:proofErr w:type="spellEnd"/>
      <w:r w:rsidRPr="005C3D3A">
        <w:rPr>
          <w:rFonts w:ascii="Palatino Linotype" w:eastAsia="SimSun" w:hAnsi="Palatino Linotype" w:cs="Times New Roman"/>
          <w:color w:val="000000"/>
          <w:sz w:val="18"/>
          <w:szCs w:val="20"/>
          <w:lang w:val="en-US" w:eastAsia="zh-CN"/>
        </w:rPr>
        <w:t xml:space="preserve">, N.R.; Ghosh, S.; Mukhopadhyay, S. Cell envelope lipids in the pathophysiology of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Future Microbiol.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2018</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13</w:t>
      </w:r>
      <w:r w:rsidRPr="005C3D3A">
        <w:rPr>
          <w:rFonts w:ascii="Palatino Linotype" w:eastAsia="SimSun" w:hAnsi="Palatino Linotype" w:cs="Times New Roman"/>
          <w:bCs/>
          <w:color w:val="000000"/>
          <w:sz w:val="18"/>
          <w:szCs w:val="20"/>
          <w:lang w:val="en-US" w:eastAsia="zh-CN"/>
        </w:rPr>
        <w:t>, 689–710</w:t>
      </w:r>
      <w:r w:rsidRPr="005C3D3A">
        <w:rPr>
          <w:rFonts w:ascii="Palatino Linotype" w:eastAsia="SimSun" w:hAnsi="Palatino Linotype" w:cs="Times New Roman"/>
          <w:color w:val="000000"/>
          <w:sz w:val="18"/>
          <w:szCs w:val="20"/>
          <w:lang w:val="en-US" w:eastAsia="zh-CN"/>
        </w:rPr>
        <w:t>, doi:10.2217/fmb-2017-0135.</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Barry, C.E.; Lee, R.E.; </w:t>
      </w:r>
      <w:proofErr w:type="spellStart"/>
      <w:r w:rsidRPr="005C3D3A">
        <w:rPr>
          <w:rFonts w:ascii="Palatino Linotype" w:eastAsia="SimSun" w:hAnsi="Palatino Linotype" w:cs="Times New Roman"/>
          <w:color w:val="000000"/>
          <w:sz w:val="18"/>
          <w:szCs w:val="20"/>
          <w:lang w:val="en-US" w:eastAsia="zh-CN"/>
        </w:rPr>
        <w:t>Mdluli</w:t>
      </w:r>
      <w:proofErr w:type="spellEnd"/>
      <w:r w:rsidRPr="005C3D3A">
        <w:rPr>
          <w:rFonts w:ascii="Palatino Linotype" w:eastAsia="SimSun" w:hAnsi="Palatino Linotype" w:cs="Times New Roman"/>
          <w:color w:val="000000"/>
          <w:sz w:val="18"/>
          <w:szCs w:val="20"/>
          <w:lang w:val="en-US" w:eastAsia="zh-CN"/>
        </w:rPr>
        <w:t xml:space="preserve">, K.; Sampson, A.E.; Schroeder, B.G.; </w:t>
      </w:r>
      <w:proofErr w:type="spellStart"/>
      <w:r w:rsidRPr="005C3D3A">
        <w:rPr>
          <w:rFonts w:ascii="Palatino Linotype" w:eastAsia="SimSun" w:hAnsi="Palatino Linotype" w:cs="Times New Roman"/>
          <w:color w:val="000000"/>
          <w:sz w:val="18"/>
          <w:szCs w:val="20"/>
          <w:lang w:val="en-US" w:eastAsia="zh-CN"/>
        </w:rPr>
        <w:t>Slayden</w:t>
      </w:r>
      <w:proofErr w:type="spellEnd"/>
      <w:r w:rsidRPr="005C3D3A">
        <w:rPr>
          <w:rFonts w:ascii="Palatino Linotype" w:eastAsia="SimSun" w:hAnsi="Palatino Linotype" w:cs="Times New Roman"/>
          <w:color w:val="000000"/>
          <w:sz w:val="18"/>
          <w:szCs w:val="20"/>
          <w:lang w:val="en-US" w:eastAsia="zh-CN"/>
        </w:rPr>
        <w:t xml:space="preserve">, R.A.; Yuan, Y. Mycolic acids: Structure, biosynthesis and physiological functions. </w:t>
      </w:r>
      <w:r w:rsidRPr="005C3D3A">
        <w:rPr>
          <w:rFonts w:ascii="Palatino Linotype" w:eastAsia="SimSun" w:hAnsi="Palatino Linotype" w:cs="Times New Roman"/>
          <w:i/>
          <w:iCs/>
          <w:color w:val="000000"/>
          <w:sz w:val="18"/>
          <w:szCs w:val="20"/>
          <w:lang w:val="en-US" w:eastAsia="zh-CN"/>
        </w:rPr>
        <w:t>Prog. Lipid Res.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1998</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37</w:t>
      </w:r>
      <w:r w:rsidRPr="005C3D3A">
        <w:rPr>
          <w:rFonts w:ascii="Palatino Linotype" w:eastAsia="SimSun" w:hAnsi="Palatino Linotype" w:cs="Times New Roman"/>
          <w:bCs/>
          <w:color w:val="000000"/>
          <w:sz w:val="18"/>
          <w:szCs w:val="20"/>
          <w:lang w:val="en-US" w:eastAsia="zh-CN"/>
        </w:rPr>
        <w:t>, 143–179,</w:t>
      </w:r>
      <w:r w:rsidRPr="005C3D3A">
        <w:rPr>
          <w:rFonts w:ascii="Palatino Linotype" w:eastAsia="SimSun" w:hAnsi="Palatino Linotype" w:cs="Times New Roman"/>
          <w:color w:val="000000"/>
          <w:sz w:val="18"/>
          <w:szCs w:val="20"/>
          <w:lang w:val="en-US" w:eastAsia="zh-CN"/>
        </w:rPr>
        <w:t xml:space="preserve"> doi:10.1016/S0163-7827(98)00008-3.</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Dubnau</w:t>
      </w:r>
      <w:proofErr w:type="spellEnd"/>
      <w:r w:rsidRPr="005C3D3A">
        <w:rPr>
          <w:rFonts w:ascii="Palatino Linotype" w:eastAsia="SimSun" w:hAnsi="Palatino Linotype" w:cs="Times New Roman"/>
          <w:color w:val="000000"/>
          <w:sz w:val="18"/>
          <w:szCs w:val="20"/>
          <w:lang w:val="en-US" w:eastAsia="zh-CN"/>
        </w:rPr>
        <w:t xml:space="preserve">, E.; Chan, J.; Raynaud, C.; Mohan, V.P.; </w:t>
      </w:r>
      <w:proofErr w:type="spellStart"/>
      <w:r w:rsidRPr="005C3D3A">
        <w:rPr>
          <w:rFonts w:ascii="Palatino Linotype" w:eastAsia="SimSun" w:hAnsi="Palatino Linotype" w:cs="Times New Roman"/>
          <w:color w:val="000000"/>
          <w:sz w:val="18"/>
          <w:szCs w:val="20"/>
          <w:lang w:val="en-US" w:eastAsia="zh-CN"/>
        </w:rPr>
        <w:t>Lanéelle</w:t>
      </w:r>
      <w:proofErr w:type="spellEnd"/>
      <w:r w:rsidRPr="005C3D3A">
        <w:rPr>
          <w:rFonts w:ascii="Palatino Linotype" w:eastAsia="SimSun" w:hAnsi="Palatino Linotype" w:cs="Times New Roman"/>
          <w:color w:val="000000"/>
          <w:sz w:val="18"/>
          <w:szCs w:val="20"/>
          <w:lang w:val="en-US" w:eastAsia="zh-CN"/>
        </w:rPr>
        <w:t xml:space="preserve">, M.A.; Yu, K.; </w:t>
      </w:r>
      <w:proofErr w:type="spellStart"/>
      <w:r w:rsidRPr="005C3D3A">
        <w:rPr>
          <w:rFonts w:ascii="Palatino Linotype" w:eastAsia="SimSun" w:hAnsi="Palatino Linotype" w:cs="Times New Roman"/>
          <w:color w:val="000000"/>
          <w:sz w:val="18"/>
          <w:szCs w:val="20"/>
          <w:lang w:val="en-US" w:eastAsia="zh-CN"/>
        </w:rPr>
        <w:t>Quémard</w:t>
      </w:r>
      <w:proofErr w:type="spellEnd"/>
      <w:r w:rsidRPr="005C3D3A">
        <w:rPr>
          <w:rFonts w:ascii="Palatino Linotype" w:eastAsia="SimSun" w:hAnsi="Palatino Linotype" w:cs="Times New Roman"/>
          <w:color w:val="000000"/>
          <w:sz w:val="18"/>
          <w:szCs w:val="20"/>
          <w:lang w:val="en-US" w:eastAsia="zh-CN"/>
        </w:rPr>
        <w:t xml:space="preserve">, A.; Smith, I.; </w:t>
      </w:r>
      <w:proofErr w:type="spellStart"/>
      <w:r w:rsidRPr="005C3D3A">
        <w:rPr>
          <w:rFonts w:ascii="Palatino Linotype" w:eastAsia="SimSun" w:hAnsi="Palatino Linotype" w:cs="Times New Roman"/>
          <w:color w:val="000000"/>
          <w:sz w:val="18"/>
          <w:szCs w:val="20"/>
          <w:lang w:val="en-US" w:eastAsia="zh-CN"/>
        </w:rPr>
        <w:t>Daffé</w:t>
      </w:r>
      <w:proofErr w:type="spellEnd"/>
      <w:r w:rsidRPr="005C3D3A">
        <w:rPr>
          <w:rFonts w:ascii="Palatino Linotype" w:eastAsia="SimSun" w:hAnsi="Palatino Linotype" w:cs="Times New Roman"/>
          <w:color w:val="000000"/>
          <w:sz w:val="18"/>
          <w:szCs w:val="20"/>
          <w:lang w:val="en-US" w:eastAsia="zh-CN"/>
        </w:rPr>
        <w:t xml:space="preserve">, M. Oxygenated mycolic acids are necessary for virulence of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in mice. </w:t>
      </w:r>
      <w:r w:rsidRPr="005C3D3A">
        <w:rPr>
          <w:rFonts w:ascii="Palatino Linotype" w:eastAsia="SimSun" w:hAnsi="Palatino Linotype" w:cs="Times New Roman"/>
          <w:i/>
          <w:iCs/>
          <w:color w:val="000000"/>
          <w:sz w:val="18"/>
          <w:szCs w:val="20"/>
          <w:lang w:val="en-US" w:eastAsia="zh-CN"/>
        </w:rPr>
        <w:t>Mol. Microbiol.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2000</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36</w:t>
      </w:r>
      <w:r w:rsidRPr="005C3D3A">
        <w:rPr>
          <w:rFonts w:ascii="Palatino Linotype" w:eastAsia="SimSun" w:hAnsi="Palatino Linotype" w:cs="Times New Roman"/>
          <w:bCs/>
          <w:color w:val="000000"/>
          <w:sz w:val="18"/>
          <w:szCs w:val="20"/>
          <w:lang w:val="en-US" w:eastAsia="zh-CN"/>
        </w:rPr>
        <w:t>, 630–637,</w:t>
      </w:r>
      <w:r w:rsidRPr="005C3D3A">
        <w:rPr>
          <w:rFonts w:ascii="Palatino Linotype" w:eastAsia="SimSun" w:hAnsi="Palatino Linotype" w:cs="Times New Roman"/>
          <w:color w:val="000000"/>
          <w:sz w:val="18"/>
          <w:szCs w:val="20"/>
          <w:lang w:val="en-US" w:eastAsia="zh-CN"/>
        </w:rPr>
        <w:t xml:space="preserve"> doi:10.1046/j.1365-2958.2000.01882.x.</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Vander </w:t>
      </w:r>
      <w:proofErr w:type="spellStart"/>
      <w:r w:rsidRPr="005C3D3A">
        <w:rPr>
          <w:rFonts w:ascii="Palatino Linotype" w:eastAsia="SimSun" w:hAnsi="Palatino Linotype" w:cs="Times New Roman"/>
          <w:color w:val="000000"/>
          <w:sz w:val="18"/>
          <w:szCs w:val="20"/>
          <w:lang w:val="en-US" w:eastAsia="zh-CN"/>
        </w:rPr>
        <w:t>Beken</w:t>
      </w:r>
      <w:proofErr w:type="spellEnd"/>
      <w:r w:rsidRPr="005C3D3A">
        <w:rPr>
          <w:rFonts w:ascii="Palatino Linotype" w:eastAsia="SimSun" w:hAnsi="Palatino Linotype" w:cs="Times New Roman"/>
          <w:color w:val="000000"/>
          <w:sz w:val="18"/>
          <w:szCs w:val="20"/>
          <w:lang w:val="en-US" w:eastAsia="zh-CN"/>
        </w:rPr>
        <w:t xml:space="preserve">, S.; Al </w:t>
      </w:r>
      <w:proofErr w:type="spellStart"/>
      <w:r w:rsidRPr="005C3D3A">
        <w:rPr>
          <w:rFonts w:ascii="Palatino Linotype" w:eastAsia="SimSun" w:hAnsi="Palatino Linotype" w:cs="Times New Roman"/>
          <w:color w:val="000000"/>
          <w:sz w:val="18"/>
          <w:szCs w:val="20"/>
          <w:lang w:val="en-US" w:eastAsia="zh-CN"/>
        </w:rPr>
        <w:t>Dulayymi</w:t>
      </w:r>
      <w:proofErr w:type="spellEnd"/>
      <w:r w:rsidRPr="005C3D3A">
        <w:rPr>
          <w:rFonts w:ascii="Palatino Linotype" w:eastAsia="SimSun" w:hAnsi="Palatino Linotype" w:cs="Times New Roman"/>
          <w:color w:val="000000"/>
          <w:sz w:val="18"/>
          <w:szCs w:val="20"/>
          <w:lang w:val="en-US" w:eastAsia="zh-CN"/>
        </w:rPr>
        <w:t xml:space="preserve">, J.R.; </w:t>
      </w:r>
      <w:proofErr w:type="spellStart"/>
      <w:r w:rsidRPr="005C3D3A">
        <w:rPr>
          <w:rFonts w:ascii="Palatino Linotype" w:eastAsia="SimSun" w:hAnsi="Palatino Linotype" w:cs="Times New Roman"/>
          <w:color w:val="000000"/>
          <w:sz w:val="18"/>
          <w:szCs w:val="20"/>
          <w:lang w:val="en-US" w:eastAsia="zh-CN"/>
        </w:rPr>
        <w:t>Naessens</w:t>
      </w:r>
      <w:proofErr w:type="spellEnd"/>
      <w:r w:rsidRPr="005C3D3A">
        <w:rPr>
          <w:rFonts w:ascii="Palatino Linotype" w:eastAsia="SimSun" w:hAnsi="Palatino Linotype" w:cs="Times New Roman"/>
          <w:color w:val="000000"/>
          <w:sz w:val="18"/>
          <w:szCs w:val="20"/>
          <w:lang w:val="en-US" w:eastAsia="zh-CN"/>
        </w:rPr>
        <w:t xml:space="preserve">, T.; </w:t>
      </w:r>
      <w:proofErr w:type="spellStart"/>
      <w:r w:rsidRPr="005C3D3A">
        <w:rPr>
          <w:rFonts w:ascii="Palatino Linotype" w:eastAsia="SimSun" w:hAnsi="Palatino Linotype" w:cs="Times New Roman"/>
          <w:color w:val="000000"/>
          <w:sz w:val="18"/>
          <w:szCs w:val="20"/>
          <w:lang w:val="en-US" w:eastAsia="zh-CN"/>
        </w:rPr>
        <w:t>Koza</w:t>
      </w:r>
      <w:proofErr w:type="spellEnd"/>
      <w:r w:rsidRPr="005C3D3A">
        <w:rPr>
          <w:rFonts w:ascii="Palatino Linotype" w:eastAsia="SimSun" w:hAnsi="Palatino Linotype" w:cs="Times New Roman"/>
          <w:color w:val="000000"/>
          <w:sz w:val="18"/>
          <w:szCs w:val="20"/>
          <w:lang w:val="en-US" w:eastAsia="zh-CN"/>
        </w:rPr>
        <w:t xml:space="preserve">, G.; </w:t>
      </w:r>
      <w:proofErr w:type="spellStart"/>
      <w:r w:rsidRPr="005C3D3A">
        <w:rPr>
          <w:rFonts w:ascii="Palatino Linotype" w:eastAsia="SimSun" w:hAnsi="Palatino Linotype" w:cs="Times New Roman"/>
          <w:color w:val="000000"/>
          <w:sz w:val="18"/>
          <w:szCs w:val="20"/>
          <w:lang w:val="en-US" w:eastAsia="zh-CN"/>
        </w:rPr>
        <w:t>Maza</w:t>
      </w:r>
      <w:proofErr w:type="spellEnd"/>
      <w:r w:rsidRPr="005C3D3A">
        <w:rPr>
          <w:rFonts w:ascii="Palatino Linotype" w:eastAsia="SimSun" w:hAnsi="Palatino Linotype" w:cs="Times New Roman"/>
          <w:color w:val="000000"/>
          <w:sz w:val="18"/>
          <w:szCs w:val="20"/>
          <w:lang w:val="en-US" w:eastAsia="zh-CN"/>
        </w:rPr>
        <w:t xml:space="preserve">-Iglesias, M.; Rowles, R.; </w:t>
      </w:r>
      <w:proofErr w:type="spellStart"/>
      <w:r w:rsidRPr="005C3D3A">
        <w:rPr>
          <w:rFonts w:ascii="Palatino Linotype" w:eastAsia="SimSun" w:hAnsi="Palatino Linotype" w:cs="Times New Roman"/>
          <w:color w:val="000000"/>
          <w:sz w:val="18"/>
          <w:szCs w:val="20"/>
          <w:lang w:val="en-US" w:eastAsia="zh-CN"/>
        </w:rPr>
        <w:t>Theunissen</w:t>
      </w:r>
      <w:proofErr w:type="spellEnd"/>
      <w:r w:rsidRPr="005C3D3A">
        <w:rPr>
          <w:rFonts w:ascii="Palatino Linotype" w:eastAsia="SimSun" w:hAnsi="Palatino Linotype" w:cs="Times New Roman"/>
          <w:color w:val="000000"/>
          <w:sz w:val="18"/>
          <w:szCs w:val="20"/>
          <w:lang w:val="en-US" w:eastAsia="zh-CN"/>
        </w:rPr>
        <w:t xml:space="preserve">, C.; De </w:t>
      </w:r>
      <w:proofErr w:type="spellStart"/>
      <w:r w:rsidRPr="005C3D3A">
        <w:rPr>
          <w:rFonts w:ascii="Palatino Linotype" w:eastAsia="SimSun" w:hAnsi="Palatino Linotype" w:cs="Times New Roman"/>
          <w:color w:val="000000"/>
          <w:sz w:val="18"/>
          <w:szCs w:val="20"/>
          <w:lang w:val="en-US" w:eastAsia="zh-CN"/>
        </w:rPr>
        <w:t>Medts</w:t>
      </w:r>
      <w:proofErr w:type="spellEnd"/>
      <w:r w:rsidRPr="005C3D3A">
        <w:rPr>
          <w:rFonts w:ascii="Palatino Linotype" w:eastAsia="SimSun" w:hAnsi="Palatino Linotype" w:cs="Times New Roman"/>
          <w:color w:val="000000"/>
          <w:sz w:val="18"/>
          <w:szCs w:val="20"/>
          <w:lang w:val="en-US" w:eastAsia="zh-CN"/>
        </w:rPr>
        <w:t xml:space="preserve">, J.; </w:t>
      </w:r>
      <w:proofErr w:type="spellStart"/>
      <w:r w:rsidRPr="005C3D3A">
        <w:rPr>
          <w:rFonts w:ascii="Palatino Linotype" w:eastAsia="SimSun" w:hAnsi="Palatino Linotype" w:cs="Times New Roman"/>
          <w:color w:val="000000"/>
          <w:sz w:val="18"/>
          <w:szCs w:val="20"/>
          <w:lang w:val="en-US" w:eastAsia="zh-CN"/>
        </w:rPr>
        <w:t>Lanckacker</w:t>
      </w:r>
      <w:proofErr w:type="spellEnd"/>
      <w:r w:rsidRPr="005C3D3A">
        <w:rPr>
          <w:rFonts w:ascii="Palatino Linotype" w:eastAsia="SimSun" w:hAnsi="Palatino Linotype" w:cs="Times New Roman"/>
          <w:color w:val="000000"/>
          <w:sz w:val="18"/>
          <w:szCs w:val="20"/>
          <w:lang w:val="en-US" w:eastAsia="zh-CN"/>
        </w:rPr>
        <w:t xml:space="preserve">, E.; Baird, M.S.; et al. Molecular structure of the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virulence factor, mycolic acid, determines the elicited inflammatory pattern. </w:t>
      </w:r>
      <w:r w:rsidRPr="005C3D3A">
        <w:rPr>
          <w:rFonts w:ascii="Palatino Linotype" w:eastAsia="SimSun" w:hAnsi="Palatino Linotype" w:cs="Times New Roman"/>
          <w:i/>
          <w:iCs/>
          <w:color w:val="000000"/>
          <w:sz w:val="18"/>
          <w:szCs w:val="20"/>
          <w:lang w:val="en-US" w:eastAsia="zh-CN"/>
        </w:rPr>
        <w:t>Eur. 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2011</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41</w:t>
      </w:r>
      <w:r w:rsidRPr="005C3D3A">
        <w:rPr>
          <w:rFonts w:ascii="Palatino Linotype" w:eastAsia="SimSun" w:hAnsi="Palatino Linotype" w:cs="Times New Roman"/>
          <w:bCs/>
          <w:color w:val="000000"/>
          <w:sz w:val="18"/>
          <w:szCs w:val="20"/>
          <w:lang w:val="en-US" w:eastAsia="zh-CN"/>
        </w:rPr>
        <w:t>, 450–460,</w:t>
      </w:r>
      <w:r w:rsidRPr="005C3D3A">
        <w:rPr>
          <w:rFonts w:ascii="Palatino Linotype" w:eastAsia="SimSun" w:hAnsi="Palatino Linotype" w:cs="Times New Roman"/>
          <w:color w:val="000000"/>
          <w:sz w:val="18"/>
          <w:szCs w:val="20"/>
          <w:lang w:val="en-US" w:eastAsia="zh-CN"/>
        </w:rPr>
        <w:t xml:space="preserve"> doi:10.1002/eji.201040719.</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Dkhar</w:t>
      </w:r>
      <w:proofErr w:type="spellEnd"/>
      <w:r w:rsidRPr="005C3D3A">
        <w:rPr>
          <w:rFonts w:ascii="Palatino Linotype" w:eastAsia="SimSun" w:hAnsi="Palatino Linotype" w:cs="Times New Roman"/>
          <w:color w:val="000000"/>
          <w:sz w:val="18"/>
          <w:szCs w:val="20"/>
          <w:lang w:val="en-US" w:eastAsia="zh-CN"/>
        </w:rPr>
        <w:t xml:space="preserve">, H.K.; </w:t>
      </w:r>
      <w:proofErr w:type="spellStart"/>
      <w:r w:rsidRPr="005C3D3A">
        <w:rPr>
          <w:rFonts w:ascii="Palatino Linotype" w:eastAsia="SimSun" w:hAnsi="Palatino Linotype" w:cs="Times New Roman"/>
          <w:color w:val="000000"/>
          <w:sz w:val="18"/>
          <w:szCs w:val="20"/>
          <w:lang w:val="en-US" w:eastAsia="zh-CN"/>
        </w:rPr>
        <w:t>Nanduri</w:t>
      </w:r>
      <w:proofErr w:type="spellEnd"/>
      <w:r w:rsidRPr="005C3D3A">
        <w:rPr>
          <w:rFonts w:ascii="Palatino Linotype" w:eastAsia="SimSun" w:hAnsi="Palatino Linotype" w:cs="Times New Roman"/>
          <w:color w:val="000000"/>
          <w:sz w:val="18"/>
          <w:szCs w:val="20"/>
          <w:lang w:val="en-US" w:eastAsia="zh-CN"/>
        </w:rPr>
        <w:t xml:space="preserve">, R.; Mahajan, S.; Dave, S.; Saini, A.; </w:t>
      </w:r>
      <w:proofErr w:type="spellStart"/>
      <w:r w:rsidRPr="005C3D3A">
        <w:rPr>
          <w:rFonts w:ascii="Palatino Linotype" w:eastAsia="SimSun" w:hAnsi="Palatino Linotype" w:cs="Times New Roman"/>
          <w:color w:val="000000"/>
          <w:sz w:val="18"/>
          <w:szCs w:val="20"/>
          <w:lang w:val="en-US" w:eastAsia="zh-CN"/>
        </w:rPr>
        <w:t>Somavarapu</w:t>
      </w:r>
      <w:proofErr w:type="spellEnd"/>
      <w:r w:rsidRPr="005C3D3A">
        <w:rPr>
          <w:rFonts w:ascii="Palatino Linotype" w:eastAsia="SimSun" w:hAnsi="Palatino Linotype" w:cs="Times New Roman"/>
          <w:color w:val="000000"/>
          <w:sz w:val="18"/>
          <w:szCs w:val="20"/>
          <w:lang w:val="en-US" w:eastAsia="zh-CN"/>
        </w:rPr>
        <w:t xml:space="preserve">, A.K.; Arora, A.; </w:t>
      </w:r>
      <w:proofErr w:type="spellStart"/>
      <w:r w:rsidRPr="005C3D3A">
        <w:rPr>
          <w:rFonts w:ascii="Palatino Linotype" w:eastAsia="SimSun" w:hAnsi="Palatino Linotype" w:cs="Times New Roman"/>
          <w:color w:val="000000"/>
          <w:sz w:val="18"/>
          <w:szCs w:val="20"/>
          <w:lang w:val="en-US" w:eastAsia="zh-CN"/>
        </w:rPr>
        <w:t>Parkesh</w:t>
      </w:r>
      <w:proofErr w:type="spellEnd"/>
      <w:r w:rsidRPr="005C3D3A">
        <w:rPr>
          <w:rFonts w:ascii="Palatino Linotype" w:eastAsia="SimSun" w:hAnsi="Palatino Linotype" w:cs="Times New Roman"/>
          <w:color w:val="000000"/>
          <w:sz w:val="18"/>
          <w:szCs w:val="20"/>
          <w:lang w:val="en-US" w:eastAsia="zh-CN"/>
        </w:rPr>
        <w:t xml:space="preserve">, R.; Thakur, K.G.; </w:t>
      </w:r>
      <w:proofErr w:type="spellStart"/>
      <w:r w:rsidRPr="005C3D3A">
        <w:rPr>
          <w:rFonts w:ascii="Palatino Linotype" w:eastAsia="SimSun" w:hAnsi="Palatino Linotype" w:cs="Times New Roman"/>
          <w:color w:val="000000"/>
          <w:sz w:val="18"/>
          <w:szCs w:val="20"/>
          <w:lang w:val="en-US" w:eastAsia="zh-CN"/>
        </w:rPr>
        <w:t>Mayilraj</w:t>
      </w:r>
      <w:proofErr w:type="spellEnd"/>
      <w:r w:rsidRPr="005C3D3A">
        <w:rPr>
          <w:rFonts w:ascii="Palatino Linotype" w:eastAsia="SimSun" w:hAnsi="Palatino Linotype" w:cs="Times New Roman"/>
          <w:color w:val="000000"/>
          <w:sz w:val="18"/>
          <w:szCs w:val="20"/>
          <w:lang w:val="en-US" w:eastAsia="zh-CN"/>
        </w:rPr>
        <w:t xml:space="preserve">, S.; et al.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Keto-Mycolic Acid and Macrophage Nuclear Receptor TR4 Modulate Foamy Biogenesis in Granulomas: A Case of a Heterologous and Noncanonical Ligand-Receptor Pair. </w:t>
      </w:r>
      <w:r w:rsidRPr="005C3D3A">
        <w:rPr>
          <w:rFonts w:ascii="Palatino Linotype" w:eastAsia="SimSun" w:hAnsi="Palatino Linotype" w:cs="Times New Roman"/>
          <w:i/>
          <w:iCs/>
          <w:color w:val="000000"/>
          <w:sz w:val="18"/>
          <w:szCs w:val="20"/>
          <w:lang w:val="en-US" w:eastAsia="zh-CN"/>
        </w:rPr>
        <w:t>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193</w:t>
      </w:r>
      <w:r w:rsidRPr="005C3D3A">
        <w:rPr>
          <w:rFonts w:ascii="Palatino Linotype" w:eastAsia="SimSun" w:hAnsi="Palatino Linotype" w:cs="Times New Roman"/>
          <w:bCs/>
          <w:color w:val="000000"/>
          <w:sz w:val="18"/>
          <w:szCs w:val="20"/>
          <w:lang w:val="en-US" w:eastAsia="zh-CN"/>
        </w:rPr>
        <w:t>, 295–305</w:t>
      </w:r>
      <w:r w:rsidRPr="005C3D3A">
        <w:rPr>
          <w:rFonts w:ascii="Palatino Linotype" w:eastAsia="SimSun" w:hAnsi="Palatino Linotype" w:cs="Times New Roman"/>
          <w:color w:val="000000"/>
          <w:sz w:val="18"/>
          <w:szCs w:val="20"/>
          <w:lang w:val="en-US" w:eastAsia="zh-CN"/>
        </w:rPr>
        <w:t>, doi:10.4049/jimmunol.1400092.</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Means, T.K.; Wang, S.; Lien, E.; Yoshimura, A.; </w:t>
      </w:r>
      <w:proofErr w:type="spellStart"/>
      <w:r w:rsidRPr="005C3D3A">
        <w:rPr>
          <w:rFonts w:ascii="Palatino Linotype" w:eastAsia="SimSun" w:hAnsi="Palatino Linotype" w:cs="Times New Roman"/>
          <w:color w:val="000000"/>
          <w:sz w:val="18"/>
          <w:szCs w:val="20"/>
          <w:lang w:val="en-US" w:eastAsia="zh-CN"/>
        </w:rPr>
        <w:t>Golenbock</w:t>
      </w:r>
      <w:proofErr w:type="spellEnd"/>
      <w:r w:rsidRPr="005C3D3A">
        <w:rPr>
          <w:rFonts w:ascii="Palatino Linotype" w:eastAsia="SimSun" w:hAnsi="Palatino Linotype" w:cs="Times New Roman"/>
          <w:color w:val="000000"/>
          <w:sz w:val="18"/>
          <w:szCs w:val="20"/>
          <w:lang w:val="en-US" w:eastAsia="zh-CN"/>
        </w:rPr>
        <w:t xml:space="preserve">, D.T.; Fenton, M.J. Human toll-like receptors mediate cellular activation by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1999</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163</w:t>
      </w:r>
      <w:r w:rsidRPr="005C3D3A">
        <w:rPr>
          <w:rFonts w:ascii="Palatino Linotype" w:eastAsia="SimSun" w:hAnsi="Palatino Linotype" w:cs="Times New Roman"/>
          <w:bCs/>
          <w:color w:val="000000"/>
          <w:sz w:val="18"/>
          <w:szCs w:val="20"/>
          <w:lang w:val="en-US" w:eastAsia="zh-CN"/>
        </w:rPr>
        <w:t>, 3920–3927.</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Ryll</w:t>
      </w:r>
      <w:proofErr w:type="spellEnd"/>
      <w:r w:rsidRPr="005C3D3A">
        <w:rPr>
          <w:rFonts w:ascii="Palatino Linotype" w:eastAsia="SimSun" w:hAnsi="Palatino Linotype" w:cs="Times New Roman"/>
          <w:color w:val="000000"/>
          <w:sz w:val="18"/>
          <w:szCs w:val="20"/>
          <w:lang w:val="en-US" w:eastAsia="zh-CN"/>
        </w:rPr>
        <w:t xml:space="preserve">, R.; Watanabe, K.; Fujiwara, N.; </w:t>
      </w:r>
      <w:proofErr w:type="spellStart"/>
      <w:r w:rsidRPr="005C3D3A">
        <w:rPr>
          <w:rFonts w:ascii="Palatino Linotype" w:eastAsia="SimSun" w:hAnsi="Palatino Linotype" w:cs="Times New Roman"/>
          <w:color w:val="000000"/>
          <w:sz w:val="18"/>
          <w:szCs w:val="20"/>
          <w:lang w:val="en-US" w:eastAsia="zh-CN"/>
        </w:rPr>
        <w:t>Takimoto</w:t>
      </w:r>
      <w:proofErr w:type="spellEnd"/>
      <w:r w:rsidRPr="005C3D3A">
        <w:rPr>
          <w:rFonts w:ascii="Palatino Linotype" w:eastAsia="SimSun" w:hAnsi="Palatino Linotype" w:cs="Times New Roman"/>
          <w:color w:val="000000"/>
          <w:sz w:val="18"/>
          <w:szCs w:val="20"/>
          <w:lang w:val="en-US" w:eastAsia="zh-CN"/>
        </w:rPr>
        <w:t xml:space="preserve">, H.; </w:t>
      </w:r>
      <w:proofErr w:type="spellStart"/>
      <w:r w:rsidRPr="005C3D3A">
        <w:rPr>
          <w:rFonts w:ascii="Palatino Linotype" w:eastAsia="SimSun" w:hAnsi="Palatino Linotype" w:cs="Times New Roman"/>
          <w:color w:val="000000"/>
          <w:sz w:val="18"/>
          <w:szCs w:val="20"/>
          <w:lang w:val="en-US" w:eastAsia="zh-CN"/>
        </w:rPr>
        <w:t>Hasunuma</w:t>
      </w:r>
      <w:proofErr w:type="spellEnd"/>
      <w:r w:rsidRPr="005C3D3A">
        <w:rPr>
          <w:rFonts w:ascii="Palatino Linotype" w:eastAsia="SimSun" w:hAnsi="Palatino Linotype" w:cs="Times New Roman"/>
          <w:color w:val="000000"/>
          <w:sz w:val="18"/>
          <w:szCs w:val="20"/>
          <w:lang w:val="en-US" w:eastAsia="zh-CN"/>
        </w:rPr>
        <w:t xml:space="preserve">, R.; </w:t>
      </w:r>
      <w:proofErr w:type="spellStart"/>
      <w:r w:rsidRPr="005C3D3A">
        <w:rPr>
          <w:rFonts w:ascii="Palatino Linotype" w:eastAsia="SimSun" w:hAnsi="Palatino Linotype" w:cs="Times New Roman"/>
          <w:color w:val="000000"/>
          <w:sz w:val="18"/>
          <w:szCs w:val="20"/>
          <w:lang w:val="en-US" w:eastAsia="zh-CN"/>
        </w:rPr>
        <w:t>Kumazawa</w:t>
      </w:r>
      <w:proofErr w:type="spellEnd"/>
      <w:r w:rsidRPr="005C3D3A">
        <w:rPr>
          <w:rFonts w:ascii="Palatino Linotype" w:eastAsia="SimSun" w:hAnsi="Palatino Linotype" w:cs="Times New Roman"/>
          <w:color w:val="000000"/>
          <w:sz w:val="18"/>
          <w:szCs w:val="20"/>
          <w:lang w:val="en-US" w:eastAsia="zh-CN"/>
        </w:rPr>
        <w:t xml:space="preserve">, Y.; Okada, M.; Yano, I. Mycobacterial cord factor, but not </w:t>
      </w:r>
      <w:proofErr w:type="spellStart"/>
      <w:r w:rsidRPr="005C3D3A">
        <w:rPr>
          <w:rFonts w:ascii="Palatino Linotype" w:eastAsia="SimSun" w:hAnsi="Palatino Linotype" w:cs="Times New Roman"/>
          <w:color w:val="000000"/>
          <w:sz w:val="18"/>
          <w:szCs w:val="20"/>
          <w:lang w:val="en-US" w:eastAsia="zh-CN"/>
        </w:rPr>
        <w:t>sulfolipid</w:t>
      </w:r>
      <w:proofErr w:type="spellEnd"/>
      <w:r w:rsidRPr="005C3D3A">
        <w:rPr>
          <w:rFonts w:ascii="Palatino Linotype" w:eastAsia="SimSun" w:hAnsi="Palatino Linotype" w:cs="Times New Roman"/>
          <w:color w:val="000000"/>
          <w:sz w:val="18"/>
          <w:szCs w:val="20"/>
          <w:lang w:val="en-US" w:eastAsia="zh-CN"/>
        </w:rPr>
        <w:t xml:space="preserve">, causes depletion of NKT cells and upregulation of CD1d1 on murine macrophages. </w:t>
      </w:r>
      <w:r w:rsidRPr="005C3D3A">
        <w:rPr>
          <w:rFonts w:ascii="Palatino Linotype" w:eastAsia="SimSun" w:hAnsi="Palatino Linotype" w:cs="Times New Roman"/>
          <w:i/>
          <w:iCs/>
          <w:color w:val="000000"/>
          <w:sz w:val="18"/>
          <w:szCs w:val="20"/>
          <w:lang w:val="en-US" w:eastAsia="zh-CN"/>
        </w:rPr>
        <w:t>Microbes Infect.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2001</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3</w:t>
      </w:r>
      <w:r w:rsidRPr="005C3D3A">
        <w:rPr>
          <w:rFonts w:ascii="Palatino Linotype" w:eastAsia="SimSun" w:hAnsi="Palatino Linotype" w:cs="Times New Roman"/>
          <w:bCs/>
          <w:color w:val="000000"/>
          <w:sz w:val="18"/>
          <w:szCs w:val="20"/>
          <w:lang w:val="en-US" w:eastAsia="zh-CN"/>
        </w:rPr>
        <w:t>, 611–619,</w:t>
      </w:r>
      <w:r w:rsidRPr="005C3D3A">
        <w:rPr>
          <w:rFonts w:ascii="Palatino Linotype" w:eastAsia="SimSun" w:hAnsi="Palatino Linotype" w:cs="Times New Roman"/>
          <w:color w:val="000000"/>
          <w:sz w:val="18"/>
          <w:szCs w:val="20"/>
          <w:lang w:val="en-US" w:eastAsia="zh-CN"/>
        </w:rPr>
        <w:t xml:space="preserve"> doi:10.1016/S1286-4579(01)01416-2.</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Geisel, R.E.; Sakamoto, K.; Russell, D.G.; Rhoades, E.R. In vivo activity of released cell wall lipids of Mycobacterium </w:t>
      </w:r>
      <w:proofErr w:type="spellStart"/>
      <w:r w:rsidRPr="005C3D3A">
        <w:rPr>
          <w:rFonts w:ascii="Palatino Linotype" w:eastAsia="SimSun" w:hAnsi="Palatino Linotype" w:cs="Times New Roman"/>
          <w:color w:val="000000"/>
          <w:sz w:val="18"/>
          <w:szCs w:val="20"/>
          <w:lang w:val="en-US" w:eastAsia="zh-CN"/>
        </w:rPr>
        <w:t>bovis</w:t>
      </w:r>
      <w:proofErr w:type="spellEnd"/>
      <w:r w:rsidRPr="005C3D3A">
        <w:rPr>
          <w:rFonts w:ascii="Palatino Linotype" w:eastAsia="SimSun" w:hAnsi="Palatino Linotype" w:cs="Times New Roman"/>
          <w:color w:val="000000"/>
          <w:sz w:val="18"/>
          <w:szCs w:val="20"/>
          <w:lang w:val="en-US" w:eastAsia="zh-CN"/>
        </w:rPr>
        <w:t xml:space="preserve"> bacillus Calmette-</w:t>
      </w:r>
      <w:proofErr w:type="spellStart"/>
      <w:r w:rsidRPr="005C3D3A">
        <w:rPr>
          <w:rFonts w:ascii="Palatino Linotype" w:eastAsia="SimSun" w:hAnsi="Palatino Linotype" w:cs="Times New Roman"/>
          <w:color w:val="000000"/>
          <w:sz w:val="18"/>
          <w:szCs w:val="20"/>
          <w:lang w:val="en-US" w:eastAsia="zh-CN"/>
        </w:rPr>
        <w:t>Guérin</w:t>
      </w:r>
      <w:proofErr w:type="spellEnd"/>
      <w:r w:rsidRPr="005C3D3A">
        <w:rPr>
          <w:rFonts w:ascii="Palatino Linotype" w:eastAsia="SimSun" w:hAnsi="Palatino Linotype" w:cs="Times New Roman"/>
          <w:color w:val="000000"/>
          <w:sz w:val="18"/>
          <w:szCs w:val="20"/>
          <w:lang w:val="en-US" w:eastAsia="zh-CN"/>
        </w:rPr>
        <w:t xml:space="preserve"> is due principally to </w:t>
      </w:r>
      <w:proofErr w:type="spellStart"/>
      <w:r w:rsidRPr="005C3D3A">
        <w:rPr>
          <w:rFonts w:ascii="Palatino Linotype" w:eastAsia="SimSun" w:hAnsi="Palatino Linotype" w:cs="Times New Roman"/>
          <w:color w:val="000000"/>
          <w:sz w:val="18"/>
          <w:szCs w:val="20"/>
          <w:lang w:val="en-US" w:eastAsia="zh-CN"/>
        </w:rPr>
        <w:t>trehalose</w:t>
      </w:r>
      <w:proofErr w:type="spellEnd"/>
      <w:r w:rsidRPr="005C3D3A">
        <w:rPr>
          <w:rFonts w:ascii="Palatino Linotype" w:eastAsia="SimSun" w:hAnsi="Palatino Linotype" w:cs="Times New Roman"/>
          <w:color w:val="000000"/>
          <w:sz w:val="18"/>
          <w:szCs w:val="20"/>
          <w:lang w:val="en-US" w:eastAsia="zh-CN"/>
        </w:rPr>
        <w:t xml:space="preserve"> mycolates. </w:t>
      </w:r>
      <w:r w:rsidRPr="005C3D3A">
        <w:rPr>
          <w:rFonts w:ascii="Palatino Linotype" w:eastAsia="SimSun" w:hAnsi="Palatino Linotype" w:cs="Times New Roman"/>
          <w:i/>
          <w:iCs/>
          <w:color w:val="000000"/>
          <w:sz w:val="18"/>
          <w:szCs w:val="20"/>
          <w:lang w:val="en-US" w:eastAsia="zh-CN"/>
        </w:rPr>
        <w:t>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2005</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174</w:t>
      </w:r>
      <w:r w:rsidRPr="005C3D3A">
        <w:rPr>
          <w:rFonts w:ascii="Palatino Linotype" w:eastAsia="SimSun" w:hAnsi="Palatino Linotype" w:cs="Times New Roman"/>
          <w:bCs/>
          <w:color w:val="000000"/>
          <w:sz w:val="18"/>
          <w:szCs w:val="20"/>
          <w:lang w:val="en-US" w:eastAsia="zh-CN"/>
        </w:rPr>
        <w:t>, 5007–5015,</w:t>
      </w:r>
      <w:r w:rsidRPr="005C3D3A">
        <w:rPr>
          <w:rFonts w:ascii="Palatino Linotype" w:eastAsia="SimSun" w:hAnsi="Palatino Linotype" w:cs="Times New Roman"/>
          <w:color w:val="000000"/>
          <w:sz w:val="18"/>
          <w:szCs w:val="20"/>
          <w:lang w:val="en-US" w:eastAsia="zh-CN"/>
        </w:rPr>
        <w:t xml:space="preserve"> doi:10.4049/jimmunol.174.8.5007.</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Linares, C.; </w:t>
      </w:r>
      <w:proofErr w:type="spellStart"/>
      <w:r w:rsidRPr="005C3D3A">
        <w:rPr>
          <w:rFonts w:ascii="Palatino Linotype" w:eastAsia="SimSun" w:hAnsi="Palatino Linotype" w:cs="Times New Roman"/>
          <w:color w:val="000000"/>
          <w:sz w:val="18"/>
          <w:szCs w:val="20"/>
          <w:lang w:val="en-US" w:eastAsia="zh-CN"/>
        </w:rPr>
        <w:t>Bernabéu</w:t>
      </w:r>
      <w:proofErr w:type="spellEnd"/>
      <w:r w:rsidRPr="005C3D3A">
        <w:rPr>
          <w:rFonts w:ascii="Palatino Linotype" w:eastAsia="SimSun" w:hAnsi="Palatino Linotype" w:cs="Times New Roman"/>
          <w:color w:val="000000"/>
          <w:sz w:val="18"/>
          <w:szCs w:val="20"/>
          <w:lang w:val="en-US" w:eastAsia="zh-CN"/>
        </w:rPr>
        <w:t xml:space="preserve">, A.; </w:t>
      </w:r>
      <w:proofErr w:type="spellStart"/>
      <w:r w:rsidRPr="005C3D3A">
        <w:rPr>
          <w:rFonts w:ascii="Palatino Linotype" w:eastAsia="SimSun" w:hAnsi="Palatino Linotype" w:cs="Times New Roman"/>
          <w:color w:val="000000"/>
          <w:sz w:val="18"/>
          <w:szCs w:val="20"/>
          <w:lang w:val="en-US" w:eastAsia="zh-CN"/>
        </w:rPr>
        <w:t>Luquin</w:t>
      </w:r>
      <w:proofErr w:type="spellEnd"/>
      <w:r w:rsidRPr="005C3D3A">
        <w:rPr>
          <w:rFonts w:ascii="Palatino Linotype" w:eastAsia="SimSun" w:hAnsi="Palatino Linotype" w:cs="Times New Roman"/>
          <w:color w:val="000000"/>
          <w:sz w:val="18"/>
          <w:szCs w:val="20"/>
          <w:lang w:val="en-US" w:eastAsia="zh-CN"/>
        </w:rPr>
        <w:t>, M.; Valero-</w:t>
      </w:r>
      <w:proofErr w:type="spellStart"/>
      <w:r w:rsidRPr="005C3D3A">
        <w:rPr>
          <w:rFonts w:ascii="Palatino Linotype" w:eastAsia="SimSun" w:hAnsi="Palatino Linotype" w:cs="Times New Roman"/>
          <w:color w:val="000000"/>
          <w:sz w:val="18"/>
          <w:szCs w:val="20"/>
          <w:lang w:val="en-US" w:eastAsia="zh-CN"/>
        </w:rPr>
        <w:t>Guillén</w:t>
      </w:r>
      <w:proofErr w:type="spellEnd"/>
      <w:r w:rsidRPr="005C3D3A">
        <w:rPr>
          <w:rFonts w:ascii="Palatino Linotype" w:eastAsia="SimSun" w:hAnsi="Palatino Linotype" w:cs="Times New Roman"/>
          <w:color w:val="000000"/>
          <w:sz w:val="18"/>
          <w:szCs w:val="20"/>
          <w:lang w:val="en-US" w:eastAsia="zh-CN"/>
        </w:rPr>
        <w:t>, P.L. Cord factors from atypical mycobacteria (</w:t>
      </w:r>
      <w:r w:rsidRPr="005C3D3A">
        <w:rPr>
          <w:rFonts w:ascii="Palatino Linotype" w:eastAsia="SimSun" w:hAnsi="Palatino Linotype" w:cs="Times New Roman"/>
          <w:i/>
          <w:color w:val="000000"/>
          <w:sz w:val="18"/>
          <w:szCs w:val="20"/>
          <w:lang w:val="en-US" w:eastAsia="zh-CN"/>
        </w:rPr>
        <w:t>Mycobacterium alvei</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color w:val="000000"/>
          <w:sz w:val="18"/>
          <w:szCs w:val="20"/>
          <w:lang w:val="en-US" w:eastAsia="zh-CN"/>
        </w:rPr>
        <w:t xml:space="preserve">Mycobacterium </w:t>
      </w:r>
      <w:proofErr w:type="spellStart"/>
      <w:r w:rsidRPr="005C3D3A">
        <w:rPr>
          <w:rFonts w:ascii="Palatino Linotype" w:eastAsia="SimSun" w:hAnsi="Palatino Linotype" w:cs="Times New Roman"/>
          <w:i/>
          <w:color w:val="000000"/>
          <w:sz w:val="18"/>
          <w:szCs w:val="20"/>
          <w:lang w:val="en-US" w:eastAsia="zh-CN"/>
        </w:rPr>
        <w:t>brumae</w:t>
      </w:r>
      <w:proofErr w:type="spellEnd"/>
      <w:r w:rsidRPr="005C3D3A">
        <w:rPr>
          <w:rFonts w:ascii="Palatino Linotype" w:eastAsia="SimSun" w:hAnsi="Palatino Linotype" w:cs="Times New Roman"/>
          <w:color w:val="000000"/>
          <w:sz w:val="18"/>
          <w:szCs w:val="20"/>
          <w:lang w:val="en-US" w:eastAsia="zh-CN"/>
        </w:rPr>
        <w:t xml:space="preserve">) stimulate the secretion of some pro-inflammatory cytokines of relevance in tuberculosis. </w:t>
      </w:r>
      <w:r w:rsidRPr="005C3D3A">
        <w:rPr>
          <w:rFonts w:ascii="Palatino Linotype" w:eastAsia="SimSun" w:hAnsi="Palatino Linotype" w:cs="Times New Roman"/>
          <w:i/>
          <w:iCs/>
          <w:color w:val="000000"/>
          <w:sz w:val="18"/>
          <w:szCs w:val="20"/>
          <w:lang w:val="en-US" w:eastAsia="zh-CN"/>
        </w:rPr>
        <w:t>Microbiology</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2012</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158</w:t>
      </w:r>
      <w:r w:rsidRPr="005C3D3A">
        <w:rPr>
          <w:rFonts w:ascii="Palatino Linotype" w:eastAsia="SimSun" w:hAnsi="Palatino Linotype" w:cs="Times New Roman"/>
          <w:bCs/>
          <w:color w:val="000000"/>
          <w:sz w:val="18"/>
          <w:szCs w:val="20"/>
          <w:lang w:val="en-US" w:eastAsia="zh-CN"/>
        </w:rPr>
        <w:t>, 2878–2885,</w:t>
      </w:r>
      <w:r w:rsidRPr="005C3D3A">
        <w:rPr>
          <w:rFonts w:ascii="Palatino Linotype" w:eastAsia="SimSun" w:hAnsi="Palatino Linotype" w:cs="Times New Roman"/>
          <w:color w:val="000000"/>
          <w:sz w:val="18"/>
          <w:szCs w:val="20"/>
          <w:lang w:val="en-US" w:eastAsia="zh-CN"/>
        </w:rPr>
        <w:t xml:space="preserve"> doi:10.1099/mic.0.060681-0.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Welsh, K.J.; Hunter, R.L.; Actor, J.K. </w:t>
      </w:r>
      <w:proofErr w:type="spellStart"/>
      <w:r w:rsidRPr="005C3D3A">
        <w:rPr>
          <w:rFonts w:ascii="Palatino Linotype" w:eastAsia="SimSun" w:hAnsi="Palatino Linotype" w:cs="Times New Roman"/>
          <w:color w:val="000000"/>
          <w:sz w:val="18"/>
          <w:szCs w:val="20"/>
          <w:lang w:val="en-US" w:eastAsia="zh-CN"/>
        </w:rPr>
        <w:t>Trehalose</w:t>
      </w:r>
      <w:proofErr w:type="spellEnd"/>
      <w:r w:rsidRPr="005C3D3A">
        <w:rPr>
          <w:rFonts w:ascii="Palatino Linotype" w:eastAsia="SimSun" w:hAnsi="Palatino Linotype" w:cs="Times New Roman"/>
          <w:color w:val="000000"/>
          <w:sz w:val="18"/>
          <w:szCs w:val="20"/>
          <w:lang w:val="en-US" w:eastAsia="zh-CN"/>
        </w:rPr>
        <w:t xml:space="preserve"> 6,6′-dimycolate—A coat to regulate tuberculosis immunopathogenesis. </w:t>
      </w:r>
      <w:r w:rsidRPr="005C3D3A">
        <w:rPr>
          <w:rFonts w:ascii="Palatino Linotype" w:eastAsia="SimSun" w:hAnsi="Palatino Linotype" w:cs="Times New Roman"/>
          <w:i/>
          <w:iCs/>
          <w:color w:val="000000"/>
          <w:sz w:val="18"/>
          <w:szCs w:val="20"/>
          <w:lang w:val="en-US" w:eastAsia="zh-CN"/>
        </w:rPr>
        <w:t>Tuberculosis (</w:t>
      </w:r>
      <w:proofErr w:type="spellStart"/>
      <w:r w:rsidRPr="005C3D3A">
        <w:rPr>
          <w:rFonts w:ascii="Palatino Linotype" w:eastAsia="SimSun" w:hAnsi="Palatino Linotype" w:cs="Times New Roman"/>
          <w:i/>
          <w:iCs/>
          <w:color w:val="000000"/>
          <w:sz w:val="18"/>
          <w:szCs w:val="20"/>
          <w:lang w:val="en-US" w:eastAsia="zh-CN"/>
        </w:rPr>
        <w:t>Edinb</w:t>
      </w:r>
      <w:proofErr w:type="spellEnd"/>
      <w:r w:rsidRPr="005C3D3A">
        <w:rPr>
          <w:rFonts w:ascii="Palatino Linotype" w:eastAsia="SimSun" w:hAnsi="Palatino Linotype" w:cs="Times New Roman"/>
          <w:i/>
          <w:iCs/>
          <w:color w:val="000000"/>
          <w:sz w:val="18"/>
          <w:szCs w:val="20"/>
          <w:lang w:val="en-US" w:eastAsia="zh-CN"/>
        </w:rPr>
        <w: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2013</w:t>
      </w:r>
      <w:r w:rsidRPr="005C3D3A">
        <w:rPr>
          <w:rFonts w:ascii="Palatino Linotype" w:eastAsia="SimSun" w:hAnsi="Palatino Linotype" w:cs="Times New Roman"/>
          <w:bCs/>
          <w:color w:val="000000"/>
          <w:sz w:val="18"/>
          <w:szCs w:val="20"/>
          <w:lang w:val="en-US" w:eastAsia="zh-CN"/>
        </w:rPr>
        <w:t>, 93 (Suppl.), S3–S9</w:t>
      </w:r>
      <w:r w:rsidRPr="005C3D3A">
        <w:rPr>
          <w:rFonts w:ascii="Palatino Linotype" w:eastAsia="SimSun" w:hAnsi="Palatino Linotype" w:cs="Times New Roman"/>
          <w:color w:val="000000"/>
          <w:sz w:val="18"/>
          <w:szCs w:val="20"/>
          <w:lang w:val="en-US" w:eastAsia="zh-CN"/>
        </w:rPr>
        <w:t>, doi:10.1016/S1472-9792(13)70003-9.</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Indrigo</w:t>
      </w:r>
      <w:proofErr w:type="spellEnd"/>
      <w:r w:rsidRPr="005C3D3A">
        <w:rPr>
          <w:rFonts w:ascii="Palatino Linotype" w:eastAsia="SimSun" w:hAnsi="Palatino Linotype" w:cs="Times New Roman"/>
          <w:color w:val="000000"/>
          <w:sz w:val="18"/>
          <w:szCs w:val="20"/>
          <w:lang w:val="en-US" w:eastAsia="zh-CN"/>
        </w:rPr>
        <w:t xml:space="preserve">, J.; Hunter, R.L.; Actor, J.K. Influence of </w:t>
      </w:r>
      <w:proofErr w:type="spellStart"/>
      <w:r w:rsidRPr="005C3D3A">
        <w:rPr>
          <w:rFonts w:ascii="Palatino Linotype" w:eastAsia="SimSun" w:hAnsi="Palatino Linotype" w:cs="Times New Roman"/>
          <w:color w:val="000000"/>
          <w:sz w:val="18"/>
          <w:szCs w:val="20"/>
          <w:lang w:val="en-US" w:eastAsia="zh-CN"/>
        </w:rPr>
        <w:t>trehalose</w:t>
      </w:r>
      <w:proofErr w:type="spellEnd"/>
      <w:r w:rsidRPr="005C3D3A">
        <w:rPr>
          <w:rFonts w:ascii="Palatino Linotype" w:eastAsia="SimSun" w:hAnsi="Palatino Linotype" w:cs="Times New Roman"/>
          <w:color w:val="000000"/>
          <w:sz w:val="18"/>
          <w:szCs w:val="20"/>
          <w:lang w:val="en-US" w:eastAsia="zh-CN"/>
        </w:rPr>
        <w:t xml:space="preserve"> 6,6′-dimycolate (TDM) during mycobacterial infection of bone marrow macrophages. </w:t>
      </w:r>
      <w:r w:rsidRPr="005C3D3A">
        <w:rPr>
          <w:rFonts w:ascii="Palatino Linotype" w:eastAsia="SimSun" w:hAnsi="Palatino Linotype" w:cs="Times New Roman"/>
          <w:i/>
          <w:iCs/>
          <w:color w:val="000000"/>
          <w:sz w:val="18"/>
          <w:szCs w:val="20"/>
          <w:lang w:val="en-US" w:eastAsia="zh-CN"/>
        </w:rPr>
        <w:t>Microbiology</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2002</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148</w:t>
      </w:r>
      <w:r w:rsidRPr="005C3D3A">
        <w:rPr>
          <w:rFonts w:ascii="Palatino Linotype" w:eastAsia="SimSun" w:hAnsi="Palatino Linotype" w:cs="Times New Roman"/>
          <w:bCs/>
          <w:color w:val="000000"/>
          <w:sz w:val="18"/>
          <w:szCs w:val="20"/>
          <w:lang w:val="en-US" w:eastAsia="zh-CN"/>
        </w:rPr>
        <w:t>, 1991–1998,</w:t>
      </w:r>
      <w:r w:rsidRPr="005C3D3A">
        <w:rPr>
          <w:rFonts w:ascii="Palatino Linotype" w:eastAsia="SimSun" w:hAnsi="Palatino Linotype" w:cs="Times New Roman"/>
          <w:color w:val="000000"/>
          <w:sz w:val="18"/>
          <w:szCs w:val="20"/>
          <w:lang w:val="en-US" w:eastAsia="zh-CN"/>
        </w:rPr>
        <w:t xml:space="preserve"> doi:10.1099/00221287-148-7-1991.</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Ishikawa, E.; Ishikawa, T.; Morita, Y.S.; </w:t>
      </w:r>
      <w:proofErr w:type="spellStart"/>
      <w:r w:rsidRPr="005C3D3A">
        <w:rPr>
          <w:rFonts w:ascii="Palatino Linotype" w:eastAsia="SimSun" w:hAnsi="Palatino Linotype" w:cs="Times New Roman"/>
          <w:color w:val="000000"/>
          <w:sz w:val="18"/>
          <w:szCs w:val="20"/>
          <w:lang w:val="en-US" w:eastAsia="zh-CN"/>
        </w:rPr>
        <w:t>Toyonaga</w:t>
      </w:r>
      <w:proofErr w:type="spellEnd"/>
      <w:r w:rsidRPr="005C3D3A">
        <w:rPr>
          <w:rFonts w:ascii="Palatino Linotype" w:eastAsia="SimSun" w:hAnsi="Palatino Linotype" w:cs="Times New Roman"/>
          <w:color w:val="000000"/>
          <w:sz w:val="18"/>
          <w:szCs w:val="20"/>
          <w:lang w:val="en-US" w:eastAsia="zh-CN"/>
        </w:rPr>
        <w:t xml:space="preserve">, K.; Yamada, H.; Takeuchi, O.; Kinoshita, T.; Akira, S.; </w:t>
      </w:r>
      <w:proofErr w:type="spellStart"/>
      <w:r w:rsidRPr="005C3D3A">
        <w:rPr>
          <w:rFonts w:ascii="Palatino Linotype" w:eastAsia="SimSun" w:hAnsi="Palatino Linotype" w:cs="Times New Roman"/>
          <w:color w:val="000000"/>
          <w:sz w:val="18"/>
          <w:szCs w:val="20"/>
          <w:lang w:val="en-US" w:eastAsia="zh-CN"/>
        </w:rPr>
        <w:t>Yoshikai</w:t>
      </w:r>
      <w:proofErr w:type="spellEnd"/>
      <w:r w:rsidRPr="005C3D3A">
        <w:rPr>
          <w:rFonts w:ascii="Palatino Linotype" w:eastAsia="SimSun" w:hAnsi="Palatino Linotype" w:cs="Times New Roman"/>
          <w:color w:val="000000"/>
          <w:sz w:val="18"/>
          <w:szCs w:val="20"/>
          <w:lang w:val="en-US" w:eastAsia="zh-CN"/>
        </w:rPr>
        <w:t xml:space="preserve">, Y.; Yamasaki, S. Direct recognition of the mycobacterial glycolipid, </w:t>
      </w:r>
      <w:proofErr w:type="spellStart"/>
      <w:r w:rsidRPr="005C3D3A">
        <w:rPr>
          <w:rFonts w:ascii="Palatino Linotype" w:eastAsia="SimSun" w:hAnsi="Palatino Linotype" w:cs="Times New Roman"/>
          <w:color w:val="000000"/>
          <w:sz w:val="18"/>
          <w:szCs w:val="20"/>
          <w:lang w:val="en-US" w:eastAsia="zh-CN"/>
        </w:rPr>
        <w:t>trehalose</w:t>
      </w:r>
      <w:proofErr w:type="spellEnd"/>
      <w:r w:rsidRPr="005C3D3A">
        <w:rPr>
          <w:rFonts w:ascii="Palatino Linotype" w:eastAsia="SimSun" w:hAnsi="Palatino Linotype" w:cs="Times New Roman"/>
          <w:color w:val="000000"/>
          <w:sz w:val="18"/>
          <w:szCs w:val="20"/>
          <w:lang w:val="en-US" w:eastAsia="zh-CN"/>
        </w:rPr>
        <w:t xml:space="preserve"> </w:t>
      </w:r>
      <w:proofErr w:type="spellStart"/>
      <w:r w:rsidRPr="005C3D3A">
        <w:rPr>
          <w:rFonts w:ascii="Palatino Linotype" w:eastAsia="SimSun" w:hAnsi="Palatino Linotype" w:cs="Times New Roman"/>
          <w:color w:val="000000"/>
          <w:sz w:val="18"/>
          <w:szCs w:val="20"/>
          <w:lang w:val="en-US" w:eastAsia="zh-CN"/>
        </w:rPr>
        <w:t>dimycolate</w:t>
      </w:r>
      <w:proofErr w:type="spellEnd"/>
      <w:r w:rsidRPr="005C3D3A">
        <w:rPr>
          <w:rFonts w:ascii="Palatino Linotype" w:eastAsia="SimSun" w:hAnsi="Palatino Linotype" w:cs="Times New Roman"/>
          <w:color w:val="000000"/>
          <w:sz w:val="18"/>
          <w:szCs w:val="20"/>
          <w:lang w:val="en-US" w:eastAsia="zh-CN"/>
        </w:rPr>
        <w:t xml:space="preserve">, by C-type lectin </w:t>
      </w:r>
      <w:proofErr w:type="spellStart"/>
      <w:r w:rsidRPr="005C3D3A">
        <w:rPr>
          <w:rFonts w:ascii="Palatino Linotype" w:eastAsia="SimSun" w:hAnsi="Palatino Linotype" w:cs="Times New Roman"/>
          <w:color w:val="000000"/>
          <w:sz w:val="18"/>
          <w:szCs w:val="20"/>
          <w:lang w:val="en-US" w:eastAsia="zh-CN"/>
        </w:rPr>
        <w:t>Mincle</w:t>
      </w:r>
      <w:proofErr w:type="spellEnd"/>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J. Exp. Med.</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2009</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206</w:t>
      </w:r>
      <w:r w:rsidRPr="005C3D3A">
        <w:rPr>
          <w:rFonts w:ascii="Palatino Linotype" w:eastAsia="SimSun" w:hAnsi="Palatino Linotype" w:cs="Times New Roman"/>
          <w:bCs/>
          <w:color w:val="000000"/>
          <w:sz w:val="18"/>
          <w:szCs w:val="20"/>
          <w:lang w:val="en-US" w:eastAsia="zh-CN"/>
        </w:rPr>
        <w:t>, 2879–2888,</w:t>
      </w:r>
      <w:r w:rsidRPr="005C3D3A">
        <w:rPr>
          <w:rFonts w:ascii="Palatino Linotype" w:eastAsia="SimSun" w:hAnsi="Palatino Linotype" w:cs="Times New Roman"/>
          <w:color w:val="000000"/>
          <w:sz w:val="18"/>
          <w:szCs w:val="20"/>
          <w:lang w:val="en-US" w:eastAsia="zh-CN"/>
        </w:rPr>
        <w:t xml:space="preserve"> doi:10.1084/jem.20091750.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Kan-Sutton, C.; Jagannath, C.; Hunter, R.L. </w:t>
      </w:r>
      <w:proofErr w:type="spellStart"/>
      <w:r w:rsidRPr="005C3D3A">
        <w:rPr>
          <w:rFonts w:ascii="Palatino Linotype" w:eastAsia="SimSun" w:hAnsi="Palatino Linotype" w:cs="Times New Roman"/>
          <w:color w:val="000000"/>
          <w:sz w:val="18"/>
          <w:szCs w:val="20"/>
          <w:lang w:val="en-US" w:eastAsia="zh-CN"/>
        </w:rPr>
        <w:t>Trehalose</w:t>
      </w:r>
      <w:proofErr w:type="spellEnd"/>
      <w:r w:rsidRPr="005C3D3A">
        <w:rPr>
          <w:rFonts w:ascii="Palatino Linotype" w:eastAsia="SimSun" w:hAnsi="Palatino Linotype" w:cs="Times New Roman"/>
          <w:color w:val="000000"/>
          <w:sz w:val="18"/>
          <w:szCs w:val="20"/>
          <w:lang w:val="en-US" w:eastAsia="zh-CN"/>
        </w:rPr>
        <w:t xml:space="preserve"> 6,6′-dimycolate on the surface of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modulates surface marker expression for antigen presentation and </w:t>
      </w:r>
      <w:proofErr w:type="spellStart"/>
      <w:r w:rsidRPr="005C3D3A">
        <w:rPr>
          <w:rFonts w:ascii="Palatino Linotype" w:eastAsia="SimSun" w:hAnsi="Palatino Linotype" w:cs="Times New Roman"/>
          <w:color w:val="000000"/>
          <w:sz w:val="18"/>
          <w:szCs w:val="20"/>
          <w:lang w:val="en-US" w:eastAsia="zh-CN"/>
        </w:rPr>
        <w:t>costimulation</w:t>
      </w:r>
      <w:proofErr w:type="spellEnd"/>
      <w:r w:rsidRPr="005C3D3A">
        <w:rPr>
          <w:rFonts w:ascii="Palatino Linotype" w:eastAsia="SimSun" w:hAnsi="Palatino Linotype" w:cs="Times New Roman"/>
          <w:color w:val="000000"/>
          <w:sz w:val="18"/>
          <w:szCs w:val="20"/>
          <w:lang w:val="en-US" w:eastAsia="zh-CN"/>
        </w:rPr>
        <w:t xml:space="preserve"> in murine macrophages. </w:t>
      </w:r>
      <w:r w:rsidRPr="005C3D3A">
        <w:rPr>
          <w:rFonts w:ascii="Palatino Linotype" w:eastAsia="SimSun" w:hAnsi="Palatino Linotype" w:cs="Times New Roman"/>
          <w:i/>
          <w:iCs/>
          <w:color w:val="000000"/>
          <w:sz w:val="18"/>
          <w:szCs w:val="20"/>
          <w:lang w:val="en-US" w:eastAsia="zh-CN"/>
        </w:rPr>
        <w:t>Microbes Infect.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2009</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11</w:t>
      </w:r>
      <w:r w:rsidRPr="005C3D3A">
        <w:rPr>
          <w:rFonts w:ascii="Palatino Linotype" w:eastAsia="SimSun" w:hAnsi="Palatino Linotype" w:cs="Times New Roman"/>
          <w:bCs/>
          <w:color w:val="000000"/>
          <w:sz w:val="18"/>
          <w:szCs w:val="20"/>
          <w:lang w:val="en-US" w:eastAsia="zh-CN"/>
        </w:rPr>
        <w:t>, 40–48,</w:t>
      </w:r>
      <w:r w:rsidRPr="005C3D3A">
        <w:rPr>
          <w:rFonts w:ascii="Palatino Linotype" w:eastAsia="SimSun" w:hAnsi="Palatino Linotype" w:cs="Times New Roman"/>
          <w:color w:val="000000"/>
          <w:sz w:val="18"/>
          <w:szCs w:val="20"/>
          <w:lang w:val="en-US" w:eastAsia="zh-CN"/>
        </w:rPr>
        <w:t xml:space="preserve"> doi:10.1016/j.micinf.2008.10.006.</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Hamasaki, N.; </w:t>
      </w:r>
      <w:proofErr w:type="spellStart"/>
      <w:r w:rsidRPr="005C3D3A">
        <w:rPr>
          <w:rFonts w:ascii="Palatino Linotype" w:eastAsia="SimSun" w:hAnsi="Palatino Linotype" w:cs="Times New Roman"/>
          <w:color w:val="000000"/>
          <w:sz w:val="18"/>
          <w:szCs w:val="20"/>
          <w:lang w:val="en-US" w:eastAsia="zh-CN"/>
        </w:rPr>
        <w:t>Isowa</w:t>
      </w:r>
      <w:proofErr w:type="spellEnd"/>
      <w:r w:rsidRPr="005C3D3A">
        <w:rPr>
          <w:rFonts w:ascii="Palatino Linotype" w:eastAsia="SimSun" w:hAnsi="Palatino Linotype" w:cs="Times New Roman"/>
          <w:color w:val="000000"/>
          <w:sz w:val="18"/>
          <w:szCs w:val="20"/>
          <w:lang w:val="en-US" w:eastAsia="zh-CN"/>
        </w:rPr>
        <w:t xml:space="preserve">, K.; </w:t>
      </w:r>
      <w:proofErr w:type="spellStart"/>
      <w:r w:rsidRPr="005C3D3A">
        <w:rPr>
          <w:rFonts w:ascii="Palatino Linotype" w:eastAsia="SimSun" w:hAnsi="Palatino Linotype" w:cs="Times New Roman"/>
          <w:color w:val="000000"/>
          <w:sz w:val="18"/>
          <w:szCs w:val="20"/>
          <w:lang w:val="en-US" w:eastAsia="zh-CN"/>
        </w:rPr>
        <w:t>Kamada</w:t>
      </w:r>
      <w:proofErr w:type="spellEnd"/>
      <w:r w:rsidRPr="005C3D3A">
        <w:rPr>
          <w:rFonts w:ascii="Palatino Linotype" w:eastAsia="SimSun" w:hAnsi="Palatino Linotype" w:cs="Times New Roman"/>
          <w:color w:val="000000"/>
          <w:sz w:val="18"/>
          <w:szCs w:val="20"/>
          <w:lang w:val="en-US" w:eastAsia="zh-CN"/>
        </w:rPr>
        <w:t xml:space="preserve">, K.; </w:t>
      </w:r>
      <w:proofErr w:type="spellStart"/>
      <w:r w:rsidRPr="005C3D3A">
        <w:rPr>
          <w:rFonts w:ascii="Palatino Linotype" w:eastAsia="SimSun" w:hAnsi="Palatino Linotype" w:cs="Times New Roman"/>
          <w:color w:val="000000"/>
          <w:sz w:val="18"/>
          <w:szCs w:val="20"/>
          <w:lang w:val="en-US" w:eastAsia="zh-CN"/>
        </w:rPr>
        <w:t>Terano</w:t>
      </w:r>
      <w:proofErr w:type="spellEnd"/>
      <w:r w:rsidRPr="005C3D3A">
        <w:rPr>
          <w:rFonts w:ascii="Palatino Linotype" w:eastAsia="SimSun" w:hAnsi="Palatino Linotype" w:cs="Times New Roman"/>
          <w:color w:val="000000"/>
          <w:sz w:val="18"/>
          <w:szCs w:val="20"/>
          <w:lang w:val="en-US" w:eastAsia="zh-CN"/>
        </w:rPr>
        <w:t>, Y.; Matsumoto, T.; Arakawa, T.; Kobayashi, K.; Yano, I. In vivo administration of mycobacterial cord factor (</w:t>
      </w:r>
      <w:proofErr w:type="spellStart"/>
      <w:r w:rsidRPr="005C3D3A">
        <w:rPr>
          <w:rFonts w:ascii="Palatino Linotype" w:eastAsia="SimSun" w:hAnsi="Palatino Linotype" w:cs="Times New Roman"/>
          <w:color w:val="000000"/>
          <w:sz w:val="18"/>
          <w:szCs w:val="20"/>
          <w:lang w:val="en-US" w:eastAsia="zh-CN"/>
        </w:rPr>
        <w:t>Trehalose</w:t>
      </w:r>
      <w:proofErr w:type="spellEnd"/>
      <w:r w:rsidRPr="005C3D3A">
        <w:rPr>
          <w:rFonts w:ascii="Palatino Linotype" w:eastAsia="SimSun" w:hAnsi="Palatino Linotype" w:cs="Times New Roman"/>
          <w:color w:val="000000"/>
          <w:sz w:val="18"/>
          <w:szCs w:val="20"/>
          <w:lang w:val="en-US" w:eastAsia="zh-CN"/>
        </w:rPr>
        <w:t xml:space="preserve"> 6,6′-dimycolate) can induce lung and liver granulomas and thymic atrophy in rabbits. </w:t>
      </w:r>
      <w:r w:rsidRPr="005C3D3A">
        <w:rPr>
          <w:rFonts w:ascii="Palatino Linotype" w:eastAsia="SimSun" w:hAnsi="Palatino Linotype" w:cs="Times New Roman"/>
          <w:i/>
          <w:iCs/>
          <w:color w:val="000000"/>
          <w:sz w:val="18"/>
          <w:szCs w:val="20"/>
          <w:lang w:val="en-US" w:eastAsia="zh-CN"/>
        </w:rPr>
        <w:t>Infect. Immun.</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2000</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68</w:t>
      </w:r>
      <w:r w:rsidRPr="005C3D3A">
        <w:rPr>
          <w:rFonts w:ascii="Palatino Linotype" w:eastAsia="SimSun" w:hAnsi="Palatino Linotype" w:cs="Times New Roman"/>
          <w:bCs/>
          <w:color w:val="000000"/>
          <w:sz w:val="18"/>
          <w:szCs w:val="20"/>
          <w:lang w:val="en-US" w:eastAsia="zh-CN"/>
        </w:rPr>
        <w:t>, 3704–3709,</w:t>
      </w:r>
      <w:r w:rsidRPr="005C3D3A">
        <w:rPr>
          <w:rFonts w:ascii="Palatino Linotype" w:eastAsia="SimSun" w:hAnsi="Palatino Linotype" w:cs="Times New Roman"/>
          <w:color w:val="000000"/>
          <w:sz w:val="18"/>
          <w:szCs w:val="20"/>
          <w:lang w:val="en-US" w:eastAsia="zh-CN"/>
        </w:rPr>
        <w:t xml:space="preserve"> doi:10.1128/IAI.68.6.3704-3709.2000.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Sakamoto, K.; Kim, M.J.; Rhoades, E.R.; </w:t>
      </w:r>
      <w:proofErr w:type="spellStart"/>
      <w:r w:rsidRPr="005C3D3A">
        <w:rPr>
          <w:rFonts w:ascii="Palatino Linotype" w:eastAsia="SimSun" w:hAnsi="Palatino Linotype" w:cs="Times New Roman"/>
          <w:color w:val="000000"/>
          <w:sz w:val="18"/>
          <w:szCs w:val="20"/>
          <w:lang w:val="en-US" w:eastAsia="zh-CN"/>
        </w:rPr>
        <w:t>Allavena</w:t>
      </w:r>
      <w:proofErr w:type="spellEnd"/>
      <w:r w:rsidRPr="005C3D3A">
        <w:rPr>
          <w:rFonts w:ascii="Palatino Linotype" w:eastAsia="SimSun" w:hAnsi="Palatino Linotype" w:cs="Times New Roman"/>
          <w:color w:val="000000"/>
          <w:sz w:val="18"/>
          <w:szCs w:val="20"/>
          <w:lang w:val="en-US" w:eastAsia="zh-CN"/>
        </w:rPr>
        <w:t xml:space="preserve">, R.E.; </w:t>
      </w:r>
      <w:proofErr w:type="spellStart"/>
      <w:r w:rsidRPr="005C3D3A">
        <w:rPr>
          <w:rFonts w:ascii="Palatino Linotype" w:eastAsia="SimSun" w:hAnsi="Palatino Linotype" w:cs="Times New Roman"/>
          <w:color w:val="000000"/>
          <w:sz w:val="18"/>
          <w:szCs w:val="20"/>
          <w:lang w:val="en-US" w:eastAsia="zh-CN"/>
        </w:rPr>
        <w:t>Ehrt</w:t>
      </w:r>
      <w:proofErr w:type="spellEnd"/>
      <w:r w:rsidRPr="005C3D3A">
        <w:rPr>
          <w:rFonts w:ascii="Palatino Linotype" w:eastAsia="SimSun" w:hAnsi="Palatino Linotype" w:cs="Times New Roman"/>
          <w:color w:val="000000"/>
          <w:sz w:val="18"/>
          <w:szCs w:val="20"/>
          <w:lang w:val="en-US" w:eastAsia="zh-CN"/>
        </w:rPr>
        <w:t xml:space="preserve">, S.; Wainwright, H.C.; Russell, D.G.; Rohde, K.H. Mycobacterial </w:t>
      </w:r>
      <w:proofErr w:type="spellStart"/>
      <w:r w:rsidRPr="005C3D3A">
        <w:rPr>
          <w:rFonts w:ascii="Palatino Linotype" w:eastAsia="SimSun" w:hAnsi="Palatino Linotype" w:cs="Times New Roman"/>
          <w:color w:val="000000"/>
          <w:sz w:val="18"/>
          <w:szCs w:val="20"/>
          <w:lang w:val="en-US" w:eastAsia="zh-CN"/>
        </w:rPr>
        <w:t>trehalose</w:t>
      </w:r>
      <w:proofErr w:type="spellEnd"/>
      <w:r w:rsidRPr="005C3D3A">
        <w:rPr>
          <w:rFonts w:ascii="Palatino Linotype" w:eastAsia="SimSun" w:hAnsi="Palatino Linotype" w:cs="Times New Roman"/>
          <w:color w:val="000000"/>
          <w:sz w:val="18"/>
          <w:szCs w:val="20"/>
          <w:lang w:val="en-US" w:eastAsia="zh-CN"/>
        </w:rPr>
        <w:t xml:space="preserve"> </w:t>
      </w:r>
      <w:proofErr w:type="spellStart"/>
      <w:r w:rsidRPr="005C3D3A">
        <w:rPr>
          <w:rFonts w:ascii="Palatino Linotype" w:eastAsia="SimSun" w:hAnsi="Palatino Linotype" w:cs="Times New Roman"/>
          <w:color w:val="000000"/>
          <w:sz w:val="18"/>
          <w:szCs w:val="20"/>
          <w:lang w:val="en-US" w:eastAsia="zh-CN"/>
        </w:rPr>
        <w:t>dimycolate</w:t>
      </w:r>
      <w:proofErr w:type="spellEnd"/>
      <w:r w:rsidRPr="005C3D3A">
        <w:rPr>
          <w:rFonts w:ascii="Palatino Linotype" w:eastAsia="SimSun" w:hAnsi="Palatino Linotype" w:cs="Times New Roman"/>
          <w:color w:val="000000"/>
          <w:sz w:val="18"/>
          <w:szCs w:val="20"/>
          <w:lang w:val="en-US" w:eastAsia="zh-CN"/>
        </w:rPr>
        <w:t xml:space="preserve"> reprograms macrophage global gene expression and activates matrix metalloproteinases. </w:t>
      </w:r>
      <w:r w:rsidRPr="005C3D3A">
        <w:rPr>
          <w:rFonts w:ascii="Palatino Linotype" w:eastAsia="SimSun" w:hAnsi="Palatino Linotype" w:cs="Times New Roman"/>
          <w:i/>
          <w:iCs/>
          <w:color w:val="000000"/>
          <w:sz w:val="18"/>
          <w:szCs w:val="20"/>
          <w:lang w:val="en-US" w:eastAsia="zh-CN"/>
        </w:rPr>
        <w:t>Infect. Immun.</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81</w:t>
      </w:r>
      <w:r w:rsidRPr="005C3D3A">
        <w:rPr>
          <w:rFonts w:ascii="Palatino Linotype" w:eastAsia="SimSun" w:hAnsi="Palatino Linotype" w:cs="Times New Roman"/>
          <w:bCs/>
          <w:color w:val="000000"/>
          <w:sz w:val="18"/>
          <w:szCs w:val="20"/>
          <w:lang w:val="en-US" w:eastAsia="zh-CN"/>
        </w:rPr>
        <w:t>, 764–776,</w:t>
      </w:r>
      <w:r w:rsidRPr="005C3D3A">
        <w:rPr>
          <w:rFonts w:ascii="Palatino Linotype" w:eastAsia="SimSun" w:hAnsi="Palatino Linotype" w:cs="Times New Roman"/>
          <w:color w:val="000000"/>
          <w:sz w:val="18"/>
          <w:szCs w:val="20"/>
          <w:lang w:val="en-US" w:eastAsia="zh-CN"/>
        </w:rPr>
        <w:t xml:space="preserve"> doi:10.1128/IAI.00906-12.</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Converse, S.E.; </w:t>
      </w:r>
      <w:proofErr w:type="spellStart"/>
      <w:r w:rsidRPr="005C3D3A">
        <w:rPr>
          <w:rFonts w:ascii="Palatino Linotype" w:eastAsia="SimSun" w:hAnsi="Palatino Linotype" w:cs="Times New Roman"/>
          <w:color w:val="000000"/>
          <w:sz w:val="18"/>
          <w:szCs w:val="20"/>
          <w:lang w:val="en-US" w:eastAsia="zh-CN"/>
        </w:rPr>
        <w:t>Mougous</w:t>
      </w:r>
      <w:proofErr w:type="spellEnd"/>
      <w:r w:rsidRPr="005C3D3A">
        <w:rPr>
          <w:rFonts w:ascii="Palatino Linotype" w:eastAsia="SimSun" w:hAnsi="Palatino Linotype" w:cs="Times New Roman"/>
          <w:color w:val="000000"/>
          <w:sz w:val="18"/>
          <w:szCs w:val="20"/>
          <w:lang w:val="en-US" w:eastAsia="zh-CN"/>
        </w:rPr>
        <w:t xml:space="preserve">, J.D.; </w:t>
      </w:r>
      <w:proofErr w:type="spellStart"/>
      <w:r w:rsidRPr="005C3D3A">
        <w:rPr>
          <w:rFonts w:ascii="Palatino Linotype" w:eastAsia="SimSun" w:hAnsi="Palatino Linotype" w:cs="Times New Roman"/>
          <w:color w:val="000000"/>
          <w:sz w:val="18"/>
          <w:szCs w:val="20"/>
          <w:lang w:val="en-US" w:eastAsia="zh-CN"/>
        </w:rPr>
        <w:t>Leavell</w:t>
      </w:r>
      <w:proofErr w:type="spellEnd"/>
      <w:r w:rsidRPr="005C3D3A">
        <w:rPr>
          <w:rFonts w:ascii="Palatino Linotype" w:eastAsia="SimSun" w:hAnsi="Palatino Linotype" w:cs="Times New Roman"/>
          <w:color w:val="000000"/>
          <w:sz w:val="18"/>
          <w:szCs w:val="20"/>
          <w:lang w:val="en-US" w:eastAsia="zh-CN"/>
        </w:rPr>
        <w:t xml:space="preserve">, M.D.; Leary, J.A.; </w:t>
      </w:r>
      <w:proofErr w:type="spellStart"/>
      <w:r w:rsidRPr="005C3D3A">
        <w:rPr>
          <w:rFonts w:ascii="Palatino Linotype" w:eastAsia="SimSun" w:hAnsi="Palatino Linotype" w:cs="Times New Roman"/>
          <w:color w:val="000000"/>
          <w:sz w:val="18"/>
          <w:szCs w:val="20"/>
          <w:lang w:val="en-US" w:eastAsia="zh-CN"/>
        </w:rPr>
        <w:t>Bertozzi</w:t>
      </w:r>
      <w:proofErr w:type="spellEnd"/>
      <w:r w:rsidRPr="005C3D3A">
        <w:rPr>
          <w:rFonts w:ascii="Palatino Linotype" w:eastAsia="SimSun" w:hAnsi="Palatino Linotype" w:cs="Times New Roman"/>
          <w:color w:val="000000"/>
          <w:sz w:val="18"/>
          <w:szCs w:val="20"/>
          <w:lang w:val="en-US" w:eastAsia="zh-CN"/>
        </w:rPr>
        <w:t xml:space="preserve">, C.R.; Cox, J.S. MmpL8 is required for sulfolipid-1 biosynthesis and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virulence. </w:t>
      </w:r>
      <w:r w:rsidRPr="005C3D3A">
        <w:rPr>
          <w:rFonts w:ascii="Palatino Linotype" w:eastAsia="SimSun" w:hAnsi="Palatino Linotype" w:cs="Times New Roman"/>
          <w:i/>
          <w:iCs/>
          <w:color w:val="000000"/>
          <w:sz w:val="18"/>
          <w:szCs w:val="20"/>
          <w:lang w:val="en-US" w:eastAsia="zh-CN"/>
        </w:rPr>
        <w:t>Proc. Natl. Acad. Sci. USA</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100</w:t>
      </w:r>
      <w:r w:rsidRPr="005C3D3A">
        <w:rPr>
          <w:rFonts w:ascii="Palatino Linotype" w:eastAsia="SimSun" w:hAnsi="Palatino Linotype" w:cs="Times New Roman"/>
          <w:bCs/>
          <w:color w:val="000000"/>
          <w:sz w:val="18"/>
          <w:szCs w:val="20"/>
          <w:lang w:val="en-US" w:eastAsia="zh-CN"/>
        </w:rPr>
        <w:t>, 6121–6126,</w:t>
      </w:r>
      <w:r w:rsidRPr="005C3D3A">
        <w:rPr>
          <w:rFonts w:ascii="Palatino Linotype" w:eastAsia="SimSun" w:hAnsi="Palatino Linotype" w:cs="Times New Roman"/>
          <w:color w:val="000000"/>
          <w:sz w:val="18"/>
          <w:szCs w:val="20"/>
          <w:lang w:val="en-US" w:eastAsia="zh-CN"/>
        </w:rPr>
        <w:t xml:space="preserve"> doi:10.1073/pnas.1030024100.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lastRenderedPageBreak/>
        <w:t xml:space="preserve">Domenech, P.; Reed, M.B.; Dowd, C.S.; </w:t>
      </w:r>
      <w:proofErr w:type="spellStart"/>
      <w:r w:rsidRPr="005C3D3A">
        <w:rPr>
          <w:rFonts w:ascii="Palatino Linotype" w:eastAsia="SimSun" w:hAnsi="Palatino Linotype" w:cs="Times New Roman"/>
          <w:color w:val="000000"/>
          <w:sz w:val="18"/>
          <w:szCs w:val="20"/>
          <w:lang w:val="en-US" w:eastAsia="zh-CN"/>
        </w:rPr>
        <w:t>Manca</w:t>
      </w:r>
      <w:proofErr w:type="spellEnd"/>
      <w:r w:rsidRPr="005C3D3A">
        <w:rPr>
          <w:rFonts w:ascii="Palatino Linotype" w:eastAsia="SimSun" w:hAnsi="Palatino Linotype" w:cs="Times New Roman"/>
          <w:color w:val="000000"/>
          <w:sz w:val="18"/>
          <w:szCs w:val="20"/>
          <w:lang w:val="en-US" w:eastAsia="zh-CN"/>
        </w:rPr>
        <w:t xml:space="preserve">, C.; Kaplan, G.; Barry, C.E. The role of MmpL8 in sulfatide biogenesis and virulence of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J. Biol. Chem.</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279</w:t>
      </w:r>
      <w:r w:rsidRPr="005C3D3A">
        <w:rPr>
          <w:rFonts w:ascii="Palatino Linotype" w:eastAsia="SimSun" w:hAnsi="Palatino Linotype" w:cs="Times New Roman"/>
          <w:bCs/>
          <w:color w:val="000000"/>
          <w:sz w:val="18"/>
          <w:szCs w:val="20"/>
          <w:lang w:val="en-US" w:eastAsia="zh-CN"/>
        </w:rPr>
        <w:t>, 21257–21265,</w:t>
      </w:r>
      <w:r w:rsidRPr="005C3D3A">
        <w:rPr>
          <w:rFonts w:ascii="Palatino Linotype" w:eastAsia="SimSun" w:hAnsi="Palatino Linotype" w:cs="Times New Roman"/>
          <w:color w:val="000000"/>
          <w:sz w:val="18"/>
          <w:szCs w:val="20"/>
          <w:lang w:val="en-US" w:eastAsia="zh-CN"/>
        </w:rPr>
        <w:t xml:space="preserve"> doi:10.1074/jbc.M400324200.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Goren, M.B.; </w:t>
      </w:r>
      <w:proofErr w:type="spellStart"/>
      <w:r w:rsidRPr="005C3D3A">
        <w:rPr>
          <w:rFonts w:ascii="Palatino Linotype" w:eastAsia="SimSun" w:hAnsi="Palatino Linotype" w:cs="Times New Roman"/>
          <w:color w:val="000000"/>
          <w:sz w:val="18"/>
          <w:szCs w:val="20"/>
          <w:lang w:val="en-US" w:eastAsia="zh-CN"/>
        </w:rPr>
        <w:t>Brokl</w:t>
      </w:r>
      <w:proofErr w:type="spellEnd"/>
      <w:r w:rsidRPr="005C3D3A">
        <w:rPr>
          <w:rFonts w:ascii="Palatino Linotype" w:eastAsia="SimSun" w:hAnsi="Palatino Linotype" w:cs="Times New Roman"/>
          <w:color w:val="000000"/>
          <w:sz w:val="18"/>
          <w:szCs w:val="20"/>
          <w:lang w:val="en-US" w:eastAsia="zh-CN"/>
        </w:rPr>
        <w:t xml:space="preserve">, O.; Schaefer, W.B. Lipids of putative relevance to virulence in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Phthiocerol dimycocerosate and the attenuation indicator lipid. </w:t>
      </w:r>
      <w:r w:rsidRPr="005C3D3A">
        <w:rPr>
          <w:rFonts w:ascii="Palatino Linotype" w:eastAsia="SimSun" w:hAnsi="Palatino Linotype" w:cs="Times New Roman"/>
          <w:i/>
          <w:iCs/>
          <w:color w:val="000000"/>
          <w:sz w:val="18"/>
          <w:szCs w:val="20"/>
          <w:lang w:val="en-US" w:eastAsia="zh-CN"/>
        </w:rPr>
        <w:t>Infect. Immun.</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1974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9</w:t>
      </w:r>
      <w:r w:rsidRPr="005C3D3A">
        <w:rPr>
          <w:rFonts w:ascii="Palatino Linotype" w:eastAsia="SimSun" w:hAnsi="Palatino Linotype" w:cs="Times New Roman"/>
          <w:bCs/>
          <w:color w:val="000000"/>
          <w:sz w:val="18"/>
          <w:szCs w:val="20"/>
          <w:lang w:val="en-US" w:eastAsia="zh-CN"/>
        </w:rPr>
        <w:t>, 150–158.</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Cox, J.S.; Chen, B.; McNeil, M.; Jacobs, W.R. Complex lipid determines tissue-specific replication of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in mice. </w:t>
      </w:r>
      <w:r w:rsidRPr="005C3D3A">
        <w:rPr>
          <w:rFonts w:ascii="Palatino Linotype" w:eastAsia="SimSun" w:hAnsi="Palatino Linotype" w:cs="Times New Roman"/>
          <w:i/>
          <w:iCs/>
          <w:color w:val="000000"/>
          <w:sz w:val="18"/>
          <w:szCs w:val="20"/>
          <w:lang w:val="en-US" w:eastAsia="zh-CN"/>
        </w:rPr>
        <w:t>Nature</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1999</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402</w:t>
      </w:r>
      <w:r w:rsidRPr="005C3D3A">
        <w:rPr>
          <w:rFonts w:ascii="Palatino Linotype" w:eastAsia="SimSun" w:hAnsi="Palatino Linotype" w:cs="Times New Roman"/>
          <w:bCs/>
          <w:color w:val="000000"/>
          <w:sz w:val="18"/>
          <w:szCs w:val="20"/>
          <w:lang w:val="en-US" w:eastAsia="zh-CN"/>
        </w:rPr>
        <w:t>, 79–83</w:t>
      </w:r>
      <w:r w:rsidRPr="005C3D3A">
        <w:rPr>
          <w:rFonts w:ascii="Palatino Linotype" w:eastAsia="SimSun" w:hAnsi="Palatino Linotype" w:cs="Times New Roman"/>
          <w:color w:val="000000"/>
          <w:sz w:val="18"/>
          <w:szCs w:val="20"/>
          <w:lang w:val="en-US" w:eastAsia="zh-CN"/>
        </w:rPr>
        <w:t>, doi:10.1038/47042.</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Astarie-Dequeker</w:t>
      </w:r>
      <w:proofErr w:type="spellEnd"/>
      <w:r w:rsidRPr="005C3D3A">
        <w:rPr>
          <w:rFonts w:ascii="Palatino Linotype" w:eastAsia="SimSun" w:hAnsi="Palatino Linotype" w:cs="Times New Roman"/>
          <w:color w:val="000000"/>
          <w:sz w:val="18"/>
          <w:szCs w:val="20"/>
          <w:lang w:val="en-US" w:eastAsia="zh-CN"/>
        </w:rPr>
        <w:t xml:space="preserve">, C.; Le </w:t>
      </w:r>
      <w:proofErr w:type="spellStart"/>
      <w:r w:rsidRPr="005C3D3A">
        <w:rPr>
          <w:rFonts w:ascii="Palatino Linotype" w:eastAsia="SimSun" w:hAnsi="Palatino Linotype" w:cs="Times New Roman"/>
          <w:color w:val="000000"/>
          <w:sz w:val="18"/>
          <w:szCs w:val="20"/>
          <w:lang w:val="en-US" w:eastAsia="zh-CN"/>
        </w:rPr>
        <w:t>Guyader</w:t>
      </w:r>
      <w:proofErr w:type="spellEnd"/>
      <w:r w:rsidRPr="005C3D3A">
        <w:rPr>
          <w:rFonts w:ascii="Palatino Linotype" w:eastAsia="SimSun" w:hAnsi="Palatino Linotype" w:cs="Times New Roman"/>
          <w:color w:val="000000"/>
          <w:sz w:val="18"/>
          <w:szCs w:val="20"/>
          <w:lang w:val="en-US" w:eastAsia="zh-CN"/>
        </w:rPr>
        <w:t xml:space="preserve">, L.; Malaga, W.; </w:t>
      </w:r>
      <w:proofErr w:type="spellStart"/>
      <w:r w:rsidRPr="005C3D3A">
        <w:rPr>
          <w:rFonts w:ascii="Palatino Linotype" w:eastAsia="SimSun" w:hAnsi="Palatino Linotype" w:cs="Times New Roman"/>
          <w:color w:val="000000"/>
          <w:sz w:val="18"/>
          <w:szCs w:val="20"/>
          <w:lang w:val="en-US" w:eastAsia="zh-CN"/>
        </w:rPr>
        <w:t>Seaphanh</w:t>
      </w:r>
      <w:proofErr w:type="spellEnd"/>
      <w:r w:rsidRPr="005C3D3A">
        <w:rPr>
          <w:rFonts w:ascii="Palatino Linotype" w:eastAsia="SimSun" w:hAnsi="Palatino Linotype" w:cs="Times New Roman"/>
          <w:color w:val="000000"/>
          <w:sz w:val="18"/>
          <w:szCs w:val="20"/>
          <w:lang w:val="en-US" w:eastAsia="zh-CN"/>
        </w:rPr>
        <w:t xml:space="preserve">, F.-K.; </w:t>
      </w:r>
      <w:proofErr w:type="spellStart"/>
      <w:r w:rsidRPr="005C3D3A">
        <w:rPr>
          <w:rFonts w:ascii="Palatino Linotype" w:eastAsia="SimSun" w:hAnsi="Palatino Linotype" w:cs="Times New Roman"/>
          <w:color w:val="000000"/>
          <w:sz w:val="18"/>
          <w:szCs w:val="20"/>
          <w:lang w:val="en-US" w:eastAsia="zh-CN"/>
        </w:rPr>
        <w:t>Chalut</w:t>
      </w:r>
      <w:proofErr w:type="spellEnd"/>
      <w:r w:rsidRPr="005C3D3A">
        <w:rPr>
          <w:rFonts w:ascii="Palatino Linotype" w:eastAsia="SimSun" w:hAnsi="Palatino Linotype" w:cs="Times New Roman"/>
          <w:color w:val="000000"/>
          <w:sz w:val="18"/>
          <w:szCs w:val="20"/>
          <w:lang w:val="en-US" w:eastAsia="zh-CN"/>
        </w:rPr>
        <w:t xml:space="preserve">, C.; Lopez, A.; </w:t>
      </w:r>
      <w:proofErr w:type="spellStart"/>
      <w:r w:rsidRPr="005C3D3A">
        <w:rPr>
          <w:rFonts w:ascii="Palatino Linotype" w:eastAsia="SimSun" w:hAnsi="Palatino Linotype" w:cs="Times New Roman"/>
          <w:color w:val="000000"/>
          <w:sz w:val="18"/>
          <w:szCs w:val="20"/>
          <w:lang w:val="en-US" w:eastAsia="zh-CN"/>
        </w:rPr>
        <w:t>Guilhot</w:t>
      </w:r>
      <w:proofErr w:type="spellEnd"/>
      <w:r w:rsidRPr="005C3D3A">
        <w:rPr>
          <w:rFonts w:ascii="Palatino Linotype" w:eastAsia="SimSun" w:hAnsi="Palatino Linotype" w:cs="Times New Roman"/>
          <w:color w:val="000000"/>
          <w:sz w:val="18"/>
          <w:szCs w:val="20"/>
          <w:lang w:val="en-US" w:eastAsia="zh-CN"/>
        </w:rPr>
        <w:t xml:space="preserve">, C. Phthiocerol dimycocerosates of </w:t>
      </w:r>
      <w:r w:rsidRPr="005C3D3A">
        <w:rPr>
          <w:rFonts w:ascii="Palatino Linotype" w:eastAsia="SimSun" w:hAnsi="Palatino Linotype" w:cs="Times New Roman"/>
          <w:i/>
          <w:color w:val="000000"/>
          <w:sz w:val="18"/>
          <w:szCs w:val="20"/>
          <w:lang w:val="en-US" w:eastAsia="zh-CN"/>
        </w:rPr>
        <w:t>M. tuberculosis</w:t>
      </w:r>
      <w:r w:rsidRPr="005C3D3A">
        <w:rPr>
          <w:rFonts w:ascii="Palatino Linotype" w:eastAsia="SimSun" w:hAnsi="Palatino Linotype" w:cs="Times New Roman"/>
          <w:color w:val="000000"/>
          <w:sz w:val="18"/>
          <w:szCs w:val="20"/>
          <w:lang w:val="en-US" w:eastAsia="zh-CN"/>
        </w:rPr>
        <w:t xml:space="preserve"> participate in macrophage invasion by inducing changes in the organization of plasma membrane lipids. </w:t>
      </w:r>
      <w:proofErr w:type="spellStart"/>
      <w:r w:rsidRPr="005C3D3A">
        <w:rPr>
          <w:rFonts w:ascii="Palatino Linotype" w:eastAsia="SimSun" w:hAnsi="Palatino Linotype" w:cs="Times New Roman"/>
          <w:i/>
          <w:iCs/>
          <w:color w:val="000000"/>
          <w:sz w:val="18"/>
          <w:szCs w:val="20"/>
          <w:lang w:val="en-US" w:eastAsia="zh-CN"/>
        </w:rPr>
        <w:t>PLoS</w:t>
      </w:r>
      <w:proofErr w:type="spellEnd"/>
      <w:r w:rsidRPr="005C3D3A">
        <w:rPr>
          <w:rFonts w:ascii="Palatino Linotype" w:eastAsia="SimSun" w:hAnsi="Palatino Linotype" w:cs="Times New Roman"/>
          <w:i/>
          <w:iCs/>
          <w:color w:val="000000"/>
          <w:sz w:val="18"/>
          <w:szCs w:val="20"/>
          <w:lang w:val="en-US" w:eastAsia="zh-CN"/>
        </w:rPr>
        <w:t xml:space="preserve"> </w:t>
      </w:r>
      <w:proofErr w:type="spellStart"/>
      <w:r w:rsidRPr="005C3D3A">
        <w:rPr>
          <w:rFonts w:ascii="Palatino Linotype" w:eastAsia="SimSun" w:hAnsi="Palatino Linotype" w:cs="Times New Roman"/>
          <w:i/>
          <w:iCs/>
          <w:color w:val="000000"/>
          <w:sz w:val="18"/>
          <w:szCs w:val="20"/>
          <w:lang w:val="en-US" w:eastAsia="zh-CN"/>
        </w:rPr>
        <w:t>Pathog</w:t>
      </w:r>
      <w:proofErr w:type="spellEnd"/>
      <w:r w:rsidRPr="005C3D3A">
        <w:rPr>
          <w:rFonts w:ascii="Palatino Linotype" w:eastAsia="SimSun" w:hAnsi="Palatino Linotype" w:cs="Times New Roman"/>
          <w:i/>
          <w:iCs/>
          <w:color w:val="000000"/>
          <w:sz w:val="18"/>
          <w:szCs w:val="20"/>
          <w:lang w:val="en-US" w:eastAsia="zh-CN"/>
        </w:rPr>
        <w: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2009</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5</w:t>
      </w:r>
      <w:r w:rsidRPr="005C3D3A">
        <w:rPr>
          <w:rFonts w:ascii="Palatino Linotype" w:eastAsia="SimSun" w:hAnsi="Palatino Linotype" w:cs="Times New Roman"/>
          <w:bCs/>
          <w:color w:val="000000"/>
          <w:sz w:val="18"/>
          <w:szCs w:val="20"/>
          <w:lang w:val="en-US" w:eastAsia="zh-CN"/>
        </w:rPr>
        <w:t>, e1000289</w:t>
      </w:r>
      <w:r w:rsidRPr="005C3D3A">
        <w:rPr>
          <w:rFonts w:ascii="Palatino Linotype" w:eastAsia="SimSun" w:hAnsi="Palatino Linotype" w:cs="Times New Roman"/>
          <w:color w:val="000000"/>
          <w:sz w:val="18"/>
          <w:szCs w:val="20"/>
          <w:lang w:val="en-US" w:eastAsia="zh-CN"/>
        </w:rPr>
        <w:t>, doi:10.1371/journal.ppat.1000289.</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Quigley, J.; </w:t>
      </w:r>
      <w:proofErr w:type="spellStart"/>
      <w:r w:rsidRPr="005C3D3A">
        <w:rPr>
          <w:rFonts w:ascii="Palatino Linotype" w:eastAsia="SimSun" w:hAnsi="Palatino Linotype" w:cs="Times New Roman"/>
          <w:color w:val="000000"/>
          <w:sz w:val="18"/>
          <w:szCs w:val="20"/>
          <w:lang w:val="en-US" w:eastAsia="zh-CN"/>
        </w:rPr>
        <w:t>Hughitt</w:t>
      </w:r>
      <w:proofErr w:type="spellEnd"/>
      <w:r w:rsidRPr="005C3D3A">
        <w:rPr>
          <w:rFonts w:ascii="Palatino Linotype" w:eastAsia="SimSun" w:hAnsi="Palatino Linotype" w:cs="Times New Roman"/>
          <w:color w:val="000000"/>
          <w:sz w:val="18"/>
          <w:szCs w:val="20"/>
          <w:lang w:val="en-US" w:eastAsia="zh-CN"/>
        </w:rPr>
        <w:t xml:space="preserve">, V.K.; </w:t>
      </w:r>
      <w:proofErr w:type="spellStart"/>
      <w:r w:rsidRPr="005C3D3A">
        <w:rPr>
          <w:rFonts w:ascii="Palatino Linotype" w:eastAsia="SimSun" w:hAnsi="Palatino Linotype" w:cs="Times New Roman"/>
          <w:color w:val="000000"/>
          <w:sz w:val="18"/>
          <w:szCs w:val="20"/>
          <w:lang w:val="en-US" w:eastAsia="zh-CN"/>
        </w:rPr>
        <w:t>Velikovsky</w:t>
      </w:r>
      <w:proofErr w:type="spellEnd"/>
      <w:r w:rsidRPr="005C3D3A">
        <w:rPr>
          <w:rFonts w:ascii="Palatino Linotype" w:eastAsia="SimSun" w:hAnsi="Palatino Linotype" w:cs="Times New Roman"/>
          <w:color w:val="000000"/>
          <w:sz w:val="18"/>
          <w:szCs w:val="20"/>
          <w:lang w:val="en-US" w:eastAsia="zh-CN"/>
        </w:rPr>
        <w:t xml:space="preserve">, C.A.; </w:t>
      </w:r>
      <w:proofErr w:type="spellStart"/>
      <w:r w:rsidRPr="005C3D3A">
        <w:rPr>
          <w:rFonts w:ascii="Palatino Linotype" w:eastAsia="SimSun" w:hAnsi="Palatino Linotype" w:cs="Times New Roman"/>
          <w:color w:val="000000"/>
          <w:sz w:val="18"/>
          <w:szCs w:val="20"/>
          <w:lang w:val="en-US" w:eastAsia="zh-CN"/>
        </w:rPr>
        <w:t>Mariuzza</w:t>
      </w:r>
      <w:proofErr w:type="spellEnd"/>
      <w:r w:rsidRPr="005C3D3A">
        <w:rPr>
          <w:rFonts w:ascii="Palatino Linotype" w:eastAsia="SimSun" w:hAnsi="Palatino Linotype" w:cs="Times New Roman"/>
          <w:color w:val="000000"/>
          <w:sz w:val="18"/>
          <w:szCs w:val="20"/>
          <w:lang w:val="en-US" w:eastAsia="zh-CN"/>
        </w:rPr>
        <w:t xml:space="preserve">, R.A.; El-Sayed, N.M.; </w:t>
      </w:r>
      <w:proofErr w:type="spellStart"/>
      <w:r w:rsidRPr="005C3D3A">
        <w:rPr>
          <w:rFonts w:ascii="Palatino Linotype" w:eastAsia="SimSun" w:hAnsi="Palatino Linotype" w:cs="Times New Roman"/>
          <w:color w:val="000000"/>
          <w:sz w:val="18"/>
          <w:szCs w:val="20"/>
          <w:lang w:val="en-US" w:eastAsia="zh-CN"/>
        </w:rPr>
        <w:t>Briken</w:t>
      </w:r>
      <w:proofErr w:type="spellEnd"/>
      <w:r w:rsidRPr="005C3D3A">
        <w:rPr>
          <w:rFonts w:ascii="Palatino Linotype" w:eastAsia="SimSun" w:hAnsi="Palatino Linotype" w:cs="Times New Roman"/>
          <w:color w:val="000000"/>
          <w:sz w:val="18"/>
          <w:szCs w:val="20"/>
          <w:lang w:val="en-US" w:eastAsia="zh-CN"/>
        </w:rPr>
        <w:t xml:space="preserve">, V. The Cell Wall Lipid PDIM Contributes to </w:t>
      </w:r>
      <w:proofErr w:type="spellStart"/>
      <w:r w:rsidRPr="005C3D3A">
        <w:rPr>
          <w:rFonts w:ascii="Palatino Linotype" w:eastAsia="SimSun" w:hAnsi="Palatino Linotype" w:cs="Times New Roman"/>
          <w:color w:val="000000"/>
          <w:sz w:val="18"/>
          <w:szCs w:val="20"/>
          <w:lang w:val="en-US" w:eastAsia="zh-CN"/>
        </w:rPr>
        <w:t>Phagosomal</w:t>
      </w:r>
      <w:proofErr w:type="spellEnd"/>
      <w:r w:rsidRPr="005C3D3A">
        <w:rPr>
          <w:rFonts w:ascii="Palatino Linotype" w:eastAsia="SimSun" w:hAnsi="Palatino Linotype" w:cs="Times New Roman"/>
          <w:color w:val="000000"/>
          <w:sz w:val="18"/>
          <w:szCs w:val="20"/>
          <w:lang w:val="en-US" w:eastAsia="zh-CN"/>
        </w:rPr>
        <w:t xml:space="preserve"> Escape and Host Cell Exit of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mBio</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2017</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8</w:t>
      </w:r>
      <w:r w:rsidRPr="005C3D3A">
        <w:rPr>
          <w:rFonts w:ascii="Palatino Linotype" w:eastAsia="SimSun" w:hAnsi="Palatino Linotype" w:cs="Times New Roman"/>
          <w:bCs/>
          <w:color w:val="000000"/>
          <w:sz w:val="18"/>
          <w:szCs w:val="20"/>
          <w:lang w:val="en-US" w:eastAsia="zh-CN"/>
        </w:rPr>
        <w:t>, e00148-17</w:t>
      </w:r>
      <w:r w:rsidRPr="005C3D3A">
        <w:rPr>
          <w:rFonts w:ascii="Palatino Linotype" w:eastAsia="SimSun" w:hAnsi="Palatino Linotype" w:cs="Times New Roman"/>
          <w:color w:val="000000"/>
          <w:sz w:val="18"/>
          <w:szCs w:val="20"/>
          <w:lang w:val="en-US" w:eastAsia="zh-CN"/>
        </w:rPr>
        <w:t>, doi:10.1128/mBio.00148-17.</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Rousseau, C.; Winter, N.; </w:t>
      </w:r>
      <w:proofErr w:type="spellStart"/>
      <w:r w:rsidRPr="005C3D3A">
        <w:rPr>
          <w:rFonts w:ascii="Palatino Linotype" w:eastAsia="SimSun" w:hAnsi="Palatino Linotype" w:cs="Times New Roman"/>
          <w:color w:val="000000"/>
          <w:sz w:val="18"/>
          <w:szCs w:val="20"/>
          <w:lang w:val="en-US" w:eastAsia="zh-CN"/>
        </w:rPr>
        <w:t>Pivert</w:t>
      </w:r>
      <w:proofErr w:type="spellEnd"/>
      <w:r w:rsidRPr="005C3D3A">
        <w:rPr>
          <w:rFonts w:ascii="Palatino Linotype" w:eastAsia="SimSun" w:hAnsi="Palatino Linotype" w:cs="Times New Roman"/>
          <w:color w:val="000000"/>
          <w:sz w:val="18"/>
          <w:szCs w:val="20"/>
          <w:lang w:val="en-US" w:eastAsia="zh-CN"/>
        </w:rPr>
        <w:t xml:space="preserve">, E.; </w:t>
      </w:r>
      <w:proofErr w:type="spellStart"/>
      <w:r w:rsidRPr="005C3D3A">
        <w:rPr>
          <w:rFonts w:ascii="Palatino Linotype" w:eastAsia="SimSun" w:hAnsi="Palatino Linotype" w:cs="Times New Roman"/>
          <w:color w:val="000000"/>
          <w:sz w:val="18"/>
          <w:szCs w:val="20"/>
          <w:lang w:val="en-US" w:eastAsia="zh-CN"/>
        </w:rPr>
        <w:t>Bordat</w:t>
      </w:r>
      <w:proofErr w:type="spellEnd"/>
      <w:r w:rsidRPr="005C3D3A">
        <w:rPr>
          <w:rFonts w:ascii="Palatino Linotype" w:eastAsia="SimSun" w:hAnsi="Palatino Linotype" w:cs="Times New Roman"/>
          <w:color w:val="000000"/>
          <w:sz w:val="18"/>
          <w:szCs w:val="20"/>
          <w:lang w:val="en-US" w:eastAsia="zh-CN"/>
        </w:rPr>
        <w:t xml:space="preserve">, Y.; </w:t>
      </w:r>
      <w:proofErr w:type="spellStart"/>
      <w:r w:rsidRPr="005C3D3A">
        <w:rPr>
          <w:rFonts w:ascii="Palatino Linotype" w:eastAsia="SimSun" w:hAnsi="Palatino Linotype" w:cs="Times New Roman"/>
          <w:color w:val="000000"/>
          <w:sz w:val="18"/>
          <w:szCs w:val="20"/>
          <w:lang w:val="en-US" w:eastAsia="zh-CN"/>
        </w:rPr>
        <w:t>Neyrolles</w:t>
      </w:r>
      <w:proofErr w:type="spellEnd"/>
      <w:r w:rsidRPr="005C3D3A">
        <w:rPr>
          <w:rFonts w:ascii="Palatino Linotype" w:eastAsia="SimSun" w:hAnsi="Palatino Linotype" w:cs="Times New Roman"/>
          <w:color w:val="000000"/>
          <w:sz w:val="18"/>
          <w:szCs w:val="20"/>
          <w:lang w:val="en-US" w:eastAsia="zh-CN"/>
        </w:rPr>
        <w:t xml:space="preserve">, O.; </w:t>
      </w:r>
      <w:proofErr w:type="spellStart"/>
      <w:r w:rsidRPr="005C3D3A">
        <w:rPr>
          <w:rFonts w:ascii="Palatino Linotype" w:eastAsia="SimSun" w:hAnsi="Palatino Linotype" w:cs="Times New Roman"/>
          <w:color w:val="000000"/>
          <w:sz w:val="18"/>
          <w:szCs w:val="20"/>
          <w:lang w:val="en-US" w:eastAsia="zh-CN"/>
        </w:rPr>
        <w:t>Avé</w:t>
      </w:r>
      <w:proofErr w:type="spellEnd"/>
      <w:r w:rsidRPr="005C3D3A">
        <w:rPr>
          <w:rFonts w:ascii="Palatino Linotype" w:eastAsia="SimSun" w:hAnsi="Palatino Linotype" w:cs="Times New Roman"/>
          <w:color w:val="000000"/>
          <w:sz w:val="18"/>
          <w:szCs w:val="20"/>
          <w:lang w:val="en-US" w:eastAsia="zh-CN"/>
        </w:rPr>
        <w:t xml:space="preserve">, P.; </w:t>
      </w:r>
      <w:proofErr w:type="spellStart"/>
      <w:r w:rsidRPr="005C3D3A">
        <w:rPr>
          <w:rFonts w:ascii="Palatino Linotype" w:eastAsia="SimSun" w:hAnsi="Palatino Linotype" w:cs="Times New Roman"/>
          <w:color w:val="000000"/>
          <w:sz w:val="18"/>
          <w:szCs w:val="20"/>
          <w:lang w:val="en-US" w:eastAsia="zh-CN"/>
        </w:rPr>
        <w:t>Huerre</w:t>
      </w:r>
      <w:proofErr w:type="spellEnd"/>
      <w:r w:rsidRPr="005C3D3A">
        <w:rPr>
          <w:rFonts w:ascii="Palatino Linotype" w:eastAsia="SimSun" w:hAnsi="Palatino Linotype" w:cs="Times New Roman"/>
          <w:color w:val="000000"/>
          <w:sz w:val="18"/>
          <w:szCs w:val="20"/>
          <w:lang w:val="en-US" w:eastAsia="zh-CN"/>
        </w:rPr>
        <w:t xml:space="preserve">, M.; </w:t>
      </w:r>
      <w:proofErr w:type="spellStart"/>
      <w:r w:rsidRPr="005C3D3A">
        <w:rPr>
          <w:rFonts w:ascii="Palatino Linotype" w:eastAsia="SimSun" w:hAnsi="Palatino Linotype" w:cs="Times New Roman"/>
          <w:color w:val="000000"/>
          <w:sz w:val="18"/>
          <w:szCs w:val="20"/>
          <w:lang w:val="en-US" w:eastAsia="zh-CN"/>
        </w:rPr>
        <w:t>Gicquel</w:t>
      </w:r>
      <w:proofErr w:type="spellEnd"/>
      <w:r w:rsidRPr="005C3D3A">
        <w:rPr>
          <w:rFonts w:ascii="Palatino Linotype" w:eastAsia="SimSun" w:hAnsi="Palatino Linotype" w:cs="Times New Roman"/>
          <w:color w:val="000000"/>
          <w:sz w:val="18"/>
          <w:szCs w:val="20"/>
          <w:lang w:val="en-US" w:eastAsia="zh-CN"/>
        </w:rPr>
        <w:t xml:space="preserve">, B.; Jackson, M. Production of phthiocerol dimycocerosates protects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from the </w:t>
      </w:r>
      <w:proofErr w:type="spellStart"/>
      <w:r w:rsidRPr="005C3D3A">
        <w:rPr>
          <w:rFonts w:ascii="Palatino Linotype" w:eastAsia="SimSun" w:hAnsi="Palatino Linotype" w:cs="Times New Roman"/>
          <w:color w:val="000000"/>
          <w:sz w:val="18"/>
          <w:szCs w:val="20"/>
          <w:lang w:val="en-US" w:eastAsia="zh-CN"/>
        </w:rPr>
        <w:t>cidal</w:t>
      </w:r>
      <w:proofErr w:type="spellEnd"/>
      <w:r w:rsidRPr="005C3D3A">
        <w:rPr>
          <w:rFonts w:ascii="Palatino Linotype" w:eastAsia="SimSun" w:hAnsi="Palatino Linotype" w:cs="Times New Roman"/>
          <w:color w:val="000000"/>
          <w:sz w:val="18"/>
          <w:szCs w:val="20"/>
          <w:lang w:val="en-US" w:eastAsia="zh-CN"/>
        </w:rPr>
        <w:t xml:space="preserve"> activity of reactive nitrogen intermediates produced by macrophages and modulates the early immune response to infection. </w:t>
      </w:r>
      <w:r w:rsidRPr="005C3D3A">
        <w:rPr>
          <w:rFonts w:ascii="Palatino Linotype" w:eastAsia="SimSun" w:hAnsi="Palatino Linotype" w:cs="Times New Roman"/>
          <w:i/>
          <w:iCs/>
          <w:color w:val="000000"/>
          <w:sz w:val="18"/>
          <w:szCs w:val="20"/>
          <w:lang w:val="en-US" w:eastAsia="zh-CN"/>
        </w:rPr>
        <w:t>Cell. Microbiol.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6</w:t>
      </w:r>
      <w:r w:rsidRPr="005C3D3A">
        <w:rPr>
          <w:rFonts w:ascii="Palatino Linotype" w:eastAsia="SimSun" w:hAnsi="Palatino Linotype" w:cs="Times New Roman"/>
          <w:bCs/>
          <w:color w:val="000000"/>
          <w:sz w:val="18"/>
          <w:szCs w:val="20"/>
          <w:lang w:val="en-US" w:eastAsia="zh-CN"/>
        </w:rPr>
        <w:t>, 277–287,</w:t>
      </w:r>
      <w:r w:rsidRPr="005C3D3A">
        <w:rPr>
          <w:rFonts w:ascii="Palatino Linotype" w:eastAsia="SimSun" w:hAnsi="Palatino Linotype" w:cs="Times New Roman"/>
          <w:color w:val="000000"/>
          <w:sz w:val="18"/>
          <w:szCs w:val="20"/>
          <w:lang w:val="en-US" w:eastAsia="zh-CN"/>
        </w:rPr>
        <w:t xml:space="preserve"> doi:10.1046/j.1462-5822.2004.00368.x.</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Cambier, C.J.; Takaki, K.K.; Larson, R.P.; Hernandez, R.E.; Tobin, D.M.; </w:t>
      </w:r>
      <w:proofErr w:type="spellStart"/>
      <w:r w:rsidRPr="005C3D3A">
        <w:rPr>
          <w:rFonts w:ascii="Palatino Linotype" w:eastAsia="SimSun" w:hAnsi="Palatino Linotype" w:cs="Times New Roman"/>
          <w:color w:val="000000"/>
          <w:sz w:val="18"/>
          <w:szCs w:val="20"/>
          <w:lang w:val="en-US" w:eastAsia="zh-CN"/>
        </w:rPr>
        <w:t>Urdahl</w:t>
      </w:r>
      <w:proofErr w:type="spellEnd"/>
      <w:r w:rsidRPr="005C3D3A">
        <w:rPr>
          <w:rFonts w:ascii="Palatino Linotype" w:eastAsia="SimSun" w:hAnsi="Palatino Linotype" w:cs="Times New Roman"/>
          <w:color w:val="000000"/>
          <w:sz w:val="18"/>
          <w:szCs w:val="20"/>
          <w:lang w:val="en-US" w:eastAsia="zh-CN"/>
        </w:rPr>
        <w:t xml:space="preserve">, K.B.; </w:t>
      </w:r>
      <w:proofErr w:type="spellStart"/>
      <w:r w:rsidRPr="005C3D3A">
        <w:rPr>
          <w:rFonts w:ascii="Palatino Linotype" w:eastAsia="SimSun" w:hAnsi="Palatino Linotype" w:cs="Times New Roman"/>
          <w:color w:val="000000"/>
          <w:sz w:val="18"/>
          <w:szCs w:val="20"/>
          <w:lang w:val="en-US" w:eastAsia="zh-CN"/>
        </w:rPr>
        <w:t>Cosma</w:t>
      </w:r>
      <w:proofErr w:type="spellEnd"/>
      <w:r w:rsidRPr="005C3D3A">
        <w:rPr>
          <w:rFonts w:ascii="Palatino Linotype" w:eastAsia="SimSun" w:hAnsi="Palatino Linotype" w:cs="Times New Roman"/>
          <w:color w:val="000000"/>
          <w:sz w:val="18"/>
          <w:szCs w:val="20"/>
          <w:lang w:val="en-US" w:eastAsia="zh-CN"/>
        </w:rPr>
        <w:t xml:space="preserve">, C.L.; Ramakrishnan, L. Mycobacteria manipulate macrophage recruitment through coordinated use of membrane lipids. </w:t>
      </w:r>
      <w:r w:rsidRPr="005C3D3A">
        <w:rPr>
          <w:rFonts w:ascii="Palatino Linotype" w:eastAsia="SimSun" w:hAnsi="Palatino Linotype" w:cs="Times New Roman"/>
          <w:i/>
          <w:iCs/>
          <w:color w:val="000000"/>
          <w:sz w:val="18"/>
          <w:szCs w:val="20"/>
          <w:lang w:val="en-US" w:eastAsia="zh-CN"/>
        </w:rPr>
        <w:t>Nature</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505</w:t>
      </w:r>
      <w:r w:rsidRPr="005C3D3A">
        <w:rPr>
          <w:rFonts w:ascii="Palatino Linotype" w:eastAsia="SimSun" w:hAnsi="Palatino Linotype" w:cs="Times New Roman"/>
          <w:bCs/>
          <w:color w:val="000000"/>
          <w:sz w:val="18"/>
          <w:szCs w:val="20"/>
          <w:lang w:val="en-US" w:eastAsia="zh-CN"/>
        </w:rPr>
        <w:t>, 218–222,</w:t>
      </w:r>
      <w:r w:rsidRPr="005C3D3A">
        <w:rPr>
          <w:rFonts w:ascii="Palatino Linotype" w:eastAsia="SimSun" w:hAnsi="Palatino Linotype" w:cs="Times New Roman"/>
          <w:color w:val="000000"/>
          <w:sz w:val="18"/>
          <w:szCs w:val="20"/>
          <w:lang w:val="en-US" w:eastAsia="zh-CN"/>
        </w:rPr>
        <w:t xml:space="preserve"> doi:10.1038/nature12799.</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Koppel, E.A.; Ludwig, I.S.; Sanchez Hernandez, M.; </w:t>
      </w:r>
      <w:proofErr w:type="spellStart"/>
      <w:r w:rsidRPr="005C3D3A">
        <w:rPr>
          <w:rFonts w:ascii="Palatino Linotype" w:eastAsia="SimSun" w:hAnsi="Palatino Linotype" w:cs="Times New Roman"/>
          <w:color w:val="000000"/>
          <w:sz w:val="18"/>
          <w:szCs w:val="20"/>
          <w:lang w:val="en-US" w:eastAsia="zh-CN"/>
        </w:rPr>
        <w:t>Lowary</w:t>
      </w:r>
      <w:proofErr w:type="spellEnd"/>
      <w:r w:rsidRPr="005C3D3A">
        <w:rPr>
          <w:rFonts w:ascii="Palatino Linotype" w:eastAsia="SimSun" w:hAnsi="Palatino Linotype" w:cs="Times New Roman"/>
          <w:color w:val="000000"/>
          <w:sz w:val="18"/>
          <w:szCs w:val="20"/>
          <w:lang w:val="en-US" w:eastAsia="zh-CN"/>
        </w:rPr>
        <w:t xml:space="preserve">, T.L.; </w:t>
      </w:r>
      <w:proofErr w:type="spellStart"/>
      <w:r w:rsidRPr="005C3D3A">
        <w:rPr>
          <w:rFonts w:ascii="Palatino Linotype" w:eastAsia="SimSun" w:hAnsi="Palatino Linotype" w:cs="Times New Roman"/>
          <w:color w:val="000000"/>
          <w:sz w:val="18"/>
          <w:szCs w:val="20"/>
          <w:lang w:val="en-US" w:eastAsia="zh-CN"/>
        </w:rPr>
        <w:t>Gadikota</w:t>
      </w:r>
      <w:proofErr w:type="spellEnd"/>
      <w:r w:rsidRPr="005C3D3A">
        <w:rPr>
          <w:rFonts w:ascii="Palatino Linotype" w:eastAsia="SimSun" w:hAnsi="Palatino Linotype" w:cs="Times New Roman"/>
          <w:color w:val="000000"/>
          <w:sz w:val="18"/>
          <w:szCs w:val="20"/>
          <w:lang w:val="en-US" w:eastAsia="zh-CN"/>
        </w:rPr>
        <w:t xml:space="preserve">, R.R.; </w:t>
      </w:r>
      <w:proofErr w:type="spellStart"/>
      <w:r w:rsidRPr="005C3D3A">
        <w:rPr>
          <w:rFonts w:ascii="Palatino Linotype" w:eastAsia="SimSun" w:hAnsi="Palatino Linotype" w:cs="Times New Roman"/>
          <w:color w:val="000000"/>
          <w:sz w:val="18"/>
          <w:szCs w:val="20"/>
          <w:lang w:val="en-US" w:eastAsia="zh-CN"/>
        </w:rPr>
        <w:t>Tuzikov</w:t>
      </w:r>
      <w:proofErr w:type="spellEnd"/>
      <w:r w:rsidRPr="005C3D3A">
        <w:rPr>
          <w:rFonts w:ascii="Palatino Linotype" w:eastAsia="SimSun" w:hAnsi="Palatino Linotype" w:cs="Times New Roman"/>
          <w:color w:val="000000"/>
          <w:sz w:val="18"/>
          <w:szCs w:val="20"/>
          <w:lang w:val="en-US" w:eastAsia="zh-CN"/>
        </w:rPr>
        <w:t xml:space="preserve">, A.B.; </w:t>
      </w:r>
      <w:proofErr w:type="spellStart"/>
      <w:r w:rsidRPr="005C3D3A">
        <w:rPr>
          <w:rFonts w:ascii="Palatino Linotype" w:eastAsia="SimSun" w:hAnsi="Palatino Linotype" w:cs="Times New Roman"/>
          <w:color w:val="000000"/>
          <w:sz w:val="18"/>
          <w:szCs w:val="20"/>
          <w:lang w:val="en-US" w:eastAsia="zh-CN"/>
        </w:rPr>
        <w:t>Vandenbroucke-Grauls</w:t>
      </w:r>
      <w:proofErr w:type="spellEnd"/>
      <w:r w:rsidRPr="005C3D3A">
        <w:rPr>
          <w:rFonts w:ascii="Palatino Linotype" w:eastAsia="SimSun" w:hAnsi="Palatino Linotype" w:cs="Times New Roman"/>
          <w:color w:val="000000"/>
          <w:sz w:val="18"/>
          <w:szCs w:val="20"/>
          <w:lang w:val="en-US" w:eastAsia="zh-CN"/>
        </w:rPr>
        <w:t xml:space="preserve">, C.M.J.E.; van </w:t>
      </w:r>
      <w:proofErr w:type="spellStart"/>
      <w:r w:rsidRPr="005C3D3A">
        <w:rPr>
          <w:rFonts w:ascii="Palatino Linotype" w:eastAsia="SimSun" w:hAnsi="Palatino Linotype" w:cs="Times New Roman"/>
          <w:color w:val="000000"/>
          <w:sz w:val="18"/>
          <w:szCs w:val="20"/>
          <w:lang w:val="en-US" w:eastAsia="zh-CN"/>
        </w:rPr>
        <w:t>Kooyk</w:t>
      </w:r>
      <w:proofErr w:type="spellEnd"/>
      <w:r w:rsidRPr="005C3D3A">
        <w:rPr>
          <w:rFonts w:ascii="Palatino Linotype" w:eastAsia="SimSun" w:hAnsi="Palatino Linotype" w:cs="Times New Roman"/>
          <w:color w:val="000000"/>
          <w:sz w:val="18"/>
          <w:szCs w:val="20"/>
          <w:lang w:val="en-US" w:eastAsia="zh-CN"/>
        </w:rPr>
        <w:t xml:space="preserve">, Y.; </w:t>
      </w:r>
      <w:proofErr w:type="spellStart"/>
      <w:r w:rsidRPr="005C3D3A">
        <w:rPr>
          <w:rFonts w:ascii="Palatino Linotype" w:eastAsia="SimSun" w:hAnsi="Palatino Linotype" w:cs="Times New Roman"/>
          <w:color w:val="000000"/>
          <w:sz w:val="18"/>
          <w:szCs w:val="20"/>
          <w:lang w:val="en-US" w:eastAsia="zh-CN"/>
        </w:rPr>
        <w:t>Appelmelk</w:t>
      </w:r>
      <w:proofErr w:type="spellEnd"/>
      <w:r w:rsidRPr="005C3D3A">
        <w:rPr>
          <w:rFonts w:ascii="Palatino Linotype" w:eastAsia="SimSun" w:hAnsi="Palatino Linotype" w:cs="Times New Roman"/>
          <w:color w:val="000000"/>
          <w:sz w:val="18"/>
          <w:szCs w:val="20"/>
          <w:lang w:val="en-US" w:eastAsia="zh-CN"/>
        </w:rPr>
        <w:t xml:space="preserve">, B.J.; </w:t>
      </w:r>
      <w:proofErr w:type="spellStart"/>
      <w:r w:rsidRPr="005C3D3A">
        <w:rPr>
          <w:rFonts w:ascii="Palatino Linotype" w:eastAsia="SimSun" w:hAnsi="Palatino Linotype" w:cs="Times New Roman"/>
          <w:color w:val="000000"/>
          <w:sz w:val="18"/>
          <w:szCs w:val="20"/>
          <w:lang w:val="en-US" w:eastAsia="zh-CN"/>
        </w:rPr>
        <w:t>Geijtenbeek</w:t>
      </w:r>
      <w:proofErr w:type="spellEnd"/>
      <w:r w:rsidRPr="005C3D3A">
        <w:rPr>
          <w:rFonts w:ascii="Palatino Linotype" w:eastAsia="SimSun" w:hAnsi="Palatino Linotype" w:cs="Times New Roman"/>
          <w:color w:val="000000"/>
          <w:sz w:val="18"/>
          <w:szCs w:val="20"/>
          <w:lang w:val="en-US" w:eastAsia="zh-CN"/>
        </w:rPr>
        <w:t xml:space="preserve">, T.B.H. Identification of the mycobacterial carbohydrate structure that binds the C-type lectins DC-SIGN, L-SIGN and SIGNR1. </w:t>
      </w:r>
      <w:r w:rsidRPr="005C3D3A">
        <w:rPr>
          <w:rFonts w:ascii="Palatino Linotype" w:eastAsia="SimSun" w:hAnsi="Palatino Linotype" w:cs="Times New Roman"/>
          <w:i/>
          <w:iCs/>
          <w:color w:val="000000"/>
          <w:sz w:val="18"/>
          <w:szCs w:val="20"/>
          <w:lang w:val="en-US" w:eastAsia="zh-CN"/>
        </w:rPr>
        <w:t>Immunobiology</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209</w:t>
      </w:r>
      <w:r w:rsidRPr="005C3D3A">
        <w:rPr>
          <w:rFonts w:ascii="Palatino Linotype" w:eastAsia="SimSun" w:hAnsi="Palatino Linotype" w:cs="Times New Roman"/>
          <w:bCs/>
          <w:color w:val="000000"/>
          <w:sz w:val="18"/>
          <w:szCs w:val="20"/>
          <w:lang w:val="en-US" w:eastAsia="zh-CN"/>
        </w:rPr>
        <w:t>, 117–127</w:t>
      </w:r>
      <w:r w:rsidRPr="005C3D3A">
        <w:rPr>
          <w:rFonts w:ascii="Palatino Linotype" w:eastAsia="SimSun" w:hAnsi="Palatino Linotype" w:cs="Times New Roman"/>
          <w:color w:val="000000"/>
          <w:sz w:val="18"/>
          <w:szCs w:val="20"/>
          <w:lang w:val="en-US" w:eastAsia="zh-CN"/>
        </w:rPr>
        <w:t>, doi:10.1016/j.imbio.2004.03.003.</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Pitarque</w:t>
      </w:r>
      <w:proofErr w:type="spellEnd"/>
      <w:r w:rsidRPr="005C3D3A">
        <w:rPr>
          <w:rFonts w:ascii="Palatino Linotype" w:eastAsia="SimSun" w:hAnsi="Palatino Linotype" w:cs="Times New Roman"/>
          <w:color w:val="000000"/>
          <w:sz w:val="18"/>
          <w:szCs w:val="20"/>
          <w:lang w:val="en-US" w:eastAsia="zh-CN"/>
        </w:rPr>
        <w:t xml:space="preserve">, S.; Herrmann, J.-L.; </w:t>
      </w:r>
      <w:proofErr w:type="spellStart"/>
      <w:r w:rsidRPr="005C3D3A">
        <w:rPr>
          <w:rFonts w:ascii="Palatino Linotype" w:eastAsia="SimSun" w:hAnsi="Palatino Linotype" w:cs="Times New Roman"/>
          <w:color w:val="000000"/>
          <w:sz w:val="18"/>
          <w:szCs w:val="20"/>
          <w:lang w:val="en-US" w:eastAsia="zh-CN"/>
        </w:rPr>
        <w:t>Duteyrat</w:t>
      </w:r>
      <w:proofErr w:type="spellEnd"/>
      <w:r w:rsidRPr="005C3D3A">
        <w:rPr>
          <w:rFonts w:ascii="Palatino Linotype" w:eastAsia="SimSun" w:hAnsi="Palatino Linotype" w:cs="Times New Roman"/>
          <w:color w:val="000000"/>
          <w:sz w:val="18"/>
          <w:szCs w:val="20"/>
          <w:lang w:val="en-US" w:eastAsia="zh-CN"/>
        </w:rPr>
        <w:t xml:space="preserve">, J.-L.; Jackson, M.; Stewart, G.R.; </w:t>
      </w:r>
      <w:proofErr w:type="spellStart"/>
      <w:r w:rsidRPr="005C3D3A">
        <w:rPr>
          <w:rFonts w:ascii="Palatino Linotype" w:eastAsia="SimSun" w:hAnsi="Palatino Linotype" w:cs="Times New Roman"/>
          <w:color w:val="000000"/>
          <w:sz w:val="18"/>
          <w:szCs w:val="20"/>
          <w:lang w:val="en-US" w:eastAsia="zh-CN"/>
        </w:rPr>
        <w:t>Lecointe</w:t>
      </w:r>
      <w:proofErr w:type="spellEnd"/>
      <w:r w:rsidRPr="005C3D3A">
        <w:rPr>
          <w:rFonts w:ascii="Palatino Linotype" w:eastAsia="SimSun" w:hAnsi="Palatino Linotype" w:cs="Times New Roman"/>
          <w:color w:val="000000"/>
          <w:sz w:val="18"/>
          <w:szCs w:val="20"/>
          <w:lang w:val="en-US" w:eastAsia="zh-CN"/>
        </w:rPr>
        <w:t xml:space="preserve">, F.; </w:t>
      </w:r>
      <w:proofErr w:type="spellStart"/>
      <w:r w:rsidRPr="005C3D3A">
        <w:rPr>
          <w:rFonts w:ascii="Palatino Linotype" w:eastAsia="SimSun" w:hAnsi="Palatino Linotype" w:cs="Times New Roman"/>
          <w:color w:val="000000"/>
          <w:sz w:val="18"/>
          <w:szCs w:val="20"/>
          <w:lang w:val="en-US" w:eastAsia="zh-CN"/>
        </w:rPr>
        <w:t>Payre</w:t>
      </w:r>
      <w:proofErr w:type="spellEnd"/>
      <w:r w:rsidRPr="005C3D3A">
        <w:rPr>
          <w:rFonts w:ascii="Palatino Linotype" w:eastAsia="SimSun" w:hAnsi="Palatino Linotype" w:cs="Times New Roman"/>
          <w:color w:val="000000"/>
          <w:sz w:val="18"/>
          <w:szCs w:val="20"/>
          <w:lang w:val="en-US" w:eastAsia="zh-CN"/>
        </w:rPr>
        <w:t xml:space="preserve">, B.; Schwartz, O.; Young, D.B.; </w:t>
      </w:r>
      <w:proofErr w:type="spellStart"/>
      <w:r w:rsidRPr="005C3D3A">
        <w:rPr>
          <w:rFonts w:ascii="Palatino Linotype" w:eastAsia="SimSun" w:hAnsi="Palatino Linotype" w:cs="Times New Roman"/>
          <w:color w:val="000000"/>
          <w:sz w:val="18"/>
          <w:szCs w:val="20"/>
          <w:lang w:val="en-US" w:eastAsia="zh-CN"/>
        </w:rPr>
        <w:t>Marchal</w:t>
      </w:r>
      <w:proofErr w:type="spellEnd"/>
      <w:r w:rsidRPr="005C3D3A">
        <w:rPr>
          <w:rFonts w:ascii="Palatino Linotype" w:eastAsia="SimSun" w:hAnsi="Palatino Linotype" w:cs="Times New Roman"/>
          <w:color w:val="000000"/>
          <w:sz w:val="18"/>
          <w:szCs w:val="20"/>
          <w:lang w:val="en-US" w:eastAsia="zh-CN"/>
        </w:rPr>
        <w:t xml:space="preserve">, G.; et al. Deciphering the molecular bases of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binding to the lectin DC-SIGN reveals an underestimated complexity. </w:t>
      </w:r>
      <w:proofErr w:type="spellStart"/>
      <w:r w:rsidRPr="005C3D3A">
        <w:rPr>
          <w:rFonts w:ascii="Palatino Linotype" w:eastAsia="SimSun" w:hAnsi="Palatino Linotype" w:cs="Times New Roman"/>
          <w:i/>
          <w:iCs/>
          <w:color w:val="000000"/>
          <w:sz w:val="18"/>
          <w:szCs w:val="20"/>
          <w:lang w:val="en-US" w:eastAsia="zh-CN"/>
        </w:rPr>
        <w:t>Biochem</w:t>
      </w:r>
      <w:proofErr w:type="spellEnd"/>
      <w:r w:rsidRPr="005C3D3A">
        <w:rPr>
          <w:rFonts w:ascii="Palatino Linotype" w:eastAsia="SimSun" w:hAnsi="Palatino Linotype" w:cs="Times New Roman"/>
          <w:i/>
          <w:iCs/>
          <w:color w:val="000000"/>
          <w:sz w:val="18"/>
          <w:szCs w:val="20"/>
          <w:lang w:val="en-US" w:eastAsia="zh-CN"/>
        </w:rPr>
        <w:t>. J.</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2005</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392</w:t>
      </w:r>
      <w:r w:rsidRPr="005C3D3A">
        <w:rPr>
          <w:rFonts w:ascii="Palatino Linotype" w:eastAsia="SimSun" w:hAnsi="Palatino Linotype" w:cs="Times New Roman"/>
          <w:bCs/>
          <w:color w:val="000000"/>
          <w:sz w:val="18"/>
          <w:szCs w:val="20"/>
          <w:lang w:val="en-US" w:eastAsia="zh-CN"/>
        </w:rPr>
        <w:t>, 615–624</w:t>
      </w:r>
      <w:r w:rsidRPr="005C3D3A">
        <w:rPr>
          <w:rFonts w:ascii="Palatino Linotype" w:eastAsia="SimSun" w:hAnsi="Palatino Linotype" w:cs="Times New Roman"/>
          <w:color w:val="000000"/>
          <w:sz w:val="18"/>
          <w:szCs w:val="20"/>
          <w:lang w:val="en-US" w:eastAsia="zh-CN"/>
        </w:rPr>
        <w:t>, doi:10.1042/BJ20050709.</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Driessen, N.N.; </w:t>
      </w:r>
      <w:proofErr w:type="spellStart"/>
      <w:r w:rsidRPr="005C3D3A">
        <w:rPr>
          <w:rFonts w:ascii="Palatino Linotype" w:eastAsia="SimSun" w:hAnsi="Palatino Linotype" w:cs="Times New Roman"/>
          <w:color w:val="000000"/>
          <w:sz w:val="18"/>
          <w:szCs w:val="20"/>
          <w:lang w:val="en-US" w:eastAsia="zh-CN"/>
        </w:rPr>
        <w:t>Ummels</w:t>
      </w:r>
      <w:proofErr w:type="spellEnd"/>
      <w:r w:rsidRPr="005C3D3A">
        <w:rPr>
          <w:rFonts w:ascii="Palatino Linotype" w:eastAsia="SimSun" w:hAnsi="Palatino Linotype" w:cs="Times New Roman"/>
          <w:color w:val="000000"/>
          <w:sz w:val="18"/>
          <w:szCs w:val="20"/>
          <w:lang w:val="en-US" w:eastAsia="zh-CN"/>
        </w:rPr>
        <w:t xml:space="preserve">, R.; </w:t>
      </w:r>
      <w:proofErr w:type="spellStart"/>
      <w:r w:rsidRPr="005C3D3A">
        <w:rPr>
          <w:rFonts w:ascii="Palatino Linotype" w:eastAsia="SimSun" w:hAnsi="Palatino Linotype" w:cs="Times New Roman"/>
          <w:color w:val="000000"/>
          <w:sz w:val="18"/>
          <w:szCs w:val="20"/>
          <w:lang w:val="en-US" w:eastAsia="zh-CN"/>
        </w:rPr>
        <w:t>Maaskant</w:t>
      </w:r>
      <w:proofErr w:type="spellEnd"/>
      <w:r w:rsidRPr="005C3D3A">
        <w:rPr>
          <w:rFonts w:ascii="Palatino Linotype" w:eastAsia="SimSun" w:hAnsi="Palatino Linotype" w:cs="Times New Roman"/>
          <w:color w:val="000000"/>
          <w:sz w:val="18"/>
          <w:szCs w:val="20"/>
          <w:lang w:val="en-US" w:eastAsia="zh-CN"/>
        </w:rPr>
        <w:t xml:space="preserve">, J.J.; </w:t>
      </w:r>
      <w:proofErr w:type="spellStart"/>
      <w:r w:rsidRPr="005C3D3A">
        <w:rPr>
          <w:rFonts w:ascii="Palatino Linotype" w:eastAsia="SimSun" w:hAnsi="Palatino Linotype" w:cs="Times New Roman"/>
          <w:color w:val="000000"/>
          <w:sz w:val="18"/>
          <w:szCs w:val="20"/>
          <w:lang w:val="en-US" w:eastAsia="zh-CN"/>
        </w:rPr>
        <w:t>Gurcha</w:t>
      </w:r>
      <w:proofErr w:type="spellEnd"/>
      <w:r w:rsidRPr="005C3D3A">
        <w:rPr>
          <w:rFonts w:ascii="Palatino Linotype" w:eastAsia="SimSun" w:hAnsi="Palatino Linotype" w:cs="Times New Roman"/>
          <w:color w:val="000000"/>
          <w:sz w:val="18"/>
          <w:szCs w:val="20"/>
          <w:lang w:val="en-US" w:eastAsia="zh-CN"/>
        </w:rPr>
        <w:t xml:space="preserve">, S.S.; </w:t>
      </w:r>
      <w:proofErr w:type="spellStart"/>
      <w:r w:rsidRPr="005C3D3A">
        <w:rPr>
          <w:rFonts w:ascii="Palatino Linotype" w:eastAsia="SimSun" w:hAnsi="Palatino Linotype" w:cs="Times New Roman"/>
          <w:color w:val="000000"/>
          <w:sz w:val="18"/>
          <w:szCs w:val="20"/>
          <w:lang w:val="en-US" w:eastAsia="zh-CN"/>
        </w:rPr>
        <w:t>Besra</w:t>
      </w:r>
      <w:proofErr w:type="spellEnd"/>
      <w:r w:rsidRPr="005C3D3A">
        <w:rPr>
          <w:rFonts w:ascii="Palatino Linotype" w:eastAsia="SimSun" w:hAnsi="Palatino Linotype" w:cs="Times New Roman"/>
          <w:color w:val="000000"/>
          <w:sz w:val="18"/>
          <w:szCs w:val="20"/>
          <w:lang w:val="en-US" w:eastAsia="zh-CN"/>
        </w:rPr>
        <w:t xml:space="preserve">, G.S.; Ainge, G.D.; Larsen, D.S.; Painter, G.F.; </w:t>
      </w:r>
      <w:proofErr w:type="spellStart"/>
      <w:r w:rsidRPr="005C3D3A">
        <w:rPr>
          <w:rFonts w:ascii="Palatino Linotype" w:eastAsia="SimSun" w:hAnsi="Palatino Linotype" w:cs="Times New Roman"/>
          <w:color w:val="000000"/>
          <w:sz w:val="18"/>
          <w:szCs w:val="20"/>
          <w:lang w:val="en-US" w:eastAsia="zh-CN"/>
        </w:rPr>
        <w:t>Vandenbroucke-Grauls</w:t>
      </w:r>
      <w:proofErr w:type="spellEnd"/>
      <w:r w:rsidRPr="005C3D3A">
        <w:rPr>
          <w:rFonts w:ascii="Palatino Linotype" w:eastAsia="SimSun" w:hAnsi="Palatino Linotype" w:cs="Times New Roman"/>
          <w:color w:val="000000"/>
          <w:sz w:val="18"/>
          <w:szCs w:val="20"/>
          <w:lang w:val="en-US" w:eastAsia="zh-CN"/>
        </w:rPr>
        <w:t xml:space="preserve">, C.M.J.E.; </w:t>
      </w:r>
      <w:proofErr w:type="spellStart"/>
      <w:r w:rsidRPr="005C3D3A">
        <w:rPr>
          <w:rFonts w:ascii="Palatino Linotype" w:eastAsia="SimSun" w:hAnsi="Palatino Linotype" w:cs="Times New Roman"/>
          <w:color w:val="000000"/>
          <w:sz w:val="18"/>
          <w:szCs w:val="20"/>
          <w:lang w:val="en-US" w:eastAsia="zh-CN"/>
        </w:rPr>
        <w:t>Geurtsen</w:t>
      </w:r>
      <w:proofErr w:type="spellEnd"/>
      <w:r w:rsidRPr="005C3D3A">
        <w:rPr>
          <w:rFonts w:ascii="Palatino Linotype" w:eastAsia="SimSun" w:hAnsi="Palatino Linotype" w:cs="Times New Roman"/>
          <w:color w:val="000000"/>
          <w:sz w:val="18"/>
          <w:szCs w:val="20"/>
          <w:lang w:val="en-US" w:eastAsia="zh-CN"/>
        </w:rPr>
        <w:t xml:space="preserve">, J.; et al. Role of Phosphatidylinositol </w:t>
      </w:r>
      <w:proofErr w:type="spellStart"/>
      <w:r w:rsidRPr="005C3D3A">
        <w:rPr>
          <w:rFonts w:ascii="Palatino Linotype" w:eastAsia="SimSun" w:hAnsi="Palatino Linotype" w:cs="Times New Roman"/>
          <w:color w:val="000000"/>
          <w:sz w:val="18"/>
          <w:szCs w:val="20"/>
          <w:lang w:val="en-US" w:eastAsia="zh-CN"/>
        </w:rPr>
        <w:t>Mannosides</w:t>
      </w:r>
      <w:proofErr w:type="spellEnd"/>
      <w:r w:rsidRPr="005C3D3A">
        <w:rPr>
          <w:rFonts w:ascii="Palatino Linotype" w:eastAsia="SimSun" w:hAnsi="Palatino Linotype" w:cs="Times New Roman"/>
          <w:color w:val="000000"/>
          <w:sz w:val="18"/>
          <w:szCs w:val="20"/>
          <w:lang w:val="en-US" w:eastAsia="zh-CN"/>
        </w:rPr>
        <w:t xml:space="preserve"> in the Interaction between Mycobacteria and DC-SIGN. </w:t>
      </w:r>
      <w:r w:rsidRPr="005C3D3A">
        <w:rPr>
          <w:rFonts w:ascii="Palatino Linotype" w:eastAsia="SimSun" w:hAnsi="Palatino Linotype" w:cs="Times New Roman"/>
          <w:i/>
          <w:iCs/>
          <w:color w:val="000000"/>
          <w:sz w:val="18"/>
          <w:szCs w:val="20"/>
          <w:lang w:val="en-US" w:eastAsia="zh-CN"/>
        </w:rPr>
        <w:t>Infect. Immun.</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2009</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77</w:t>
      </w:r>
      <w:r w:rsidRPr="005C3D3A">
        <w:rPr>
          <w:rFonts w:ascii="Palatino Linotype" w:eastAsia="SimSun" w:hAnsi="Palatino Linotype" w:cs="Times New Roman"/>
          <w:bCs/>
          <w:color w:val="000000"/>
          <w:sz w:val="18"/>
          <w:szCs w:val="20"/>
          <w:lang w:val="en-US" w:eastAsia="zh-CN"/>
        </w:rPr>
        <w:t>, 4538–4547</w:t>
      </w:r>
      <w:r w:rsidRPr="005C3D3A">
        <w:rPr>
          <w:rFonts w:ascii="Palatino Linotype" w:eastAsia="SimSun" w:hAnsi="Palatino Linotype" w:cs="Times New Roman"/>
          <w:color w:val="000000"/>
          <w:sz w:val="18"/>
          <w:szCs w:val="20"/>
          <w:lang w:val="en-US" w:eastAsia="zh-CN"/>
        </w:rPr>
        <w:t>, doi:10.1128/IAI.01256-08.</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Vignal</w:t>
      </w:r>
      <w:proofErr w:type="spellEnd"/>
      <w:r w:rsidRPr="005C3D3A">
        <w:rPr>
          <w:rFonts w:ascii="Palatino Linotype" w:eastAsia="SimSun" w:hAnsi="Palatino Linotype" w:cs="Times New Roman"/>
          <w:color w:val="000000"/>
          <w:sz w:val="18"/>
          <w:szCs w:val="20"/>
          <w:lang w:val="en-US" w:eastAsia="zh-CN"/>
        </w:rPr>
        <w:t xml:space="preserve">, C.; </w:t>
      </w:r>
      <w:proofErr w:type="spellStart"/>
      <w:r w:rsidRPr="005C3D3A">
        <w:rPr>
          <w:rFonts w:ascii="Palatino Linotype" w:eastAsia="SimSun" w:hAnsi="Palatino Linotype" w:cs="Times New Roman"/>
          <w:color w:val="000000"/>
          <w:sz w:val="18"/>
          <w:szCs w:val="20"/>
          <w:lang w:val="en-US" w:eastAsia="zh-CN"/>
        </w:rPr>
        <w:t>Guérardel</w:t>
      </w:r>
      <w:proofErr w:type="spellEnd"/>
      <w:r w:rsidRPr="005C3D3A">
        <w:rPr>
          <w:rFonts w:ascii="Palatino Linotype" w:eastAsia="SimSun" w:hAnsi="Palatino Linotype" w:cs="Times New Roman"/>
          <w:color w:val="000000"/>
          <w:sz w:val="18"/>
          <w:szCs w:val="20"/>
          <w:lang w:val="en-US" w:eastAsia="zh-CN"/>
        </w:rPr>
        <w:t xml:space="preserve">, Y.; Kremer, L.; Masson, M.; Legrand, D.; </w:t>
      </w:r>
      <w:proofErr w:type="spellStart"/>
      <w:r w:rsidRPr="005C3D3A">
        <w:rPr>
          <w:rFonts w:ascii="Palatino Linotype" w:eastAsia="SimSun" w:hAnsi="Palatino Linotype" w:cs="Times New Roman"/>
          <w:color w:val="000000"/>
          <w:sz w:val="18"/>
          <w:szCs w:val="20"/>
          <w:lang w:val="en-US" w:eastAsia="zh-CN"/>
        </w:rPr>
        <w:t>Mazurier</w:t>
      </w:r>
      <w:proofErr w:type="spellEnd"/>
      <w:r w:rsidRPr="005C3D3A">
        <w:rPr>
          <w:rFonts w:ascii="Palatino Linotype" w:eastAsia="SimSun" w:hAnsi="Palatino Linotype" w:cs="Times New Roman"/>
          <w:color w:val="000000"/>
          <w:sz w:val="18"/>
          <w:szCs w:val="20"/>
          <w:lang w:val="en-US" w:eastAsia="zh-CN"/>
        </w:rPr>
        <w:t xml:space="preserve">, J.; </w:t>
      </w:r>
      <w:proofErr w:type="spellStart"/>
      <w:r w:rsidRPr="005C3D3A">
        <w:rPr>
          <w:rFonts w:ascii="Palatino Linotype" w:eastAsia="SimSun" w:hAnsi="Palatino Linotype" w:cs="Times New Roman"/>
          <w:color w:val="000000"/>
          <w:sz w:val="18"/>
          <w:szCs w:val="20"/>
          <w:lang w:val="en-US" w:eastAsia="zh-CN"/>
        </w:rPr>
        <w:t>Elass</w:t>
      </w:r>
      <w:proofErr w:type="spellEnd"/>
      <w:r w:rsidRPr="005C3D3A">
        <w:rPr>
          <w:rFonts w:ascii="Palatino Linotype" w:eastAsia="SimSun" w:hAnsi="Palatino Linotype" w:cs="Times New Roman"/>
          <w:color w:val="000000"/>
          <w:sz w:val="18"/>
          <w:szCs w:val="20"/>
          <w:lang w:val="en-US" w:eastAsia="zh-CN"/>
        </w:rPr>
        <w:t xml:space="preserve">, E. Lipomannans, but not lipoarabinomannans, purified from </w:t>
      </w:r>
      <w:r w:rsidRPr="005C3D3A">
        <w:rPr>
          <w:rFonts w:ascii="Palatino Linotype" w:eastAsia="SimSun" w:hAnsi="Palatino Linotype" w:cs="Times New Roman"/>
          <w:i/>
          <w:color w:val="000000"/>
          <w:sz w:val="18"/>
          <w:szCs w:val="20"/>
          <w:lang w:val="en-US" w:eastAsia="zh-CN"/>
        </w:rPr>
        <w:t xml:space="preserve">Mycobacterium </w:t>
      </w:r>
      <w:proofErr w:type="spellStart"/>
      <w:r w:rsidRPr="005C3D3A">
        <w:rPr>
          <w:rFonts w:ascii="Palatino Linotype" w:eastAsia="SimSun" w:hAnsi="Palatino Linotype" w:cs="Times New Roman"/>
          <w:i/>
          <w:color w:val="000000"/>
          <w:sz w:val="18"/>
          <w:szCs w:val="20"/>
          <w:lang w:val="en-US" w:eastAsia="zh-CN"/>
        </w:rPr>
        <w:t>chelonae</w:t>
      </w:r>
      <w:proofErr w:type="spellEnd"/>
      <w:r w:rsidRPr="005C3D3A">
        <w:rPr>
          <w:rFonts w:ascii="Palatino Linotype" w:eastAsia="SimSun" w:hAnsi="Palatino Linotype" w:cs="Times New Roman"/>
          <w:color w:val="000000"/>
          <w:sz w:val="18"/>
          <w:szCs w:val="20"/>
          <w:lang w:val="en-US" w:eastAsia="zh-CN"/>
        </w:rPr>
        <w:t xml:space="preserve"> and </w:t>
      </w:r>
      <w:r w:rsidRPr="005C3D3A">
        <w:rPr>
          <w:rFonts w:ascii="Palatino Linotype" w:eastAsia="SimSun" w:hAnsi="Palatino Linotype" w:cs="Times New Roman"/>
          <w:i/>
          <w:color w:val="000000"/>
          <w:sz w:val="18"/>
          <w:szCs w:val="20"/>
          <w:lang w:val="en-US" w:eastAsia="zh-CN"/>
        </w:rPr>
        <w:t xml:space="preserve">Mycobacterium </w:t>
      </w:r>
      <w:proofErr w:type="spellStart"/>
      <w:r w:rsidRPr="005C3D3A">
        <w:rPr>
          <w:rFonts w:ascii="Palatino Linotype" w:eastAsia="SimSun" w:hAnsi="Palatino Linotype" w:cs="Times New Roman"/>
          <w:i/>
          <w:color w:val="000000"/>
          <w:sz w:val="18"/>
          <w:szCs w:val="20"/>
          <w:lang w:val="en-US" w:eastAsia="zh-CN"/>
        </w:rPr>
        <w:t>kansasii</w:t>
      </w:r>
      <w:proofErr w:type="spellEnd"/>
      <w:r w:rsidRPr="005C3D3A">
        <w:rPr>
          <w:rFonts w:ascii="Palatino Linotype" w:eastAsia="SimSun" w:hAnsi="Palatino Linotype" w:cs="Times New Roman"/>
          <w:color w:val="000000"/>
          <w:sz w:val="18"/>
          <w:szCs w:val="20"/>
          <w:lang w:val="en-US" w:eastAsia="zh-CN"/>
        </w:rPr>
        <w:t xml:space="preserve"> induce TNF-α and IL-8 secretion by a CD14-toll-like receptor 2-dependent mechanism. </w:t>
      </w:r>
      <w:r w:rsidRPr="005C3D3A">
        <w:rPr>
          <w:rFonts w:ascii="Palatino Linotype" w:eastAsia="SimSun" w:hAnsi="Palatino Linotype" w:cs="Times New Roman"/>
          <w:i/>
          <w:iCs/>
          <w:color w:val="000000"/>
          <w:sz w:val="18"/>
          <w:szCs w:val="20"/>
          <w:lang w:val="en-US" w:eastAsia="zh-CN"/>
        </w:rPr>
        <w:t>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171</w:t>
      </w:r>
      <w:r w:rsidRPr="005C3D3A">
        <w:rPr>
          <w:rFonts w:ascii="Palatino Linotype" w:eastAsia="SimSun" w:hAnsi="Palatino Linotype" w:cs="Times New Roman"/>
          <w:bCs/>
          <w:color w:val="000000"/>
          <w:sz w:val="18"/>
          <w:szCs w:val="20"/>
          <w:lang w:val="en-US" w:eastAsia="zh-CN"/>
        </w:rPr>
        <w:t>, 2014–2023,</w:t>
      </w:r>
      <w:r w:rsidRPr="005C3D3A">
        <w:rPr>
          <w:rFonts w:ascii="Palatino Linotype" w:eastAsia="SimSun" w:hAnsi="Palatino Linotype" w:cs="Times New Roman"/>
          <w:color w:val="000000"/>
          <w:sz w:val="18"/>
          <w:szCs w:val="20"/>
          <w:lang w:val="en-US" w:eastAsia="zh-CN"/>
        </w:rPr>
        <w:t xml:space="preserve"> doi:10.4049/jimmunol.171.4.2014.</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Quesniaux</w:t>
      </w:r>
      <w:proofErr w:type="spellEnd"/>
      <w:r w:rsidRPr="005C3D3A">
        <w:rPr>
          <w:rFonts w:ascii="Palatino Linotype" w:eastAsia="SimSun" w:hAnsi="Palatino Linotype" w:cs="Times New Roman"/>
          <w:color w:val="000000"/>
          <w:sz w:val="18"/>
          <w:szCs w:val="20"/>
          <w:lang w:val="en-US" w:eastAsia="zh-CN"/>
        </w:rPr>
        <w:t xml:space="preserve">, V.J.; Nicolle, D.M.; Torres, D.; Kremer, L.; </w:t>
      </w:r>
      <w:proofErr w:type="spellStart"/>
      <w:r w:rsidRPr="005C3D3A">
        <w:rPr>
          <w:rFonts w:ascii="Palatino Linotype" w:eastAsia="SimSun" w:hAnsi="Palatino Linotype" w:cs="Times New Roman"/>
          <w:color w:val="000000"/>
          <w:sz w:val="18"/>
          <w:szCs w:val="20"/>
          <w:lang w:val="en-US" w:eastAsia="zh-CN"/>
        </w:rPr>
        <w:t>Guérardel</w:t>
      </w:r>
      <w:proofErr w:type="spellEnd"/>
      <w:r w:rsidRPr="005C3D3A">
        <w:rPr>
          <w:rFonts w:ascii="Palatino Linotype" w:eastAsia="SimSun" w:hAnsi="Palatino Linotype" w:cs="Times New Roman"/>
          <w:color w:val="000000"/>
          <w:sz w:val="18"/>
          <w:szCs w:val="20"/>
          <w:lang w:val="en-US" w:eastAsia="zh-CN"/>
        </w:rPr>
        <w:t xml:space="preserve">, Y.; </w:t>
      </w:r>
      <w:proofErr w:type="spellStart"/>
      <w:r w:rsidRPr="005C3D3A">
        <w:rPr>
          <w:rFonts w:ascii="Palatino Linotype" w:eastAsia="SimSun" w:hAnsi="Palatino Linotype" w:cs="Times New Roman"/>
          <w:color w:val="000000"/>
          <w:sz w:val="18"/>
          <w:szCs w:val="20"/>
          <w:lang w:val="en-US" w:eastAsia="zh-CN"/>
        </w:rPr>
        <w:t>Nigou</w:t>
      </w:r>
      <w:proofErr w:type="spellEnd"/>
      <w:r w:rsidRPr="005C3D3A">
        <w:rPr>
          <w:rFonts w:ascii="Palatino Linotype" w:eastAsia="SimSun" w:hAnsi="Palatino Linotype" w:cs="Times New Roman"/>
          <w:color w:val="000000"/>
          <w:sz w:val="18"/>
          <w:szCs w:val="20"/>
          <w:lang w:val="en-US" w:eastAsia="zh-CN"/>
        </w:rPr>
        <w:t xml:space="preserve">, J.; </w:t>
      </w:r>
      <w:proofErr w:type="spellStart"/>
      <w:r w:rsidRPr="005C3D3A">
        <w:rPr>
          <w:rFonts w:ascii="Palatino Linotype" w:eastAsia="SimSun" w:hAnsi="Palatino Linotype" w:cs="Times New Roman"/>
          <w:color w:val="000000"/>
          <w:sz w:val="18"/>
          <w:szCs w:val="20"/>
          <w:lang w:val="en-US" w:eastAsia="zh-CN"/>
        </w:rPr>
        <w:t>Puzo</w:t>
      </w:r>
      <w:proofErr w:type="spellEnd"/>
      <w:r w:rsidRPr="005C3D3A">
        <w:rPr>
          <w:rFonts w:ascii="Palatino Linotype" w:eastAsia="SimSun" w:hAnsi="Palatino Linotype" w:cs="Times New Roman"/>
          <w:color w:val="000000"/>
          <w:sz w:val="18"/>
          <w:szCs w:val="20"/>
          <w:lang w:val="en-US" w:eastAsia="zh-CN"/>
        </w:rPr>
        <w:t xml:space="preserve">, G.; </w:t>
      </w:r>
      <w:proofErr w:type="spellStart"/>
      <w:r w:rsidRPr="005C3D3A">
        <w:rPr>
          <w:rFonts w:ascii="Palatino Linotype" w:eastAsia="SimSun" w:hAnsi="Palatino Linotype" w:cs="Times New Roman"/>
          <w:color w:val="000000"/>
          <w:sz w:val="18"/>
          <w:szCs w:val="20"/>
          <w:lang w:val="en-US" w:eastAsia="zh-CN"/>
        </w:rPr>
        <w:t>Erard</w:t>
      </w:r>
      <w:proofErr w:type="spellEnd"/>
      <w:r w:rsidRPr="005C3D3A">
        <w:rPr>
          <w:rFonts w:ascii="Palatino Linotype" w:eastAsia="SimSun" w:hAnsi="Palatino Linotype" w:cs="Times New Roman"/>
          <w:color w:val="000000"/>
          <w:sz w:val="18"/>
          <w:szCs w:val="20"/>
          <w:lang w:val="en-US" w:eastAsia="zh-CN"/>
        </w:rPr>
        <w:t xml:space="preserve">, F.; </w:t>
      </w:r>
      <w:proofErr w:type="spellStart"/>
      <w:r w:rsidRPr="005C3D3A">
        <w:rPr>
          <w:rFonts w:ascii="Palatino Linotype" w:eastAsia="SimSun" w:hAnsi="Palatino Linotype" w:cs="Times New Roman"/>
          <w:color w:val="000000"/>
          <w:sz w:val="18"/>
          <w:szCs w:val="20"/>
          <w:lang w:val="en-US" w:eastAsia="zh-CN"/>
        </w:rPr>
        <w:t>Ryffel</w:t>
      </w:r>
      <w:proofErr w:type="spellEnd"/>
      <w:r w:rsidRPr="005C3D3A">
        <w:rPr>
          <w:rFonts w:ascii="Palatino Linotype" w:eastAsia="SimSun" w:hAnsi="Palatino Linotype" w:cs="Times New Roman"/>
          <w:color w:val="000000"/>
          <w:sz w:val="18"/>
          <w:szCs w:val="20"/>
          <w:lang w:val="en-US" w:eastAsia="zh-CN"/>
        </w:rPr>
        <w:t xml:space="preserve">, B. Toll-like receptor 2 (TLR2)-dependent-positive and TLR2-independent-negative regulation of proinflammatory cytokines by mycobacterial lipomannans. </w:t>
      </w:r>
      <w:r w:rsidRPr="005C3D3A">
        <w:rPr>
          <w:rFonts w:ascii="Palatino Linotype" w:eastAsia="SimSun" w:hAnsi="Palatino Linotype" w:cs="Times New Roman"/>
          <w:i/>
          <w:iCs/>
          <w:color w:val="000000"/>
          <w:sz w:val="18"/>
          <w:szCs w:val="20"/>
          <w:lang w:val="en-US" w:eastAsia="zh-CN"/>
        </w:rPr>
        <w:t>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172</w:t>
      </w:r>
      <w:r w:rsidRPr="005C3D3A">
        <w:rPr>
          <w:rFonts w:ascii="Palatino Linotype" w:eastAsia="SimSun" w:hAnsi="Palatino Linotype" w:cs="Times New Roman"/>
          <w:bCs/>
          <w:color w:val="000000"/>
          <w:sz w:val="18"/>
          <w:szCs w:val="20"/>
          <w:lang w:val="en-US" w:eastAsia="zh-CN"/>
        </w:rPr>
        <w:t>, 4425–4434,</w:t>
      </w:r>
      <w:r w:rsidRPr="005C3D3A">
        <w:rPr>
          <w:rFonts w:ascii="Palatino Linotype" w:eastAsia="SimSun" w:hAnsi="Palatino Linotype" w:cs="Times New Roman"/>
          <w:color w:val="000000"/>
          <w:sz w:val="18"/>
          <w:szCs w:val="20"/>
          <w:lang w:val="en-US" w:eastAsia="zh-CN"/>
        </w:rPr>
        <w:t xml:space="preserve"> doi:10.4049/jimmunol.172.7.4425.</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Gilleron</w:t>
      </w:r>
      <w:proofErr w:type="spellEnd"/>
      <w:r w:rsidRPr="005C3D3A">
        <w:rPr>
          <w:rFonts w:ascii="Palatino Linotype" w:eastAsia="SimSun" w:hAnsi="Palatino Linotype" w:cs="Times New Roman"/>
          <w:color w:val="000000"/>
          <w:sz w:val="18"/>
          <w:szCs w:val="20"/>
          <w:lang w:val="en-US" w:eastAsia="zh-CN"/>
        </w:rPr>
        <w:t xml:space="preserve">, M.; </w:t>
      </w:r>
      <w:proofErr w:type="spellStart"/>
      <w:r w:rsidRPr="005C3D3A">
        <w:rPr>
          <w:rFonts w:ascii="Palatino Linotype" w:eastAsia="SimSun" w:hAnsi="Palatino Linotype" w:cs="Times New Roman"/>
          <w:color w:val="000000"/>
          <w:sz w:val="18"/>
          <w:szCs w:val="20"/>
          <w:lang w:val="en-US" w:eastAsia="zh-CN"/>
        </w:rPr>
        <w:t>Nigou</w:t>
      </w:r>
      <w:proofErr w:type="spellEnd"/>
      <w:r w:rsidRPr="005C3D3A">
        <w:rPr>
          <w:rFonts w:ascii="Palatino Linotype" w:eastAsia="SimSun" w:hAnsi="Palatino Linotype" w:cs="Times New Roman"/>
          <w:color w:val="000000"/>
          <w:sz w:val="18"/>
          <w:szCs w:val="20"/>
          <w:lang w:val="en-US" w:eastAsia="zh-CN"/>
        </w:rPr>
        <w:t xml:space="preserve">, J.; Nicolle, D.; </w:t>
      </w:r>
      <w:proofErr w:type="spellStart"/>
      <w:r w:rsidRPr="005C3D3A">
        <w:rPr>
          <w:rFonts w:ascii="Palatino Linotype" w:eastAsia="SimSun" w:hAnsi="Palatino Linotype" w:cs="Times New Roman"/>
          <w:color w:val="000000"/>
          <w:sz w:val="18"/>
          <w:szCs w:val="20"/>
          <w:lang w:val="en-US" w:eastAsia="zh-CN"/>
        </w:rPr>
        <w:t>Quesniaux</w:t>
      </w:r>
      <w:proofErr w:type="spellEnd"/>
      <w:r w:rsidRPr="005C3D3A">
        <w:rPr>
          <w:rFonts w:ascii="Palatino Linotype" w:eastAsia="SimSun" w:hAnsi="Palatino Linotype" w:cs="Times New Roman"/>
          <w:color w:val="000000"/>
          <w:sz w:val="18"/>
          <w:szCs w:val="20"/>
          <w:lang w:val="en-US" w:eastAsia="zh-CN"/>
        </w:rPr>
        <w:t xml:space="preserve">, V.; </w:t>
      </w:r>
      <w:proofErr w:type="spellStart"/>
      <w:r w:rsidRPr="005C3D3A">
        <w:rPr>
          <w:rFonts w:ascii="Palatino Linotype" w:eastAsia="SimSun" w:hAnsi="Palatino Linotype" w:cs="Times New Roman"/>
          <w:color w:val="000000"/>
          <w:sz w:val="18"/>
          <w:szCs w:val="20"/>
          <w:lang w:val="en-US" w:eastAsia="zh-CN"/>
        </w:rPr>
        <w:t>Puzo</w:t>
      </w:r>
      <w:proofErr w:type="spellEnd"/>
      <w:r w:rsidRPr="005C3D3A">
        <w:rPr>
          <w:rFonts w:ascii="Palatino Linotype" w:eastAsia="SimSun" w:hAnsi="Palatino Linotype" w:cs="Times New Roman"/>
          <w:color w:val="000000"/>
          <w:sz w:val="18"/>
          <w:szCs w:val="20"/>
          <w:lang w:val="en-US" w:eastAsia="zh-CN"/>
        </w:rPr>
        <w:t xml:space="preserve">, G. The acylation state of mycobacterial lipomannans modulates innate immunity response through toll-like receptor 2. </w:t>
      </w:r>
      <w:r w:rsidRPr="005C3D3A">
        <w:rPr>
          <w:rFonts w:ascii="Palatino Linotype" w:eastAsia="SimSun" w:hAnsi="Palatino Linotype" w:cs="Times New Roman"/>
          <w:i/>
          <w:iCs/>
          <w:color w:val="000000"/>
          <w:sz w:val="18"/>
          <w:szCs w:val="20"/>
          <w:lang w:val="en-US" w:eastAsia="zh-CN"/>
        </w:rPr>
        <w:t>Chem. Biol.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2006</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13</w:t>
      </w:r>
      <w:r w:rsidRPr="005C3D3A">
        <w:rPr>
          <w:rFonts w:ascii="Palatino Linotype" w:eastAsia="SimSun" w:hAnsi="Palatino Linotype" w:cs="Times New Roman"/>
          <w:bCs/>
          <w:color w:val="000000"/>
          <w:sz w:val="18"/>
          <w:szCs w:val="20"/>
          <w:lang w:val="en-US" w:eastAsia="zh-CN"/>
        </w:rPr>
        <w:t>, 39–47</w:t>
      </w:r>
      <w:r w:rsidRPr="005C3D3A">
        <w:rPr>
          <w:rFonts w:ascii="Palatino Linotype" w:eastAsia="SimSun" w:hAnsi="Palatino Linotype" w:cs="Times New Roman"/>
          <w:color w:val="000000"/>
          <w:sz w:val="18"/>
          <w:szCs w:val="20"/>
          <w:lang w:val="en-US" w:eastAsia="zh-CN"/>
        </w:rPr>
        <w:t>, doi:10.1016/j.chembiol.2005.10.013.</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Doz</w:t>
      </w:r>
      <w:proofErr w:type="spellEnd"/>
      <w:r w:rsidRPr="005C3D3A">
        <w:rPr>
          <w:rFonts w:ascii="Palatino Linotype" w:eastAsia="SimSun" w:hAnsi="Palatino Linotype" w:cs="Times New Roman"/>
          <w:color w:val="000000"/>
          <w:sz w:val="18"/>
          <w:szCs w:val="20"/>
          <w:lang w:val="en-US" w:eastAsia="zh-CN"/>
        </w:rPr>
        <w:t xml:space="preserve">, E.; Rose, S.; </w:t>
      </w:r>
      <w:proofErr w:type="spellStart"/>
      <w:r w:rsidRPr="005C3D3A">
        <w:rPr>
          <w:rFonts w:ascii="Palatino Linotype" w:eastAsia="SimSun" w:hAnsi="Palatino Linotype" w:cs="Times New Roman"/>
          <w:color w:val="000000"/>
          <w:sz w:val="18"/>
          <w:szCs w:val="20"/>
          <w:lang w:val="en-US" w:eastAsia="zh-CN"/>
        </w:rPr>
        <w:t>Nigou</w:t>
      </w:r>
      <w:proofErr w:type="spellEnd"/>
      <w:r w:rsidRPr="005C3D3A">
        <w:rPr>
          <w:rFonts w:ascii="Palatino Linotype" w:eastAsia="SimSun" w:hAnsi="Palatino Linotype" w:cs="Times New Roman"/>
          <w:color w:val="000000"/>
          <w:sz w:val="18"/>
          <w:szCs w:val="20"/>
          <w:lang w:val="en-US" w:eastAsia="zh-CN"/>
        </w:rPr>
        <w:t xml:space="preserve">, J.; </w:t>
      </w:r>
      <w:proofErr w:type="spellStart"/>
      <w:r w:rsidRPr="005C3D3A">
        <w:rPr>
          <w:rFonts w:ascii="Palatino Linotype" w:eastAsia="SimSun" w:hAnsi="Palatino Linotype" w:cs="Times New Roman"/>
          <w:color w:val="000000"/>
          <w:sz w:val="18"/>
          <w:szCs w:val="20"/>
          <w:lang w:val="en-US" w:eastAsia="zh-CN"/>
        </w:rPr>
        <w:t>Gilleron</w:t>
      </w:r>
      <w:proofErr w:type="spellEnd"/>
      <w:r w:rsidRPr="005C3D3A">
        <w:rPr>
          <w:rFonts w:ascii="Palatino Linotype" w:eastAsia="SimSun" w:hAnsi="Palatino Linotype" w:cs="Times New Roman"/>
          <w:color w:val="000000"/>
          <w:sz w:val="18"/>
          <w:szCs w:val="20"/>
          <w:lang w:val="en-US" w:eastAsia="zh-CN"/>
        </w:rPr>
        <w:t xml:space="preserve">, M.; </w:t>
      </w:r>
      <w:proofErr w:type="spellStart"/>
      <w:r w:rsidRPr="005C3D3A">
        <w:rPr>
          <w:rFonts w:ascii="Palatino Linotype" w:eastAsia="SimSun" w:hAnsi="Palatino Linotype" w:cs="Times New Roman"/>
          <w:color w:val="000000"/>
          <w:sz w:val="18"/>
          <w:szCs w:val="20"/>
          <w:lang w:val="en-US" w:eastAsia="zh-CN"/>
        </w:rPr>
        <w:t>Puzo</w:t>
      </w:r>
      <w:proofErr w:type="spellEnd"/>
      <w:r w:rsidRPr="005C3D3A">
        <w:rPr>
          <w:rFonts w:ascii="Palatino Linotype" w:eastAsia="SimSun" w:hAnsi="Palatino Linotype" w:cs="Times New Roman"/>
          <w:color w:val="000000"/>
          <w:sz w:val="18"/>
          <w:szCs w:val="20"/>
          <w:lang w:val="en-US" w:eastAsia="zh-CN"/>
        </w:rPr>
        <w:t xml:space="preserve">, G.; </w:t>
      </w:r>
      <w:proofErr w:type="spellStart"/>
      <w:r w:rsidRPr="005C3D3A">
        <w:rPr>
          <w:rFonts w:ascii="Palatino Linotype" w:eastAsia="SimSun" w:hAnsi="Palatino Linotype" w:cs="Times New Roman"/>
          <w:color w:val="000000"/>
          <w:sz w:val="18"/>
          <w:szCs w:val="20"/>
          <w:lang w:val="en-US" w:eastAsia="zh-CN"/>
        </w:rPr>
        <w:t>Erard</w:t>
      </w:r>
      <w:proofErr w:type="spellEnd"/>
      <w:r w:rsidRPr="005C3D3A">
        <w:rPr>
          <w:rFonts w:ascii="Palatino Linotype" w:eastAsia="SimSun" w:hAnsi="Palatino Linotype" w:cs="Times New Roman"/>
          <w:color w:val="000000"/>
          <w:sz w:val="18"/>
          <w:szCs w:val="20"/>
          <w:lang w:val="en-US" w:eastAsia="zh-CN"/>
        </w:rPr>
        <w:t xml:space="preserve">, F.; </w:t>
      </w:r>
      <w:proofErr w:type="spellStart"/>
      <w:r w:rsidRPr="005C3D3A">
        <w:rPr>
          <w:rFonts w:ascii="Palatino Linotype" w:eastAsia="SimSun" w:hAnsi="Palatino Linotype" w:cs="Times New Roman"/>
          <w:color w:val="000000"/>
          <w:sz w:val="18"/>
          <w:szCs w:val="20"/>
          <w:lang w:val="en-US" w:eastAsia="zh-CN"/>
        </w:rPr>
        <w:t>Ryffel</w:t>
      </w:r>
      <w:proofErr w:type="spellEnd"/>
      <w:r w:rsidRPr="005C3D3A">
        <w:rPr>
          <w:rFonts w:ascii="Palatino Linotype" w:eastAsia="SimSun" w:hAnsi="Palatino Linotype" w:cs="Times New Roman"/>
          <w:color w:val="000000"/>
          <w:sz w:val="18"/>
          <w:szCs w:val="20"/>
          <w:lang w:val="en-US" w:eastAsia="zh-CN"/>
        </w:rPr>
        <w:t xml:space="preserve">, B.; </w:t>
      </w:r>
      <w:proofErr w:type="spellStart"/>
      <w:r w:rsidRPr="005C3D3A">
        <w:rPr>
          <w:rFonts w:ascii="Palatino Linotype" w:eastAsia="SimSun" w:hAnsi="Palatino Linotype" w:cs="Times New Roman"/>
          <w:color w:val="000000"/>
          <w:sz w:val="18"/>
          <w:szCs w:val="20"/>
          <w:lang w:val="en-US" w:eastAsia="zh-CN"/>
        </w:rPr>
        <w:t>Quesniaux</w:t>
      </w:r>
      <w:proofErr w:type="spellEnd"/>
      <w:r w:rsidRPr="005C3D3A">
        <w:rPr>
          <w:rFonts w:ascii="Palatino Linotype" w:eastAsia="SimSun" w:hAnsi="Palatino Linotype" w:cs="Times New Roman"/>
          <w:color w:val="000000"/>
          <w:sz w:val="18"/>
          <w:szCs w:val="20"/>
          <w:lang w:val="en-US" w:eastAsia="zh-CN"/>
        </w:rPr>
        <w:t xml:space="preserve">, V.F.J. Acylation determines the toll-like receptor (TLR)-dependent positive versus TLR2-, mannose receptor-, and SIGNR1-independent negative regulation of pro-inflammatory cytokines by mycobacterial lipomannan. </w:t>
      </w:r>
      <w:r w:rsidRPr="005C3D3A">
        <w:rPr>
          <w:rFonts w:ascii="Palatino Linotype" w:eastAsia="SimSun" w:hAnsi="Palatino Linotype" w:cs="Times New Roman"/>
          <w:i/>
          <w:iCs/>
          <w:color w:val="000000"/>
          <w:sz w:val="18"/>
          <w:szCs w:val="20"/>
          <w:lang w:val="en-US" w:eastAsia="zh-CN"/>
        </w:rPr>
        <w:t>J. Biol. Chem.</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2007</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282</w:t>
      </w:r>
      <w:r w:rsidRPr="005C3D3A">
        <w:rPr>
          <w:rFonts w:ascii="Palatino Linotype" w:eastAsia="SimSun" w:hAnsi="Palatino Linotype" w:cs="Times New Roman"/>
          <w:bCs/>
          <w:color w:val="000000"/>
          <w:sz w:val="18"/>
          <w:szCs w:val="20"/>
          <w:lang w:val="en-US" w:eastAsia="zh-CN"/>
        </w:rPr>
        <w:t>, 26014–26025,</w:t>
      </w:r>
      <w:r w:rsidRPr="005C3D3A">
        <w:rPr>
          <w:rFonts w:ascii="Palatino Linotype" w:eastAsia="SimSun" w:hAnsi="Palatino Linotype" w:cs="Times New Roman"/>
          <w:color w:val="000000"/>
          <w:sz w:val="18"/>
          <w:szCs w:val="20"/>
          <w:lang w:val="en-US" w:eastAsia="zh-CN"/>
        </w:rPr>
        <w:t xml:space="preserve"> doi:10.1074/jbc.M702690200.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fr-FR" w:eastAsia="zh-CN"/>
        </w:rPr>
        <w:t>Puissegur</w:t>
      </w:r>
      <w:proofErr w:type="spellEnd"/>
      <w:r w:rsidRPr="005C3D3A">
        <w:rPr>
          <w:rFonts w:ascii="Palatino Linotype" w:eastAsia="SimSun" w:hAnsi="Palatino Linotype" w:cs="Times New Roman"/>
          <w:color w:val="000000"/>
          <w:sz w:val="18"/>
          <w:szCs w:val="20"/>
          <w:lang w:val="fr-FR" w:eastAsia="zh-CN"/>
        </w:rPr>
        <w:t xml:space="preserve">, </w:t>
      </w:r>
      <w:proofErr w:type="gramStart"/>
      <w:r w:rsidRPr="005C3D3A">
        <w:rPr>
          <w:rFonts w:ascii="Palatino Linotype" w:eastAsia="SimSun" w:hAnsi="Palatino Linotype" w:cs="Times New Roman"/>
          <w:color w:val="000000"/>
          <w:sz w:val="18"/>
          <w:szCs w:val="20"/>
          <w:lang w:val="fr-FR" w:eastAsia="zh-CN"/>
        </w:rPr>
        <w:t>M.-P.;</w:t>
      </w:r>
      <w:proofErr w:type="gramEnd"/>
      <w:r w:rsidRPr="005C3D3A">
        <w:rPr>
          <w:rFonts w:ascii="Palatino Linotype" w:eastAsia="SimSun" w:hAnsi="Palatino Linotype" w:cs="Times New Roman"/>
          <w:color w:val="000000"/>
          <w:sz w:val="18"/>
          <w:szCs w:val="20"/>
          <w:lang w:val="fr-FR" w:eastAsia="zh-CN"/>
        </w:rPr>
        <w:t xml:space="preserve"> Lay, G.; </w:t>
      </w:r>
      <w:proofErr w:type="spellStart"/>
      <w:r w:rsidRPr="005C3D3A">
        <w:rPr>
          <w:rFonts w:ascii="Palatino Linotype" w:eastAsia="SimSun" w:hAnsi="Palatino Linotype" w:cs="Times New Roman"/>
          <w:color w:val="000000"/>
          <w:sz w:val="18"/>
          <w:szCs w:val="20"/>
          <w:lang w:val="fr-FR" w:eastAsia="zh-CN"/>
        </w:rPr>
        <w:t>Gilleron</w:t>
      </w:r>
      <w:proofErr w:type="spellEnd"/>
      <w:r w:rsidRPr="005C3D3A">
        <w:rPr>
          <w:rFonts w:ascii="Palatino Linotype" w:eastAsia="SimSun" w:hAnsi="Palatino Linotype" w:cs="Times New Roman"/>
          <w:color w:val="000000"/>
          <w:sz w:val="18"/>
          <w:szCs w:val="20"/>
          <w:lang w:val="fr-FR" w:eastAsia="zh-CN"/>
        </w:rPr>
        <w:t xml:space="preserve">, M.; </w:t>
      </w:r>
      <w:proofErr w:type="spellStart"/>
      <w:r w:rsidRPr="005C3D3A">
        <w:rPr>
          <w:rFonts w:ascii="Palatino Linotype" w:eastAsia="SimSun" w:hAnsi="Palatino Linotype" w:cs="Times New Roman"/>
          <w:color w:val="000000"/>
          <w:sz w:val="18"/>
          <w:szCs w:val="20"/>
          <w:lang w:val="fr-FR" w:eastAsia="zh-CN"/>
        </w:rPr>
        <w:t>Botella</w:t>
      </w:r>
      <w:proofErr w:type="spellEnd"/>
      <w:r w:rsidRPr="005C3D3A">
        <w:rPr>
          <w:rFonts w:ascii="Palatino Linotype" w:eastAsia="SimSun" w:hAnsi="Palatino Linotype" w:cs="Times New Roman"/>
          <w:color w:val="000000"/>
          <w:sz w:val="18"/>
          <w:szCs w:val="20"/>
          <w:lang w:val="fr-FR" w:eastAsia="zh-CN"/>
        </w:rPr>
        <w:t xml:space="preserve">, L.; </w:t>
      </w:r>
      <w:proofErr w:type="spellStart"/>
      <w:r w:rsidRPr="005C3D3A">
        <w:rPr>
          <w:rFonts w:ascii="Palatino Linotype" w:eastAsia="SimSun" w:hAnsi="Palatino Linotype" w:cs="Times New Roman"/>
          <w:color w:val="000000"/>
          <w:sz w:val="18"/>
          <w:szCs w:val="20"/>
          <w:lang w:val="fr-FR" w:eastAsia="zh-CN"/>
        </w:rPr>
        <w:t>Nigou</w:t>
      </w:r>
      <w:proofErr w:type="spellEnd"/>
      <w:r w:rsidRPr="005C3D3A">
        <w:rPr>
          <w:rFonts w:ascii="Palatino Linotype" w:eastAsia="SimSun" w:hAnsi="Palatino Linotype" w:cs="Times New Roman"/>
          <w:color w:val="000000"/>
          <w:sz w:val="18"/>
          <w:szCs w:val="20"/>
          <w:lang w:val="fr-FR" w:eastAsia="zh-CN"/>
        </w:rPr>
        <w:t xml:space="preserve">, J.; </w:t>
      </w:r>
      <w:proofErr w:type="spellStart"/>
      <w:r w:rsidRPr="005C3D3A">
        <w:rPr>
          <w:rFonts w:ascii="Palatino Linotype" w:eastAsia="SimSun" w:hAnsi="Palatino Linotype" w:cs="Times New Roman"/>
          <w:color w:val="000000"/>
          <w:sz w:val="18"/>
          <w:szCs w:val="20"/>
          <w:lang w:val="fr-FR" w:eastAsia="zh-CN"/>
        </w:rPr>
        <w:t>Marrakchi</w:t>
      </w:r>
      <w:proofErr w:type="spellEnd"/>
      <w:r w:rsidRPr="005C3D3A">
        <w:rPr>
          <w:rFonts w:ascii="Palatino Linotype" w:eastAsia="SimSun" w:hAnsi="Palatino Linotype" w:cs="Times New Roman"/>
          <w:color w:val="000000"/>
          <w:sz w:val="18"/>
          <w:szCs w:val="20"/>
          <w:lang w:val="fr-FR" w:eastAsia="zh-CN"/>
        </w:rPr>
        <w:t xml:space="preserve">, H.; Mari, B.; </w:t>
      </w:r>
      <w:proofErr w:type="spellStart"/>
      <w:r w:rsidRPr="005C3D3A">
        <w:rPr>
          <w:rFonts w:ascii="Palatino Linotype" w:eastAsia="SimSun" w:hAnsi="Palatino Linotype" w:cs="Times New Roman"/>
          <w:color w:val="000000"/>
          <w:sz w:val="18"/>
          <w:szCs w:val="20"/>
          <w:lang w:val="fr-FR" w:eastAsia="zh-CN"/>
        </w:rPr>
        <w:t>Duteyrat</w:t>
      </w:r>
      <w:proofErr w:type="spellEnd"/>
      <w:r w:rsidRPr="005C3D3A">
        <w:rPr>
          <w:rFonts w:ascii="Palatino Linotype" w:eastAsia="SimSun" w:hAnsi="Palatino Linotype" w:cs="Times New Roman"/>
          <w:color w:val="000000"/>
          <w:sz w:val="18"/>
          <w:szCs w:val="20"/>
          <w:lang w:val="fr-FR" w:eastAsia="zh-CN"/>
        </w:rPr>
        <w:t xml:space="preserve">, J.-L.; </w:t>
      </w:r>
      <w:proofErr w:type="spellStart"/>
      <w:r w:rsidRPr="005C3D3A">
        <w:rPr>
          <w:rFonts w:ascii="Palatino Linotype" w:eastAsia="SimSun" w:hAnsi="Palatino Linotype" w:cs="Times New Roman"/>
          <w:color w:val="000000"/>
          <w:sz w:val="18"/>
          <w:szCs w:val="20"/>
          <w:lang w:val="fr-FR" w:eastAsia="zh-CN"/>
        </w:rPr>
        <w:t>Guerardel</w:t>
      </w:r>
      <w:proofErr w:type="spellEnd"/>
      <w:r w:rsidRPr="005C3D3A">
        <w:rPr>
          <w:rFonts w:ascii="Palatino Linotype" w:eastAsia="SimSun" w:hAnsi="Palatino Linotype" w:cs="Times New Roman"/>
          <w:color w:val="000000"/>
          <w:sz w:val="18"/>
          <w:szCs w:val="20"/>
          <w:lang w:val="fr-FR" w:eastAsia="zh-CN"/>
        </w:rPr>
        <w:t xml:space="preserve">, Y.; Kremer, L.; et al. </w:t>
      </w:r>
      <w:r w:rsidRPr="005C3D3A">
        <w:rPr>
          <w:rFonts w:ascii="Palatino Linotype" w:eastAsia="SimSun" w:hAnsi="Palatino Linotype" w:cs="Times New Roman"/>
          <w:color w:val="000000"/>
          <w:sz w:val="18"/>
          <w:szCs w:val="20"/>
          <w:lang w:val="en-US" w:eastAsia="zh-CN"/>
        </w:rPr>
        <w:t>Mycobacterial lipomannan induces granuloma macrophage fusion via a TLR2-dependent, ADAM9- and β</w:t>
      </w:r>
      <w:r w:rsidRPr="005C3D3A">
        <w:rPr>
          <w:rFonts w:ascii="Palatino Linotype" w:eastAsia="SimSun" w:hAnsi="Palatino Linotype" w:cs="Times New Roman"/>
          <w:color w:val="000000"/>
          <w:sz w:val="18"/>
          <w:szCs w:val="20"/>
          <w:vertAlign w:val="subscript"/>
          <w:lang w:val="en-US" w:eastAsia="zh-CN"/>
        </w:rPr>
        <w:t>1</w:t>
      </w:r>
      <w:r w:rsidRPr="005C3D3A">
        <w:rPr>
          <w:rFonts w:ascii="Palatino Linotype" w:eastAsia="SimSun" w:hAnsi="Palatino Linotype" w:cs="Times New Roman"/>
          <w:color w:val="000000"/>
          <w:sz w:val="18"/>
          <w:szCs w:val="20"/>
          <w:lang w:val="en-US" w:eastAsia="zh-CN"/>
        </w:rPr>
        <w:t xml:space="preserve"> integrin-mediated pathway. </w:t>
      </w:r>
      <w:r w:rsidRPr="005C3D3A">
        <w:rPr>
          <w:rFonts w:ascii="Palatino Linotype" w:eastAsia="SimSun" w:hAnsi="Palatino Linotype" w:cs="Times New Roman"/>
          <w:i/>
          <w:iCs/>
          <w:color w:val="000000"/>
          <w:sz w:val="18"/>
          <w:szCs w:val="20"/>
          <w:lang w:val="en-US" w:eastAsia="zh-CN"/>
        </w:rPr>
        <w:t>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2007</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178</w:t>
      </w:r>
      <w:r w:rsidRPr="005C3D3A">
        <w:rPr>
          <w:rFonts w:ascii="Palatino Linotype" w:eastAsia="SimSun" w:hAnsi="Palatino Linotype" w:cs="Times New Roman"/>
          <w:bCs/>
          <w:color w:val="000000"/>
          <w:sz w:val="18"/>
          <w:szCs w:val="20"/>
          <w:lang w:val="en-US" w:eastAsia="zh-CN"/>
        </w:rPr>
        <w:t>, 3161–3169,</w:t>
      </w:r>
      <w:r w:rsidRPr="005C3D3A">
        <w:rPr>
          <w:rFonts w:ascii="Palatino Linotype" w:eastAsia="SimSun" w:hAnsi="Palatino Linotype" w:cs="Times New Roman"/>
          <w:color w:val="000000"/>
          <w:sz w:val="18"/>
          <w:szCs w:val="20"/>
          <w:lang w:val="en-US" w:eastAsia="zh-CN"/>
        </w:rPr>
        <w:t xml:space="preserve"> doi:10.4049/jimmunol.178.5.3161.</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Guenin-Macé</w:t>
      </w:r>
      <w:proofErr w:type="spellEnd"/>
      <w:r w:rsidRPr="005C3D3A">
        <w:rPr>
          <w:rFonts w:ascii="Palatino Linotype" w:eastAsia="SimSun" w:hAnsi="Palatino Linotype" w:cs="Times New Roman"/>
          <w:color w:val="000000"/>
          <w:sz w:val="18"/>
          <w:szCs w:val="20"/>
          <w:lang w:val="en-US" w:eastAsia="zh-CN"/>
        </w:rPr>
        <w:t xml:space="preserve">, L.; </w:t>
      </w:r>
      <w:proofErr w:type="spellStart"/>
      <w:r w:rsidRPr="005C3D3A">
        <w:rPr>
          <w:rFonts w:ascii="Palatino Linotype" w:eastAsia="SimSun" w:hAnsi="Palatino Linotype" w:cs="Times New Roman"/>
          <w:color w:val="000000"/>
          <w:sz w:val="18"/>
          <w:szCs w:val="20"/>
          <w:lang w:val="en-US" w:eastAsia="zh-CN"/>
        </w:rPr>
        <w:t>Siméone</w:t>
      </w:r>
      <w:proofErr w:type="spellEnd"/>
      <w:r w:rsidRPr="005C3D3A">
        <w:rPr>
          <w:rFonts w:ascii="Palatino Linotype" w:eastAsia="SimSun" w:hAnsi="Palatino Linotype" w:cs="Times New Roman"/>
          <w:color w:val="000000"/>
          <w:sz w:val="18"/>
          <w:szCs w:val="20"/>
          <w:lang w:val="en-US" w:eastAsia="zh-CN"/>
        </w:rPr>
        <w:t xml:space="preserve">, R.; </w:t>
      </w:r>
      <w:proofErr w:type="spellStart"/>
      <w:r w:rsidRPr="005C3D3A">
        <w:rPr>
          <w:rFonts w:ascii="Palatino Linotype" w:eastAsia="SimSun" w:hAnsi="Palatino Linotype" w:cs="Times New Roman"/>
          <w:color w:val="000000"/>
          <w:sz w:val="18"/>
          <w:szCs w:val="20"/>
          <w:lang w:val="en-US" w:eastAsia="zh-CN"/>
        </w:rPr>
        <w:t>Demangel</w:t>
      </w:r>
      <w:proofErr w:type="spellEnd"/>
      <w:r w:rsidRPr="005C3D3A">
        <w:rPr>
          <w:rFonts w:ascii="Palatino Linotype" w:eastAsia="SimSun" w:hAnsi="Palatino Linotype" w:cs="Times New Roman"/>
          <w:color w:val="000000"/>
          <w:sz w:val="18"/>
          <w:szCs w:val="20"/>
          <w:lang w:val="en-US" w:eastAsia="zh-CN"/>
        </w:rPr>
        <w:t xml:space="preserve">, C. Lipids of Pathogenic Mycobacteria: Contributions to Virulence and Host Immune Suppression. </w:t>
      </w:r>
      <w:proofErr w:type="spellStart"/>
      <w:r w:rsidRPr="005C3D3A">
        <w:rPr>
          <w:rFonts w:ascii="Palatino Linotype" w:eastAsia="SimSun" w:hAnsi="Palatino Linotype" w:cs="Times New Roman"/>
          <w:i/>
          <w:iCs/>
          <w:color w:val="000000"/>
          <w:sz w:val="18"/>
          <w:szCs w:val="20"/>
          <w:lang w:val="en-US" w:eastAsia="zh-CN"/>
        </w:rPr>
        <w:t>Transbound</w:t>
      </w:r>
      <w:proofErr w:type="spellEnd"/>
      <w:r w:rsidRPr="005C3D3A">
        <w:rPr>
          <w:rFonts w:ascii="Palatino Linotype" w:eastAsia="SimSun" w:hAnsi="Palatino Linotype" w:cs="Times New Roman"/>
          <w:i/>
          <w:iCs/>
          <w:color w:val="000000"/>
          <w:sz w:val="18"/>
          <w:szCs w:val="20"/>
          <w:lang w:val="en-US" w:eastAsia="zh-CN"/>
        </w:rPr>
        <w:t xml:space="preserve">. </w:t>
      </w:r>
      <w:proofErr w:type="spellStart"/>
      <w:r w:rsidRPr="005C3D3A">
        <w:rPr>
          <w:rFonts w:ascii="Palatino Linotype" w:eastAsia="SimSun" w:hAnsi="Palatino Linotype" w:cs="Times New Roman"/>
          <w:i/>
          <w:iCs/>
          <w:color w:val="000000"/>
          <w:sz w:val="18"/>
          <w:szCs w:val="20"/>
          <w:lang w:val="en-US" w:eastAsia="zh-CN"/>
        </w:rPr>
        <w:t>Emerg</w:t>
      </w:r>
      <w:proofErr w:type="spellEnd"/>
      <w:r w:rsidRPr="005C3D3A">
        <w:rPr>
          <w:rFonts w:ascii="Palatino Linotype" w:eastAsia="SimSun" w:hAnsi="Palatino Linotype" w:cs="Times New Roman"/>
          <w:i/>
          <w:iCs/>
          <w:color w:val="000000"/>
          <w:sz w:val="18"/>
          <w:szCs w:val="20"/>
          <w:lang w:val="en-US" w:eastAsia="zh-CN"/>
        </w:rPr>
        <w:t>. Dis.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2009</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56</w:t>
      </w:r>
      <w:r w:rsidRPr="005C3D3A">
        <w:rPr>
          <w:rFonts w:ascii="Palatino Linotype" w:eastAsia="SimSun" w:hAnsi="Palatino Linotype" w:cs="Times New Roman"/>
          <w:bCs/>
          <w:color w:val="000000"/>
          <w:sz w:val="18"/>
          <w:szCs w:val="20"/>
          <w:lang w:val="en-US" w:eastAsia="zh-CN"/>
        </w:rPr>
        <w:t>, 255–268</w:t>
      </w:r>
      <w:r w:rsidRPr="005C3D3A">
        <w:rPr>
          <w:rFonts w:ascii="Palatino Linotype" w:eastAsia="SimSun" w:hAnsi="Palatino Linotype" w:cs="Times New Roman"/>
          <w:color w:val="000000"/>
          <w:sz w:val="18"/>
          <w:szCs w:val="20"/>
          <w:lang w:val="en-US" w:eastAsia="zh-CN"/>
        </w:rPr>
        <w:t>, doi:10.1111/j.1865-1682.2009.01072.x.</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Daffé</w:t>
      </w:r>
      <w:proofErr w:type="spellEnd"/>
      <w:r w:rsidRPr="005C3D3A">
        <w:rPr>
          <w:rFonts w:ascii="Palatino Linotype" w:eastAsia="SimSun" w:hAnsi="Palatino Linotype" w:cs="Times New Roman"/>
          <w:color w:val="000000"/>
          <w:sz w:val="18"/>
          <w:szCs w:val="20"/>
          <w:lang w:val="en-US" w:eastAsia="zh-CN"/>
        </w:rPr>
        <w:t>, M.; Crick, D.C.; Jackson, M. Genetics of Capsular Polysaccharides and Cell Envelope (</w:t>
      </w:r>
      <w:proofErr w:type="spellStart"/>
      <w:r w:rsidRPr="005C3D3A">
        <w:rPr>
          <w:rFonts w:ascii="Palatino Linotype" w:eastAsia="SimSun" w:hAnsi="Palatino Linotype" w:cs="Times New Roman"/>
          <w:color w:val="000000"/>
          <w:sz w:val="18"/>
          <w:szCs w:val="20"/>
          <w:lang w:val="en-US" w:eastAsia="zh-CN"/>
        </w:rPr>
        <w:t>Glyco</w:t>
      </w:r>
      <w:proofErr w:type="spellEnd"/>
      <w:r w:rsidRPr="005C3D3A">
        <w:rPr>
          <w:rFonts w:ascii="Palatino Linotype" w:eastAsia="SimSun" w:hAnsi="Palatino Linotype" w:cs="Times New Roman"/>
          <w:color w:val="000000"/>
          <w:sz w:val="18"/>
          <w:szCs w:val="20"/>
          <w:lang w:val="en-US" w:eastAsia="zh-CN"/>
        </w:rPr>
        <w:t xml:space="preserve">)lipids. </w:t>
      </w:r>
      <w:r w:rsidRPr="005C3D3A">
        <w:rPr>
          <w:rFonts w:ascii="Palatino Linotype" w:eastAsia="SimSun" w:hAnsi="Palatino Linotype" w:cs="Times New Roman"/>
          <w:i/>
          <w:iCs/>
          <w:color w:val="000000"/>
          <w:sz w:val="18"/>
          <w:szCs w:val="20"/>
          <w:lang w:val="en-US" w:eastAsia="zh-CN"/>
        </w:rPr>
        <w:t xml:space="preserve">Microbiol. </w:t>
      </w:r>
      <w:proofErr w:type="spellStart"/>
      <w:r w:rsidRPr="005C3D3A">
        <w:rPr>
          <w:rFonts w:ascii="Palatino Linotype" w:eastAsia="SimSun" w:hAnsi="Palatino Linotype" w:cs="Times New Roman"/>
          <w:i/>
          <w:iCs/>
          <w:color w:val="000000"/>
          <w:sz w:val="18"/>
          <w:szCs w:val="20"/>
          <w:lang w:val="en-US" w:eastAsia="zh-CN"/>
        </w:rPr>
        <w:t>Spectr</w:t>
      </w:r>
      <w:proofErr w:type="spellEnd"/>
      <w:r w:rsidRPr="005C3D3A">
        <w:rPr>
          <w:rFonts w:ascii="Palatino Linotype" w:eastAsia="SimSun" w:hAnsi="Palatino Linotype" w:cs="Times New Roman"/>
          <w:i/>
          <w:iCs/>
          <w:color w:val="000000"/>
          <w:sz w:val="18"/>
          <w:szCs w:val="20"/>
          <w:lang w:val="en-US" w:eastAsia="zh-CN"/>
        </w:rPr>
        <w: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2014</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2</w:t>
      </w:r>
      <w:r w:rsidRPr="005C3D3A">
        <w:rPr>
          <w:rFonts w:ascii="Palatino Linotype" w:eastAsia="SimSun" w:hAnsi="Palatino Linotype" w:cs="Times New Roman"/>
          <w:color w:val="000000"/>
          <w:sz w:val="18"/>
          <w:szCs w:val="20"/>
          <w:lang w:val="en-US" w:eastAsia="zh-CN"/>
        </w:rPr>
        <w:t>, MGM2-0021-2013, doi:10.1128/microbiolspec.MGM2-0021-2013.</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Lin, Y.; Zhang, M.; Barnes, P.F. Chemokine production by a human alveolar epithelial cell line in response to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Infect. Immun.</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1998</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66</w:t>
      </w:r>
      <w:r w:rsidRPr="005C3D3A">
        <w:rPr>
          <w:rFonts w:ascii="Palatino Linotype" w:eastAsia="SimSun" w:hAnsi="Palatino Linotype" w:cs="Times New Roman"/>
          <w:bCs/>
          <w:color w:val="000000"/>
          <w:sz w:val="18"/>
          <w:szCs w:val="20"/>
          <w:lang w:val="en-US" w:eastAsia="zh-CN"/>
        </w:rPr>
        <w:t>, 1121–1126.</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lastRenderedPageBreak/>
        <w:t>Theus</w:t>
      </w:r>
      <w:proofErr w:type="spellEnd"/>
      <w:r w:rsidRPr="005C3D3A">
        <w:rPr>
          <w:rFonts w:ascii="Palatino Linotype" w:eastAsia="SimSun" w:hAnsi="Palatino Linotype" w:cs="Times New Roman"/>
          <w:color w:val="000000"/>
          <w:sz w:val="18"/>
          <w:szCs w:val="20"/>
          <w:lang w:val="en-US" w:eastAsia="zh-CN"/>
        </w:rPr>
        <w:t xml:space="preserve">, S.A.; Cave, M.D.; Eisenach, K.D. Intracellular Macrophage Growth Rates and Cytokine Profiles of </w:t>
      </w:r>
      <w:r w:rsidRPr="005C3D3A">
        <w:rPr>
          <w:rFonts w:ascii="Palatino Linotype" w:eastAsia="SimSun" w:hAnsi="Palatino Linotype" w:cs="Times New Roman"/>
          <w:i/>
          <w:iCs/>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Strains with Different Transmission Dynamics. </w:t>
      </w:r>
      <w:r w:rsidRPr="005C3D3A">
        <w:rPr>
          <w:rFonts w:ascii="Palatino Linotype" w:eastAsia="SimSun" w:hAnsi="Palatino Linotype" w:cs="Times New Roman"/>
          <w:i/>
          <w:iCs/>
          <w:color w:val="000000"/>
          <w:sz w:val="18"/>
          <w:szCs w:val="20"/>
          <w:lang w:val="en-US" w:eastAsia="zh-CN"/>
        </w:rPr>
        <w:t>J. Infect. Dis.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2005</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191</w:t>
      </w:r>
      <w:r w:rsidRPr="005C3D3A">
        <w:rPr>
          <w:rFonts w:ascii="Palatino Linotype" w:eastAsia="SimSun" w:hAnsi="Palatino Linotype" w:cs="Times New Roman"/>
          <w:bCs/>
          <w:color w:val="000000"/>
          <w:sz w:val="18"/>
          <w:szCs w:val="20"/>
          <w:lang w:val="en-US" w:eastAsia="zh-CN"/>
        </w:rPr>
        <w:t>, 453–460</w:t>
      </w:r>
      <w:r w:rsidRPr="005C3D3A">
        <w:rPr>
          <w:rFonts w:ascii="Palatino Linotype" w:eastAsia="SimSun" w:hAnsi="Palatino Linotype" w:cs="Times New Roman"/>
          <w:color w:val="000000"/>
          <w:sz w:val="18"/>
          <w:szCs w:val="20"/>
          <w:lang w:val="en-US" w:eastAsia="zh-CN"/>
        </w:rPr>
        <w:t>, doi:10.1086/425936.</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Mvubu</w:t>
      </w:r>
      <w:proofErr w:type="spellEnd"/>
      <w:r w:rsidRPr="005C3D3A">
        <w:rPr>
          <w:rFonts w:ascii="Palatino Linotype" w:eastAsia="SimSun" w:hAnsi="Palatino Linotype" w:cs="Times New Roman"/>
          <w:color w:val="000000"/>
          <w:sz w:val="18"/>
          <w:szCs w:val="20"/>
          <w:lang w:val="en-US" w:eastAsia="zh-CN"/>
        </w:rPr>
        <w:t xml:space="preserve">, N.E.; Pillay, B.; McKinnon, L.R.; Pillay, M.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strains induce strain-specific cytokine and chemokine response in pulmonary epithelial cells. </w:t>
      </w:r>
      <w:r w:rsidRPr="005C3D3A">
        <w:rPr>
          <w:rFonts w:ascii="Palatino Linotype" w:eastAsia="SimSun" w:hAnsi="Palatino Linotype" w:cs="Times New Roman"/>
          <w:i/>
          <w:iCs/>
          <w:color w:val="000000"/>
          <w:sz w:val="18"/>
          <w:szCs w:val="20"/>
          <w:lang w:val="en-US" w:eastAsia="zh-CN"/>
        </w:rPr>
        <w:t>Cytokine</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2018</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104</w:t>
      </w:r>
      <w:r w:rsidRPr="005C3D3A">
        <w:rPr>
          <w:rFonts w:ascii="Palatino Linotype" w:eastAsia="SimSun" w:hAnsi="Palatino Linotype" w:cs="Times New Roman"/>
          <w:bCs/>
          <w:color w:val="000000"/>
          <w:sz w:val="18"/>
          <w:szCs w:val="20"/>
          <w:lang w:val="en-US" w:eastAsia="zh-CN"/>
        </w:rPr>
        <w:t>, 53–64</w:t>
      </w:r>
      <w:r w:rsidRPr="005C3D3A">
        <w:rPr>
          <w:rFonts w:ascii="Palatino Linotype" w:eastAsia="SimSun" w:hAnsi="Palatino Linotype" w:cs="Times New Roman"/>
          <w:color w:val="000000"/>
          <w:sz w:val="18"/>
          <w:szCs w:val="20"/>
          <w:lang w:val="en-US" w:eastAsia="zh-CN"/>
        </w:rPr>
        <w:t>, doi:10.1016/j.cyto.2017.09.027.</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Mourik</w:t>
      </w:r>
      <w:proofErr w:type="spellEnd"/>
      <w:r w:rsidRPr="005C3D3A">
        <w:rPr>
          <w:rFonts w:ascii="Palatino Linotype" w:eastAsia="SimSun" w:hAnsi="Palatino Linotype" w:cs="Times New Roman"/>
          <w:color w:val="000000"/>
          <w:sz w:val="18"/>
          <w:szCs w:val="20"/>
          <w:lang w:val="en-US" w:eastAsia="zh-CN"/>
        </w:rPr>
        <w:t xml:space="preserve">, B.C.; de </w:t>
      </w:r>
      <w:proofErr w:type="spellStart"/>
      <w:r w:rsidRPr="005C3D3A">
        <w:rPr>
          <w:rFonts w:ascii="Palatino Linotype" w:eastAsia="SimSun" w:hAnsi="Palatino Linotype" w:cs="Times New Roman"/>
          <w:color w:val="000000"/>
          <w:sz w:val="18"/>
          <w:szCs w:val="20"/>
          <w:lang w:val="en-US" w:eastAsia="zh-CN"/>
        </w:rPr>
        <w:t>Steenwinkel</w:t>
      </w:r>
      <w:proofErr w:type="spellEnd"/>
      <w:r w:rsidRPr="005C3D3A">
        <w:rPr>
          <w:rFonts w:ascii="Palatino Linotype" w:eastAsia="SimSun" w:hAnsi="Palatino Linotype" w:cs="Times New Roman"/>
          <w:color w:val="000000"/>
          <w:sz w:val="18"/>
          <w:szCs w:val="20"/>
          <w:lang w:val="en-US" w:eastAsia="zh-CN"/>
        </w:rPr>
        <w:t xml:space="preserve">, J.E.M.; de Knegt, G.J.; Huizinga, R.; </w:t>
      </w:r>
      <w:proofErr w:type="spellStart"/>
      <w:r w:rsidRPr="005C3D3A">
        <w:rPr>
          <w:rFonts w:ascii="Palatino Linotype" w:eastAsia="SimSun" w:hAnsi="Palatino Linotype" w:cs="Times New Roman"/>
          <w:color w:val="000000"/>
          <w:sz w:val="18"/>
          <w:szCs w:val="20"/>
          <w:lang w:val="en-US" w:eastAsia="zh-CN"/>
        </w:rPr>
        <w:t>Verbon</w:t>
      </w:r>
      <w:proofErr w:type="spellEnd"/>
      <w:r w:rsidRPr="005C3D3A">
        <w:rPr>
          <w:rFonts w:ascii="Palatino Linotype" w:eastAsia="SimSun" w:hAnsi="Palatino Linotype" w:cs="Times New Roman"/>
          <w:color w:val="000000"/>
          <w:sz w:val="18"/>
          <w:szCs w:val="20"/>
          <w:lang w:val="en-US" w:eastAsia="zh-CN"/>
        </w:rPr>
        <w:t xml:space="preserve">, A.; </w:t>
      </w:r>
      <w:proofErr w:type="spellStart"/>
      <w:r w:rsidRPr="005C3D3A">
        <w:rPr>
          <w:rFonts w:ascii="Palatino Linotype" w:eastAsia="SimSun" w:hAnsi="Palatino Linotype" w:cs="Times New Roman"/>
          <w:color w:val="000000"/>
          <w:sz w:val="18"/>
          <w:szCs w:val="20"/>
          <w:lang w:val="en-US" w:eastAsia="zh-CN"/>
        </w:rPr>
        <w:t>Ottenhoff</w:t>
      </w:r>
      <w:proofErr w:type="spellEnd"/>
      <w:r w:rsidRPr="005C3D3A">
        <w:rPr>
          <w:rFonts w:ascii="Palatino Linotype" w:eastAsia="SimSun" w:hAnsi="Palatino Linotype" w:cs="Times New Roman"/>
          <w:color w:val="000000"/>
          <w:sz w:val="18"/>
          <w:szCs w:val="20"/>
          <w:lang w:val="en-US" w:eastAsia="zh-CN"/>
        </w:rPr>
        <w:t xml:space="preserve">, T.H.M.; van </w:t>
      </w:r>
      <w:proofErr w:type="spellStart"/>
      <w:r w:rsidRPr="005C3D3A">
        <w:rPr>
          <w:rFonts w:ascii="Palatino Linotype" w:eastAsia="SimSun" w:hAnsi="Palatino Linotype" w:cs="Times New Roman"/>
          <w:color w:val="000000"/>
          <w:sz w:val="18"/>
          <w:szCs w:val="20"/>
          <w:lang w:val="en-US" w:eastAsia="zh-CN"/>
        </w:rPr>
        <w:t>Soolingen</w:t>
      </w:r>
      <w:proofErr w:type="spellEnd"/>
      <w:r w:rsidRPr="005C3D3A">
        <w:rPr>
          <w:rFonts w:ascii="Palatino Linotype" w:eastAsia="SimSun" w:hAnsi="Palatino Linotype" w:cs="Times New Roman"/>
          <w:color w:val="000000"/>
          <w:sz w:val="18"/>
          <w:szCs w:val="20"/>
          <w:lang w:val="en-US" w:eastAsia="zh-CN"/>
        </w:rPr>
        <w:t xml:space="preserve">, D.; </w:t>
      </w:r>
      <w:proofErr w:type="spellStart"/>
      <w:r w:rsidRPr="005C3D3A">
        <w:rPr>
          <w:rFonts w:ascii="Palatino Linotype" w:eastAsia="SimSun" w:hAnsi="Palatino Linotype" w:cs="Times New Roman"/>
          <w:color w:val="000000"/>
          <w:sz w:val="18"/>
          <w:szCs w:val="20"/>
          <w:lang w:val="en-US" w:eastAsia="zh-CN"/>
        </w:rPr>
        <w:t>Leenen</w:t>
      </w:r>
      <w:proofErr w:type="spellEnd"/>
      <w:r w:rsidRPr="005C3D3A">
        <w:rPr>
          <w:rFonts w:ascii="Palatino Linotype" w:eastAsia="SimSun" w:hAnsi="Palatino Linotype" w:cs="Times New Roman"/>
          <w:color w:val="000000"/>
          <w:sz w:val="18"/>
          <w:szCs w:val="20"/>
          <w:lang w:val="en-US" w:eastAsia="zh-CN"/>
        </w:rPr>
        <w:t xml:space="preserve">, P.J.M.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clinical isolates of the Beijing and East-African Indian lineage induce fundamentally different host responses in mice compared to H37Rv. </w:t>
      </w:r>
      <w:r w:rsidRPr="005C3D3A">
        <w:rPr>
          <w:rFonts w:ascii="Palatino Linotype" w:eastAsia="SimSun" w:hAnsi="Palatino Linotype" w:cs="Times New Roman"/>
          <w:i/>
          <w:iCs/>
          <w:color w:val="000000"/>
          <w:sz w:val="18"/>
          <w:szCs w:val="20"/>
          <w:lang w:val="en-US" w:eastAsia="zh-CN"/>
        </w:rPr>
        <w:t>Sci. Rep.</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2019</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9</w:t>
      </w:r>
      <w:r w:rsidRPr="005C3D3A">
        <w:rPr>
          <w:rFonts w:ascii="Palatino Linotype" w:eastAsia="SimSun" w:hAnsi="Palatino Linotype" w:cs="Times New Roman"/>
          <w:bCs/>
          <w:color w:val="000000"/>
          <w:sz w:val="18"/>
          <w:szCs w:val="20"/>
          <w:lang w:val="en-US" w:eastAsia="zh-CN"/>
        </w:rPr>
        <w:t>, 19922</w:t>
      </w:r>
      <w:r w:rsidRPr="005C3D3A">
        <w:rPr>
          <w:rFonts w:ascii="Palatino Linotype" w:eastAsia="SimSun" w:hAnsi="Palatino Linotype" w:cs="Times New Roman"/>
          <w:color w:val="000000"/>
          <w:sz w:val="18"/>
          <w:szCs w:val="20"/>
          <w:lang w:val="en-US" w:eastAsia="zh-CN"/>
        </w:rPr>
        <w:t>, doi:10.1038/s41598-019-56300-6.</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Manca</w:t>
      </w:r>
      <w:proofErr w:type="spellEnd"/>
      <w:r w:rsidRPr="005C3D3A">
        <w:rPr>
          <w:rFonts w:ascii="Palatino Linotype" w:eastAsia="SimSun" w:hAnsi="Palatino Linotype" w:cs="Times New Roman"/>
          <w:color w:val="000000"/>
          <w:sz w:val="18"/>
          <w:szCs w:val="20"/>
          <w:lang w:val="en-US" w:eastAsia="zh-CN"/>
        </w:rPr>
        <w:t xml:space="preserve">, C.; Reed, M.B.; Freeman, S.; </w:t>
      </w:r>
      <w:proofErr w:type="spellStart"/>
      <w:r w:rsidRPr="005C3D3A">
        <w:rPr>
          <w:rFonts w:ascii="Palatino Linotype" w:eastAsia="SimSun" w:hAnsi="Palatino Linotype" w:cs="Times New Roman"/>
          <w:color w:val="000000"/>
          <w:sz w:val="18"/>
          <w:szCs w:val="20"/>
          <w:lang w:val="en-US" w:eastAsia="zh-CN"/>
        </w:rPr>
        <w:t>Mathema</w:t>
      </w:r>
      <w:proofErr w:type="spellEnd"/>
      <w:r w:rsidRPr="005C3D3A">
        <w:rPr>
          <w:rFonts w:ascii="Palatino Linotype" w:eastAsia="SimSun" w:hAnsi="Palatino Linotype" w:cs="Times New Roman"/>
          <w:color w:val="000000"/>
          <w:sz w:val="18"/>
          <w:szCs w:val="20"/>
          <w:lang w:val="en-US" w:eastAsia="zh-CN"/>
        </w:rPr>
        <w:t xml:space="preserve">, B.; </w:t>
      </w:r>
      <w:proofErr w:type="spellStart"/>
      <w:r w:rsidRPr="005C3D3A">
        <w:rPr>
          <w:rFonts w:ascii="Palatino Linotype" w:eastAsia="SimSun" w:hAnsi="Palatino Linotype" w:cs="Times New Roman"/>
          <w:color w:val="000000"/>
          <w:sz w:val="18"/>
          <w:szCs w:val="20"/>
          <w:lang w:val="en-US" w:eastAsia="zh-CN"/>
        </w:rPr>
        <w:t>Kreiswirth</w:t>
      </w:r>
      <w:proofErr w:type="spellEnd"/>
      <w:r w:rsidRPr="005C3D3A">
        <w:rPr>
          <w:rFonts w:ascii="Palatino Linotype" w:eastAsia="SimSun" w:hAnsi="Palatino Linotype" w:cs="Times New Roman"/>
          <w:color w:val="000000"/>
          <w:sz w:val="18"/>
          <w:szCs w:val="20"/>
          <w:lang w:val="en-US" w:eastAsia="zh-CN"/>
        </w:rPr>
        <w:t xml:space="preserve">, B.; Barry, C.E.; Kaplan, G. Differential monocyte activation underlies strain-specific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pathogenesis. </w:t>
      </w:r>
      <w:r w:rsidRPr="005C3D3A">
        <w:rPr>
          <w:rFonts w:ascii="Palatino Linotype" w:eastAsia="SimSun" w:hAnsi="Palatino Linotype" w:cs="Times New Roman"/>
          <w:i/>
          <w:iCs/>
          <w:color w:val="000000"/>
          <w:sz w:val="18"/>
          <w:szCs w:val="20"/>
          <w:lang w:val="en-US" w:eastAsia="zh-CN"/>
        </w:rPr>
        <w:t>Infect. Immun.</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72</w:t>
      </w:r>
      <w:r w:rsidRPr="005C3D3A">
        <w:rPr>
          <w:rFonts w:ascii="Palatino Linotype" w:eastAsia="SimSun" w:hAnsi="Palatino Linotype" w:cs="Times New Roman"/>
          <w:bCs/>
          <w:color w:val="000000"/>
          <w:sz w:val="18"/>
          <w:szCs w:val="20"/>
          <w:lang w:val="en-US" w:eastAsia="zh-CN"/>
        </w:rPr>
        <w:t>, 5511–5514,</w:t>
      </w:r>
      <w:r w:rsidRPr="005C3D3A">
        <w:rPr>
          <w:rFonts w:ascii="Palatino Linotype" w:eastAsia="SimSun" w:hAnsi="Palatino Linotype" w:cs="Times New Roman"/>
          <w:color w:val="000000"/>
          <w:sz w:val="18"/>
          <w:szCs w:val="20"/>
          <w:lang w:val="en-US" w:eastAsia="zh-CN"/>
        </w:rPr>
        <w:t xml:space="preserve"> doi:10.1128/IAI.72.9.5511-5514.2004.</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Reed, M.B.; Domenech, P.; </w:t>
      </w:r>
      <w:proofErr w:type="spellStart"/>
      <w:r w:rsidRPr="005C3D3A">
        <w:rPr>
          <w:rFonts w:ascii="Palatino Linotype" w:eastAsia="SimSun" w:hAnsi="Palatino Linotype" w:cs="Times New Roman"/>
          <w:color w:val="000000"/>
          <w:sz w:val="18"/>
          <w:szCs w:val="20"/>
          <w:lang w:val="en-US" w:eastAsia="zh-CN"/>
        </w:rPr>
        <w:t>Manca</w:t>
      </w:r>
      <w:proofErr w:type="spellEnd"/>
      <w:r w:rsidRPr="005C3D3A">
        <w:rPr>
          <w:rFonts w:ascii="Palatino Linotype" w:eastAsia="SimSun" w:hAnsi="Palatino Linotype" w:cs="Times New Roman"/>
          <w:color w:val="000000"/>
          <w:sz w:val="18"/>
          <w:szCs w:val="20"/>
          <w:lang w:val="en-US" w:eastAsia="zh-CN"/>
        </w:rPr>
        <w:t xml:space="preserve">, C.; </w:t>
      </w:r>
      <w:proofErr w:type="spellStart"/>
      <w:r w:rsidRPr="005C3D3A">
        <w:rPr>
          <w:rFonts w:ascii="Palatino Linotype" w:eastAsia="SimSun" w:hAnsi="Palatino Linotype" w:cs="Times New Roman"/>
          <w:color w:val="000000"/>
          <w:sz w:val="18"/>
          <w:szCs w:val="20"/>
          <w:lang w:val="en-US" w:eastAsia="zh-CN"/>
        </w:rPr>
        <w:t>Su</w:t>
      </w:r>
      <w:proofErr w:type="spellEnd"/>
      <w:r w:rsidRPr="005C3D3A">
        <w:rPr>
          <w:rFonts w:ascii="Palatino Linotype" w:eastAsia="SimSun" w:hAnsi="Palatino Linotype" w:cs="Times New Roman"/>
          <w:color w:val="000000"/>
          <w:sz w:val="18"/>
          <w:szCs w:val="20"/>
          <w:lang w:val="en-US" w:eastAsia="zh-CN"/>
        </w:rPr>
        <w:t xml:space="preserve">, H.; </w:t>
      </w:r>
      <w:proofErr w:type="spellStart"/>
      <w:r w:rsidRPr="005C3D3A">
        <w:rPr>
          <w:rFonts w:ascii="Palatino Linotype" w:eastAsia="SimSun" w:hAnsi="Palatino Linotype" w:cs="Times New Roman"/>
          <w:color w:val="000000"/>
          <w:sz w:val="18"/>
          <w:szCs w:val="20"/>
          <w:lang w:val="en-US" w:eastAsia="zh-CN"/>
        </w:rPr>
        <w:t>Barczak</w:t>
      </w:r>
      <w:proofErr w:type="spellEnd"/>
      <w:r w:rsidRPr="005C3D3A">
        <w:rPr>
          <w:rFonts w:ascii="Palatino Linotype" w:eastAsia="SimSun" w:hAnsi="Palatino Linotype" w:cs="Times New Roman"/>
          <w:color w:val="000000"/>
          <w:sz w:val="18"/>
          <w:szCs w:val="20"/>
          <w:lang w:val="en-US" w:eastAsia="zh-CN"/>
        </w:rPr>
        <w:t xml:space="preserve">, A.K.; </w:t>
      </w:r>
      <w:proofErr w:type="spellStart"/>
      <w:r w:rsidRPr="005C3D3A">
        <w:rPr>
          <w:rFonts w:ascii="Palatino Linotype" w:eastAsia="SimSun" w:hAnsi="Palatino Linotype" w:cs="Times New Roman"/>
          <w:color w:val="000000"/>
          <w:sz w:val="18"/>
          <w:szCs w:val="20"/>
          <w:lang w:val="en-US" w:eastAsia="zh-CN"/>
        </w:rPr>
        <w:t>Kreiswirth</w:t>
      </w:r>
      <w:proofErr w:type="spellEnd"/>
      <w:r w:rsidRPr="005C3D3A">
        <w:rPr>
          <w:rFonts w:ascii="Palatino Linotype" w:eastAsia="SimSun" w:hAnsi="Palatino Linotype" w:cs="Times New Roman"/>
          <w:color w:val="000000"/>
          <w:sz w:val="18"/>
          <w:szCs w:val="20"/>
          <w:lang w:val="en-US" w:eastAsia="zh-CN"/>
        </w:rPr>
        <w:t xml:space="preserve">, B.N.; Kaplan, G.; Barry, C.E. A glycolipid of hypervirulent tuberculosis strains that inhibits the innate immune response. </w:t>
      </w:r>
      <w:r w:rsidRPr="005C3D3A">
        <w:rPr>
          <w:rFonts w:ascii="Palatino Linotype" w:eastAsia="SimSun" w:hAnsi="Palatino Linotype" w:cs="Times New Roman"/>
          <w:i/>
          <w:iCs/>
          <w:color w:val="000000"/>
          <w:sz w:val="18"/>
          <w:szCs w:val="20"/>
          <w:lang w:val="en-US" w:eastAsia="zh-CN"/>
        </w:rPr>
        <w:t>Nature</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431</w:t>
      </w:r>
      <w:r w:rsidRPr="005C3D3A">
        <w:rPr>
          <w:rFonts w:ascii="Palatino Linotype" w:eastAsia="SimSun" w:hAnsi="Palatino Linotype" w:cs="Times New Roman"/>
          <w:bCs/>
          <w:color w:val="000000"/>
          <w:sz w:val="18"/>
          <w:szCs w:val="20"/>
          <w:lang w:val="en-US" w:eastAsia="zh-CN"/>
        </w:rPr>
        <w:t>, 84–87,</w:t>
      </w:r>
      <w:r w:rsidRPr="005C3D3A">
        <w:rPr>
          <w:rFonts w:ascii="Palatino Linotype" w:eastAsia="SimSun" w:hAnsi="Palatino Linotype" w:cs="Times New Roman"/>
          <w:color w:val="000000"/>
          <w:sz w:val="18"/>
          <w:szCs w:val="20"/>
          <w:lang w:val="en-US" w:eastAsia="zh-CN"/>
        </w:rPr>
        <w:t xml:space="preserve"> doi:10.1038/nature02837.</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Tsenova</w:t>
      </w:r>
      <w:proofErr w:type="spellEnd"/>
      <w:r w:rsidRPr="005C3D3A">
        <w:rPr>
          <w:rFonts w:ascii="Palatino Linotype" w:eastAsia="SimSun" w:hAnsi="Palatino Linotype" w:cs="Times New Roman"/>
          <w:color w:val="000000"/>
          <w:sz w:val="18"/>
          <w:szCs w:val="20"/>
          <w:lang w:val="en-US" w:eastAsia="zh-CN"/>
        </w:rPr>
        <w:t xml:space="preserve">, L.; Ellison, E.; </w:t>
      </w:r>
      <w:proofErr w:type="spellStart"/>
      <w:r w:rsidRPr="005C3D3A">
        <w:rPr>
          <w:rFonts w:ascii="Palatino Linotype" w:eastAsia="SimSun" w:hAnsi="Palatino Linotype" w:cs="Times New Roman"/>
          <w:color w:val="000000"/>
          <w:sz w:val="18"/>
          <w:szCs w:val="20"/>
          <w:lang w:val="en-US" w:eastAsia="zh-CN"/>
        </w:rPr>
        <w:t>Harbacheuski</w:t>
      </w:r>
      <w:proofErr w:type="spellEnd"/>
      <w:r w:rsidRPr="005C3D3A">
        <w:rPr>
          <w:rFonts w:ascii="Palatino Linotype" w:eastAsia="SimSun" w:hAnsi="Palatino Linotype" w:cs="Times New Roman"/>
          <w:color w:val="000000"/>
          <w:sz w:val="18"/>
          <w:szCs w:val="20"/>
          <w:lang w:val="en-US" w:eastAsia="zh-CN"/>
        </w:rPr>
        <w:t xml:space="preserve">, R.; Moreira, A.L.; </w:t>
      </w:r>
      <w:proofErr w:type="spellStart"/>
      <w:r w:rsidRPr="005C3D3A">
        <w:rPr>
          <w:rFonts w:ascii="Palatino Linotype" w:eastAsia="SimSun" w:hAnsi="Palatino Linotype" w:cs="Times New Roman"/>
          <w:color w:val="000000"/>
          <w:sz w:val="18"/>
          <w:szCs w:val="20"/>
          <w:lang w:val="en-US" w:eastAsia="zh-CN"/>
        </w:rPr>
        <w:t>Kurepina</w:t>
      </w:r>
      <w:proofErr w:type="spellEnd"/>
      <w:r w:rsidRPr="005C3D3A">
        <w:rPr>
          <w:rFonts w:ascii="Palatino Linotype" w:eastAsia="SimSun" w:hAnsi="Palatino Linotype" w:cs="Times New Roman"/>
          <w:color w:val="000000"/>
          <w:sz w:val="18"/>
          <w:szCs w:val="20"/>
          <w:lang w:val="en-US" w:eastAsia="zh-CN"/>
        </w:rPr>
        <w:t xml:space="preserve">, N.; Reed, M.B.; </w:t>
      </w:r>
      <w:proofErr w:type="spellStart"/>
      <w:r w:rsidRPr="005C3D3A">
        <w:rPr>
          <w:rFonts w:ascii="Palatino Linotype" w:eastAsia="SimSun" w:hAnsi="Palatino Linotype" w:cs="Times New Roman"/>
          <w:color w:val="000000"/>
          <w:sz w:val="18"/>
          <w:szCs w:val="20"/>
          <w:lang w:val="en-US" w:eastAsia="zh-CN"/>
        </w:rPr>
        <w:t>Mathema</w:t>
      </w:r>
      <w:proofErr w:type="spellEnd"/>
      <w:r w:rsidRPr="005C3D3A">
        <w:rPr>
          <w:rFonts w:ascii="Palatino Linotype" w:eastAsia="SimSun" w:hAnsi="Palatino Linotype" w:cs="Times New Roman"/>
          <w:color w:val="000000"/>
          <w:sz w:val="18"/>
          <w:szCs w:val="20"/>
          <w:lang w:val="en-US" w:eastAsia="zh-CN"/>
        </w:rPr>
        <w:t xml:space="preserve">, B.; Barry, C.E.; Kaplan, G. Virulence of selected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clinical isolates in the rabbit model of meningitis is dependent on phenolic glycolipid produced by the bacilli. </w:t>
      </w:r>
      <w:r w:rsidRPr="005C3D3A">
        <w:rPr>
          <w:rFonts w:ascii="Palatino Linotype" w:eastAsia="SimSun" w:hAnsi="Palatino Linotype" w:cs="Times New Roman"/>
          <w:i/>
          <w:iCs/>
          <w:color w:val="000000"/>
          <w:sz w:val="18"/>
          <w:szCs w:val="20"/>
          <w:lang w:val="en-US" w:eastAsia="zh-CN"/>
        </w:rPr>
        <w:t>J. Infect. Dis.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2005</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192</w:t>
      </w:r>
      <w:r w:rsidRPr="005C3D3A">
        <w:rPr>
          <w:rFonts w:ascii="Palatino Linotype" w:eastAsia="SimSun" w:hAnsi="Palatino Linotype" w:cs="Times New Roman"/>
          <w:bCs/>
          <w:color w:val="000000"/>
          <w:sz w:val="18"/>
          <w:szCs w:val="20"/>
          <w:lang w:val="en-US" w:eastAsia="zh-CN"/>
        </w:rPr>
        <w:t>, 98–106</w:t>
      </w:r>
      <w:r w:rsidRPr="005C3D3A">
        <w:rPr>
          <w:rFonts w:ascii="Palatino Linotype" w:eastAsia="SimSun" w:hAnsi="Palatino Linotype" w:cs="Times New Roman"/>
          <w:color w:val="000000"/>
          <w:sz w:val="18"/>
          <w:szCs w:val="20"/>
          <w:lang w:val="en-US" w:eastAsia="zh-CN"/>
        </w:rPr>
        <w:t>, doi:10.1086/430614.</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Theus</w:t>
      </w:r>
      <w:proofErr w:type="spellEnd"/>
      <w:r w:rsidRPr="005C3D3A">
        <w:rPr>
          <w:rFonts w:ascii="Palatino Linotype" w:eastAsia="SimSun" w:hAnsi="Palatino Linotype" w:cs="Times New Roman"/>
          <w:color w:val="000000"/>
          <w:sz w:val="18"/>
          <w:szCs w:val="20"/>
          <w:lang w:val="en-US" w:eastAsia="zh-CN"/>
        </w:rPr>
        <w:t xml:space="preserve">, S.; Eisenach, K.; </w:t>
      </w:r>
      <w:proofErr w:type="spellStart"/>
      <w:r w:rsidRPr="005C3D3A">
        <w:rPr>
          <w:rFonts w:ascii="Palatino Linotype" w:eastAsia="SimSun" w:hAnsi="Palatino Linotype" w:cs="Times New Roman"/>
          <w:color w:val="000000"/>
          <w:sz w:val="18"/>
          <w:szCs w:val="20"/>
          <w:lang w:val="en-US" w:eastAsia="zh-CN"/>
        </w:rPr>
        <w:t>Fomukong</w:t>
      </w:r>
      <w:proofErr w:type="spellEnd"/>
      <w:r w:rsidRPr="005C3D3A">
        <w:rPr>
          <w:rFonts w:ascii="Palatino Linotype" w:eastAsia="SimSun" w:hAnsi="Palatino Linotype" w:cs="Times New Roman"/>
          <w:color w:val="000000"/>
          <w:sz w:val="18"/>
          <w:szCs w:val="20"/>
          <w:lang w:val="en-US" w:eastAsia="zh-CN"/>
        </w:rPr>
        <w:t xml:space="preserve">, N.; Silver, R.F.; Cave, M.D. Beijing family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strains differ in their intracellular growth in THP-1 macrophages. </w:t>
      </w:r>
      <w:r w:rsidRPr="005C3D3A">
        <w:rPr>
          <w:rFonts w:ascii="Palatino Linotype" w:eastAsia="SimSun" w:hAnsi="Palatino Linotype" w:cs="Times New Roman"/>
          <w:i/>
          <w:iCs/>
          <w:color w:val="000000"/>
          <w:sz w:val="18"/>
          <w:szCs w:val="20"/>
          <w:lang w:val="en-US" w:eastAsia="zh-CN"/>
        </w:rPr>
        <w:t xml:space="preserve">Int. J. </w:t>
      </w:r>
      <w:proofErr w:type="spellStart"/>
      <w:r w:rsidRPr="005C3D3A">
        <w:rPr>
          <w:rFonts w:ascii="Palatino Linotype" w:eastAsia="SimSun" w:hAnsi="Palatino Linotype" w:cs="Times New Roman"/>
          <w:i/>
          <w:iCs/>
          <w:color w:val="000000"/>
          <w:sz w:val="18"/>
          <w:szCs w:val="20"/>
          <w:lang w:val="en-US" w:eastAsia="zh-CN"/>
        </w:rPr>
        <w:t>Tuberc</w:t>
      </w:r>
      <w:proofErr w:type="spellEnd"/>
      <w:r w:rsidRPr="005C3D3A">
        <w:rPr>
          <w:rFonts w:ascii="Palatino Linotype" w:eastAsia="SimSun" w:hAnsi="Palatino Linotype" w:cs="Times New Roman"/>
          <w:i/>
          <w:iCs/>
          <w:color w:val="000000"/>
          <w:sz w:val="18"/>
          <w:szCs w:val="20"/>
          <w:lang w:val="en-US" w:eastAsia="zh-CN"/>
        </w:rPr>
        <w:t>. Lung Dis.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2007</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11</w:t>
      </w:r>
      <w:r w:rsidRPr="005C3D3A">
        <w:rPr>
          <w:rFonts w:ascii="Palatino Linotype" w:eastAsia="SimSun" w:hAnsi="Palatino Linotype" w:cs="Times New Roman"/>
          <w:bCs/>
          <w:color w:val="000000"/>
          <w:sz w:val="18"/>
          <w:szCs w:val="20"/>
          <w:lang w:val="en-US" w:eastAsia="zh-CN"/>
        </w:rPr>
        <w:t>, 1087–1093.</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Akbarzadeh</w:t>
      </w:r>
      <w:proofErr w:type="spellEnd"/>
      <w:r w:rsidRPr="005C3D3A">
        <w:rPr>
          <w:rFonts w:ascii="Palatino Linotype" w:eastAsia="SimSun" w:hAnsi="Palatino Linotype" w:cs="Times New Roman"/>
          <w:color w:val="000000"/>
          <w:sz w:val="18"/>
          <w:szCs w:val="20"/>
          <w:lang w:val="en-US" w:eastAsia="zh-CN"/>
        </w:rPr>
        <w:t>, A.; Rezaei-</w:t>
      </w:r>
      <w:proofErr w:type="spellStart"/>
      <w:r w:rsidRPr="005C3D3A">
        <w:rPr>
          <w:rFonts w:ascii="Palatino Linotype" w:eastAsia="SimSun" w:hAnsi="Palatino Linotype" w:cs="Times New Roman"/>
          <w:color w:val="000000"/>
          <w:sz w:val="18"/>
          <w:szCs w:val="20"/>
          <w:lang w:val="en-US" w:eastAsia="zh-CN"/>
        </w:rPr>
        <w:t>Sadabady</w:t>
      </w:r>
      <w:proofErr w:type="spellEnd"/>
      <w:r w:rsidRPr="005C3D3A">
        <w:rPr>
          <w:rFonts w:ascii="Palatino Linotype" w:eastAsia="SimSun" w:hAnsi="Palatino Linotype" w:cs="Times New Roman"/>
          <w:color w:val="000000"/>
          <w:sz w:val="18"/>
          <w:szCs w:val="20"/>
          <w:lang w:val="en-US" w:eastAsia="zh-CN"/>
        </w:rPr>
        <w:t xml:space="preserve">, R.; </w:t>
      </w:r>
      <w:proofErr w:type="spellStart"/>
      <w:r w:rsidRPr="005C3D3A">
        <w:rPr>
          <w:rFonts w:ascii="Palatino Linotype" w:eastAsia="SimSun" w:hAnsi="Palatino Linotype" w:cs="Times New Roman"/>
          <w:color w:val="000000"/>
          <w:sz w:val="18"/>
          <w:szCs w:val="20"/>
          <w:lang w:val="en-US" w:eastAsia="zh-CN"/>
        </w:rPr>
        <w:t>Davaran</w:t>
      </w:r>
      <w:proofErr w:type="spellEnd"/>
      <w:r w:rsidRPr="005C3D3A">
        <w:rPr>
          <w:rFonts w:ascii="Palatino Linotype" w:eastAsia="SimSun" w:hAnsi="Palatino Linotype" w:cs="Times New Roman"/>
          <w:color w:val="000000"/>
          <w:sz w:val="18"/>
          <w:szCs w:val="20"/>
          <w:lang w:val="en-US" w:eastAsia="zh-CN"/>
        </w:rPr>
        <w:t xml:space="preserve">, S.; </w:t>
      </w:r>
      <w:proofErr w:type="spellStart"/>
      <w:r w:rsidRPr="005C3D3A">
        <w:rPr>
          <w:rFonts w:ascii="Palatino Linotype" w:eastAsia="SimSun" w:hAnsi="Palatino Linotype" w:cs="Times New Roman"/>
          <w:color w:val="000000"/>
          <w:sz w:val="18"/>
          <w:szCs w:val="20"/>
          <w:lang w:val="en-US" w:eastAsia="zh-CN"/>
        </w:rPr>
        <w:t>Joo</w:t>
      </w:r>
      <w:proofErr w:type="spellEnd"/>
      <w:r w:rsidRPr="005C3D3A">
        <w:rPr>
          <w:rFonts w:ascii="Palatino Linotype" w:eastAsia="SimSun" w:hAnsi="Palatino Linotype" w:cs="Times New Roman"/>
          <w:color w:val="000000"/>
          <w:sz w:val="18"/>
          <w:szCs w:val="20"/>
          <w:lang w:val="en-US" w:eastAsia="zh-CN"/>
        </w:rPr>
        <w:t xml:space="preserve">, S.W.; </w:t>
      </w:r>
      <w:proofErr w:type="spellStart"/>
      <w:r w:rsidRPr="005C3D3A">
        <w:rPr>
          <w:rFonts w:ascii="Palatino Linotype" w:eastAsia="SimSun" w:hAnsi="Palatino Linotype" w:cs="Times New Roman"/>
          <w:color w:val="000000"/>
          <w:sz w:val="18"/>
          <w:szCs w:val="20"/>
          <w:lang w:val="en-US" w:eastAsia="zh-CN"/>
        </w:rPr>
        <w:t>Zarghami</w:t>
      </w:r>
      <w:proofErr w:type="spellEnd"/>
      <w:r w:rsidRPr="005C3D3A">
        <w:rPr>
          <w:rFonts w:ascii="Palatino Linotype" w:eastAsia="SimSun" w:hAnsi="Palatino Linotype" w:cs="Times New Roman"/>
          <w:color w:val="000000"/>
          <w:sz w:val="18"/>
          <w:szCs w:val="20"/>
          <w:lang w:val="en-US" w:eastAsia="zh-CN"/>
        </w:rPr>
        <w:t xml:space="preserve">, N.; </w:t>
      </w:r>
      <w:proofErr w:type="spellStart"/>
      <w:r w:rsidRPr="005C3D3A">
        <w:rPr>
          <w:rFonts w:ascii="Palatino Linotype" w:eastAsia="SimSun" w:hAnsi="Palatino Linotype" w:cs="Times New Roman"/>
          <w:color w:val="000000"/>
          <w:sz w:val="18"/>
          <w:szCs w:val="20"/>
          <w:lang w:val="en-US" w:eastAsia="zh-CN"/>
        </w:rPr>
        <w:t>Hanifehpour</w:t>
      </w:r>
      <w:proofErr w:type="spellEnd"/>
      <w:r w:rsidRPr="005C3D3A">
        <w:rPr>
          <w:rFonts w:ascii="Palatino Linotype" w:eastAsia="SimSun" w:hAnsi="Palatino Linotype" w:cs="Times New Roman"/>
          <w:color w:val="000000"/>
          <w:sz w:val="18"/>
          <w:szCs w:val="20"/>
          <w:lang w:val="en-US" w:eastAsia="zh-CN"/>
        </w:rPr>
        <w:t xml:space="preserve">, Y.; </w:t>
      </w:r>
      <w:proofErr w:type="spellStart"/>
      <w:r w:rsidRPr="005C3D3A">
        <w:rPr>
          <w:rFonts w:ascii="Palatino Linotype" w:eastAsia="SimSun" w:hAnsi="Palatino Linotype" w:cs="Times New Roman"/>
          <w:color w:val="000000"/>
          <w:sz w:val="18"/>
          <w:szCs w:val="20"/>
          <w:lang w:val="en-US" w:eastAsia="zh-CN"/>
        </w:rPr>
        <w:t>Samiei</w:t>
      </w:r>
      <w:proofErr w:type="spellEnd"/>
      <w:r w:rsidRPr="005C3D3A">
        <w:rPr>
          <w:rFonts w:ascii="Palatino Linotype" w:eastAsia="SimSun" w:hAnsi="Palatino Linotype" w:cs="Times New Roman"/>
          <w:color w:val="000000"/>
          <w:sz w:val="18"/>
          <w:szCs w:val="20"/>
          <w:lang w:val="en-US" w:eastAsia="zh-CN"/>
        </w:rPr>
        <w:t xml:space="preserve">, M.; </w:t>
      </w:r>
      <w:proofErr w:type="spellStart"/>
      <w:r w:rsidRPr="005C3D3A">
        <w:rPr>
          <w:rFonts w:ascii="Palatino Linotype" w:eastAsia="SimSun" w:hAnsi="Palatino Linotype" w:cs="Times New Roman"/>
          <w:color w:val="000000"/>
          <w:sz w:val="18"/>
          <w:szCs w:val="20"/>
          <w:lang w:val="en-US" w:eastAsia="zh-CN"/>
        </w:rPr>
        <w:t>Kouhi</w:t>
      </w:r>
      <w:proofErr w:type="spellEnd"/>
      <w:r w:rsidRPr="005C3D3A">
        <w:rPr>
          <w:rFonts w:ascii="Palatino Linotype" w:eastAsia="SimSun" w:hAnsi="Palatino Linotype" w:cs="Times New Roman"/>
          <w:color w:val="000000"/>
          <w:sz w:val="18"/>
          <w:szCs w:val="20"/>
          <w:lang w:val="en-US" w:eastAsia="zh-CN"/>
        </w:rPr>
        <w:t xml:space="preserve">, M.; </w:t>
      </w:r>
      <w:proofErr w:type="spellStart"/>
      <w:r w:rsidRPr="005C3D3A">
        <w:rPr>
          <w:rFonts w:ascii="Palatino Linotype" w:eastAsia="SimSun" w:hAnsi="Palatino Linotype" w:cs="Times New Roman"/>
          <w:color w:val="000000"/>
          <w:sz w:val="18"/>
          <w:szCs w:val="20"/>
          <w:lang w:val="en-US" w:eastAsia="zh-CN"/>
        </w:rPr>
        <w:t>Nejati-Koshki</w:t>
      </w:r>
      <w:proofErr w:type="spellEnd"/>
      <w:r w:rsidRPr="005C3D3A">
        <w:rPr>
          <w:rFonts w:ascii="Palatino Linotype" w:eastAsia="SimSun" w:hAnsi="Palatino Linotype" w:cs="Times New Roman"/>
          <w:color w:val="000000"/>
          <w:sz w:val="18"/>
          <w:szCs w:val="20"/>
          <w:lang w:val="en-US" w:eastAsia="zh-CN"/>
        </w:rPr>
        <w:t xml:space="preserve">, K. Liposome: Classification, preparation, and applications. </w:t>
      </w:r>
      <w:r w:rsidRPr="005C3D3A">
        <w:rPr>
          <w:rFonts w:ascii="Palatino Linotype" w:eastAsia="SimSun" w:hAnsi="Palatino Linotype" w:cs="Times New Roman"/>
          <w:i/>
          <w:iCs/>
          <w:color w:val="000000"/>
          <w:sz w:val="18"/>
          <w:szCs w:val="20"/>
          <w:lang w:val="en-US" w:eastAsia="zh-CN"/>
        </w:rPr>
        <w:t>Nanoscale Res. Lett.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8</w:t>
      </w:r>
      <w:r w:rsidRPr="005C3D3A">
        <w:rPr>
          <w:rFonts w:ascii="Palatino Linotype" w:eastAsia="SimSun" w:hAnsi="Palatino Linotype" w:cs="Times New Roman"/>
          <w:bCs/>
          <w:color w:val="000000"/>
          <w:sz w:val="18"/>
          <w:szCs w:val="20"/>
          <w:lang w:val="en-US" w:eastAsia="zh-CN"/>
        </w:rPr>
        <w:t>, 102</w:t>
      </w:r>
      <w:r w:rsidRPr="005C3D3A">
        <w:rPr>
          <w:rFonts w:ascii="Palatino Linotype" w:eastAsia="SimSun" w:hAnsi="Palatino Linotype" w:cs="Times New Roman"/>
          <w:color w:val="000000"/>
          <w:sz w:val="18"/>
          <w:szCs w:val="20"/>
          <w:lang w:val="en-US" w:eastAsia="zh-CN"/>
        </w:rPr>
        <w:t>, doi:10.1186/1556-276X-8-102.</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Sprott</w:t>
      </w:r>
      <w:proofErr w:type="spellEnd"/>
      <w:r w:rsidRPr="005C3D3A">
        <w:rPr>
          <w:rFonts w:ascii="Palatino Linotype" w:eastAsia="SimSun" w:hAnsi="Palatino Linotype" w:cs="Times New Roman"/>
          <w:color w:val="000000"/>
          <w:sz w:val="18"/>
          <w:szCs w:val="20"/>
          <w:lang w:val="en-US" w:eastAsia="zh-CN"/>
        </w:rPr>
        <w:t xml:space="preserve">, G.D.; </w:t>
      </w:r>
      <w:proofErr w:type="spellStart"/>
      <w:r w:rsidRPr="005C3D3A">
        <w:rPr>
          <w:rFonts w:ascii="Palatino Linotype" w:eastAsia="SimSun" w:hAnsi="Palatino Linotype" w:cs="Times New Roman"/>
          <w:color w:val="000000"/>
          <w:sz w:val="18"/>
          <w:szCs w:val="20"/>
          <w:lang w:val="en-US" w:eastAsia="zh-CN"/>
        </w:rPr>
        <w:t>Dicaire</w:t>
      </w:r>
      <w:proofErr w:type="spellEnd"/>
      <w:r w:rsidRPr="005C3D3A">
        <w:rPr>
          <w:rFonts w:ascii="Palatino Linotype" w:eastAsia="SimSun" w:hAnsi="Palatino Linotype" w:cs="Times New Roman"/>
          <w:color w:val="000000"/>
          <w:sz w:val="18"/>
          <w:szCs w:val="20"/>
          <w:lang w:val="en-US" w:eastAsia="zh-CN"/>
        </w:rPr>
        <w:t xml:space="preserve">, C.J.; </w:t>
      </w:r>
      <w:proofErr w:type="spellStart"/>
      <w:r w:rsidRPr="005C3D3A">
        <w:rPr>
          <w:rFonts w:ascii="Palatino Linotype" w:eastAsia="SimSun" w:hAnsi="Palatino Linotype" w:cs="Times New Roman"/>
          <w:color w:val="000000"/>
          <w:sz w:val="18"/>
          <w:szCs w:val="20"/>
          <w:lang w:val="en-US" w:eastAsia="zh-CN"/>
        </w:rPr>
        <w:t>Gurnani</w:t>
      </w:r>
      <w:proofErr w:type="spellEnd"/>
      <w:r w:rsidRPr="005C3D3A">
        <w:rPr>
          <w:rFonts w:ascii="Palatino Linotype" w:eastAsia="SimSun" w:hAnsi="Palatino Linotype" w:cs="Times New Roman"/>
          <w:color w:val="000000"/>
          <w:sz w:val="18"/>
          <w:szCs w:val="20"/>
          <w:lang w:val="en-US" w:eastAsia="zh-CN"/>
        </w:rPr>
        <w:t xml:space="preserve">, K.; Sad, S.; Krishnan, L. Activation of Dendritic Cells by Liposomes Prepared from Phosphatidylinositol </w:t>
      </w:r>
      <w:proofErr w:type="spellStart"/>
      <w:r w:rsidRPr="005C3D3A">
        <w:rPr>
          <w:rFonts w:ascii="Palatino Linotype" w:eastAsia="SimSun" w:hAnsi="Palatino Linotype" w:cs="Times New Roman"/>
          <w:color w:val="000000"/>
          <w:sz w:val="18"/>
          <w:szCs w:val="20"/>
          <w:lang w:val="en-US" w:eastAsia="zh-CN"/>
        </w:rPr>
        <w:t>Mannosides</w:t>
      </w:r>
      <w:proofErr w:type="spellEnd"/>
      <w:r w:rsidRPr="005C3D3A">
        <w:rPr>
          <w:rFonts w:ascii="Palatino Linotype" w:eastAsia="SimSun" w:hAnsi="Palatino Linotype" w:cs="Times New Roman"/>
          <w:color w:val="000000"/>
          <w:sz w:val="18"/>
          <w:szCs w:val="20"/>
          <w:lang w:val="en-US" w:eastAsia="zh-CN"/>
        </w:rPr>
        <w:t xml:space="preserve"> from Mycobacterium </w:t>
      </w:r>
      <w:proofErr w:type="spellStart"/>
      <w:r w:rsidRPr="005C3D3A">
        <w:rPr>
          <w:rFonts w:ascii="Palatino Linotype" w:eastAsia="SimSun" w:hAnsi="Palatino Linotype" w:cs="Times New Roman"/>
          <w:color w:val="000000"/>
          <w:sz w:val="18"/>
          <w:szCs w:val="20"/>
          <w:lang w:val="en-US" w:eastAsia="zh-CN"/>
        </w:rPr>
        <w:t>bovis</w:t>
      </w:r>
      <w:proofErr w:type="spellEnd"/>
      <w:r w:rsidRPr="005C3D3A">
        <w:rPr>
          <w:rFonts w:ascii="Palatino Linotype" w:eastAsia="SimSun" w:hAnsi="Palatino Linotype" w:cs="Times New Roman"/>
          <w:color w:val="000000"/>
          <w:sz w:val="18"/>
          <w:szCs w:val="20"/>
          <w:lang w:val="en-US" w:eastAsia="zh-CN"/>
        </w:rPr>
        <w:t xml:space="preserve"> Bacillus Calmette-Guerin and Adjuvant Activity In Vivo. </w:t>
      </w:r>
      <w:r w:rsidRPr="005C3D3A">
        <w:rPr>
          <w:rFonts w:ascii="Palatino Linotype" w:eastAsia="SimSun" w:hAnsi="Palatino Linotype" w:cs="Times New Roman"/>
          <w:i/>
          <w:iCs/>
          <w:color w:val="000000"/>
          <w:sz w:val="18"/>
          <w:szCs w:val="20"/>
          <w:lang w:val="en-US" w:eastAsia="zh-CN"/>
        </w:rPr>
        <w:t>Infect. Immun.</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72</w:t>
      </w:r>
      <w:r w:rsidRPr="005C3D3A">
        <w:rPr>
          <w:rFonts w:ascii="Palatino Linotype" w:eastAsia="SimSun" w:hAnsi="Palatino Linotype" w:cs="Times New Roman"/>
          <w:bCs/>
          <w:color w:val="000000"/>
          <w:sz w:val="18"/>
          <w:szCs w:val="20"/>
          <w:lang w:val="en-US" w:eastAsia="zh-CN"/>
        </w:rPr>
        <w:t>, 5235–5246</w:t>
      </w:r>
      <w:r w:rsidRPr="005C3D3A">
        <w:rPr>
          <w:rFonts w:ascii="Palatino Linotype" w:eastAsia="SimSun" w:hAnsi="Palatino Linotype" w:cs="Times New Roman"/>
          <w:color w:val="000000"/>
          <w:sz w:val="18"/>
          <w:szCs w:val="20"/>
          <w:lang w:val="en-US" w:eastAsia="zh-CN"/>
        </w:rPr>
        <w:t>, doi:10.1128/IAI.72.9.5235-5246.2004.</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pacing w:val="-4"/>
          <w:sz w:val="18"/>
          <w:szCs w:val="20"/>
          <w:lang w:val="en-US" w:eastAsia="zh-CN"/>
        </w:rPr>
      </w:pPr>
      <w:proofErr w:type="spellStart"/>
      <w:r w:rsidRPr="005C3D3A">
        <w:rPr>
          <w:rFonts w:ascii="Palatino Linotype" w:eastAsia="SimSun" w:hAnsi="Palatino Linotype" w:cs="Times New Roman"/>
          <w:color w:val="000000"/>
          <w:spacing w:val="-4"/>
          <w:sz w:val="18"/>
          <w:szCs w:val="20"/>
          <w:lang w:val="en-US" w:eastAsia="zh-CN"/>
        </w:rPr>
        <w:t>Rosenkrands</w:t>
      </w:r>
      <w:proofErr w:type="spellEnd"/>
      <w:r w:rsidRPr="005C3D3A">
        <w:rPr>
          <w:rFonts w:ascii="Palatino Linotype" w:eastAsia="SimSun" w:hAnsi="Palatino Linotype" w:cs="Times New Roman"/>
          <w:color w:val="000000"/>
          <w:spacing w:val="-4"/>
          <w:sz w:val="18"/>
          <w:szCs w:val="20"/>
          <w:lang w:val="en-US" w:eastAsia="zh-CN"/>
        </w:rPr>
        <w:t xml:space="preserve">, I.; </w:t>
      </w:r>
      <w:proofErr w:type="spellStart"/>
      <w:r w:rsidRPr="005C3D3A">
        <w:rPr>
          <w:rFonts w:ascii="Palatino Linotype" w:eastAsia="SimSun" w:hAnsi="Palatino Linotype" w:cs="Times New Roman"/>
          <w:color w:val="000000"/>
          <w:spacing w:val="-4"/>
          <w:sz w:val="18"/>
          <w:szCs w:val="20"/>
          <w:lang w:val="en-US" w:eastAsia="zh-CN"/>
        </w:rPr>
        <w:t>Agger</w:t>
      </w:r>
      <w:proofErr w:type="spellEnd"/>
      <w:r w:rsidRPr="005C3D3A">
        <w:rPr>
          <w:rFonts w:ascii="Palatino Linotype" w:eastAsia="SimSun" w:hAnsi="Palatino Linotype" w:cs="Times New Roman"/>
          <w:color w:val="000000"/>
          <w:spacing w:val="-4"/>
          <w:sz w:val="18"/>
          <w:szCs w:val="20"/>
          <w:lang w:val="en-US" w:eastAsia="zh-CN"/>
        </w:rPr>
        <w:t xml:space="preserve">, E.M.; Olsen, A.W.; </w:t>
      </w:r>
      <w:proofErr w:type="spellStart"/>
      <w:r w:rsidRPr="005C3D3A">
        <w:rPr>
          <w:rFonts w:ascii="Palatino Linotype" w:eastAsia="SimSun" w:hAnsi="Palatino Linotype" w:cs="Times New Roman"/>
          <w:color w:val="000000"/>
          <w:spacing w:val="-4"/>
          <w:sz w:val="18"/>
          <w:szCs w:val="20"/>
          <w:lang w:val="en-US" w:eastAsia="zh-CN"/>
        </w:rPr>
        <w:t>Korsholm</w:t>
      </w:r>
      <w:proofErr w:type="spellEnd"/>
      <w:r w:rsidRPr="005C3D3A">
        <w:rPr>
          <w:rFonts w:ascii="Palatino Linotype" w:eastAsia="SimSun" w:hAnsi="Palatino Linotype" w:cs="Times New Roman"/>
          <w:color w:val="000000"/>
          <w:spacing w:val="-4"/>
          <w:sz w:val="18"/>
          <w:szCs w:val="20"/>
          <w:lang w:val="en-US" w:eastAsia="zh-CN"/>
        </w:rPr>
        <w:t xml:space="preserve">, K.S.; Andersen, C.S.; Jensen, K.T.; Andersen, P. Cationic liposomes containing mycobacterial lipids: A new powerful Th1 adjuvant system. </w:t>
      </w:r>
      <w:r w:rsidRPr="005C3D3A">
        <w:rPr>
          <w:rFonts w:ascii="Palatino Linotype" w:eastAsia="SimSun" w:hAnsi="Palatino Linotype" w:cs="Times New Roman"/>
          <w:i/>
          <w:iCs/>
          <w:color w:val="000000"/>
          <w:spacing w:val="-4"/>
          <w:sz w:val="18"/>
          <w:szCs w:val="20"/>
          <w:lang w:val="en-US" w:eastAsia="zh-CN"/>
        </w:rPr>
        <w:t>Infect. Immun.</w:t>
      </w:r>
      <w:r w:rsidRPr="005C3D3A">
        <w:rPr>
          <w:rFonts w:ascii="Palatino Linotype" w:eastAsia="SimSun" w:hAnsi="Palatino Linotype" w:cs="Times New Roman"/>
          <w:color w:val="000000"/>
          <w:spacing w:val="-4"/>
          <w:sz w:val="18"/>
          <w:szCs w:val="20"/>
          <w:lang w:val="en-US" w:eastAsia="zh-CN"/>
        </w:rPr>
        <w:t xml:space="preserve"> </w:t>
      </w:r>
      <w:r w:rsidRPr="005C3D3A">
        <w:rPr>
          <w:rFonts w:ascii="Palatino Linotype" w:eastAsia="SimSun" w:hAnsi="Palatino Linotype" w:cs="Times New Roman"/>
          <w:b/>
          <w:bCs/>
          <w:color w:val="000000"/>
          <w:spacing w:val="-4"/>
          <w:sz w:val="18"/>
          <w:szCs w:val="20"/>
          <w:lang w:val="en-US" w:eastAsia="zh-CN"/>
        </w:rPr>
        <w:t>2005</w:t>
      </w:r>
      <w:r w:rsidRPr="005C3D3A">
        <w:rPr>
          <w:rFonts w:ascii="Palatino Linotype" w:eastAsia="SimSun" w:hAnsi="Palatino Linotype" w:cs="Times New Roman"/>
          <w:bCs/>
          <w:color w:val="000000"/>
          <w:spacing w:val="-4"/>
          <w:sz w:val="18"/>
          <w:szCs w:val="20"/>
          <w:lang w:val="en-US" w:eastAsia="zh-CN"/>
        </w:rPr>
        <w:t xml:space="preserve">, </w:t>
      </w:r>
      <w:r w:rsidRPr="005C3D3A">
        <w:rPr>
          <w:rFonts w:ascii="Palatino Linotype" w:eastAsia="SimSun" w:hAnsi="Palatino Linotype" w:cs="Times New Roman"/>
          <w:bCs/>
          <w:i/>
          <w:color w:val="000000"/>
          <w:spacing w:val="-4"/>
          <w:sz w:val="18"/>
          <w:szCs w:val="20"/>
          <w:lang w:val="en-US" w:eastAsia="zh-CN"/>
        </w:rPr>
        <w:t>73</w:t>
      </w:r>
      <w:r w:rsidRPr="005C3D3A">
        <w:rPr>
          <w:rFonts w:ascii="Palatino Linotype" w:eastAsia="SimSun" w:hAnsi="Palatino Linotype" w:cs="Times New Roman"/>
          <w:bCs/>
          <w:color w:val="000000"/>
          <w:spacing w:val="-4"/>
          <w:sz w:val="18"/>
          <w:szCs w:val="20"/>
          <w:lang w:val="en-US" w:eastAsia="zh-CN"/>
        </w:rPr>
        <w:t>, 5817–5826</w:t>
      </w:r>
      <w:r w:rsidRPr="005C3D3A">
        <w:rPr>
          <w:rFonts w:ascii="Palatino Linotype" w:eastAsia="SimSun" w:hAnsi="Palatino Linotype" w:cs="Times New Roman"/>
          <w:color w:val="000000"/>
          <w:spacing w:val="-4"/>
          <w:sz w:val="18"/>
          <w:szCs w:val="20"/>
          <w:lang w:val="en-US" w:eastAsia="zh-CN"/>
        </w:rPr>
        <w:t>, doi:10.1128/IAI.73.9.5817-5826.2005.</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Cardona, P.-J. RUTI: A new chance to shorten the treatment of latent tuberculosis infection. </w:t>
      </w:r>
      <w:r w:rsidRPr="005C3D3A">
        <w:rPr>
          <w:rFonts w:ascii="Palatino Linotype" w:eastAsia="SimSun" w:hAnsi="Palatino Linotype" w:cs="Times New Roman"/>
          <w:i/>
          <w:iCs/>
          <w:color w:val="000000"/>
          <w:sz w:val="18"/>
          <w:szCs w:val="20"/>
          <w:lang w:val="en-US" w:eastAsia="zh-CN"/>
        </w:rPr>
        <w:t>Tuberculosis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2006</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86</w:t>
      </w:r>
      <w:r w:rsidRPr="005C3D3A">
        <w:rPr>
          <w:rFonts w:ascii="Palatino Linotype" w:eastAsia="SimSun" w:hAnsi="Palatino Linotype" w:cs="Times New Roman"/>
          <w:bCs/>
          <w:color w:val="000000"/>
          <w:sz w:val="18"/>
          <w:szCs w:val="20"/>
          <w:lang w:val="en-US" w:eastAsia="zh-CN"/>
        </w:rPr>
        <w:t>, 273–289</w:t>
      </w:r>
      <w:r w:rsidRPr="005C3D3A">
        <w:rPr>
          <w:rFonts w:ascii="Palatino Linotype" w:eastAsia="SimSun" w:hAnsi="Palatino Linotype" w:cs="Times New Roman"/>
          <w:color w:val="000000"/>
          <w:sz w:val="18"/>
          <w:szCs w:val="20"/>
          <w:lang w:val="en-US" w:eastAsia="zh-CN"/>
        </w:rPr>
        <w:t>, doi:10.1016/j.tube.2006.01.024.</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Homhuan</w:t>
      </w:r>
      <w:proofErr w:type="spellEnd"/>
      <w:r w:rsidRPr="005C3D3A">
        <w:rPr>
          <w:rFonts w:ascii="Palatino Linotype" w:eastAsia="SimSun" w:hAnsi="Palatino Linotype" w:cs="Times New Roman"/>
          <w:color w:val="000000"/>
          <w:sz w:val="18"/>
          <w:szCs w:val="20"/>
          <w:lang w:val="en-US" w:eastAsia="zh-CN"/>
        </w:rPr>
        <w:t xml:space="preserve">, A.; </w:t>
      </w:r>
      <w:proofErr w:type="spellStart"/>
      <w:r w:rsidRPr="005C3D3A">
        <w:rPr>
          <w:rFonts w:ascii="Palatino Linotype" w:eastAsia="SimSun" w:hAnsi="Palatino Linotype" w:cs="Times New Roman"/>
          <w:color w:val="000000"/>
          <w:sz w:val="18"/>
          <w:szCs w:val="20"/>
          <w:lang w:val="en-US" w:eastAsia="zh-CN"/>
        </w:rPr>
        <w:t>Kogure</w:t>
      </w:r>
      <w:proofErr w:type="spellEnd"/>
      <w:r w:rsidRPr="005C3D3A">
        <w:rPr>
          <w:rFonts w:ascii="Palatino Linotype" w:eastAsia="SimSun" w:hAnsi="Palatino Linotype" w:cs="Times New Roman"/>
          <w:color w:val="000000"/>
          <w:sz w:val="18"/>
          <w:szCs w:val="20"/>
          <w:lang w:val="en-US" w:eastAsia="zh-CN"/>
        </w:rPr>
        <w:t xml:space="preserve">, K.; </w:t>
      </w:r>
      <w:proofErr w:type="spellStart"/>
      <w:r w:rsidRPr="005C3D3A">
        <w:rPr>
          <w:rFonts w:ascii="Palatino Linotype" w:eastAsia="SimSun" w:hAnsi="Palatino Linotype" w:cs="Times New Roman"/>
          <w:color w:val="000000"/>
          <w:sz w:val="18"/>
          <w:szCs w:val="20"/>
          <w:lang w:val="en-US" w:eastAsia="zh-CN"/>
        </w:rPr>
        <w:t>Akaza</w:t>
      </w:r>
      <w:proofErr w:type="spellEnd"/>
      <w:r w:rsidRPr="005C3D3A">
        <w:rPr>
          <w:rFonts w:ascii="Palatino Linotype" w:eastAsia="SimSun" w:hAnsi="Palatino Linotype" w:cs="Times New Roman"/>
          <w:color w:val="000000"/>
          <w:sz w:val="18"/>
          <w:szCs w:val="20"/>
          <w:lang w:val="en-US" w:eastAsia="zh-CN"/>
        </w:rPr>
        <w:t xml:space="preserve">, H.; </w:t>
      </w:r>
      <w:proofErr w:type="spellStart"/>
      <w:r w:rsidRPr="005C3D3A">
        <w:rPr>
          <w:rFonts w:ascii="Palatino Linotype" w:eastAsia="SimSun" w:hAnsi="Palatino Linotype" w:cs="Times New Roman"/>
          <w:color w:val="000000"/>
          <w:sz w:val="18"/>
          <w:szCs w:val="20"/>
          <w:lang w:val="en-US" w:eastAsia="zh-CN"/>
        </w:rPr>
        <w:t>Futaki</w:t>
      </w:r>
      <w:proofErr w:type="spellEnd"/>
      <w:r w:rsidRPr="005C3D3A">
        <w:rPr>
          <w:rFonts w:ascii="Palatino Linotype" w:eastAsia="SimSun" w:hAnsi="Palatino Linotype" w:cs="Times New Roman"/>
          <w:color w:val="000000"/>
          <w:sz w:val="18"/>
          <w:szCs w:val="20"/>
          <w:lang w:val="en-US" w:eastAsia="zh-CN"/>
        </w:rPr>
        <w:t xml:space="preserve">, S.; Naka, T.; Fujita, Y.; Yano, I.; </w:t>
      </w:r>
      <w:proofErr w:type="spellStart"/>
      <w:r w:rsidRPr="005C3D3A">
        <w:rPr>
          <w:rFonts w:ascii="Palatino Linotype" w:eastAsia="SimSun" w:hAnsi="Palatino Linotype" w:cs="Times New Roman"/>
          <w:color w:val="000000"/>
          <w:sz w:val="18"/>
          <w:szCs w:val="20"/>
          <w:lang w:val="en-US" w:eastAsia="zh-CN"/>
        </w:rPr>
        <w:t>Harashima</w:t>
      </w:r>
      <w:proofErr w:type="spellEnd"/>
      <w:r w:rsidRPr="005C3D3A">
        <w:rPr>
          <w:rFonts w:ascii="Palatino Linotype" w:eastAsia="SimSun" w:hAnsi="Palatino Linotype" w:cs="Times New Roman"/>
          <w:color w:val="000000"/>
          <w:sz w:val="18"/>
          <w:szCs w:val="20"/>
          <w:lang w:val="en-US" w:eastAsia="zh-CN"/>
        </w:rPr>
        <w:t xml:space="preserve">, H. New packaging method of mycobacterial cell wall using </w:t>
      </w:r>
      <w:proofErr w:type="spellStart"/>
      <w:r w:rsidRPr="005C3D3A">
        <w:rPr>
          <w:rFonts w:ascii="Palatino Linotype" w:eastAsia="SimSun" w:hAnsi="Palatino Linotype" w:cs="Times New Roman"/>
          <w:color w:val="000000"/>
          <w:sz w:val="18"/>
          <w:szCs w:val="20"/>
          <w:lang w:val="en-US" w:eastAsia="zh-CN"/>
        </w:rPr>
        <w:t>octaarginine</w:t>
      </w:r>
      <w:proofErr w:type="spellEnd"/>
      <w:r w:rsidRPr="005C3D3A">
        <w:rPr>
          <w:rFonts w:ascii="Palatino Linotype" w:eastAsia="SimSun" w:hAnsi="Palatino Linotype" w:cs="Times New Roman"/>
          <w:color w:val="000000"/>
          <w:sz w:val="18"/>
          <w:szCs w:val="20"/>
          <w:lang w:val="en-US" w:eastAsia="zh-CN"/>
        </w:rPr>
        <w:t xml:space="preserve">-modified liposomes: Enhanced uptake by and immunostimulatory activity of dendritic cells. </w:t>
      </w:r>
      <w:r w:rsidRPr="005C3D3A">
        <w:rPr>
          <w:rFonts w:ascii="Palatino Linotype" w:eastAsia="SimSun" w:hAnsi="Palatino Linotype" w:cs="Times New Roman"/>
          <w:i/>
          <w:iCs/>
          <w:color w:val="000000"/>
          <w:sz w:val="18"/>
          <w:szCs w:val="20"/>
          <w:lang w:val="en-US" w:eastAsia="zh-CN"/>
        </w:rPr>
        <w:t>J. Control. Release</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2007</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120</w:t>
      </w:r>
      <w:r w:rsidRPr="005C3D3A">
        <w:rPr>
          <w:rFonts w:ascii="Palatino Linotype" w:eastAsia="SimSun" w:hAnsi="Palatino Linotype" w:cs="Times New Roman"/>
          <w:bCs/>
          <w:color w:val="000000"/>
          <w:sz w:val="18"/>
          <w:szCs w:val="20"/>
          <w:lang w:val="en-US" w:eastAsia="zh-CN"/>
        </w:rPr>
        <w:t>, 60–69</w:t>
      </w:r>
      <w:r w:rsidRPr="005C3D3A">
        <w:rPr>
          <w:rFonts w:ascii="Palatino Linotype" w:eastAsia="SimSun" w:hAnsi="Palatino Linotype" w:cs="Times New Roman"/>
          <w:color w:val="000000"/>
          <w:sz w:val="18"/>
          <w:szCs w:val="20"/>
          <w:lang w:val="en-US" w:eastAsia="zh-CN"/>
        </w:rPr>
        <w:t>, doi:10.1016/j.jconrel.2007.03.017.</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Kawasaki, N.; </w:t>
      </w:r>
      <w:proofErr w:type="spellStart"/>
      <w:r w:rsidRPr="005C3D3A">
        <w:rPr>
          <w:rFonts w:ascii="Palatino Linotype" w:eastAsia="SimSun" w:hAnsi="Palatino Linotype" w:cs="Times New Roman"/>
          <w:color w:val="000000"/>
          <w:sz w:val="18"/>
          <w:szCs w:val="20"/>
          <w:lang w:val="en-US" w:eastAsia="zh-CN"/>
        </w:rPr>
        <w:t>Rillahan</w:t>
      </w:r>
      <w:proofErr w:type="spellEnd"/>
      <w:r w:rsidRPr="005C3D3A">
        <w:rPr>
          <w:rFonts w:ascii="Palatino Linotype" w:eastAsia="SimSun" w:hAnsi="Palatino Linotype" w:cs="Times New Roman"/>
          <w:color w:val="000000"/>
          <w:sz w:val="18"/>
          <w:szCs w:val="20"/>
          <w:lang w:val="en-US" w:eastAsia="zh-CN"/>
        </w:rPr>
        <w:t xml:space="preserve">, C.D.; Cheng, T.-Y.; Van </w:t>
      </w:r>
      <w:proofErr w:type="spellStart"/>
      <w:r w:rsidRPr="005C3D3A">
        <w:rPr>
          <w:rFonts w:ascii="Palatino Linotype" w:eastAsia="SimSun" w:hAnsi="Palatino Linotype" w:cs="Times New Roman"/>
          <w:color w:val="000000"/>
          <w:sz w:val="18"/>
          <w:szCs w:val="20"/>
          <w:lang w:val="en-US" w:eastAsia="zh-CN"/>
        </w:rPr>
        <w:t>Rhijn</w:t>
      </w:r>
      <w:proofErr w:type="spellEnd"/>
      <w:r w:rsidRPr="005C3D3A">
        <w:rPr>
          <w:rFonts w:ascii="Palatino Linotype" w:eastAsia="SimSun" w:hAnsi="Palatino Linotype" w:cs="Times New Roman"/>
          <w:color w:val="000000"/>
          <w:sz w:val="18"/>
          <w:szCs w:val="20"/>
          <w:lang w:val="en-US" w:eastAsia="zh-CN"/>
        </w:rPr>
        <w:t xml:space="preserve">, I.; Macauley, M.S.; Moody, D.B.; Paulson, J.C. Targeted Delivery of Mycobacterial Antigens to Human Dendritic Cells via Siglec-7 Induces Robust T Cell Activation. </w:t>
      </w:r>
      <w:r w:rsidRPr="005C3D3A">
        <w:rPr>
          <w:rFonts w:ascii="Palatino Linotype" w:eastAsia="SimSun" w:hAnsi="Palatino Linotype" w:cs="Times New Roman"/>
          <w:i/>
          <w:iCs/>
          <w:color w:val="000000"/>
          <w:sz w:val="18"/>
          <w:szCs w:val="20"/>
          <w:lang w:val="en-US" w:eastAsia="zh-CN"/>
        </w:rPr>
        <w:t>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193</w:t>
      </w:r>
      <w:r w:rsidRPr="005C3D3A">
        <w:rPr>
          <w:rFonts w:ascii="Palatino Linotype" w:eastAsia="SimSun" w:hAnsi="Palatino Linotype" w:cs="Times New Roman"/>
          <w:bCs/>
          <w:color w:val="000000"/>
          <w:sz w:val="18"/>
          <w:szCs w:val="20"/>
          <w:lang w:val="en-US" w:eastAsia="zh-CN"/>
        </w:rPr>
        <w:t>, 1560–1566</w:t>
      </w:r>
      <w:r w:rsidRPr="005C3D3A">
        <w:rPr>
          <w:rFonts w:ascii="Palatino Linotype" w:eastAsia="SimSun" w:hAnsi="Palatino Linotype" w:cs="Times New Roman"/>
          <w:color w:val="000000"/>
          <w:sz w:val="18"/>
          <w:szCs w:val="20"/>
          <w:lang w:val="en-US" w:eastAsia="zh-CN"/>
        </w:rPr>
        <w:t>, doi:10.4049/jimmunol.1303278.</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Khademi</w:t>
      </w:r>
      <w:proofErr w:type="spellEnd"/>
      <w:r w:rsidRPr="005C3D3A">
        <w:rPr>
          <w:rFonts w:ascii="Palatino Linotype" w:eastAsia="SimSun" w:hAnsi="Palatino Linotype" w:cs="Times New Roman"/>
          <w:color w:val="000000"/>
          <w:sz w:val="18"/>
          <w:szCs w:val="20"/>
          <w:lang w:val="en-US" w:eastAsia="zh-CN"/>
        </w:rPr>
        <w:t xml:space="preserve">, F.; Taheri, R.A.; </w:t>
      </w:r>
      <w:proofErr w:type="spellStart"/>
      <w:r w:rsidRPr="005C3D3A">
        <w:rPr>
          <w:rFonts w:ascii="Palatino Linotype" w:eastAsia="SimSun" w:hAnsi="Palatino Linotype" w:cs="Times New Roman"/>
          <w:color w:val="000000"/>
          <w:sz w:val="18"/>
          <w:szCs w:val="20"/>
          <w:lang w:val="en-US" w:eastAsia="zh-CN"/>
        </w:rPr>
        <w:t>Momtazi-Borojeni</w:t>
      </w:r>
      <w:proofErr w:type="spellEnd"/>
      <w:r w:rsidRPr="005C3D3A">
        <w:rPr>
          <w:rFonts w:ascii="Palatino Linotype" w:eastAsia="SimSun" w:hAnsi="Palatino Linotype" w:cs="Times New Roman"/>
          <w:color w:val="000000"/>
          <w:sz w:val="18"/>
          <w:szCs w:val="20"/>
          <w:lang w:val="en-US" w:eastAsia="zh-CN"/>
        </w:rPr>
        <w:t xml:space="preserve">, A.A.; </w:t>
      </w:r>
      <w:proofErr w:type="spellStart"/>
      <w:r w:rsidRPr="005C3D3A">
        <w:rPr>
          <w:rFonts w:ascii="Palatino Linotype" w:eastAsia="SimSun" w:hAnsi="Palatino Linotype" w:cs="Times New Roman"/>
          <w:color w:val="000000"/>
          <w:sz w:val="18"/>
          <w:szCs w:val="20"/>
          <w:lang w:val="en-US" w:eastAsia="zh-CN"/>
        </w:rPr>
        <w:t>Farnoosh</w:t>
      </w:r>
      <w:proofErr w:type="spellEnd"/>
      <w:r w:rsidRPr="005C3D3A">
        <w:rPr>
          <w:rFonts w:ascii="Palatino Linotype" w:eastAsia="SimSun" w:hAnsi="Palatino Linotype" w:cs="Times New Roman"/>
          <w:color w:val="000000"/>
          <w:sz w:val="18"/>
          <w:szCs w:val="20"/>
          <w:lang w:val="en-US" w:eastAsia="zh-CN"/>
        </w:rPr>
        <w:t xml:space="preserve">, G.; Johnston, T.P.; </w:t>
      </w:r>
      <w:proofErr w:type="spellStart"/>
      <w:r w:rsidRPr="005C3D3A">
        <w:rPr>
          <w:rFonts w:ascii="Palatino Linotype" w:eastAsia="SimSun" w:hAnsi="Palatino Linotype" w:cs="Times New Roman"/>
          <w:color w:val="000000"/>
          <w:sz w:val="18"/>
          <w:szCs w:val="20"/>
          <w:lang w:val="en-US" w:eastAsia="zh-CN"/>
        </w:rPr>
        <w:t>Sahebkar</w:t>
      </w:r>
      <w:proofErr w:type="spellEnd"/>
      <w:r w:rsidRPr="005C3D3A">
        <w:rPr>
          <w:rFonts w:ascii="Palatino Linotype" w:eastAsia="SimSun" w:hAnsi="Palatino Linotype" w:cs="Times New Roman"/>
          <w:color w:val="000000"/>
          <w:sz w:val="18"/>
          <w:szCs w:val="20"/>
          <w:lang w:val="en-US" w:eastAsia="zh-CN"/>
        </w:rPr>
        <w:t xml:space="preserve">, A. Potential of Cationic Liposomes as Adjuvants/Delivery Systems for Tuberculosis Subunit Vaccines. </w:t>
      </w:r>
      <w:r w:rsidRPr="005C3D3A">
        <w:rPr>
          <w:rFonts w:ascii="Palatino Linotype" w:eastAsia="SimSun" w:hAnsi="Palatino Linotype" w:cs="Times New Roman"/>
          <w:i/>
          <w:iCs/>
          <w:color w:val="000000"/>
          <w:sz w:val="18"/>
          <w:szCs w:val="20"/>
          <w:lang w:val="en-US" w:eastAsia="zh-CN"/>
        </w:rPr>
        <w:t xml:space="preserve">Rev. Physiol. </w:t>
      </w:r>
      <w:proofErr w:type="spellStart"/>
      <w:r w:rsidRPr="005C3D3A">
        <w:rPr>
          <w:rFonts w:ascii="Palatino Linotype" w:eastAsia="SimSun" w:hAnsi="Palatino Linotype" w:cs="Times New Roman"/>
          <w:i/>
          <w:iCs/>
          <w:color w:val="000000"/>
          <w:sz w:val="18"/>
          <w:szCs w:val="20"/>
          <w:lang w:val="en-US" w:eastAsia="zh-CN"/>
        </w:rPr>
        <w:t>Biochem</w:t>
      </w:r>
      <w:proofErr w:type="spellEnd"/>
      <w:r w:rsidRPr="005C3D3A">
        <w:rPr>
          <w:rFonts w:ascii="Palatino Linotype" w:eastAsia="SimSun" w:hAnsi="Palatino Linotype" w:cs="Times New Roman"/>
          <w:i/>
          <w:iCs/>
          <w:color w:val="000000"/>
          <w:sz w:val="18"/>
          <w:szCs w:val="20"/>
          <w:lang w:val="en-US" w:eastAsia="zh-CN"/>
        </w:rPr>
        <w:t xml:space="preserve">. </w:t>
      </w:r>
      <w:proofErr w:type="spellStart"/>
      <w:r w:rsidRPr="005C3D3A">
        <w:rPr>
          <w:rFonts w:ascii="Palatino Linotype" w:eastAsia="SimSun" w:hAnsi="Palatino Linotype" w:cs="Times New Roman"/>
          <w:i/>
          <w:iCs/>
          <w:color w:val="000000"/>
          <w:sz w:val="18"/>
          <w:szCs w:val="20"/>
          <w:lang w:val="en-US" w:eastAsia="zh-CN"/>
        </w:rPr>
        <w:t>Pharmacol</w:t>
      </w:r>
      <w:proofErr w:type="spellEnd"/>
      <w:r w:rsidRPr="005C3D3A">
        <w:rPr>
          <w:rFonts w:ascii="Palatino Linotype" w:eastAsia="SimSun" w:hAnsi="Palatino Linotype" w:cs="Times New Roman"/>
          <w:i/>
          <w:iCs/>
          <w:color w:val="000000"/>
          <w:sz w:val="18"/>
          <w:szCs w:val="20"/>
          <w:lang w:val="en-US" w:eastAsia="zh-CN"/>
        </w:rPr>
        <w: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2018</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175</w:t>
      </w:r>
      <w:r w:rsidRPr="005C3D3A">
        <w:rPr>
          <w:rFonts w:ascii="Palatino Linotype" w:eastAsia="SimSun" w:hAnsi="Palatino Linotype" w:cs="Times New Roman"/>
          <w:bCs/>
          <w:color w:val="000000"/>
          <w:sz w:val="18"/>
          <w:szCs w:val="20"/>
          <w:lang w:val="en-US" w:eastAsia="zh-CN"/>
        </w:rPr>
        <w:t>, 47–69</w:t>
      </w:r>
      <w:r w:rsidRPr="005C3D3A">
        <w:rPr>
          <w:rFonts w:ascii="Palatino Linotype" w:eastAsia="SimSun" w:hAnsi="Palatino Linotype" w:cs="Times New Roman"/>
          <w:color w:val="000000"/>
          <w:sz w:val="18"/>
          <w:szCs w:val="20"/>
          <w:lang w:val="en-US" w:eastAsia="zh-CN"/>
        </w:rPr>
        <w:t>, doi:10.1007/112_2018_9.</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Ioerger</w:t>
      </w:r>
      <w:proofErr w:type="spellEnd"/>
      <w:r w:rsidRPr="005C3D3A">
        <w:rPr>
          <w:rFonts w:ascii="Palatino Linotype" w:eastAsia="SimSun" w:hAnsi="Palatino Linotype" w:cs="Times New Roman"/>
          <w:color w:val="000000"/>
          <w:sz w:val="18"/>
          <w:szCs w:val="20"/>
          <w:lang w:val="en-US" w:eastAsia="zh-CN"/>
        </w:rPr>
        <w:t xml:space="preserve">, T.R.; Feng, Y.; </w:t>
      </w:r>
      <w:proofErr w:type="spellStart"/>
      <w:r w:rsidRPr="005C3D3A">
        <w:rPr>
          <w:rFonts w:ascii="Palatino Linotype" w:eastAsia="SimSun" w:hAnsi="Palatino Linotype" w:cs="Times New Roman"/>
          <w:color w:val="000000"/>
          <w:sz w:val="18"/>
          <w:szCs w:val="20"/>
          <w:lang w:val="en-US" w:eastAsia="zh-CN"/>
        </w:rPr>
        <w:t>Ganesula</w:t>
      </w:r>
      <w:proofErr w:type="spellEnd"/>
      <w:r w:rsidRPr="005C3D3A">
        <w:rPr>
          <w:rFonts w:ascii="Palatino Linotype" w:eastAsia="SimSun" w:hAnsi="Palatino Linotype" w:cs="Times New Roman"/>
          <w:color w:val="000000"/>
          <w:sz w:val="18"/>
          <w:szCs w:val="20"/>
          <w:lang w:val="en-US" w:eastAsia="zh-CN"/>
        </w:rPr>
        <w:t xml:space="preserve">, K.; Chen, X.; </w:t>
      </w:r>
      <w:proofErr w:type="spellStart"/>
      <w:r w:rsidRPr="005C3D3A">
        <w:rPr>
          <w:rFonts w:ascii="Palatino Linotype" w:eastAsia="SimSun" w:hAnsi="Palatino Linotype" w:cs="Times New Roman"/>
          <w:color w:val="000000"/>
          <w:sz w:val="18"/>
          <w:szCs w:val="20"/>
          <w:lang w:val="en-US" w:eastAsia="zh-CN"/>
        </w:rPr>
        <w:t>Dobos</w:t>
      </w:r>
      <w:proofErr w:type="spellEnd"/>
      <w:r w:rsidRPr="005C3D3A">
        <w:rPr>
          <w:rFonts w:ascii="Palatino Linotype" w:eastAsia="SimSun" w:hAnsi="Palatino Linotype" w:cs="Times New Roman"/>
          <w:color w:val="000000"/>
          <w:sz w:val="18"/>
          <w:szCs w:val="20"/>
          <w:lang w:val="en-US" w:eastAsia="zh-CN"/>
        </w:rPr>
        <w:t xml:space="preserve">, K.M.; Fortune, S.; Jacobs, W.R.; Mizrahi, V.; Parish, T.; Rubin, E.; et al. Variation among genome sequences of H37Rv strains of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from multiple laboratories. </w:t>
      </w:r>
      <w:r w:rsidRPr="005C3D3A">
        <w:rPr>
          <w:rFonts w:ascii="Palatino Linotype" w:eastAsia="SimSun" w:hAnsi="Palatino Linotype" w:cs="Times New Roman"/>
          <w:i/>
          <w:iCs/>
          <w:color w:val="000000"/>
          <w:sz w:val="18"/>
          <w:szCs w:val="20"/>
          <w:lang w:val="en-US" w:eastAsia="zh-CN"/>
        </w:rPr>
        <w:t xml:space="preserve">J. </w:t>
      </w:r>
      <w:proofErr w:type="spellStart"/>
      <w:r w:rsidRPr="005C3D3A">
        <w:rPr>
          <w:rFonts w:ascii="Palatino Linotype" w:eastAsia="SimSun" w:hAnsi="Palatino Linotype" w:cs="Times New Roman"/>
          <w:i/>
          <w:iCs/>
          <w:color w:val="000000"/>
          <w:sz w:val="18"/>
          <w:szCs w:val="20"/>
          <w:lang w:val="en-US" w:eastAsia="zh-CN"/>
        </w:rPr>
        <w:t>Bacteriol</w:t>
      </w:r>
      <w:proofErr w:type="spellEnd"/>
      <w:r w:rsidRPr="005C3D3A">
        <w:rPr>
          <w:rFonts w:ascii="Palatino Linotype" w:eastAsia="SimSun" w:hAnsi="Palatino Linotype" w:cs="Times New Roman"/>
          <w:i/>
          <w:iCs/>
          <w:color w:val="000000"/>
          <w:sz w:val="18"/>
          <w:szCs w:val="20"/>
          <w:lang w:val="en-US" w:eastAsia="zh-CN"/>
        </w:rPr>
        <w: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2010</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192</w:t>
      </w:r>
      <w:r w:rsidRPr="005C3D3A">
        <w:rPr>
          <w:rFonts w:ascii="Palatino Linotype" w:eastAsia="SimSun" w:hAnsi="Palatino Linotype" w:cs="Times New Roman"/>
          <w:bCs/>
          <w:color w:val="000000"/>
          <w:sz w:val="18"/>
          <w:szCs w:val="20"/>
          <w:lang w:val="en-US" w:eastAsia="zh-CN"/>
        </w:rPr>
        <w:t>, 3645–3653,</w:t>
      </w:r>
      <w:r w:rsidRPr="005C3D3A">
        <w:rPr>
          <w:rFonts w:ascii="Palatino Linotype" w:eastAsia="SimSun" w:hAnsi="Palatino Linotype" w:cs="Times New Roman"/>
          <w:color w:val="000000"/>
          <w:sz w:val="18"/>
          <w:szCs w:val="20"/>
          <w:lang w:val="en-US" w:eastAsia="zh-CN"/>
        </w:rPr>
        <w:t xml:space="preserve"> doi:10.1128/JB.00166-10.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pacing w:val="-4"/>
          <w:sz w:val="18"/>
          <w:szCs w:val="20"/>
          <w:lang w:val="en-US" w:eastAsia="zh-CN"/>
        </w:rPr>
      </w:pPr>
      <w:r w:rsidRPr="005C3D3A">
        <w:rPr>
          <w:rFonts w:ascii="Palatino Linotype" w:eastAsia="SimSun" w:hAnsi="Palatino Linotype" w:cs="Times New Roman"/>
          <w:color w:val="000000"/>
          <w:spacing w:val="-4"/>
          <w:sz w:val="18"/>
          <w:szCs w:val="20"/>
          <w:lang w:val="en-US" w:eastAsia="zh-CN"/>
        </w:rPr>
        <w:t xml:space="preserve">Nakata, K.; Rom, W.N.; Honda, Y.; Condos, R.; </w:t>
      </w:r>
      <w:proofErr w:type="spellStart"/>
      <w:r w:rsidRPr="005C3D3A">
        <w:rPr>
          <w:rFonts w:ascii="Palatino Linotype" w:eastAsia="SimSun" w:hAnsi="Palatino Linotype" w:cs="Times New Roman"/>
          <w:color w:val="000000"/>
          <w:spacing w:val="-4"/>
          <w:sz w:val="18"/>
          <w:szCs w:val="20"/>
          <w:lang w:val="en-US" w:eastAsia="zh-CN"/>
        </w:rPr>
        <w:t>Kanegasaki</w:t>
      </w:r>
      <w:proofErr w:type="spellEnd"/>
      <w:r w:rsidRPr="005C3D3A">
        <w:rPr>
          <w:rFonts w:ascii="Palatino Linotype" w:eastAsia="SimSun" w:hAnsi="Palatino Linotype" w:cs="Times New Roman"/>
          <w:color w:val="000000"/>
          <w:spacing w:val="-4"/>
          <w:sz w:val="18"/>
          <w:szCs w:val="20"/>
          <w:lang w:val="en-US" w:eastAsia="zh-CN"/>
        </w:rPr>
        <w:t xml:space="preserve">, S.; Cao, Y.; </w:t>
      </w:r>
      <w:proofErr w:type="spellStart"/>
      <w:r w:rsidRPr="005C3D3A">
        <w:rPr>
          <w:rFonts w:ascii="Palatino Linotype" w:eastAsia="SimSun" w:hAnsi="Palatino Linotype" w:cs="Times New Roman"/>
          <w:color w:val="000000"/>
          <w:spacing w:val="-4"/>
          <w:sz w:val="18"/>
          <w:szCs w:val="20"/>
          <w:lang w:val="en-US" w:eastAsia="zh-CN"/>
        </w:rPr>
        <w:t>Weiden</w:t>
      </w:r>
      <w:proofErr w:type="spellEnd"/>
      <w:r w:rsidRPr="005C3D3A">
        <w:rPr>
          <w:rFonts w:ascii="Palatino Linotype" w:eastAsia="SimSun" w:hAnsi="Palatino Linotype" w:cs="Times New Roman"/>
          <w:color w:val="000000"/>
          <w:spacing w:val="-4"/>
          <w:sz w:val="18"/>
          <w:szCs w:val="20"/>
          <w:lang w:val="en-US" w:eastAsia="zh-CN"/>
        </w:rPr>
        <w:t xml:space="preserve">, M. </w:t>
      </w:r>
      <w:r w:rsidRPr="005C3D3A">
        <w:rPr>
          <w:rFonts w:ascii="Palatino Linotype" w:eastAsia="SimSun" w:hAnsi="Palatino Linotype" w:cs="Times New Roman"/>
          <w:i/>
          <w:color w:val="000000"/>
          <w:spacing w:val="-4"/>
          <w:sz w:val="18"/>
          <w:szCs w:val="20"/>
          <w:lang w:val="en-US" w:eastAsia="zh-CN"/>
        </w:rPr>
        <w:t>Mycobacterium tuberculosis</w:t>
      </w:r>
      <w:r w:rsidRPr="005C3D3A">
        <w:rPr>
          <w:rFonts w:ascii="Palatino Linotype" w:eastAsia="SimSun" w:hAnsi="Palatino Linotype" w:cs="Times New Roman"/>
          <w:color w:val="000000"/>
          <w:spacing w:val="-4"/>
          <w:sz w:val="18"/>
          <w:szCs w:val="20"/>
          <w:lang w:val="en-US" w:eastAsia="zh-CN"/>
        </w:rPr>
        <w:t xml:space="preserve"> enhances human immunodeficiency virus-1 replication in the lung. </w:t>
      </w:r>
      <w:r w:rsidRPr="005C3D3A">
        <w:rPr>
          <w:rFonts w:ascii="Palatino Linotype" w:eastAsia="SimSun" w:hAnsi="Palatino Linotype" w:cs="Times New Roman"/>
          <w:i/>
          <w:iCs/>
          <w:color w:val="000000"/>
          <w:spacing w:val="-4"/>
          <w:sz w:val="18"/>
          <w:szCs w:val="20"/>
          <w:lang w:val="en-US" w:eastAsia="zh-CN"/>
        </w:rPr>
        <w:t>Am. J. Respir. Crit. Care Med.</w:t>
      </w:r>
      <w:r w:rsidRPr="005C3D3A">
        <w:rPr>
          <w:rFonts w:ascii="Palatino Linotype" w:eastAsia="SimSun" w:hAnsi="Palatino Linotype" w:cs="Times New Roman"/>
          <w:color w:val="000000"/>
          <w:spacing w:val="-4"/>
          <w:sz w:val="18"/>
          <w:szCs w:val="20"/>
          <w:lang w:val="en-US" w:eastAsia="zh-CN"/>
        </w:rPr>
        <w:t xml:space="preserve"> </w:t>
      </w:r>
      <w:r w:rsidRPr="005C3D3A">
        <w:rPr>
          <w:rFonts w:ascii="Palatino Linotype" w:eastAsia="SimSun" w:hAnsi="Palatino Linotype" w:cs="Times New Roman"/>
          <w:b/>
          <w:bCs/>
          <w:color w:val="000000"/>
          <w:spacing w:val="-4"/>
          <w:sz w:val="18"/>
          <w:szCs w:val="20"/>
          <w:lang w:val="en-US" w:eastAsia="zh-CN"/>
        </w:rPr>
        <w:t>1997</w:t>
      </w:r>
      <w:r w:rsidRPr="005C3D3A">
        <w:rPr>
          <w:rFonts w:ascii="Palatino Linotype" w:eastAsia="SimSun" w:hAnsi="Palatino Linotype" w:cs="Times New Roman"/>
          <w:bCs/>
          <w:color w:val="000000"/>
          <w:spacing w:val="-4"/>
          <w:sz w:val="18"/>
          <w:szCs w:val="20"/>
          <w:lang w:val="en-US" w:eastAsia="zh-CN"/>
        </w:rPr>
        <w:t xml:space="preserve">, </w:t>
      </w:r>
      <w:r w:rsidRPr="005C3D3A">
        <w:rPr>
          <w:rFonts w:ascii="Palatino Linotype" w:eastAsia="SimSun" w:hAnsi="Palatino Linotype" w:cs="Times New Roman"/>
          <w:bCs/>
          <w:i/>
          <w:color w:val="000000"/>
          <w:spacing w:val="-4"/>
          <w:sz w:val="18"/>
          <w:szCs w:val="20"/>
          <w:lang w:val="en-US" w:eastAsia="zh-CN"/>
        </w:rPr>
        <w:t>155</w:t>
      </w:r>
      <w:r w:rsidRPr="005C3D3A">
        <w:rPr>
          <w:rFonts w:ascii="Palatino Linotype" w:eastAsia="SimSun" w:hAnsi="Palatino Linotype" w:cs="Times New Roman"/>
          <w:bCs/>
          <w:color w:val="000000"/>
          <w:spacing w:val="-4"/>
          <w:sz w:val="18"/>
          <w:szCs w:val="20"/>
          <w:lang w:val="en-US" w:eastAsia="zh-CN"/>
        </w:rPr>
        <w:t>, 996–1003</w:t>
      </w:r>
      <w:r w:rsidRPr="005C3D3A">
        <w:rPr>
          <w:rFonts w:ascii="Palatino Linotype" w:eastAsia="SimSun" w:hAnsi="Palatino Linotype" w:cs="Times New Roman"/>
          <w:color w:val="000000"/>
          <w:spacing w:val="-4"/>
          <w:sz w:val="18"/>
          <w:szCs w:val="20"/>
          <w:lang w:val="en-US" w:eastAsia="zh-CN"/>
        </w:rPr>
        <w:t>, doi:10.1164/ajrccm.155.3.9117038.</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Lawn, S.D.; </w:t>
      </w:r>
      <w:proofErr w:type="spellStart"/>
      <w:r w:rsidRPr="005C3D3A">
        <w:rPr>
          <w:rFonts w:ascii="Palatino Linotype" w:eastAsia="SimSun" w:hAnsi="Palatino Linotype" w:cs="Times New Roman"/>
          <w:color w:val="000000"/>
          <w:sz w:val="18"/>
          <w:szCs w:val="20"/>
          <w:lang w:val="en-US" w:eastAsia="zh-CN"/>
        </w:rPr>
        <w:t>Pisell</w:t>
      </w:r>
      <w:proofErr w:type="spellEnd"/>
      <w:r w:rsidRPr="005C3D3A">
        <w:rPr>
          <w:rFonts w:ascii="Palatino Linotype" w:eastAsia="SimSun" w:hAnsi="Palatino Linotype" w:cs="Times New Roman"/>
          <w:color w:val="000000"/>
          <w:sz w:val="18"/>
          <w:szCs w:val="20"/>
          <w:lang w:val="en-US" w:eastAsia="zh-CN"/>
        </w:rPr>
        <w:t xml:space="preserve">, T.L.; Hirsch, C.S.; Wu, M.; Butera, S.T.; </w:t>
      </w:r>
      <w:proofErr w:type="spellStart"/>
      <w:r w:rsidRPr="005C3D3A">
        <w:rPr>
          <w:rFonts w:ascii="Palatino Linotype" w:eastAsia="SimSun" w:hAnsi="Palatino Linotype" w:cs="Times New Roman"/>
          <w:color w:val="000000"/>
          <w:sz w:val="18"/>
          <w:szCs w:val="20"/>
          <w:lang w:val="en-US" w:eastAsia="zh-CN"/>
        </w:rPr>
        <w:t>Toossi</w:t>
      </w:r>
      <w:proofErr w:type="spellEnd"/>
      <w:r w:rsidRPr="005C3D3A">
        <w:rPr>
          <w:rFonts w:ascii="Palatino Linotype" w:eastAsia="SimSun" w:hAnsi="Palatino Linotype" w:cs="Times New Roman"/>
          <w:color w:val="000000"/>
          <w:sz w:val="18"/>
          <w:szCs w:val="20"/>
          <w:lang w:val="en-US" w:eastAsia="zh-CN"/>
        </w:rPr>
        <w:t xml:space="preserve">, Z. Anatomically compartmentalized human immunodeficiency virus replication in HLA-DR+ cells and CD14+ macrophages at the site of pleural tuberculosis coinfection. </w:t>
      </w:r>
      <w:r w:rsidRPr="005C3D3A">
        <w:rPr>
          <w:rFonts w:ascii="Palatino Linotype" w:eastAsia="SimSun" w:hAnsi="Palatino Linotype" w:cs="Times New Roman"/>
          <w:i/>
          <w:iCs/>
          <w:color w:val="000000"/>
          <w:sz w:val="18"/>
          <w:szCs w:val="20"/>
          <w:lang w:val="en-US" w:eastAsia="zh-CN"/>
        </w:rPr>
        <w:t>J. Infect. Dis.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2001</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184</w:t>
      </w:r>
      <w:r w:rsidRPr="005C3D3A">
        <w:rPr>
          <w:rFonts w:ascii="Palatino Linotype" w:eastAsia="SimSun" w:hAnsi="Palatino Linotype" w:cs="Times New Roman"/>
          <w:bCs/>
          <w:color w:val="000000"/>
          <w:sz w:val="18"/>
          <w:szCs w:val="20"/>
          <w:lang w:val="en-US" w:eastAsia="zh-CN"/>
        </w:rPr>
        <w:t>, 1127–1133,</w:t>
      </w:r>
      <w:r w:rsidRPr="005C3D3A">
        <w:rPr>
          <w:rFonts w:ascii="Palatino Linotype" w:eastAsia="SimSun" w:hAnsi="Palatino Linotype" w:cs="Times New Roman"/>
          <w:color w:val="000000"/>
          <w:sz w:val="18"/>
          <w:szCs w:val="20"/>
          <w:lang w:val="en-US" w:eastAsia="zh-CN"/>
        </w:rPr>
        <w:t xml:space="preserve"> doi:10.1086/323649.</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McDonald, D.; Wu, L.; </w:t>
      </w:r>
      <w:proofErr w:type="spellStart"/>
      <w:r w:rsidRPr="005C3D3A">
        <w:rPr>
          <w:rFonts w:ascii="Palatino Linotype" w:eastAsia="SimSun" w:hAnsi="Palatino Linotype" w:cs="Times New Roman"/>
          <w:color w:val="000000"/>
          <w:sz w:val="18"/>
          <w:szCs w:val="20"/>
          <w:lang w:val="en-US" w:eastAsia="zh-CN"/>
        </w:rPr>
        <w:t>Bohks</w:t>
      </w:r>
      <w:proofErr w:type="spellEnd"/>
      <w:r w:rsidRPr="005C3D3A">
        <w:rPr>
          <w:rFonts w:ascii="Palatino Linotype" w:eastAsia="SimSun" w:hAnsi="Palatino Linotype" w:cs="Times New Roman"/>
          <w:color w:val="000000"/>
          <w:sz w:val="18"/>
          <w:szCs w:val="20"/>
          <w:lang w:val="en-US" w:eastAsia="zh-CN"/>
        </w:rPr>
        <w:t xml:space="preserve">, S.M.; </w:t>
      </w:r>
      <w:proofErr w:type="spellStart"/>
      <w:r w:rsidRPr="005C3D3A">
        <w:rPr>
          <w:rFonts w:ascii="Palatino Linotype" w:eastAsia="SimSun" w:hAnsi="Palatino Linotype" w:cs="Times New Roman"/>
          <w:color w:val="000000"/>
          <w:sz w:val="18"/>
          <w:szCs w:val="20"/>
          <w:lang w:val="en-US" w:eastAsia="zh-CN"/>
        </w:rPr>
        <w:t>KewalRamani</w:t>
      </w:r>
      <w:proofErr w:type="spellEnd"/>
      <w:r w:rsidRPr="005C3D3A">
        <w:rPr>
          <w:rFonts w:ascii="Palatino Linotype" w:eastAsia="SimSun" w:hAnsi="Palatino Linotype" w:cs="Times New Roman"/>
          <w:color w:val="000000"/>
          <w:sz w:val="18"/>
          <w:szCs w:val="20"/>
          <w:lang w:val="en-US" w:eastAsia="zh-CN"/>
        </w:rPr>
        <w:t xml:space="preserve">, V.N.; </w:t>
      </w:r>
      <w:proofErr w:type="spellStart"/>
      <w:r w:rsidRPr="005C3D3A">
        <w:rPr>
          <w:rFonts w:ascii="Palatino Linotype" w:eastAsia="SimSun" w:hAnsi="Palatino Linotype" w:cs="Times New Roman"/>
          <w:color w:val="000000"/>
          <w:sz w:val="18"/>
          <w:szCs w:val="20"/>
          <w:lang w:val="en-US" w:eastAsia="zh-CN"/>
        </w:rPr>
        <w:t>Unutmaz</w:t>
      </w:r>
      <w:proofErr w:type="spellEnd"/>
      <w:r w:rsidRPr="005C3D3A">
        <w:rPr>
          <w:rFonts w:ascii="Palatino Linotype" w:eastAsia="SimSun" w:hAnsi="Palatino Linotype" w:cs="Times New Roman"/>
          <w:color w:val="000000"/>
          <w:sz w:val="18"/>
          <w:szCs w:val="20"/>
          <w:lang w:val="en-US" w:eastAsia="zh-CN"/>
        </w:rPr>
        <w:t xml:space="preserve">, D.; Hope, T.J. Recruitment of HIV and its receptors to dendritic cell-T cell junctions. </w:t>
      </w:r>
      <w:r w:rsidRPr="005C3D3A">
        <w:rPr>
          <w:rFonts w:ascii="Palatino Linotype" w:eastAsia="SimSun" w:hAnsi="Palatino Linotype" w:cs="Times New Roman"/>
          <w:i/>
          <w:iCs/>
          <w:color w:val="000000"/>
          <w:sz w:val="18"/>
          <w:szCs w:val="20"/>
          <w:lang w:val="en-US" w:eastAsia="zh-CN"/>
        </w:rPr>
        <w:t>Science</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300</w:t>
      </w:r>
      <w:r w:rsidRPr="005C3D3A">
        <w:rPr>
          <w:rFonts w:ascii="Palatino Linotype" w:eastAsia="SimSun" w:hAnsi="Palatino Linotype" w:cs="Times New Roman"/>
          <w:bCs/>
          <w:color w:val="000000"/>
          <w:sz w:val="18"/>
          <w:szCs w:val="20"/>
          <w:lang w:val="en-US" w:eastAsia="zh-CN"/>
        </w:rPr>
        <w:t>, 1295–1297,</w:t>
      </w:r>
      <w:r w:rsidRPr="005C3D3A">
        <w:rPr>
          <w:rFonts w:ascii="Palatino Linotype" w:eastAsia="SimSun" w:hAnsi="Palatino Linotype" w:cs="Times New Roman"/>
          <w:color w:val="000000"/>
          <w:sz w:val="18"/>
          <w:szCs w:val="20"/>
          <w:lang w:val="en-US" w:eastAsia="zh-CN"/>
        </w:rPr>
        <w:t xml:space="preserve"> doi:10.1126/science.1084238.</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Wu, L. Biology of HIV mucosal transmission. </w:t>
      </w:r>
      <w:proofErr w:type="spellStart"/>
      <w:r w:rsidRPr="005C3D3A">
        <w:rPr>
          <w:rFonts w:ascii="Palatino Linotype" w:eastAsia="SimSun" w:hAnsi="Palatino Linotype" w:cs="Times New Roman"/>
          <w:i/>
          <w:iCs/>
          <w:color w:val="000000"/>
          <w:sz w:val="18"/>
          <w:szCs w:val="20"/>
          <w:lang w:val="en-US" w:eastAsia="zh-CN"/>
        </w:rPr>
        <w:t>Curr</w:t>
      </w:r>
      <w:proofErr w:type="spellEnd"/>
      <w:r w:rsidRPr="005C3D3A">
        <w:rPr>
          <w:rFonts w:ascii="Palatino Linotype" w:eastAsia="SimSun" w:hAnsi="Palatino Linotype" w:cs="Times New Roman"/>
          <w:i/>
          <w:iCs/>
          <w:color w:val="000000"/>
          <w:sz w:val="18"/>
          <w:szCs w:val="20"/>
          <w:lang w:val="en-US" w:eastAsia="zh-CN"/>
        </w:rPr>
        <w:t xml:space="preserve">. </w:t>
      </w:r>
      <w:proofErr w:type="spellStart"/>
      <w:r w:rsidRPr="005C3D3A">
        <w:rPr>
          <w:rFonts w:ascii="Palatino Linotype" w:eastAsia="SimSun" w:hAnsi="Palatino Linotype" w:cs="Times New Roman"/>
          <w:i/>
          <w:iCs/>
          <w:color w:val="000000"/>
          <w:sz w:val="18"/>
          <w:szCs w:val="20"/>
          <w:lang w:val="en-US" w:eastAsia="zh-CN"/>
        </w:rPr>
        <w:t>Opin</w:t>
      </w:r>
      <w:proofErr w:type="spellEnd"/>
      <w:r w:rsidRPr="005C3D3A">
        <w:rPr>
          <w:rFonts w:ascii="Palatino Linotype" w:eastAsia="SimSun" w:hAnsi="Palatino Linotype" w:cs="Times New Roman"/>
          <w:i/>
          <w:iCs/>
          <w:color w:val="000000"/>
          <w:sz w:val="18"/>
          <w:szCs w:val="20"/>
          <w:lang w:val="en-US" w:eastAsia="zh-CN"/>
        </w:rPr>
        <w:t>. HIV AIDS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2008</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3</w:t>
      </w:r>
      <w:r w:rsidRPr="005C3D3A">
        <w:rPr>
          <w:rFonts w:ascii="Palatino Linotype" w:eastAsia="SimSun" w:hAnsi="Palatino Linotype" w:cs="Times New Roman"/>
          <w:bCs/>
          <w:color w:val="000000"/>
          <w:sz w:val="18"/>
          <w:szCs w:val="20"/>
          <w:lang w:val="en-US" w:eastAsia="zh-CN"/>
        </w:rPr>
        <w:t>, 534–540,</w:t>
      </w:r>
      <w:r w:rsidRPr="005C3D3A">
        <w:rPr>
          <w:rFonts w:ascii="Palatino Linotype" w:eastAsia="SimSun" w:hAnsi="Palatino Linotype" w:cs="Times New Roman"/>
          <w:color w:val="000000"/>
          <w:sz w:val="18"/>
          <w:szCs w:val="20"/>
          <w:lang w:val="en-US" w:eastAsia="zh-CN"/>
        </w:rPr>
        <w:t xml:space="preserve"> doi:10.1097/COH.0b013e32830634c6.</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Miyake, Y.; </w:t>
      </w:r>
      <w:proofErr w:type="spellStart"/>
      <w:r w:rsidRPr="005C3D3A">
        <w:rPr>
          <w:rFonts w:ascii="Palatino Linotype" w:eastAsia="SimSun" w:hAnsi="Palatino Linotype" w:cs="Times New Roman"/>
          <w:color w:val="000000"/>
          <w:sz w:val="18"/>
          <w:szCs w:val="20"/>
          <w:lang w:val="en-US" w:eastAsia="zh-CN"/>
        </w:rPr>
        <w:t>Toyonaga</w:t>
      </w:r>
      <w:proofErr w:type="spellEnd"/>
      <w:r w:rsidRPr="005C3D3A">
        <w:rPr>
          <w:rFonts w:ascii="Palatino Linotype" w:eastAsia="SimSun" w:hAnsi="Palatino Linotype" w:cs="Times New Roman"/>
          <w:color w:val="000000"/>
          <w:sz w:val="18"/>
          <w:szCs w:val="20"/>
          <w:lang w:val="en-US" w:eastAsia="zh-CN"/>
        </w:rPr>
        <w:t xml:space="preserve">, K.; Mori, D.; </w:t>
      </w:r>
      <w:proofErr w:type="spellStart"/>
      <w:r w:rsidRPr="005C3D3A">
        <w:rPr>
          <w:rFonts w:ascii="Palatino Linotype" w:eastAsia="SimSun" w:hAnsi="Palatino Linotype" w:cs="Times New Roman"/>
          <w:color w:val="000000"/>
          <w:sz w:val="18"/>
          <w:szCs w:val="20"/>
          <w:lang w:val="en-US" w:eastAsia="zh-CN"/>
        </w:rPr>
        <w:t>Kakuta</w:t>
      </w:r>
      <w:proofErr w:type="spellEnd"/>
      <w:r w:rsidRPr="005C3D3A">
        <w:rPr>
          <w:rFonts w:ascii="Palatino Linotype" w:eastAsia="SimSun" w:hAnsi="Palatino Linotype" w:cs="Times New Roman"/>
          <w:color w:val="000000"/>
          <w:sz w:val="18"/>
          <w:szCs w:val="20"/>
          <w:lang w:val="en-US" w:eastAsia="zh-CN"/>
        </w:rPr>
        <w:t xml:space="preserve">, S.; Hoshino, Y.; </w:t>
      </w:r>
      <w:proofErr w:type="spellStart"/>
      <w:r w:rsidRPr="005C3D3A">
        <w:rPr>
          <w:rFonts w:ascii="Palatino Linotype" w:eastAsia="SimSun" w:hAnsi="Palatino Linotype" w:cs="Times New Roman"/>
          <w:color w:val="000000"/>
          <w:sz w:val="18"/>
          <w:szCs w:val="20"/>
          <w:lang w:val="en-US" w:eastAsia="zh-CN"/>
        </w:rPr>
        <w:t>Oyamada</w:t>
      </w:r>
      <w:proofErr w:type="spellEnd"/>
      <w:r w:rsidRPr="005C3D3A">
        <w:rPr>
          <w:rFonts w:ascii="Palatino Linotype" w:eastAsia="SimSun" w:hAnsi="Palatino Linotype" w:cs="Times New Roman"/>
          <w:color w:val="000000"/>
          <w:sz w:val="18"/>
          <w:szCs w:val="20"/>
          <w:lang w:val="en-US" w:eastAsia="zh-CN"/>
        </w:rPr>
        <w:t xml:space="preserve">, A.; Yamada, H.; Ono, K.-I.; </w:t>
      </w:r>
      <w:proofErr w:type="spellStart"/>
      <w:r w:rsidRPr="005C3D3A">
        <w:rPr>
          <w:rFonts w:ascii="Palatino Linotype" w:eastAsia="SimSun" w:hAnsi="Palatino Linotype" w:cs="Times New Roman"/>
          <w:color w:val="000000"/>
          <w:sz w:val="18"/>
          <w:szCs w:val="20"/>
          <w:lang w:val="en-US" w:eastAsia="zh-CN"/>
        </w:rPr>
        <w:t>Suyama</w:t>
      </w:r>
      <w:proofErr w:type="spellEnd"/>
      <w:r w:rsidRPr="005C3D3A">
        <w:rPr>
          <w:rFonts w:ascii="Palatino Linotype" w:eastAsia="SimSun" w:hAnsi="Palatino Linotype" w:cs="Times New Roman"/>
          <w:color w:val="000000"/>
          <w:sz w:val="18"/>
          <w:szCs w:val="20"/>
          <w:lang w:val="en-US" w:eastAsia="zh-CN"/>
        </w:rPr>
        <w:t xml:space="preserve">, M.; </w:t>
      </w:r>
      <w:proofErr w:type="spellStart"/>
      <w:r w:rsidRPr="005C3D3A">
        <w:rPr>
          <w:rFonts w:ascii="Palatino Linotype" w:eastAsia="SimSun" w:hAnsi="Palatino Linotype" w:cs="Times New Roman"/>
          <w:color w:val="000000"/>
          <w:sz w:val="18"/>
          <w:szCs w:val="20"/>
          <w:lang w:val="en-US" w:eastAsia="zh-CN"/>
        </w:rPr>
        <w:t>Iwakura</w:t>
      </w:r>
      <w:proofErr w:type="spellEnd"/>
      <w:r w:rsidRPr="005C3D3A">
        <w:rPr>
          <w:rFonts w:ascii="Palatino Linotype" w:eastAsia="SimSun" w:hAnsi="Palatino Linotype" w:cs="Times New Roman"/>
          <w:color w:val="000000"/>
          <w:sz w:val="18"/>
          <w:szCs w:val="20"/>
          <w:lang w:val="en-US" w:eastAsia="zh-CN"/>
        </w:rPr>
        <w:t xml:space="preserve">, Y.; et al. C-type lectin MCL is an </w:t>
      </w:r>
      <w:proofErr w:type="spellStart"/>
      <w:r w:rsidRPr="005C3D3A">
        <w:rPr>
          <w:rFonts w:ascii="Palatino Linotype" w:eastAsia="SimSun" w:hAnsi="Palatino Linotype" w:cs="Times New Roman"/>
          <w:color w:val="000000"/>
          <w:sz w:val="18"/>
          <w:szCs w:val="20"/>
          <w:lang w:val="en-US" w:eastAsia="zh-CN"/>
        </w:rPr>
        <w:t>FcRγ</w:t>
      </w:r>
      <w:proofErr w:type="spellEnd"/>
      <w:r w:rsidRPr="005C3D3A">
        <w:rPr>
          <w:rFonts w:ascii="Palatino Linotype" w:eastAsia="SimSun" w:hAnsi="Palatino Linotype" w:cs="Times New Roman"/>
          <w:color w:val="000000"/>
          <w:sz w:val="18"/>
          <w:szCs w:val="20"/>
          <w:lang w:val="en-US" w:eastAsia="zh-CN"/>
        </w:rPr>
        <w:t xml:space="preserve">-coupled receptor that mediates the adjuvanticity of mycobacterial cord factor. </w:t>
      </w:r>
      <w:r w:rsidRPr="005C3D3A">
        <w:rPr>
          <w:rFonts w:ascii="Palatino Linotype" w:eastAsia="SimSun" w:hAnsi="Palatino Linotype" w:cs="Times New Roman"/>
          <w:i/>
          <w:iCs/>
          <w:color w:val="000000"/>
          <w:sz w:val="18"/>
          <w:szCs w:val="20"/>
          <w:lang w:val="en-US" w:eastAsia="zh-CN"/>
        </w:rPr>
        <w:t>Immunity</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38</w:t>
      </w:r>
      <w:r w:rsidRPr="005C3D3A">
        <w:rPr>
          <w:rFonts w:ascii="Palatino Linotype" w:eastAsia="SimSun" w:hAnsi="Palatino Linotype" w:cs="Times New Roman"/>
          <w:bCs/>
          <w:color w:val="000000"/>
          <w:sz w:val="18"/>
          <w:szCs w:val="20"/>
          <w:lang w:val="en-US" w:eastAsia="zh-CN"/>
        </w:rPr>
        <w:t>, 1050–1062,</w:t>
      </w:r>
      <w:r w:rsidRPr="005C3D3A">
        <w:rPr>
          <w:rFonts w:ascii="Palatino Linotype" w:eastAsia="SimSun" w:hAnsi="Palatino Linotype" w:cs="Times New Roman"/>
          <w:color w:val="000000"/>
          <w:sz w:val="18"/>
          <w:szCs w:val="20"/>
          <w:lang w:val="en-US" w:eastAsia="zh-CN"/>
        </w:rPr>
        <w:t xml:space="preserve"> doi:10.1016/j.immuni.2013.03.010.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lastRenderedPageBreak/>
        <w:t xml:space="preserve">Rousseau, C.; Turner, O.C.; Rush, E.; </w:t>
      </w:r>
      <w:proofErr w:type="spellStart"/>
      <w:r w:rsidRPr="005C3D3A">
        <w:rPr>
          <w:rFonts w:ascii="Palatino Linotype" w:eastAsia="SimSun" w:hAnsi="Palatino Linotype" w:cs="Times New Roman"/>
          <w:color w:val="000000"/>
          <w:sz w:val="18"/>
          <w:szCs w:val="20"/>
          <w:lang w:val="en-US" w:eastAsia="zh-CN"/>
        </w:rPr>
        <w:t>Bordat</w:t>
      </w:r>
      <w:proofErr w:type="spellEnd"/>
      <w:r w:rsidRPr="005C3D3A">
        <w:rPr>
          <w:rFonts w:ascii="Palatino Linotype" w:eastAsia="SimSun" w:hAnsi="Palatino Linotype" w:cs="Times New Roman"/>
          <w:color w:val="000000"/>
          <w:sz w:val="18"/>
          <w:szCs w:val="20"/>
          <w:lang w:val="en-US" w:eastAsia="zh-CN"/>
        </w:rPr>
        <w:t xml:space="preserve">, Y.; </w:t>
      </w:r>
      <w:proofErr w:type="spellStart"/>
      <w:r w:rsidRPr="005C3D3A">
        <w:rPr>
          <w:rFonts w:ascii="Palatino Linotype" w:eastAsia="SimSun" w:hAnsi="Palatino Linotype" w:cs="Times New Roman"/>
          <w:color w:val="000000"/>
          <w:sz w:val="18"/>
          <w:szCs w:val="20"/>
          <w:lang w:val="en-US" w:eastAsia="zh-CN"/>
        </w:rPr>
        <w:t>Sirakova</w:t>
      </w:r>
      <w:proofErr w:type="spellEnd"/>
      <w:r w:rsidRPr="005C3D3A">
        <w:rPr>
          <w:rFonts w:ascii="Palatino Linotype" w:eastAsia="SimSun" w:hAnsi="Palatino Linotype" w:cs="Times New Roman"/>
          <w:color w:val="000000"/>
          <w:sz w:val="18"/>
          <w:szCs w:val="20"/>
          <w:lang w:val="en-US" w:eastAsia="zh-CN"/>
        </w:rPr>
        <w:t xml:space="preserve">, T.D.; </w:t>
      </w:r>
      <w:proofErr w:type="spellStart"/>
      <w:r w:rsidRPr="005C3D3A">
        <w:rPr>
          <w:rFonts w:ascii="Palatino Linotype" w:eastAsia="SimSun" w:hAnsi="Palatino Linotype" w:cs="Times New Roman"/>
          <w:color w:val="000000"/>
          <w:sz w:val="18"/>
          <w:szCs w:val="20"/>
          <w:lang w:val="en-US" w:eastAsia="zh-CN"/>
        </w:rPr>
        <w:t>Kolattukudy</w:t>
      </w:r>
      <w:proofErr w:type="spellEnd"/>
      <w:r w:rsidRPr="005C3D3A">
        <w:rPr>
          <w:rFonts w:ascii="Palatino Linotype" w:eastAsia="SimSun" w:hAnsi="Palatino Linotype" w:cs="Times New Roman"/>
          <w:color w:val="000000"/>
          <w:sz w:val="18"/>
          <w:szCs w:val="20"/>
          <w:lang w:val="en-US" w:eastAsia="zh-CN"/>
        </w:rPr>
        <w:t xml:space="preserve">, P.E.; Ritter, S.; Orme, I.M.; </w:t>
      </w:r>
      <w:proofErr w:type="spellStart"/>
      <w:r w:rsidRPr="005C3D3A">
        <w:rPr>
          <w:rFonts w:ascii="Palatino Linotype" w:eastAsia="SimSun" w:hAnsi="Palatino Linotype" w:cs="Times New Roman"/>
          <w:color w:val="000000"/>
          <w:sz w:val="18"/>
          <w:szCs w:val="20"/>
          <w:lang w:val="en-US" w:eastAsia="zh-CN"/>
        </w:rPr>
        <w:t>Gicquel</w:t>
      </w:r>
      <w:proofErr w:type="spellEnd"/>
      <w:r w:rsidRPr="005C3D3A">
        <w:rPr>
          <w:rFonts w:ascii="Palatino Linotype" w:eastAsia="SimSun" w:hAnsi="Palatino Linotype" w:cs="Times New Roman"/>
          <w:color w:val="000000"/>
          <w:sz w:val="18"/>
          <w:szCs w:val="20"/>
          <w:lang w:val="en-US" w:eastAsia="zh-CN"/>
        </w:rPr>
        <w:t xml:space="preserve">, B.; Jackson, M. </w:t>
      </w:r>
      <w:proofErr w:type="spellStart"/>
      <w:r w:rsidRPr="005C3D3A">
        <w:rPr>
          <w:rFonts w:ascii="Palatino Linotype" w:eastAsia="SimSun" w:hAnsi="Palatino Linotype" w:cs="Times New Roman"/>
          <w:color w:val="000000"/>
          <w:sz w:val="18"/>
          <w:szCs w:val="20"/>
          <w:lang w:val="en-US" w:eastAsia="zh-CN"/>
        </w:rPr>
        <w:t>Sulfolipid</w:t>
      </w:r>
      <w:proofErr w:type="spellEnd"/>
      <w:r w:rsidRPr="005C3D3A">
        <w:rPr>
          <w:rFonts w:ascii="Palatino Linotype" w:eastAsia="SimSun" w:hAnsi="Palatino Linotype" w:cs="Times New Roman"/>
          <w:color w:val="000000"/>
          <w:sz w:val="18"/>
          <w:szCs w:val="20"/>
          <w:lang w:val="en-US" w:eastAsia="zh-CN"/>
        </w:rPr>
        <w:t xml:space="preserve"> deficiency does not affect the virulence of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H37Rv in mice and guinea pigs. </w:t>
      </w:r>
      <w:r w:rsidRPr="005C3D3A">
        <w:rPr>
          <w:rFonts w:ascii="Palatino Linotype" w:eastAsia="SimSun" w:hAnsi="Palatino Linotype" w:cs="Times New Roman"/>
          <w:i/>
          <w:iCs/>
          <w:color w:val="000000"/>
          <w:sz w:val="18"/>
          <w:szCs w:val="20"/>
          <w:lang w:val="en-US" w:eastAsia="zh-CN"/>
        </w:rPr>
        <w:t>Infect. Immun.</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71</w:t>
      </w:r>
      <w:r w:rsidRPr="005C3D3A">
        <w:rPr>
          <w:rFonts w:ascii="Palatino Linotype" w:eastAsia="SimSun" w:hAnsi="Palatino Linotype" w:cs="Times New Roman"/>
          <w:bCs/>
          <w:color w:val="000000"/>
          <w:sz w:val="18"/>
          <w:szCs w:val="20"/>
          <w:lang w:val="en-US" w:eastAsia="zh-CN"/>
        </w:rPr>
        <w:t>, 4684–4690,</w:t>
      </w:r>
      <w:r w:rsidRPr="005C3D3A">
        <w:rPr>
          <w:rFonts w:ascii="Palatino Linotype" w:eastAsia="SimSun" w:hAnsi="Palatino Linotype" w:cs="Times New Roman"/>
          <w:color w:val="000000"/>
          <w:sz w:val="18"/>
          <w:szCs w:val="20"/>
          <w:lang w:val="en-US" w:eastAsia="zh-CN"/>
        </w:rPr>
        <w:t xml:space="preserve"> doi:10.1128/IAI.71.8.4684.</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Kumar, P.; </w:t>
      </w:r>
      <w:proofErr w:type="spellStart"/>
      <w:r w:rsidRPr="005C3D3A">
        <w:rPr>
          <w:rFonts w:ascii="Palatino Linotype" w:eastAsia="SimSun" w:hAnsi="Palatino Linotype" w:cs="Times New Roman"/>
          <w:color w:val="000000"/>
          <w:sz w:val="18"/>
          <w:szCs w:val="20"/>
          <w:lang w:val="en-US" w:eastAsia="zh-CN"/>
        </w:rPr>
        <w:t>Schelle</w:t>
      </w:r>
      <w:proofErr w:type="spellEnd"/>
      <w:r w:rsidRPr="005C3D3A">
        <w:rPr>
          <w:rFonts w:ascii="Palatino Linotype" w:eastAsia="SimSun" w:hAnsi="Palatino Linotype" w:cs="Times New Roman"/>
          <w:color w:val="000000"/>
          <w:sz w:val="18"/>
          <w:szCs w:val="20"/>
          <w:lang w:val="en-US" w:eastAsia="zh-CN"/>
        </w:rPr>
        <w:t xml:space="preserve">, M.W.; Jain, M.; Lin, F.L.; </w:t>
      </w:r>
      <w:proofErr w:type="spellStart"/>
      <w:r w:rsidRPr="005C3D3A">
        <w:rPr>
          <w:rFonts w:ascii="Palatino Linotype" w:eastAsia="SimSun" w:hAnsi="Palatino Linotype" w:cs="Times New Roman"/>
          <w:color w:val="000000"/>
          <w:sz w:val="18"/>
          <w:szCs w:val="20"/>
          <w:lang w:val="en-US" w:eastAsia="zh-CN"/>
        </w:rPr>
        <w:t>Petzold</w:t>
      </w:r>
      <w:proofErr w:type="spellEnd"/>
      <w:r w:rsidRPr="005C3D3A">
        <w:rPr>
          <w:rFonts w:ascii="Palatino Linotype" w:eastAsia="SimSun" w:hAnsi="Palatino Linotype" w:cs="Times New Roman"/>
          <w:color w:val="000000"/>
          <w:sz w:val="18"/>
          <w:szCs w:val="20"/>
          <w:lang w:val="en-US" w:eastAsia="zh-CN"/>
        </w:rPr>
        <w:t xml:space="preserve">, C.J.; </w:t>
      </w:r>
      <w:proofErr w:type="spellStart"/>
      <w:r w:rsidRPr="005C3D3A">
        <w:rPr>
          <w:rFonts w:ascii="Palatino Linotype" w:eastAsia="SimSun" w:hAnsi="Palatino Linotype" w:cs="Times New Roman"/>
          <w:color w:val="000000"/>
          <w:sz w:val="18"/>
          <w:szCs w:val="20"/>
          <w:lang w:val="en-US" w:eastAsia="zh-CN"/>
        </w:rPr>
        <w:t>Leavell</w:t>
      </w:r>
      <w:proofErr w:type="spellEnd"/>
      <w:r w:rsidRPr="005C3D3A">
        <w:rPr>
          <w:rFonts w:ascii="Palatino Linotype" w:eastAsia="SimSun" w:hAnsi="Palatino Linotype" w:cs="Times New Roman"/>
          <w:color w:val="000000"/>
          <w:sz w:val="18"/>
          <w:szCs w:val="20"/>
          <w:lang w:val="en-US" w:eastAsia="zh-CN"/>
        </w:rPr>
        <w:t xml:space="preserve">, M.D.; Leary, J.A.; Cox, J.S.; </w:t>
      </w:r>
      <w:proofErr w:type="spellStart"/>
      <w:r w:rsidRPr="005C3D3A">
        <w:rPr>
          <w:rFonts w:ascii="Palatino Linotype" w:eastAsia="SimSun" w:hAnsi="Palatino Linotype" w:cs="Times New Roman"/>
          <w:color w:val="000000"/>
          <w:sz w:val="18"/>
          <w:szCs w:val="20"/>
          <w:lang w:val="en-US" w:eastAsia="zh-CN"/>
        </w:rPr>
        <w:t>Bertozzi</w:t>
      </w:r>
      <w:proofErr w:type="spellEnd"/>
      <w:r w:rsidRPr="005C3D3A">
        <w:rPr>
          <w:rFonts w:ascii="Palatino Linotype" w:eastAsia="SimSun" w:hAnsi="Palatino Linotype" w:cs="Times New Roman"/>
          <w:color w:val="000000"/>
          <w:sz w:val="18"/>
          <w:szCs w:val="20"/>
          <w:lang w:val="en-US" w:eastAsia="zh-CN"/>
        </w:rPr>
        <w:t xml:space="preserve">, C.R. PapA1 and PapA2 are acyltransferases essential for the biosynthesis of the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virulence factor sulfolipid-1. </w:t>
      </w:r>
      <w:r w:rsidRPr="005C3D3A">
        <w:rPr>
          <w:rFonts w:ascii="Palatino Linotype" w:eastAsia="SimSun" w:hAnsi="Palatino Linotype" w:cs="Times New Roman"/>
          <w:i/>
          <w:iCs/>
          <w:color w:val="000000"/>
          <w:sz w:val="18"/>
          <w:szCs w:val="20"/>
          <w:lang w:val="en-US" w:eastAsia="zh-CN"/>
        </w:rPr>
        <w:t>Proc. Natl. Acad. Sci. USA</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2007</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104</w:t>
      </w:r>
      <w:r w:rsidRPr="005C3D3A">
        <w:rPr>
          <w:rFonts w:ascii="Palatino Linotype" w:eastAsia="SimSun" w:hAnsi="Palatino Linotype" w:cs="Times New Roman"/>
          <w:bCs/>
          <w:color w:val="000000"/>
          <w:sz w:val="18"/>
          <w:szCs w:val="20"/>
          <w:lang w:val="en-US" w:eastAsia="zh-CN"/>
        </w:rPr>
        <w:t>, 11221–11226,</w:t>
      </w:r>
      <w:r w:rsidRPr="005C3D3A">
        <w:rPr>
          <w:rFonts w:ascii="Palatino Linotype" w:eastAsia="SimSun" w:hAnsi="Palatino Linotype" w:cs="Times New Roman"/>
          <w:color w:val="000000"/>
          <w:sz w:val="18"/>
          <w:szCs w:val="20"/>
          <w:lang w:val="en-US" w:eastAsia="zh-CN"/>
        </w:rPr>
        <w:t xml:space="preserve"> doi:10.1073/pnas.0611649104.</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Granelli-Piperno</w:t>
      </w:r>
      <w:proofErr w:type="spellEnd"/>
      <w:r w:rsidRPr="005C3D3A">
        <w:rPr>
          <w:rFonts w:ascii="Palatino Linotype" w:eastAsia="SimSun" w:hAnsi="Palatino Linotype" w:cs="Times New Roman"/>
          <w:color w:val="000000"/>
          <w:sz w:val="18"/>
          <w:szCs w:val="20"/>
          <w:lang w:val="en-US" w:eastAsia="zh-CN"/>
        </w:rPr>
        <w:t xml:space="preserve">, A.; Delgado, E.; Finkel, V.; Paxton, W.; Steinman, R.M. Immature dendritic cells selectively replicate </w:t>
      </w:r>
      <w:proofErr w:type="spellStart"/>
      <w:r w:rsidRPr="005C3D3A">
        <w:rPr>
          <w:rFonts w:ascii="Palatino Linotype" w:eastAsia="SimSun" w:hAnsi="Palatino Linotype" w:cs="Times New Roman"/>
          <w:color w:val="000000"/>
          <w:sz w:val="18"/>
          <w:szCs w:val="20"/>
          <w:lang w:val="en-US" w:eastAsia="zh-CN"/>
        </w:rPr>
        <w:t>macrophagetropic</w:t>
      </w:r>
      <w:proofErr w:type="spellEnd"/>
      <w:r w:rsidRPr="005C3D3A">
        <w:rPr>
          <w:rFonts w:ascii="Palatino Linotype" w:eastAsia="SimSun" w:hAnsi="Palatino Linotype" w:cs="Times New Roman"/>
          <w:color w:val="000000"/>
          <w:sz w:val="18"/>
          <w:szCs w:val="20"/>
          <w:lang w:val="en-US" w:eastAsia="zh-CN"/>
        </w:rPr>
        <w:t xml:space="preserve"> (M-tropic) human immunodeficiency virus type 1, while mature cells efficiently transmit both M- and T-tropic virus to T cells. </w:t>
      </w:r>
      <w:r w:rsidRPr="005C3D3A">
        <w:rPr>
          <w:rFonts w:ascii="Palatino Linotype" w:eastAsia="SimSun" w:hAnsi="Palatino Linotype" w:cs="Times New Roman"/>
          <w:i/>
          <w:iCs/>
          <w:color w:val="000000"/>
          <w:sz w:val="18"/>
          <w:szCs w:val="20"/>
          <w:lang w:val="en-US" w:eastAsia="zh-CN"/>
        </w:rPr>
        <w:t xml:space="preserve">J. </w:t>
      </w:r>
      <w:proofErr w:type="spellStart"/>
      <w:r w:rsidRPr="005C3D3A">
        <w:rPr>
          <w:rFonts w:ascii="Palatino Linotype" w:eastAsia="SimSun" w:hAnsi="Palatino Linotype" w:cs="Times New Roman"/>
          <w:i/>
          <w:iCs/>
          <w:color w:val="000000"/>
          <w:sz w:val="18"/>
          <w:szCs w:val="20"/>
          <w:lang w:val="en-US" w:eastAsia="zh-CN"/>
        </w:rPr>
        <w:t>Virol</w:t>
      </w:r>
      <w:proofErr w:type="spellEnd"/>
      <w:r w:rsidRPr="005C3D3A">
        <w:rPr>
          <w:rFonts w:ascii="Palatino Linotype" w:eastAsia="SimSun" w:hAnsi="Palatino Linotype" w:cs="Times New Roman"/>
          <w:i/>
          <w:iCs/>
          <w:color w:val="000000"/>
          <w:sz w:val="18"/>
          <w:szCs w:val="20"/>
          <w:lang w:val="en-US" w:eastAsia="zh-CN"/>
        </w:rPr>
        <w: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1998</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72</w:t>
      </w:r>
      <w:r w:rsidRPr="005C3D3A">
        <w:rPr>
          <w:rFonts w:ascii="Palatino Linotype" w:eastAsia="SimSun" w:hAnsi="Palatino Linotype" w:cs="Times New Roman"/>
          <w:bCs/>
          <w:color w:val="000000"/>
          <w:sz w:val="18"/>
          <w:szCs w:val="20"/>
          <w:lang w:val="en-US" w:eastAsia="zh-CN"/>
        </w:rPr>
        <w:t>, 2733–2737.</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Sanders, R.W.; de Jong, E.C.; Baldwin, C.E.; </w:t>
      </w:r>
      <w:proofErr w:type="spellStart"/>
      <w:r w:rsidRPr="005C3D3A">
        <w:rPr>
          <w:rFonts w:ascii="Palatino Linotype" w:eastAsia="SimSun" w:hAnsi="Palatino Linotype" w:cs="Times New Roman"/>
          <w:color w:val="000000"/>
          <w:sz w:val="18"/>
          <w:szCs w:val="20"/>
          <w:lang w:val="en-US" w:eastAsia="zh-CN"/>
        </w:rPr>
        <w:t>Schuitemaker</w:t>
      </w:r>
      <w:proofErr w:type="spellEnd"/>
      <w:r w:rsidRPr="005C3D3A">
        <w:rPr>
          <w:rFonts w:ascii="Palatino Linotype" w:eastAsia="SimSun" w:hAnsi="Palatino Linotype" w:cs="Times New Roman"/>
          <w:color w:val="000000"/>
          <w:sz w:val="18"/>
          <w:szCs w:val="20"/>
          <w:lang w:val="en-US" w:eastAsia="zh-CN"/>
        </w:rPr>
        <w:t xml:space="preserve">, J.H.N.; </w:t>
      </w:r>
      <w:proofErr w:type="spellStart"/>
      <w:r w:rsidRPr="005C3D3A">
        <w:rPr>
          <w:rFonts w:ascii="Palatino Linotype" w:eastAsia="SimSun" w:hAnsi="Palatino Linotype" w:cs="Times New Roman"/>
          <w:color w:val="000000"/>
          <w:sz w:val="18"/>
          <w:szCs w:val="20"/>
          <w:lang w:val="en-US" w:eastAsia="zh-CN"/>
        </w:rPr>
        <w:t>Kapsenberg</w:t>
      </w:r>
      <w:proofErr w:type="spellEnd"/>
      <w:r w:rsidRPr="005C3D3A">
        <w:rPr>
          <w:rFonts w:ascii="Palatino Linotype" w:eastAsia="SimSun" w:hAnsi="Palatino Linotype" w:cs="Times New Roman"/>
          <w:color w:val="000000"/>
          <w:sz w:val="18"/>
          <w:szCs w:val="20"/>
          <w:lang w:val="en-US" w:eastAsia="zh-CN"/>
        </w:rPr>
        <w:t xml:space="preserve">, M.L.; </w:t>
      </w:r>
      <w:proofErr w:type="spellStart"/>
      <w:r w:rsidRPr="005C3D3A">
        <w:rPr>
          <w:rFonts w:ascii="Palatino Linotype" w:eastAsia="SimSun" w:hAnsi="Palatino Linotype" w:cs="Times New Roman"/>
          <w:color w:val="000000"/>
          <w:sz w:val="18"/>
          <w:szCs w:val="20"/>
          <w:lang w:val="en-US" w:eastAsia="zh-CN"/>
        </w:rPr>
        <w:t>Berkhout</w:t>
      </w:r>
      <w:proofErr w:type="spellEnd"/>
      <w:r w:rsidRPr="005C3D3A">
        <w:rPr>
          <w:rFonts w:ascii="Palatino Linotype" w:eastAsia="SimSun" w:hAnsi="Palatino Linotype" w:cs="Times New Roman"/>
          <w:color w:val="000000"/>
          <w:sz w:val="18"/>
          <w:szCs w:val="20"/>
          <w:lang w:val="en-US" w:eastAsia="zh-CN"/>
        </w:rPr>
        <w:t xml:space="preserve">, B. Differential transmission of human immunodeficiency virus type 1 by distinct subsets of effector dendritic cells. </w:t>
      </w:r>
      <w:r w:rsidRPr="005C3D3A">
        <w:rPr>
          <w:rFonts w:ascii="Palatino Linotype" w:eastAsia="SimSun" w:hAnsi="Palatino Linotype" w:cs="Times New Roman"/>
          <w:i/>
          <w:iCs/>
          <w:color w:val="000000"/>
          <w:sz w:val="18"/>
          <w:szCs w:val="20"/>
          <w:lang w:val="en-US" w:eastAsia="zh-CN"/>
        </w:rPr>
        <w:t xml:space="preserve">J. </w:t>
      </w:r>
      <w:proofErr w:type="spellStart"/>
      <w:r w:rsidRPr="005C3D3A">
        <w:rPr>
          <w:rFonts w:ascii="Palatino Linotype" w:eastAsia="SimSun" w:hAnsi="Palatino Linotype" w:cs="Times New Roman"/>
          <w:i/>
          <w:iCs/>
          <w:color w:val="000000"/>
          <w:sz w:val="18"/>
          <w:szCs w:val="20"/>
          <w:lang w:val="en-US" w:eastAsia="zh-CN"/>
        </w:rPr>
        <w:t>Virol</w:t>
      </w:r>
      <w:proofErr w:type="spellEnd"/>
      <w:r w:rsidRPr="005C3D3A">
        <w:rPr>
          <w:rFonts w:ascii="Palatino Linotype" w:eastAsia="SimSun" w:hAnsi="Palatino Linotype" w:cs="Times New Roman"/>
          <w:i/>
          <w:iCs/>
          <w:color w:val="000000"/>
          <w:sz w:val="18"/>
          <w:szCs w:val="20"/>
          <w:lang w:val="en-US" w:eastAsia="zh-CN"/>
        </w:rPr>
        <w:t>.</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2002</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76</w:t>
      </w:r>
      <w:r w:rsidRPr="005C3D3A">
        <w:rPr>
          <w:rFonts w:ascii="Palatino Linotype" w:eastAsia="SimSun" w:hAnsi="Palatino Linotype" w:cs="Times New Roman"/>
          <w:bCs/>
          <w:color w:val="000000"/>
          <w:sz w:val="18"/>
          <w:szCs w:val="20"/>
          <w:lang w:val="en-US" w:eastAsia="zh-CN"/>
        </w:rPr>
        <w:t>, 7812–7821,</w:t>
      </w:r>
      <w:r w:rsidRPr="005C3D3A">
        <w:rPr>
          <w:rFonts w:ascii="Palatino Linotype" w:eastAsia="SimSun" w:hAnsi="Palatino Linotype" w:cs="Times New Roman"/>
          <w:color w:val="000000"/>
          <w:sz w:val="18"/>
          <w:szCs w:val="20"/>
          <w:lang w:val="en-US" w:eastAsia="zh-CN"/>
        </w:rPr>
        <w:t xml:space="preserve"> doi:10.1128/JVI.76.15.7812.</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Perot, B.P.; García-Paredes, V.; Luka, M.; </w:t>
      </w:r>
      <w:proofErr w:type="spellStart"/>
      <w:r w:rsidRPr="005C3D3A">
        <w:rPr>
          <w:rFonts w:ascii="Palatino Linotype" w:eastAsia="SimSun" w:hAnsi="Palatino Linotype" w:cs="Times New Roman"/>
          <w:color w:val="000000"/>
          <w:sz w:val="18"/>
          <w:szCs w:val="20"/>
          <w:lang w:val="en-US" w:eastAsia="zh-CN"/>
        </w:rPr>
        <w:t>Ménager</w:t>
      </w:r>
      <w:proofErr w:type="spellEnd"/>
      <w:r w:rsidRPr="005C3D3A">
        <w:rPr>
          <w:rFonts w:ascii="Palatino Linotype" w:eastAsia="SimSun" w:hAnsi="Palatino Linotype" w:cs="Times New Roman"/>
          <w:color w:val="000000"/>
          <w:sz w:val="18"/>
          <w:szCs w:val="20"/>
          <w:lang w:val="en-US" w:eastAsia="zh-CN"/>
        </w:rPr>
        <w:t xml:space="preserve">, M.M. Dendritic Cell Maturation Regulates TSPAN7 Function in HIV-1 Transfer to CD4+ T Lymphocytes. </w:t>
      </w:r>
      <w:r w:rsidRPr="005C3D3A">
        <w:rPr>
          <w:rFonts w:ascii="Palatino Linotype" w:eastAsia="SimSun" w:hAnsi="Palatino Linotype" w:cs="Times New Roman"/>
          <w:i/>
          <w:iCs/>
          <w:color w:val="000000"/>
          <w:sz w:val="18"/>
          <w:szCs w:val="20"/>
          <w:lang w:val="en-US" w:eastAsia="zh-CN"/>
        </w:rPr>
        <w:t>Front. Cell. Infect. Microbiol.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2020</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10</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color w:val="000000"/>
          <w:sz w:val="18"/>
          <w:szCs w:val="20"/>
          <w:lang w:val="en-US" w:eastAsia="zh-CN"/>
        </w:rPr>
        <w:t>70, doi:10.3389/fcimb.2020.00070.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Bafica</w:t>
      </w:r>
      <w:proofErr w:type="spellEnd"/>
      <w:r w:rsidRPr="005C3D3A">
        <w:rPr>
          <w:rFonts w:ascii="Palatino Linotype" w:eastAsia="SimSun" w:hAnsi="Palatino Linotype" w:cs="Times New Roman"/>
          <w:color w:val="000000"/>
          <w:sz w:val="18"/>
          <w:szCs w:val="20"/>
          <w:lang w:val="en-US" w:eastAsia="zh-CN"/>
        </w:rPr>
        <w:t xml:space="preserve">, A.; </w:t>
      </w:r>
      <w:proofErr w:type="spellStart"/>
      <w:r w:rsidRPr="005C3D3A">
        <w:rPr>
          <w:rFonts w:ascii="Palatino Linotype" w:eastAsia="SimSun" w:hAnsi="Palatino Linotype" w:cs="Times New Roman"/>
          <w:color w:val="000000"/>
          <w:sz w:val="18"/>
          <w:szCs w:val="20"/>
          <w:lang w:val="en-US" w:eastAsia="zh-CN"/>
        </w:rPr>
        <w:t>Scanga</w:t>
      </w:r>
      <w:proofErr w:type="spellEnd"/>
      <w:r w:rsidRPr="005C3D3A">
        <w:rPr>
          <w:rFonts w:ascii="Palatino Linotype" w:eastAsia="SimSun" w:hAnsi="Palatino Linotype" w:cs="Times New Roman"/>
          <w:color w:val="000000"/>
          <w:sz w:val="18"/>
          <w:szCs w:val="20"/>
          <w:lang w:val="en-US" w:eastAsia="zh-CN"/>
        </w:rPr>
        <w:t xml:space="preserve">, C.A.; </w:t>
      </w:r>
      <w:proofErr w:type="spellStart"/>
      <w:r w:rsidRPr="005C3D3A">
        <w:rPr>
          <w:rFonts w:ascii="Palatino Linotype" w:eastAsia="SimSun" w:hAnsi="Palatino Linotype" w:cs="Times New Roman"/>
          <w:color w:val="000000"/>
          <w:sz w:val="18"/>
          <w:szCs w:val="20"/>
          <w:lang w:val="en-US" w:eastAsia="zh-CN"/>
        </w:rPr>
        <w:t>Schito</w:t>
      </w:r>
      <w:proofErr w:type="spellEnd"/>
      <w:r w:rsidRPr="005C3D3A">
        <w:rPr>
          <w:rFonts w:ascii="Palatino Linotype" w:eastAsia="SimSun" w:hAnsi="Palatino Linotype" w:cs="Times New Roman"/>
          <w:color w:val="000000"/>
          <w:sz w:val="18"/>
          <w:szCs w:val="20"/>
          <w:lang w:val="en-US" w:eastAsia="zh-CN"/>
        </w:rPr>
        <w:t xml:space="preserve">, M.L.; </w:t>
      </w:r>
      <w:proofErr w:type="spellStart"/>
      <w:r w:rsidRPr="005C3D3A">
        <w:rPr>
          <w:rFonts w:ascii="Palatino Linotype" w:eastAsia="SimSun" w:hAnsi="Palatino Linotype" w:cs="Times New Roman"/>
          <w:color w:val="000000"/>
          <w:sz w:val="18"/>
          <w:szCs w:val="20"/>
          <w:lang w:val="en-US" w:eastAsia="zh-CN"/>
        </w:rPr>
        <w:t>Hieny</w:t>
      </w:r>
      <w:proofErr w:type="spellEnd"/>
      <w:r w:rsidRPr="005C3D3A">
        <w:rPr>
          <w:rFonts w:ascii="Palatino Linotype" w:eastAsia="SimSun" w:hAnsi="Palatino Linotype" w:cs="Times New Roman"/>
          <w:color w:val="000000"/>
          <w:sz w:val="18"/>
          <w:szCs w:val="20"/>
          <w:lang w:val="en-US" w:eastAsia="zh-CN"/>
        </w:rPr>
        <w:t xml:space="preserve">, S.; Sher, A. Cutting Edge: In Vivo Induction of Integrated HIV-1 Expression by Mycobacteria Is Critically Dependent on Toll-Like Receptor 2. </w:t>
      </w:r>
      <w:r w:rsidRPr="005C3D3A">
        <w:rPr>
          <w:rFonts w:ascii="Palatino Linotype" w:eastAsia="SimSun" w:hAnsi="Palatino Linotype" w:cs="Times New Roman"/>
          <w:i/>
          <w:iCs/>
          <w:color w:val="000000"/>
          <w:sz w:val="18"/>
          <w:szCs w:val="20"/>
          <w:lang w:val="en-US" w:eastAsia="zh-CN"/>
        </w:rPr>
        <w:t>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171</w:t>
      </w:r>
      <w:r w:rsidRPr="005C3D3A">
        <w:rPr>
          <w:rFonts w:ascii="Palatino Linotype" w:eastAsia="SimSun" w:hAnsi="Palatino Linotype" w:cs="Times New Roman"/>
          <w:bCs/>
          <w:color w:val="000000"/>
          <w:sz w:val="18"/>
          <w:szCs w:val="20"/>
          <w:lang w:val="en-US" w:eastAsia="zh-CN"/>
        </w:rPr>
        <w:t>, 1123–1127</w:t>
      </w:r>
      <w:r w:rsidRPr="005C3D3A">
        <w:rPr>
          <w:rFonts w:ascii="Palatino Linotype" w:eastAsia="SimSun" w:hAnsi="Palatino Linotype" w:cs="Times New Roman"/>
          <w:color w:val="000000"/>
          <w:sz w:val="18"/>
          <w:szCs w:val="20"/>
          <w:lang w:val="en-US" w:eastAsia="zh-CN"/>
        </w:rPr>
        <w:t>, doi:10.4049/jimmunol.171.3.1123.</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Equils</w:t>
      </w:r>
      <w:proofErr w:type="spellEnd"/>
      <w:r w:rsidRPr="005C3D3A">
        <w:rPr>
          <w:rFonts w:ascii="Palatino Linotype" w:eastAsia="SimSun" w:hAnsi="Palatino Linotype" w:cs="Times New Roman"/>
          <w:color w:val="000000"/>
          <w:sz w:val="18"/>
          <w:szCs w:val="20"/>
          <w:lang w:val="en-US" w:eastAsia="zh-CN"/>
        </w:rPr>
        <w:t xml:space="preserve">, O.; </w:t>
      </w:r>
      <w:proofErr w:type="spellStart"/>
      <w:r w:rsidRPr="005C3D3A">
        <w:rPr>
          <w:rFonts w:ascii="Palatino Linotype" w:eastAsia="SimSun" w:hAnsi="Palatino Linotype" w:cs="Times New Roman"/>
          <w:color w:val="000000"/>
          <w:sz w:val="18"/>
          <w:szCs w:val="20"/>
          <w:lang w:val="en-US" w:eastAsia="zh-CN"/>
        </w:rPr>
        <w:t>Schito</w:t>
      </w:r>
      <w:proofErr w:type="spellEnd"/>
      <w:r w:rsidRPr="005C3D3A">
        <w:rPr>
          <w:rFonts w:ascii="Palatino Linotype" w:eastAsia="SimSun" w:hAnsi="Palatino Linotype" w:cs="Times New Roman"/>
          <w:color w:val="000000"/>
          <w:sz w:val="18"/>
          <w:szCs w:val="20"/>
          <w:lang w:val="en-US" w:eastAsia="zh-CN"/>
        </w:rPr>
        <w:t xml:space="preserve">, M.L.; </w:t>
      </w:r>
      <w:proofErr w:type="spellStart"/>
      <w:r w:rsidRPr="005C3D3A">
        <w:rPr>
          <w:rFonts w:ascii="Palatino Linotype" w:eastAsia="SimSun" w:hAnsi="Palatino Linotype" w:cs="Times New Roman"/>
          <w:color w:val="000000"/>
          <w:sz w:val="18"/>
          <w:szCs w:val="20"/>
          <w:lang w:val="en-US" w:eastAsia="zh-CN"/>
        </w:rPr>
        <w:t>Karahashi</w:t>
      </w:r>
      <w:proofErr w:type="spellEnd"/>
      <w:r w:rsidRPr="005C3D3A">
        <w:rPr>
          <w:rFonts w:ascii="Palatino Linotype" w:eastAsia="SimSun" w:hAnsi="Palatino Linotype" w:cs="Times New Roman"/>
          <w:color w:val="000000"/>
          <w:sz w:val="18"/>
          <w:szCs w:val="20"/>
          <w:lang w:val="en-US" w:eastAsia="zh-CN"/>
        </w:rPr>
        <w:t xml:space="preserve">, H.; </w:t>
      </w:r>
      <w:proofErr w:type="spellStart"/>
      <w:r w:rsidRPr="005C3D3A">
        <w:rPr>
          <w:rFonts w:ascii="Palatino Linotype" w:eastAsia="SimSun" w:hAnsi="Palatino Linotype" w:cs="Times New Roman"/>
          <w:color w:val="000000"/>
          <w:sz w:val="18"/>
          <w:szCs w:val="20"/>
          <w:lang w:val="en-US" w:eastAsia="zh-CN"/>
        </w:rPr>
        <w:t>Madak</w:t>
      </w:r>
      <w:proofErr w:type="spellEnd"/>
      <w:r w:rsidRPr="005C3D3A">
        <w:rPr>
          <w:rFonts w:ascii="Palatino Linotype" w:eastAsia="SimSun" w:hAnsi="Palatino Linotype" w:cs="Times New Roman"/>
          <w:color w:val="000000"/>
          <w:sz w:val="18"/>
          <w:szCs w:val="20"/>
          <w:lang w:val="en-US" w:eastAsia="zh-CN"/>
        </w:rPr>
        <w:t xml:space="preserve">, Z.; </w:t>
      </w:r>
      <w:proofErr w:type="spellStart"/>
      <w:r w:rsidRPr="005C3D3A">
        <w:rPr>
          <w:rFonts w:ascii="Palatino Linotype" w:eastAsia="SimSun" w:hAnsi="Palatino Linotype" w:cs="Times New Roman"/>
          <w:color w:val="000000"/>
          <w:sz w:val="18"/>
          <w:szCs w:val="20"/>
          <w:lang w:val="en-US" w:eastAsia="zh-CN"/>
        </w:rPr>
        <w:t>Yarali</w:t>
      </w:r>
      <w:proofErr w:type="spellEnd"/>
      <w:r w:rsidRPr="005C3D3A">
        <w:rPr>
          <w:rFonts w:ascii="Palatino Linotype" w:eastAsia="SimSun" w:hAnsi="Palatino Linotype" w:cs="Times New Roman"/>
          <w:color w:val="000000"/>
          <w:sz w:val="18"/>
          <w:szCs w:val="20"/>
          <w:lang w:val="en-US" w:eastAsia="zh-CN"/>
        </w:rPr>
        <w:t xml:space="preserve">, A.; Michelsen, K.S.; Sher, A.; </w:t>
      </w:r>
      <w:proofErr w:type="spellStart"/>
      <w:r w:rsidRPr="005C3D3A">
        <w:rPr>
          <w:rFonts w:ascii="Palatino Linotype" w:eastAsia="SimSun" w:hAnsi="Palatino Linotype" w:cs="Times New Roman"/>
          <w:color w:val="000000"/>
          <w:sz w:val="18"/>
          <w:szCs w:val="20"/>
          <w:lang w:val="en-US" w:eastAsia="zh-CN"/>
        </w:rPr>
        <w:t>Arditi</w:t>
      </w:r>
      <w:proofErr w:type="spellEnd"/>
      <w:r w:rsidRPr="005C3D3A">
        <w:rPr>
          <w:rFonts w:ascii="Palatino Linotype" w:eastAsia="SimSun" w:hAnsi="Palatino Linotype" w:cs="Times New Roman"/>
          <w:color w:val="000000"/>
          <w:sz w:val="18"/>
          <w:szCs w:val="20"/>
          <w:lang w:val="en-US" w:eastAsia="zh-CN"/>
        </w:rPr>
        <w:t xml:space="preserve">, M. Toll-Like Receptor 2 (TLR2) and TLR9 Signaling Results in HIV-Long Terminal Repeat Trans-Activation and HIV Replication in HIV-1 Transgenic Mouse Spleen Cells: Implications of Simultaneous Activation of TLRs on HIV Replication. </w:t>
      </w:r>
      <w:r w:rsidRPr="005C3D3A">
        <w:rPr>
          <w:rFonts w:ascii="Palatino Linotype" w:eastAsia="SimSun" w:hAnsi="Palatino Linotype" w:cs="Times New Roman"/>
          <w:i/>
          <w:iCs/>
          <w:color w:val="000000"/>
          <w:sz w:val="18"/>
          <w:szCs w:val="20"/>
          <w:lang w:val="en-US" w:eastAsia="zh-CN"/>
        </w:rPr>
        <w:t>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2003</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170</w:t>
      </w:r>
      <w:r w:rsidRPr="005C3D3A">
        <w:rPr>
          <w:rFonts w:ascii="Palatino Linotype" w:eastAsia="SimSun" w:hAnsi="Palatino Linotype" w:cs="Times New Roman"/>
          <w:bCs/>
          <w:color w:val="000000"/>
          <w:sz w:val="18"/>
          <w:szCs w:val="20"/>
          <w:lang w:val="en-US" w:eastAsia="zh-CN"/>
        </w:rPr>
        <w:t>, 5159–5164</w:t>
      </w:r>
      <w:r w:rsidRPr="005C3D3A">
        <w:rPr>
          <w:rFonts w:ascii="Palatino Linotype" w:eastAsia="SimSun" w:hAnsi="Palatino Linotype" w:cs="Times New Roman"/>
          <w:color w:val="000000"/>
          <w:sz w:val="18"/>
          <w:szCs w:val="20"/>
          <w:lang w:val="en-US" w:eastAsia="zh-CN"/>
        </w:rPr>
        <w:t>, doi:10.4049/jimmunol.170.10.5159.</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Larson, E.C.; </w:t>
      </w:r>
      <w:proofErr w:type="spellStart"/>
      <w:r w:rsidRPr="005C3D3A">
        <w:rPr>
          <w:rFonts w:ascii="Palatino Linotype" w:eastAsia="SimSun" w:hAnsi="Palatino Linotype" w:cs="Times New Roman"/>
          <w:color w:val="000000"/>
          <w:sz w:val="18"/>
          <w:szCs w:val="20"/>
          <w:lang w:val="en-US" w:eastAsia="zh-CN"/>
        </w:rPr>
        <w:t>Novis</w:t>
      </w:r>
      <w:proofErr w:type="spellEnd"/>
      <w:r w:rsidRPr="005C3D3A">
        <w:rPr>
          <w:rFonts w:ascii="Palatino Linotype" w:eastAsia="SimSun" w:hAnsi="Palatino Linotype" w:cs="Times New Roman"/>
          <w:color w:val="000000"/>
          <w:sz w:val="18"/>
          <w:szCs w:val="20"/>
          <w:lang w:val="en-US" w:eastAsia="zh-CN"/>
        </w:rPr>
        <w:t xml:space="preserve">, C.L.; Martins, L.J.; Macedo, A.B.; Kimball, K.E.; Bosque, A.; </w:t>
      </w:r>
      <w:proofErr w:type="spellStart"/>
      <w:r w:rsidRPr="005C3D3A">
        <w:rPr>
          <w:rFonts w:ascii="Palatino Linotype" w:eastAsia="SimSun" w:hAnsi="Palatino Linotype" w:cs="Times New Roman"/>
          <w:color w:val="000000"/>
          <w:sz w:val="18"/>
          <w:szCs w:val="20"/>
          <w:lang w:val="en-US" w:eastAsia="zh-CN"/>
        </w:rPr>
        <w:t>Planelles</w:t>
      </w:r>
      <w:proofErr w:type="spellEnd"/>
      <w:r w:rsidRPr="005C3D3A">
        <w:rPr>
          <w:rFonts w:ascii="Palatino Linotype" w:eastAsia="SimSun" w:hAnsi="Palatino Linotype" w:cs="Times New Roman"/>
          <w:color w:val="000000"/>
          <w:sz w:val="18"/>
          <w:szCs w:val="20"/>
          <w:lang w:val="en-US" w:eastAsia="zh-CN"/>
        </w:rPr>
        <w:t xml:space="preserve">, V.; Barrows, L.R.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reactivates latent HIV-1 in T cells in vitro. </w:t>
      </w:r>
      <w:proofErr w:type="spellStart"/>
      <w:r w:rsidRPr="005C3D3A">
        <w:rPr>
          <w:rFonts w:ascii="Palatino Linotype" w:eastAsia="SimSun" w:hAnsi="Palatino Linotype" w:cs="Times New Roman"/>
          <w:i/>
          <w:iCs/>
          <w:color w:val="000000"/>
          <w:sz w:val="18"/>
          <w:szCs w:val="20"/>
          <w:lang w:val="en-US" w:eastAsia="zh-CN"/>
        </w:rPr>
        <w:t>PLoS</w:t>
      </w:r>
      <w:proofErr w:type="spellEnd"/>
      <w:r w:rsidRPr="005C3D3A">
        <w:rPr>
          <w:rFonts w:ascii="Palatino Linotype" w:eastAsia="SimSun" w:hAnsi="Palatino Linotype" w:cs="Times New Roman"/>
          <w:i/>
          <w:iCs/>
          <w:color w:val="000000"/>
          <w:sz w:val="18"/>
          <w:szCs w:val="20"/>
          <w:lang w:val="en-US" w:eastAsia="zh-CN"/>
        </w:rPr>
        <w:t xml:space="preserve"> ONE</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2017</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12</w:t>
      </w:r>
      <w:r w:rsidRPr="005C3D3A">
        <w:rPr>
          <w:rFonts w:ascii="Palatino Linotype" w:eastAsia="SimSun" w:hAnsi="Palatino Linotype" w:cs="Times New Roman"/>
          <w:color w:val="000000"/>
          <w:sz w:val="18"/>
          <w:szCs w:val="20"/>
          <w:lang w:val="en-US" w:eastAsia="zh-CN"/>
        </w:rPr>
        <w:t>, e0185162, doi:10.1371/journal.pone.0185162.</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proofErr w:type="spellStart"/>
      <w:r w:rsidRPr="005C3D3A">
        <w:rPr>
          <w:rFonts w:ascii="Palatino Linotype" w:eastAsia="SimSun" w:hAnsi="Palatino Linotype" w:cs="Times New Roman"/>
          <w:color w:val="000000"/>
          <w:sz w:val="18"/>
          <w:szCs w:val="20"/>
          <w:lang w:val="en-US" w:eastAsia="zh-CN"/>
        </w:rPr>
        <w:t>Goletti</w:t>
      </w:r>
      <w:proofErr w:type="spellEnd"/>
      <w:r w:rsidRPr="005C3D3A">
        <w:rPr>
          <w:rFonts w:ascii="Palatino Linotype" w:eastAsia="SimSun" w:hAnsi="Palatino Linotype" w:cs="Times New Roman"/>
          <w:color w:val="000000"/>
          <w:sz w:val="18"/>
          <w:szCs w:val="20"/>
          <w:lang w:val="en-US" w:eastAsia="zh-CN"/>
        </w:rPr>
        <w:t xml:space="preserve">, D.; Weissman, D.; Jackson, R.W.; Collins, F.; </w:t>
      </w:r>
      <w:proofErr w:type="spellStart"/>
      <w:r w:rsidRPr="005C3D3A">
        <w:rPr>
          <w:rFonts w:ascii="Palatino Linotype" w:eastAsia="SimSun" w:hAnsi="Palatino Linotype" w:cs="Times New Roman"/>
          <w:color w:val="000000"/>
          <w:sz w:val="18"/>
          <w:szCs w:val="20"/>
          <w:lang w:val="en-US" w:eastAsia="zh-CN"/>
        </w:rPr>
        <w:t>Kinter</w:t>
      </w:r>
      <w:proofErr w:type="spellEnd"/>
      <w:r w:rsidRPr="005C3D3A">
        <w:rPr>
          <w:rFonts w:ascii="Palatino Linotype" w:eastAsia="SimSun" w:hAnsi="Palatino Linotype" w:cs="Times New Roman"/>
          <w:color w:val="000000"/>
          <w:sz w:val="18"/>
          <w:szCs w:val="20"/>
          <w:lang w:val="en-US" w:eastAsia="zh-CN"/>
        </w:rPr>
        <w:t xml:space="preserve">, A.; </w:t>
      </w:r>
      <w:proofErr w:type="spellStart"/>
      <w:r w:rsidRPr="005C3D3A">
        <w:rPr>
          <w:rFonts w:ascii="Palatino Linotype" w:eastAsia="SimSun" w:hAnsi="Palatino Linotype" w:cs="Times New Roman"/>
          <w:color w:val="000000"/>
          <w:sz w:val="18"/>
          <w:szCs w:val="20"/>
          <w:lang w:val="en-US" w:eastAsia="zh-CN"/>
        </w:rPr>
        <w:t>Fauci</w:t>
      </w:r>
      <w:proofErr w:type="spellEnd"/>
      <w:r w:rsidRPr="005C3D3A">
        <w:rPr>
          <w:rFonts w:ascii="Palatino Linotype" w:eastAsia="SimSun" w:hAnsi="Palatino Linotype" w:cs="Times New Roman"/>
          <w:color w:val="000000"/>
          <w:sz w:val="18"/>
          <w:szCs w:val="20"/>
          <w:lang w:val="en-US" w:eastAsia="zh-CN"/>
        </w:rPr>
        <w:t xml:space="preserve">, A.S. The in vitro induction of human immunodeficiency virus (HIV) replication in purified protein derivative-positive HIV-infected persons by recall antigen response to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is the result of a balance of the effects of endogenous </w:t>
      </w:r>
      <w:proofErr w:type="spellStart"/>
      <w:r w:rsidRPr="005C3D3A">
        <w:rPr>
          <w:rFonts w:ascii="Palatino Linotype" w:eastAsia="SimSun" w:hAnsi="Palatino Linotype" w:cs="Times New Roman"/>
          <w:color w:val="000000"/>
          <w:sz w:val="18"/>
          <w:szCs w:val="20"/>
          <w:lang w:val="en-US" w:eastAsia="zh-CN"/>
        </w:rPr>
        <w:t>interleu</w:t>
      </w:r>
      <w:proofErr w:type="spellEnd"/>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J. Infect. Dis.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1998</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177</w:t>
      </w:r>
      <w:r w:rsidRPr="005C3D3A">
        <w:rPr>
          <w:rFonts w:ascii="Palatino Linotype" w:eastAsia="SimSun" w:hAnsi="Palatino Linotype" w:cs="Times New Roman"/>
          <w:bCs/>
          <w:color w:val="000000"/>
          <w:sz w:val="18"/>
          <w:szCs w:val="20"/>
          <w:lang w:val="en-US" w:eastAsia="zh-CN"/>
        </w:rPr>
        <w:t>, 1332–1338</w:t>
      </w:r>
      <w:r w:rsidRPr="005C3D3A">
        <w:rPr>
          <w:rFonts w:ascii="Palatino Linotype" w:eastAsia="SimSun" w:hAnsi="Palatino Linotype" w:cs="Times New Roman"/>
          <w:color w:val="000000"/>
          <w:sz w:val="18"/>
          <w:szCs w:val="20"/>
          <w:lang w:val="en-US" w:eastAsia="zh-CN"/>
        </w:rPr>
        <w:t>.</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Hoshino, Y.; </w:t>
      </w:r>
      <w:proofErr w:type="spellStart"/>
      <w:r w:rsidRPr="005C3D3A">
        <w:rPr>
          <w:rFonts w:ascii="Palatino Linotype" w:eastAsia="SimSun" w:hAnsi="Palatino Linotype" w:cs="Times New Roman"/>
          <w:color w:val="000000"/>
          <w:sz w:val="18"/>
          <w:szCs w:val="20"/>
          <w:lang w:val="en-US" w:eastAsia="zh-CN"/>
        </w:rPr>
        <w:t>Tse</w:t>
      </w:r>
      <w:proofErr w:type="spellEnd"/>
      <w:r w:rsidRPr="005C3D3A">
        <w:rPr>
          <w:rFonts w:ascii="Palatino Linotype" w:eastAsia="SimSun" w:hAnsi="Palatino Linotype" w:cs="Times New Roman"/>
          <w:color w:val="000000"/>
          <w:sz w:val="18"/>
          <w:szCs w:val="20"/>
          <w:lang w:val="en-US" w:eastAsia="zh-CN"/>
        </w:rPr>
        <w:t xml:space="preserve">, D.B.; Rochford, G.; Prabhakar, S.; Hoshino, S.; </w:t>
      </w:r>
      <w:proofErr w:type="spellStart"/>
      <w:r w:rsidRPr="005C3D3A">
        <w:rPr>
          <w:rFonts w:ascii="Palatino Linotype" w:eastAsia="SimSun" w:hAnsi="Palatino Linotype" w:cs="Times New Roman"/>
          <w:color w:val="000000"/>
          <w:sz w:val="18"/>
          <w:szCs w:val="20"/>
          <w:lang w:val="en-US" w:eastAsia="zh-CN"/>
        </w:rPr>
        <w:t>Chitkara</w:t>
      </w:r>
      <w:proofErr w:type="spellEnd"/>
      <w:r w:rsidRPr="005C3D3A">
        <w:rPr>
          <w:rFonts w:ascii="Palatino Linotype" w:eastAsia="SimSun" w:hAnsi="Palatino Linotype" w:cs="Times New Roman"/>
          <w:color w:val="000000"/>
          <w:sz w:val="18"/>
          <w:szCs w:val="20"/>
          <w:lang w:val="en-US" w:eastAsia="zh-CN"/>
        </w:rPr>
        <w:t xml:space="preserve">, N.; </w:t>
      </w:r>
      <w:proofErr w:type="spellStart"/>
      <w:r w:rsidRPr="005C3D3A">
        <w:rPr>
          <w:rFonts w:ascii="Palatino Linotype" w:eastAsia="SimSun" w:hAnsi="Palatino Linotype" w:cs="Times New Roman"/>
          <w:color w:val="000000"/>
          <w:sz w:val="18"/>
          <w:szCs w:val="20"/>
          <w:lang w:val="en-US" w:eastAsia="zh-CN"/>
        </w:rPr>
        <w:t>Kuwabara</w:t>
      </w:r>
      <w:proofErr w:type="spellEnd"/>
      <w:r w:rsidRPr="005C3D3A">
        <w:rPr>
          <w:rFonts w:ascii="Palatino Linotype" w:eastAsia="SimSun" w:hAnsi="Palatino Linotype" w:cs="Times New Roman"/>
          <w:color w:val="000000"/>
          <w:sz w:val="18"/>
          <w:szCs w:val="20"/>
          <w:lang w:val="en-US" w:eastAsia="zh-CN"/>
        </w:rPr>
        <w:t xml:space="preserve">, K.; Ching, E.; Raju, B.; Gold, J.A.; et al.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-induced CXCR4 and chemokine expression leads to preferential X4 HIV-1 replication in human macrophages. </w:t>
      </w:r>
      <w:r w:rsidRPr="005C3D3A">
        <w:rPr>
          <w:rFonts w:ascii="Palatino Linotype" w:eastAsia="SimSun" w:hAnsi="Palatino Linotype" w:cs="Times New Roman"/>
          <w:i/>
          <w:iCs/>
          <w:color w:val="000000"/>
          <w:sz w:val="18"/>
          <w:szCs w:val="20"/>
          <w:lang w:val="en-US" w:eastAsia="zh-CN"/>
        </w:rPr>
        <w:t>J. Immunol.</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2004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172</w:t>
      </w:r>
      <w:r w:rsidRPr="005C3D3A">
        <w:rPr>
          <w:rFonts w:ascii="Palatino Linotype" w:eastAsia="SimSun" w:hAnsi="Palatino Linotype" w:cs="Times New Roman"/>
          <w:bCs/>
          <w:color w:val="000000"/>
          <w:sz w:val="18"/>
          <w:szCs w:val="20"/>
          <w:lang w:val="en-US" w:eastAsia="zh-CN"/>
        </w:rPr>
        <w:t>, 6251–6258</w:t>
      </w:r>
      <w:r w:rsidRPr="005C3D3A">
        <w:rPr>
          <w:rFonts w:ascii="Palatino Linotype" w:eastAsia="SimSun" w:hAnsi="Palatino Linotype" w:cs="Times New Roman"/>
          <w:color w:val="000000"/>
          <w:sz w:val="18"/>
          <w:szCs w:val="20"/>
          <w:lang w:val="en-US" w:eastAsia="zh-CN"/>
        </w:rPr>
        <w:t>, doi:</w:t>
      </w:r>
      <w:r w:rsidRPr="005C3D3A">
        <w:rPr>
          <w:rFonts w:ascii="Palatino Linotype" w:eastAsia="SimSun" w:hAnsi="Palatino Linotype" w:cs="Times New Roman"/>
          <w:noProof/>
          <w:color w:val="000000"/>
          <w:sz w:val="18"/>
          <w:szCs w:val="18"/>
          <w:shd w:val="clear" w:color="auto" w:fill="FFFFFF"/>
          <w:lang w:val="en-US" w:eastAsia="zh-CN"/>
        </w:rPr>
        <w:t>10.4049/jimmunol.172.10.6251</w:t>
      </w:r>
      <w:r w:rsidRPr="005C3D3A">
        <w:rPr>
          <w:rFonts w:ascii="Palatino Linotype" w:eastAsia="SimSun" w:hAnsi="Palatino Linotype" w:cs="Times New Roman"/>
          <w:color w:val="000000"/>
          <w:sz w:val="18"/>
          <w:szCs w:val="20"/>
          <w:lang w:val="en-US" w:eastAsia="zh-CN"/>
        </w:rPr>
        <w:t>.</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Rodriguez, M.E.; </w:t>
      </w:r>
      <w:proofErr w:type="spellStart"/>
      <w:r w:rsidRPr="005C3D3A">
        <w:rPr>
          <w:rFonts w:ascii="Palatino Linotype" w:eastAsia="SimSun" w:hAnsi="Palatino Linotype" w:cs="Times New Roman"/>
          <w:color w:val="000000"/>
          <w:sz w:val="18"/>
          <w:szCs w:val="20"/>
          <w:lang w:val="en-US" w:eastAsia="zh-CN"/>
        </w:rPr>
        <w:t>Loyd</w:t>
      </w:r>
      <w:proofErr w:type="spellEnd"/>
      <w:r w:rsidRPr="005C3D3A">
        <w:rPr>
          <w:rFonts w:ascii="Palatino Linotype" w:eastAsia="SimSun" w:hAnsi="Palatino Linotype" w:cs="Times New Roman"/>
          <w:color w:val="000000"/>
          <w:sz w:val="18"/>
          <w:szCs w:val="20"/>
          <w:lang w:val="en-US" w:eastAsia="zh-CN"/>
        </w:rPr>
        <w:t xml:space="preserve">, C.M.; Ding, X.; Karim, A.F.; McDonald, D.J.; </w:t>
      </w:r>
      <w:proofErr w:type="spellStart"/>
      <w:r w:rsidRPr="005C3D3A">
        <w:rPr>
          <w:rFonts w:ascii="Palatino Linotype" w:eastAsia="SimSun" w:hAnsi="Palatino Linotype" w:cs="Times New Roman"/>
          <w:color w:val="000000"/>
          <w:sz w:val="18"/>
          <w:szCs w:val="20"/>
          <w:lang w:val="en-US" w:eastAsia="zh-CN"/>
        </w:rPr>
        <w:t>Canaday</w:t>
      </w:r>
      <w:proofErr w:type="spellEnd"/>
      <w:r w:rsidRPr="005C3D3A">
        <w:rPr>
          <w:rFonts w:ascii="Palatino Linotype" w:eastAsia="SimSun" w:hAnsi="Palatino Linotype" w:cs="Times New Roman"/>
          <w:color w:val="000000"/>
          <w:sz w:val="18"/>
          <w:szCs w:val="20"/>
          <w:lang w:val="en-US" w:eastAsia="zh-CN"/>
        </w:rPr>
        <w:t xml:space="preserve">, D.H.; Rojas, R.E. Mycobacterial phosphatidylinositol </w:t>
      </w:r>
      <w:proofErr w:type="spellStart"/>
      <w:r w:rsidRPr="005C3D3A">
        <w:rPr>
          <w:rFonts w:ascii="Palatino Linotype" w:eastAsia="SimSun" w:hAnsi="Palatino Linotype" w:cs="Times New Roman"/>
          <w:color w:val="000000"/>
          <w:sz w:val="18"/>
          <w:szCs w:val="20"/>
          <w:lang w:val="en-US" w:eastAsia="zh-CN"/>
        </w:rPr>
        <w:t>mannoside</w:t>
      </w:r>
      <w:proofErr w:type="spellEnd"/>
      <w:r w:rsidRPr="005C3D3A">
        <w:rPr>
          <w:rFonts w:ascii="Palatino Linotype" w:eastAsia="SimSun" w:hAnsi="Palatino Linotype" w:cs="Times New Roman"/>
          <w:color w:val="000000"/>
          <w:sz w:val="18"/>
          <w:szCs w:val="20"/>
          <w:lang w:val="en-US" w:eastAsia="zh-CN"/>
        </w:rPr>
        <w:t xml:space="preserve"> 6 (PIM6) up-regulates TCR-triggered HIV-1 replication in CD4+ T cells. </w:t>
      </w:r>
      <w:proofErr w:type="spellStart"/>
      <w:r w:rsidRPr="005C3D3A">
        <w:rPr>
          <w:rFonts w:ascii="Palatino Linotype" w:eastAsia="SimSun" w:hAnsi="Palatino Linotype" w:cs="Times New Roman"/>
          <w:i/>
          <w:iCs/>
          <w:color w:val="000000"/>
          <w:sz w:val="18"/>
          <w:szCs w:val="20"/>
          <w:lang w:val="en-US" w:eastAsia="zh-CN"/>
        </w:rPr>
        <w:t>PLoS</w:t>
      </w:r>
      <w:proofErr w:type="spellEnd"/>
      <w:r w:rsidRPr="005C3D3A">
        <w:rPr>
          <w:rFonts w:ascii="Palatino Linotype" w:eastAsia="SimSun" w:hAnsi="Palatino Linotype" w:cs="Times New Roman"/>
          <w:i/>
          <w:iCs/>
          <w:color w:val="000000"/>
          <w:sz w:val="18"/>
          <w:szCs w:val="20"/>
          <w:lang w:val="en-US" w:eastAsia="zh-CN"/>
        </w:rPr>
        <w:t xml:space="preserve"> ONE</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2013</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i/>
          <w:iCs/>
          <w:color w:val="000000"/>
          <w:sz w:val="18"/>
          <w:szCs w:val="20"/>
          <w:lang w:val="en-US" w:eastAsia="zh-CN"/>
        </w:rPr>
        <w:t>8</w:t>
      </w:r>
      <w:r w:rsidRPr="005C3D3A">
        <w:rPr>
          <w:rFonts w:ascii="Palatino Linotype" w:eastAsia="SimSun" w:hAnsi="Palatino Linotype" w:cs="Times New Roman"/>
          <w:color w:val="000000"/>
          <w:sz w:val="18"/>
          <w:szCs w:val="20"/>
          <w:lang w:val="en-US" w:eastAsia="zh-CN"/>
        </w:rPr>
        <w:t>, e80938, doi:10.1371/journal.pone.0080938.</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Tomlinson, G.S.; Bell, L.C.K.; Walker, N.F.; Tsang, J.; Brown, J.S.; Breen, R.; Lipman, M.; Katz, D.R.; Miller, R.F.; Chain, B.M.; et al. HIV-1 infection of macrophages dysregulates innate immune responses to </w:t>
      </w:r>
      <w:r w:rsidRPr="005C3D3A">
        <w:rPr>
          <w:rFonts w:ascii="Palatino Linotype" w:eastAsia="SimSun" w:hAnsi="Palatino Linotype" w:cs="Times New Roman"/>
          <w:i/>
          <w:color w:val="000000"/>
          <w:sz w:val="18"/>
          <w:szCs w:val="20"/>
          <w:lang w:val="en-US" w:eastAsia="zh-CN"/>
        </w:rPr>
        <w:t>Mycobacterium tuberculosis</w:t>
      </w:r>
      <w:r w:rsidRPr="005C3D3A">
        <w:rPr>
          <w:rFonts w:ascii="Palatino Linotype" w:eastAsia="SimSun" w:hAnsi="Palatino Linotype" w:cs="Times New Roman"/>
          <w:color w:val="000000"/>
          <w:sz w:val="18"/>
          <w:szCs w:val="20"/>
          <w:lang w:val="en-US" w:eastAsia="zh-CN"/>
        </w:rPr>
        <w:t xml:space="preserve"> by inhibition of interleukin-10. </w:t>
      </w:r>
      <w:r w:rsidRPr="005C3D3A">
        <w:rPr>
          <w:rFonts w:ascii="Palatino Linotype" w:eastAsia="SimSun" w:hAnsi="Palatino Linotype" w:cs="Times New Roman"/>
          <w:i/>
          <w:iCs/>
          <w:color w:val="000000"/>
          <w:sz w:val="18"/>
          <w:szCs w:val="20"/>
          <w:lang w:val="en-US" w:eastAsia="zh-CN"/>
        </w:rPr>
        <w:t>J. Infect. Dis.</w:t>
      </w:r>
      <w:r w:rsidRPr="005C3D3A">
        <w:rPr>
          <w:rFonts w:ascii="Palatino Linotype" w:eastAsia="SimSun" w:hAnsi="Palatino Linotype" w:cs="Times New Roman"/>
          <w:color w:val="000000"/>
          <w:sz w:val="18"/>
          <w:szCs w:val="20"/>
          <w:lang w:val="en-US" w:eastAsia="zh-CN"/>
        </w:rPr>
        <w:t xml:space="preserve"> </w:t>
      </w:r>
      <w:r w:rsidRPr="005C3D3A">
        <w:rPr>
          <w:rFonts w:ascii="Palatino Linotype" w:eastAsia="SimSun" w:hAnsi="Palatino Linotype" w:cs="Times New Roman"/>
          <w:b/>
          <w:bCs/>
          <w:color w:val="000000"/>
          <w:sz w:val="18"/>
          <w:szCs w:val="20"/>
          <w:lang w:val="en-US" w:eastAsia="zh-CN"/>
        </w:rPr>
        <w:t>2014</w:t>
      </w:r>
      <w:r w:rsidRPr="005C3D3A">
        <w:rPr>
          <w:rFonts w:ascii="Palatino Linotype" w:eastAsia="SimSun" w:hAnsi="Palatino Linotype" w:cs="Times New Roman"/>
          <w:bCs/>
          <w:color w:val="000000"/>
          <w:sz w:val="18"/>
          <w:szCs w:val="20"/>
          <w:lang w:val="en-US" w:eastAsia="zh-CN"/>
        </w:rPr>
        <w:t xml:space="preserve">, </w:t>
      </w:r>
      <w:r w:rsidRPr="005C3D3A">
        <w:rPr>
          <w:rFonts w:ascii="Palatino Linotype" w:eastAsia="SimSun" w:hAnsi="Palatino Linotype" w:cs="Times New Roman"/>
          <w:bCs/>
          <w:i/>
          <w:color w:val="000000"/>
          <w:sz w:val="18"/>
          <w:szCs w:val="20"/>
          <w:lang w:val="en-US" w:eastAsia="zh-CN"/>
        </w:rPr>
        <w:t>209</w:t>
      </w:r>
      <w:r w:rsidRPr="005C3D3A">
        <w:rPr>
          <w:rFonts w:ascii="Palatino Linotype" w:eastAsia="SimSun" w:hAnsi="Palatino Linotype" w:cs="Times New Roman"/>
          <w:bCs/>
          <w:color w:val="000000"/>
          <w:sz w:val="18"/>
          <w:szCs w:val="20"/>
          <w:lang w:val="en-US" w:eastAsia="zh-CN"/>
        </w:rPr>
        <w:t>, 1055–1065,</w:t>
      </w:r>
      <w:r w:rsidRPr="005C3D3A">
        <w:rPr>
          <w:rFonts w:ascii="Palatino Linotype" w:eastAsia="SimSun" w:hAnsi="Palatino Linotype" w:cs="Times New Roman"/>
          <w:color w:val="000000"/>
          <w:sz w:val="18"/>
          <w:szCs w:val="20"/>
          <w:lang w:val="en-US" w:eastAsia="zh-CN"/>
        </w:rPr>
        <w:t xml:space="preserve"> doi:10.1093/</w:t>
      </w:r>
      <w:proofErr w:type="spellStart"/>
      <w:r w:rsidRPr="005C3D3A">
        <w:rPr>
          <w:rFonts w:ascii="Palatino Linotype" w:eastAsia="SimSun" w:hAnsi="Palatino Linotype" w:cs="Times New Roman"/>
          <w:color w:val="000000"/>
          <w:sz w:val="18"/>
          <w:szCs w:val="20"/>
          <w:lang w:val="en-US" w:eastAsia="zh-CN"/>
        </w:rPr>
        <w:t>infdis</w:t>
      </w:r>
      <w:proofErr w:type="spellEnd"/>
      <w:r w:rsidRPr="005C3D3A">
        <w:rPr>
          <w:rFonts w:ascii="Palatino Linotype" w:eastAsia="SimSun" w:hAnsi="Palatino Linotype" w:cs="Times New Roman"/>
          <w:color w:val="000000"/>
          <w:sz w:val="18"/>
          <w:szCs w:val="20"/>
          <w:lang w:val="en-US" w:eastAsia="zh-CN"/>
        </w:rPr>
        <w:t>/jit621.</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noProof/>
          <w:color w:val="000000"/>
          <w:sz w:val="18"/>
          <w:szCs w:val="20"/>
          <w:lang w:val="en-US" w:eastAsia="zh-CN"/>
        </w:rPr>
        <w:t xml:space="preserve">Bhatt. K.; Gurcha, S. S.; Bhatt, A., Besra, G. S.; Jacobs, W. R. </w:t>
      </w:r>
      <w:r w:rsidRPr="005C3D3A">
        <w:rPr>
          <w:rFonts w:ascii="Palatino Linotype" w:eastAsia="SimSun" w:hAnsi="Palatino Linotype" w:cs="Times New Roman"/>
          <w:bCs/>
          <w:noProof/>
          <w:color w:val="212121"/>
          <w:sz w:val="18"/>
          <w:szCs w:val="18"/>
          <w:shd w:val="clear" w:color="auto" w:fill="FFFFFF"/>
          <w:lang w:val="en-US" w:eastAsia="zh-CN"/>
        </w:rPr>
        <w:t xml:space="preserve">Two polyketide-synthase-associated acyltransferases are required for sulfolipid biosynthesis in </w:t>
      </w:r>
      <w:r w:rsidRPr="005C3D3A">
        <w:rPr>
          <w:rFonts w:ascii="Palatino Linotype" w:eastAsia="SimSun" w:hAnsi="Palatino Linotype" w:cs="Times New Roman"/>
          <w:bCs/>
          <w:i/>
          <w:iCs/>
          <w:noProof/>
          <w:color w:val="212121"/>
          <w:sz w:val="18"/>
          <w:szCs w:val="18"/>
          <w:shd w:val="clear" w:color="auto" w:fill="FFFFFF"/>
          <w:lang w:val="en-US" w:eastAsia="zh-CN"/>
        </w:rPr>
        <w:t>Mycobacterium tuberculosis</w:t>
      </w:r>
      <w:r w:rsidRPr="005C3D3A">
        <w:rPr>
          <w:rFonts w:ascii="Palatino Linotype" w:eastAsia="SimSun" w:hAnsi="Palatino Linotype" w:cs="Times New Roman"/>
          <w:bCs/>
          <w:noProof/>
          <w:color w:val="212121"/>
          <w:sz w:val="18"/>
          <w:szCs w:val="18"/>
          <w:shd w:val="clear" w:color="auto" w:fill="FFFFFF"/>
          <w:lang w:val="en-US" w:eastAsia="zh-CN"/>
        </w:rPr>
        <w:t xml:space="preserve">. </w:t>
      </w:r>
      <w:r w:rsidRPr="005C3D3A">
        <w:rPr>
          <w:rFonts w:ascii="Palatino Linotype" w:eastAsia="SimSun" w:hAnsi="Palatino Linotype" w:cs="Times New Roman"/>
          <w:bCs/>
          <w:i/>
          <w:noProof/>
          <w:color w:val="212121"/>
          <w:sz w:val="18"/>
          <w:szCs w:val="18"/>
          <w:shd w:val="clear" w:color="auto" w:fill="FFFFFF"/>
          <w:lang w:val="en-US" w:eastAsia="zh-CN"/>
        </w:rPr>
        <w:t>Microbiology</w:t>
      </w:r>
      <w:r w:rsidRPr="005C3D3A">
        <w:rPr>
          <w:rFonts w:ascii="Palatino Linotype" w:eastAsia="SimSun" w:hAnsi="Palatino Linotype" w:cs="Times New Roman"/>
          <w:bCs/>
          <w:noProof/>
          <w:color w:val="212121"/>
          <w:sz w:val="18"/>
          <w:szCs w:val="18"/>
          <w:shd w:val="clear" w:color="auto" w:fill="FFFFFF"/>
          <w:lang w:val="en-US" w:eastAsia="zh-CN"/>
        </w:rPr>
        <w:t xml:space="preserve"> </w:t>
      </w:r>
      <w:r w:rsidRPr="005C3D3A">
        <w:rPr>
          <w:rFonts w:ascii="Palatino Linotype" w:eastAsia="SimSun" w:hAnsi="Palatino Linotype" w:cs="Times New Roman"/>
          <w:b/>
          <w:bCs/>
          <w:noProof/>
          <w:color w:val="212121"/>
          <w:sz w:val="18"/>
          <w:szCs w:val="18"/>
          <w:shd w:val="clear" w:color="auto" w:fill="FFFFFF"/>
          <w:lang w:val="en-US" w:eastAsia="zh-CN"/>
        </w:rPr>
        <w:t>2007</w:t>
      </w:r>
      <w:r w:rsidRPr="005C3D3A">
        <w:rPr>
          <w:rFonts w:ascii="Palatino Linotype" w:eastAsia="SimSun" w:hAnsi="Palatino Linotype" w:cs="Times New Roman"/>
          <w:bCs/>
          <w:noProof/>
          <w:color w:val="212121"/>
          <w:sz w:val="18"/>
          <w:szCs w:val="18"/>
          <w:shd w:val="clear" w:color="auto" w:fill="FFFFFF"/>
          <w:lang w:val="en-US" w:eastAsia="zh-CN"/>
        </w:rPr>
        <w:t xml:space="preserve">, 153, 513-520. </w:t>
      </w:r>
      <w:r w:rsidRPr="005C3D3A">
        <w:rPr>
          <w:rFonts w:ascii="Palatino Linotype" w:eastAsia="SimSun" w:hAnsi="Palatino Linotype" w:cs="Segoe UI"/>
          <w:noProof/>
          <w:sz w:val="18"/>
          <w:szCs w:val="18"/>
          <w:shd w:val="clear" w:color="auto" w:fill="FFFFFF"/>
          <w:lang w:val="en-US" w:eastAsia="zh-CN"/>
        </w:rPr>
        <w:t>doi: 10.1099/mic.0.2006/003103-0.</w:t>
      </w:r>
    </w:p>
    <w:p w:rsidR="005C3D3A" w:rsidRPr="005C3D3A" w:rsidRDefault="005C3D3A" w:rsidP="005C3D3A">
      <w:pPr>
        <w:numPr>
          <w:ilvl w:val="0"/>
          <w:numId w:val="1"/>
        </w:numPr>
        <w:adjustRightInd w:val="0"/>
        <w:snapToGrid w:val="0"/>
        <w:spacing w:after="0" w:line="228" w:lineRule="auto"/>
        <w:ind w:left="425" w:hanging="425"/>
        <w:contextualSpacing/>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t xml:space="preserve">Dobson, G.; </w:t>
      </w:r>
      <w:proofErr w:type="spellStart"/>
      <w:r w:rsidRPr="005C3D3A">
        <w:rPr>
          <w:rFonts w:ascii="Palatino Linotype" w:eastAsia="SimSun" w:hAnsi="Palatino Linotype" w:cs="Times New Roman"/>
          <w:color w:val="000000"/>
          <w:sz w:val="18"/>
          <w:szCs w:val="20"/>
          <w:lang w:val="en-US" w:eastAsia="zh-CN"/>
        </w:rPr>
        <w:t>Minnikin</w:t>
      </w:r>
      <w:proofErr w:type="spellEnd"/>
      <w:r w:rsidRPr="005C3D3A">
        <w:rPr>
          <w:rFonts w:ascii="Palatino Linotype" w:eastAsia="SimSun" w:hAnsi="Palatino Linotype" w:cs="Times New Roman"/>
          <w:color w:val="000000"/>
          <w:sz w:val="18"/>
          <w:szCs w:val="20"/>
          <w:lang w:val="en-US" w:eastAsia="zh-CN"/>
        </w:rPr>
        <w:t xml:space="preserve">, D.E.; </w:t>
      </w:r>
      <w:proofErr w:type="spellStart"/>
      <w:r w:rsidRPr="005C3D3A">
        <w:rPr>
          <w:rFonts w:ascii="Palatino Linotype" w:eastAsia="SimSun" w:hAnsi="Palatino Linotype" w:cs="Times New Roman"/>
          <w:color w:val="000000"/>
          <w:sz w:val="18"/>
          <w:szCs w:val="20"/>
          <w:lang w:val="en-US" w:eastAsia="zh-CN"/>
        </w:rPr>
        <w:t>Minnikin</w:t>
      </w:r>
      <w:proofErr w:type="spellEnd"/>
      <w:r w:rsidRPr="005C3D3A">
        <w:rPr>
          <w:rFonts w:ascii="Palatino Linotype" w:eastAsia="SimSun" w:hAnsi="Palatino Linotype" w:cs="Times New Roman"/>
          <w:color w:val="000000"/>
          <w:sz w:val="18"/>
          <w:szCs w:val="20"/>
          <w:lang w:val="en-US" w:eastAsia="zh-CN"/>
        </w:rPr>
        <w:t xml:space="preserve">, S.M.; </w:t>
      </w:r>
      <w:proofErr w:type="spellStart"/>
      <w:r w:rsidRPr="005C3D3A">
        <w:rPr>
          <w:rFonts w:ascii="Palatino Linotype" w:eastAsia="SimSun" w:hAnsi="Palatino Linotype" w:cs="Times New Roman"/>
          <w:color w:val="000000"/>
          <w:sz w:val="18"/>
          <w:szCs w:val="20"/>
          <w:lang w:val="en-US" w:eastAsia="zh-CN"/>
        </w:rPr>
        <w:t>Parlett</w:t>
      </w:r>
      <w:proofErr w:type="spellEnd"/>
      <w:r w:rsidRPr="005C3D3A">
        <w:rPr>
          <w:rFonts w:ascii="Palatino Linotype" w:eastAsia="SimSun" w:hAnsi="Palatino Linotype" w:cs="Times New Roman"/>
          <w:color w:val="000000"/>
          <w:sz w:val="18"/>
          <w:szCs w:val="20"/>
          <w:lang w:val="en-US" w:eastAsia="zh-CN"/>
        </w:rPr>
        <w:t xml:space="preserve">, J.H.; Goodfellow, M.; </w:t>
      </w:r>
      <w:proofErr w:type="spellStart"/>
      <w:r w:rsidRPr="005C3D3A">
        <w:rPr>
          <w:rFonts w:ascii="Palatino Linotype" w:eastAsia="SimSun" w:hAnsi="Palatino Linotype" w:cs="Times New Roman"/>
          <w:color w:val="000000"/>
          <w:sz w:val="18"/>
          <w:szCs w:val="20"/>
          <w:lang w:val="en-US" w:eastAsia="zh-CN"/>
        </w:rPr>
        <w:t>Ridell</w:t>
      </w:r>
      <w:proofErr w:type="spellEnd"/>
      <w:r w:rsidRPr="005C3D3A">
        <w:rPr>
          <w:rFonts w:ascii="Palatino Linotype" w:eastAsia="SimSun" w:hAnsi="Palatino Linotype" w:cs="Times New Roman"/>
          <w:color w:val="000000"/>
          <w:sz w:val="18"/>
          <w:szCs w:val="20"/>
          <w:lang w:val="en-US" w:eastAsia="zh-CN"/>
        </w:rPr>
        <w:t xml:space="preserve">, M.; Magnusson, M. Systematic analysis of complex mycobacterial lipids. In </w:t>
      </w:r>
      <w:r w:rsidRPr="005C3D3A">
        <w:rPr>
          <w:rFonts w:ascii="Palatino Linotype" w:eastAsia="SimSun" w:hAnsi="Palatino Linotype" w:cs="Times New Roman"/>
          <w:i/>
          <w:iCs/>
          <w:color w:val="000000"/>
          <w:sz w:val="18"/>
          <w:szCs w:val="20"/>
          <w:lang w:val="en-US" w:eastAsia="zh-CN"/>
        </w:rPr>
        <w:t xml:space="preserve">Chemical </w:t>
      </w:r>
      <w:proofErr w:type="spellStart"/>
      <w:r w:rsidRPr="005C3D3A">
        <w:rPr>
          <w:rFonts w:ascii="Palatino Linotype" w:eastAsia="SimSun" w:hAnsi="Palatino Linotype" w:cs="Times New Roman"/>
          <w:i/>
          <w:iCs/>
          <w:color w:val="000000"/>
          <w:sz w:val="18"/>
          <w:szCs w:val="20"/>
          <w:lang w:val="en-US" w:eastAsia="zh-CN"/>
        </w:rPr>
        <w:t>Methodscin</w:t>
      </w:r>
      <w:proofErr w:type="spellEnd"/>
      <w:r w:rsidRPr="005C3D3A">
        <w:rPr>
          <w:rFonts w:ascii="Palatino Linotype" w:eastAsia="SimSun" w:hAnsi="Palatino Linotype" w:cs="Times New Roman"/>
          <w:i/>
          <w:iCs/>
          <w:color w:val="000000"/>
          <w:sz w:val="18"/>
          <w:szCs w:val="20"/>
          <w:lang w:val="en-US" w:eastAsia="zh-CN"/>
        </w:rPr>
        <w:t xml:space="preserve"> Bacterial Systematics</w:t>
      </w:r>
      <w:r w:rsidRPr="005C3D3A">
        <w:rPr>
          <w:rFonts w:ascii="Palatino Linotype" w:eastAsia="SimSun" w:hAnsi="Palatino Linotype" w:cs="Times New Roman"/>
          <w:color w:val="000000"/>
          <w:sz w:val="18"/>
          <w:szCs w:val="20"/>
          <w:lang w:val="en-US" w:eastAsia="zh-CN"/>
        </w:rPr>
        <w:t xml:space="preserve">; Goodfellow, M., </w:t>
      </w:r>
      <w:proofErr w:type="spellStart"/>
      <w:r w:rsidRPr="005C3D3A">
        <w:rPr>
          <w:rFonts w:ascii="Palatino Linotype" w:eastAsia="SimSun" w:hAnsi="Palatino Linotype" w:cs="Times New Roman"/>
          <w:color w:val="000000"/>
          <w:sz w:val="18"/>
          <w:szCs w:val="20"/>
          <w:lang w:val="en-US" w:eastAsia="zh-CN"/>
        </w:rPr>
        <w:t>Minnikin</w:t>
      </w:r>
      <w:proofErr w:type="spellEnd"/>
      <w:r w:rsidRPr="005C3D3A">
        <w:rPr>
          <w:rFonts w:ascii="Palatino Linotype" w:eastAsia="SimSun" w:hAnsi="Palatino Linotype" w:cs="Times New Roman"/>
          <w:color w:val="000000"/>
          <w:sz w:val="18"/>
          <w:szCs w:val="20"/>
          <w:lang w:val="en-US" w:eastAsia="zh-CN"/>
        </w:rPr>
        <w:t>, D.E., Eds.; Academic Press: London, UK, 1985; Volume 1, pp. 237–265.</w:t>
      </w:r>
    </w:p>
    <w:p w:rsidR="003565B6" w:rsidRDefault="005C3D3A" w:rsidP="005C3D3A">
      <w:pPr>
        <w:adjustRightInd w:val="0"/>
        <w:snapToGrid w:val="0"/>
        <w:spacing w:before="240" w:after="0" w:line="480" w:lineRule="auto"/>
        <w:jc w:val="both"/>
        <w:rPr>
          <w:rFonts w:ascii="Palatino Linotype" w:eastAsia="SimSun" w:hAnsi="Palatino Linotype" w:cs="Times New Roman"/>
          <w:color w:val="000000"/>
          <w:sz w:val="18"/>
          <w:szCs w:val="20"/>
          <w:lang w:val="en-US" w:eastAsia="zh-CN"/>
        </w:rPr>
      </w:pPr>
      <w:r w:rsidRPr="005C3D3A">
        <w:rPr>
          <w:rFonts w:ascii="Palatino Linotype" w:eastAsia="SimSun" w:hAnsi="Palatino Linotype" w:cs="Times New Roman"/>
          <w:color w:val="000000"/>
          <w:sz w:val="18"/>
          <w:szCs w:val="20"/>
          <w:lang w:val="en-US" w:eastAsia="zh-CN"/>
        </w:rPr>
        <w:fldChar w:fldCharType="end"/>
      </w:r>
    </w:p>
    <w:p w:rsidR="00101A51" w:rsidRDefault="00101A51" w:rsidP="005C3D3A">
      <w:pPr>
        <w:adjustRightInd w:val="0"/>
        <w:snapToGrid w:val="0"/>
        <w:spacing w:before="240" w:after="0" w:line="480" w:lineRule="auto"/>
        <w:jc w:val="both"/>
        <w:rPr>
          <w:rFonts w:ascii="Palatino Linotype" w:eastAsia="Times New Roman" w:hAnsi="Palatino Linotype" w:cs="Times New Roman"/>
          <w:color w:val="000000"/>
          <w:sz w:val="18"/>
          <w:lang w:val="en-US" w:eastAsia="de-DE" w:bidi="en-US"/>
        </w:rPr>
      </w:pPr>
    </w:p>
    <w:p w:rsidR="00101A51" w:rsidRDefault="00101A51" w:rsidP="005C3D3A">
      <w:pPr>
        <w:adjustRightInd w:val="0"/>
        <w:snapToGrid w:val="0"/>
        <w:spacing w:before="240" w:after="0" w:line="480" w:lineRule="auto"/>
        <w:jc w:val="both"/>
        <w:rPr>
          <w:rFonts w:ascii="Palatino Linotype" w:eastAsia="Times New Roman" w:hAnsi="Palatino Linotype" w:cs="Times New Roman"/>
          <w:color w:val="000000"/>
          <w:sz w:val="18"/>
          <w:lang w:val="en-US" w:eastAsia="de-DE" w:bidi="en-US"/>
        </w:rPr>
      </w:pPr>
    </w:p>
    <w:p w:rsidR="00101A51" w:rsidRDefault="00101A51" w:rsidP="005C3D3A">
      <w:pPr>
        <w:adjustRightInd w:val="0"/>
        <w:snapToGrid w:val="0"/>
        <w:spacing w:before="240" w:after="0" w:line="480" w:lineRule="auto"/>
        <w:jc w:val="both"/>
        <w:rPr>
          <w:rFonts w:ascii="Palatino Linotype" w:eastAsia="Times New Roman" w:hAnsi="Palatino Linotype" w:cs="Times New Roman"/>
          <w:color w:val="000000"/>
          <w:sz w:val="18"/>
          <w:lang w:val="en-US" w:eastAsia="de-DE" w:bidi="en-US"/>
        </w:rPr>
      </w:pPr>
    </w:p>
    <w:p w:rsidR="003565B6" w:rsidRPr="00101A51" w:rsidRDefault="003565B6" w:rsidP="0012340B">
      <w:pPr>
        <w:adjustRightInd w:val="0"/>
        <w:snapToGrid w:val="0"/>
        <w:spacing w:before="240" w:after="0" w:line="480" w:lineRule="auto"/>
        <w:jc w:val="both"/>
        <w:rPr>
          <w:rFonts w:ascii="Palatino Linotype" w:eastAsia="Times New Roman" w:hAnsi="Palatino Linotype" w:cs="Times New Roman"/>
          <w:b/>
          <w:color w:val="000000"/>
          <w:sz w:val="20"/>
          <w:szCs w:val="20"/>
          <w:lang w:val="en-US" w:eastAsia="de-DE" w:bidi="en-US"/>
        </w:rPr>
      </w:pPr>
      <w:r w:rsidRPr="00101A51">
        <w:rPr>
          <w:rFonts w:ascii="Palatino Linotype" w:eastAsia="Times New Roman" w:hAnsi="Palatino Linotype" w:cs="Times New Roman"/>
          <w:b/>
          <w:color w:val="000000"/>
          <w:sz w:val="20"/>
          <w:szCs w:val="20"/>
          <w:lang w:val="en-US" w:eastAsia="de-DE" w:bidi="en-US"/>
        </w:rPr>
        <w:t>Figure Legends</w:t>
      </w:r>
    </w:p>
    <w:p w:rsidR="00EA4710" w:rsidRPr="00101A51" w:rsidRDefault="00EA4710" w:rsidP="001336A8">
      <w:pPr>
        <w:adjustRightInd w:val="0"/>
        <w:snapToGrid w:val="0"/>
        <w:spacing w:before="120" w:after="240" w:line="228" w:lineRule="auto"/>
        <w:jc w:val="both"/>
        <w:rPr>
          <w:rFonts w:ascii="Palatino Linotype" w:eastAsia="Times New Roman" w:hAnsi="Palatino Linotype" w:cs="Times New Roman"/>
          <w:color w:val="000000"/>
          <w:sz w:val="20"/>
          <w:szCs w:val="20"/>
          <w:lang w:val="en-US" w:eastAsia="de-DE" w:bidi="en-US"/>
        </w:rPr>
      </w:pPr>
      <w:r w:rsidRPr="00101A51">
        <w:rPr>
          <w:rFonts w:ascii="Palatino Linotype" w:eastAsia="Times New Roman" w:hAnsi="Palatino Linotype" w:cs="Times New Roman"/>
          <w:b/>
          <w:bCs/>
          <w:color w:val="000000"/>
          <w:sz w:val="20"/>
          <w:szCs w:val="20"/>
          <w:lang w:val="en-US" w:eastAsia="de-DE" w:bidi="en-US"/>
        </w:rPr>
        <w:t xml:space="preserve">Figure 1. </w:t>
      </w:r>
      <w:r w:rsidRPr="00101A51">
        <w:rPr>
          <w:rFonts w:ascii="Palatino Linotype" w:eastAsia="Times New Roman" w:hAnsi="Palatino Linotype" w:cs="Times New Roman"/>
          <w:color w:val="000000"/>
          <w:sz w:val="20"/>
          <w:szCs w:val="20"/>
          <w:lang w:val="en-US" w:eastAsia="de-DE" w:bidi="en-US"/>
        </w:rPr>
        <w:t xml:space="preserve">Liposome-size analysis by </w:t>
      </w:r>
      <w:proofErr w:type="spellStart"/>
      <w:r w:rsidRPr="00101A51">
        <w:rPr>
          <w:rFonts w:ascii="Palatino Linotype" w:eastAsia="Times New Roman" w:hAnsi="Palatino Linotype" w:cs="Times New Roman"/>
          <w:color w:val="000000"/>
          <w:sz w:val="20"/>
          <w:szCs w:val="20"/>
          <w:lang w:val="en-US" w:eastAsia="de-DE" w:bidi="en-US"/>
        </w:rPr>
        <w:t>NanoSight</w:t>
      </w:r>
      <w:proofErr w:type="spellEnd"/>
      <w:r w:rsidRPr="00101A51">
        <w:rPr>
          <w:rFonts w:ascii="Palatino Linotype" w:eastAsia="Times New Roman" w:hAnsi="Palatino Linotype" w:cs="Times New Roman"/>
          <w:color w:val="000000"/>
          <w:sz w:val="20"/>
          <w:szCs w:val="20"/>
          <w:lang w:val="en-US" w:eastAsia="de-DE" w:bidi="en-US"/>
        </w:rPr>
        <w:t xml:space="preserve"> particle tracking.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 Liposomes generated with the Extruder system at 100 nm size, (</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 Liposomes generated with the Extruder system at 200 nm size (</w:t>
      </w:r>
      <w:r w:rsidRPr="00101A51">
        <w:rPr>
          <w:rFonts w:ascii="Palatino Linotype" w:eastAsia="Times New Roman" w:hAnsi="Palatino Linotype" w:cs="Times New Roman"/>
          <w:b/>
          <w:bCs/>
          <w:color w:val="000000"/>
          <w:sz w:val="20"/>
          <w:szCs w:val="20"/>
          <w:lang w:val="en-US" w:eastAsia="de-DE" w:bidi="en-US"/>
        </w:rPr>
        <w:t>C</w:t>
      </w:r>
      <w:r w:rsidRPr="00101A51">
        <w:rPr>
          <w:rFonts w:ascii="Palatino Linotype" w:eastAsia="Times New Roman" w:hAnsi="Palatino Linotype" w:cs="Times New Roman"/>
          <w:color w:val="000000"/>
          <w:sz w:val="20"/>
          <w:szCs w:val="20"/>
          <w:lang w:val="en-US" w:eastAsia="de-DE" w:bidi="en-US"/>
        </w:rPr>
        <w:t>) 0.8PC:0.2Ch, (</w:t>
      </w:r>
      <w:r w:rsidRPr="00101A51">
        <w:rPr>
          <w:rFonts w:ascii="Palatino Linotype" w:eastAsia="Times New Roman" w:hAnsi="Palatino Linotype" w:cs="Times New Roman"/>
          <w:b/>
          <w:bCs/>
          <w:color w:val="000000"/>
          <w:sz w:val="20"/>
          <w:szCs w:val="20"/>
          <w:lang w:val="en-US" w:eastAsia="de-DE" w:bidi="en-US"/>
        </w:rPr>
        <w:t>D</w:t>
      </w:r>
      <w:r w:rsidRPr="00101A51">
        <w:rPr>
          <w:rFonts w:ascii="Palatino Linotype" w:eastAsia="Times New Roman" w:hAnsi="Palatino Linotype" w:cs="Times New Roman"/>
          <w:color w:val="000000"/>
          <w:sz w:val="20"/>
          <w:szCs w:val="20"/>
          <w:lang w:val="en-US" w:eastAsia="de-DE" w:bidi="en-US"/>
        </w:rPr>
        <w:t>) BCG batch n° 1, (</w:t>
      </w:r>
      <w:r w:rsidRPr="00101A51">
        <w:rPr>
          <w:rFonts w:ascii="Palatino Linotype" w:eastAsia="Times New Roman" w:hAnsi="Palatino Linotype" w:cs="Times New Roman"/>
          <w:b/>
          <w:bCs/>
          <w:color w:val="000000"/>
          <w:sz w:val="20"/>
          <w:szCs w:val="20"/>
          <w:lang w:val="en-US" w:eastAsia="de-DE" w:bidi="en-US"/>
        </w:rPr>
        <w:t>E</w:t>
      </w:r>
      <w:r w:rsidRPr="00101A51">
        <w:rPr>
          <w:rFonts w:ascii="Palatino Linotype" w:eastAsia="Times New Roman" w:hAnsi="Palatino Linotype" w:cs="Times New Roman"/>
          <w:color w:val="000000"/>
          <w:sz w:val="20"/>
          <w:szCs w:val="20"/>
          <w:lang w:val="en-US" w:eastAsia="de-DE" w:bidi="en-US"/>
        </w:rPr>
        <w:t>) BCG batch n° 2 and (</w:t>
      </w:r>
      <w:r w:rsidRPr="00101A51">
        <w:rPr>
          <w:rFonts w:ascii="Palatino Linotype" w:eastAsia="Times New Roman" w:hAnsi="Palatino Linotype" w:cs="Times New Roman"/>
          <w:b/>
          <w:bCs/>
          <w:color w:val="000000"/>
          <w:sz w:val="20"/>
          <w:szCs w:val="20"/>
          <w:lang w:val="en-US" w:eastAsia="de-DE" w:bidi="en-US"/>
        </w:rPr>
        <w:t>F</w:t>
      </w:r>
      <w:r w:rsidRPr="00101A51">
        <w:rPr>
          <w:rFonts w:ascii="Palatino Linotype" w:eastAsia="Times New Roman" w:hAnsi="Palatino Linotype" w:cs="Times New Roman"/>
          <w:color w:val="000000"/>
          <w:sz w:val="20"/>
          <w:szCs w:val="20"/>
          <w:lang w:val="en-US" w:eastAsia="de-DE" w:bidi="en-US"/>
        </w:rPr>
        <w:t>) H37Rv liposomes made by sonication without the Extruder step. Liposome suspensions were diluted 1:1000–1:2000 in PBS, and three 60 s videos were recorded. The data shown are from one experiment. On the right are graphs showing the results of particle concentration and their size measurement; and on the left are liposomes observed at the screen shot from NTA video.</w:t>
      </w:r>
    </w:p>
    <w:p w:rsidR="00EA4710" w:rsidRPr="00101A51" w:rsidRDefault="00EA4710" w:rsidP="001336A8">
      <w:pPr>
        <w:adjustRightInd w:val="0"/>
        <w:snapToGrid w:val="0"/>
        <w:spacing w:before="120" w:after="240" w:line="228" w:lineRule="auto"/>
        <w:jc w:val="both"/>
        <w:rPr>
          <w:rFonts w:ascii="Palatino Linotype" w:eastAsia="Times New Roman" w:hAnsi="Palatino Linotype" w:cs="Times New Roman"/>
          <w:color w:val="000000"/>
          <w:sz w:val="20"/>
          <w:szCs w:val="20"/>
          <w:lang w:val="en-US" w:eastAsia="de-DE" w:bidi="en-US"/>
        </w:rPr>
      </w:pPr>
      <w:r w:rsidRPr="00101A51">
        <w:rPr>
          <w:rFonts w:ascii="Palatino Linotype" w:eastAsia="Times New Roman" w:hAnsi="Palatino Linotype" w:cs="Times New Roman"/>
          <w:b/>
          <w:bCs/>
          <w:color w:val="000000"/>
          <w:sz w:val="20"/>
          <w:szCs w:val="20"/>
          <w:lang w:val="en-US" w:eastAsia="de-DE" w:bidi="en-US"/>
        </w:rPr>
        <w:t xml:space="preserve">Figure 2. </w:t>
      </w:r>
      <w:r w:rsidRPr="00101A51">
        <w:rPr>
          <w:rFonts w:ascii="Palatino Linotype" w:eastAsia="Times New Roman" w:hAnsi="Palatino Linotype" w:cs="Times New Roman"/>
          <w:color w:val="000000"/>
          <w:sz w:val="20"/>
          <w:szCs w:val="20"/>
          <w:lang w:val="en-US" w:eastAsia="de-DE" w:bidi="en-US"/>
        </w:rPr>
        <w:t>Thin-layer chromatography TLC analyses of 0.8PC:0.2Ch, BCG and H37Rv liposomes. 10 µL of liposomes solution made in water were spotted and dried on a silica gel 60 F254 plate. Separation occurred in 60:16:2 CHCl</w:t>
      </w:r>
      <w:r w:rsidRPr="00101A51">
        <w:rPr>
          <w:rFonts w:ascii="Palatino Linotype" w:eastAsia="Times New Roman" w:hAnsi="Palatino Linotype" w:cs="Times New Roman"/>
          <w:color w:val="000000"/>
          <w:sz w:val="20"/>
          <w:szCs w:val="20"/>
          <w:vertAlign w:val="subscript"/>
          <w:lang w:val="en-US" w:eastAsia="de-DE" w:bidi="en-US"/>
        </w:rPr>
        <w:t>3</w:t>
      </w:r>
      <w:r w:rsidRPr="00101A51">
        <w:rPr>
          <w:rFonts w:ascii="Palatino Linotype" w:eastAsia="Times New Roman" w:hAnsi="Palatino Linotype" w:cs="Times New Roman"/>
          <w:color w:val="000000"/>
          <w:sz w:val="20"/>
          <w:szCs w:val="20"/>
          <w:lang w:val="en-US" w:eastAsia="de-DE" w:bidi="en-US"/>
        </w:rPr>
        <w:t>:MeOH:H</w:t>
      </w:r>
      <w:r w:rsidRPr="00101A51">
        <w:rPr>
          <w:rFonts w:ascii="Palatino Linotype" w:eastAsia="Times New Roman" w:hAnsi="Palatino Linotype" w:cs="Times New Roman"/>
          <w:color w:val="000000"/>
          <w:sz w:val="20"/>
          <w:szCs w:val="20"/>
          <w:vertAlign w:val="subscript"/>
          <w:lang w:val="en-US" w:eastAsia="de-DE" w:bidi="en-US"/>
        </w:rPr>
        <w:t>2</w:t>
      </w:r>
      <w:r w:rsidRPr="00101A51">
        <w:rPr>
          <w:rFonts w:ascii="Palatino Linotype" w:eastAsia="Times New Roman" w:hAnsi="Palatino Linotype" w:cs="Times New Roman"/>
          <w:color w:val="000000"/>
          <w:sz w:val="20"/>
          <w:szCs w:val="20"/>
          <w:lang w:val="en-US" w:eastAsia="de-DE" w:bidi="en-US"/>
        </w:rPr>
        <w:t xml:space="preserve">O solvent and was </w:t>
      </w:r>
      <w:proofErr w:type="spellStart"/>
      <w:r w:rsidRPr="00101A51">
        <w:rPr>
          <w:rFonts w:ascii="Palatino Linotype" w:eastAsia="Times New Roman" w:hAnsi="Palatino Linotype" w:cs="Times New Roman"/>
          <w:color w:val="000000"/>
          <w:sz w:val="20"/>
          <w:szCs w:val="20"/>
          <w:lang w:val="en-US" w:eastAsia="de-DE" w:bidi="en-US"/>
        </w:rPr>
        <w:t>visualised</w:t>
      </w:r>
      <w:proofErr w:type="spellEnd"/>
      <w:r w:rsidRPr="00101A51">
        <w:rPr>
          <w:rFonts w:ascii="Palatino Linotype" w:eastAsia="Times New Roman" w:hAnsi="Palatino Linotype" w:cs="Times New Roman"/>
          <w:color w:val="000000"/>
          <w:sz w:val="20"/>
          <w:szCs w:val="20"/>
          <w:lang w:val="en-US" w:eastAsia="de-DE" w:bidi="en-US"/>
        </w:rPr>
        <w:t xml:space="preserve"> by staining with </w:t>
      </w:r>
      <w:proofErr w:type="spellStart"/>
      <w:r w:rsidRPr="00101A51">
        <w:rPr>
          <w:rFonts w:ascii="Palatino Linotype" w:eastAsia="Times New Roman" w:hAnsi="Palatino Linotype" w:cs="Times New Roman"/>
          <w:color w:val="000000"/>
          <w:sz w:val="20"/>
          <w:szCs w:val="20"/>
          <w:lang w:val="en-US" w:eastAsia="de-DE" w:bidi="en-US"/>
        </w:rPr>
        <w:t>molybdophosphoric</w:t>
      </w:r>
      <w:proofErr w:type="spellEnd"/>
      <w:r w:rsidRPr="00101A51">
        <w:rPr>
          <w:rFonts w:ascii="Palatino Linotype" w:eastAsia="Times New Roman" w:hAnsi="Palatino Linotype" w:cs="Times New Roman"/>
          <w:color w:val="000000"/>
          <w:sz w:val="20"/>
          <w:szCs w:val="20"/>
          <w:lang w:val="en-US" w:eastAsia="de-DE" w:bidi="en-US"/>
        </w:rPr>
        <w:t xml:space="preserve"> acid and charring. The arrows show the presence of lipids from mycobacterial origin. The data are from one representative experiment.</w:t>
      </w:r>
    </w:p>
    <w:p w:rsidR="00EA4710" w:rsidRPr="00101A51" w:rsidRDefault="00EA4710" w:rsidP="001336A8">
      <w:pPr>
        <w:adjustRightInd w:val="0"/>
        <w:snapToGrid w:val="0"/>
        <w:spacing w:before="120" w:after="240" w:line="228" w:lineRule="auto"/>
        <w:jc w:val="both"/>
        <w:rPr>
          <w:rFonts w:ascii="Palatino Linotype" w:eastAsia="Times New Roman" w:hAnsi="Palatino Linotype" w:cs="Times New Roman"/>
          <w:color w:val="000000"/>
          <w:sz w:val="20"/>
          <w:szCs w:val="20"/>
          <w:lang w:val="en-US" w:eastAsia="de-DE" w:bidi="en-US"/>
        </w:rPr>
      </w:pPr>
      <w:r w:rsidRPr="00101A51">
        <w:rPr>
          <w:rFonts w:ascii="Palatino Linotype" w:eastAsia="Times New Roman" w:hAnsi="Palatino Linotype" w:cs="Times New Roman"/>
          <w:b/>
          <w:bCs/>
          <w:color w:val="000000"/>
          <w:sz w:val="20"/>
          <w:szCs w:val="20"/>
          <w:lang w:val="en-US" w:eastAsia="de-DE" w:bidi="en-US"/>
        </w:rPr>
        <w:t xml:space="preserve">Figure 3. </w:t>
      </w:r>
      <w:r w:rsidRPr="00101A51">
        <w:rPr>
          <w:rFonts w:ascii="Palatino Linotype" w:eastAsia="Times New Roman" w:hAnsi="Palatino Linotype" w:cs="Times New Roman"/>
          <w:color w:val="000000"/>
          <w:sz w:val="20"/>
          <w:szCs w:val="20"/>
          <w:lang w:val="en-US" w:eastAsia="de-DE" w:bidi="en-US"/>
        </w:rPr>
        <w:t xml:space="preserve">Influence of </w:t>
      </w:r>
      <w:r w:rsidRPr="00101A51">
        <w:rPr>
          <w:rFonts w:ascii="Palatino Linotype" w:eastAsia="Times New Roman" w:hAnsi="Palatino Linotype" w:cs="Times New Roman"/>
          <w:i/>
          <w:iCs/>
          <w:color w:val="000000"/>
          <w:sz w:val="20"/>
          <w:szCs w:val="20"/>
          <w:lang w:val="en-US" w:eastAsia="de-DE" w:bidi="en-US"/>
        </w:rPr>
        <w:t>Mycobacterium</w:t>
      </w:r>
      <w:r w:rsidRPr="00101A51">
        <w:rPr>
          <w:rFonts w:ascii="Palatino Linotype" w:eastAsia="Times New Roman" w:hAnsi="Palatino Linotype" w:cs="Times New Roman"/>
          <w:color w:val="000000"/>
          <w:sz w:val="20"/>
          <w:szCs w:val="20"/>
          <w:lang w:val="en-US" w:eastAsia="de-DE" w:bidi="en-US"/>
        </w:rPr>
        <w:t xml:space="preserve"> liposomes on HIV-1 </w:t>
      </w:r>
      <w:r w:rsidRPr="00101A51">
        <w:rPr>
          <w:rFonts w:ascii="Palatino Linotype" w:eastAsia="Times New Roman" w:hAnsi="Palatino Linotype" w:cs="Times New Roman"/>
          <w:i/>
          <w:iCs/>
          <w:color w:val="000000"/>
          <w:sz w:val="20"/>
          <w:szCs w:val="20"/>
          <w:lang w:val="en-US" w:eastAsia="de-DE" w:bidi="en-US"/>
        </w:rPr>
        <w:t>cis</w:t>
      </w:r>
      <w:r w:rsidRPr="00101A51">
        <w:rPr>
          <w:rFonts w:ascii="Palatino Linotype" w:eastAsia="Times New Roman" w:hAnsi="Palatino Linotype" w:cs="Times New Roman"/>
          <w:color w:val="000000"/>
          <w:sz w:val="20"/>
          <w:szCs w:val="20"/>
          <w:lang w:val="en-US" w:eastAsia="de-DE" w:bidi="en-US"/>
        </w:rPr>
        <w:t>-infection. Cells were infected with 8 ng CA-p24 of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 pSG3-LAI (HIV-1 X4), (</w:t>
      </w:r>
      <w:r w:rsidRPr="00101A51">
        <w:rPr>
          <w:rFonts w:ascii="Palatino Linotype" w:eastAsia="Times New Roman" w:hAnsi="Palatino Linotype" w:cs="Times New Roman"/>
          <w:b/>
          <w:bCs/>
          <w:color w:val="000000"/>
          <w:sz w:val="20"/>
          <w:szCs w:val="20"/>
          <w:lang w:val="en-US" w:eastAsia="de-DE" w:bidi="en-US"/>
        </w:rPr>
        <w:t>C</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D</w:t>
      </w:r>
      <w:r w:rsidRPr="00101A51">
        <w:rPr>
          <w:rFonts w:ascii="Palatino Linotype" w:eastAsia="Times New Roman" w:hAnsi="Palatino Linotype" w:cs="Times New Roman"/>
          <w:color w:val="000000"/>
          <w:sz w:val="20"/>
          <w:szCs w:val="20"/>
          <w:lang w:val="en-US" w:eastAsia="de-DE" w:bidi="en-US"/>
        </w:rPr>
        <w:t>) pSG3-BAL (HIV-1 R5) and pSG3Δenv (ΔpSG3) where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C</w:t>
      </w:r>
      <w:r w:rsidRPr="00101A51">
        <w:rPr>
          <w:rFonts w:ascii="Palatino Linotype" w:eastAsia="Times New Roman" w:hAnsi="Palatino Linotype" w:cs="Times New Roman"/>
          <w:color w:val="000000"/>
          <w:sz w:val="20"/>
          <w:szCs w:val="20"/>
          <w:lang w:val="en-US" w:eastAsia="de-DE" w:bidi="en-US"/>
        </w:rPr>
        <w:t>) virus input with 100 ng of liposomes at the same time or (</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D</w:t>
      </w:r>
      <w:r w:rsidRPr="00101A51">
        <w:rPr>
          <w:rFonts w:ascii="Palatino Linotype" w:eastAsia="Times New Roman" w:hAnsi="Palatino Linotype" w:cs="Times New Roman"/>
          <w:color w:val="000000"/>
          <w:sz w:val="20"/>
          <w:szCs w:val="20"/>
          <w:lang w:val="en-US" w:eastAsia="de-DE" w:bidi="en-US"/>
        </w:rPr>
        <w:t xml:space="preserve">) 100 ng of liposomes added to TZM-bl cells 30 min prior to adding virus. 48 h after infection cells were lysed to measure luciferase activity (relative light unit, RLU). The RLUs produced for each experiment were </w:t>
      </w:r>
      <w:proofErr w:type="spellStart"/>
      <w:r w:rsidRPr="00101A51">
        <w:rPr>
          <w:rFonts w:ascii="Palatino Linotype" w:eastAsia="Times New Roman" w:hAnsi="Palatino Linotype" w:cs="Times New Roman"/>
          <w:color w:val="000000"/>
          <w:sz w:val="20"/>
          <w:szCs w:val="20"/>
          <w:lang w:val="en-US" w:eastAsia="de-DE" w:bidi="en-US"/>
        </w:rPr>
        <w:t>normalised</w:t>
      </w:r>
      <w:proofErr w:type="spellEnd"/>
      <w:r w:rsidRPr="00101A51">
        <w:rPr>
          <w:rFonts w:ascii="Palatino Linotype" w:eastAsia="Times New Roman" w:hAnsi="Palatino Linotype" w:cs="Times New Roman"/>
          <w:color w:val="000000"/>
          <w:sz w:val="20"/>
          <w:szCs w:val="20"/>
          <w:lang w:val="en-US" w:eastAsia="de-DE" w:bidi="en-US"/>
        </w:rPr>
        <w:t xml:space="preserve"> to the average value of the negative control 0.8PC:0.2Ch liposomes. 0.8PC:0.2Ch is used here as a negative control and reference. For the data shown, </w:t>
      </w:r>
      <w:r w:rsidRPr="00101A51">
        <w:rPr>
          <w:rFonts w:ascii="Palatino Linotype" w:eastAsia="Times New Roman" w:hAnsi="Palatino Linotype" w:cs="Times New Roman"/>
          <w:i/>
          <w:iCs/>
          <w:color w:val="000000"/>
          <w:sz w:val="20"/>
          <w:szCs w:val="20"/>
          <w:lang w:val="en-US" w:eastAsia="de-DE" w:bidi="en-US"/>
        </w:rPr>
        <w:t>n</w:t>
      </w:r>
      <w:r w:rsidRPr="00101A51">
        <w:rPr>
          <w:rFonts w:ascii="Palatino Linotype" w:eastAsia="Times New Roman" w:hAnsi="Palatino Linotype" w:cs="Times New Roman"/>
          <w:color w:val="000000"/>
          <w:sz w:val="20"/>
          <w:szCs w:val="20"/>
          <w:lang w:val="en-US" w:eastAsia="de-DE" w:bidi="en-US"/>
        </w:rPr>
        <w:t xml:space="preserve"> = 3. Mann–Whitney unpaired t-test was performed for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D</w:t>
      </w:r>
      <w:r w:rsidRPr="00101A51">
        <w:rPr>
          <w:rFonts w:ascii="Palatino Linotype" w:eastAsia="Times New Roman" w:hAnsi="Palatino Linotype" w:cs="Times New Roman"/>
          <w:color w:val="000000"/>
          <w:sz w:val="20"/>
          <w:szCs w:val="20"/>
          <w:lang w:val="en-US" w:eastAsia="de-DE" w:bidi="en-US"/>
        </w:rPr>
        <w:t>).</w:t>
      </w:r>
    </w:p>
    <w:p w:rsidR="00EA4710" w:rsidRPr="00101A51" w:rsidRDefault="00EA4710" w:rsidP="001336A8">
      <w:pPr>
        <w:adjustRightInd w:val="0"/>
        <w:snapToGrid w:val="0"/>
        <w:spacing w:before="120" w:after="240" w:line="228" w:lineRule="auto"/>
        <w:jc w:val="both"/>
        <w:rPr>
          <w:rFonts w:ascii="Palatino Linotype" w:eastAsia="Times New Roman" w:hAnsi="Palatino Linotype" w:cs="Times New Roman"/>
          <w:color w:val="000000"/>
          <w:sz w:val="20"/>
          <w:szCs w:val="20"/>
          <w:lang w:val="en-US" w:eastAsia="de-DE" w:bidi="en-US"/>
        </w:rPr>
      </w:pPr>
      <w:r w:rsidRPr="00101A51">
        <w:rPr>
          <w:rFonts w:ascii="Palatino Linotype" w:eastAsia="Times New Roman" w:hAnsi="Palatino Linotype" w:cs="Times New Roman"/>
          <w:b/>
          <w:bCs/>
          <w:color w:val="000000"/>
          <w:sz w:val="20"/>
          <w:szCs w:val="20"/>
          <w:lang w:val="en-US" w:eastAsia="de-DE" w:bidi="en-US"/>
        </w:rPr>
        <w:t xml:space="preserve">Figure 4. </w:t>
      </w:r>
      <w:r w:rsidRPr="00101A51">
        <w:rPr>
          <w:rFonts w:ascii="Palatino Linotype" w:eastAsia="Times New Roman" w:hAnsi="Palatino Linotype" w:cs="Times New Roman"/>
          <w:color w:val="000000"/>
          <w:sz w:val="20"/>
          <w:szCs w:val="20"/>
          <w:lang w:val="en-US" w:eastAsia="de-DE" w:bidi="en-US"/>
        </w:rPr>
        <w:t xml:space="preserve">Influence of the presence of </w:t>
      </w:r>
      <w:r w:rsidRPr="00101A51">
        <w:rPr>
          <w:rFonts w:ascii="Palatino Linotype" w:eastAsia="Times New Roman" w:hAnsi="Palatino Linotype" w:cs="Times New Roman"/>
          <w:i/>
          <w:iCs/>
          <w:color w:val="000000"/>
          <w:sz w:val="20"/>
          <w:szCs w:val="20"/>
          <w:lang w:val="en-US" w:eastAsia="de-DE" w:bidi="en-US"/>
        </w:rPr>
        <w:t>Mycobacterium</w:t>
      </w:r>
      <w:r w:rsidRPr="00101A51">
        <w:rPr>
          <w:rFonts w:ascii="Palatino Linotype" w:eastAsia="Times New Roman" w:hAnsi="Palatino Linotype" w:cs="Times New Roman"/>
          <w:color w:val="000000"/>
          <w:sz w:val="20"/>
          <w:szCs w:val="20"/>
          <w:lang w:val="en-US" w:eastAsia="de-DE" w:bidi="en-US"/>
        </w:rPr>
        <w:t xml:space="preserve"> liposomes on HIV-1 </w:t>
      </w:r>
      <w:r w:rsidRPr="00101A51">
        <w:rPr>
          <w:rFonts w:ascii="Palatino Linotype" w:eastAsia="Times New Roman" w:hAnsi="Palatino Linotype" w:cs="Times New Roman"/>
          <w:i/>
          <w:iCs/>
          <w:color w:val="000000"/>
          <w:sz w:val="20"/>
          <w:szCs w:val="20"/>
          <w:lang w:val="en-US" w:eastAsia="de-DE" w:bidi="en-US"/>
        </w:rPr>
        <w:t>trans</w:t>
      </w:r>
      <w:r w:rsidRPr="00101A51">
        <w:rPr>
          <w:rFonts w:ascii="Palatino Linotype" w:eastAsia="Times New Roman" w:hAnsi="Palatino Linotype" w:cs="Times New Roman"/>
          <w:color w:val="000000"/>
          <w:sz w:val="20"/>
          <w:szCs w:val="20"/>
          <w:lang w:val="en-US" w:eastAsia="de-DE" w:bidi="en-US"/>
        </w:rPr>
        <w:t xml:space="preserve">-infection </w:t>
      </w:r>
      <w:r w:rsidRPr="00101A51">
        <w:rPr>
          <w:rFonts w:ascii="Palatino Linotype" w:eastAsia="Times New Roman" w:hAnsi="Palatino Linotype" w:cs="Times New Roman"/>
          <w:iCs/>
          <w:color w:val="000000"/>
          <w:sz w:val="20"/>
          <w:szCs w:val="20"/>
          <w:lang w:val="en-US" w:eastAsia="de-DE" w:bidi="en-US"/>
        </w:rPr>
        <w:t>via Raji-DC-SIGN cells.</w:t>
      </w:r>
      <w:r w:rsidRPr="00101A51">
        <w:rPr>
          <w:rFonts w:ascii="Palatino Linotype" w:eastAsia="Times New Roman" w:hAnsi="Palatino Linotype" w:cs="Times New Roman"/>
          <w:color w:val="000000"/>
          <w:sz w:val="20"/>
          <w:szCs w:val="20"/>
          <w:lang w:val="en-US" w:eastAsia="de-DE" w:bidi="en-US"/>
        </w:rPr>
        <w:t xml:space="preserve">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 12.5 ng CA-p24 pSG3-LAI (HIV-1 X4) or (</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 xml:space="preserve">) 20 ng CA-p24 pSG3-BAL (HIV-1 R5). After capture the cells were washed and co-cultured with TZM-bl cells. The luciferase activity (RLU) was read after 48 h. The RLUs produced for each experiment were </w:t>
      </w:r>
      <w:proofErr w:type="spellStart"/>
      <w:r w:rsidRPr="00101A51">
        <w:rPr>
          <w:rFonts w:ascii="Palatino Linotype" w:eastAsia="Times New Roman" w:hAnsi="Palatino Linotype" w:cs="Times New Roman"/>
          <w:color w:val="000000"/>
          <w:sz w:val="20"/>
          <w:szCs w:val="20"/>
          <w:lang w:val="en-US" w:eastAsia="de-DE" w:bidi="en-US"/>
        </w:rPr>
        <w:t>normalised</w:t>
      </w:r>
      <w:proofErr w:type="spellEnd"/>
      <w:r w:rsidRPr="00101A51">
        <w:rPr>
          <w:rFonts w:ascii="Palatino Linotype" w:eastAsia="Times New Roman" w:hAnsi="Palatino Linotype" w:cs="Times New Roman"/>
          <w:color w:val="000000"/>
          <w:sz w:val="20"/>
          <w:szCs w:val="20"/>
          <w:lang w:val="en-US" w:eastAsia="de-DE" w:bidi="en-US"/>
        </w:rPr>
        <w:t xml:space="preserve"> to the average value of the negative control 0.8PC:0.2Ch liposomes. The data shown are a pool of at least two independent experiments where </w:t>
      </w:r>
      <w:r w:rsidRPr="00101A51">
        <w:rPr>
          <w:rFonts w:ascii="Palatino Linotype" w:eastAsia="Times New Roman" w:hAnsi="Palatino Linotype" w:cs="Times New Roman"/>
          <w:i/>
          <w:iCs/>
          <w:color w:val="000000"/>
          <w:sz w:val="20"/>
          <w:szCs w:val="20"/>
          <w:lang w:val="en-US" w:eastAsia="de-DE" w:bidi="en-US"/>
        </w:rPr>
        <w:t>n</w:t>
      </w:r>
      <w:r w:rsidRPr="00101A51">
        <w:rPr>
          <w:rFonts w:ascii="Palatino Linotype" w:eastAsia="Times New Roman" w:hAnsi="Palatino Linotype" w:cs="Times New Roman"/>
          <w:color w:val="000000"/>
          <w:sz w:val="20"/>
          <w:szCs w:val="20"/>
          <w:lang w:val="en-US" w:eastAsia="de-DE" w:bidi="en-US"/>
        </w:rPr>
        <w:t xml:space="preserve"> ≥ 3 in total. Mann–Whitney unpaired </w:t>
      </w:r>
      <w:r w:rsidRPr="00101A51">
        <w:rPr>
          <w:rFonts w:ascii="Palatino Linotype" w:eastAsia="Times New Roman" w:hAnsi="Palatino Linotype" w:cs="Times New Roman"/>
          <w:i/>
          <w:iCs/>
          <w:color w:val="000000"/>
          <w:sz w:val="20"/>
          <w:szCs w:val="20"/>
          <w:lang w:val="en-US" w:eastAsia="de-DE" w:bidi="en-US"/>
        </w:rPr>
        <w:t>t</w:t>
      </w:r>
      <w:r w:rsidRPr="00101A51">
        <w:rPr>
          <w:rFonts w:ascii="Palatino Linotype" w:eastAsia="Times New Roman" w:hAnsi="Palatino Linotype" w:cs="Times New Roman"/>
          <w:color w:val="000000"/>
          <w:sz w:val="20"/>
          <w:szCs w:val="20"/>
          <w:lang w:val="en-US" w:eastAsia="de-DE" w:bidi="en-US"/>
        </w:rPr>
        <w:t>-test was performed for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 xml:space="preserve">) and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 value represented with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&lt; 0.05,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&lt; 0.01,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i/>
          <w:iCs/>
          <w:color w:val="000000"/>
          <w:sz w:val="20"/>
          <w:szCs w:val="20"/>
          <w:lang w:val="en-US" w:eastAsia="de-DE" w:bidi="en-US"/>
        </w:rPr>
        <w:softHyphen/>
        <w:t>-</w:t>
      </w:r>
      <w:r w:rsidRPr="00101A51">
        <w:rPr>
          <w:rFonts w:ascii="Palatino Linotype" w:eastAsia="Times New Roman" w:hAnsi="Palatino Linotype" w:cs="Times New Roman"/>
          <w:color w:val="000000"/>
          <w:sz w:val="20"/>
          <w:szCs w:val="20"/>
          <w:lang w:val="en-US" w:eastAsia="de-DE" w:bidi="en-US"/>
        </w:rPr>
        <w:t xml:space="preserve">value &lt; 0.001,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i/>
          <w:iCs/>
          <w:color w:val="000000"/>
          <w:sz w:val="20"/>
          <w:szCs w:val="20"/>
          <w:lang w:val="en-US" w:eastAsia="de-DE" w:bidi="en-US"/>
        </w:rPr>
        <w:softHyphen/>
        <w:t>-</w:t>
      </w:r>
      <w:r w:rsidRPr="00101A51">
        <w:rPr>
          <w:rFonts w:ascii="Palatino Linotype" w:eastAsia="Times New Roman" w:hAnsi="Palatino Linotype" w:cs="Times New Roman"/>
          <w:color w:val="000000"/>
          <w:sz w:val="20"/>
          <w:szCs w:val="20"/>
          <w:lang w:val="en-US" w:eastAsia="de-DE" w:bidi="en-US"/>
        </w:rPr>
        <w:t>value &lt; 0.0001.</w:t>
      </w:r>
    </w:p>
    <w:p w:rsidR="00EA4710" w:rsidRPr="00101A51" w:rsidRDefault="00EA4710" w:rsidP="001336A8">
      <w:pPr>
        <w:adjustRightInd w:val="0"/>
        <w:snapToGrid w:val="0"/>
        <w:spacing w:before="120" w:after="240" w:line="228" w:lineRule="auto"/>
        <w:jc w:val="both"/>
        <w:rPr>
          <w:rFonts w:ascii="Palatino Linotype" w:eastAsia="Times New Roman" w:hAnsi="Palatino Linotype" w:cs="Times New Roman"/>
          <w:color w:val="000000"/>
          <w:sz w:val="20"/>
          <w:szCs w:val="20"/>
          <w:lang w:val="en-US" w:eastAsia="de-DE" w:bidi="en-US"/>
        </w:rPr>
      </w:pPr>
      <w:r w:rsidRPr="00101A51">
        <w:rPr>
          <w:rFonts w:ascii="Palatino Linotype" w:eastAsia="Times New Roman" w:hAnsi="Palatino Linotype" w:cs="Times New Roman"/>
          <w:b/>
          <w:bCs/>
          <w:color w:val="000000"/>
          <w:sz w:val="20"/>
          <w:szCs w:val="20"/>
          <w:lang w:val="en-US" w:eastAsia="de-DE" w:bidi="en-US"/>
        </w:rPr>
        <w:t xml:space="preserve">Figure 5. </w:t>
      </w:r>
      <w:r w:rsidRPr="00101A51">
        <w:rPr>
          <w:rFonts w:ascii="Palatino Linotype" w:eastAsia="Times New Roman" w:hAnsi="Palatino Linotype" w:cs="Times New Roman"/>
          <w:color w:val="000000"/>
          <w:sz w:val="20"/>
          <w:szCs w:val="20"/>
          <w:lang w:val="en-US" w:eastAsia="de-DE" w:bidi="en-US"/>
        </w:rPr>
        <w:t xml:space="preserve">Comparison of the influence different H37Rv on HIV-1 </w:t>
      </w:r>
      <w:r w:rsidRPr="00101A51">
        <w:rPr>
          <w:rFonts w:ascii="Palatino Linotype" w:eastAsia="Times New Roman" w:hAnsi="Palatino Linotype" w:cs="Times New Roman"/>
          <w:i/>
          <w:iCs/>
          <w:color w:val="000000"/>
          <w:sz w:val="20"/>
          <w:szCs w:val="20"/>
          <w:lang w:val="en-US" w:eastAsia="de-DE" w:bidi="en-US"/>
        </w:rPr>
        <w:t>trans</w:t>
      </w:r>
      <w:r w:rsidRPr="00101A51">
        <w:rPr>
          <w:rFonts w:ascii="Palatino Linotype" w:eastAsia="Times New Roman" w:hAnsi="Palatino Linotype" w:cs="Times New Roman"/>
          <w:color w:val="000000"/>
          <w:sz w:val="20"/>
          <w:szCs w:val="20"/>
          <w:lang w:val="en-US" w:eastAsia="de-DE" w:bidi="en-US"/>
        </w:rPr>
        <w:t>-infection</w:t>
      </w:r>
      <w:r w:rsidRPr="00101A51">
        <w:rPr>
          <w:rFonts w:ascii="Palatino Linotype" w:eastAsia="Times New Roman" w:hAnsi="Palatino Linotype" w:cs="Times New Roman"/>
          <w:iCs/>
          <w:color w:val="000000"/>
          <w:sz w:val="20"/>
          <w:szCs w:val="20"/>
          <w:lang w:val="en-US" w:eastAsia="de-DE" w:bidi="en-US"/>
        </w:rPr>
        <w:t xml:space="preserve"> via</w:t>
      </w:r>
      <w:r w:rsidRPr="00101A51">
        <w:rPr>
          <w:rFonts w:ascii="Palatino Linotype" w:eastAsia="Times New Roman" w:hAnsi="Palatino Linotype" w:cs="Times New Roman"/>
          <w:color w:val="000000"/>
          <w:sz w:val="20"/>
          <w:szCs w:val="20"/>
          <w:lang w:val="en-US" w:eastAsia="de-DE" w:bidi="en-US"/>
        </w:rPr>
        <w:t xml:space="preserve"> Raji-DC-SIGN cells.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 12.5 ng CA-p24 pSG3-LAI (HIV-1 X4) or (</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 xml:space="preserve">) 20 ng CA-p24 pSG3-BAL (HIV-1 R5). After capture the cells were washed and co-cultured with TZM-bl cells. The luciferase activity was read after 48 h. The RLUs produced for each experiment were </w:t>
      </w:r>
      <w:proofErr w:type="spellStart"/>
      <w:r w:rsidRPr="00101A51">
        <w:rPr>
          <w:rFonts w:ascii="Palatino Linotype" w:eastAsia="Times New Roman" w:hAnsi="Palatino Linotype" w:cs="Times New Roman"/>
          <w:color w:val="000000"/>
          <w:sz w:val="20"/>
          <w:szCs w:val="20"/>
          <w:lang w:val="en-US" w:eastAsia="de-DE" w:bidi="en-US"/>
        </w:rPr>
        <w:t>normalised</w:t>
      </w:r>
      <w:proofErr w:type="spellEnd"/>
      <w:r w:rsidRPr="00101A51">
        <w:rPr>
          <w:rFonts w:ascii="Palatino Linotype" w:eastAsia="Times New Roman" w:hAnsi="Palatino Linotype" w:cs="Times New Roman"/>
          <w:color w:val="000000"/>
          <w:sz w:val="20"/>
          <w:szCs w:val="20"/>
          <w:lang w:val="en-US" w:eastAsia="de-DE" w:bidi="en-US"/>
        </w:rPr>
        <w:t xml:space="preserve"> to the average value of the negative control 0.8PC:0.2Ch liposomes. The data shown are a pool of at least two independent experiments where </w:t>
      </w:r>
      <w:r w:rsidRPr="00101A51">
        <w:rPr>
          <w:rFonts w:ascii="Palatino Linotype" w:eastAsia="Times New Roman" w:hAnsi="Palatino Linotype" w:cs="Times New Roman"/>
          <w:i/>
          <w:iCs/>
          <w:color w:val="000000"/>
          <w:sz w:val="20"/>
          <w:szCs w:val="20"/>
          <w:lang w:val="en-US" w:eastAsia="de-DE" w:bidi="en-US"/>
        </w:rPr>
        <w:t xml:space="preserve">n </w:t>
      </w:r>
      <w:r w:rsidRPr="00101A51">
        <w:rPr>
          <w:rFonts w:ascii="Palatino Linotype" w:eastAsia="Times New Roman" w:hAnsi="Palatino Linotype" w:cs="Times New Roman"/>
          <w:color w:val="000000"/>
          <w:sz w:val="20"/>
          <w:szCs w:val="20"/>
          <w:lang w:val="en-US" w:eastAsia="de-DE" w:bidi="en-US"/>
        </w:rPr>
        <w:t>≥ 6 in total. Mann–Whitney unpaired t-test was performed for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 xml:space="preserve">) and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represented with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&lt; 0.05,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&lt; 0.01,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&lt; 0.001,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value &lt; 0.0001.</w:t>
      </w:r>
    </w:p>
    <w:p w:rsidR="00EA4710" w:rsidRPr="00101A51" w:rsidRDefault="00EA4710" w:rsidP="001336A8">
      <w:pPr>
        <w:adjustRightInd w:val="0"/>
        <w:snapToGrid w:val="0"/>
        <w:spacing w:before="120" w:after="240" w:line="228" w:lineRule="auto"/>
        <w:jc w:val="both"/>
        <w:rPr>
          <w:rFonts w:ascii="Palatino Linotype" w:eastAsia="Times New Roman" w:hAnsi="Palatino Linotype" w:cs="Times New Roman"/>
          <w:color w:val="000000"/>
          <w:sz w:val="20"/>
          <w:szCs w:val="20"/>
          <w:lang w:val="en-US" w:eastAsia="de-DE" w:bidi="en-US"/>
        </w:rPr>
      </w:pPr>
      <w:r w:rsidRPr="00101A51">
        <w:rPr>
          <w:rFonts w:ascii="Palatino Linotype" w:eastAsia="Times New Roman" w:hAnsi="Palatino Linotype" w:cs="Times New Roman"/>
          <w:b/>
          <w:bCs/>
          <w:color w:val="000000"/>
          <w:sz w:val="20"/>
          <w:szCs w:val="20"/>
          <w:lang w:val="en-US" w:eastAsia="de-DE" w:bidi="en-US"/>
        </w:rPr>
        <w:t xml:space="preserve">Figure 6. </w:t>
      </w:r>
      <w:r w:rsidRPr="00101A51">
        <w:rPr>
          <w:rFonts w:ascii="Palatino Linotype" w:eastAsia="Times New Roman" w:hAnsi="Palatino Linotype" w:cs="Times New Roman"/>
          <w:sz w:val="20"/>
          <w:szCs w:val="20"/>
          <w:lang w:val="en-US" w:eastAsia="de-DE" w:bidi="en-US"/>
        </w:rPr>
        <w:t xml:space="preserve">Role of H37Rv glycolipids in HIV-1 </w:t>
      </w:r>
      <w:r w:rsidRPr="00101A51">
        <w:rPr>
          <w:rFonts w:ascii="Palatino Linotype" w:eastAsia="Times New Roman" w:hAnsi="Palatino Linotype" w:cs="Times New Roman"/>
          <w:i/>
          <w:iCs/>
          <w:sz w:val="20"/>
          <w:szCs w:val="20"/>
          <w:lang w:val="en-US" w:eastAsia="de-DE" w:bidi="en-US"/>
        </w:rPr>
        <w:t>trans</w:t>
      </w:r>
      <w:r w:rsidRPr="00101A51">
        <w:rPr>
          <w:rFonts w:ascii="Palatino Linotype" w:eastAsia="Times New Roman" w:hAnsi="Palatino Linotype" w:cs="Times New Roman"/>
          <w:sz w:val="20"/>
          <w:szCs w:val="20"/>
          <w:lang w:val="en-US" w:eastAsia="de-DE" w:bidi="en-US"/>
        </w:rPr>
        <w:t xml:space="preserve">-infection </w:t>
      </w:r>
      <w:r w:rsidRPr="00101A51">
        <w:rPr>
          <w:rFonts w:ascii="Palatino Linotype" w:eastAsia="Times New Roman" w:hAnsi="Palatino Linotype" w:cs="Times New Roman"/>
          <w:iCs/>
          <w:sz w:val="20"/>
          <w:szCs w:val="20"/>
          <w:lang w:val="en-US" w:eastAsia="de-DE" w:bidi="en-US"/>
        </w:rPr>
        <w:t>via</w:t>
      </w:r>
      <w:r w:rsidRPr="00101A51">
        <w:rPr>
          <w:rFonts w:ascii="Palatino Linotype" w:eastAsia="Times New Roman" w:hAnsi="Palatino Linotype" w:cs="Times New Roman"/>
          <w:sz w:val="20"/>
          <w:szCs w:val="20"/>
          <w:lang w:val="en-US" w:eastAsia="de-DE" w:bidi="en-US"/>
        </w:rPr>
        <w:t xml:space="preserve"> DC-SIGN. </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 xml:space="preserve">) H37Rv fractions 1 to 8 have been integrated into liposomes following the ratio 0.6PC:0.2Ch:0.2fraction and were tested on HIV-1 </w:t>
      </w:r>
      <w:r w:rsidRPr="00101A51">
        <w:rPr>
          <w:rFonts w:ascii="Palatino Linotype" w:eastAsia="Times New Roman" w:hAnsi="Palatino Linotype" w:cs="Times New Roman"/>
          <w:i/>
          <w:iCs/>
          <w:color w:val="000000"/>
          <w:sz w:val="20"/>
          <w:szCs w:val="20"/>
          <w:lang w:val="en-US" w:eastAsia="de-DE" w:bidi="en-US"/>
        </w:rPr>
        <w:t>trans</w:t>
      </w:r>
      <w:r w:rsidRPr="00101A51">
        <w:rPr>
          <w:rFonts w:ascii="Palatino Linotype" w:eastAsia="Times New Roman" w:hAnsi="Palatino Linotype" w:cs="Times New Roman"/>
          <w:color w:val="000000"/>
          <w:sz w:val="20"/>
          <w:szCs w:val="20"/>
          <w:lang w:val="en-US" w:eastAsia="de-DE" w:bidi="en-US"/>
        </w:rPr>
        <w:t xml:space="preserve">-infection </w:t>
      </w:r>
      <w:r w:rsidRPr="00101A51">
        <w:rPr>
          <w:rFonts w:ascii="Palatino Linotype" w:eastAsia="Times New Roman" w:hAnsi="Palatino Linotype" w:cs="Times New Roman"/>
          <w:iCs/>
          <w:color w:val="000000"/>
          <w:sz w:val="20"/>
          <w:szCs w:val="20"/>
          <w:lang w:val="en-US" w:eastAsia="de-DE" w:bidi="en-US"/>
        </w:rPr>
        <w:t>via</w:t>
      </w:r>
      <w:r w:rsidRPr="00101A51">
        <w:rPr>
          <w:rFonts w:ascii="Palatino Linotype" w:eastAsia="Times New Roman" w:hAnsi="Palatino Linotype" w:cs="Times New Roman"/>
          <w:color w:val="000000"/>
          <w:sz w:val="20"/>
          <w:szCs w:val="20"/>
          <w:lang w:val="en-US" w:eastAsia="de-DE" w:bidi="en-US"/>
        </w:rPr>
        <w:t xml:space="preserve"> DC-SIGN in parallel of 0.8PC:0.2Ch and H37Rv liposomes. The data shown are from one experiment, </w:t>
      </w:r>
      <w:r w:rsidRPr="00101A51">
        <w:rPr>
          <w:rFonts w:ascii="Palatino Linotype" w:eastAsia="Times New Roman" w:hAnsi="Palatino Linotype" w:cs="Times New Roman"/>
          <w:i/>
          <w:iCs/>
          <w:color w:val="000000"/>
          <w:sz w:val="20"/>
          <w:szCs w:val="20"/>
          <w:lang w:val="en-US" w:eastAsia="de-DE" w:bidi="en-US"/>
        </w:rPr>
        <w:t>n</w:t>
      </w:r>
      <w:r w:rsidRPr="00101A51">
        <w:rPr>
          <w:rFonts w:ascii="Palatino Linotype" w:eastAsia="Times New Roman" w:hAnsi="Palatino Linotype" w:cs="Times New Roman"/>
          <w:color w:val="000000"/>
          <w:sz w:val="20"/>
          <w:szCs w:val="20"/>
          <w:lang w:val="en-US" w:eastAsia="de-DE" w:bidi="en-US"/>
        </w:rPr>
        <w:t xml:space="preserve"> = 3. (</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 xml:space="preserve">) H37Rv papA1Δ and H37Rv papA1Δ + SL1 were tested in parallel of 0.8PC:0.2Ch and H37Rv liposomes on HIV-1 </w:t>
      </w:r>
      <w:r w:rsidRPr="00101A51">
        <w:rPr>
          <w:rFonts w:ascii="Palatino Linotype" w:eastAsia="Times New Roman" w:hAnsi="Palatino Linotype" w:cs="Times New Roman"/>
          <w:i/>
          <w:iCs/>
          <w:color w:val="000000"/>
          <w:sz w:val="20"/>
          <w:szCs w:val="20"/>
          <w:lang w:val="en-US" w:eastAsia="de-DE" w:bidi="en-US"/>
        </w:rPr>
        <w:t>trans</w:t>
      </w:r>
      <w:r w:rsidRPr="00101A51">
        <w:rPr>
          <w:rFonts w:ascii="Palatino Linotype" w:eastAsia="Times New Roman" w:hAnsi="Palatino Linotype" w:cs="Times New Roman"/>
          <w:color w:val="000000"/>
          <w:sz w:val="20"/>
          <w:szCs w:val="20"/>
          <w:lang w:val="en-US" w:eastAsia="de-DE" w:bidi="en-US"/>
        </w:rPr>
        <w:t xml:space="preserve">-infection. The data shown are a pool of at least two independent experiments where </w:t>
      </w:r>
      <w:r w:rsidRPr="00101A51">
        <w:rPr>
          <w:rFonts w:ascii="Palatino Linotype" w:eastAsia="Times New Roman" w:hAnsi="Palatino Linotype" w:cs="Times New Roman"/>
          <w:i/>
          <w:iCs/>
          <w:color w:val="000000"/>
          <w:sz w:val="20"/>
          <w:szCs w:val="20"/>
          <w:lang w:val="en-US" w:eastAsia="de-DE" w:bidi="en-US"/>
        </w:rPr>
        <w:t>n</w:t>
      </w:r>
      <w:r w:rsidRPr="00101A51">
        <w:rPr>
          <w:rFonts w:ascii="Palatino Linotype" w:eastAsia="Times New Roman" w:hAnsi="Palatino Linotype" w:cs="Times New Roman"/>
          <w:color w:val="000000"/>
          <w:sz w:val="20"/>
          <w:szCs w:val="20"/>
          <w:lang w:val="en-US" w:eastAsia="de-DE" w:bidi="en-US"/>
        </w:rPr>
        <w:t xml:space="preserve"> ≥ 6 in total. For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 0.5 × 10</w:t>
      </w:r>
      <w:r w:rsidRPr="00101A51">
        <w:rPr>
          <w:rFonts w:ascii="Palatino Linotype" w:eastAsia="Times New Roman" w:hAnsi="Palatino Linotype" w:cs="Times New Roman"/>
          <w:color w:val="000000"/>
          <w:sz w:val="20"/>
          <w:szCs w:val="20"/>
          <w:vertAlign w:val="superscript"/>
          <w:lang w:val="en-US" w:eastAsia="de-DE" w:bidi="en-US"/>
        </w:rPr>
        <w:t>6</w:t>
      </w:r>
      <w:r w:rsidRPr="00101A51">
        <w:rPr>
          <w:rFonts w:ascii="Palatino Linotype" w:eastAsia="Times New Roman" w:hAnsi="Palatino Linotype" w:cs="Times New Roman"/>
          <w:color w:val="000000"/>
          <w:sz w:val="20"/>
          <w:szCs w:val="20"/>
          <w:lang w:val="en-US" w:eastAsia="de-DE" w:bidi="en-US"/>
        </w:rPr>
        <w:t xml:space="preserve"> Raji DC-SIGN were pre-incubated during 30 min with 100 </w:t>
      </w:r>
      <w:proofErr w:type="spellStart"/>
      <w:r w:rsidRPr="00101A51">
        <w:rPr>
          <w:rFonts w:ascii="Palatino Linotype" w:eastAsia="Times New Roman" w:hAnsi="Palatino Linotype" w:cs="Times New Roman"/>
          <w:color w:val="000000"/>
          <w:sz w:val="20"/>
          <w:szCs w:val="20"/>
          <w:lang w:val="en-US" w:eastAsia="de-DE" w:bidi="en-US"/>
        </w:rPr>
        <w:t>μg</w:t>
      </w:r>
      <w:proofErr w:type="spellEnd"/>
      <w:r w:rsidRPr="00101A51">
        <w:rPr>
          <w:rFonts w:ascii="Palatino Linotype" w:eastAsia="Times New Roman" w:hAnsi="Palatino Linotype" w:cs="Times New Roman"/>
          <w:color w:val="000000"/>
          <w:sz w:val="20"/>
          <w:szCs w:val="20"/>
          <w:lang w:val="en-US" w:eastAsia="de-DE" w:bidi="en-US"/>
        </w:rPr>
        <w:t xml:space="preserve"> liposomes or 50 µL of media. The cells were then incubated for 2 h with HIV-1 pseudo-typed virus (1) 12.5 ng CA-p24 pSG3-LAI (HIV-1 X4) or (2) 20 ng CA-p24 pSG3-BAL (HIV-1 R5). After capture the cells were washed and co-cultured with TZM-bl cells. The luciferase activity was read after 48 h. The RLUs produced for each experiment were </w:t>
      </w:r>
      <w:proofErr w:type="spellStart"/>
      <w:r w:rsidRPr="00101A51">
        <w:rPr>
          <w:rFonts w:ascii="Palatino Linotype" w:eastAsia="Times New Roman" w:hAnsi="Palatino Linotype" w:cs="Times New Roman"/>
          <w:color w:val="000000"/>
          <w:sz w:val="20"/>
          <w:szCs w:val="20"/>
          <w:lang w:val="en-US" w:eastAsia="de-DE" w:bidi="en-US"/>
        </w:rPr>
        <w:t>normalised</w:t>
      </w:r>
      <w:proofErr w:type="spellEnd"/>
      <w:r w:rsidRPr="00101A51">
        <w:rPr>
          <w:rFonts w:ascii="Palatino Linotype" w:eastAsia="Times New Roman" w:hAnsi="Palatino Linotype" w:cs="Times New Roman"/>
          <w:color w:val="000000"/>
          <w:sz w:val="20"/>
          <w:szCs w:val="20"/>
          <w:lang w:val="en-US" w:eastAsia="de-DE" w:bidi="en-US"/>
        </w:rPr>
        <w:t xml:space="preserve"> to the average value of the negative control 0.8PC:0.2Ch liposomes. Mann–Whitney unpaired t-test was performed for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 xml:space="preserve">) and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represented with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&lt; 0.05,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&lt; 0.01,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&lt; 0.001,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value &lt; 0.0001.</w:t>
      </w:r>
    </w:p>
    <w:p w:rsidR="00EA4710" w:rsidRPr="00101A51" w:rsidRDefault="00EA4710" w:rsidP="001336A8">
      <w:pPr>
        <w:adjustRightInd w:val="0"/>
        <w:snapToGrid w:val="0"/>
        <w:spacing w:before="120" w:after="240" w:line="228" w:lineRule="auto"/>
        <w:jc w:val="both"/>
        <w:rPr>
          <w:rFonts w:ascii="Palatino Linotype" w:eastAsia="Times New Roman" w:hAnsi="Palatino Linotype" w:cs="Times New Roman"/>
          <w:color w:val="000000"/>
          <w:sz w:val="20"/>
          <w:szCs w:val="20"/>
          <w:lang w:val="en-US" w:eastAsia="de-DE" w:bidi="en-US"/>
        </w:rPr>
      </w:pPr>
      <w:r w:rsidRPr="00101A51">
        <w:rPr>
          <w:rFonts w:ascii="Palatino Linotype" w:eastAsia="Times New Roman" w:hAnsi="Palatino Linotype" w:cs="Times New Roman"/>
          <w:b/>
          <w:bCs/>
          <w:color w:val="000000"/>
          <w:sz w:val="20"/>
          <w:szCs w:val="20"/>
          <w:lang w:val="en-US" w:eastAsia="de-DE" w:bidi="en-US"/>
        </w:rPr>
        <w:t xml:space="preserve">Figure 7. </w:t>
      </w:r>
      <w:r w:rsidRPr="00101A51">
        <w:rPr>
          <w:rFonts w:ascii="Palatino Linotype" w:eastAsia="Times New Roman" w:hAnsi="Palatino Linotype" w:cs="Times New Roman"/>
          <w:color w:val="000000"/>
          <w:sz w:val="20"/>
          <w:szCs w:val="20"/>
          <w:lang w:val="en-US" w:eastAsia="de-DE" w:bidi="en-US"/>
        </w:rPr>
        <w:t xml:space="preserve">Influence of </w:t>
      </w:r>
      <w:r w:rsidRPr="00101A51">
        <w:rPr>
          <w:rFonts w:ascii="Palatino Linotype" w:eastAsia="Times New Roman" w:hAnsi="Palatino Linotype" w:cs="Times New Roman"/>
          <w:i/>
          <w:iCs/>
          <w:color w:val="000000"/>
          <w:sz w:val="20"/>
          <w:szCs w:val="20"/>
          <w:lang w:val="en-US" w:eastAsia="de-DE" w:bidi="en-US"/>
        </w:rPr>
        <w:t>Mycobacterium</w:t>
      </w:r>
      <w:r w:rsidRPr="00101A51">
        <w:rPr>
          <w:rFonts w:ascii="Palatino Linotype" w:eastAsia="Times New Roman" w:hAnsi="Palatino Linotype" w:cs="Times New Roman"/>
          <w:color w:val="000000"/>
          <w:sz w:val="20"/>
          <w:szCs w:val="20"/>
          <w:lang w:val="en-US" w:eastAsia="de-DE" w:bidi="en-US"/>
        </w:rPr>
        <w:t xml:space="preserve"> liposomes on HIV-1</w:t>
      </w:r>
      <w:r w:rsidRPr="00101A51">
        <w:rPr>
          <w:rFonts w:ascii="Palatino Linotype" w:eastAsia="Times New Roman" w:hAnsi="Palatino Linotype" w:cs="Times New Roman"/>
          <w:i/>
          <w:iCs/>
          <w:color w:val="000000"/>
          <w:sz w:val="20"/>
          <w:szCs w:val="20"/>
          <w:lang w:val="en-US" w:eastAsia="de-DE" w:bidi="en-US"/>
        </w:rPr>
        <w:t xml:space="preserve"> trans</w:t>
      </w:r>
      <w:r w:rsidRPr="00101A51">
        <w:rPr>
          <w:rFonts w:ascii="Palatino Linotype" w:eastAsia="Times New Roman" w:hAnsi="Palatino Linotype" w:cs="Times New Roman"/>
          <w:color w:val="000000"/>
          <w:sz w:val="20"/>
          <w:szCs w:val="20"/>
          <w:lang w:val="en-US" w:eastAsia="de-DE" w:bidi="en-US"/>
        </w:rPr>
        <w:t xml:space="preserve">-infection </w:t>
      </w:r>
      <w:r w:rsidRPr="00101A51">
        <w:rPr>
          <w:rFonts w:ascii="Palatino Linotype" w:eastAsia="Times New Roman" w:hAnsi="Palatino Linotype" w:cs="Times New Roman"/>
          <w:iCs/>
          <w:color w:val="000000"/>
          <w:sz w:val="20"/>
          <w:szCs w:val="20"/>
          <w:lang w:val="en-US" w:eastAsia="de-DE" w:bidi="en-US"/>
        </w:rPr>
        <w:t xml:space="preserve">via </w:t>
      </w:r>
      <w:proofErr w:type="spellStart"/>
      <w:r w:rsidRPr="00101A51">
        <w:rPr>
          <w:rFonts w:ascii="Palatino Linotype" w:eastAsia="Times New Roman" w:hAnsi="Palatino Linotype" w:cs="Times New Roman"/>
          <w:color w:val="000000"/>
          <w:sz w:val="20"/>
          <w:szCs w:val="20"/>
          <w:lang w:val="en-US" w:eastAsia="de-DE" w:bidi="en-US"/>
        </w:rPr>
        <w:t>iDCs</w:t>
      </w:r>
      <w:proofErr w:type="spellEnd"/>
      <w:r w:rsidRPr="00101A51">
        <w:rPr>
          <w:rFonts w:ascii="Palatino Linotype" w:eastAsia="Times New Roman" w:hAnsi="Palatino Linotype" w:cs="Times New Roman"/>
          <w:color w:val="000000"/>
          <w:sz w:val="20"/>
          <w:szCs w:val="20"/>
          <w:lang w:val="en-US" w:eastAsia="de-DE" w:bidi="en-US"/>
        </w:rPr>
        <w:t xml:space="preserve"> or </w:t>
      </w:r>
      <w:proofErr w:type="spellStart"/>
      <w:r w:rsidRPr="00101A51">
        <w:rPr>
          <w:rFonts w:ascii="Palatino Linotype" w:eastAsia="Times New Roman" w:hAnsi="Palatino Linotype" w:cs="Times New Roman"/>
          <w:color w:val="000000"/>
          <w:sz w:val="20"/>
          <w:szCs w:val="20"/>
          <w:lang w:val="en-US" w:eastAsia="de-DE" w:bidi="en-US"/>
        </w:rPr>
        <w:t>mDCs</w:t>
      </w:r>
      <w:proofErr w:type="spellEnd"/>
      <w:r w:rsidRPr="00101A51">
        <w:rPr>
          <w:rFonts w:ascii="Palatino Linotype" w:eastAsia="Times New Roman" w:hAnsi="Palatino Linotype" w:cs="Times New Roman"/>
          <w:color w:val="000000"/>
          <w:sz w:val="20"/>
          <w:szCs w:val="20"/>
          <w:lang w:val="en-US" w:eastAsia="de-DE" w:bidi="en-US"/>
        </w:rPr>
        <w:t>.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 and (</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 xml:space="preserve">) </w:t>
      </w:r>
      <w:proofErr w:type="spellStart"/>
      <w:r w:rsidRPr="00101A51">
        <w:rPr>
          <w:rFonts w:ascii="Palatino Linotype" w:eastAsia="Times New Roman" w:hAnsi="Palatino Linotype" w:cs="Times New Roman"/>
          <w:color w:val="000000"/>
          <w:sz w:val="20"/>
          <w:szCs w:val="20"/>
          <w:lang w:val="en-US" w:eastAsia="de-DE" w:bidi="en-US"/>
        </w:rPr>
        <w:t>iDCS</w:t>
      </w:r>
      <w:proofErr w:type="spellEnd"/>
      <w:r w:rsidRPr="00101A51">
        <w:rPr>
          <w:rFonts w:ascii="Palatino Linotype" w:eastAsia="Times New Roman" w:hAnsi="Palatino Linotype" w:cs="Times New Roman"/>
          <w:color w:val="000000"/>
          <w:sz w:val="20"/>
          <w:szCs w:val="20"/>
          <w:lang w:val="en-US" w:eastAsia="de-DE" w:bidi="en-US"/>
        </w:rPr>
        <w:t>, (</w:t>
      </w:r>
      <w:r w:rsidRPr="00101A51">
        <w:rPr>
          <w:rFonts w:ascii="Palatino Linotype" w:eastAsia="Times New Roman" w:hAnsi="Palatino Linotype" w:cs="Times New Roman"/>
          <w:b/>
          <w:bCs/>
          <w:color w:val="000000"/>
          <w:sz w:val="20"/>
          <w:szCs w:val="20"/>
          <w:lang w:val="en-US" w:eastAsia="de-DE" w:bidi="en-US"/>
        </w:rPr>
        <w:t>C</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D</w:t>
      </w:r>
      <w:r w:rsidRPr="00101A51">
        <w:rPr>
          <w:rFonts w:ascii="Palatino Linotype" w:eastAsia="Times New Roman" w:hAnsi="Palatino Linotype" w:cs="Times New Roman"/>
          <w:color w:val="000000"/>
          <w:sz w:val="20"/>
          <w:szCs w:val="20"/>
          <w:lang w:val="en-US" w:eastAsia="de-DE" w:bidi="en-US"/>
        </w:rPr>
        <w:t xml:space="preserve">) </w:t>
      </w:r>
      <w:proofErr w:type="spellStart"/>
      <w:r w:rsidRPr="00101A51">
        <w:rPr>
          <w:rFonts w:ascii="Palatino Linotype" w:eastAsia="Times New Roman" w:hAnsi="Palatino Linotype" w:cs="Times New Roman"/>
          <w:color w:val="000000"/>
          <w:sz w:val="20"/>
          <w:szCs w:val="20"/>
          <w:lang w:val="en-US" w:eastAsia="de-DE" w:bidi="en-US"/>
        </w:rPr>
        <w:t>mDCs</w:t>
      </w:r>
      <w:proofErr w:type="spellEnd"/>
      <w:r w:rsidRPr="00101A51">
        <w:rPr>
          <w:rFonts w:ascii="Palatino Linotype" w:eastAsia="Times New Roman" w:hAnsi="Palatino Linotype" w:cs="Times New Roman"/>
          <w:color w:val="000000"/>
          <w:sz w:val="20"/>
          <w:szCs w:val="20"/>
          <w:lang w:val="en-US" w:eastAsia="de-DE" w:bidi="en-US"/>
        </w:rPr>
        <w:t xml:space="preserve">, was pre-incubation for 30 min with 100 </w:t>
      </w:r>
      <w:proofErr w:type="spellStart"/>
      <w:r w:rsidRPr="00101A51">
        <w:rPr>
          <w:rFonts w:ascii="Palatino Linotype" w:eastAsia="Times New Roman" w:hAnsi="Palatino Linotype" w:cs="Times New Roman"/>
          <w:color w:val="000000"/>
          <w:sz w:val="20"/>
          <w:szCs w:val="20"/>
          <w:lang w:val="en-US" w:eastAsia="de-DE" w:bidi="en-US"/>
        </w:rPr>
        <w:t>μg</w:t>
      </w:r>
      <w:proofErr w:type="spellEnd"/>
      <w:r w:rsidRPr="00101A51">
        <w:rPr>
          <w:rFonts w:ascii="Palatino Linotype" w:eastAsia="Times New Roman" w:hAnsi="Palatino Linotype" w:cs="Times New Roman"/>
          <w:color w:val="000000"/>
          <w:sz w:val="20"/>
          <w:szCs w:val="20"/>
          <w:lang w:val="en-US" w:eastAsia="de-DE" w:bidi="en-US"/>
        </w:rPr>
        <w:t xml:space="preserve"> of liposomes or 50 µL of media. The cells were then incubated 2h with HIV-1 pseudo-typed virus: 12.5 ng CA-p24 pSG3-LAI (HIV-1 X4, panels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C</w:t>
      </w:r>
      <w:r w:rsidRPr="00101A51">
        <w:rPr>
          <w:rFonts w:ascii="Palatino Linotype" w:eastAsia="Times New Roman" w:hAnsi="Palatino Linotype" w:cs="Times New Roman"/>
          <w:color w:val="000000"/>
          <w:sz w:val="20"/>
          <w:szCs w:val="20"/>
          <w:lang w:val="en-US" w:eastAsia="de-DE" w:bidi="en-US"/>
        </w:rPr>
        <w:t>)) or 20 ng CA-p24 pSG3-BAL (HIV-1 R5, panels (</w:t>
      </w:r>
      <w:r w:rsidRPr="00101A51">
        <w:rPr>
          <w:rFonts w:ascii="Palatino Linotype" w:eastAsia="Times New Roman" w:hAnsi="Palatino Linotype" w:cs="Times New Roman"/>
          <w:b/>
          <w:bCs/>
          <w:color w:val="000000"/>
          <w:sz w:val="20"/>
          <w:szCs w:val="20"/>
          <w:lang w:val="en-US" w:eastAsia="de-DE" w:bidi="en-US"/>
        </w:rPr>
        <w:t>B</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D</w:t>
      </w:r>
      <w:r w:rsidRPr="00101A51">
        <w:rPr>
          <w:rFonts w:ascii="Palatino Linotype" w:eastAsia="Times New Roman" w:hAnsi="Palatino Linotype" w:cs="Times New Roman"/>
          <w:color w:val="000000"/>
          <w:sz w:val="20"/>
          <w:szCs w:val="20"/>
          <w:lang w:val="en-US" w:eastAsia="de-DE" w:bidi="en-US"/>
        </w:rPr>
        <w:t xml:space="preserve">)). For the data shown, the experiment has been performed using cells isolated from on at least two different donors where </w:t>
      </w:r>
      <w:r w:rsidRPr="00101A51">
        <w:rPr>
          <w:rFonts w:ascii="Palatino Linotype" w:eastAsia="Times New Roman" w:hAnsi="Palatino Linotype" w:cs="Times New Roman"/>
          <w:i/>
          <w:iCs/>
          <w:color w:val="000000"/>
          <w:sz w:val="20"/>
          <w:szCs w:val="20"/>
          <w:lang w:val="en-US" w:eastAsia="de-DE" w:bidi="en-US"/>
        </w:rPr>
        <w:t>n</w:t>
      </w:r>
      <w:r w:rsidRPr="00101A51">
        <w:rPr>
          <w:rFonts w:ascii="Palatino Linotype" w:eastAsia="Times New Roman" w:hAnsi="Palatino Linotype" w:cs="Times New Roman"/>
          <w:color w:val="000000"/>
          <w:sz w:val="20"/>
          <w:szCs w:val="20"/>
          <w:lang w:val="en-US" w:eastAsia="de-DE" w:bidi="en-US"/>
        </w:rPr>
        <w:t xml:space="preserve"> ≥ 3 in total. The RLUs produced for each experiment were </w:t>
      </w:r>
      <w:proofErr w:type="spellStart"/>
      <w:r w:rsidRPr="00101A51">
        <w:rPr>
          <w:rFonts w:ascii="Palatino Linotype" w:eastAsia="Times New Roman" w:hAnsi="Palatino Linotype" w:cs="Times New Roman"/>
          <w:color w:val="000000"/>
          <w:sz w:val="20"/>
          <w:szCs w:val="20"/>
          <w:lang w:val="en-US" w:eastAsia="de-DE" w:bidi="en-US"/>
        </w:rPr>
        <w:t>normalised</w:t>
      </w:r>
      <w:proofErr w:type="spellEnd"/>
      <w:r w:rsidRPr="00101A51">
        <w:rPr>
          <w:rFonts w:ascii="Palatino Linotype" w:eastAsia="Times New Roman" w:hAnsi="Palatino Linotype" w:cs="Times New Roman"/>
          <w:color w:val="000000"/>
          <w:sz w:val="20"/>
          <w:szCs w:val="20"/>
          <w:lang w:val="en-US" w:eastAsia="de-DE" w:bidi="en-US"/>
        </w:rPr>
        <w:t xml:space="preserve"> to the average value of the negative control 0.8PC:0.2Ch liposomes. Mann–Whitney unpaired t-test was performed for (</w:t>
      </w:r>
      <w:r w:rsidRPr="00101A51">
        <w:rPr>
          <w:rFonts w:ascii="Palatino Linotype" w:eastAsia="Times New Roman" w:hAnsi="Palatino Linotype" w:cs="Times New Roman"/>
          <w:b/>
          <w:bCs/>
          <w:color w:val="000000"/>
          <w:sz w:val="20"/>
          <w:szCs w:val="20"/>
          <w:lang w:val="en-US" w:eastAsia="de-DE" w:bidi="en-US"/>
        </w:rPr>
        <w:t>A</w:t>
      </w:r>
      <w:r w:rsidRPr="00101A51">
        <w:rPr>
          <w:rFonts w:ascii="Palatino Linotype" w:eastAsia="Times New Roman" w:hAnsi="Palatino Linotype" w:cs="Times New Roman"/>
          <w:color w:val="000000"/>
          <w:sz w:val="20"/>
          <w:szCs w:val="20"/>
          <w:lang w:val="en-US" w:eastAsia="de-DE" w:bidi="en-US"/>
        </w:rPr>
        <w:t>–</w:t>
      </w:r>
      <w:r w:rsidRPr="00101A51">
        <w:rPr>
          <w:rFonts w:ascii="Palatino Linotype" w:eastAsia="Times New Roman" w:hAnsi="Palatino Linotype" w:cs="Times New Roman"/>
          <w:b/>
          <w:bCs/>
          <w:color w:val="000000"/>
          <w:sz w:val="20"/>
          <w:szCs w:val="20"/>
          <w:lang w:val="en-US" w:eastAsia="de-DE" w:bidi="en-US"/>
        </w:rPr>
        <w:t>D</w:t>
      </w:r>
      <w:r w:rsidRPr="00101A51">
        <w:rPr>
          <w:rFonts w:ascii="Palatino Linotype" w:eastAsia="Times New Roman" w:hAnsi="Palatino Linotype" w:cs="Times New Roman"/>
          <w:color w:val="000000"/>
          <w:sz w:val="20"/>
          <w:szCs w:val="20"/>
          <w:lang w:val="en-US" w:eastAsia="de-DE" w:bidi="en-US"/>
        </w:rPr>
        <w:t xml:space="preserve">) and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represented with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&lt; 0.05,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&lt; 0.01,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 xml:space="preserve">value &lt; 0.001, **** for </w:t>
      </w:r>
      <w:r w:rsidRPr="00101A51">
        <w:rPr>
          <w:rFonts w:ascii="Palatino Linotype" w:eastAsia="Times New Roman" w:hAnsi="Palatino Linotype" w:cs="Times New Roman"/>
          <w:i/>
          <w:iCs/>
          <w:color w:val="000000"/>
          <w:sz w:val="20"/>
          <w:szCs w:val="20"/>
          <w:lang w:val="en-US" w:eastAsia="de-DE" w:bidi="en-US"/>
        </w:rPr>
        <w:t>p-</w:t>
      </w:r>
      <w:r w:rsidRPr="00101A51">
        <w:rPr>
          <w:rFonts w:ascii="Palatino Linotype" w:eastAsia="Times New Roman" w:hAnsi="Palatino Linotype" w:cs="Times New Roman"/>
          <w:color w:val="000000"/>
          <w:sz w:val="20"/>
          <w:szCs w:val="20"/>
          <w:lang w:val="en-US" w:eastAsia="de-DE" w:bidi="en-US"/>
        </w:rPr>
        <w:t>value &lt; 0.0001.</w:t>
      </w:r>
    </w:p>
    <w:p w:rsidR="00EA4710" w:rsidRPr="00101A51" w:rsidRDefault="00EA4710" w:rsidP="001336A8">
      <w:pPr>
        <w:adjustRightInd w:val="0"/>
        <w:snapToGrid w:val="0"/>
        <w:spacing w:before="120" w:after="240" w:line="228" w:lineRule="auto"/>
        <w:ind w:right="425"/>
        <w:jc w:val="both"/>
        <w:rPr>
          <w:rFonts w:ascii="Palatino Linotype" w:eastAsia="Times New Roman" w:hAnsi="Palatino Linotype" w:cs="Times New Roman"/>
          <w:color w:val="000000"/>
          <w:sz w:val="20"/>
          <w:szCs w:val="20"/>
          <w:lang w:val="en-US" w:eastAsia="de-DE" w:bidi="en-US"/>
        </w:rPr>
      </w:pPr>
    </w:p>
    <w:p w:rsidR="00EA4710" w:rsidRPr="00EA4710" w:rsidRDefault="00EA4710" w:rsidP="00EA4710">
      <w:pPr>
        <w:adjustRightInd w:val="0"/>
        <w:snapToGrid w:val="0"/>
        <w:spacing w:before="120" w:after="240" w:line="228" w:lineRule="auto"/>
        <w:rPr>
          <w:rFonts w:ascii="Palatino Linotype" w:eastAsia="Times New Roman" w:hAnsi="Palatino Linotype" w:cs="Times New Roman"/>
          <w:color w:val="000000"/>
          <w:sz w:val="18"/>
          <w:szCs w:val="20"/>
          <w:lang w:val="en-US" w:eastAsia="de-DE" w:bidi="en-US"/>
        </w:rPr>
      </w:pPr>
    </w:p>
    <w:p w:rsidR="00EA4710" w:rsidRPr="00EA4710" w:rsidRDefault="00EA4710" w:rsidP="00EA4710">
      <w:pPr>
        <w:adjustRightInd w:val="0"/>
        <w:snapToGrid w:val="0"/>
        <w:spacing w:before="120" w:after="240" w:line="228" w:lineRule="auto"/>
        <w:rPr>
          <w:rFonts w:ascii="Palatino Linotype" w:eastAsia="Times New Roman" w:hAnsi="Palatino Linotype" w:cs="Times New Roman"/>
          <w:color w:val="000000"/>
          <w:sz w:val="18"/>
          <w:szCs w:val="20"/>
          <w:lang w:val="en-US" w:eastAsia="de-DE" w:bidi="en-US"/>
        </w:rPr>
      </w:pPr>
    </w:p>
    <w:p w:rsidR="00EA4710" w:rsidRDefault="00EA4710"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01A51" w:rsidRDefault="00101A51"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1336A8" w:rsidRDefault="001336A8"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3565B6"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rFonts w:ascii="Palatino Linotype" w:eastAsia="Times New Roman" w:hAnsi="Palatino Linotype" w:cs="Times New Roman"/>
          <w:b/>
          <w:color w:val="000000"/>
          <w:sz w:val="18"/>
          <w:lang w:val="en-US" w:eastAsia="de-DE" w:bidi="en-US"/>
        </w:rPr>
        <w:t>Figure 1</w:t>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b/>
          <w:noProof/>
        </w:rPr>
        <w:drawing>
          <wp:inline distT="0" distB="0" distL="0" distR="0" wp14:anchorId="3BB0FB2D" wp14:editId="0FA0B6B5">
            <wp:extent cx="5731510" cy="7639458"/>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639458"/>
                    </a:xfrm>
                    <a:prstGeom prst="rect">
                      <a:avLst/>
                    </a:prstGeom>
                  </pic:spPr>
                </pic:pic>
              </a:graphicData>
            </a:graphic>
          </wp:inline>
        </w:drawing>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rFonts w:ascii="Palatino Linotype" w:eastAsia="Times New Roman" w:hAnsi="Palatino Linotype" w:cs="Times New Roman"/>
          <w:b/>
          <w:color w:val="000000"/>
          <w:sz w:val="18"/>
          <w:lang w:val="en-US" w:eastAsia="de-DE" w:bidi="en-US"/>
        </w:rPr>
        <w:lastRenderedPageBreak/>
        <w:t>Figure 2</w:t>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sidRPr="008269FD">
        <w:rPr>
          <w:noProof/>
        </w:rPr>
        <w:drawing>
          <wp:inline distT="0" distB="0" distL="0" distR="0" wp14:anchorId="56E9B2EE" wp14:editId="5E8227B4">
            <wp:extent cx="2649260" cy="3207328"/>
            <wp:effectExtent l="0" t="0" r="0" b="0"/>
            <wp:docPr id="17" name="Image 6" descr="Une image contenant texte, périphérique, trou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Une image contenant texte, périphérique, troubl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2735" cy="3211535"/>
                    </a:xfrm>
                    <a:prstGeom prst="rect">
                      <a:avLst/>
                    </a:prstGeom>
                    <a:noFill/>
                    <a:ln>
                      <a:noFill/>
                    </a:ln>
                  </pic:spPr>
                </pic:pic>
              </a:graphicData>
            </a:graphic>
          </wp:inline>
        </w:drawing>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rFonts w:ascii="Palatino Linotype" w:eastAsia="Times New Roman" w:hAnsi="Palatino Linotype" w:cs="Times New Roman"/>
          <w:b/>
          <w:color w:val="000000"/>
          <w:sz w:val="18"/>
          <w:lang w:val="en-US" w:eastAsia="de-DE" w:bidi="en-US"/>
        </w:rPr>
        <w:lastRenderedPageBreak/>
        <w:t>Figure 3</w:t>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noProof/>
        </w:rPr>
        <w:drawing>
          <wp:inline distT="0" distB="0" distL="0" distR="0" wp14:anchorId="061FB944" wp14:editId="0A130E18">
            <wp:extent cx="4953000" cy="4800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3000" cy="4800600"/>
                    </a:xfrm>
                    <a:prstGeom prst="rect">
                      <a:avLst/>
                    </a:prstGeom>
                  </pic:spPr>
                </pic:pic>
              </a:graphicData>
            </a:graphic>
          </wp:inline>
        </w:drawing>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rFonts w:ascii="Palatino Linotype" w:eastAsia="Times New Roman" w:hAnsi="Palatino Linotype" w:cs="Times New Roman"/>
          <w:b/>
          <w:color w:val="000000"/>
          <w:sz w:val="18"/>
          <w:lang w:val="en-US" w:eastAsia="de-DE" w:bidi="en-US"/>
        </w:rPr>
        <w:lastRenderedPageBreak/>
        <w:t>Figure 4</w:t>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noProof/>
        </w:rPr>
        <w:drawing>
          <wp:inline distT="0" distB="0" distL="0" distR="0" wp14:anchorId="27AD5E84" wp14:editId="410FA6C0">
            <wp:extent cx="5130800" cy="2387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0800" cy="2387600"/>
                    </a:xfrm>
                    <a:prstGeom prst="rect">
                      <a:avLst/>
                    </a:prstGeom>
                  </pic:spPr>
                </pic:pic>
              </a:graphicData>
            </a:graphic>
          </wp:inline>
        </w:drawing>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rFonts w:ascii="Palatino Linotype" w:eastAsia="Times New Roman" w:hAnsi="Palatino Linotype" w:cs="Times New Roman"/>
          <w:b/>
          <w:color w:val="000000"/>
          <w:sz w:val="18"/>
          <w:lang w:val="en-US" w:eastAsia="de-DE" w:bidi="en-US"/>
        </w:rPr>
        <w:lastRenderedPageBreak/>
        <w:t>Figure 5</w:t>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noProof/>
        </w:rPr>
        <w:drawing>
          <wp:inline distT="0" distB="0" distL="0" distR="0" wp14:anchorId="716D9124" wp14:editId="136616B4">
            <wp:extent cx="3390900" cy="2298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0900" cy="2298700"/>
                    </a:xfrm>
                    <a:prstGeom prst="rect">
                      <a:avLst/>
                    </a:prstGeom>
                  </pic:spPr>
                </pic:pic>
              </a:graphicData>
            </a:graphic>
          </wp:inline>
        </w:drawing>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rFonts w:ascii="Palatino Linotype" w:eastAsia="Times New Roman" w:hAnsi="Palatino Linotype" w:cs="Times New Roman"/>
          <w:b/>
          <w:color w:val="000000"/>
          <w:sz w:val="18"/>
          <w:lang w:val="en-US" w:eastAsia="de-DE" w:bidi="en-US"/>
        </w:rPr>
        <w:lastRenderedPageBreak/>
        <w:t>Figure 6</w:t>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noProof/>
        </w:rPr>
        <w:drawing>
          <wp:inline distT="0" distB="0" distL="0" distR="0" wp14:anchorId="3A0ADBE1" wp14:editId="4DA22034">
            <wp:extent cx="5219700" cy="6096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9700" cy="6096000"/>
                    </a:xfrm>
                    <a:prstGeom prst="rect">
                      <a:avLst/>
                    </a:prstGeom>
                  </pic:spPr>
                </pic:pic>
              </a:graphicData>
            </a:graphic>
          </wp:inline>
        </w:drawing>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rFonts w:ascii="Palatino Linotype" w:eastAsia="Times New Roman" w:hAnsi="Palatino Linotype" w:cs="Times New Roman"/>
          <w:b/>
          <w:color w:val="000000"/>
          <w:sz w:val="18"/>
          <w:lang w:val="en-US" w:eastAsia="de-DE" w:bidi="en-US"/>
        </w:rPr>
        <w:lastRenderedPageBreak/>
        <w:t>Figure 7</w:t>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noProof/>
        </w:rPr>
        <w:drawing>
          <wp:inline distT="0" distB="0" distL="0" distR="0" wp14:anchorId="3D49ED7A" wp14:editId="58283EAE">
            <wp:extent cx="5143500" cy="6019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3500" cy="6019800"/>
                    </a:xfrm>
                    <a:prstGeom prst="rect">
                      <a:avLst/>
                    </a:prstGeom>
                  </pic:spPr>
                </pic:pic>
              </a:graphicData>
            </a:graphic>
          </wp:inline>
        </w:drawing>
      </w: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BB3869" w:rsidRDefault="00BB3869"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3565B6" w:rsidRDefault="003565B6"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rFonts w:ascii="Palatino Linotype" w:eastAsia="Times New Roman" w:hAnsi="Palatino Linotype" w:cs="Times New Roman"/>
          <w:b/>
          <w:color w:val="000000"/>
          <w:sz w:val="18"/>
          <w:lang w:val="en-US" w:eastAsia="de-DE" w:bidi="en-US"/>
        </w:rPr>
        <w:t>Supplementary data</w:t>
      </w:r>
    </w:p>
    <w:p w:rsidR="008C30C2" w:rsidRDefault="008C30C2"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noProof/>
        </w:rPr>
        <w:drawing>
          <wp:inline distT="0" distB="0" distL="0" distR="0" wp14:anchorId="745AAC70" wp14:editId="559629FD">
            <wp:extent cx="2159000" cy="2146300"/>
            <wp:effectExtent l="0" t="0" r="0" b="0"/>
            <wp:docPr id="4"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a:stretch>
                      <a:fillRect/>
                    </a:stretch>
                  </pic:blipFill>
                  <pic:spPr>
                    <a:xfrm>
                      <a:off x="0" y="0"/>
                      <a:ext cx="2159000" cy="2146300"/>
                    </a:xfrm>
                    <a:prstGeom prst="rect">
                      <a:avLst/>
                    </a:prstGeom>
                  </pic:spPr>
                </pic:pic>
              </a:graphicData>
            </a:graphic>
          </wp:inline>
        </w:drawing>
      </w:r>
    </w:p>
    <w:p w:rsidR="008C30C2" w:rsidRPr="001336A8" w:rsidRDefault="008C30C2" w:rsidP="001336A8">
      <w:pPr>
        <w:adjustRightInd w:val="0"/>
        <w:snapToGrid w:val="0"/>
        <w:spacing w:after="0" w:line="240" w:lineRule="auto"/>
        <w:jc w:val="both"/>
        <w:rPr>
          <w:rFonts w:ascii="Palatino Linotype" w:hAnsi="Palatino Linotype"/>
          <w:sz w:val="20"/>
          <w:szCs w:val="20"/>
          <w:lang w:bidi="en-US"/>
        </w:rPr>
      </w:pPr>
      <w:r w:rsidRPr="001336A8">
        <w:rPr>
          <w:rFonts w:ascii="Palatino Linotype" w:hAnsi="Palatino Linotype"/>
          <w:b/>
          <w:bCs/>
          <w:sz w:val="20"/>
          <w:szCs w:val="20"/>
          <w:lang w:bidi="en-US"/>
        </w:rPr>
        <w:t>Figure S1.</w:t>
      </w:r>
      <w:r w:rsidRPr="001336A8">
        <w:rPr>
          <w:rFonts w:ascii="Palatino Linotype" w:hAnsi="Palatino Linotype"/>
          <w:sz w:val="20"/>
          <w:szCs w:val="20"/>
          <w:lang w:bidi="en-US"/>
        </w:rPr>
        <w:t xml:space="preserve"> Viability of TZM-bl with 0.8PC:0.2Ch liposomes. 3x10</w:t>
      </w:r>
      <w:r w:rsidRPr="001336A8">
        <w:rPr>
          <w:rFonts w:ascii="Palatino Linotype" w:hAnsi="Palatino Linotype"/>
          <w:sz w:val="20"/>
          <w:szCs w:val="20"/>
          <w:vertAlign w:val="superscript"/>
          <w:lang w:bidi="en-US"/>
        </w:rPr>
        <w:t>4</w:t>
      </w:r>
      <w:r w:rsidRPr="001336A8">
        <w:rPr>
          <w:rFonts w:ascii="Palatino Linotype" w:hAnsi="Palatino Linotype"/>
          <w:sz w:val="20"/>
          <w:szCs w:val="20"/>
          <w:lang w:bidi="en-US"/>
        </w:rPr>
        <w:t xml:space="preserve"> TZM-bl cells per well were seeded in 96-well plates. After 24h at 37°C 5% CO2, the cells were incubated with 1000ng, 100ng, 10ng and 1ng of 0.8PC:0.2Ch liposomes in 250μl total volume. After 48h incubation at 37°C 5% CO2 the media was removed and the cells harvested via trypsin treatment and fixed in 2% PFA (Sigma Aldrich, UK). After fixation, the cells were re-suspended in PBS and the viability was analysed by flow cytometry. BD </w:t>
      </w:r>
      <w:proofErr w:type="spellStart"/>
      <w:r w:rsidRPr="001336A8">
        <w:rPr>
          <w:rFonts w:ascii="Palatino Linotype" w:hAnsi="Palatino Linotype"/>
          <w:sz w:val="20"/>
          <w:szCs w:val="20"/>
          <w:lang w:bidi="en-US"/>
        </w:rPr>
        <w:t>Accuri</w:t>
      </w:r>
      <w:proofErr w:type="spellEnd"/>
      <w:r w:rsidRPr="001336A8">
        <w:rPr>
          <w:rFonts w:ascii="Palatino Linotype" w:hAnsi="Palatino Linotype"/>
          <w:sz w:val="20"/>
          <w:szCs w:val="20"/>
          <w:lang w:bidi="en-US"/>
        </w:rPr>
        <w:t xml:space="preserve">™ C6 was used to record 10,000 events for each sample and data analysis was performed using the BD </w:t>
      </w:r>
      <w:proofErr w:type="spellStart"/>
      <w:r w:rsidRPr="001336A8">
        <w:rPr>
          <w:rFonts w:ascii="Palatino Linotype" w:hAnsi="Palatino Linotype"/>
          <w:sz w:val="20"/>
          <w:szCs w:val="20"/>
          <w:lang w:bidi="en-US"/>
        </w:rPr>
        <w:t>Accuri</w:t>
      </w:r>
      <w:proofErr w:type="spellEnd"/>
      <w:r w:rsidRPr="001336A8">
        <w:rPr>
          <w:rFonts w:ascii="Palatino Linotype" w:hAnsi="Palatino Linotype"/>
          <w:sz w:val="20"/>
          <w:szCs w:val="20"/>
          <w:lang w:bidi="en-US"/>
        </w:rPr>
        <w:t>™ C6 Plus software. For the data shown, n=2. Mann Whitney unpaired t-test was performed.</w:t>
      </w:r>
    </w:p>
    <w:p w:rsidR="008C30C2" w:rsidRDefault="008C30C2" w:rsidP="008C30C2">
      <w:pPr>
        <w:adjustRightInd w:val="0"/>
        <w:snapToGrid w:val="0"/>
        <w:spacing w:before="240" w:after="0" w:line="240" w:lineRule="auto"/>
        <w:jc w:val="both"/>
        <w:rPr>
          <w:rFonts w:ascii="Palatino Linotype" w:hAnsi="Palatino Linotype"/>
          <w:sz w:val="18"/>
          <w:lang w:bidi="en-US"/>
        </w:rPr>
      </w:pPr>
    </w:p>
    <w:p w:rsidR="008C30C2" w:rsidRDefault="008C30C2"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noProof/>
        </w:rPr>
        <w:drawing>
          <wp:inline distT="0" distB="0" distL="0" distR="0" wp14:anchorId="3B4DD9F6" wp14:editId="4E96F3EF">
            <wp:extent cx="4140200" cy="4584700"/>
            <wp:effectExtent l="0" t="0" r="0" b="6350"/>
            <wp:docPr id="5"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a:stretch>
                      <a:fillRect/>
                    </a:stretch>
                  </pic:blipFill>
                  <pic:spPr>
                    <a:xfrm>
                      <a:off x="0" y="0"/>
                      <a:ext cx="4140200" cy="4584700"/>
                    </a:xfrm>
                    <a:prstGeom prst="rect">
                      <a:avLst/>
                    </a:prstGeom>
                  </pic:spPr>
                </pic:pic>
              </a:graphicData>
            </a:graphic>
          </wp:inline>
        </w:drawing>
      </w:r>
    </w:p>
    <w:p w:rsidR="001336A8" w:rsidRDefault="001336A8" w:rsidP="001336A8">
      <w:pPr>
        <w:adjustRightInd w:val="0"/>
        <w:snapToGrid w:val="0"/>
        <w:spacing w:after="0" w:line="240" w:lineRule="auto"/>
        <w:ind w:right="425"/>
        <w:rPr>
          <w:rFonts w:ascii="Palatino Linotype" w:hAnsi="Palatino Linotype"/>
          <w:b/>
          <w:bCs/>
          <w:sz w:val="20"/>
          <w:szCs w:val="20"/>
          <w:lang w:bidi="en-US"/>
        </w:rPr>
      </w:pPr>
    </w:p>
    <w:p w:rsidR="008C30C2" w:rsidRPr="001336A8" w:rsidRDefault="008C30C2" w:rsidP="001336A8">
      <w:pPr>
        <w:adjustRightInd w:val="0"/>
        <w:snapToGrid w:val="0"/>
        <w:spacing w:after="0" w:line="240" w:lineRule="auto"/>
        <w:ind w:right="-46"/>
        <w:jc w:val="both"/>
        <w:rPr>
          <w:rFonts w:ascii="Palatino Linotype" w:hAnsi="Palatino Linotype"/>
          <w:sz w:val="20"/>
          <w:szCs w:val="20"/>
          <w:lang w:bidi="en-US"/>
        </w:rPr>
      </w:pPr>
      <w:r w:rsidRPr="001336A8">
        <w:rPr>
          <w:rFonts w:ascii="Palatino Linotype" w:hAnsi="Palatino Linotype"/>
          <w:b/>
          <w:bCs/>
          <w:sz w:val="20"/>
          <w:szCs w:val="20"/>
          <w:lang w:bidi="en-US"/>
        </w:rPr>
        <w:t>Figure S2</w:t>
      </w:r>
      <w:r w:rsidR="001336A8" w:rsidRPr="001336A8">
        <w:rPr>
          <w:rFonts w:ascii="Palatino Linotype" w:hAnsi="Palatino Linotype"/>
          <w:sz w:val="20"/>
          <w:szCs w:val="20"/>
          <w:lang w:bidi="en-US"/>
        </w:rPr>
        <w:t>.</w:t>
      </w:r>
      <w:r w:rsidRPr="001336A8">
        <w:rPr>
          <w:rFonts w:ascii="Palatino Linotype" w:hAnsi="Palatino Linotype"/>
          <w:sz w:val="20"/>
          <w:szCs w:val="20"/>
          <w:lang w:bidi="en-US"/>
        </w:rPr>
        <w:t xml:space="preserve"> Influence of PC and Ch in liposome composition on HIV-1 </w:t>
      </w:r>
      <w:r w:rsidRPr="001336A8">
        <w:rPr>
          <w:rFonts w:ascii="Palatino Linotype" w:hAnsi="Palatino Linotype"/>
          <w:i/>
          <w:iCs/>
          <w:sz w:val="20"/>
          <w:szCs w:val="20"/>
          <w:lang w:bidi="en-US"/>
        </w:rPr>
        <w:t>cis</w:t>
      </w:r>
      <w:r w:rsidRPr="001336A8">
        <w:rPr>
          <w:rFonts w:ascii="Palatino Linotype" w:hAnsi="Palatino Linotype"/>
          <w:sz w:val="20"/>
          <w:szCs w:val="20"/>
          <w:lang w:bidi="en-US"/>
        </w:rPr>
        <w:t>-infection. 3x10</w:t>
      </w:r>
      <w:r w:rsidRPr="001336A8">
        <w:rPr>
          <w:rFonts w:ascii="Palatino Linotype" w:hAnsi="Palatino Linotype"/>
          <w:sz w:val="20"/>
          <w:szCs w:val="20"/>
          <w:vertAlign w:val="superscript"/>
          <w:lang w:bidi="en-US"/>
        </w:rPr>
        <w:t>4</w:t>
      </w:r>
      <w:r w:rsidRPr="001336A8">
        <w:rPr>
          <w:rFonts w:ascii="Palatino Linotype" w:hAnsi="Palatino Linotype"/>
          <w:sz w:val="20"/>
          <w:szCs w:val="20"/>
          <w:lang w:bidi="en-US"/>
        </w:rPr>
        <w:t xml:space="preserve"> TZM-bl cells per well were seeded in 96-well plates. After 24h, the cells were infected with 8ng CA-p24 of pSG3-JF-FL (HIV-1 R5) and pSG3Δenv (ΔpSG3) where (</w:t>
      </w:r>
      <w:r w:rsidRPr="001336A8">
        <w:rPr>
          <w:rFonts w:ascii="Palatino Linotype" w:hAnsi="Palatino Linotype"/>
          <w:b/>
          <w:bCs/>
          <w:sz w:val="20"/>
          <w:szCs w:val="20"/>
          <w:lang w:bidi="en-US"/>
        </w:rPr>
        <w:t>A</w:t>
      </w:r>
      <w:r w:rsidRPr="001336A8">
        <w:rPr>
          <w:rFonts w:ascii="Palatino Linotype" w:hAnsi="Palatino Linotype"/>
          <w:sz w:val="20"/>
          <w:szCs w:val="20"/>
          <w:lang w:bidi="en-US"/>
        </w:rPr>
        <w:t>) virus input with 1 or 100ng of liposomes at the same time or (</w:t>
      </w:r>
      <w:r w:rsidRPr="001336A8">
        <w:rPr>
          <w:rFonts w:ascii="Palatino Linotype" w:hAnsi="Palatino Linotype"/>
          <w:b/>
          <w:bCs/>
          <w:sz w:val="20"/>
          <w:szCs w:val="20"/>
          <w:lang w:bidi="en-US"/>
        </w:rPr>
        <w:t>B</w:t>
      </w:r>
      <w:r w:rsidRPr="001336A8">
        <w:rPr>
          <w:rFonts w:ascii="Palatino Linotype" w:hAnsi="Palatino Linotype"/>
          <w:sz w:val="20"/>
          <w:szCs w:val="20"/>
          <w:lang w:bidi="en-US"/>
        </w:rPr>
        <w:t>) 1 or 100ng of liposomes added to TZM-bl cells 30min prior to adding virus. Liposomes tested: PC, 0.9PC:0.1Ch, 0.8PC:0.2Ch and 0.6PC:0.4Ch. 48h post-infection cells were lysed and luciferase activity measured (RLU). RLU produced on each experiment were normalised to the average value of the negative control ΔpSG3. For the data shown, n=4. Mann Whitney unpaired t-test was performed P value represented with * for P value&lt; 0.05, ** for P value&lt; 0.01, *** for P value&lt; 0.001, **** for P value&lt; 0.0001.</w:t>
      </w:r>
    </w:p>
    <w:p w:rsidR="008C30C2" w:rsidRDefault="008C30C2" w:rsidP="001336A8">
      <w:pPr>
        <w:adjustRightInd w:val="0"/>
        <w:snapToGrid w:val="0"/>
        <w:spacing w:after="0" w:line="480" w:lineRule="auto"/>
        <w:ind w:right="-46"/>
        <w:jc w:val="both"/>
        <w:rPr>
          <w:rFonts w:ascii="Palatino Linotype" w:eastAsia="Times New Roman" w:hAnsi="Palatino Linotype" w:cs="Times New Roman"/>
          <w:b/>
          <w:color w:val="000000"/>
          <w:sz w:val="18"/>
          <w:lang w:val="en-US" w:eastAsia="de-DE" w:bidi="en-US"/>
        </w:rPr>
      </w:pPr>
    </w:p>
    <w:p w:rsidR="00AA6CD2" w:rsidRDefault="00AA6CD2"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AA6CD2" w:rsidRDefault="00AA6CD2"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AA6CD2" w:rsidRDefault="00AA6CD2"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AA6CD2" w:rsidRDefault="00AA6CD2"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AA6CD2" w:rsidRDefault="00AA6CD2"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p w:rsidR="00AA6CD2" w:rsidRDefault="00AA6CD2" w:rsidP="00AA6CD2">
      <w:pPr>
        <w:spacing w:line="240" w:lineRule="auto"/>
        <w:rPr>
          <w:szCs w:val="24"/>
        </w:rPr>
      </w:pPr>
    </w:p>
    <w:p w:rsidR="00AA6CD2" w:rsidRDefault="00AA6CD2" w:rsidP="00AA6CD2">
      <w:pPr>
        <w:keepNext/>
        <w:spacing w:line="240" w:lineRule="auto"/>
        <w:jc w:val="center"/>
        <w:rPr>
          <w:szCs w:val="24"/>
        </w:rPr>
      </w:pPr>
      <w:r>
        <w:rPr>
          <w:noProof/>
          <w:szCs w:val="24"/>
          <w:lang w:eastAsia="en-GB"/>
        </w:rPr>
        <w:drawing>
          <wp:inline distT="0" distB="0" distL="0" distR="0">
            <wp:extent cx="6124575" cy="1743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1743075"/>
                    </a:xfrm>
                    <a:prstGeom prst="rect">
                      <a:avLst/>
                    </a:prstGeom>
                    <a:noFill/>
                    <a:ln>
                      <a:noFill/>
                    </a:ln>
                  </pic:spPr>
                </pic:pic>
              </a:graphicData>
            </a:graphic>
          </wp:inline>
        </w:drawing>
      </w:r>
    </w:p>
    <w:p w:rsidR="00AA6CD2" w:rsidRDefault="00AA6CD2" w:rsidP="00AA6CD2">
      <w:pPr>
        <w:keepNext/>
        <w:spacing w:line="240" w:lineRule="auto"/>
        <w:jc w:val="center"/>
        <w:rPr>
          <w:szCs w:val="24"/>
        </w:rPr>
      </w:pPr>
      <w:r>
        <w:rPr>
          <w:noProof/>
          <w:szCs w:val="24"/>
          <w:lang w:eastAsia="en-GB"/>
        </w:rPr>
        <w:drawing>
          <wp:inline distT="0" distB="0" distL="0" distR="0">
            <wp:extent cx="4171950" cy="1228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1228725"/>
                    </a:xfrm>
                    <a:prstGeom prst="rect">
                      <a:avLst/>
                    </a:prstGeom>
                    <a:noFill/>
                    <a:ln>
                      <a:noFill/>
                    </a:ln>
                  </pic:spPr>
                </pic:pic>
              </a:graphicData>
            </a:graphic>
          </wp:inline>
        </w:drawing>
      </w:r>
    </w:p>
    <w:p w:rsidR="001336A8" w:rsidRDefault="001336A8" w:rsidP="001336A8">
      <w:pPr>
        <w:adjustRightInd w:val="0"/>
        <w:snapToGrid w:val="0"/>
        <w:spacing w:after="0" w:line="260" w:lineRule="atLeast"/>
        <w:ind w:right="425"/>
        <w:rPr>
          <w:rFonts w:ascii="Palatino Linotype" w:hAnsi="Palatino Linotype"/>
          <w:b/>
          <w:bCs/>
          <w:sz w:val="20"/>
          <w:szCs w:val="20"/>
          <w:lang w:bidi="en-US"/>
        </w:rPr>
      </w:pPr>
    </w:p>
    <w:p w:rsidR="00AA6CD2" w:rsidRPr="001336A8" w:rsidRDefault="00AA6CD2" w:rsidP="001336A8">
      <w:pPr>
        <w:adjustRightInd w:val="0"/>
        <w:snapToGrid w:val="0"/>
        <w:spacing w:after="0" w:line="260" w:lineRule="atLeast"/>
        <w:ind w:right="-46"/>
        <w:jc w:val="both"/>
        <w:rPr>
          <w:rFonts w:ascii="Palatino Linotype" w:eastAsia="Times New Roman" w:hAnsi="Palatino Linotype" w:cs="Times New Roman"/>
          <w:color w:val="000000"/>
          <w:sz w:val="20"/>
          <w:szCs w:val="20"/>
          <w:lang w:val="en-US" w:eastAsia="de-DE" w:bidi="en-US"/>
        </w:rPr>
      </w:pPr>
      <w:r w:rsidRPr="001336A8">
        <w:rPr>
          <w:rFonts w:ascii="Palatino Linotype" w:hAnsi="Palatino Linotype"/>
          <w:b/>
          <w:bCs/>
          <w:sz w:val="20"/>
          <w:szCs w:val="20"/>
          <w:lang w:bidi="en-US"/>
        </w:rPr>
        <w:t>Figure S3.</w:t>
      </w:r>
      <w:r w:rsidRPr="001336A8">
        <w:rPr>
          <w:rFonts w:ascii="Palatino Linotype" w:hAnsi="Palatino Linotype"/>
          <w:sz w:val="20"/>
          <w:szCs w:val="20"/>
          <w:lang w:bidi="en-US"/>
        </w:rPr>
        <w:t xml:space="preserve">  Thin-layer chromatography analyses of H37Rv Fractions. TLC of H37Rv’s fractions occurred from H37RvAE total lipid extract in 60:16:2 CHCl</w:t>
      </w:r>
      <w:proofErr w:type="gramStart"/>
      <w:r w:rsidRPr="001336A8">
        <w:rPr>
          <w:rFonts w:ascii="Palatino Linotype" w:hAnsi="Palatino Linotype"/>
          <w:sz w:val="20"/>
          <w:szCs w:val="20"/>
          <w:lang w:bidi="en-US"/>
        </w:rPr>
        <w:t>3:MeOH</w:t>
      </w:r>
      <w:proofErr w:type="gramEnd"/>
      <w:r w:rsidRPr="001336A8">
        <w:rPr>
          <w:rFonts w:ascii="Palatino Linotype" w:hAnsi="Palatino Linotype"/>
          <w:sz w:val="20"/>
          <w:szCs w:val="20"/>
          <w:lang w:bidi="en-US"/>
        </w:rPr>
        <w:t>:H2O solvent and visualised by staining with MPA and charring. Fractions (1-9) were pooled as fraction 1, (10-13) pooled as fraction 2, (14-18) pooled as fraction 3, (19-27) pooled as fraction 4, (28-32) pooled as fraction 5, (33-36) pooled as fraction 6, (37-44) pooled as fraction 7, and (45-63) pooled as fraction 8. The data shown are from one representative experiment.</w:t>
      </w:r>
    </w:p>
    <w:p w:rsidR="00AA6CD2" w:rsidRDefault="00AA6CD2" w:rsidP="00AA6CD2">
      <w:pPr>
        <w:spacing w:line="240" w:lineRule="auto"/>
        <w:rPr>
          <w:rFonts w:ascii="Palatino Linotype" w:hAnsi="Palatino Linotype"/>
          <w:sz w:val="18"/>
          <w:lang w:bidi="en-US"/>
        </w:rPr>
      </w:pPr>
      <w:r>
        <w:rPr>
          <w:szCs w:val="24"/>
        </w:rPr>
        <w:br w:type="page"/>
      </w:r>
    </w:p>
    <w:p w:rsidR="00AA6CD2" w:rsidRDefault="00AA6CD2"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r>
        <w:rPr>
          <w:noProof/>
        </w:rPr>
        <w:drawing>
          <wp:inline distT="0" distB="0" distL="0" distR="0" wp14:anchorId="65CC2B63" wp14:editId="53A7A84D">
            <wp:extent cx="4102100" cy="4660900"/>
            <wp:effectExtent l="0" t="0" r="0" b="6350"/>
            <wp:docPr id="10"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a:stretch>
                      <a:fillRect/>
                    </a:stretch>
                  </pic:blipFill>
                  <pic:spPr>
                    <a:xfrm>
                      <a:off x="0" y="0"/>
                      <a:ext cx="4102100" cy="4660900"/>
                    </a:xfrm>
                    <a:prstGeom prst="rect">
                      <a:avLst/>
                    </a:prstGeom>
                  </pic:spPr>
                </pic:pic>
              </a:graphicData>
            </a:graphic>
          </wp:inline>
        </w:drawing>
      </w:r>
    </w:p>
    <w:p w:rsidR="00AA6CD2" w:rsidRPr="001336A8" w:rsidRDefault="00AA6CD2" w:rsidP="001336A8">
      <w:pPr>
        <w:adjustRightInd w:val="0"/>
        <w:snapToGrid w:val="0"/>
        <w:spacing w:after="0" w:line="260" w:lineRule="atLeast"/>
        <w:ind w:right="-46"/>
        <w:jc w:val="both"/>
        <w:rPr>
          <w:rFonts w:ascii="Palatino Linotype" w:hAnsi="Palatino Linotype"/>
          <w:sz w:val="20"/>
          <w:szCs w:val="20"/>
          <w:lang w:bidi="en-US"/>
        </w:rPr>
      </w:pPr>
      <w:r w:rsidRPr="001336A8">
        <w:rPr>
          <w:rFonts w:ascii="Palatino Linotype" w:hAnsi="Palatino Linotype"/>
          <w:b/>
          <w:bCs/>
          <w:sz w:val="20"/>
          <w:szCs w:val="20"/>
          <w:lang w:bidi="en-US"/>
        </w:rPr>
        <w:t>Figure S4.</w:t>
      </w:r>
      <w:r w:rsidRPr="001336A8">
        <w:rPr>
          <w:rFonts w:ascii="Palatino Linotype" w:hAnsi="Palatino Linotype"/>
          <w:sz w:val="20"/>
          <w:szCs w:val="20"/>
          <w:lang w:bidi="en-US"/>
        </w:rPr>
        <w:t xml:space="preserve"> HIV-1 </w:t>
      </w:r>
      <w:r w:rsidRPr="001336A8">
        <w:rPr>
          <w:rFonts w:ascii="Palatino Linotype" w:hAnsi="Palatino Linotype"/>
          <w:i/>
          <w:iCs/>
          <w:sz w:val="20"/>
          <w:szCs w:val="20"/>
          <w:lang w:bidi="en-US"/>
        </w:rPr>
        <w:t>trans</w:t>
      </w:r>
      <w:r w:rsidRPr="001336A8">
        <w:rPr>
          <w:rFonts w:ascii="Palatino Linotype" w:hAnsi="Palatino Linotype"/>
          <w:sz w:val="20"/>
          <w:szCs w:val="20"/>
          <w:lang w:bidi="en-US"/>
        </w:rPr>
        <w:t>-infection on TZM-bl cells in presence of mannan. 0.5x10</w:t>
      </w:r>
      <w:r w:rsidRPr="001336A8">
        <w:rPr>
          <w:rFonts w:ascii="Palatino Linotype" w:hAnsi="Palatino Linotype"/>
          <w:sz w:val="20"/>
          <w:szCs w:val="20"/>
          <w:vertAlign w:val="superscript"/>
          <w:lang w:bidi="en-US"/>
        </w:rPr>
        <w:t>6</w:t>
      </w:r>
      <w:r w:rsidRPr="001336A8">
        <w:rPr>
          <w:rFonts w:ascii="Palatino Linotype" w:hAnsi="Palatino Linotype"/>
          <w:sz w:val="20"/>
          <w:szCs w:val="20"/>
          <w:lang w:bidi="en-US"/>
        </w:rPr>
        <w:t xml:space="preserve"> Raji-DC-SIGN(</w:t>
      </w:r>
      <w:r w:rsidRPr="001336A8">
        <w:rPr>
          <w:rFonts w:ascii="Palatino Linotype" w:hAnsi="Palatino Linotype"/>
          <w:b/>
          <w:bCs/>
          <w:sz w:val="20"/>
          <w:szCs w:val="20"/>
          <w:lang w:bidi="en-US"/>
        </w:rPr>
        <w:t>A</w:t>
      </w:r>
      <w:r w:rsidRPr="001336A8">
        <w:rPr>
          <w:rFonts w:ascii="Palatino Linotype" w:hAnsi="Palatino Linotype"/>
          <w:sz w:val="20"/>
          <w:szCs w:val="20"/>
          <w:lang w:bidi="en-US"/>
        </w:rPr>
        <w:t xml:space="preserve">), </w:t>
      </w:r>
      <w:proofErr w:type="spellStart"/>
      <w:r w:rsidRPr="001336A8">
        <w:rPr>
          <w:rFonts w:ascii="Palatino Linotype" w:hAnsi="Palatino Linotype"/>
          <w:sz w:val="20"/>
          <w:szCs w:val="20"/>
          <w:lang w:bidi="en-US"/>
        </w:rPr>
        <w:t>iDCs</w:t>
      </w:r>
      <w:proofErr w:type="spellEnd"/>
      <w:r w:rsidRPr="001336A8">
        <w:rPr>
          <w:rFonts w:ascii="Palatino Linotype" w:hAnsi="Palatino Linotype"/>
          <w:sz w:val="20"/>
          <w:szCs w:val="20"/>
          <w:lang w:bidi="en-US"/>
        </w:rPr>
        <w:t xml:space="preserve"> (</w:t>
      </w:r>
      <w:r w:rsidRPr="001336A8">
        <w:rPr>
          <w:rFonts w:ascii="Palatino Linotype" w:hAnsi="Palatino Linotype"/>
          <w:b/>
          <w:bCs/>
          <w:sz w:val="20"/>
          <w:szCs w:val="20"/>
          <w:lang w:bidi="en-US"/>
        </w:rPr>
        <w:t>B</w:t>
      </w:r>
      <w:r w:rsidRPr="001336A8">
        <w:rPr>
          <w:rFonts w:ascii="Palatino Linotype" w:hAnsi="Palatino Linotype"/>
          <w:sz w:val="20"/>
          <w:szCs w:val="20"/>
          <w:lang w:bidi="en-US"/>
        </w:rPr>
        <w:t xml:space="preserve">) and </w:t>
      </w:r>
      <w:proofErr w:type="spellStart"/>
      <w:r w:rsidRPr="001336A8">
        <w:rPr>
          <w:rFonts w:ascii="Palatino Linotype" w:hAnsi="Palatino Linotype"/>
          <w:sz w:val="20"/>
          <w:szCs w:val="20"/>
          <w:lang w:bidi="en-US"/>
        </w:rPr>
        <w:t>mDCs</w:t>
      </w:r>
      <w:proofErr w:type="spellEnd"/>
      <w:r w:rsidRPr="001336A8">
        <w:rPr>
          <w:rFonts w:ascii="Palatino Linotype" w:hAnsi="Palatino Linotype"/>
          <w:sz w:val="20"/>
          <w:szCs w:val="20"/>
          <w:lang w:bidi="en-US"/>
        </w:rPr>
        <w:t xml:space="preserve"> (</w:t>
      </w:r>
      <w:r w:rsidRPr="001336A8">
        <w:rPr>
          <w:rFonts w:ascii="Palatino Linotype" w:hAnsi="Palatino Linotype"/>
          <w:b/>
          <w:bCs/>
          <w:sz w:val="20"/>
          <w:szCs w:val="20"/>
          <w:lang w:bidi="en-US"/>
        </w:rPr>
        <w:t>C</w:t>
      </w:r>
      <w:r w:rsidRPr="001336A8">
        <w:rPr>
          <w:rFonts w:ascii="Palatino Linotype" w:hAnsi="Palatino Linotype"/>
          <w:sz w:val="20"/>
          <w:szCs w:val="20"/>
          <w:lang w:bidi="en-US"/>
        </w:rPr>
        <w:t>) were pre-incubation for 30min with 20μg/ml, 2mg/ml of mannan or 50µl of media (</w:t>
      </w:r>
      <w:r w:rsidRPr="001336A8">
        <w:rPr>
          <w:rFonts w:ascii="Palatino Linotype" w:hAnsi="Palatino Linotype"/>
          <w:sz w:val="20"/>
          <w:szCs w:val="20"/>
          <w:lang w:bidi="en-US"/>
        </w:rPr>
        <w:sym w:font="Symbol" w:char="F0C6"/>
      </w:r>
      <w:r w:rsidRPr="001336A8">
        <w:rPr>
          <w:rFonts w:ascii="Palatino Linotype" w:hAnsi="Palatino Linotype"/>
          <w:sz w:val="20"/>
          <w:szCs w:val="20"/>
          <w:lang w:bidi="en-US"/>
        </w:rPr>
        <w:t xml:space="preserve">). The cells were then incubated for 2h with 12.5ng CA-p24 pSG3-LAI HIV-1 X4 pseudo-typed viral particles. After capture the cells were washed and co-cultured with TZM-bl cells. The luciferase activity was read after 48h. RLU produced on each experiment were normalised to the average value of the negative control HIV-1 X4 </w:t>
      </w:r>
      <w:r w:rsidRPr="001336A8">
        <w:rPr>
          <w:rFonts w:ascii="Palatino Linotype" w:hAnsi="Palatino Linotype"/>
          <w:i/>
          <w:iCs/>
          <w:sz w:val="20"/>
          <w:szCs w:val="20"/>
          <w:lang w:bidi="en-US"/>
        </w:rPr>
        <w:t>trans</w:t>
      </w:r>
      <w:r w:rsidRPr="001336A8">
        <w:rPr>
          <w:rFonts w:ascii="Palatino Linotype" w:hAnsi="Palatino Linotype"/>
          <w:sz w:val="20"/>
          <w:szCs w:val="20"/>
          <w:lang w:bidi="en-US"/>
        </w:rPr>
        <w:t>-infection without mannan. The data shown are representative of one experiment using cells isolated from one donor with n=3. Mann Whitney unpaired t-test was performed.</w:t>
      </w:r>
    </w:p>
    <w:p w:rsidR="00AA6CD2" w:rsidRDefault="00AA6CD2" w:rsidP="00AA6CD2">
      <w:pPr>
        <w:widowControl w:val="0"/>
        <w:autoSpaceDE w:val="0"/>
        <w:autoSpaceDN w:val="0"/>
        <w:adjustRightInd w:val="0"/>
        <w:spacing w:line="240" w:lineRule="atLeast"/>
        <w:rPr>
          <w:rFonts w:ascii="Palatino Linotype" w:hAnsi="Palatino Linotype"/>
          <w:sz w:val="18"/>
          <w:szCs w:val="18"/>
        </w:rPr>
      </w:pPr>
    </w:p>
    <w:p w:rsidR="00AA6CD2" w:rsidRPr="0012340B" w:rsidRDefault="00AA6CD2" w:rsidP="0012340B">
      <w:pPr>
        <w:adjustRightInd w:val="0"/>
        <w:snapToGrid w:val="0"/>
        <w:spacing w:before="240" w:after="0" w:line="480" w:lineRule="auto"/>
        <w:jc w:val="both"/>
        <w:rPr>
          <w:rFonts w:ascii="Palatino Linotype" w:eastAsia="Times New Roman" w:hAnsi="Palatino Linotype" w:cs="Times New Roman"/>
          <w:b/>
          <w:color w:val="000000"/>
          <w:sz w:val="18"/>
          <w:lang w:val="en-US" w:eastAsia="de-DE" w:bidi="en-US"/>
        </w:rPr>
      </w:pPr>
    </w:p>
    <w:sectPr w:rsidR="00AA6CD2" w:rsidRPr="001234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2A1B3A"/>
    <w:multiLevelType w:val="hybridMultilevel"/>
    <w:tmpl w:val="53845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8BE"/>
    <w:rsid w:val="000E28BE"/>
    <w:rsid w:val="00101A51"/>
    <w:rsid w:val="0012340B"/>
    <w:rsid w:val="001336A8"/>
    <w:rsid w:val="00235F42"/>
    <w:rsid w:val="003565B6"/>
    <w:rsid w:val="003E1BEC"/>
    <w:rsid w:val="00480AF7"/>
    <w:rsid w:val="005C3D3A"/>
    <w:rsid w:val="0068701D"/>
    <w:rsid w:val="008C30C2"/>
    <w:rsid w:val="00AA6CD2"/>
    <w:rsid w:val="00BB3869"/>
    <w:rsid w:val="00C67322"/>
    <w:rsid w:val="00EA4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4E36F"/>
  <w15:chartTrackingRefBased/>
  <w15:docId w15:val="{A673F315-E573-4568-A497-739D815E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12340B"/>
    <w:pPr>
      <w:spacing w:line="240" w:lineRule="auto"/>
    </w:pPr>
    <w:rPr>
      <w:sz w:val="20"/>
      <w:szCs w:val="20"/>
    </w:rPr>
  </w:style>
  <w:style w:type="character" w:customStyle="1" w:styleId="CommentTextChar">
    <w:name w:val="Comment Text Char"/>
    <w:basedOn w:val="DefaultParagraphFont"/>
    <w:link w:val="CommentText"/>
    <w:uiPriority w:val="99"/>
    <w:semiHidden/>
    <w:rsid w:val="0012340B"/>
    <w:rPr>
      <w:sz w:val="20"/>
      <w:szCs w:val="20"/>
    </w:rPr>
  </w:style>
  <w:style w:type="table" w:customStyle="1" w:styleId="MDPITable">
    <w:name w:val="MDPI_Table"/>
    <w:basedOn w:val="TableNormal"/>
    <w:uiPriority w:val="99"/>
    <w:rsid w:val="0012340B"/>
    <w:pPr>
      <w:spacing w:after="0" w:line="240" w:lineRule="auto"/>
    </w:pPr>
    <w:rPr>
      <w:rFonts w:ascii="Palatino Linotype" w:eastAsia="SimSun" w:hAnsi="Palatino Linotype" w:cs="Times New Roman"/>
      <w:color w:val="000000" w:themeColor="text1"/>
      <w:sz w:val="20"/>
      <w:szCs w:val="20"/>
      <w:lang w:val="en-CA"/>
    </w:rPr>
    <w:tblPr>
      <w:tblCellMar>
        <w:left w:w="0" w:type="dxa"/>
        <w:right w:w="0" w:type="dxa"/>
      </w:tblCellMar>
    </w:tblPr>
  </w:style>
  <w:style w:type="character" w:styleId="CommentReference">
    <w:name w:val="annotation reference"/>
    <w:uiPriority w:val="99"/>
    <w:rsid w:val="0012340B"/>
    <w:rPr>
      <w:sz w:val="21"/>
      <w:szCs w:val="21"/>
    </w:rPr>
  </w:style>
  <w:style w:type="paragraph" w:styleId="BalloonText">
    <w:name w:val="Balloon Text"/>
    <w:basedOn w:val="Normal"/>
    <w:link w:val="BalloonTextChar"/>
    <w:uiPriority w:val="99"/>
    <w:semiHidden/>
    <w:unhideWhenUsed/>
    <w:rsid w:val="001234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40B"/>
    <w:rPr>
      <w:rFonts w:ascii="Segoe UI" w:hAnsi="Segoe UI" w:cs="Segoe UI"/>
      <w:sz w:val="18"/>
      <w:szCs w:val="18"/>
    </w:rPr>
  </w:style>
  <w:style w:type="paragraph" w:styleId="ListParagraph">
    <w:name w:val="List Paragraph"/>
    <w:basedOn w:val="Normal"/>
    <w:uiPriority w:val="34"/>
    <w:qFormat/>
    <w:rsid w:val="0012340B"/>
    <w:pPr>
      <w:ind w:left="720"/>
      <w:contextualSpacing/>
    </w:pPr>
  </w:style>
  <w:style w:type="paragraph" w:customStyle="1" w:styleId="MDPI31text">
    <w:name w:val="MDPI_3.1_text"/>
    <w:qFormat/>
    <w:rsid w:val="00480AF7"/>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2heading2">
    <w:name w:val="MDPI_2.2_heading2"/>
    <w:qFormat/>
    <w:rsid w:val="00480AF7"/>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62BackMatter">
    <w:name w:val="MDPI_6.2_BackMatter"/>
    <w:qFormat/>
    <w:rsid w:val="005C3D3A"/>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66066">
      <w:bodyDiv w:val="1"/>
      <w:marLeft w:val="0"/>
      <w:marRight w:val="0"/>
      <w:marTop w:val="0"/>
      <w:marBottom w:val="0"/>
      <w:divBdr>
        <w:top w:val="none" w:sz="0" w:space="0" w:color="auto"/>
        <w:left w:val="none" w:sz="0" w:space="0" w:color="auto"/>
        <w:bottom w:val="none" w:sz="0" w:space="0" w:color="auto"/>
        <w:right w:val="none" w:sz="0" w:space="0" w:color="auto"/>
      </w:divBdr>
    </w:div>
    <w:div w:id="1916160545">
      <w:bodyDiv w:val="1"/>
      <w:marLeft w:val="0"/>
      <w:marRight w:val="0"/>
      <w:marTop w:val="0"/>
      <w:marBottom w:val="0"/>
      <w:divBdr>
        <w:top w:val="none" w:sz="0" w:space="0" w:color="auto"/>
        <w:left w:val="none" w:sz="0" w:space="0" w:color="auto"/>
        <w:bottom w:val="none" w:sz="0" w:space="0" w:color="auto"/>
        <w:right w:val="none" w:sz="0" w:space="0" w:color="auto"/>
      </w:divBdr>
    </w:div>
    <w:div w:id="201702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hljthom2@liverpool.ac.uk"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28</Pages>
  <Words>53170</Words>
  <Characters>303074</Characters>
  <Application>Microsoft Office Word</Application>
  <DocSecurity>0</DocSecurity>
  <Lines>2525</Lines>
  <Paragraphs>711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355533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Paxton, Bill</dc:creator>
  <cp:keywords/>
  <dc:description/>
  <cp:lastModifiedBy>Paxton, Bill</cp:lastModifiedBy>
  <cp:revision>10</cp:revision>
  <dcterms:created xsi:type="dcterms:W3CDTF">2021-02-16T09:21:00Z</dcterms:created>
  <dcterms:modified xsi:type="dcterms:W3CDTF">2021-02-16T10:51:00Z</dcterms:modified>
</cp:coreProperties>
</file>